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FA3BED">
      <w:pPr>
        <w:tabs>
          <w:tab w:val="left" w:pos="3841"/>
        </w:tabs>
        <w:overflowPunct w:val="0"/>
        <w:spacing w:line="240" w:lineRule="exact"/>
        <w:jc w:val="left"/>
        <w:rPr>
          <w:rFonts w:eastAsia="宋体"/>
          <w:b/>
          <w:color w:val="auto"/>
          <w:sz w:val="72"/>
          <w:highlight w:val="none"/>
        </w:rPr>
      </w:pPr>
      <w:bookmarkStart w:id="0" w:name="_Hlk108100331"/>
      <w:r>
        <w:rPr>
          <w:rFonts w:eastAsia="宋体"/>
          <w:b/>
          <w:color w:val="auto"/>
          <w:sz w:val="72"/>
          <w:highlight w:val="none"/>
        </w:rPr>
        <w:tab/>
      </w:r>
    </w:p>
    <w:p w14:paraId="4D88A535">
      <w:pPr>
        <w:overflowPunct w:val="0"/>
        <w:jc w:val="center"/>
        <w:rPr>
          <w:rFonts w:eastAsia="宋体"/>
          <w:b/>
          <w:color w:val="auto"/>
          <w:sz w:val="72"/>
          <w:highlight w:val="none"/>
        </w:rPr>
      </w:pPr>
    </w:p>
    <w:p w14:paraId="4EAEFD2C">
      <w:pPr>
        <w:snapToGrid w:val="0"/>
        <w:jc w:val="center"/>
        <w:rPr>
          <w:rFonts w:hint="default" w:eastAsia="楷体_GB2312"/>
          <w:color w:val="auto"/>
          <w:highlight w:val="none"/>
          <w:lang w:val="en-US" w:eastAsia="zh-CN"/>
        </w:rPr>
      </w:pPr>
      <w:r>
        <w:rPr>
          <w:rFonts w:hint="eastAsia" w:eastAsia="华文中宋"/>
          <w:b/>
          <w:color w:val="auto"/>
          <w:sz w:val="52"/>
          <w:szCs w:val="40"/>
          <w:highlight w:val="none"/>
          <w:lang w:eastAsia="zh-CN"/>
        </w:rPr>
        <w:t>五里窑闸</w:t>
      </w:r>
      <w:r>
        <w:rPr>
          <w:rFonts w:hint="eastAsia" w:eastAsia="华文中宋"/>
          <w:b/>
          <w:color w:val="auto"/>
          <w:sz w:val="52"/>
          <w:szCs w:val="40"/>
          <w:highlight w:val="none"/>
          <w:lang w:val="en-US" w:eastAsia="zh-CN"/>
        </w:rPr>
        <w:t>上游清淤及护坡整治</w:t>
      </w:r>
    </w:p>
    <w:p w14:paraId="70801291">
      <w:pPr>
        <w:snapToGrid w:val="0"/>
        <w:jc w:val="center"/>
        <w:rPr>
          <w:rFonts w:eastAsia="华文中宋"/>
          <w:b/>
          <w:color w:val="auto"/>
          <w:sz w:val="96"/>
          <w:szCs w:val="84"/>
          <w:highlight w:val="none"/>
        </w:rPr>
      </w:pPr>
    </w:p>
    <w:p w14:paraId="2CF7E86C">
      <w:pPr>
        <w:snapToGrid w:val="0"/>
        <w:jc w:val="center"/>
        <w:rPr>
          <w:rFonts w:eastAsia="华文中宋"/>
          <w:b/>
          <w:color w:val="auto"/>
          <w:sz w:val="96"/>
          <w:szCs w:val="84"/>
          <w:highlight w:val="none"/>
        </w:rPr>
      </w:pPr>
      <w:r>
        <w:rPr>
          <w:rFonts w:eastAsia="华文中宋"/>
          <w:b/>
          <w:color w:val="auto"/>
          <w:sz w:val="96"/>
          <w:szCs w:val="84"/>
          <w:highlight w:val="none"/>
        </w:rPr>
        <w:t>竞争性磋商文件</w:t>
      </w:r>
    </w:p>
    <w:p w14:paraId="374277A6">
      <w:pPr>
        <w:snapToGrid w:val="0"/>
        <w:jc w:val="center"/>
        <w:rPr>
          <w:rFonts w:eastAsia="宋体"/>
          <w:b/>
          <w:color w:val="auto"/>
          <w:sz w:val="32"/>
          <w:szCs w:val="30"/>
          <w:highlight w:val="none"/>
        </w:rPr>
      </w:pPr>
      <w:r>
        <w:rPr>
          <w:rFonts w:hint="eastAsia" w:eastAsia="宋体"/>
          <w:b/>
          <w:color w:val="auto"/>
          <w:sz w:val="32"/>
          <w:szCs w:val="30"/>
          <w:highlight w:val="none"/>
          <w:lang w:eastAsia="zh-CN"/>
        </w:rPr>
        <w:t>（</w:t>
      </w:r>
      <w:r>
        <w:rPr>
          <w:rFonts w:hint="eastAsia" w:eastAsia="宋体"/>
          <w:b/>
          <w:color w:val="auto"/>
          <w:sz w:val="32"/>
          <w:szCs w:val="30"/>
          <w:highlight w:val="none"/>
          <w:lang w:val="en-US" w:eastAsia="zh-CN"/>
        </w:rPr>
        <w:t>二次</w:t>
      </w:r>
      <w:r>
        <w:rPr>
          <w:rFonts w:hint="eastAsia" w:eastAsia="宋体"/>
          <w:b/>
          <w:color w:val="auto"/>
          <w:sz w:val="32"/>
          <w:szCs w:val="30"/>
          <w:highlight w:val="none"/>
          <w:lang w:eastAsia="zh-CN"/>
        </w:rPr>
        <w:t>）</w:t>
      </w:r>
      <w:r>
        <w:rPr>
          <w:rFonts w:hint="eastAsia" w:eastAsia="宋体"/>
          <w:b/>
          <w:color w:val="auto"/>
          <w:sz w:val="32"/>
          <w:szCs w:val="30"/>
          <w:highlight w:val="none"/>
        </w:rPr>
        <w:t xml:space="preserve">    </w:t>
      </w:r>
    </w:p>
    <w:p w14:paraId="653CD3EA">
      <w:pPr>
        <w:snapToGrid w:val="0"/>
        <w:jc w:val="center"/>
        <w:rPr>
          <w:rFonts w:eastAsia="宋体"/>
          <w:b/>
          <w:color w:val="auto"/>
          <w:sz w:val="32"/>
          <w:szCs w:val="30"/>
          <w:highlight w:val="none"/>
        </w:rPr>
      </w:pPr>
    </w:p>
    <w:p w14:paraId="47FB413C">
      <w:pPr>
        <w:snapToGrid w:val="0"/>
        <w:jc w:val="center"/>
        <w:rPr>
          <w:rFonts w:hint="default" w:eastAsia="宋体"/>
          <w:color w:val="auto"/>
          <w:highlight w:val="none"/>
          <w:lang w:val="en-US" w:eastAsia="zh-CN"/>
        </w:rPr>
      </w:pPr>
      <w:r>
        <w:rPr>
          <w:rFonts w:eastAsia="宋体"/>
          <w:b/>
          <w:color w:val="auto"/>
          <w:sz w:val="32"/>
          <w:szCs w:val="30"/>
          <w:highlight w:val="none"/>
        </w:rPr>
        <w:t>项目编号：</w:t>
      </w:r>
      <w:r>
        <w:rPr>
          <w:rFonts w:hint="eastAsia" w:eastAsia="宋体"/>
          <w:b/>
          <w:color w:val="auto"/>
          <w:sz w:val="32"/>
          <w:szCs w:val="30"/>
          <w:highlight w:val="none"/>
        </w:rPr>
        <w:t>JSZC-320000-HYGS-C2026-0025</w:t>
      </w:r>
    </w:p>
    <w:p w14:paraId="32EEBBBC">
      <w:pPr>
        <w:pStyle w:val="34"/>
        <w:spacing w:before="62"/>
        <w:ind w:firstLine="0"/>
        <w:rPr>
          <w:rFonts w:ascii="Times New Roman" w:hAnsi="Times New Roman"/>
          <w:color w:val="auto"/>
          <w:sz w:val="32"/>
          <w:szCs w:val="28"/>
          <w:highlight w:val="none"/>
        </w:rPr>
      </w:pPr>
    </w:p>
    <w:p w14:paraId="0202A064">
      <w:pPr>
        <w:pStyle w:val="34"/>
        <w:spacing w:before="62"/>
        <w:ind w:firstLine="0"/>
        <w:rPr>
          <w:rFonts w:ascii="Times New Roman" w:hAnsi="Times New Roman"/>
          <w:color w:val="auto"/>
          <w:sz w:val="32"/>
          <w:szCs w:val="28"/>
          <w:highlight w:val="none"/>
        </w:rPr>
      </w:pPr>
    </w:p>
    <w:p w14:paraId="1D64F03C">
      <w:pPr>
        <w:pStyle w:val="34"/>
        <w:spacing w:before="62"/>
        <w:ind w:firstLine="0"/>
        <w:rPr>
          <w:rFonts w:ascii="Times New Roman" w:hAnsi="Times New Roman"/>
          <w:color w:val="auto"/>
          <w:sz w:val="32"/>
          <w:szCs w:val="28"/>
          <w:highlight w:val="none"/>
        </w:rPr>
      </w:pPr>
    </w:p>
    <w:p w14:paraId="4576C44C">
      <w:pPr>
        <w:pStyle w:val="34"/>
        <w:spacing w:before="62"/>
        <w:ind w:firstLine="0"/>
        <w:rPr>
          <w:rFonts w:ascii="Times New Roman" w:hAnsi="Times New Roman"/>
          <w:color w:val="auto"/>
          <w:sz w:val="32"/>
          <w:szCs w:val="28"/>
          <w:highlight w:val="none"/>
        </w:rPr>
      </w:pPr>
    </w:p>
    <w:p w14:paraId="74DB6F57">
      <w:pPr>
        <w:pStyle w:val="34"/>
        <w:spacing w:before="62"/>
        <w:ind w:firstLine="0"/>
        <w:rPr>
          <w:rFonts w:ascii="Times New Roman" w:hAnsi="Times New Roman"/>
          <w:color w:val="auto"/>
          <w:sz w:val="32"/>
          <w:szCs w:val="28"/>
          <w:highlight w:val="none"/>
        </w:rPr>
      </w:pPr>
    </w:p>
    <w:p w14:paraId="2E0FAC14">
      <w:pPr>
        <w:pStyle w:val="34"/>
        <w:spacing w:before="62"/>
        <w:ind w:firstLine="643"/>
        <w:jc w:val="center"/>
        <w:rPr>
          <w:rFonts w:hint="eastAsia" w:ascii="Times New Roman" w:hAnsi="Times New Roman" w:eastAsia="宋体"/>
          <w:color w:val="auto"/>
          <w:sz w:val="32"/>
          <w:szCs w:val="28"/>
          <w:highlight w:val="none"/>
          <w:lang w:eastAsia="zh-CN"/>
        </w:rPr>
      </w:pPr>
      <w:r>
        <w:rPr>
          <w:rFonts w:ascii="Times New Roman" w:hAnsi="Times New Roman"/>
          <w:color w:val="auto"/>
          <w:sz w:val="32"/>
          <w:szCs w:val="28"/>
          <w:highlight w:val="none"/>
        </w:rPr>
        <w:t>采购人：</w:t>
      </w:r>
      <w:r>
        <w:rPr>
          <w:rFonts w:hint="eastAsia" w:ascii="Times New Roman" w:hAnsi="Times New Roman"/>
          <w:color w:val="auto"/>
          <w:sz w:val="32"/>
          <w:szCs w:val="28"/>
          <w:highlight w:val="none"/>
          <w:lang w:eastAsia="zh-CN"/>
        </w:rPr>
        <w:t>江苏省江都水利工程管理处</w:t>
      </w:r>
    </w:p>
    <w:p w14:paraId="148A9EC7">
      <w:pPr>
        <w:pStyle w:val="34"/>
        <w:spacing w:before="62"/>
        <w:ind w:firstLine="643"/>
        <w:jc w:val="center"/>
        <w:rPr>
          <w:rFonts w:ascii="Times New Roman" w:hAnsi="Times New Roman"/>
          <w:color w:val="auto"/>
          <w:sz w:val="32"/>
          <w:szCs w:val="28"/>
          <w:highlight w:val="none"/>
        </w:rPr>
      </w:pPr>
      <w:r>
        <w:rPr>
          <w:rFonts w:ascii="Times New Roman" w:hAnsi="Times New Roman"/>
          <w:color w:val="auto"/>
          <w:sz w:val="32"/>
          <w:szCs w:val="28"/>
          <w:highlight w:val="none"/>
        </w:rPr>
        <w:t>采购代理机构：江苏省鸿源招标代理股份有限公司</w:t>
      </w:r>
    </w:p>
    <w:p w14:paraId="33D028E3">
      <w:pPr>
        <w:pStyle w:val="34"/>
        <w:spacing w:before="62"/>
        <w:ind w:firstLine="643"/>
        <w:jc w:val="center"/>
        <w:rPr>
          <w:rFonts w:ascii="Times New Roman" w:hAnsi="Times New Roman"/>
          <w:color w:val="auto"/>
          <w:sz w:val="32"/>
          <w:szCs w:val="28"/>
          <w:highlight w:val="none"/>
        </w:rPr>
      </w:pPr>
      <w:r>
        <w:rPr>
          <w:rFonts w:ascii="Times New Roman" w:hAnsi="Times New Roman"/>
          <w:color w:val="auto"/>
          <w:sz w:val="32"/>
          <w:szCs w:val="28"/>
          <w:highlight w:val="none"/>
        </w:rPr>
        <w:t>二〇二</w:t>
      </w:r>
      <w:r>
        <w:rPr>
          <w:rFonts w:hint="eastAsia" w:ascii="Times New Roman" w:hAnsi="Times New Roman"/>
          <w:color w:val="auto"/>
          <w:sz w:val="32"/>
          <w:szCs w:val="28"/>
          <w:highlight w:val="none"/>
          <w:lang w:val="en-US" w:eastAsia="zh-CN"/>
        </w:rPr>
        <w:t>六</w:t>
      </w:r>
      <w:r>
        <w:rPr>
          <w:rFonts w:ascii="Times New Roman" w:hAnsi="Times New Roman"/>
          <w:color w:val="auto"/>
          <w:sz w:val="32"/>
          <w:szCs w:val="28"/>
          <w:highlight w:val="none"/>
        </w:rPr>
        <w:t>年</w:t>
      </w:r>
      <w:r>
        <w:rPr>
          <w:rFonts w:hint="eastAsia" w:ascii="Times New Roman" w:hAnsi="Times New Roman"/>
          <w:color w:val="auto"/>
          <w:sz w:val="32"/>
          <w:szCs w:val="28"/>
          <w:highlight w:val="none"/>
          <w:lang w:eastAsia="zh-CN"/>
        </w:rPr>
        <w:t>九</w:t>
      </w:r>
      <w:r>
        <w:rPr>
          <w:rFonts w:ascii="Times New Roman" w:hAnsi="Times New Roman"/>
          <w:color w:val="auto"/>
          <w:sz w:val="32"/>
          <w:szCs w:val="28"/>
          <w:highlight w:val="none"/>
        </w:rPr>
        <w:t>月</w:t>
      </w:r>
    </w:p>
    <w:p w14:paraId="1DE079D1">
      <w:pPr>
        <w:overflowPunct w:val="0"/>
        <w:jc w:val="center"/>
        <w:rPr>
          <w:rFonts w:eastAsia="宋体"/>
          <w:b/>
          <w:color w:val="auto"/>
          <w:sz w:val="28"/>
          <w:szCs w:val="28"/>
          <w:highlight w:val="none"/>
        </w:rPr>
        <w:sectPr>
          <w:headerReference r:id="rId4" w:type="first"/>
          <w:headerReference r:id="rId3" w:type="default"/>
          <w:footerReference r:id="rId5" w:type="default"/>
          <w:pgSz w:w="11906" w:h="16838"/>
          <w:pgMar w:top="1418" w:right="1555" w:bottom="1418" w:left="1531" w:header="851" w:footer="992" w:gutter="0"/>
          <w:pgNumType w:start="1"/>
          <w:cols w:space="720" w:num="1"/>
          <w:titlePg/>
          <w:docGrid w:type="lines" w:linePitch="354" w:charSpace="0"/>
        </w:sectPr>
      </w:pPr>
    </w:p>
    <w:p w14:paraId="1A4F8F93">
      <w:pPr>
        <w:overflowPunct w:val="0"/>
        <w:rPr>
          <w:rFonts w:eastAsia="宋体"/>
          <w:color w:val="auto"/>
          <w:sz w:val="24"/>
          <w:szCs w:val="24"/>
          <w:highlight w:val="none"/>
        </w:rPr>
      </w:pPr>
    </w:p>
    <w:p w14:paraId="40F34ADD">
      <w:pPr>
        <w:tabs>
          <w:tab w:val="center" w:pos="4470"/>
          <w:tab w:val="left" w:pos="7464"/>
        </w:tabs>
        <w:overflowPunct w:val="0"/>
        <w:jc w:val="left"/>
        <w:rPr>
          <w:rFonts w:eastAsia="宋体"/>
          <w:b/>
          <w:color w:val="auto"/>
          <w:sz w:val="36"/>
          <w:szCs w:val="36"/>
          <w:highlight w:val="none"/>
        </w:rPr>
      </w:pPr>
      <w:r>
        <w:rPr>
          <w:rFonts w:eastAsia="宋体"/>
          <w:b/>
          <w:color w:val="auto"/>
          <w:sz w:val="36"/>
          <w:szCs w:val="36"/>
          <w:highlight w:val="none"/>
        </w:rPr>
        <w:tab/>
      </w:r>
      <w:r>
        <w:rPr>
          <w:rFonts w:eastAsia="宋体"/>
          <w:b/>
          <w:color w:val="auto"/>
          <w:sz w:val="36"/>
          <w:szCs w:val="36"/>
          <w:highlight w:val="none"/>
        </w:rPr>
        <w:t>目  录</w:t>
      </w:r>
      <w:r>
        <w:rPr>
          <w:rFonts w:eastAsia="宋体"/>
          <w:b/>
          <w:color w:val="auto"/>
          <w:sz w:val="36"/>
          <w:szCs w:val="36"/>
          <w:highlight w:val="none"/>
        </w:rPr>
        <w:tab/>
      </w:r>
    </w:p>
    <w:p w14:paraId="77F46704">
      <w:pPr>
        <w:overflowPunct w:val="0"/>
        <w:jc w:val="center"/>
        <w:rPr>
          <w:rFonts w:eastAsia="宋体"/>
          <w:color w:val="auto"/>
          <w:sz w:val="22"/>
          <w:szCs w:val="24"/>
          <w:highlight w:val="none"/>
        </w:rPr>
      </w:pPr>
    </w:p>
    <w:p w14:paraId="4F320BF0">
      <w:pPr>
        <w:tabs>
          <w:tab w:val="left" w:pos="2022"/>
        </w:tabs>
        <w:overflowPunct w:val="0"/>
        <w:jc w:val="left"/>
        <w:rPr>
          <w:rFonts w:eastAsia="宋体"/>
          <w:color w:val="auto"/>
          <w:sz w:val="22"/>
          <w:szCs w:val="24"/>
          <w:highlight w:val="none"/>
        </w:rPr>
      </w:pPr>
      <w:r>
        <w:rPr>
          <w:rFonts w:eastAsia="宋体"/>
          <w:color w:val="auto"/>
          <w:sz w:val="22"/>
          <w:szCs w:val="24"/>
          <w:highlight w:val="none"/>
        </w:rPr>
        <w:tab/>
      </w:r>
    </w:p>
    <w:p w14:paraId="4B2DFCB9">
      <w:pPr>
        <w:pStyle w:val="22"/>
        <w:tabs>
          <w:tab w:val="right" w:leader="dot" w:pos="8820"/>
        </w:tabs>
        <w:rPr>
          <w:sz w:val="28"/>
          <w:szCs w:val="21"/>
        </w:rPr>
      </w:pPr>
      <w:r>
        <w:rPr>
          <w:rFonts w:hint="eastAsia" w:ascii="楷体" w:hAnsi="楷体" w:eastAsia="楷体" w:cs="楷体"/>
          <w:color w:val="auto"/>
          <w:sz w:val="480"/>
          <w:szCs w:val="400"/>
          <w:highlight w:val="none"/>
        </w:rPr>
        <w:fldChar w:fldCharType="begin"/>
      </w:r>
      <w:r>
        <w:rPr>
          <w:rFonts w:hint="eastAsia" w:ascii="楷体" w:hAnsi="楷体" w:eastAsia="楷体" w:cs="楷体"/>
          <w:color w:val="auto"/>
          <w:sz w:val="480"/>
          <w:szCs w:val="400"/>
          <w:highlight w:val="none"/>
        </w:rPr>
        <w:instrText xml:space="preserve"> TOC  \* MERGEFORMAT </w:instrText>
      </w:r>
      <w:r>
        <w:rPr>
          <w:rFonts w:hint="eastAsia" w:ascii="楷体" w:hAnsi="楷体" w:eastAsia="楷体" w:cs="楷体"/>
          <w:color w:val="auto"/>
          <w:sz w:val="480"/>
          <w:szCs w:val="400"/>
          <w:highlight w:val="none"/>
        </w:rPr>
        <w:fldChar w:fldCharType="separate"/>
      </w:r>
      <w:r>
        <w:rPr>
          <w:rFonts w:eastAsia="楷体"/>
          <w:color w:val="auto"/>
          <w:sz w:val="28"/>
          <w:szCs w:val="21"/>
          <w:highlight w:val="none"/>
        </w:rPr>
        <w:t>第一章  采购邀请</w:t>
      </w:r>
      <w:r>
        <w:rPr>
          <w:sz w:val="28"/>
          <w:szCs w:val="21"/>
        </w:rPr>
        <w:tab/>
      </w:r>
      <w:r>
        <w:rPr>
          <w:sz w:val="28"/>
          <w:szCs w:val="21"/>
        </w:rPr>
        <w:fldChar w:fldCharType="begin"/>
      </w:r>
      <w:r>
        <w:rPr>
          <w:sz w:val="28"/>
          <w:szCs w:val="21"/>
        </w:rPr>
        <w:instrText xml:space="preserve"> PAGEREF _Toc18198 \h </w:instrText>
      </w:r>
      <w:r>
        <w:rPr>
          <w:sz w:val="28"/>
          <w:szCs w:val="21"/>
        </w:rPr>
        <w:fldChar w:fldCharType="separate"/>
      </w:r>
      <w:r>
        <w:rPr>
          <w:sz w:val="28"/>
          <w:szCs w:val="21"/>
        </w:rPr>
        <w:t>1</w:t>
      </w:r>
      <w:r>
        <w:rPr>
          <w:sz w:val="28"/>
          <w:szCs w:val="21"/>
        </w:rPr>
        <w:fldChar w:fldCharType="end"/>
      </w:r>
    </w:p>
    <w:p w14:paraId="0582B708">
      <w:pPr>
        <w:pStyle w:val="22"/>
        <w:tabs>
          <w:tab w:val="right" w:leader="dot" w:pos="8820"/>
        </w:tabs>
        <w:rPr>
          <w:sz w:val="28"/>
          <w:szCs w:val="21"/>
        </w:rPr>
      </w:pPr>
      <w:r>
        <w:rPr>
          <w:rFonts w:eastAsia="楷体"/>
          <w:color w:val="auto"/>
          <w:sz w:val="28"/>
          <w:szCs w:val="21"/>
          <w:highlight w:val="none"/>
        </w:rPr>
        <w:t>第二章  供应商须知</w:t>
      </w:r>
      <w:r>
        <w:rPr>
          <w:sz w:val="28"/>
          <w:szCs w:val="21"/>
        </w:rPr>
        <w:tab/>
      </w:r>
      <w:r>
        <w:rPr>
          <w:sz w:val="28"/>
          <w:szCs w:val="21"/>
        </w:rPr>
        <w:fldChar w:fldCharType="begin"/>
      </w:r>
      <w:r>
        <w:rPr>
          <w:sz w:val="28"/>
          <w:szCs w:val="21"/>
        </w:rPr>
        <w:instrText xml:space="preserve"> PAGEREF _Toc11266 \h </w:instrText>
      </w:r>
      <w:r>
        <w:rPr>
          <w:sz w:val="28"/>
          <w:szCs w:val="21"/>
        </w:rPr>
        <w:fldChar w:fldCharType="separate"/>
      </w:r>
      <w:r>
        <w:rPr>
          <w:sz w:val="28"/>
          <w:szCs w:val="21"/>
        </w:rPr>
        <w:t>4</w:t>
      </w:r>
      <w:r>
        <w:rPr>
          <w:sz w:val="28"/>
          <w:szCs w:val="21"/>
        </w:rPr>
        <w:fldChar w:fldCharType="end"/>
      </w:r>
    </w:p>
    <w:p w14:paraId="38D7E618">
      <w:pPr>
        <w:pStyle w:val="22"/>
        <w:tabs>
          <w:tab w:val="right" w:leader="dot" w:pos="8820"/>
        </w:tabs>
        <w:rPr>
          <w:sz w:val="28"/>
          <w:szCs w:val="21"/>
        </w:rPr>
      </w:pPr>
      <w:r>
        <w:rPr>
          <w:color w:val="auto"/>
          <w:sz w:val="28"/>
          <w:szCs w:val="21"/>
          <w:highlight w:val="none"/>
        </w:rPr>
        <w:t>第三章  采购需求</w:t>
      </w:r>
      <w:r>
        <w:rPr>
          <w:sz w:val="28"/>
          <w:szCs w:val="21"/>
        </w:rPr>
        <w:tab/>
      </w:r>
      <w:r>
        <w:rPr>
          <w:sz w:val="28"/>
          <w:szCs w:val="21"/>
        </w:rPr>
        <w:fldChar w:fldCharType="begin"/>
      </w:r>
      <w:r>
        <w:rPr>
          <w:sz w:val="28"/>
          <w:szCs w:val="21"/>
        </w:rPr>
        <w:instrText xml:space="preserve"> PAGEREF _Toc7927 \h </w:instrText>
      </w:r>
      <w:r>
        <w:rPr>
          <w:sz w:val="28"/>
          <w:szCs w:val="21"/>
        </w:rPr>
        <w:fldChar w:fldCharType="separate"/>
      </w:r>
      <w:r>
        <w:rPr>
          <w:sz w:val="28"/>
          <w:szCs w:val="21"/>
        </w:rPr>
        <w:t>17</w:t>
      </w:r>
      <w:r>
        <w:rPr>
          <w:sz w:val="28"/>
          <w:szCs w:val="21"/>
        </w:rPr>
        <w:fldChar w:fldCharType="end"/>
      </w:r>
    </w:p>
    <w:p w14:paraId="3F6CA510">
      <w:pPr>
        <w:pStyle w:val="22"/>
        <w:tabs>
          <w:tab w:val="right" w:leader="dot" w:pos="8820"/>
        </w:tabs>
        <w:rPr>
          <w:sz w:val="28"/>
          <w:szCs w:val="21"/>
        </w:rPr>
      </w:pPr>
      <w:r>
        <w:rPr>
          <w:rFonts w:hint="eastAsia"/>
          <w:color w:val="auto"/>
          <w:sz w:val="28"/>
          <w:szCs w:val="21"/>
          <w:highlight w:val="none"/>
          <w:lang w:val="en-US" w:eastAsia="zh-CN"/>
        </w:rPr>
        <w:t>第四章</w:t>
      </w:r>
      <w:r>
        <w:rPr>
          <w:color w:val="auto"/>
          <w:sz w:val="28"/>
          <w:szCs w:val="21"/>
          <w:highlight w:val="none"/>
        </w:rPr>
        <w:t xml:space="preserve"> </w:t>
      </w:r>
      <w:r>
        <w:rPr>
          <w:rFonts w:hint="eastAsia"/>
          <w:color w:val="auto"/>
          <w:sz w:val="28"/>
          <w:szCs w:val="21"/>
          <w:highlight w:val="none"/>
          <w:lang w:val="en-US" w:eastAsia="zh-CN"/>
        </w:rPr>
        <w:t xml:space="preserve"> </w:t>
      </w:r>
      <w:r>
        <w:rPr>
          <w:color w:val="auto"/>
          <w:sz w:val="28"/>
          <w:szCs w:val="21"/>
          <w:highlight w:val="none"/>
        </w:rPr>
        <w:t>合同主要条款及格式</w:t>
      </w:r>
      <w:r>
        <w:rPr>
          <w:sz w:val="28"/>
          <w:szCs w:val="21"/>
        </w:rPr>
        <w:tab/>
      </w:r>
      <w:r>
        <w:rPr>
          <w:sz w:val="28"/>
          <w:szCs w:val="21"/>
        </w:rPr>
        <w:fldChar w:fldCharType="begin"/>
      </w:r>
      <w:r>
        <w:rPr>
          <w:sz w:val="28"/>
          <w:szCs w:val="21"/>
        </w:rPr>
        <w:instrText xml:space="preserve"> PAGEREF _Toc12554 \h </w:instrText>
      </w:r>
      <w:r>
        <w:rPr>
          <w:sz w:val="28"/>
          <w:szCs w:val="21"/>
        </w:rPr>
        <w:fldChar w:fldCharType="separate"/>
      </w:r>
      <w:r>
        <w:rPr>
          <w:sz w:val="28"/>
          <w:szCs w:val="21"/>
        </w:rPr>
        <w:t>27</w:t>
      </w:r>
      <w:r>
        <w:rPr>
          <w:sz w:val="28"/>
          <w:szCs w:val="21"/>
        </w:rPr>
        <w:fldChar w:fldCharType="end"/>
      </w:r>
    </w:p>
    <w:p w14:paraId="3CA47483">
      <w:pPr>
        <w:pStyle w:val="22"/>
        <w:tabs>
          <w:tab w:val="right" w:leader="dot" w:pos="8820"/>
        </w:tabs>
        <w:rPr>
          <w:sz w:val="28"/>
          <w:szCs w:val="21"/>
        </w:rPr>
      </w:pPr>
      <w:r>
        <w:rPr>
          <w:rFonts w:hint="eastAsia"/>
          <w:color w:val="auto"/>
          <w:sz w:val="28"/>
          <w:szCs w:val="21"/>
          <w:highlight w:val="none"/>
          <w:lang w:val="en-US" w:eastAsia="zh-CN"/>
        </w:rPr>
        <w:t>第五章  响应文件格式</w:t>
      </w:r>
      <w:r>
        <w:rPr>
          <w:sz w:val="28"/>
          <w:szCs w:val="21"/>
        </w:rPr>
        <w:tab/>
      </w:r>
      <w:r>
        <w:rPr>
          <w:sz w:val="28"/>
          <w:szCs w:val="21"/>
        </w:rPr>
        <w:fldChar w:fldCharType="begin"/>
      </w:r>
      <w:r>
        <w:rPr>
          <w:sz w:val="28"/>
          <w:szCs w:val="21"/>
        </w:rPr>
        <w:instrText xml:space="preserve"> PAGEREF _Toc16848 \h </w:instrText>
      </w:r>
      <w:r>
        <w:rPr>
          <w:sz w:val="28"/>
          <w:szCs w:val="21"/>
        </w:rPr>
        <w:fldChar w:fldCharType="separate"/>
      </w:r>
      <w:r>
        <w:rPr>
          <w:sz w:val="28"/>
          <w:szCs w:val="21"/>
        </w:rPr>
        <w:t>49</w:t>
      </w:r>
      <w:r>
        <w:rPr>
          <w:sz w:val="28"/>
          <w:szCs w:val="21"/>
        </w:rPr>
        <w:fldChar w:fldCharType="end"/>
      </w:r>
    </w:p>
    <w:p w14:paraId="0DFD4576">
      <w:pPr>
        <w:pStyle w:val="22"/>
        <w:tabs>
          <w:tab w:val="right" w:leader="dot" w:pos="8820"/>
        </w:tabs>
        <w:rPr>
          <w:sz w:val="28"/>
          <w:szCs w:val="21"/>
        </w:rPr>
      </w:pPr>
      <w:r>
        <w:rPr>
          <w:rFonts w:hint="eastAsia" w:eastAsia="楷体"/>
          <w:color w:val="auto"/>
          <w:sz w:val="28"/>
          <w:szCs w:val="21"/>
          <w:highlight w:val="none"/>
        </w:rPr>
        <w:t>第六章  评审方法</w:t>
      </w:r>
      <w:r>
        <w:rPr>
          <w:sz w:val="28"/>
          <w:szCs w:val="21"/>
        </w:rPr>
        <w:tab/>
      </w:r>
      <w:r>
        <w:rPr>
          <w:sz w:val="28"/>
          <w:szCs w:val="21"/>
        </w:rPr>
        <w:fldChar w:fldCharType="begin"/>
      </w:r>
      <w:r>
        <w:rPr>
          <w:sz w:val="28"/>
          <w:szCs w:val="21"/>
        </w:rPr>
        <w:instrText xml:space="preserve"> PAGEREF _Toc715 \h </w:instrText>
      </w:r>
      <w:r>
        <w:rPr>
          <w:sz w:val="28"/>
          <w:szCs w:val="21"/>
        </w:rPr>
        <w:fldChar w:fldCharType="separate"/>
      </w:r>
      <w:r>
        <w:rPr>
          <w:sz w:val="28"/>
          <w:szCs w:val="21"/>
        </w:rPr>
        <w:t>68</w:t>
      </w:r>
      <w:r>
        <w:rPr>
          <w:sz w:val="28"/>
          <w:szCs w:val="21"/>
        </w:rPr>
        <w:fldChar w:fldCharType="end"/>
      </w:r>
    </w:p>
    <w:p w14:paraId="2E718F68">
      <w:pPr>
        <w:overflowPunct w:val="0"/>
        <w:spacing w:line="450" w:lineRule="exact"/>
        <w:rPr>
          <w:rFonts w:eastAsia="宋体"/>
          <w:b/>
          <w:color w:val="auto"/>
          <w:sz w:val="32"/>
          <w:szCs w:val="24"/>
          <w:highlight w:val="none"/>
        </w:rPr>
        <w:sectPr>
          <w:footerReference r:id="rId6" w:type="default"/>
          <w:pgSz w:w="11906" w:h="16838"/>
          <w:pgMar w:top="1418" w:right="1555" w:bottom="1418" w:left="1531" w:header="851" w:footer="992" w:gutter="0"/>
          <w:pgNumType w:start="1"/>
          <w:cols w:space="720" w:num="1"/>
          <w:titlePg/>
          <w:docGrid w:type="lines" w:linePitch="354" w:charSpace="0"/>
        </w:sectPr>
      </w:pPr>
      <w:r>
        <w:rPr>
          <w:rFonts w:hint="eastAsia" w:ascii="楷体" w:hAnsi="楷体" w:eastAsia="楷体" w:cs="楷体"/>
          <w:color w:val="auto"/>
          <w:sz w:val="28"/>
          <w:szCs w:val="400"/>
          <w:highlight w:val="none"/>
        </w:rPr>
        <w:fldChar w:fldCharType="end"/>
      </w:r>
    </w:p>
    <w:p w14:paraId="6CEB5943">
      <w:pPr>
        <w:pStyle w:val="2"/>
        <w:keepNext/>
        <w:keepLines/>
        <w:pageBreakBefore w:val="0"/>
        <w:widowControl w:val="0"/>
        <w:kinsoku/>
        <w:wordWrap/>
        <w:overflowPunct/>
        <w:topLinePunct w:val="0"/>
        <w:autoSpaceDE/>
        <w:autoSpaceDN/>
        <w:bidi w:val="0"/>
        <w:adjustRightInd/>
        <w:snapToGrid/>
        <w:spacing w:line="240" w:lineRule="exact"/>
        <w:jc w:val="center"/>
        <w:textAlignment w:val="auto"/>
        <w:rPr>
          <w:rFonts w:eastAsia="楷体"/>
          <w:color w:val="auto"/>
          <w:highlight w:val="none"/>
        </w:rPr>
      </w:pPr>
      <w:bookmarkStart w:id="1" w:name="_Toc388026583"/>
      <w:bookmarkStart w:id="2" w:name="_Toc18198"/>
      <w:r>
        <w:rPr>
          <w:rFonts w:eastAsia="楷体"/>
          <w:color w:val="auto"/>
          <w:highlight w:val="none"/>
        </w:rPr>
        <w:t xml:space="preserve">第一章  </w:t>
      </w:r>
      <w:bookmarkEnd w:id="1"/>
      <w:r>
        <w:rPr>
          <w:rFonts w:eastAsia="楷体"/>
          <w:color w:val="auto"/>
          <w:highlight w:val="none"/>
        </w:rPr>
        <w:t>采购邀请</w:t>
      </w:r>
      <w:bookmarkEnd w:id="2"/>
    </w:p>
    <w:p w14:paraId="4C4B4515">
      <w:pPr>
        <w:snapToGrid w:val="0"/>
        <w:spacing w:line="360" w:lineRule="auto"/>
        <w:jc w:val="center"/>
        <w:outlineLvl w:val="1"/>
        <w:rPr>
          <w:rFonts w:hint="eastAsia" w:eastAsia="宋体"/>
          <w:b/>
          <w:color w:val="auto"/>
          <w:sz w:val="28"/>
          <w:highlight w:val="none"/>
          <w:lang w:eastAsia="zh-CN"/>
        </w:rPr>
      </w:pPr>
      <w:bookmarkStart w:id="3" w:name="_Toc6387949"/>
      <w:bookmarkStart w:id="4" w:name="_Toc388026584"/>
      <w:r>
        <w:rPr>
          <w:rFonts w:hint="eastAsia" w:eastAsia="宋体"/>
          <w:b/>
          <w:color w:val="auto"/>
          <w:sz w:val="28"/>
          <w:highlight w:val="none"/>
          <w:lang w:eastAsia="zh-CN"/>
        </w:rPr>
        <w:t>五里窑闸上游清淤及护坡整治</w:t>
      </w:r>
    </w:p>
    <w:p w14:paraId="5488E23A">
      <w:pPr>
        <w:snapToGrid w:val="0"/>
        <w:spacing w:line="360" w:lineRule="auto"/>
        <w:jc w:val="center"/>
        <w:outlineLvl w:val="1"/>
        <w:rPr>
          <w:rFonts w:eastAsia="宋体"/>
          <w:b/>
          <w:color w:val="auto"/>
          <w:sz w:val="28"/>
          <w:highlight w:val="none"/>
        </w:rPr>
      </w:pPr>
      <w:r>
        <w:rPr>
          <w:rFonts w:eastAsia="宋体"/>
          <w:b/>
          <w:color w:val="auto"/>
          <w:sz w:val="28"/>
          <w:highlight w:val="none"/>
        </w:rPr>
        <w:t>竞争性磋商公告</w:t>
      </w:r>
    </w:p>
    <w:p w14:paraId="1AF81420">
      <w:pPr>
        <w:spacing w:line="400" w:lineRule="exact"/>
        <w:jc w:val="left"/>
        <w:rPr>
          <w:rFonts w:eastAsia="宋体"/>
          <w:b/>
          <w:bCs/>
          <w:color w:val="auto"/>
          <w:sz w:val="24"/>
          <w:szCs w:val="22"/>
          <w:highlight w:val="none"/>
        </w:rPr>
      </w:pPr>
      <w:bookmarkStart w:id="5" w:name="_Hlk44596214"/>
      <w:r>
        <w:rPr>
          <w:rFonts w:eastAsia="宋体"/>
          <w:b/>
          <w:bCs/>
          <w:color w:val="auto"/>
          <w:sz w:val="24"/>
          <w:szCs w:val="22"/>
          <w:highlight w:val="none"/>
        </w:rPr>
        <w:t>项目概况</w:t>
      </w:r>
    </w:p>
    <w:p w14:paraId="35DED0CD">
      <w:pPr>
        <w:spacing w:line="400" w:lineRule="exact"/>
        <w:ind w:firstLine="482" w:firstLineChars="200"/>
        <w:jc w:val="left"/>
        <w:rPr>
          <w:rFonts w:eastAsia="宋体"/>
          <w:color w:val="auto"/>
          <w:sz w:val="24"/>
          <w:szCs w:val="22"/>
          <w:highlight w:val="none"/>
        </w:rPr>
      </w:pPr>
      <w:r>
        <w:rPr>
          <w:rFonts w:hint="eastAsia" w:eastAsia="宋体"/>
          <w:b/>
          <w:bCs/>
          <w:color w:val="auto"/>
          <w:sz w:val="24"/>
          <w:szCs w:val="22"/>
          <w:highlight w:val="none"/>
          <w:lang w:eastAsia="zh-CN"/>
        </w:rPr>
        <w:t>五里窑闸上游清淤及护坡整治</w:t>
      </w:r>
      <w:r>
        <w:rPr>
          <w:rFonts w:ascii="Times New Roman" w:hAnsi="Times New Roman" w:eastAsia="宋体" w:cs="Times New Roman"/>
          <w:color w:val="auto"/>
          <w:sz w:val="24"/>
          <w:szCs w:val="22"/>
          <w:highlight w:val="none"/>
        </w:rPr>
        <w:t>的潜在</w:t>
      </w:r>
      <w:r>
        <w:rPr>
          <w:rFonts w:hint="eastAsia" w:ascii="Times New Roman" w:hAnsi="Times New Roman" w:eastAsia="宋体" w:cs="Times New Roman"/>
          <w:color w:val="auto"/>
          <w:sz w:val="24"/>
          <w:szCs w:val="22"/>
          <w:highlight w:val="none"/>
          <w:lang w:val="en-US" w:eastAsia="zh-CN"/>
        </w:rPr>
        <w:t>供应商</w:t>
      </w:r>
      <w:r>
        <w:rPr>
          <w:rFonts w:ascii="Times New Roman" w:hAnsi="Times New Roman" w:eastAsia="宋体" w:cs="Times New Roman"/>
          <w:color w:val="auto"/>
          <w:sz w:val="24"/>
          <w:szCs w:val="22"/>
          <w:highlight w:val="none"/>
        </w:rPr>
        <w:t>应在</w:t>
      </w:r>
      <w:r>
        <w:rPr>
          <w:rFonts w:hint="eastAsia" w:ascii="Times New Roman" w:hAnsi="Times New Roman" w:eastAsia="宋体" w:cs="Times New Roman"/>
          <w:color w:val="auto"/>
          <w:sz w:val="24"/>
          <w:szCs w:val="22"/>
          <w:highlight w:val="none"/>
          <w:lang w:val="en-US" w:eastAsia="zh-CN"/>
        </w:rPr>
        <w:t>苏采云系统注册登记成功后免费</w:t>
      </w:r>
      <w:r>
        <w:rPr>
          <w:rFonts w:ascii="Times New Roman" w:hAnsi="Times New Roman" w:eastAsia="宋体" w:cs="Times New Roman"/>
          <w:color w:val="auto"/>
          <w:sz w:val="24"/>
          <w:szCs w:val="22"/>
          <w:highlight w:val="none"/>
        </w:rPr>
        <w:t>获取</w:t>
      </w:r>
      <w:r>
        <w:rPr>
          <w:rFonts w:hint="eastAsia" w:ascii="Times New Roman" w:hAnsi="Times New Roman" w:eastAsia="宋体" w:cs="Times New Roman"/>
          <w:color w:val="auto"/>
          <w:sz w:val="24"/>
          <w:szCs w:val="22"/>
          <w:highlight w:val="none"/>
          <w:lang w:val="en-US" w:eastAsia="zh-CN"/>
        </w:rPr>
        <w:t>采购</w:t>
      </w:r>
      <w:r>
        <w:rPr>
          <w:rFonts w:ascii="Times New Roman" w:hAnsi="Times New Roman" w:eastAsia="宋体" w:cs="Times New Roman"/>
          <w:color w:val="auto"/>
          <w:sz w:val="24"/>
          <w:szCs w:val="22"/>
          <w:highlight w:val="none"/>
        </w:rPr>
        <w:t>文件，</w:t>
      </w:r>
      <w:r>
        <w:rPr>
          <w:rFonts w:eastAsia="宋体"/>
          <w:color w:val="auto"/>
          <w:sz w:val="24"/>
          <w:szCs w:val="22"/>
          <w:highlight w:val="none"/>
        </w:rPr>
        <w:t>并于202</w:t>
      </w:r>
      <w:r>
        <w:rPr>
          <w:rFonts w:hint="eastAsia" w:eastAsia="宋体"/>
          <w:color w:val="auto"/>
          <w:sz w:val="24"/>
          <w:szCs w:val="22"/>
          <w:highlight w:val="none"/>
          <w:lang w:val="en-US" w:eastAsia="zh-CN"/>
        </w:rPr>
        <w:t>6</w:t>
      </w:r>
      <w:r>
        <w:rPr>
          <w:rFonts w:eastAsia="宋体"/>
          <w:color w:val="auto"/>
          <w:sz w:val="24"/>
          <w:szCs w:val="22"/>
          <w:highlight w:val="none"/>
        </w:rPr>
        <w:t>年</w:t>
      </w:r>
      <w:r>
        <w:rPr>
          <w:rFonts w:hint="eastAsia" w:eastAsia="宋体"/>
          <w:color w:val="auto"/>
          <w:sz w:val="24"/>
          <w:szCs w:val="22"/>
          <w:highlight w:val="none"/>
          <w:lang w:val="en-US" w:eastAsia="zh-CN"/>
        </w:rPr>
        <w:t>10</w:t>
      </w:r>
      <w:r>
        <w:rPr>
          <w:rFonts w:hint="eastAsia" w:eastAsia="宋体"/>
          <w:color w:val="auto"/>
          <w:sz w:val="24"/>
          <w:szCs w:val="22"/>
          <w:highlight w:val="none"/>
        </w:rPr>
        <w:t>月</w:t>
      </w:r>
      <w:r>
        <w:rPr>
          <w:rFonts w:hint="eastAsia" w:eastAsia="宋体"/>
          <w:color w:val="auto"/>
          <w:sz w:val="24"/>
          <w:szCs w:val="22"/>
          <w:highlight w:val="none"/>
          <w:lang w:val="en-US" w:eastAsia="zh-CN"/>
        </w:rPr>
        <w:t>8</w:t>
      </w:r>
      <w:r>
        <w:rPr>
          <w:rFonts w:hint="eastAsia" w:eastAsia="宋体"/>
          <w:color w:val="auto"/>
          <w:sz w:val="24"/>
          <w:szCs w:val="22"/>
          <w:highlight w:val="none"/>
        </w:rPr>
        <w:t>日10</w:t>
      </w:r>
      <w:r>
        <w:rPr>
          <w:rFonts w:eastAsia="宋体"/>
          <w:color w:val="auto"/>
          <w:sz w:val="24"/>
          <w:szCs w:val="22"/>
          <w:highlight w:val="none"/>
        </w:rPr>
        <w:t>点</w:t>
      </w:r>
      <w:r>
        <w:rPr>
          <w:rFonts w:hint="eastAsia" w:eastAsia="宋体"/>
          <w:color w:val="auto"/>
          <w:sz w:val="24"/>
          <w:szCs w:val="22"/>
          <w:highlight w:val="none"/>
        </w:rPr>
        <w:t>0</w:t>
      </w:r>
      <w:r>
        <w:rPr>
          <w:rFonts w:eastAsia="宋体"/>
          <w:color w:val="auto"/>
          <w:sz w:val="24"/>
          <w:szCs w:val="22"/>
          <w:highlight w:val="none"/>
        </w:rPr>
        <w:t>0分（北京时间）前提交响应文件。</w:t>
      </w:r>
    </w:p>
    <w:p w14:paraId="316A3854">
      <w:pPr>
        <w:spacing w:line="400" w:lineRule="exact"/>
        <w:jc w:val="left"/>
        <w:outlineLvl w:val="1"/>
        <w:rPr>
          <w:rFonts w:eastAsia="宋体"/>
          <w:b/>
          <w:bCs/>
          <w:color w:val="auto"/>
          <w:sz w:val="24"/>
          <w:szCs w:val="22"/>
          <w:highlight w:val="none"/>
        </w:rPr>
      </w:pPr>
      <w:bookmarkStart w:id="6" w:name="_Toc35393798"/>
      <w:bookmarkStart w:id="7" w:name="_Toc28359012"/>
      <w:bookmarkStart w:id="8" w:name="_Toc35393629"/>
      <w:bookmarkStart w:id="9" w:name="_Toc28359089"/>
      <w:r>
        <w:rPr>
          <w:rFonts w:eastAsia="宋体"/>
          <w:b/>
          <w:bCs/>
          <w:color w:val="auto"/>
          <w:sz w:val="24"/>
          <w:szCs w:val="22"/>
          <w:highlight w:val="none"/>
        </w:rPr>
        <w:t>一、项目基本情况</w:t>
      </w:r>
      <w:bookmarkEnd w:id="6"/>
      <w:bookmarkEnd w:id="7"/>
      <w:bookmarkEnd w:id="8"/>
      <w:bookmarkEnd w:id="9"/>
    </w:p>
    <w:p w14:paraId="2CC3F15C">
      <w:pPr>
        <w:spacing w:line="400" w:lineRule="exact"/>
        <w:ind w:firstLine="482" w:firstLineChars="200"/>
        <w:jc w:val="left"/>
        <w:rPr>
          <w:rFonts w:hint="default" w:eastAsia="宋体"/>
          <w:b/>
          <w:bCs/>
          <w:color w:val="auto"/>
          <w:sz w:val="24"/>
          <w:szCs w:val="22"/>
          <w:highlight w:val="none"/>
          <w:lang w:val="en-US" w:eastAsia="zh-CN"/>
        </w:rPr>
      </w:pPr>
      <w:r>
        <w:rPr>
          <w:rFonts w:eastAsia="宋体"/>
          <w:b/>
          <w:bCs/>
          <w:color w:val="auto"/>
          <w:sz w:val="24"/>
          <w:szCs w:val="22"/>
          <w:highlight w:val="none"/>
        </w:rPr>
        <w:t>项目编号：</w:t>
      </w:r>
      <w:r>
        <w:rPr>
          <w:rFonts w:hint="eastAsia" w:eastAsia="宋体"/>
          <w:b/>
          <w:bCs/>
          <w:color w:val="auto"/>
          <w:sz w:val="24"/>
          <w:szCs w:val="22"/>
          <w:highlight w:val="none"/>
        </w:rPr>
        <w:t>JSZC-320000-HYGS-C2026-00</w:t>
      </w:r>
      <w:r>
        <w:rPr>
          <w:rFonts w:hint="eastAsia" w:eastAsia="宋体"/>
          <w:b/>
          <w:bCs/>
          <w:color w:val="auto"/>
          <w:sz w:val="24"/>
          <w:szCs w:val="22"/>
          <w:highlight w:val="none"/>
          <w:lang w:val="en-US" w:eastAsia="zh-CN"/>
        </w:rPr>
        <w:t>23</w:t>
      </w:r>
    </w:p>
    <w:p w14:paraId="5D420972">
      <w:pPr>
        <w:spacing w:line="400" w:lineRule="exact"/>
        <w:ind w:firstLine="482" w:firstLineChars="200"/>
        <w:jc w:val="left"/>
        <w:rPr>
          <w:rFonts w:hint="eastAsia" w:eastAsia="宋体"/>
          <w:color w:val="auto"/>
          <w:sz w:val="24"/>
          <w:szCs w:val="22"/>
          <w:highlight w:val="none"/>
          <w:lang w:eastAsia="zh-CN"/>
        </w:rPr>
      </w:pPr>
      <w:r>
        <w:rPr>
          <w:rFonts w:eastAsia="宋体"/>
          <w:b/>
          <w:bCs/>
          <w:color w:val="auto"/>
          <w:sz w:val="24"/>
          <w:szCs w:val="22"/>
          <w:highlight w:val="none"/>
        </w:rPr>
        <w:t>项目名称：</w:t>
      </w:r>
      <w:r>
        <w:rPr>
          <w:rFonts w:hint="eastAsia" w:eastAsia="宋体"/>
          <w:b/>
          <w:bCs/>
          <w:color w:val="auto"/>
          <w:sz w:val="24"/>
          <w:szCs w:val="22"/>
          <w:highlight w:val="none"/>
          <w:lang w:eastAsia="zh-CN"/>
        </w:rPr>
        <w:t>五里窑闸上游清淤及护坡整治</w:t>
      </w:r>
    </w:p>
    <w:p w14:paraId="5D510522">
      <w:pPr>
        <w:spacing w:line="400" w:lineRule="exact"/>
        <w:ind w:firstLine="482" w:firstLineChars="200"/>
        <w:jc w:val="left"/>
        <w:rPr>
          <w:rFonts w:hint="default" w:eastAsia="宋体"/>
          <w:color w:val="auto"/>
          <w:sz w:val="24"/>
          <w:szCs w:val="22"/>
          <w:highlight w:val="none"/>
          <w:lang w:val="en-US"/>
        </w:rPr>
      </w:pPr>
      <w:r>
        <w:rPr>
          <w:rFonts w:eastAsia="宋体"/>
          <w:b/>
          <w:bCs/>
          <w:color w:val="auto"/>
          <w:sz w:val="24"/>
          <w:szCs w:val="22"/>
          <w:highlight w:val="none"/>
        </w:rPr>
        <w:t>采购方式：</w:t>
      </w:r>
      <w:r>
        <w:rPr>
          <w:rFonts w:eastAsia="宋体"/>
          <w:color w:val="auto"/>
          <w:sz w:val="24"/>
          <w:szCs w:val="22"/>
          <w:highlight w:val="none"/>
        </w:rPr>
        <w:t>竞争性磋商</w:t>
      </w:r>
    </w:p>
    <w:p w14:paraId="2AA7B86C">
      <w:pPr>
        <w:spacing w:line="400" w:lineRule="exact"/>
        <w:ind w:firstLine="482" w:firstLineChars="200"/>
        <w:jc w:val="left"/>
        <w:rPr>
          <w:rFonts w:hint="eastAsia" w:eastAsia="宋体"/>
          <w:b/>
          <w:bCs/>
          <w:color w:val="auto"/>
          <w:sz w:val="24"/>
          <w:szCs w:val="22"/>
          <w:highlight w:val="none"/>
          <w:lang w:eastAsia="zh-CN"/>
        </w:rPr>
      </w:pPr>
      <w:r>
        <w:rPr>
          <w:rFonts w:eastAsia="宋体"/>
          <w:b/>
          <w:bCs/>
          <w:color w:val="auto"/>
          <w:sz w:val="24"/>
          <w:szCs w:val="22"/>
          <w:highlight w:val="none"/>
        </w:rPr>
        <w:t>预算金额：</w:t>
      </w:r>
      <w:r>
        <w:rPr>
          <w:rFonts w:hint="eastAsia" w:eastAsia="宋体"/>
          <w:b/>
          <w:bCs/>
          <w:color w:val="auto"/>
          <w:sz w:val="24"/>
          <w:szCs w:val="22"/>
          <w:highlight w:val="none"/>
          <w:lang w:val="en-US" w:eastAsia="zh-CN"/>
        </w:rPr>
        <w:t>壹佰壹拾柒万元整</w:t>
      </w:r>
      <w:r>
        <w:rPr>
          <w:rFonts w:hint="eastAsia" w:eastAsia="宋体"/>
          <w:b/>
          <w:bCs/>
          <w:color w:val="auto"/>
          <w:sz w:val="24"/>
          <w:szCs w:val="22"/>
          <w:highlight w:val="none"/>
          <w:lang w:eastAsia="zh-CN"/>
        </w:rPr>
        <w:t>（</w:t>
      </w:r>
      <w:r>
        <w:rPr>
          <w:rFonts w:hint="eastAsia" w:eastAsia="宋体"/>
          <w:b/>
          <w:bCs/>
          <w:color w:val="auto"/>
          <w:sz w:val="24"/>
          <w:szCs w:val="22"/>
          <w:highlight w:val="none"/>
          <w:lang w:val="en-US" w:eastAsia="zh-CN"/>
        </w:rPr>
        <w:t>RMB 117万元</w:t>
      </w:r>
      <w:r>
        <w:rPr>
          <w:rFonts w:hint="eastAsia" w:eastAsia="宋体"/>
          <w:b/>
          <w:bCs/>
          <w:color w:val="auto"/>
          <w:sz w:val="24"/>
          <w:szCs w:val="22"/>
          <w:highlight w:val="none"/>
          <w:lang w:eastAsia="zh-CN"/>
        </w:rPr>
        <w:t>）</w:t>
      </w:r>
    </w:p>
    <w:p w14:paraId="69D493B4">
      <w:pPr>
        <w:spacing w:line="400" w:lineRule="exact"/>
        <w:ind w:firstLine="482" w:firstLineChars="200"/>
        <w:jc w:val="left"/>
        <w:rPr>
          <w:rFonts w:hint="eastAsia" w:eastAsia="宋体"/>
          <w:b/>
          <w:bCs/>
          <w:color w:val="auto"/>
          <w:sz w:val="24"/>
          <w:szCs w:val="22"/>
          <w:highlight w:val="none"/>
          <w:lang w:eastAsia="zh-CN"/>
        </w:rPr>
      </w:pPr>
      <w:r>
        <w:rPr>
          <w:rFonts w:hint="eastAsia" w:eastAsia="宋体"/>
          <w:b/>
          <w:bCs/>
          <w:color w:val="auto"/>
          <w:sz w:val="24"/>
          <w:szCs w:val="22"/>
          <w:highlight w:val="none"/>
          <w:lang w:val="en-US" w:eastAsia="zh-CN"/>
        </w:rPr>
        <w:t>最高限价</w:t>
      </w:r>
      <w:r>
        <w:rPr>
          <w:rFonts w:eastAsia="宋体"/>
          <w:b/>
          <w:bCs/>
          <w:color w:val="auto"/>
          <w:sz w:val="24"/>
          <w:szCs w:val="22"/>
          <w:highlight w:val="none"/>
        </w:rPr>
        <w:t>：</w:t>
      </w:r>
      <w:r>
        <w:rPr>
          <w:rFonts w:hint="eastAsia" w:eastAsia="宋体"/>
          <w:b/>
          <w:bCs/>
          <w:color w:val="auto"/>
          <w:sz w:val="24"/>
          <w:szCs w:val="22"/>
          <w:highlight w:val="none"/>
          <w:lang w:val="en-US" w:eastAsia="zh-CN"/>
        </w:rPr>
        <w:t>壹佰壹拾叁万肆仟玖佰元整</w:t>
      </w:r>
      <w:r>
        <w:rPr>
          <w:rFonts w:hint="eastAsia" w:eastAsia="宋体"/>
          <w:b/>
          <w:bCs/>
          <w:color w:val="auto"/>
          <w:sz w:val="24"/>
          <w:szCs w:val="22"/>
          <w:highlight w:val="none"/>
          <w:lang w:eastAsia="zh-CN"/>
        </w:rPr>
        <w:t>（</w:t>
      </w:r>
      <w:r>
        <w:rPr>
          <w:rFonts w:hint="eastAsia" w:eastAsia="宋体"/>
          <w:b/>
          <w:bCs/>
          <w:color w:val="auto"/>
          <w:sz w:val="24"/>
          <w:szCs w:val="22"/>
          <w:highlight w:val="none"/>
          <w:lang w:val="en-US" w:eastAsia="zh-CN"/>
        </w:rPr>
        <w:t>RMB 113.49万元</w:t>
      </w:r>
      <w:r>
        <w:rPr>
          <w:rFonts w:hint="eastAsia" w:eastAsia="宋体"/>
          <w:b/>
          <w:bCs/>
          <w:color w:val="auto"/>
          <w:sz w:val="24"/>
          <w:szCs w:val="22"/>
          <w:highlight w:val="none"/>
          <w:lang w:eastAsia="zh-CN"/>
        </w:rPr>
        <w:t>）</w:t>
      </w:r>
    </w:p>
    <w:p w14:paraId="78F18A6D">
      <w:pPr>
        <w:spacing w:line="400" w:lineRule="exact"/>
        <w:ind w:firstLine="482" w:firstLineChars="200"/>
        <w:jc w:val="left"/>
        <w:rPr>
          <w:rFonts w:hint="eastAsia" w:ascii="宋体" w:hAnsi="宋体" w:eastAsia="宋体" w:cs="宋体"/>
          <w:color w:val="auto"/>
          <w:sz w:val="24"/>
          <w:szCs w:val="24"/>
          <w:highlight w:val="none"/>
        </w:rPr>
      </w:pPr>
      <w:r>
        <w:rPr>
          <w:rFonts w:hint="eastAsia" w:eastAsia="宋体"/>
          <w:b/>
          <w:bCs/>
          <w:color w:val="auto"/>
          <w:sz w:val="24"/>
          <w:szCs w:val="22"/>
          <w:highlight w:val="none"/>
        </w:rPr>
        <w:t>采购需求：</w:t>
      </w:r>
      <w:r>
        <w:rPr>
          <w:rFonts w:hint="eastAsia" w:ascii="宋体" w:hAnsi="宋体" w:eastAsia="宋体" w:cs="宋体"/>
          <w:color w:val="auto"/>
          <w:sz w:val="24"/>
          <w:szCs w:val="24"/>
          <w:highlight w:val="none"/>
        </w:rPr>
        <w:t>本次工程的主要建设内容为：1、护岸整理；2、河道清淤；3、护坡加固；4、坎墙砌筑；5、拦河索两岸固定墩浇筑；6、水政警示标牌增设。具体详见采购需求。</w:t>
      </w:r>
      <w:r>
        <w:rPr>
          <w:rFonts w:hint="eastAsia" w:eastAsia="宋体"/>
          <w:b w:val="0"/>
          <w:bCs w:val="0"/>
          <w:color w:val="auto"/>
          <w:sz w:val="24"/>
          <w:szCs w:val="22"/>
          <w:highlight w:val="none"/>
          <w:lang w:val="en-US" w:eastAsia="zh-CN"/>
        </w:rPr>
        <w:t>本项目为</w:t>
      </w:r>
      <w:r>
        <w:rPr>
          <w:rFonts w:hint="eastAsia" w:eastAsia="宋体"/>
          <w:b/>
          <w:bCs/>
          <w:color w:val="auto"/>
          <w:sz w:val="24"/>
          <w:szCs w:val="22"/>
          <w:highlight w:val="none"/>
          <w:lang w:val="en-US" w:eastAsia="zh-CN"/>
        </w:rPr>
        <w:t>政府采购工程。</w:t>
      </w:r>
    </w:p>
    <w:p w14:paraId="130A58EB">
      <w:pPr>
        <w:spacing w:line="400" w:lineRule="exact"/>
        <w:ind w:firstLine="482" w:firstLineChars="200"/>
        <w:jc w:val="left"/>
        <w:rPr>
          <w:rFonts w:eastAsia="宋体"/>
          <w:color w:val="auto"/>
          <w:sz w:val="24"/>
          <w:szCs w:val="22"/>
          <w:highlight w:val="none"/>
        </w:rPr>
      </w:pPr>
      <w:r>
        <w:rPr>
          <w:rFonts w:hint="eastAsia" w:ascii="宋体" w:hAnsi="宋体" w:eastAsia="宋体" w:cs="宋体"/>
          <w:b/>
          <w:bCs/>
          <w:color w:val="auto"/>
          <w:sz w:val="24"/>
          <w:szCs w:val="24"/>
          <w:highlight w:val="none"/>
        </w:rPr>
        <w:t>合同履行期限：</w:t>
      </w:r>
      <w:r>
        <w:rPr>
          <w:rFonts w:hint="eastAsia" w:ascii="宋体" w:hAnsi="宋体" w:eastAsia="宋体" w:cs="宋体"/>
          <w:color w:val="auto"/>
          <w:sz w:val="24"/>
          <w:szCs w:val="24"/>
          <w:highlight w:val="none"/>
        </w:rPr>
        <w:t>总工期</w:t>
      </w:r>
      <w:r>
        <w:rPr>
          <w:rFonts w:hint="eastAsia" w:ascii="宋体" w:hAnsi="宋体" w:eastAsia="宋体" w:cs="宋体"/>
          <w:color w:val="auto"/>
          <w:sz w:val="24"/>
          <w:szCs w:val="24"/>
          <w:highlight w:val="none"/>
          <w:lang w:val="en-US" w:eastAsia="zh-CN"/>
        </w:rPr>
        <w:t>60</w:t>
      </w:r>
      <w:r>
        <w:rPr>
          <w:rFonts w:hint="eastAsia" w:ascii="宋体" w:hAnsi="宋体" w:eastAsia="宋体" w:cs="宋体"/>
          <w:color w:val="auto"/>
          <w:sz w:val="24"/>
          <w:szCs w:val="24"/>
          <w:highlight w:val="none"/>
        </w:rPr>
        <w:t>个日历天。</w:t>
      </w:r>
    </w:p>
    <w:p w14:paraId="067D0C24">
      <w:pPr>
        <w:spacing w:line="400" w:lineRule="exact"/>
        <w:ind w:firstLine="482" w:firstLineChars="200"/>
        <w:jc w:val="left"/>
        <w:rPr>
          <w:rFonts w:eastAsia="宋体"/>
          <w:b/>
          <w:bCs/>
          <w:color w:val="auto"/>
          <w:sz w:val="24"/>
          <w:szCs w:val="22"/>
          <w:highlight w:val="none"/>
        </w:rPr>
      </w:pPr>
      <w:r>
        <w:rPr>
          <w:rFonts w:eastAsia="宋体"/>
          <w:b/>
          <w:bCs/>
          <w:color w:val="auto"/>
          <w:sz w:val="24"/>
          <w:szCs w:val="22"/>
          <w:highlight w:val="none"/>
        </w:rPr>
        <w:t>本项目不接受联合体。</w:t>
      </w:r>
    </w:p>
    <w:p w14:paraId="2238387F">
      <w:pPr>
        <w:spacing w:line="400" w:lineRule="exact"/>
        <w:jc w:val="left"/>
        <w:outlineLvl w:val="1"/>
        <w:rPr>
          <w:rFonts w:eastAsia="宋体"/>
          <w:b/>
          <w:bCs/>
          <w:color w:val="auto"/>
          <w:sz w:val="24"/>
          <w:szCs w:val="22"/>
          <w:highlight w:val="none"/>
        </w:rPr>
      </w:pPr>
      <w:bookmarkStart w:id="10" w:name="_Toc28359090"/>
      <w:bookmarkStart w:id="11" w:name="_Toc35393630"/>
      <w:bookmarkStart w:id="12" w:name="_Toc28359013"/>
      <w:bookmarkStart w:id="13" w:name="_Toc35393799"/>
      <w:r>
        <w:rPr>
          <w:rFonts w:eastAsia="宋体"/>
          <w:b/>
          <w:bCs/>
          <w:color w:val="auto"/>
          <w:sz w:val="24"/>
          <w:szCs w:val="22"/>
          <w:highlight w:val="none"/>
        </w:rPr>
        <w:t>二、申请人的资格要求：</w:t>
      </w:r>
      <w:bookmarkEnd w:id="10"/>
      <w:bookmarkEnd w:id="11"/>
      <w:bookmarkEnd w:id="12"/>
      <w:bookmarkEnd w:id="13"/>
    </w:p>
    <w:p w14:paraId="618B7376">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1.满足《中华人民共和国政府采购法》第二十二条规定，并提供以下材料</w:t>
      </w:r>
      <w:r>
        <w:rPr>
          <w:rFonts w:hint="eastAsia" w:eastAsia="宋体"/>
          <w:color w:val="auto"/>
          <w:sz w:val="24"/>
          <w:szCs w:val="22"/>
          <w:highlight w:val="none"/>
        </w:rPr>
        <w:t>：</w:t>
      </w:r>
    </w:p>
    <w:p w14:paraId="002598BC">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 xml:space="preserve">（1）具有独立承担民事责任的能力（提供法人或者其他组织的营业执照等；供应商为自然人的，提供其身份证）； </w:t>
      </w:r>
    </w:p>
    <w:p w14:paraId="07C5545B">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（2）具有良好的商业信誉和健全的财务会计制度（提供最近的财务报告或会计报表，成立不足一年的无需提供）；</w:t>
      </w:r>
    </w:p>
    <w:p w14:paraId="2FCEBB1C">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（3）具有履行合同所必需的设备和专业技术能力（</w:t>
      </w:r>
      <w:r>
        <w:rPr>
          <w:rFonts w:hint="eastAsia" w:eastAsia="宋体"/>
          <w:color w:val="auto"/>
          <w:sz w:val="24"/>
          <w:szCs w:val="22"/>
          <w:highlight w:val="none"/>
        </w:rPr>
        <w:t>提供书面声明</w:t>
      </w:r>
      <w:r>
        <w:rPr>
          <w:rFonts w:hint="eastAsia" w:eastAsia="宋体"/>
          <w:color w:val="auto"/>
          <w:sz w:val="24"/>
          <w:szCs w:val="22"/>
          <w:highlight w:val="none"/>
          <w:lang w:eastAsia="zh-CN"/>
        </w:rPr>
        <w:t>）</w:t>
      </w:r>
      <w:r>
        <w:rPr>
          <w:rFonts w:eastAsia="宋体"/>
          <w:color w:val="auto"/>
          <w:sz w:val="24"/>
          <w:szCs w:val="22"/>
          <w:highlight w:val="none"/>
        </w:rPr>
        <w:t>；</w:t>
      </w:r>
    </w:p>
    <w:p w14:paraId="5F1CA0D9">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（4）有依法缴纳税收和社会保障资金的良好记录</w:t>
      </w:r>
      <w:r>
        <w:rPr>
          <w:rFonts w:hint="eastAsia" w:eastAsia="宋体"/>
          <w:color w:val="auto"/>
          <w:sz w:val="24"/>
          <w:szCs w:val="22"/>
          <w:highlight w:val="none"/>
        </w:rPr>
        <w:t>（提供参加本次政府采购活动前半年内至少一个月缴税的凭据；以及提供参加本次政府采购活动前半年内至少一个月缴纳社会保险的凭据（专用收据或社会保险缴纳清单））</w:t>
      </w:r>
      <w:r>
        <w:rPr>
          <w:rFonts w:eastAsia="宋体"/>
          <w:color w:val="auto"/>
          <w:sz w:val="24"/>
          <w:szCs w:val="22"/>
          <w:highlight w:val="none"/>
        </w:rPr>
        <w:t>；</w:t>
      </w:r>
    </w:p>
    <w:p w14:paraId="37FBA484">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（5）参加政府采购活动前三年内，在经营活动中没有重大违法记录（</w:t>
      </w:r>
      <w:r>
        <w:rPr>
          <w:rFonts w:hint="eastAsia" w:eastAsia="宋体"/>
          <w:color w:val="auto"/>
          <w:sz w:val="24"/>
          <w:szCs w:val="22"/>
          <w:highlight w:val="none"/>
        </w:rPr>
        <w:t>提供书面声明</w:t>
      </w:r>
      <w:r>
        <w:rPr>
          <w:rFonts w:eastAsia="宋体"/>
          <w:color w:val="auto"/>
          <w:sz w:val="24"/>
          <w:szCs w:val="22"/>
          <w:highlight w:val="none"/>
        </w:rPr>
        <w:t>）；</w:t>
      </w:r>
    </w:p>
    <w:p w14:paraId="51F709E9">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（6）法律、行政法规规定的其他条件</w:t>
      </w:r>
      <w:r>
        <w:rPr>
          <w:rFonts w:hint="eastAsia" w:eastAsia="宋体"/>
          <w:color w:val="auto"/>
          <w:sz w:val="24"/>
          <w:szCs w:val="22"/>
          <w:highlight w:val="none"/>
        </w:rPr>
        <w:t>（提供书面声明）；</w:t>
      </w:r>
    </w:p>
    <w:p w14:paraId="35AC56BD">
      <w:pPr>
        <w:spacing w:line="400" w:lineRule="exact"/>
        <w:ind w:firstLine="480" w:firstLineChars="200"/>
        <w:jc w:val="left"/>
        <w:rPr>
          <w:rFonts w:eastAsia="宋体"/>
          <w:color w:val="auto"/>
          <w:sz w:val="24"/>
          <w:szCs w:val="22"/>
          <w:highlight w:val="none"/>
        </w:rPr>
      </w:pPr>
      <w:r>
        <w:rPr>
          <w:rFonts w:hint="eastAsia" w:eastAsia="宋体"/>
          <w:color w:val="auto"/>
          <w:sz w:val="24"/>
          <w:szCs w:val="22"/>
          <w:highlight w:val="none"/>
        </w:rPr>
        <w:t>（7）拒绝下述供应商参加本次采购活动：供应商单位负责人为同一人或者存在直接控股、管理关系的不同供应商，不得参加同一合同项下的政府采购活动；凡为采购项目提供整体设计、规范编制或者项目管理、检测等服务的供应商，不得再参加本项目的采购活动（提供书面声明）；</w:t>
      </w:r>
    </w:p>
    <w:p w14:paraId="18E4DCAB">
      <w:pPr>
        <w:spacing w:line="400" w:lineRule="exact"/>
        <w:ind w:firstLine="480" w:firstLineChars="200"/>
        <w:jc w:val="left"/>
        <w:rPr>
          <w:rFonts w:eastAsia="宋体"/>
          <w:color w:val="auto"/>
          <w:sz w:val="24"/>
          <w:szCs w:val="22"/>
          <w:highlight w:val="none"/>
        </w:rPr>
      </w:pPr>
      <w:r>
        <w:rPr>
          <w:rFonts w:hint="eastAsia" w:eastAsia="宋体"/>
          <w:color w:val="auto"/>
          <w:sz w:val="24"/>
          <w:szCs w:val="22"/>
          <w:highlight w:val="none"/>
        </w:rPr>
        <w:t>（8）被“信用中国”网站（www.creditchina.gov.cn）中列入失信被执行人或重大税收违法案件当事人名单的供应商；被中国政府采购网（www.ccgp.gov.cn）列入政府采购严重违法失信行为记录名单中被财政部门禁止参加政府采购活动的供应商且正在处罚期内的，无资格参加本项目的采购活动（无须提供证明材料）。</w:t>
      </w:r>
    </w:p>
    <w:p w14:paraId="4D355E6A">
      <w:pPr>
        <w:spacing w:line="400" w:lineRule="exact"/>
        <w:ind w:firstLine="480" w:firstLineChars="200"/>
        <w:jc w:val="left"/>
        <w:rPr>
          <w:rFonts w:eastAsia="宋体"/>
          <w:color w:val="auto"/>
          <w:sz w:val="24"/>
          <w:szCs w:val="22"/>
          <w:highlight w:val="none"/>
        </w:rPr>
      </w:pPr>
      <w:bookmarkStart w:id="14" w:name="_Toc28359091"/>
      <w:bookmarkStart w:id="15" w:name="_Toc28359014"/>
      <w:r>
        <w:rPr>
          <w:rFonts w:eastAsia="宋体"/>
          <w:color w:val="auto"/>
          <w:sz w:val="24"/>
          <w:szCs w:val="22"/>
          <w:highlight w:val="none"/>
        </w:rPr>
        <w:t>2.落实政府采购政策需满足的资格要求</w:t>
      </w:r>
      <w:r>
        <w:rPr>
          <w:rFonts w:hint="eastAsia" w:eastAsia="宋体"/>
          <w:color w:val="auto"/>
          <w:sz w:val="24"/>
          <w:szCs w:val="22"/>
          <w:highlight w:val="none"/>
        </w:rPr>
        <w:t>：</w:t>
      </w:r>
      <w:r>
        <w:rPr>
          <w:rFonts w:hint="eastAsia" w:eastAsia="宋体"/>
          <w:b/>
          <w:bCs/>
          <w:color w:val="auto"/>
          <w:sz w:val="24"/>
          <w:szCs w:val="22"/>
          <w:highlight w:val="none"/>
          <w:u w:val="single"/>
          <w:lang w:val="en-US" w:eastAsia="zh-CN"/>
        </w:rPr>
        <w:t>本项目专门面向中小企业，须提供《中小企业声明函》。本项目属于行业：建筑业。</w:t>
      </w:r>
      <w:r>
        <w:rPr>
          <w:rFonts w:eastAsia="宋体"/>
          <w:color w:val="auto"/>
          <w:sz w:val="24"/>
          <w:szCs w:val="22"/>
          <w:highlight w:val="none"/>
        </w:rPr>
        <w:t xml:space="preserve">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 </w:t>
      </w:r>
      <w:r>
        <w:rPr>
          <w:rFonts w:hint="eastAsia" w:eastAsia="宋体"/>
          <w:color w:val="auto"/>
          <w:sz w:val="24"/>
          <w:szCs w:val="22"/>
          <w:highlight w:val="none"/>
          <w:lang w:eastAsia="zh-CN"/>
        </w:rPr>
        <w:t>〔2019〕9号</w:t>
      </w:r>
      <w:r>
        <w:rPr>
          <w:rFonts w:eastAsia="宋体"/>
          <w:color w:val="auto"/>
          <w:sz w:val="24"/>
          <w:szCs w:val="22"/>
          <w:highlight w:val="none"/>
        </w:rPr>
        <w:t xml:space="preserve">）和《财政部、发展改革委关于印发节能产品政府采购品目清单的通知》（财库 </w:t>
      </w:r>
      <w:r>
        <w:rPr>
          <w:rFonts w:hint="eastAsia" w:eastAsia="宋体"/>
          <w:color w:val="auto"/>
          <w:sz w:val="24"/>
          <w:szCs w:val="22"/>
          <w:highlight w:val="none"/>
          <w:lang w:eastAsia="zh-CN"/>
        </w:rPr>
        <w:t>〔2019〕19号</w:t>
      </w:r>
      <w:r>
        <w:rPr>
          <w:rFonts w:eastAsia="宋体"/>
          <w:color w:val="auto"/>
          <w:sz w:val="24"/>
          <w:szCs w:val="22"/>
          <w:highlight w:val="none"/>
        </w:rPr>
        <w:t>）等政府采购文件。</w:t>
      </w:r>
    </w:p>
    <w:p w14:paraId="14197A97">
      <w:pPr>
        <w:spacing w:line="400" w:lineRule="exact"/>
        <w:ind w:firstLine="480" w:firstLineChars="200"/>
        <w:jc w:val="left"/>
        <w:rPr>
          <w:rFonts w:hint="eastAsia" w:eastAsia="宋体"/>
          <w:strike/>
          <w:dstrike w:val="0"/>
          <w:color w:val="auto"/>
          <w:sz w:val="24"/>
          <w:szCs w:val="22"/>
          <w:highlight w:val="yellow"/>
          <w:lang w:eastAsia="zh-CN"/>
        </w:rPr>
      </w:pPr>
      <w:r>
        <w:rPr>
          <w:rFonts w:eastAsia="宋体"/>
          <w:color w:val="auto"/>
          <w:sz w:val="24"/>
          <w:szCs w:val="22"/>
          <w:highlight w:val="none"/>
        </w:rPr>
        <w:t>3.</w:t>
      </w:r>
      <w:r>
        <w:rPr>
          <w:rFonts w:eastAsia="宋体"/>
          <w:b/>
          <w:bCs/>
          <w:color w:val="auto"/>
          <w:sz w:val="24"/>
          <w:szCs w:val="22"/>
          <w:highlight w:val="none"/>
        </w:rPr>
        <w:t>本项目的特定资格要求：</w:t>
      </w:r>
      <w:bookmarkStart w:id="16" w:name="_Toc35393631"/>
      <w:bookmarkStart w:id="17" w:name="_Toc35393800"/>
      <w:r>
        <w:rPr>
          <w:rFonts w:hint="eastAsia" w:eastAsia="宋体"/>
          <w:b/>
          <w:bCs/>
          <w:strike w:val="0"/>
          <w:dstrike w:val="0"/>
          <w:color w:val="auto"/>
          <w:sz w:val="24"/>
          <w:szCs w:val="22"/>
          <w:highlight w:val="none"/>
          <w:u w:val="single"/>
        </w:rPr>
        <w:t>供应商具有水利水电专业施工总承包三级及以上资质；具有建设行政主管部门颁发的安全生产许可证；企业主要负责人、项目经理、专职安全员均应具有与其行业施工资质相应的行业主管部门颁发的安全生产考核合格证（分别为A、B、C类）；拟任的项目经理具有水利工程专业二级及以上建造师资格证书，在本单位注册，无在建工程（供应商须出具承诺书并加盖公章，时间为采购公告发布后</w:t>
      </w:r>
      <w:r>
        <w:rPr>
          <w:rFonts w:hint="eastAsia" w:eastAsia="宋体"/>
          <w:b/>
          <w:bCs/>
          <w:strike w:val="0"/>
          <w:dstrike w:val="0"/>
          <w:color w:val="auto"/>
          <w:sz w:val="24"/>
          <w:szCs w:val="22"/>
          <w:highlight w:val="none"/>
          <w:u w:val="single"/>
          <w:lang w:eastAsia="zh-CN"/>
        </w:rPr>
        <w:t>，</w:t>
      </w:r>
      <w:r>
        <w:rPr>
          <w:rFonts w:hint="eastAsia" w:eastAsia="宋体"/>
          <w:b/>
          <w:bCs/>
          <w:strike w:val="0"/>
          <w:dstrike w:val="0"/>
          <w:color w:val="auto"/>
          <w:sz w:val="24"/>
          <w:szCs w:val="22"/>
          <w:highlight w:val="none"/>
          <w:u w:val="single"/>
          <w:lang w:val="en-US" w:eastAsia="zh-CN"/>
        </w:rPr>
        <w:t>通过完工验收视为符合本项目项目经理无在建工程要求</w:t>
      </w:r>
      <w:r>
        <w:rPr>
          <w:rFonts w:hint="eastAsia" w:eastAsia="宋体"/>
          <w:b/>
          <w:bCs/>
          <w:strike w:val="0"/>
          <w:dstrike w:val="0"/>
          <w:color w:val="auto"/>
          <w:sz w:val="24"/>
          <w:szCs w:val="22"/>
          <w:highlight w:val="none"/>
          <w:u w:val="single"/>
        </w:rPr>
        <w:t>）。</w:t>
      </w:r>
    </w:p>
    <w:p w14:paraId="6098A518">
      <w:pPr>
        <w:spacing w:line="400" w:lineRule="exact"/>
        <w:jc w:val="left"/>
        <w:outlineLvl w:val="1"/>
        <w:rPr>
          <w:rFonts w:eastAsia="宋体"/>
          <w:b/>
          <w:bCs/>
          <w:color w:val="auto"/>
          <w:sz w:val="24"/>
          <w:szCs w:val="22"/>
          <w:highlight w:val="none"/>
        </w:rPr>
      </w:pPr>
      <w:r>
        <w:rPr>
          <w:rFonts w:eastAsia="宋体"/>
          <w:b/>
          <w:bCs/>
          <w:color w:val="auto"/>
          <w:sz w:val="24"/>
          <w:szCs w:val="22"/>
          <w:highlight w:val="none"/>
        </w:rPr>
        <w:t>三、获取磋商采购文件</w:t>
      </w:r>
      <w:bookmarkEnd w:id="14"/>
      <w:bookmarkEnd w:id="15"/>
      <w:bookmarkEnd w:id="16"/>
      <w:bookmarkEnd w:id="17"/>
    </w:p>
    <w:p w14:paraId="6B2BF31A">
      <w:pPr>
        <w:spacing w:line="400" w:lineRule="exact"/>
        <w:ind w:firstLine="480" w:firstLineChars="200"/>
        <w:jc w:val="left"/>
        <w:rPr>
          <w:rFonts w:hint="eastAsia" w:eastAsia="宋体"/>
          <w:color w:val="auto"/>
          <w:sz w:val="24"/>
          <w:szCs w:val="22"/>
          <w:highlight w:val="none"/>
        </w:rPr>
      </w:pPr>
      <w:r>
        <w:rPr>
          <w:rFonts w:eastAsia="宋体"/>
          <w:color w:val="auto"/>
          <w:sz w:val="24"/>
          <w:szCs w:val="22"/>
          <w:highlight w:val="none"/>
        </w:rPr>
        <w:t>时间：</w:t>
      </w:r>
      <w:r>
        <w:rPr>
          <w:rFonts w:hint="eastAsia" w:eastAsia="宋体"/>
          <w:color w:val="auto"/>
          <w:sz w:val="24"/>
          <w:szCs w:val="22"/>
          <w:highlight w:val="none"/>
        </w:rPr>
        <w:t>自</w:t>
      </w:r>
      <w:r>
        <w:rPr>
          <w:rFonts w:hint="eastAsia" w:eastAsia="宋体"/>
          <w:color w:val="auto"/>
          <w:sz w:val="24"/>
          <w:szCs w:val="22"/>
          <w:highlight w:val="none"/>
          <w:lang w:val="en-US" w:eastAsia="zh-CN"/>
        </w:rPr>
        <w:t>采购</w:t>
      </w:r>
      <w:r>
        <w:rPr>
          <w:rFonts w:hint="eastAsia" w:eastAsia="宋体"/>
          <w:color w:val="auto"/>
          <w:sz w:val="24"/>
          <w:szCs w:val="22"/>
          <w:highlight w:val="none"/>
        </w:rPr>
        <w:t>文件公告发布之日起5个工作日。</w:t>
      </w:r>
    </w:p>
    <w:p w14:paraId="4FCF5E40">
      <w:pPr>
        <w:spacing w:line="400" w:lineRule="exact"/>
        <w:ind w:firstLine="480" w:firstLineChars="200"/>
        <w:jc w:val="left"/>
        <w:rPr>
          <w:rFonts w:hint="eastAsia" w:eastAsia="宋体"/>
          <w:color w:val="auto"/>
          <w:sz w:val="24"/>
          <w:szCs w:val="22"/>
          <w:highlight w:val="none"/>
        </w:rPr>
      </w:pPr>
      <w:r>
        <w:rPr>
          <w:rFonts w:hint="eastAsia" w:eastAsia="宋体"/>
          <w:color w:val="auto"/>
          <w:sz w:val="24"/>
          <w:szCs w:val="22"/>
          <w:highlight w:val="none"/>
        </w:rPr>
        <w:t>地点：江苏省政府采购管理交易系统(苏采云)(以下简称“苏采云”)(网址:http://jszfcg.jsczt.cn/) 。</w:t>
      </w:r>
    </w:p>
    <w:p w14:paraId="63F11CDA">
      <w:pPr>
        <w:spacing w:line="400" w:lineRule="exact"/>
        <w:ind w:firstLine="480" w:firstLineChars="200"/>
        <w:jc w:val="left"/>
        <w:rPr>
          <w:rFonts w:hint="eastAsia" w:eastAsia="宋体"/>
          <w:color w:val="auto"/>
          <w:sz w:val="24"/>
          <w:szCs w:val="22"/>
          <w:highlight w:val="none"/>
          <w:lang w:val="en-US" w:eastAsia="zh-CN"/>
        </w:rPr>
      </w:pPr>
      <w:r>
        <w:rPr>
          <w:rFonts w:hint="eastAsia" w:eastAsia="宋体"/>
          <w:color w:val="auto"/>
          <w:sz w:val="24"/>
          <w:szCs w:val="22"/>
          <w:highlight w:val="none"/>
        </w:rPr>
        <w:t>方式：供应商登录“苏采云”系统自行免费下载</w:t>
      </w:r>
      <w:r>
        <w:rPr>
          <w:rFonts w:hint="eastAsia" w:eastAsia="宋体"/>
          <w:color w:val="auto"/>
          <w:sz w:val="24"/>
          <w:szCs w:val="22"/>
          <w:highlight w:val="none"/>
          <w:lang w:eastAsia="zh-CN"/>
        </w:rPr>
        <w:t>。</w:t>
      </w:r>
    </w:p>
    <w:p w14:paraId="2170956F">
      <w:pPr>
        <w:spacing w:line="400" w:lineRule="exact"/>
        <w:ind w:firstLine="480" w:firstLineChars="200"/>
        <w:jc w:val="left"/>
        <w:rPr>
          <w:rFonts w:eastAsia="宋体"/>
          <w:color w:val="auto"/>
          <w:sz w:val="24"/>
          <w:szCs w:val="22"/>
          <w:highlight w:val="none"/>
        </w:rPr>
      </w:pPr>
      <w:r>
        <w:rPr>
          <w:rFonts w:hint="eastAsia" w:eastAsia="宋体"/>
          <w:color w:val="auto"/>
          <w:sz w:val="24"/>
          <w:szCs w:val="22"/>
          <w:highlight w:val="none"/>
        </w:rPr>
        <w:t>售价：0.00元</w:t>
      </w:r>
      <w:r>
        <w:rPr>
          <w:rFonts w:eastAsia="宋体"/>
          <w:color w:val="auto"/>
          <w:sz w:val="24"/>
          <w:szCs w:val="24"/>
          <w:highlight w:val="none"/>
        </w:rPr>
        <w:t>。</w:t>
      </w:r>
    </w:p>
    <w:p w14:paraId="2D69798C">
      <w:pPr>
        <w:spacing w:line="400" w:lineRule="exact"/>
        <w:jc w:val="left"/>
        <w:outlineLvl w:val="1"/>
        <w:rPr>
          <w:rFonts w:eastAsia="宋体"/>
          <w:b/>
          <w:bCs/>
          <w:color w:val="auto"/>
          <w:sz w:val="24"/>
          <w:szCs w:val="22"/>
          <w:highlight w:val="none"/>
        </w:rPr>
      </w:pPr>
      <w:bookmarkStart w:id="18" w:name="_Toc35393632"/>
      <w:bookmarkStart w:id="19" w:name="_Toc28359092"/>
      <w:bookmarkStart w:id="20" w:name="_Toc35393801"/>
      <w:bookmarkStart w:id="21" w:name="_Toc28359015"/>
      <w:r>
        <w:rPr>
          <w:rFonts w:eastAsia="宋体"/>
          <w:b/>
          <w:bCs/>
          <w:color w:val="auto"/>
          <w:sz w:val="24"/>
          <w:szCs w:val="22"/>
          <w:highlight w:val="none"/>
        </w:rPr>
        <w:t>四、响应文件提交</w:t>
      </w:r>
      <w:bookmarkEnd w:id="18"/>
      <w:bookmarkEnd w:id="19"/>
      <w:bookmarkEnd w:id="20"/>
      <w:bookmarkEnd w:id="21"/>
    </w:p>
    <w:p w14:paraId="583BFE9F">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截止时间：202</w:t>
      </w:r>
      <w:r>
        <w:rPr>
          <w:rFonts w:hint="eastAsia" w:eastAsia="宋体"/>
          <w:color w:val="auto"/>
          <w:sz w:val="24"/>
          <w:szCs w:val="22"/>
          <w:highlight w:val="none"/>
          <w:lang w:val="en-US" w:eastAsia="zh-CN"/>
        </w:rPr>
        <w:t>6</w:t>
      </w:r>
      <w:r>
        <w:rPr>
          <w:rFonts w:eastAsia="宋体"/>
          <w:color w:val="auto"/>
          <w:sz w:val="24"/>
          <w:szCs w:val="22"/>
          <w:highlight w:val="none"/>
        </w:rPr>
        <w:t>年</w:t>
      </w:r>
      <w:r>
        <w:rPr>
          <w:rFonts w:hint="eastAsia" w:eastAsia="宋体"/>
          <w:color w:val="auto"/>
          <w:sz w:val="24"/>
          <w:szCs w:val="22"/>
          <w:highlight w:val="none"/>
          <w:lang w:val="en-US" w:eastAsia="zh-CN"/>
        </w:rPr>
        <w:t>10</w:t>
      </w:r>
      <w:r>
        <w:rPr>
          <w:rFonts w:hint="eastAsia" w:eastAsia="宋体"/>
          <w:color w:val="auto"/>
          <w:sz w:val="24"/>
          <w:szCs w:val="22"/>
          <w:highlight w:val="none"/>
        </w:rPr>
        <w:t>月</w:t>
      </w:r>
      <w:r>
        <w:rPr>
          <w:rFonts w:hint="eastAsia" w:eastAsia="宋体"/>
          <w:color w:val="auto"/>
          <w:sz w:val="24"/>
          <w:szCs w:val="22"/>
          <w:highlight w:val="none"/>
          <w:lang w:val="en-US" w:eastAsia="zh-CN"/>
        </w:rPr>
        <w:t>8</w:t>
      </w:r>
      <w:r>
        <w:rPr>
          <w:rFonts w:hint="eastAsia" w:eastAsia="宋体"/>
          <w:color w:val="auto"/>
          <w:sz w:val="24"/>
          <w:szCs w:val="22"/>
          <w:highlight w:val="none"/>
        </w:rPr>
        <w:t>日10点00</w:t>
      </w:r>
      <w:r>
        <w:rPr>
          <w:rFonts w:eastAsia="宋体"/>
          <w:color w:val="auto"/>
          <w:sz w:val="24"/>
          <w:szCs w:val="22"/>
          <w:highlight w:val="none"/>
        </w:rPr>
        <w:t>分（北京时间）</w:t>
      </w:r>
    </w:p>
    <w:p w14:paraId="1636DE59">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地点：</w:t>
      </w:r>
      <w:r>
        <w:rPr>
          <w:rFonts w:hint="eastAsia" w:eastAsia="宋体"/>
          <w:color w:val="auto"/>
          <w:sz w:val="24"/>
          <w:szCs w:val="22"/>
          <w:highlight w:val="none"/>
        </w:rPr>
        <w:t>江苏省政府采购管理交易系统（苏采云）</w:t>
      </w:r>
    </w:p>
    <w:p w14:paraId="33353877">
      <w:pPr>
        <w:spacing w:line="400" w:lineRule="exact"/>
        <w:jc w:val="left"/>
        <w:outlineLvl w:val="1"/>
        <w:rPr>
          <w:rFonts w:eastAsia="宋体"/>
          <w:b/>
          <w:bCs/>
          <w:color w:val="auto"/>
          <w:sz w:val="24"/>
          <w:szCs w:val="22"/>
          <w:highlight w:val="none"/>
        </w:rPr>
      </w:pPr>
      <w:bookmarkStart w:id="22" w:name="_Toc28359016"/>
      <w:bookmarkStart w:id="23" w:name="_Toc35393802"/>
      <w:bookmarkStart w:id="24" w:name="_Toc35393633"/>
      <w:bookmarkStart w:id="25" w:name="_Toc28359093"/>
      <w:r>
        <w:rPr>
          <w:rFonts w:eastAsia="宋体"/>
          <w:b/>
          <w:bCs/>
          <w:color w:val="auto"/>
          <w:sz w:val="24"/>
          <w:szCs w:val="22"/>
          <w:highlight w:val="none"/>
        </w:rPr>
        <w:t>五、开启</w:t>
      </w:r>
      <w:bookmarkEnd w:id="22"/>
      <w:bookmarkEnd w:id="23"/>
      <w:bookmarkEnd w:id="24"/>
      <w:bookmarkEnd w:id="25"/>
      <w:r>
        <w:rPr>
          <w:rFonts w:eastAsia="宋体"/>
          <w:b/>
          <w:bCs/>
          <w:color w:val="auto"/>
          <w:sz w:val="24"/>
          <w:szCs w:val="22"/>
          <w:highlight w:val="none"/>
        </w:rPr>
        <w:t xml:space="preserve"> </w:t>
      </w:r>
    </w:p>
    <w:p w14:paraId="6CD8C5CA">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时间：202</w:t>
      </w:r>
      <w:r>
        <w:rPr>
          <w:rFonts w:hint="eastAsia" w:eastAsia="宋体"/>
          <w:color w:val="auto"/>
          <w:sz w:val="24"/>
          <w:szCs w:val="22"/>
          <w:highlight w:val="none"/>
          <w:lang w:val="en-US" w:eastAsia="zh-CN"/>
        </w:rPr>
        <w:t>6</w:t>
      </w:r>
      <w:r>
        <w:rPr>
          <w:rFonts w:eastAsia="宋体"/>
          <w:color w:val="auto"/>
          <w:sz w:val="24"/>
          <w:szCs w:val="22"/>
          <w:highlight w:val="none"/>
        </w:rPr>
        <w:t>年</w:t>
      </w:r>
      <w:r>
        <w:rPr>
          <w:rFonts w:hint="eastAsia" w:eastAsia="宋体"/>
          <w:color w:val="auto"/>
          <w:sz w:val="24"/>
          <w:szCs w:val="22"/>
          <w:highlight w:val="none"/>
          <w:lang w:val="en-US" w:eastAsia="zh-CN"/>
        </w:rPr>
        <w:t>10</w:t>
      </w:r>
      <w:r>
        <w:rPr>
          <w:rFonts w:hint="eastAsia" w:eastAsia="宋体"/>
          <w:color w:val="auto"/>
          <w:sz w:val="24"/>
          <w:szCs w:val="22"/>
          <w:highlight w:val="none"/>
        </w:rPr>
        <w:t>月</w:t>
      </w:r>
      <w:r>
        <w:rPr>
          <w:rFonts w:hint="eastAsia" w:eastAsia="宋体"/>
          <w:color w:val="auto"/>
          <w:sz w:val="24"/>
          <w:szCs w:val="22"/>
          <w:highlight w:val="none"/>
          <w:lang w:val="en-US" w:eastAsia="zh-CN"/>
        </w:rPr>
        <w:t>8</w:t>
      </w:r>
      <w:r>
        <w:rPr>
          <w:rFonts w:hint="eastAsia" w:eastAsia="宋体"/>
          <w:color w:val="auto"/>
          <w:sz w:val="24"/>
          <w:szCs w:val="22"/>
          <w:highlight w:val="none"/>
        </w:rPr>
        <w:t>日10点00</w:t>
      </w:r>
      <w:r>
        <w:rPr>
          <w:rFonts w:eastAsia="宋体"/>
          <w:color w:val="auto"/>
          <w:sz w:val="24"/>
          <w:szCs w:val="22"/>
          <w:highlight w:val="none"/>
        </w:rPr>
        <w:t>分（北京时间）</w:t>
      </w:r>
    </w:p>
    <w:p w14:paraId="1A1CF09B">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地点：</w:t>
      </w:r>
      <w:r>
        <w:rPr>
          <w:rFonts w:hint="eastAsia" w:eastAsia="宋体"/>
          <w:color w:val="auto"/>
          <w:sz w:val="24"/>
          <w:szCs w:val="22"/>
          <w:highlight w:val="none"/>
        </w:rPr>
        <w:t>“苏采云”网上开标大厅</w:t>
      </w:r>
    </w:p>
    <w:p w14:paraId="5343766B">
      <w:pPr>
        <w:spacing w:line="400" w:lineRule="exact"/>
        <w:jc w:val="left"/>
        <w:outlineLvl w:val="1"/>
        <w:rPr>
          <w:rFonts w:eastAsia="宋体"/>
          <w:b/>
          <w:bCs/>
          <w:color w:val="auto"/>
          <w:sz w:val="24"/>
          <w:szCs w:val="22"/>
          <w:highlight w:val="none"/>
        </w:rPr>
      </w:pPr>
      <w:bookmarkStart w:id="26" w:name="_Toc28359017"/>
      <w:bookmarkStart w:id="27" w:name="_Toc35393634"/>
      <w:bookmarkStart w:id="28" w:name="_Toc28359094"/>
      <w:bookmarkStart w:id="29" w:name="_Toc35393803"/>
      <w:r>
        <w:rPr>
          <w:rFonts w:eastAsia="宋体"/>
          <w:b/>
          <w:bCs/>
          <w:color w:val="auto"/>
          <w:sz w:val="24"/>
          <w:szCs w:val="22"/>
          <w:highlight w:val="none"/>
        </w:rPr>
        <w:t>六、公告期限</w:t>
      </w:r>
      <w:bookmarkEnd w:id="26"/>
      <w:bookmarkEnd w:id="27"/>
      <w:bookmarkEnd w:id="28"/>
      <w:bookmarkEnd w:id="29"/>
    </w:p>
    <w:p w14:paraId="1CE2F99B">
      <w:pPr>
        <w:spacing w:line="400" w:lineRule="exact"/>
        <w:ind w:firstLine="480" w:firstLineChars="200"/>
        <w:jc w:val="left"/>
        <w:rPr>
          <w:rFonts w:eastAsia="宋体"/>
          <w:color w:val="auto"/>
          <w:sz w:val="24"/>
          <w:szCs w:val="22"/>
          <w:highlight w:val="none"/>
        </w:rPr>
      </w:pPr>
      <w:bookmarkStart w:id="30" w:name="_Toc35393804"/>
      <w:bookmarkStart w:id="31" w:name="_Toc35393635"/>
      <w:r>
        <w:rPr>
          <w:rFonts w:eastAsia="宋体"/>
          <w:color w:val="auto"/>
          <w:sz w:val="24"/>
          <w:szCs w:val="22"/>
          <w:highlight w:val="none"/>
        </w:rPr>
        <w:t>本公告公示期限为</w:t>
      </w:r>
      <w:r>
        <w:rPr>
          <w:rFonts w:hint="eastAsia" w:eastAsia="宋体"/>
          <w:color w:val="auto"/>
          <w:sz w:val="24"/>
          <w:szCs w:val="22"/>
          <w:highlight w:val="none"/>
        </w:rPr>
        <w:t>3</w:t>
      </w:r>
      <w:r>
        <w:rPr>
          <w:rFonts w:eastAsia="宋体"/>
          <w:color w:val="auto"/>
          <w:sz w:val="24"/>
          <w:szCs w:val="22"/>
          <w:highlight w:val="none"/>
        </w:rPr>
        <w:t>个工作日。</w:t>
      </w:r>
    </w:p>
    <w:p w14:paraId="1EB9D3C9">
      <w:pPr>
        <w:spacing w:line="400" w:lineRule="exact"/>
        <w:jc w:val="left"/>
        <w:outlineLvl w:val="1"/>
        <w:rPr>
          <w:rFonts w:eastAsia="宋体"/>
          <w:b/>
          <w:bCs/>
          <w:color w:val="auto"/>
          <w:sz w:val="24"/>
          <w:szCs w:val="22"/>
          <w:highlight w:val="none"/>
        </w:rPr>
      </w:pPr>
      <w:r>
        <w:rPr>
          <w:rFonts w:eastAsia="宋体"/>
          <w:b/>
          <w:bCs/>
          <w:color w:val="auto"/>
          <w:sz w:val="24"/>
          <w:szCs w:val="22"/>
          <w:highlight w:val="none"/>
        </w:rPr>
        <w:t>七、其他补充事宜</w:t>
      </w:r>
      <w:bookmarkEnd w:id="30"/>
      <w:bookmarkEnd w:id="31"/>
    </w:p>
    <w:p w14:paraId="294E0844">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1.本磋商文件对采购服务或产品的性能和技术要求，均为基本需求参考值，响应的服务或产品技术性能应达到同等或更优。</w:t>
      </w:r>
    </w:p>
    <w:p w14:paraId="6B1F647E">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2.采购合同签订前，采购人将组织对成交人的响应文件资料原件、履约能力、服务水平、经营状况等情况进行核查或实地查看。</w:t>
      </w:r>
    </w:p>
    <w:p w14:paraId="1A7D74E0">
      <w:pPr>
        <w:spacing w:line="400" w:lineRule="exact"/>
        <w:ind w:firstLine="480" w:firstLineChars="200"/>
        <w:jc w:val="left"/>
        <w:rPr>
          <w:rFonts w:hint="eastAsia" w:eastAsia="宋体"/>
          <w:strike w:val="0"/>
          <w:dstrike w:val="0"/>
          <w:color w:val="auto"/>
          <w:sz w:val="24"/>
          <w:szCs w:val="22"/>
          <w:highlight w:val="none"/>
        </w:rPr>
      </w:pPr>
      <w:r>
        <w:rPr>
          <w:rFonts w:eastAsia="宋体"/>
          <w:strike w:val="0"/>
          <w:dstrike w:val="0"/>
          <w:color w:val="auto"/>
          <w:sz w:val="24"/>
          <w:szCs w:val="22"/>
          <w:highlight w:val="none"/>
        </w:rPr>
        <w:t>3.</w:t>
      </w:r>
      <w:r>
        <w:rPr>
          <w:rFonts w:hint="eastAsia" w:eastAsia="宋体"/>
          <w:strike w:val="0"/>
          <w:dstrike w:val="0"/>
          <w:color w:val="auto"/>
          <w:sz w:val="24"/>
          <w:szCs w:val="22"/>
          <w:highlight w:val="none"/>
        </w:rPr>
        <w:t>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操作手册下载地址：http://www.ccgp-jiangsu.gov.cn/jiangsu/zlxz/ee/ee3a4bc5a3454aa2b0d9312230633ce9.html</w:t>
      </w:r>
    </w:p>
    <w:p w14:paraId="2EE60969">
      <w:pPr>
        <w:spacing w:line="400" w:lineRule="exact"/>
        <w:ind w:firstLine="480" w:firstLineChars="200"/>
        <w:jc w:val="left"/>
        <w:rPr>
          <w:rFonts w:eastAsia="宋体"/>
          <w:strike w:val="0"/>
          <w:dstrike w:val="0"/>
          <w:color w:val="auto"/>
          <w:sz w:val="24"/>
          <w:szCs w:val="22"/>
          <w:highlight w:val="none"/>
        </w:rPr>
      </w:pPr>
      <w:r>
        <w:rPr>
          <w:rFonts w:hint="eastAsia" w:eastAsia="宋体"/>
          <w:strike w:val="0"/>
          <w:dstrike w:val="0"/>
          <w:color w:val="auto"/>
          <w:sz w:val="24"/>
          <w:szCs w:val="22"/>
          <w:highlight w:val="none"/>
        </w:rPr>
        <w:tab/>
      </w:r>
      <w:r>
        <w:rPr>
          <w:rFonts w:hint="eastAsia" w:eastAsia="宋体"/>
          <w:strike w:val="0"/>
          <w:dstrike w:val="0"/>
          <w:color w:val="auto"/>
          <w:sz w:val="24"/>
          <w:szCs w:val="22"/>
          <w:highlight w:val="none"/>
        </w:rPr>
        <w:t>首次登录“苏采云”系统的新用户，登录网址后，点击“用户注册”--“新CA办理指南”--获取CA后绑定、登录系统--采购项目参与--下载采购文件（文件后缀名为“.kedt”）。“苏采云”南京地区客服热线025-83633744、025-83633743。</w:t>
      </w:r>
    </w:p>
    <w:p w14:paraId="4AFEE3A8">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4.以上内容若有变更将通过原公告媒体发布，供应商应在磋商响应截止时间前关注</w:t>
      </w:r>
      <w:r>
        <w:rPr>
          <w:rFonts w:hint="eastAsia" w:eastAsia="宋体"/>
          <w:b/>
          <w:bCs/>
          <w:color w:val="auto"/>
          <w:sz w:val="24"/>
          <w:szCs w:val="22"/>
          <w:highlight w:val="none"/>
          <w:u w:val="single"/>
          <w:lang w:val="en-US" w:eastAsia="zh-CN"/>
        </w:rPr>
        <w:t>江苏政府采购网</w:t>
      </w:r>
      <w:r>
        <w:rPr>
          <w:rFonts w:eastAsia="宋体"/>
          <w:color w:val="auto"/>
          <w:sz w:val="24"/>
          <w:szCs w:val="22"/>
          <w:highlight w:val="none"/>
        </w:rPr>
        <w:t>等有关本采购项目有无变更公告。</w:t>
      </w:r>
    </w:p>
    <w:p w14:paraId="46A4CD74">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5.本次磋商不收取磋商保证金。</w:t>
      </w:r>
    </w:p>
    <w:p w14:paraId="03DB2AD2">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收款人：江苏省鸿源招标代理股份有限公司</w:t>
      </w:r>
    </w:p>
    <w:p w14:paraId="6A644873">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收款账号：32001595036052517328</w:t>
      </w:r>
    </w:p>
    <w:p w14:paraId="2669F348">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开户行：中国建设银行南京城南支行</w:t>
      </w:r>
    </w:p>
    <w:p w14:paraId="477C9ED8">
      <w:pPr>
        <w:spacing w:line="400" w:lineRule="exact"/>
        <w:jc w:val="left"/>
        <w:outlineLvl w:val="1"/>
        <w:rPr>
          <w:rFonts w:eastAsia="宋体"/>
          <w:b/>
          <w:bCs/>
          <w:color w:val="auto"/>
          <w:sz w:val="24"/>
          <w:szCs w:val="22"/>
          <w:highlight w:val="none"/>
        </w:rPr>
      </w:pPr>
      <w:bookmarkStart w:id="32" w:name="_Toc35393636"/>
      <w:bookmarkStart w:id="33" w:name="_Toc28359018"/>
      <w:bookmarkStart w:id="34" w:name="_Toc35393805"/>
      <w:bookmarkStart w:id="35" w:name="_Toc28359095"/>
      <w:r>
        <w:rPr>
          <w:rFonts w:eastAsia="宋体"/>
          <w:b/>
          <w:bCs/>
          <w:color w:val="auto"/>
          <w:sz w:val="24"/>
          <w:szCs w:val="22"/>
          <w:highlight w:val="none"/>
        </w:rPr>
        <w:t>八、凡对本次采购提出询问，请按以下方式联系</w:t>
      </w:r>
      <w:bookmarkEnd w:id="32"/>
      <w:bookmarkEnd w:id="33"/>
      <w:bookmarkEnd w:id="34"/>
      <w:bookmarkEnd w:id="35"/>
    </w:p>
    <w:bookmarkEnd w:id="5"/>
    <w:p w14:paraId="6CA9FD80">
      <w:pPr>
        <w:spacing w:line="400" w:lineRule="exact"/>
        <w:ind w:firstLine="480" w:firstLineChars="200"/>
        <w:jc w:val="left"/>
        <w:rPr>
          <w:rFonts w:hint="eastAsia" w:eastAsia="宋体"/>
          <w:color w:val="auto"/>
          <w:sz w:val="24"/>
          <w:szCs w:val="22"/>
          <w:highlight w:val="none"/>
          <w:lang w:eastAsia="zh-CN"/>
        </w:rPr>
      </w:pPr>
      <w:r>
        <w:rPr>
          <w:rFonts w:eastAsia="宋体"/>
          <w:color w:val="auto"/>
          <w:sz w:val="24"/>
          <w:szCs w:val="22"/>
          <w:highlight w:val="none"/>
        </w:rPr>
        <w:t>采购人：</w:t>
      </w:r>
      <w:r>
        <w:rPr>
          <w:rFonts w:hint="eastAsia" w:eastAsia="宋体"/>
          <w:color w:val="auto"/>
          <w:sz w:val="24"/>
          <w:szCs w:val="22"/>
          <w:highlight w:val="none"/>
          <w:lang w:eastAsia="zh-CN"/>
        </w:rPr>
        <w:t>江苏省江都水利工程管理处</w:t>
      </w:r>
    </w:p>
    <w:p w14:paraId="700DB5B1">
      <w:pPr>
        <w:spacing w:line="400" w:lineRule="exact"/>
        <w:ind w:firstLine="480" w:firstLineChars="200"/>
        <w:jc w:val="left"/>
        <w:rPr>
          <w:rFonts w:hint="eastAsia" w:eastAsia="宋体"/>
          <w:color w:val="auto"/>
          <w:sz w:val="24"/>
          <w:szCs w:val="22"/>
          <w:highlight w:val="none"/>
        </w:rPr>
      </w:pPr>
      <w:r>
        <w:rPr>
          <w:rFonts w:hint="eastAsia" w:eastAsia="宋体"/>
          <w:color w:val="auto"/>
          <w:sz w:val="24"/>
          <w:szCs w:val="22"/>
          <w:highlight w:val="none"/>
        </w:rPr>
        <w:t>地  址：江苏省扬州市江都区龙城路133号</w:t>
      </w:r>
    </w:p>
    <w:p w14:paraId="0BCF1D53">
      <w:pPr>
        <w:spacing w:line="400" w:lineRule="exact"/>
        <w:ind w:firstLine="480" w:firstLineChars="200"/>
        <w:jc w:val="left"/>
        <w:rPr>
          <w:rFonts w:hint="eastAsia" w:eastAsia="宋体"/>
          <w:color w:val="auto"/>
          <w:sz w:val="24"/>
          <w:szCs w:val="22"/>
          <w:highlight w:val="none"/>
        </w:rPr>
      </w:pPr>
      <w:r>
        <w:rPr>
          <w:rFonts w:hint="eastAsia" w:eastAsia="宋体"/>
          <w:color w:val="auto"/>
          <w:sz w:val="24"/>
          <w:szCs w:val="22"/>
          <w:highlight w:val="none"/>
        </w:rPr>
        <w:t>联系人：缪树杰</w:t>
      </w:r>
    </w:p>
    <w:p w14:paraId="53DB1712">
      <w:pPr>
        <w:spacing w:line="400" w:lineRule="exact"/>
        <w:ind w:firstLine="480" w:firstLineChars="200"/>
        <w:jc w:val="left"/>
        <w:rPr>
          <w:rFonts w:hint="eastAsia" w:eastAsia="宋体"/>
          <w:color w:val="auto"/>
          <w:sz w:val="24"/>
          <w:szCs w:val="22"/>
          <w:highlight w:val="none"/>
        </w:rPr>
      </w:pPr>
      <w:r>
        <w:rPr>
          <w:rFonts w:hint="eastAsia" w:eastAsia="宋体"/>
          <w:color w:val="auto"/>
          <w:sz w:val="24"/>
          <w:szCs w:val="22"/>
          <w:highlight w:val="none"/>
        </w:rPr>
        <w:t>联系电话：15161402702</w:t>
      </w:r>
    </w:p>
    <w:p w14:paraId="24A0D9D0">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采购代理机构：江苏省鸿源招标代理股份有限公司</w:t>
      </w:r>
    </w:p>
    <w:p w14:paraId="75D648C5">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地 址：江苏省南京市建邺区嘉陵江东街18号1幢6楼</w:t>
      </w:r>
    </w:p>
    <w:p w14:paraId="1C8CF912">
      <w:pPr>
        <w:spacing w:line="400" w:lineRule="exact"/>
        <w:ind w:firstLine="480" w:firstLineChars="200"/>
        <w:jc w:val="left"/>
        <w:rPr>
          <w:rFonts w:hint="eastAsia" w:eastAsia="宋体"/>
          <w:color w:val="auto"/>
          <w:sz w:val="24"/>
          <w:szCs w:val="22"/>
          <w:highlight w:val="none"/>
          <w:lang w:val="en-US" w:eastAsia="zh-CN"/>
        </w:rPr>
      </w:pPr>
      <w:r>
        <w:rPr>
          <w:rFonts w:eastAsia="宋体"/>
          <w:color w:val="auto"/>
          <w:sz w:val="24"/>
          <w:szCs w:val="22"/>
          <w:highlight w:val="none"/>
        </w:rPr>
        <w:t>联系人：</w:t>
      </w:r>
      <w:r>
        <w:rPr>
          <w:rFonts w:hint="eastAsia" w:eastAsia="宋体"/>
          <w:color w:val="auto"/>
          <w:sz w:val="24"/>
          <w:szCs w:val="22"/>
          <w:highlight w:val="none"/>
          <w:lang w:val="en-US" w:eastAsia="zh-CN"/>
        </w:rPr>
        <w:t>陈博</w:t>
      </w:r>
    </w:p>
    <w:p w14:paraId="5FD27F96">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联系电话：</w:t>
      </w:r>
      <w:r>
        <w:rPr>
          <w:rFonts w:hint="eastAsia" w:eastAsia="宋体"/>
          <w:color w:val="auto"/>
          <w:sz w:val="24"/>
          <w:szCs w:val="22"/>
          <w:highlight w:val="none"/>
        </w:rPr>
        <w:t>025-86338294</w:t>
      </w:r>
    </w:p>
    <w:p w14:paraId="1A98E302">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邮 编：210019</w:t>
      </w:r>
      <w:r>
        <w:rPr>
          <w:rFonts w:eastAsia="宋体"/>
          <w:color w:val="auto"/>
          <w:sz w:val="24"/>
          <w:szCs w:val="22"/>
          <w:highlight w:val="none"/>
        </w:rPr>
        <w:tab/>
      </w:r>
    </w:p>
    <w:p w14:paraId="367A3079">
      <w:pPr>
        <w:pStyle w:val="2"/>
        <w:keepNext/>
        <w:keepLines/>
        <w:pageBreakBefore w:val="0"/>
        <w:widowControl w:val="0"/>
        <w:kinsoku/>
        <w:wordWrap/>
        <w:overflowPunct/>
        <w:topLinePunct w:val="0"/>
        <w:autoSpaceDE/>
        <w:autoSpaceDN/>
        <w:bidi w:val="0"/>
        <w:adjustRightInd/>
        <w:snapToGrid/>
        <w:spacing w:line="240" w:lineRule="exact"/>
        <w:jc w:val="center"/>
        <w:textAlignment w:val="auto"/>
        <w:rPr>
          <w:color w:val="auto"/>
          <w:highlight w:val="none"/>
        </w:rPr>
      </w:pPr>
      <w:r>
        <w:rPr>
          <w:color w:val="auto"/>
          <w:highlight w:val="none"/>
        </w:rPr>
        <w:br w:type="page"/>
      </w:r>
    </w:p>
    <w:p w14:paraId="10A51EC7">
      <w:pPr>
        <w:pStyle w:val="2"/>
        <w:keepNext/>
        <w:keepLines/>
        <w:pageBreakBefore w:val="0"/>
        <w:widowControl w:val="0"/>
        <w:kinsoku/>
        <w:wordWrap/>
        <w:overflowPunct/>
        <w:topLinePunct w:val="0"/>
        <w:autoSpaceDE/>
        <w:autoSpaceDN/>
        <w:bidi w:val="0"/>
        <w:adjustRightInd/>
        <w:snapToGrid/>
        <w:spacing w:line="480" w:lineRule="auto"/>
        <w:jc w:val="center"/>
        <w:textAlignment w:val="auto"/>
        <w:rPr>
          <w:rFonts w:eastAsia="楷体"/>
          <w:color w:val="auto"/>
          <w:highlight w:val="none"/>
        </w:rPr>
      </w:pPr>
      <w:bookmarkStart w:id="36" w:name="_Toc11266"/>
      <w:r>
        <w:rPr>
          <w:rFonts w:eastAsia="楷体"/>
          <w:color w:val="auto"/>
          <w:highlight w:val="none"/>
        </w:rPr>
        <w:t>第二章  供应商须知</w:t>
      </w:r>
      <w:bookmarkEnd w:id="3"/>
      <w:bookmarkEnd w:id="36"/>
    </w:p>
    <w:p w14:paraId="239655F7">
      <w:pPr>
        <w:snapToGrid w:val="0"/>
        <w:spacing w:line="360" w:lineRule="auto"/>
        <w:ind w:firstLine="482" w:firstLineChars="200"/>
        <w:outlineLvl w:val="1"/>
        <w:rPr>
          <w:rFonts w:eastAsia="宋体"/>
          <w:b/>
          <w:color w:val="auto"/>
          <w:sz w:val="24"/>
          <w:highlight w:val="none"/>
        </w:rPr>
      </w:pPr>
      <w:bookmarkStart w:id="37" w:name="_Toc401573821"/>
      <w:r>
        <w:rPr>
          <w:rFonts w:eastAsia="宋体"/>
          <w:b/>
          <w:color w:val="auto"/>
          <w:sz w:val="24"/>
          <w:highlight w:val="none"/>
        </w:rPr>
        <w:t>一  总则</w:t>
      </w:r>
      <w:bookmarkEnd w:id="37"/>
    </w:p>
    <w:p w14:paraId="5B1F9174">
      <w:pPr>
        <w:snapToGrid w:val="0"/>
        <w:spacing w:line="360" w:lineRule="auto"/>
        <w:ind w:firstLine="480" w:firstLineChars="200"/>
        <w:rPr>
          <w:rFonts w:eastAsia="宋体"/>
          <w:color w:val="auto"/>
          <w:sz w:val="24"/>
          <w:highlight w:val="none"/>
        </w:rPr>
      </w:pPr>
      <w:bookmarkStart w:id="38" w:name="_Toc401573822"/>
      <w:r>
        <w:rPr>
          <w:rFonts w:eastAsia="宋体"/>
          <w:color w:val="auto"/>
          <w:sz w:val="24"/>
          <w:highlight w:val="none"/>
        </w:rPr>
        <w:t>1．适用范围</w:t>
      </w:r>
      <w:bookmarkEnd w:id="38"/>
    </w:p>
    <w:p w14:paraId="6602B56E">
      <w:pPr>
        <w:snapToGrid w:val="0"/>
        <w:spacing w:line="360" w:lineRule="auto"/>
        <w:ind w:firstLine="480" w:firstLineChars="200"/>
        <w:rPr>
          <w:rFonts w:eastAsia="宋体"/>
          <w:color w:val="auto"/>
          <w:sz w:val="24"/>
          <w:highlight w:val="none"/>
        </w:rPr>
      </w:pPr>
      <w:r>
        <w:rPr>
          <w:rFonts w:eastAsia="宋体"/>
          <w:color w:val="auto"/>
          <w:sz w:val="24"/>
          <w:highlight w:val="none"/>
        </w:rPr>
        <w:t>1.1 本磋商文件仅适用于江苏省鸿源招标代理股份有限公司组织的竞争性磋商采购活动。</w:t>
      </w:r>
    </w:p>
    <w:p w14:paraId="18B71A97">
      <w:pPr>
        <w:snapToGrid w:val="0"/>
        <w:spacing w:line="360" w:lineRule="auto"/>
        <w:ind w:firstLine="480" w:firstLineChars="200"/>
        <w:rPr>
          <w:rFonts w:eastAsia="宋体"/>
          <w:color w:val="auto"/>
          <w:sz w:val="24"/>
          <w:highlight w:val="none"/>
        </w:rPr>
      </w:pPr>
      <w:bookmarkStart w:id="39" w:name="_Toc401573823"/>
      <w:r>
        <w:rPr>
          <w:rFonts w:eastAsia="宋体"/>
          <w:color w:val="auto"/>
          <w:sz w:val="24"/>
          <w:highlight w:val="none"/>
        </w:rPr>
        <w:t>2．合格的供应商</w:t>
      </w:r>
      <w:bookmarkEnd w:id="39"/>
    </w:p>
    <w:p w14:paraId="2962547C">
      <w:pPr>
        <w:snapToGrid w:val="0"/>
        <w:spacing w:line="360" w:lineRule="auto"/>
        <w:ind w:firstLine="480" w:firstLineChars="200"/>
        <w:rPr>
          <w:rFonts w:eastAsia="宋体"/>
          <w:color w:val="auto"/>
          <w:sz w:val="24"/>
          <w:highlight w:val="none"/>
        </w:rPr>
      </w:pPr>
      <w:r>
        <w:rPr>
          <w:rFonts w:eastAsia="宋体"/>
          <w:color w:val="auto"/>
          <w:sz w:val="24"/>
          <w:highlight w:val="none"/>
        </w:rPr>
        <w:t>2.1 具有本项目服务供应或实施能力，符合、承认并承诺履行本文件各项规定的国内法人均可参加竞争性磋商。</w:t>
      </w:r>
    </w:p>
    <w:p w14:paraId="04B78BCE">
      <w:pPr>
        <w:snapToGrid w:val="0"/>
        <w:spacing w:line="360" w:lineRule="auto"/>
        <w:ind w:firstLine="480" w:firstLineChars="200"/>
        <w:rPr>
          <w:rFonts w:eastAsia="宋体"/>
          <w:color w:val="auto"/>
          <w:sz w:val="24"/>
          <w:highlight w:val="none"/>
        </w:rPr>
      </w:pPr>
      <w:r>
        <w:rPr>
          <w:rFonts w:eastAsia="宋体"/>
          <w:color w:val="auto"/>
          <w:sz w:val="24"/>
          <w:highlight w:val="none"/>
        </w:rPr>
        <w:t>2.2 供应商参加本次采购活动应当符合《中华人民共和国政府采购法》第二十二条的规定并具备磋商文件规定的条件。</w:t>
      </w:r>
    </w:p>
    <w:p w14:paraId="43ACBDD0">
      <w:pPr>
        <w:snapToGrid w:val="0"/>
        <w:spacing w:line="360" w:lineRule="auto"/>
        <w:ind w:firstLine="480" w:firstLineChars="200"/>
        <w:rPr>
          <w:rFonts w:eastAsia="宋体"/>
          <w:color w:val="auto"/>
          <w:sz w:val="24"/>
          <w:highlight w:val="none"/>
        </w:rPr>
      </w:pPr>
      <w:r>
        <w:rPr>
          <w:rFonts w:eastAsia="宋体"/>
          <w:color w:val="auto"/>
          <w:sz w:val="24"/>
          <w:highlight w:val="none"/>
        </w:rPr>
        <w:t>2.3 供应商应遵守《中华人民共和国民法典》《中华人民共和国政府采购法》《中华人民共和国政府采购法实施条例》等有关法律法规，如有违反，将视为不合格供应商，其响应文件无效。</w:t>
      </w:r>
    </w:p>
    <w:p w14:paraId="3BAAEA06">
      <w:pPr>
        <w:snapToGrid w:val="0"/>
        <w:spacing w:line="360" w:lineRule="auto"/>
        <w:ind w:firstLine="480" w:firstLineChars="200"/>
        <w:rPr>
          <w:rFonts w:eastAsia="宋体"/>
          <w:color w:val="auto"/>
          <w:sz w:val="24"/>
          <w:highlight w:val="none"/>
        </w:rPr>
      </w:pPr>
      <w:bookmarkStart w:id="40" w:name="_Toc401573824"/>
      <w:r>
        <w:rPr>
          <w:rFonts w:eastAsia="宋体"/>
          <w:color w:val="auto"/>
          <w:sz w:val="24"/>
          <w:highlight w:val="none"/>
        </w:rPr>
        <w:t>3．磋商费用</w:t>
      </w:r>
      <w:bookmarkEnd w:id="40"/>
    </w:p>
    <w:p w14:paraId="45C80389">
      <w:pPr>
        <w:snapToGrid w:val="0"/>
        <w:spacing w:line="360" w:lineRule="auto"/>
        <w:ind w:firstLine="480" w:firstLineChars="200"/>
        <w:rPr>
          <w:rFonts w:eastAsia="宋体"/>
          <w:color w:val="auto"/>
          <w:sz w:val="24"/>
          <w:highlight w:val="none"/>
        </w:rPr>
      </w:pPr>
      <w:r>
        <w:rPr>
          <w:rFonts w:eastAsia="宋体"/>
          <w:color w:val="auto"/>
          <w:sz w:val="24"/>
          <w:highlight w:val="none"/>
        </w:rPr>
        <w:t>3.1 无论竞争性磋商过程中的做法和结果如何，参加磋商的供应商自行承担所有与参加竞争性磋商有关的全部费用。</w:t>
      </w:r>
    </w:p>
    <w:p w14:paraId="356AEFB0">
      <w:pPr>
        <w:snapToGrid w:val="0"/>
        <w:spacing w:line="360" w:lineRule="auto"/>
        <w:ind w:firstLine="480" w:firstLineChars="200"/>
        <w:rPr>
          <w:rFonts w:eastAsia="宋体"/>
          <w:color w:val="auto"/>
          <w:sz w:val="24"/>
          <w:szCs w:val="22"/>
          <w:highlight w:val="none"/>
        </w:rPr>
      </w:pPr>
      <w:bookmarkStart w:id="41" w:name="_Toc401573825"/>
      <w:r>
        <w:rPr>
          <w:rFonts w:eastAsia="宋体"/>
          <w:color w:val="auto"/>
          <w:sz w:val="24"/>
          <w:highlight w:val="none"/>
        </w:rPr>
        <w:t>3.2</w:t>
      </w:r>
      <w:r>
        <w:rPr>
          <w:rFonts w:eastAsia="宋体"/>
          <w:color w:val="auto"/>
          <w:sz w:val="24"/>
          <w:szCs w:val="22"/>
          <w:highlight w:val="none"/>
        </w:rPr>
        <w:t>采购代理服务费：</w:t>
      </w:r>
    </w:p>
    <w:p w14:paraId="26E38595">
      <w:pPr>
        <w:snapToGrid w:val="0"/>
        <w:spacing w:line="360" w:lineRule="auto"/>
        <w:ind w:firstLine="480" w:firstLineChars="200"/>
        <w:rPr>
          <w:rFonts w:eastAsia="宋体"/>
          <w:color w:val="auto"/>
          <w:sz w:val="24"/>
          <w:szCs w:val="22"/>
          <w:highlight w:val="none"/>
        </w:rPr>
      </w:pPr>
      <w:r>
        <w:rPr>
          <w:rFonts w:eastAsia="宋体"/>
          <w:color w:val="auto"/>
          <w:sz w:val="24"/>
          <w:szCs w:val="22"/>
          <w:highlight w:val="none"/>
        </w:rPr>
        <w:t>费用金额，</w:t>
      </w:r>
      <w:r>
        <w:rPr>
          <w:rFonts w:eastAsia="宋体"/>
          <w:color w:val="auto"/>
          <w:sz w:val="24"/>
          <w:szCs w:val="22"/>
          <w:highlight w:val="none"/>
          <w:u w:val="single"/>
        </w:rPr>
        <w:t>按如下表格以差额定率累进法计算基数</w:t>
      </w:r>
      <w:r>
        <w:rPr>
          <w:rFonts w:hint="eastAsia" w:eastAsia="宋体"/>
          <w:color w:val="auto"/>
          <w:sz w:val="24"/>
          <w:szCs w:val="22"/>
          <w:highlight w:val="none"/>
          <w:u w:val="single"/>
        </w:rPr>
        <w:t>*80%</w:t>
      </w:r>
      <w:r>
        <w:rPr>
          <w:rFonts w:eastAsia="宋体"/>
          <w:color w:val="auto"/>
          <w:sz w:val="24"/>
          <w:szCs w:val="22"/>
          <w:highlight w:val="none"/>
          <w:u w:val="single"/>
        </w:rPr>
        <w:t>计取。</w:t>
      </w:r>
    </w:p>
    <w:p w14:paraId="6E3526B8">
      <w:pPr>
        <w:snapToGrid w:val="0"/>
        <w:spacing w:line="360" w:lineRule="auto"/>
        <w:ind w:firstLine="480" w:firstLineChars="200"/>
        <w:jc w:val="center"/>
        <w:rPr>
          <w:rFonts w:eastAsia="宋体"/>
          <w:color w:val="auto"/>
          <w:sz w:val="24"/>
          <w:szCs w:val="22"/>
          <w:highlight w:val="none"/>
        </w:rPr>
      </w:pPr>
      <w:r>
        <w:rPr>
          <w:rFonts w:eastAsia="宋体"/>
          <w:color w:val="auto"/>
          <w:sz w:val="24"/>
          <w:szCs w:val="22"/>
          <w:highlight w:val="none"/>
        </w:rPr>
        <w:t>综合费率计算方法</w:t>
      </w:r>
    </w:p>
    <w:tbl>
      <w:tblPr>
        <w:tblStyle w:val="27"/>
        <w:tblW w:w="7076" w:type="dxa"/>
        <w:jc w:val="center"/>
        <w:tblLayout w:type="autofit"/>
        <w:tblCellMar>
          <w:top w:w="0" w:type="dxa"/>
          <w:left w:w="108" w:type="dxa"/>
          <w:bottom w:w="0" w:type="dxa"/>
          <w:right w:w="108" w:type="dxa"/>
        </w:tblCellMar>
      </w:tblPr>
      <w:tblGrid>
        <w:gridCol w:w="4271"/>
        <w:gridCol w:w="2805"/>
      </w:tblGrid>
      <w:tr w14:paraId="1A8BC466">
        <w:tblPrEx>
          <w:tblCellMar>
            <w:top w:w="0" w:type="dxa"/>
            <w:left w:w="108" w:type="dxa"/>
            <w:bottom w:w="0" w:type="dxa"/>
            <w:right w:w="108" w:type="dxa"/>
          </w:tblCellMar>
        </w:tblPrEx>
        <w:trPr>
          <w:trHeight w:val="454" w:hRule="atLeast"/>
          <w:jc w:val="center"/>
        </w:trPr>
        <w:tc>
          <w:tcPr>
            <w:tcW w:w="4271" w:type="dxa"/>
            <w:tcBorders>
              <w:top w:val="single" w:color="000000" w:sz="8" w:space="0"/>
              <w:left w:val="single" w:color="000000" w:sz="8" w:space="0"/>
              <w:bottom w:val="single" w:color="000000" w:sz="8" w:space="0"/>
              <w:right w:val="single" w:color="000000" w:sz="8" w:space="0"/>
            </w:tcBorders>
            <w:noWrap w:val="0"/>
            <w:vAlign w:val="center"/>
          </w:tcPr>
          <w:p w14:paraId="424D172B">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中标金额</w:t>
            </w:r>
          </w:p>
        </w:tc>
        <w:tc>
          <w:tcPr>
            <w:tcW w:w="2805" w:type="dxa"/>
            <w:tcBorders>
              <w:top w:val="single" w:color="000000" w:sz="8" w:space="0"/>
              <w:left w:val="nil"/>
              <w:bottom w:val="single" w:color="000000" w:sz="8" w:space="0"/>
              <w:right w:val="single" w:color="000000" w:sz="8" w:space="0"/>
            </w:tcBorders>
            <w:noWrap w:val="0"/>
            <w:vAlign w:val="center"/>
          </w:tcPr>
          <w:p w14:paraId="4D8D952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工程招标</w:t>
            </w:r>
          </w:p>
        </w:tc>
      </w:tr>
      <w:tr w14:paraId="6501C1B1">
        <w:tblPrEx>
          <w:tblCellMar>
            <w:top w:w="0" w:type="dxa"/>
            <w:left w:w="108" w:type="dxa"/>
            <w:bottom w:w="0" w:type="dxa"/>
            <w:right w:w="108" w:type="dxa"/>
          </w:tblCellMar>
        </w:tblPrEx>
        <w:trPr>
          <w:trHeight w:val="454" w:hRule="atLeast"/>
          <w:jc w:val="center"/>
        </w:trPr>
        <w:tc>
          <w:tcPr>
            <w:tcW w:w="4271" w:type="dxa"/>
            <w:tcBorders>
              <w:top w:val="nil"/>
              <w:left w:val="single" w:color="000000" w:sz="8" w:space="0"/>
              <w:bottom w:val="single" w:color="000000" w:sz="8" w:space="0"/>
              <w:right w:val="single" w:color="000000" w:sz="8" w:space="0"/>
            </w:tcBorders>
            <w:noWrap w:val="0"/>
            <w:vAlign w:val="center"/>
          </w:tcPr>
          <w:p w14:paraId="4D7FD65A">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50万元以下（含50万元)</w:t>
            </w:r>
          </w:p>
        </w:tc>
        <w:tc>
          <w:tcPr>
            <w:tcW w:w="2805" w:type="dxa"/>
            <w:tcBorders>
              <w:top w:val="nil"/>
              <w:left w:val="nil"/>
              <w:bottom w:val="single" w:color="000000" w:sz="8" w:space="0"/>
              <w:right w:val="single" w:color="000000" w:sz="8" w:space="0"/>
            </w:tcBorders>
            <w:noWrap w:val="0"/>
            <w:vAlign w:val="center"/>
          </w:tcPr>
          <w:p w14:paraId="7E8A6627">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1万元</w:t>
            </w:r>
          </w:p>
        </w:tc>
      </w:tr>
      <w:tr w14:paraId="5B2B26B9">
        <w:tblPrEx>
          <w:tblCellMar>
            <w:top w:w="0" w:type="dxa"/>
            <w:left w:w="108" w:type="dxa"/>
            <w:bottom w:w="0" w:type="dxa"/>
            <w:right w:w="108" w:type="dxa"/>
          </w:tblCellMar>
        </w:tblPrEx>
        <w:trPr>
          <w:trHeight w:val="454" w:hRule="atLeast"/>
          <w:jc w:val="center"/>
        </w:trPr>
        <w:tc>
          <w:tcPr>
            <w:tcW w:w="4271" w:type="dxa"/>
            <w:tcBorders>
              <w:top w:val="nil"/>
              <w:left w:val="single" w:color="000000" w:sz="8" w:space="0"/>
              <w:bottom w:val="single" w:color="000000" w:sz="8" w:space="0"/>
              <w:right w:val="single" w:color="000000" w:sz="8" w:space="0"/>
            </w:tcBorders>
            <w:noWrap w:val="0"/>
            <w:vAlign w:val="center"/>
          </w:tcPr>
          <w:p w14:paraId="3B5FA75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50万元-400万元（含400万元)</w:t>
            </w:r>
          </w:p>
        </w:tc>
        <w:tc>
          <w:tcPr>
            <w:tcW w:w="2805" w:type="dxa"/>
            <w:tcBorders>
              <w:top w:val="nil"/>
              <w:left w:val="nil"/>
              <w:bottom w:val="single" w:color="000000" w:sz="8" w:space="0"/>
              <w:right w:val="single" w:color="000000" w:sz="8" w:space="0"/>
            </w:tcBorders>
            <w:noWrap w:val="0"/>
            <w:vAlign w:val="center"/>
          </w:tcPr>
          <w:p w14:paraId="70E789F7">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1.50%</w:t>
            </w:r>
          </w:p>
        </w:tc>
      </w:tr>
      <w:tr w14:paraId="466484CE">
        <w:tblPrEx>
          <w:tblCellMar>
            <w:top w:w="0" w:type="dxa"/>
            <w:left w:w="108" w:type="dxa"/>
            <w:bottom w:w="0" w:type="dxa"/>
            <w:right w:w="108" w:type="dxa"/>
          </w:tblCellMar>
        </w:tblPrEx>
        <w:trPr>
          <w:trHeight w:val="454" w:hRule="atLeast"/>
          <w:jc w:val="center"/>
        </w:trPr>
        <w:tc>
          <w:tcPr>
            <w:tcW w:w="4271" w:type="dxa"/>
            <w:tcBorders>
              <w:top w:val="nil"/>
              <w:left w:val="single" w:color="000000" w:sz="8" w:space="0"/>
              <w:bottom w:val="single" w:color="000000" w:sz="8" w:space="0"/>
              <w:right w:val="single" w:color="000000" w:sz="8" w:space="0"/>
            </w:tcBorders>
            <w:noWrap w:val="0"/>
            <w:vAlign w:val="center"/>
          </w:tcPr>
          <w:p w14:paraId="07471BB4">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400-1000万元（含1000万元)</w:t>
            </w:r>
          </w:p>
        </w:tc>
        <w:tc>
          <w:tcPr>
            <w:tcW w:w="2805" w:type="dxa"/>
            <w:tcBorders>
              <w:top w:val="nil"/>
              <w:left w:val="nil"/>
              <w:bottom w:val="single" w:color="000000" w:sz="8" w:space="0"/>
              <w:right w:val="single" w:color="000000" w:sz="8" w:space="0"/>
            </w:tcBorders>
            <w:noWrap w:val="0"/>
            <w:vAlign w:val="center"/>
          </w:tcPr>
          <w:p w14:paraId="07D6DC72">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0.80%</w:t>
            </w:r>
          </w:p>
        </w:tc>
      </w:tr>
    </w:tbl>
    <w:p w14:paraId="487EFBF2">
      <w:pPr>
        <w:snapToGrid w:val="0"/>
        <w:spacing w:line="360" w:lineRule="auto"/>
        <w:ind w:firstLine="480" w:firstLineChars="200"/>
        <w:rPr>
          <w:rFonts w:hint="eastAsia" w:ascii="Times New Roman" w:hAnsi="Times New Roman" w:eastAsia="宋体" w:cs="Times New Roman"/>
          <w:color w:val="auto"/>
          <w:sz w:val="24"/>
          <w:szCs w:val="22"/>
          <w:highlight w:val="none"/>
          <w:lang w:eastAsia="zh-CN"/>
        </w:rPr>
      </w:pPr>
      <w:r>
        <w:rPr>
          <w:rFonts w:ascii="Times New Roman" w:hAnsi="Times New Roman" w:eastAsia="宋体" w:cs="Times New Roman"/>
          <w:color w:val="auto"/>
          <w:sz w:val="24"/>
          <w:szCs w:val="22"/>
          <w:highlight w:val="none"/>
        </w:rPr>
        <w:t>举例：中标价400万元，则采购代理服务费为：</w:t>
      </w:r>
      <w:r>
        <w:rPr>
          <w:rFonts w:hint="eastAsia" w:ascii="Times New Roman" w:hAnsi="Times New Roman" w:eastAsia="宋体" w:cs="Times New Roman"/>
          <w:color w:val="auto"/>
          <w:sz w:val="24"/>
          <w:szCs w:val="22"/>
          <w:highlight w:val="none"/>
        </w:rPr>
        <w:t>（</w:t>
      </w:r>
      <w:r>
        <w:rPr>
          <w:rFonts w:ascii="Times New Roman" w:hAnsi="Times New Roman" w:eastAsia="宋体" w:cs="Times New Roman"/>
          <w:color w:val="auto"/>
          <w:sz w:val="24"/>
          <w:szCs w:val="22"/>
          <w:highlight w:val="none"/>
        </w:rPr>
        <w:t>1+350*1.5%</w:t>
      </w:r>
      <w:r>
        <w:rPr>
          <w:rFonts w:hint="eastAsia" w:ascii="Times New Roman" w:hAnsi="Times New Roman" w:eastAsia="宋体" w:cs="Times New Roman"/>
          <w:color w:val="auto"/>
          <w:sz w:val="24"/>
          <w:szCs w:val="22"/>
          <w:highlight w:val="none"/>
        </w:rPr>
        <w:t>）*80%</w:t>
      </w:r>
      <w:r>
        <w:rPr>
          <w:rFonts w:ascii="Times New Roman" w:hAnsi="Times New Roman" w:eastAsia="宋体" w:cs="Times New Roman"/>
          <w:color w:val="auto"/>
          <w:sz w:val="24"/>
          <w:szCs w:val="22"/>
          <w:highlight w:val="none"/>
        </w:rPr>
        <w:t xml:space="preserve"> =</w:t>
      </w:r>
      <w:r>
        <w:rPr>
          <w:rFonts w:hint="eastAsia" w:ascii="Times New Roman" w:hAnsi="Times New Roman" w:eastAsia="宋体" w:cs="Times New Roman"/>
          <w:color w:val="auto"/>
          <w:sz w:val="24"/>
          <w:szCs w:val="22"/>
          <w:highlight w:val="none"/>
        </w:rPr>
        <w:t>5</w:t>
      </w:r>
      <w:r>
        <w:rPr>
          <w:rFonts w:ascii="Times New Roman" w:hAnsi="Times New Roman" w:eastAsia="宋体" w:cs="Times New Roman"/>
          <w:color w:val="auto"/>
          <w:sz w:val="24"/>
          <w:szCs w:val="22"/>
          <w:highlight w:val="none"/>
        </w:rPr>
        <w:t>万元。</w:t>
      </w:r>
    </w:p>
    <w:p w14:paraId="58AF3980">
      <w:pPr>
        <w:snapToGrid w:val="0"/>
        <w:spacing w:line="360" w:lineRule="auto"/>
        <w:ind w:firstLine="480" w:firstLineChars="200"/>
        <w:rPr>
          <w:rFonts w:eastAsia="宋体"/>
          <w:color w:val="auto"/>
          <w:sz w:val="24"/>
          <w:highlight w:val="none"/>
        </w:rPr>
      </w:pPr>
      <w:r>
        <w:rPr>
          <w:rFonts w:eastAsia="宋体"/>
          <w:color w:val="auto"/>
          <w:sz w:val="24"/>
          <w:highlight w:val="none"/>
        </w:rPr>
        <w:t>4．法律适用</w:t>
      </w:r>
      <w:bookmarkEnd w:id="41"/>
    </w:p>
    <w:p w14:paraId="686B8814">
      <w:pPr>
        <w:snapToGrid w:val="0"/>
        <w:spacing w:line="360" w:lineRule="auto"/>
        <w:ind w:firstLine="480" w:firstLineChars="200"/>
        <w:rPr>
          <w:rFonts w:eastAsia="宋体"/>
          <w:color w:val="auto"/>
          <w:sz w:val="24"/>
          <w:highlight w:val="none"/>
        </w:rPr>
      </w:pPr>
      <w:r>
        <w:rPr>
          <w:rFonts w:eastAsia="宋体"/>
          <w:color w:val="auto"/>
          <w:sz w:val="24"/>
          <w:highlight w:val="none"/>
        </w:rPr>
        <w:t>本次竞争性磋商活动及由本次竞争性磋商产生的合同受中华人民共和国的法律制约和保护。</w:t>
      </w:r>
    </w:p>
    <w:p w14:paraId="3D8180E2">
      <w:pPr>
        <w:snapToGrid w:val="0"/>
        <w:spacing w:line="360" w:lineRule="auto"/>
        <w:ind w:firstLine="480" w:firstLineChars="200"/>
        <w:rPr>
          <w:rFonts w:eastAsia="宋体"/>
          <w:color w:val="auto"/>
          <w:sz w:val="24"/>
          <w:highlight w:val="none"/>
        </w:rPr>
      </w:pPr>
      <w:bookmarkStart w:id="42" w:name="_Toc401573826"/>
      <w:r>
        <w:rPr>
          <w:rFonts w:eastAsia="宋体"/>
          <w:color w:val="auto"/>
          <w:sz w:val="24"/>
          <w:highlight w:val="none"/>
        </w:rPr>
        <w:t>5．磋商文件的约束力</w:t>
      </w:r>
      <w:bookmarkEnd w:id="42"/>
    </w:p>
    <w:p w14:paraId="1EEC605F">
      <w:pPr>
        <w:snapToGrid w:val="0"/>
        <w:spacing w:line="360" w:lineRule="auto"/>
        <w:ind w:firstLine="480" w:firstLineChars="200"/>
        <w:rPr>
          <w:rFonts w:eastAsia="宋体"/>
          <w:color w:val="auto"/>
          <w:sz w:val="24"/>
          <w:highlight w:val="none"/>
        </w:rPr>
      </w:pPr>
      <w:r>
        <w:rPr>
          <w:rFonts w:eastAsia="宋体"/>
          <w:color w:val="auto"/>
          <w:sz w:val="24"/>
          <w:highlight w:val="none"/>
        </w:rPr>
        <w:t>5.1 供应商一旦参加竞争性磋商，即被认为接受了本磋商文件中的所有条款和规定。</w:t>
      </w:r>
    </w:p>
    <w:p w14:paraId="2E4459CA">
      <w:pPr>
        <w:snapToGrid w:val="0"/>
        <w:spacing w:line="360" w:lineRule="auto"/>
        <w:ind w:firstLine="480" w:firstLineChars="200"/>
        <w:rPr>
          <w:rFonts w:eastAsia="宋体"/>
          <w:color w:val="auto"/>
          <w:sz w:val="24"/>
          <w:highlight w:val="none"/>
        </w:rPr>
      </w:pPr>
      <w:r>
        <w:rPr>
          <w:rFonts w:eastAsia="宋体"/>
          <w:color w:val="auto"/>
          <w:sz w:val="24"/>
          <w:highlight w:val="none"/>
        </w:rPr>
        <w:t>5.2 本磋商采购文件由江苏省鸿源招标代理股份有限公司负责解释。</w:t>
      </w:r>
    </w:p>
    <w:p w14:paraId="3AD6512D">
      <w:pPr>
        <w:snapToGrid w:val="0"/>
        <w:spacing w:line="360" w:lineRule="auto"/>
        <w:ind w:firstLine="482" w:firstLineChars="200"/>
        <w:outlineLvl w:val="1"/>
        <w:rPr>
          <w:rFonts w:eastAsia="宋体"/>
          <w:b/>
          <w:color w:val="auto"/>
          <w:sz w:val="24"/>
          <w:highlight w:val="none"/>
        </w:rPr>
      </w:pPr>
      <w:bookmarkStart w:id="43" w:name="_Toc401573827"/>
      <w:r>
        <w:rPr>
          <w:rFonts w:eastAsia="宋体"/>
          <w:b/>
          <w:color w:val="auto"/>
          <w:sz w:val="24"/>
          <w:highlight w:val="none"/>
        </w:rPr>
        <w:t>二  磋商文件</w:t>
      </w:r>
      <w:bookmarkEnd w:id="43"/>
    </w:p>
    <w:p w14:paraId="4A769724">
      <w:pPr>
        <w:snapToGrid w:val="0"/>
        <w:spacing w:line="360" w:lineRule="auto"/>
        <w:ind w:firstLine="480" w:firstLineChars="200"/>
        <w:rPr>
          <w:rFonts w:eastAsia="宋体"/>
          <w:color w:val="auto"/>
          <w:sz w:val="24"/>
          <w:highlight w:val="none"/>
        </w:rPr>
      </w:pPr>
      <w:bookmarkStart w:id="44" w:name="_Toc401573828"/>
      <w:r>
        <w:rPr>
          <w:rFonts w:eastAsia="宋体"/>
          <w:color w:val="auto"/>
          <w:sz w:val="24"/>
          <w:highlight w:val="none"/>
        </w:rPr>
        <w:t>6．磋商采购文件的组成</w:t>
      </w:r>
      <w:bookmarkEnd w:id="44"/>
    </w:p>
    <w:p w14:paraId="5965F837">
      <w:pPr>
        <w:snapToGrid w:val="0"/>
        <w:spacing w:line="360" w:lineRule="auto"/>
        <w:ind w:firstLine="480" w:firstLineChars="200"/>
        <w:rPr>
          <w:rFonts w:eastAsia="宋体"/>
          <w:color w:val="auto"/>
          <w:sz w:val="24"/>
          <w:highlight w:val="none"/>
        </w:rPr>
      </w:pPr>
      <w:r>
        <w:rPr>
          <w:rFonts w:eastAsia="宋体"/>
          <w:color w:val="auto"/>
          <w:sz w:val="24"/>
          <w:highlight w:val="none"/>
        </w:rPr>
        <w:t>6.1 磋商采购文件包括：</w:t>
      </w:r>
    </w:p>
    <w:p w14:paraId="2050CA65">
      <w:pPr>
        <w:snapToGrid w:val="0"/>
        <w:spacing w:line="360" w:lineRule="auto"/>
        <w:ind w:firstLine="480" w:firstLineChars="200"/>
        <w:rPr>
          <w:rFonts w:eastAsia="宋体"/>
          <w:color w:val="auto"/>
          <w:sz w:val="24"/>
          <w:highlight w:val="none"/>
        </w:rPr>
      </w:pPr>
      <w:r>
        <w:rPr>
          <w:rFonts w:eastAsia="宋体"/>
          <w:color w:val="auto"/>
          <w:sz w:val="24"/>
          <w:highlight w:val="none"/>
        </w:rPr>
        <w:t>第一章  采购邀请</w:t>
      </w:r>
    </w:p>
    <w:p w14:paraId="6293B579">
      <w:pPr>
        <w:snapToGrid w:val="0"/>
        <w:spacing w:line="360" w:lineRule="auto"/>
        <w:ind w:firstLine="480" w:firstLineChars="200"/>
        <w:rPr>
          <w:rFonts w:eastAsia="宋体"/>
          <w:color w:val="auto"/>
          <w:sz w:val="24"/>
          <w:highlight w:val="none"/>
        </w:rPr>
      </w:pPr>
      <w:r>
        <w:rPr>
          <w:rFonts w:eastAsia="宋体"/>
          <w:color w:val="auto"/>
          <w:sz w:val="24"/>
          <w:highlight w:val="none"/>
        </w:rPr>
        <w:t>第二章  供应商须知</w:t>
      </w:r>
    </w:p>
    <w:p w14:paraId="2C14057B">
      <w:pPr>
        <w:snapToGrid w:val="0"/>
        <w:spacing w:line="360" w:lineRule="auto"/>
        <w:ind w:firstLine="480" w:firstLineChars="200"/>
        <w:rPr>
          <w:rFonts w:eastAsia="宋体"/>
          <w:color w:val="auto"/>
          <w:sz w:val="24"/>
          <w:highlight w:val="none"/>
        </w:rPr>
      </w:pPr>
      <w:r>
        <w:rPr>
          <w:rFonts w:eastAsia="宋体"/>
          <w:color w:val="auto"/>
          <w:sz w:val="24"/>
          <w:highlight w:val="none"/>
        </w:rPr>
        <w:t>第三章  采购需求</w:t>
      </w:r>
    </w:p>
    <w:p w14:paraId="022D4158">
      <w:pPr>
        <w:snapToGrid w:val="0"/>
        <w:spacing w:line="360" w:lineRule="auto"/>
        <w:ind w:firstLine="480" w:firstLineChars="200"/>
        <w:rPr>
          <w:rFonts w:eastAsia="宋体"/>
          <w:color w:val="auto"/>
          <w:sz w:val="24"/>
          <w:highlight w:val="none"/>
        </w:rPr>
      </w:pPr>
      <w:r>
        <w:rPr>
          <w:rFonts w:eastAsia="宋体"/>
          <w:color w:val="auto"/>
          <w:sz w:val="24"/>
          <w:highlight w:val="none"/>
        </w:rPr>
        <w:t xml:space="preserve">第四章  合同主要条款及格式 </w:t>
      </w:r>
    </w:p>
    <w:p w14:paraId="0BADE4E5">
      <w:pPr>
        <w:snapToGrid w:val="0"/>
        <w:spacing w:line="360" w:lineRule="auto"/>
        <w:ind w:firstLine="480" w:firstLineChars="200"/>
        <w:rPr>
          <w:rFonts w:eastAsia="宋体"/>
          <w:color w:val="auto"/>
          <w:sz w:val="24"/>
          <w:highlight w:val="none"/>
        </w:rPr>
      </w:pPr>
      <w:r>
        <w:rPr>
          <w:rFonts w:eastAsia="宋体"/>
          <w:color w:val="auto"/>
          <w:sz w:val="24"/>
          <w:highlight w:val="none"/>
        </w:rPr>
        <w:t>第五章  响应文件格式</w:t>
      </w:r>
    </w:p>
    <w:p w14:paraId="702AA2A3">
      <w:pPr>
        <w:snapToGrid w:val="0"/>
        <w:spacing w:line="360" w:lineRule="auto"/>
        <w:ind w:firstLine="480" w:firstLineChars="200"/>
        <w:rPr>
          <w:rFonts w:eastAsia="宋体"/>
          <w:color w:val="auto"/>
          <w:sz w:val="24"/>
          <w:highlight w:val="none"/>
        </w:rPr>
      </w:pPr>
      <w:r>
        <w:rPr>
          <w:rFonts w:eastAsia="宋体"/>
          <w:color w:val="auto"/>
          <w:sz w:val="24"/>
          <w:highlight w:val="none"/>
        </w:rPr>
        <w:t>第六章  评审办法</w:t>
      </w:r>
    </w:p>
    <w:p w14:paraId="25398CBE">
      <w:pPr>
        <w:snapToGrid w:val="0"/>
        <w:spacing w:line="360" w:lineRule="auto"/>
        <w:ind w:firstLine="480" w:firstLineChars="200"/>
        <w:rPr>
          <w:rFonts w:eastAsia="宋体"/>
          <w:color w:val="auto"/>
          <w:sz w:val="24"/>
          <w:highlight w:val="none"/>
        </w:rPr>
      </w:pPr>
      <w:r>
        <w:rPr>
          <w:rFonts w:eastAsia="宋体"/>
          <w:color w:val="auto"/>
          <w:sz w:val="24"/>
          <w:highlight w:val="none"/>
        </w:rPr>
        <w:t>请仔细检查磋商采购文件是否齐全，如有缺漏，请立即与江苏省鸿源招标代理股份有限公司联系解决。</w:t>
      </w:r>
    </w:p>
    <w:p w14:paraId="37927E35">
      <w:pPr>
        <w:snapToGrid w:val="0"/>
        <w:spacing w:line="360" w:lineRule="auto"/>
        <w:ind w:firstLine="480" w:firstLineChars="200"/>
        <w:rPr>
          <w:rFonts w:eastAsia="宋体"/>
          <w:color w:val="auto"/>
          <w:sz w:val="24"/>
          <w:highlight w:val="none"/>
        </w:rPr>
      </w:pPr>
      <w:r>
        <w:rPr>
          <w:rFonts w:eastAsia="宋体"/>
          <w:color w:val="auto"/>
          <w:sz w:val="24"/>
          <w:highlight w:val="none"/>
        </w:rPr>
        <w:t xml:space="preserve">6.2 </w:t>
      </w:r>
      <w:r>
        <w:rPr>
          <w:rFonts w:hint="eastAsia" w:eastAsia="宋体"/>
          <w:color w:val="auto"/>
          <w:sz w:val="24"/>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eastAsia="宋体"/>
          <w:color w:val="auto"/>
          <w:sz w:val="24"/>
          <w:highlight w:val="none"/>
        </w:rPr>
        <w:t>。</w:t>
      </w:r>
    </w:p>
    <w:p w14:paraId="0D6AD505">
      <w:pPr>
        <w:snapToGrid w:val="0"/>
        <w:spacing w:line="360" w:lineRule="auto"/>
        <w:ind w:firstLine="480" w:firstLineChars="200"/>
        <w:rPr>
          <w:rFonts w:eastAsia="宋体"/>
          <w:color w:val="auto"/>
          <w:sz w:val="24"/>
          <w:highlight w:val="none"/>
        </w:rPr>
      </w:pPr>
      <w:bookmarkStart w:id="45" w:name="_Toc401573829"/>
      <w:r>
        <w:rPr>
          <w:rFonts w:eastAsia="宋体"/>
          <w:color w:val="auto"/>
          <w:sz w:val="24"/>
          <w:highlight w:val="none"/>
        </w:rPr>
        <w:t>7．磋商采购文件的澄清</w:t>
      </w:r>
      <w:bookmarkEnd w:id="45"/>
    </w:p>
    <w:p w14:paraId="52BCE6EA">
      <w:pPr>
        <w:snapToGrid w:val="0"/>
        <w:spacing w:line="360" w:lineRule="auto"/>
        <w:ind w:firstLine="480" w:firstLineChars="200"/>
        <w:rPr>
          <w:rFonts w:eastAsia="宋体"/>
          <w:color w:val="auto"/>
          <w:sz w:val="24"/>
          <w:highlight w:val="none"/>
        </w:rPr>
      </w:pPr>
      <w:r>
        <w:rPr>
          <w:rFonts w:eastAsia="宋体"/>
          <w:color w:val="auto"/>
          <w:sz w:val="24"/>
          <w:highlight w:val="none"/>
        </w:rPr>
        <w:t>若供应商对磋商采购文件有疑点，可用书面形式（包括信函、传真、电传、电报，下同）在响应文件递交截止时间三天前通知江苏省鸿源招标代理股份有限公司。</w:t>
      </w:r>
    </w:p>
    <w:p w14:paraId="771749A4">
      <w:pPr>
        <w:snapToGrid w:val="0"/>
        <w:spacing w:line="360" w:lineRule="auto"/>
        <w:ind w:firstLine="480" w:firstLineChars="200"/>
        <w:rPr>
          <w:rFonts w:eastAsia="宋体"/>
          <w:color w:val="auto"/>
          <w:sz w:val="24"/>
          <w:highlight w:val="none"/>
        </w:rPr>
      </w:pPr>
      <w:bookmarkStart w:id="46" w:name="_Toc401573830"/>
      <w:r>
        <w:rPr>
          <w:rFonts w:eastAsia="宋体"/>
          <w:color w:val="auto"/>
          <w:sz w:val="24"/>
          <w:highlight w:val="none"/>
        </w:rPr>
        <w:t>8．磋商采购文件的更正或补充</w:t>
      </w:r>
      <w:bookmarkEnd w:id="46"/>
    </w:p>
    <w:p w14:paraId="00660348">
      <w:pPr>
        <w:snapToGrid w:val="0"/>
        <w:spacing w:line="360" w:lineRule="auto"/>
        <w:ind w:firstLine="480" w:firstLineChars="200"/>
        <w:rPr>
          <w:rFonts w:eastAsia="宋体"/>
          <w:color w:val="auto"/>
          <w:sz w:val="24"/>
          <w:highlight w:val="none"/>
        </w:rPr>
      </w:pPr>
      <w:r>
        <w:rPr>
          <w:rFonts w:eastAsia="宋体"/>
          <w:color w:val="auto"/>
          <w:sz w:val="24"/>
          <w:highlight w:val="none"/>
        </w:rPr>
        <w:t>8.1 在竞争性磋商截止时间前，由于需对供应商的提问进行澄清或其他任何原因，江苏省鸿源招标代理股份有限公司均可对磋商采购文件用书面更正通知的方式进行修正。</w:t>
      </w:r>
    </w:p>
    <w:p w14:paraId="7B019537">
      <w:pPr>
        <w:snapToGrid w:val="0"/>
        <w:spacing w:line="360" w:lineRule="auto"/>
        <w:ind w:firstLine="480" w:firstLineChars="200"/>
        <w:rPr>
          <w:rFonts w:eastAsia="宋体"/>
          <w:color w:val="auto"/>
          <w:sz w:val="24"/>
          <w:highlight w:val="none"/>
        </w:rPr>
      </w:pPr>
      <w:r>
        <w:rPr>
          <w:rFonts w:eastAsia="宋体"/>
          <w:color w:val="auto"/>
          <w:sz w:val="24"/>
          <w:highlight w:val="none"/>
        </w:rPr>
        <w:t>8.2 书面更正通知将作为磋商采购文件的组成部分，对所有潜在供应商有约束力。</w:t>
      </w:r>
    </w:p>
    <w:p w14:paraId="755B49C1">
      <w:pPr>
        <w:snapToGrid w:val="0"/>
        <w:spacing w:line="360" w:lineRule="auto"/>
        <w:ind w:firstLine="480" w:firstLineChars="200"/>
        <w:rPr>
          <w:rFonts w:eastAsia="宋体"/>
          <w:color w:val="auto"/>
          <w:sz w:val="24"/>
          <w:highlight w:val="none"/>
        </w:rPr>
      </w:pPr>
      <w:r>
        <w:rPr>
          <w:rFonts w:eastAsia="宋体"/>
          <w:color w:val="auto"/>
          <w:sz w:val="24"/>
          <w:highlight w:val="none"/>
        </w:rPr>
        <w:t>8.3 当磋商文件与书面更正通知相矛盾时，以江苏省鸿源招标代理股份有限公司最后发出的书面更正通知为准。</w:t>
      </w:r>
    </w:p>
    <w:p w14:paraId="618D3271">
      <w:pPr>
        <w:snapToGrid w:val="0"/>
        <w:spacing w:line="360" w:lineRule="auto"/>
        <w:ind w:firstLine="480" w:firstLineChars="200"/>
        <w:rPr>
          <w:rFonts w:eastAsia="宋体"/>
          <w:color w:val="auto"/>
          <w:sz w:val="24"/>
          <w:highlight w:val="none"/>
        </w:rPr>
      </w:pPr>
      <w:r>
        <w:rPr>
          <w:rFonts w:eastAsia="宋体"/>
          <w:color w:val="auto"/>
          <w:sz w:val="24"/>
          <w:highlight w:val="none"/>
        </w:rPr>
        <w:t>8.4 潜在供应商在收到书面更正通知后，应于一个工作日内正式书面回函江苏省鸿源招标代理股份有限公司，逾期不回的，视同供应商已收到更正通知。</w:t>
      </w:r>
    </w:p>
    <w:p w14:paraId="251C0BD6">
      <w:pPr>
        <w:snapToGrid w:val="0"/>
        <w:spacing w:line="360" w:lineRule="auto"/>
        <w:ind w:firstLine="480" w:firstLineChars="200"/>
        <w:rPr>
          <w:rFonts w:eastAsia="宋体"/>
          <w:color w:val="auto"/>
          <w:sz w:val="24"/>
          <w:highlight w:val="none"/>
        </w:rPr>
      </w:pPr>
      <w:r>
        <w:rPr>
          <w:rFonts w:eastAsia="宋体"/>
          <w:color w:val="auto"/>
          <w:sz w:val="24"/>
          <w:highlight w:val="none"/>
        </w:rPr>
        <w:t>8.5 为使潜在供应商有足够的时间按磋商文件的书面更正通知修正和响应磋商文件的要求，江苏省鸿源招标代理股份有限公司可酌情推迟响应文件递交截止时间，并按8.2条规定的方式将具体变更情况通知潜在供应商。</w:t>
      </w:r>
    </w:p>
    <w:p w14:paraId="17260408">
      <w:pPr>
        <w:snapToGrid w:val="0"/>
        <w:spacing w:line="360" w:lineRule="auto"/>
        <w:ind w:firstLine="482" w:firstLineChars="200"/>
        <w:outlineLvl w:val="1"/>
        <w:rPr>
          <w:rFonts w:eastAsia="宋体"/>
          <w:b/>
          <w:color w:val="auto"/>
          <w:sz w:val="24"/>
          <w:highlight w:val="none"/>
        </w:rPr>
      </w:pPr>
      <w:bookmarkStart w:id="47" w:name="_Toc401573831"/>
      <w:r>
        <w:rPr>
          <w:rFonts w:eastAsia="宋体"/>
          <w:b/>
          <w:color w:val="auto"/>
          <w:sz w:val="24"/>
          <w:highlight w:val="none"/>
        </w:rPr>
        <w:t>三  响应文件</w:t>
      </w:r>
      <w:bookmarkEnd w:id="47"/>
    </w:p>
    <w:p w14:paraId="0CC8698E">
      <w:pPr>
        <w:snapToGrid w:val="0"/>
        <w:spacing w:line="360" w:lineRule="auto"/>
        <w:ind w:firstLine="480" w:firstLineChars="200"/>
        <w:rPr>
          <w:rFonts w:hint="eastAsia" w:eastAsia="宋体"/>
          <w:color w:val="auto"/>
          <w:sz w:val="24"/>
          <w:highlight w:val="none"/>
        </w:rPr>
      </w:pPr>
      <w:bookmarkStart w:id="48" w:name="_Toc401573832"/>
      <w:r>
        <w:rPr>
          <w:rFonts w:eastAsia="宋体"/>
          <w:color w:val="auto"/>
          <w:sz w:val="24"/>
          <w:highlight w:val="none"/>
        </w:rPr>
        <w:t>9．</w:t>
      </w:r>
      <w:bookmarkEnd w:id="48"/>
      <w:r>
        <w:rPr>
          <w:rFonts w:hint="eastAsia" w:eastAsia="宋体"/>
          <w:color w:val="auto"/>
          <w:sz w:val="24"/>
          <w:highlight w:val="none"/>
        </w:rPr>
        <w:t>响应文件的语言、计量单位、货币和编制</w:t>
      </w:r>
    </w:p>
    <w:p w14:paraId="5E62EE7E">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p>
    <w:p w14:paraId="787BC884">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9.2 供应商所使用的计量单位应为国家法定计量单位。</w:t>
      </w:r>
    </w:p>
    <w:p w14:paraId="57881243">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9.3 供应商应用人民币报价。报价产品如果是进口产品的，应提供人民币与外币之间的汇率；报价单位为“元”。</w:t>
      </w:r>
    </w:p>
    <w:p w14:paraId="7898CA1A">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9.4 磋商响应文件应字迹清楚、内容齐全、不得涂改。如有修改，修改处须有供应商公章或投标专用章和法定代表人或其授权磋商代表签字。</w:t>
      </w:r>
    </w:p>
    <w:p w14:paraId="378A4B36">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9.5 供应商应在磋商响应文件中写清相应的项目编号、项目名称、供应商全称、地址、电话、传真等</w:t>
      </w:r>
      <w:r>
        <w:rPr>
          <w:rFonts w:eastAsia="宋体"/>
          <w:color w:val="auto"/>
          <w:sz w:val="24"/>
          <w:highlight w:val="none"/>
        </w:rPr>
        <w:t>。</w:t>
      </w:r>
    </w:p>
    <w:p w14:paraId="3537D29A">
      <w:pPr>
        <w:snapToGrid w:val="0"/>
        <w:spacing w:line="360" w:lineRule="auto"/>
        <w:ind w:firstLine="480" w:firstLineChars="200"/>
        <w:rPr>
          <w:rFonts w:eastAsia="宋体"/>
          <w:color w:val="auto"/>
          <w:sz w:val="24"/>
          <w:highlight w:val="none"/>
        </w:rPr>
      </w:pPr>
      <w:bookmarkStart w:id="49" w:name="_Toc401573833"/>
      <w:r>
        <w:rPr>
          <w:rFonts w:eastAsia="宋体"/>
          <w:color w:val="auto"/>
          <w:sz w:val="24"/>
          <w:highlight w:val="none"/>
        </w:rPr>
        <w:t>10．响应文件的组成</w:t>
      </w:r>
      <w:bookmarkEnd w:id="49"/>
    </w:p>
    <w:p w14:paraId="5222F56E">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.1 供应商应当根据磋商文件要求编制响应文件，响应文件应对磋商文件提出的要求和条件作出实质性响应，并在《商务条款偏离表》和《技术条款偏离表》等处逐条标明满足与否。</w:t>
      </w:r>
    </w:p>
    <w:p w14:paraId="24A55B95">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.2 响应文件由商务部分、技术部分、价格部分以及其他部分组成。响应文件目录及有关格式按磋商文件“第六章磋商响应文件格式”的要求编制。</w:t>
      </w:r>
    </w:p>
    <w:p w14:paraId="640462FE">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.3 供应商如同时参与多个分包（标段）采购，则应按分包（标段）分别制作响应文件。</w:t>
      </w:r>
    </w:p>
    <w:p w14:paraId="233362BA">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.4 如标书制作工具中格式和内容与“江苏政府采购网”发布的采购文件不一致，以“江苏政府采购网”发布的采购文件为准。</w:t>
      </w:r>
    </w:p>
    <w:p w14:paraId="09965DBB">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.5 响应文件的商务部分</w:t>
      </w:r>
    </w:p>
    <w:p w14:paraId="3C25175C">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.5.1 商务部分是证明供应商有资格参加磋商和成交后有能力履行合同的文件，这些文件应满足磋商的要求，包括但不限于下列文件，其中加★项目不得有缺失或无效，否则竞争性磋商小组有权否决供应商的投标：</w:t>
      </w:r>
    </w:p>
    <w:p w14:paraId="5C4D54B9">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（1）★竞争性磋商响应函（格式见第</w:t>
      </w:r>
      <w:r>
        <w:rPr>
          <w:rFonts w:hint="eastAsia" w:eastAsia="宋体"/>
          <w:color w:val="auto"/>
          <w:sz w:val="24"/>
          <w:highlight w:val="none"/>
          <w:lang w:val="en-US" w:eastAsia="zh-CN"/>
        </w:rPr>
        <w:t>五</w:t>
      </w:r>
      <w:r>
        <w:rPr>
          <w:rFonts w:hint="eastAsia" w:eastAsia="宋体"/>
          <w:color w:val="auto"/>
          <w:sz w:val="24"/>
          <w:highlight w:val="none"/>
        </w:rPr>
        <w:t>章）；</w:t>
      </w:r>
    </w:p>
    <w:p w14:paraId="326471F6">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（2）★法定代表人授权委托书及委托代理人的身份证复印件（格式见第</w:t>
      </w:r>
      <w:r>
        <w:rPr>
          <w:rFonts w:hint="eastAsia" w:eastAsia="宋体"/>
          <w:color w:val="auto"/>
          <w:sz w:val="24"/>
          <w:highlight w:val="none"/>
          <w:lang w:val="en-US" w:eastAsia="zh-CN"/>
        </w:rPr>
        <w:t>五</w:t>
      </w:r>
      <w:r>
        <w:rPr>
          <w:rFonts w:hint="eastAsia" w:eastAsia="宋体"/>
          <w:color w:val="auto"/>
          <w:sz w:val="24"/>
          <w:highlight w:val="none"/>
        </w:rPr>
        <w:t>章）；</w:t>
      </w:r>
    </w:p>
    <w:p w14:paraId="676435AF">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（3）★第一章竞争性磋商公告中满足《中华人民共和国政府采购法》第二十二条规定的资格条件证明文件或提供资格承诺函，格式见第</w:t>
      </w:r>
      <w:r>
        <w:rPr>
          <w:rFonts w:hint="eastAsia" w:eastAsia="宋体"/>
          <w:color w:val="auto"/>
          <w:sz w:val="24"/>
          <w:highlight w:val="none"/>
          <w:lang w:val="en-US" w:eastAsia="zh-CN"/>
        </w:rPr>
        <w:t>五</w:t>
      </w:r>
      <w:r>
        <w:rPr>
          <w:rFonts w:hint="eastAsia" w:eastAsia="宋体"/>
          <w:color w:val="auto"/>
          <w:sz w:val="24"/>
          <w:highlight w:val="none"/>
        </w:rPr>
        <w:t>章；</w:t>
      </w:r>
    </w:p>
    <w:p w14:paraId="528D59AB">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（4）★第一章竞争性磋商公告中采购人根据采购项目的特殊要求规定的特定条件证明文件；</w:t>
      </w:r>
    </w:p>
    <w:p w14:paraId="77E9C764">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（5）★报价表（格式见第</w:t>
      </w:r>
      <w:r>
        <w:rPr>
          <w:rFonts w:hint="eastAsia" w:eastAsia="宋体"/>
          <w:color w:val="auto"/>
          <w:sz w:val="24"/>
          <w:highlight w:val="none"/>
          <w:lang w:val="en-US" w:eastAsia="zh-CN"/>
        </w:rPr>
        <w:t>五</w:t>
      </w:r>
      <w:r>
        <w:rPr>
          <w:rFonts w:hint="eastAsia" w:eastAsia="宋体"/>
          <w:color w:val="auto"/>
          <w:sz w:val="24"/>
          <w:highlight w:val="none"/>
        </w:rPr>
        <w:t>章）；</w:t>
      </w:r>
    </w:p>
    <w:p w14:paraId="1B9FD41A">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（6）★分项报价表（格式见第</w:t>
      </w:r>
      <w:r>
        <w:rPr>
          <w:rFonts w:hint="eastAsia" w:eastAsia="宋体"/>
          <w:color w:val="auto"/>
          <w:sz w:val="24"/>
          <w:highlight w:val="none"/>
          <w:lang w:val="en-US" w:eastAsia="zh-CN"/>
        </w:rPr>
        <w:t>五</w:t>
      </w:r>
      <w:r>
        <w:rPr>
          <w:rFonts w:hint="eastAsia" w:eastAsia="宋体"/>
          <w:color w:val="auto"/>
          <w:sz w:val="24"/>
          <w:highlight w:val="none"/>
        </w:rPr>
        <w:t>章）；</w:t>
      </w:r>
    </w:p>
    <w:p w14:paraId="2F091B05">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（7）《商务条款偏离表》；</w:t>
      </w:r>
    </w:p>
    <w:p w14:paraId="140DE8A9">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（8）供应商认为需要提供的其他资格证明文件和商务资料</w:t>
      </w:r>
    </w:p>
    <w:p w14:paraId="1A6986FB">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.6 响应文件的技术部分</w:t>
      </w:r>
    </w:p>
    <w:p w14:paraId="09EFD258">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.6.1 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p>
    <w:p w14:paraId="72A4C8A3">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（1）技术方案；</w:t>
      </w:r>
    </w:p>
    <w:p w14:paraId="6960E25B">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（2）服务承诺；</w:t>
      </w:r>
    </w:p>
    <w:p w14:paraId="700BB80B">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（3）《技术条款偏离表》；</w:t>
      </w:r>
    </w:p>
    <w:p w14:paraId="30AA7BE4">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（4）供应商认为需要提供的其他技术资料。</w:t>
      </w:r>
    </w:p>
    <w:p w14:paraId="4692C459">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.7 响应文件的价格部分</w:t>
      </w:r>
    </w:p>
    <w:p w14:paraId="0EF26AA7">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.7.1 价格部分内容是对标的价格构成的说明，磋商文件如没有特别说明的话，仅接受一个价格。</w:t>
      </w:r>
    </w:p>
    <w:p w14:paraId="4CB350DA">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 xml:space="preserve">.7.2 </w:t>
      </w:r>
      <w:r>
        <w:rPr>
          <w:rFonts w:eastAsia="宋体"/>
          <w:color w:val="auto"/>
          <w:sz w:val="24"/>
          <w:highlight w:val="none"/>
          <w:u w:val="single"/>
        </w:rPr>
        <w:t>本项目报价非一次性报价，在磋商后根据磋商小组的要求再次报价。报价含完成本项目所需的</w:t>
      </w:r>
      <w:r>
        <w:rPr>
          <w:rFonts w:eastAsia="宋体"/>
          <w:color w:val="auto"/>
          <w:sz w:val="24"/>
          <w:szCs w:val="24"/>
          <w:highlight w:val="none"/>
          <w:u w:val="single"/>
        </w:rPr>
        <w:t>专家和工作人员各项费用（含专家费、住宿费、交通费和伙食补助费）、车辆使用费、资料费、管理费、</w:t>
      </w:r>
      <w:r>
        <w:rPr>
          <w:rFonts w:hint="eastAsia" w:eastAsia="宋体"/>
          <w:color w:val="auto"/>
          <w:sz w:val="24"/>
          <w:szCs w:val="24"/>
          <w:highlight w:val="none"/>
          <w:u w:val="single"/>
        </w:rPr>
        <w:t>检验试验费、</w:t>
      </w:r>
      <w:r>
        <w:rPr>
          <w:rFonts w:eastAsia="宋体"/>
          <w:color w:val="auto"/>
          <w:sz w:val="24"/>
          <w:szCs w:val="24"/>
          <w:highlight w:val="none"/>
          <w:u w:val="single"/>
        </w:rPr>
        <w:t>利润、税金</w:t>
      </w:r>
      <w:r>
        <w:rPr>
          <w:rFonts w:eastAsia="宋体"/>
          <w:color w:val="auto"/>
          <w:sz w:val="24"/>
          <w:highlight w:val="none"/>
          <w:u w:val="single"/>
        </w:rPr>
        <w:t>等一切费用。成交后不允许擅自改变服务内容、质量标准、期限与追加项目费用</w:t>
      </w:r>
      <w:r>
        <w:rPr>
          <w:rFonts w:hint="eastAsia" w:eastAsia="宋体"/>
          <w:color w:val="auto"/>
          <w:sz w:val="24"/>
          <w:highlight w:val="none"/>
        </w:rPr>
        <w:t>。</w:t>
      </w:r>
    </w:p>
    <w:p w14:paraId="78960BE0">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.7.3 供应商应在《报价表》《分项报价明细表》等标明标的的单价、总价以及分项报价等。</w:t>
      </w:r>
    </w:p>
    <w:p w14:paraId="4979987E">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.7.4 除非磋商文件另有规定或经采购人同意支付的，响应文件所报的价格不得超过磋商文件规定的预算价、最高限价，超过磋商文件规定的，响应文件按无效处理。</w:t>
      </w:r>
    </w:p>
    <w:p w14:paraId="71535A77">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.7.5 经磋商后，如果成交价高于或低于供应商在响应文件首次报价的，分项报价同比例调整。</w:t>
      </w:r>
    </w:p>
    <w:p w14:paraId="1380DDEB">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.8 响应文件的其他部分</w:t>
      </w:r>
    </w:p>
    <w:p w14:paraId="499BDEF3">
      <w:pPr>
        <w:snapToGrid w:val="0"/>
        <w:spacing w:line="360" w:lineRule="auto"/>
        <w:ind w:firstLine="480" w:firstLineChars="200"/>
        <w:rPr>
          <w:rFonts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.8.1 其他部分由供应商根据编制响应文件需要提供的其他相关文件组成</w:t>
      </w:r>
      <w:r>
        <w:rPr>
          <w:rFonts w:eastAsia="宋体"/>
          <w:color w:val="auto"/>
          <w:sz w:val="24"/>
          <w:highlight w:val="none"/>
        </w:rPr>
        <w:t>。</w:t>
      </w:r>
    </w:p>
    <w:p w14:paraId="4EAFA6C8">
      <w:pPr>
        <w:snapToGrid w:val="0"/>
        <w:spacing w:line="360" w:lineRule="auto"/>
        <w:ind w:firstLine="480" w:firstLineChars="200"/>
        <w:rPr>
          <w:rFonts w:eastAsia="宋体"/>
          <w:color w:val="auto"/>
          <w:sz w:val="24"/>
          <w:highlight w:val="none"/>
        </w:rPr>
      </w:pPr>
      <w:bookmarkStart w:id="50" w:name="_Toc401573836"/>
      <w:r>
        <w:rPr>
          <w:rFonts w:eastAsia="宋体"/>
          <w:color w:val="auto"/>
          <w:sz w:val="24"/>
          <w:highlight w:val="none"/>
        </w:rPr>
        <w:t>1</w:t>
      </w:r>
      <w:r>
        <w:rPr>
          <w:rFonts w:hint="eastAsia" w:eastAsia="宋体"/>
          <w:color w:val="auto"/>
          <w:sz w:val="24"/>
          <w:highlight w:val="none"/>
          <w:lang w:val="en-US" w:eastAsia="zh-CN"/>
        </w:rPr>
        <w:t>1</w:t>
      </w:r>
      <w:r>
        <w:rPr>
          <w:rFonts w:eastAsia="宋体"/>
          <w:color w:val="auto"/>
          <w:sz w:val="24"/>
          <w:highlight w:val="none"/>
        </w:rPr>
        <w:t>．磋商保证金</w:t>
      </w:r>
      <w:bookmarkEnd w:id="50"/>
      <w:r>
        <w:rPr>
          <w:rFonts w:eastAsia="宋体"/>
          <w:color w:val="auto"/>
          <w:sz w:val="24"/>
          <w:highlight w:val="none"/>
        </w:rPr>
        <w:t>（本项目不适用）</w:t>
      </w:r>
    </w:p>
    <w:p w14:paraId="2C9AEAA0">
      <w:pPr>
        <w:snapToGrid w:val="0"/>
        <w:spacing w:line="360" w:lineRule="auto"/>
        <w:ind w:firstLine="480" w:firstLineChars="200"/>
        <w:rPr>
          <w:rFonts w:eastAsia="宋体"/>
          <w:color w:val="auto"/>
          <w:sz w:val="24"/>
          <w:highlight w:val="none"/>
        </w:rPr>
      </w:pPr>
      <w:bookmarkStart w:id="51" w:name="_Toc401573837"/>
      <w:r>
        <w:rPr>
          <w:rFonts w:eastAsia="宋体"/>
          <w:color w:val="auto"/>
          <w:sz w:val="24"/>
          <w:highlight w:val="none"/>
        </w:rPr>
        <w:t>1</w:t>
      </w:r>
      <w:r>
        <w:rPr>
          <w:rFonts w:hint="eastAsia" w:eastAsia="宋体"/>
          <w:color w:val="auto"/>
          <w:sz w:val="24"/>
          <w:highlight w:val="none"/>
          <w:lang w:val="en-US" w:eastAsia="zh-CN"/>
        </w:rPr>
        <w:t>2</w:t>
      </w:r>
      <w:r>
        <w:rPr>
          <w:rFonts w:eastAsia="宋体"/>
          <w:color w:val="auto"/>
          <w:sz w:val="24"/>
          <w:highlight w:val="none"/>
        </w:rPr>
        <w:t>．响应文件有效期</w:t>
      </w:r>
      <w:bookmarkEnd w:id="51"/>
    </w:p>
    <w:p w14:paraId="700AC0AA">
      <w:pPr>
        <w:snapToGrid w:val="0"/>
        <w:spacing w:line="360" w:lineRule="auto"/>
        <w:ind w:firstLine="480" w:firstLineChars="200"/>
        <w:rPr>
          <w:rFonts w:eastAsia="宋体"/>
          <w:color w:val="auto"/>
          <w:sz w:val="24"/>
          <w:highlight w:val="none"/>
        </w:rPr>
      </w:pPr>
      <w:r>
        <w:rPr>
          <w:rFonts w:eastAsia="宋体"/>
          <w:color w:val="auto"/>
          <w:sz w:val="24"/>
          <w:highlight w:val="none"/>
        </w:rPr>
        <w:t>1</w:t>
      </w:r>
      <w:r>
        <w:rPr>
          <w:rFonts w:hint="eastAsia" w:eastAsia="宋体"/>
          <w:color w:val="auto"/>
          <w:sz w:val="24"/>
          <w:highlight w:val="none"/>
          <w:lang w:val="en-US" w:eastAsia="zh-CN"/>
        </w:rPr>
        <w:t>2</w:t>
      </w:r>
      <w:r>
        <w:rPr>
          <w:rFonts w:eastAsia="宋体"/>
          <w:color w:val="auto"/>
          <w:sz w:val="24"/>
          <w:highlight w:val="none"/>
        </w:rPr>
        <w:t>.1 响应文件有效期为从响应文件递交截止之日起计算的</w:t>
      </w:r>
      <w:r>
        <w:rPr>
          <w:rFonts w:eastAsia="宋体"/>
          <w:b/>
          <w:color w:val="auto"/>
          <w:sz w:val="24"/>
          <w:highlight w:val="none"/>
          <w:u w:val="single"/>
        </w:rPr>
        <w:t>九十天</w:t>
      </w:r>
      <w:r>
        <w:rPr>
          <w:rFonts w:eastAsia="宋体"/>
          <w:color w:val="auto"/>
          <w:sz w:val="24"/>
          <w:highlight w:val="none"/>
        </w:rPr>
        <w:t>，有效期短于此规定的响应文件将被视为无效。</w:t>
      </w:r>
    </w:p>
    <w:p w14:paraId="5078647E">
      <w:pPr>
        <w:snapToGrid w:val="0"/>
        <w:spacing w:line="360" w:lineRule="auto"/>
        <w:ind w:firstLine="480" w:firstLineChars="200"/>
        <w:rPr>
          <w:rFonts w:eastAsia="宋体"/>
          <w:color w:val="auto"/>
          <w:sz w:val="24"/>
          <w:highlight w:val="none"/>
        </w:rPr>
      </w:pPr>
      <w:r>
        <w:rPr>
          <w:rFonts w:eastAsia="宋体"/>
          <w:color w:val="auto"/>
          <w:sz w:val="24"/>
          <w:highlight w:val="none"/>
        </w:rPr>
        <w:t>1</w:t>
      </w:r>
      <w:r>
        <w:rPr>
          <w:rFonts w:hint="eastAsia" w:eastAsia="宋体"/>
          <w:color w:val="auto"/>
          <w:sz w:val="24"/>
          <w:highlight w:val="none"/>
          <w:lang w:val="en-US" w:eastAsia="zh-CN"/>
        </w:rPr>
        <w:t>2</w:t>
      </w:r>
      <w:r>
        <w:rPr>
          <w:rFonts w:eastAsia="宋体"/>
          <w:color w:val="auto"/>
          <w:sz w:val="24"/>
          <w:highlight w:val="none"/>
        </w:rPr>
        <w:t>.2 在特殊情况下，江苏省鸿源招标代理股份有限公司可于响应文件有效期满之前，征得参加磋商的供应商同意延长该有效期，要求与答复均应以书面形式进行。同意这一要求的供应商，无需也不允许修改其响应文件。受原有效期制约的所有权利和义务均应延长至新的有效期。</w:t>
      </w:r>
    </w:p>
    <w:p w14:paraId="300E88C9">
      <w:pPr>
        <w:widowControl/>
        <w:pBdr>
          <w:top w:val="none" w:color="000000" w:sz="0" w:space="0"/>
          <w:left w:val="none" w:color="000000" w:sz="0" w:space="0"/>
          <w:bottom w:val="none" w:color="000000" w:sz="0" w:space="0"/>
          <w:right w:val="none" w:color="000000" w:sz="0" w:space="0"/>
        </w:pBdr>
        <w:spacing w:before="0" w:after="0" w:line="360" w:lineRule="auto"/>
        <w:ind w:left="0" w:right="0" w:firstLine="0"/>
        <w:jc w:val="both"/>
        <w:outlineLvl w:val="1"/>
        <w:rPr>
          <w:rFonts w:hint="eastAsia" w:ascii="黑体" w:hAnsi="黑体" w:eastAsia="黑体" w:cs="黑体"/>
          <w:b/>
          <w:color w:val="000000"/>
          <w:kern w:val="0"/>
          <w:sz w:val="28"/>
          <w:szCs w:val="28"/>
        </w:rPr>
      </w:pPr>
      <w:bookmarkStart w:id="52" w:name="_Toc401573839"/>
      <w:r>
        <w:rPr>
          <w:rFonts w:eastAsia="宋体"/>
          <w:b/>
          <w:color w:val="auto"/>
          <w:sz w:val="24"/>
          <w:highlight w:val="none"/>
        </w:rPr>
        <w:t xml:space="preserve">四  </w:t>
      </w:r>
      <w:bookmarkEnd w:id="52"/>
      <w:r>
        <w:rPr>
          <w:rFonts w:hint="eastAsia" w:eastAsia="宋体"/>
          <w:b/>
          <w:color w:val="auto"/>
          <w:sz w:val="24"/>
          <w:highlight w:val="none"/>
        </w:rPr>
        <w:t>响应文件的递交</w:t>
      </w:r>
      <w:r>
        <w:rPr>
          <w:rFonts w:hint="eastAsia" w:eastAsia="宋体"/>
          <w:b/>
          <w:color w:val="auto"/>
          <w:sz w:val="24"/>
          <w:highlight w:val="none"/>
          <w:lang w:val="zh-CN" w:eastAsia="zh-CN"/>
        </w:rPr>
        <w:t>与解密</w:t>
      </w:r>
      <w:r>
        <w:rPr>
          <w:rFonts w:hint="eastAsia" w:eastAsia="宋体"/>
          <w:b/>
          <w:color w:val="auto"/>
          <w:sz w:val="24"/>
          <w:highlight w:val="none"/>
        </w:rPr>
        <w:t>、修改与撤回</w:t>
      </w:r>
    </w:p>
    <w:p w14:paraId="3CB19091">
      <w:pPr>
        <w:widowControl/>
        <w:pBdr>
          <w:top w:val="none" w:color="000000" w:sz="0" w:space="0"/>
          <w:left w:val="none" w:color="000000" w:sz="0" w:space="0"/>
          <w:bottom w:val="none" w:color="000000" w:sz="0" w:space="0"/>
          <w:right w:val="none" w:color="000000" w:sz="0" w:space="0"/>
        </w:pBdr>
        <w:spacing w:before="0" w:after="0" w:line="360" w:lineRule="auto"/>
        <w:ind w:left="0" w:right="0" w:firstLine="482"/>
        <w:jc w:val="both"/>
        <w:outlineLvl w:val="2"/>
        <w:rPr>
          <w:rFonts w:hint="eastAsia" w:ascii="宋体" w:hAnsi="宋体" w:eastAsia="宋体" w:cs="宋体"/>
          <w:color w:val="000000"/>
          <w:kern w:val="0"/>
          <w:sz w:val="24"/>
          <w:szCs w:val="24"/>
        </w:rPr>
      </w:pPr>
      <w:bookmarkStart w:id="53" w:name="_Toc12460"/>
      <w:r>
        <w:rPr>
          <w:rFonts w:hint="eastAsia" w:ascii="宋体" w:hAnsi="宋体" w:eastAsia="宋体" w:cs="宋体"/>
          <w:b/>
          <w:color w:val="000000"/>
          <w:kern w:val="0"/>
          <w:sz w:val="24"/>
          <w:szCs w:val="24"/>
          <w:lang w:val="en-US" w:eastAsia="zh-CN"/>
        </w:rPr>
        <w:t xml:space="preserve">13. </w:t>
      </w:r>
      <w:r>
        <w:rPr>
          <w:rFonts w:hint="eastAsia" w:ascii="宋体" w:hAnsi="宋体" w:eastAsia="宋体" w:cs="宋体"/>
          <w:b/>
          <w:color w:val="000000"/>
          <w:kern w:val="0"/>
          <w:sz w:val="24"/>
          <w:szCs w:val="24"/>
        </w:rPr>
        <w:t>响应文件的</w:t>
      </w:r>
      <w:r>
        <w:rPr>
          <w:rFonts w:hint="eastAsia" w:ascii="宋体" w:hAnsi="宋体" w:eastAsia="宋体" w:cs="宋体"/>
          <w:b/>
          <w:color w:val="000000"/>
          <w:kern w:val="0"/>
          <w:sz w:val="24"/>
          <w:szCs w:val="24"/>
          <w:lang w:val="zh-CN" w:eastAsia="zh-CN"/>
        </w:rPr>
        <w:t>递交与解密</w:t>
      </w:r>
      <w:bookmarkEnd w:id="53"/>
    </w:p>
    <w:p w14:paraId="4A18D5EF">
      <w:pPr>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kern w:val="0"/>
          <w:sz w:val="24"/>
          <w:szCs w:val="24"/>
        </w:rPr>
      </w:pPr>
      <w:r>
        <w:rPr>
          <w:rFonts w:hint="eastAsia" w:ascii="宋体" w:hAnsi="宋体" w:eastAsia="宋体" w:cs="宋体"/>
          <w:color w:val="000000"/>
          <w:kern w:val="0"/>
          <w:sz w:val="24"/>
          <w:szCs w:val="24"/>
        </w:rPr>
        <w:t>1</w:t>
      </w:r>
      <w:r>
        <w:rPr>
          <w:rFonts w:hint="eastAsia" w:ascii="宋体" w:hAnsi="宋体" w:eastAsia="宋体" w:cs="宋体"/>
          <w:color w:val="000000"/>
          <w:kern w:val="0"/>
          <w:sz w:val="24"/>
          <w:szCs w:val="24"/>
          <w:lang w:val="en-US" w:eastAsia="zh-CN"/>
        </w:rPr>
        <w:t>3</w:t>
      </w:r>
      <w:r>
        <w:rPr>
          <w:rFonts w:hint="eastAsia" w:ascii="宋体" w:hAnsi="宋体" w:eastAsia="宋体" w:cs="宋体"/>
          <w:color w:val="000000"/>
          <w:kern w:val="0"/>
          <w:sz w:val="24"/>
          <w:szCs w:val="24"/>
        </w:rPr>
        <w:t>.1</w:t>
      </w:r>
      <w:r>
        <w:rPr>
          <w:rFonts w:hint="eastAsia" w:ascii="宋体" w:hAnsi="宋体" w:eastAsia="宋体" w:cs="宋体"/>
          <w:color w:val="000000"/>
          <w:kern w:val="0"/>
          <w:sz w:val="24"/>
          <w:szCs w:val="24"/>
          <w:lang w:val="en-US" w:eastAsia="zh-CN"/>
        </w:rPr>
        <w:t xml:space="preserve"> </w:t>
      </w:r>
      <w:r>
        <w:rPr>
          <w:rFonts w:hint="eastAsia" w:ascii="宋体" w:hAnsi="宋体" w:eastAsia="宋体" w:cs="宋体"/>
          <w:color w:val="000000"/>
          <w:kern w:val="0"/>
          <w:sz w:val="24"/>
          <w:szCs w:val="24"/>
          <w:highlight w:val="none"/>
          <w:lang w:val="zh-CN" w:eastAsia="zh-CN"/>
        </w:rPr>
        <w:t>供应商应当按照《操作手册》的规定递交电子响应文件，在</w:t>
      </w:r>
      <w:r>
        <w:rPr>
          <w:rFonts w:hint="eastAsia" w:ascii="Arial" w:hAnsi="Arial" w:eastAsia="Arial" w:cs="Arial"/>
          <w:color w:val="000000"/>
          <w:kern w:val="0"/>
          <w:sz w:val="24"/>
          <w:szCs w:val="22"/>
          <w:highlight w:val="none"/>
        </w:rPr>
        <w:t>响应文件提交截止时间前</w:t>
      </w:r>
      <w:r>
        <w:rPr>
          <w:rFonts w:hint="eastAsia" w:ascii="宋体" w:hAnsi="宋体" w:eastAsia="宋体" w:cs="宋体"/>
          <w:color w:val="000000"/>
          <w:kern w:val="0"/>
          <w:sz w:val="24"/>
          <w:szCs w:val="24"/>
          <w:highlight w:val="none"/>
          <w:lang w:val="zh-CN" w:eastAsia="zh-CN"/>
        </w:rPr>
        <w:t>制作并上传电子响应文件。招标代理机构拒绝接收提交响应文件截止时间后上传的任何电子响应文件。</w:t>
      </w:r>
      <w:r>
        <w:rPr>
          <w:rFonts w:hint="eastAsia" w:ascii="宋体" w:hAnsi="宋体" w:eastAsia="宋体" w:cs="宋体"/>
          <w:color w:val="000000"/>
          <w:kern w:val="0"/>
          <w:sz w:val="24"/>
          <w:szCs w:val="24"/>
        </w:rPr>
        <w:t xml:space="preserve"> </w:t>
      </w:r>
    </w:p>
    <w:p w14:paraId="3C09BD0A">
      <w:pPr>
        <w:widowControl/>
        <w:spacing w:line="360" w:lineRule="auto"/>
        <w:ind w:firstLine="480"/>
        <w:jc w:val="left"/>
        <w:rPr>
          <w:rFonts w:hint="eastAsia" w:ascii="宋体" w:hAnsi="宋体" w:eastAsia="宋体" w:cs="宋体"/>
          <w:color w:val="000000"/>
          <w:kern w:val="0"/>
          <w:sz w:val="24"/>
          <w:szCs w:val="24"/>
          <w:highlight w:val="none"/>
          <w:lang w:val="zh-CN" w:eastAsia="zh-CN"/>
        </w:rPr>
      </w:pPr>
      <w:r>
        <w:rPr>
          <w:rFonts w:hint="eastAsia" w:ascii="宋体" w:hAnsi="宋体" w:eastAsia="宋体" w:cs="宋体"/>
          <w:color w:val="000000"/>
          <w:kern w:val="0"/>
          <w:sz w:val="24"/>
          <w:szCs w:val="24"/>
          <w:highlight w:val="none"/>
          <w:lang w:val="en-US" w:eastAsia="zh-CN"/>
        </w:rPr>
        <w:t>13</w:t>
      </w:r>
      <w:r>
        <w:rPr>
          <w:rFonts w:hint="eastAsia" w:ascii="宋体" w:hAnsi="宋体" w:eastAsia="宋体" w:cs="宋体"/>
          <w:color w:val="000000"/>
          <w:kern w:val="0"/>
          <w:sz w:val="24"/>
          <w:szCs w:val="24"/>
          <w:highlight w:val="none"/>
          <w:lang w:val="zh-CN" w:eastAsia="zh-CN"/>
        </w:rPr>
        <w:t>.2</w:t>
      </w:r>
      <w:r>
        <w:rPr>
          <w:rFonts w:hint="eastAsia" w:ascii="宋体" w:hAnsi="宋体" w:eastAsia="宋体" w:cs="宋体"/>
          <w:color w:val="000000"/>
          <w:kern w:val="0"/>
          <w:sz w:val="24"/>
          <w:szCs w:val="24"/>
          <w:highlight w:val="none"/>
          <w:lang w:val="en-US" w:eastAsia="zh-CN"/>
        </w:rPr>
        <w:t xml:space="preserve"> </w:t>
      </w:r>
      <w:r>
        <w:rPr>
          <w:rFonts w:hint="eastAsia" w:ascii="宋体" w:hAnsi="宋体" w:eastAsia="宋体" w:cs="宋体"/>
          <w:color w:val="000000"/>
          <w:kern w:val="0"/>
          <w:sz w:val="24"/>
          <w:szCs w:val="24"/>
          <w:highlight w:val="none"/>
          <w:lang w:val="zh-CN" w:eastAsia="zh-CN"/>
        </w:rPr>
        <w:t>供应商应当按照《操作手册》规定，在</w:t>
      </w:r>
      <w:r>
        <w:rPr>
          <w:rFonts w:hint="eastAsia" w:ascii="宋体" w:hAnsi="宋体" w:eastAsia="宋体" w:cs="宋体"/>
          <w:color w:val="000000"/>
          <w:kern w:val="0"/>
          <w:sz w:val="24"/>
          <w:szCs w:val="24"/>
          <w:highlight w:val="none"/>
          <w:lang w:val="zh-CN"/>
        </w:rPr>
        <w:t>“苏采云”</w:t>
      </w:r>
      <w:r>
        <w:rPr>
          <w:rFonts w:hint="eastAsia" w:ascii="宋体" w:hAnsi="宋体" w:eastAsia="宋体" w:cs="宋体"/>
          <w:color w:val="000000"/>
          <w:kern w:val="0"/>
          <w:sz w:val="24"/>
          <w:szCs w:val="24"/>
          <w:highlight w:val="none"/>
          <w:lang w:val="zh-CN" w:eastAsia="zh-CN"/>
        </w:rPr>
        <w:t>系统规定的时间内对响应文件进行解密。</w:t>
      </w:r>
    </w:p>
    <w:p w14:paraId="30594CE8">
      <w:pPr>
        <w:widowControl/>
        <w:spacing w:line="360" w:lineRule="auto"/>
        <w:ind w:firstLine="480"/>
        <w:jc w:val="left"/>
        <w:rPr>
          <w:rFonts w:hint="eastAsia" w:ascii="宋体" w:hAnsi="宋体" w:eastAsia="宋体" w:cs="宋体"/>
          <w:color w:val="000000"/>
          <w:kern w:val="0"/>
          <w:sz w:val="24"/>
          <w:szCs w:val="24"/>
          <w:highlight w:val="none"/>
          <w:lang w:val="zh-CN"/>
        </w:rPr>
      </w:pPr>
      <w:r>
        <w:rPr>
          <w:rFonts w:hint="eastAsia" w:ascii="宋体" w:hAnsi="宋体" w:eastAsia="宋体" w:cs="宋体"/>
          <w:color w:val="000000"/>
          <w:kern w:val="0"/>
          <w:sz w:val="24"/>
          <w:szCs w:val="24"/>
          <w:highlight w:val="none"/>
          <w:lang w:val="en-US" w:eastAsia="zh-CN"/>
        </w:rPr>
        <w:t>13</w:t>
      </w:r>
      <w:r>
        <w:rPr>
          <w:rFonts w:hint="eastAsia" w:ascii="宋体" w:hAnsi="宋体" w:eastAsia="宋体" w:cs="宋体"/>
          <w:color w:val="000000"/>
          <w:kern w:val="0"/>
          <w:sz w:val="24"/>
          <w:szCs w:val="24"/>
          <w:highlight w:val="none"/>
          <w:lang w:val="zh-CN" w:eastAsia="zh-CN"/>
        </w:rPr>
        <w:t>.3</w:t>
      </w:r>
      <w:r>
        <w:rPr>
          <w:rFonts w:hint="eastAsia" w:ascii="宋体" w:hAnsi="宋体" w:eastAsia="宋体" w:cs="宋体"/>
          <w:color w:val="000000"/>
          <w:kern w:val="0"/>
          <w:sz w:val="24"/>
          <w:szCs w:val="24"/>
          <w:highlight w:val="none"/>
          <w:lang w:val="en-US" w:eastAsia="zh-CN"/>
        </w:rPr>
        <w:t xml:space="preserve"> </w:t>
      </w:r>
      <w:r>
        <w:rPr>
          <w:rFonts w:hint="eastAsia" w:ascii="宋体" w:hAnsi="宋体" w:eastAsia="宋体" w:cs="宋体"/>
          <w:color w:val="000000"/>
          <w:kern w:val="0"/>
          <w:sz w:val="24"/>
          <w:szCs w:val="24"/>
          <w:highlight w:val="none"/>
          <w:lang w:val="zh-CN" w:eastAsia="zh-CN"/>
        </w:rPr>
        <w:t>供应商应充分考虑到网络环境、网络带宽等风险因素，如因供应商自身原因造成电子响应文件未</w:t>
      </w:r>
      <w:r>
        <w:rPr>
          <w:rFonts w:hint="eastAsia" w:ascii="宋体" w:hAnsi="宋体" w:eastAsia="宋体" w:cs="宋体"/>
          <w:color w:val="000000"/>
          <w:kern w:val="0"/>
          <w:sz w:val="24"/>
          <w:szCs w:val="24"/>
          <w:highlight w:val="none"/>
          <w:lang w:val="zh-CN"/>
        </w:rPr>
        <w:t>在“苏采云”系统规定的时间内成功解密</w:t>
      </w:r>
      <w:r>
        <w:rPr>
          <w:rFonts w:hint="eastAsia" w:ascii="宋体" w:hAnsi="宋体" w:eastAsia="宋体" w:cs="宋体"/>
          <w:color w:val="000000"/>
          <w:kern w:val="0"/>
          <w:sz w:val="24"/>
          <w:szCs w:val="24"/>
          <w:highlight w:val="none"/>
          <w:lang w:val="zh-CN" w:eastAsia="zh-CN"/>
        </w:rPr>
        <w:t>的，按照本磋商文件规定做无效响应处理。</w:t>
      </w:r>
      <w:r>
        <w:rPr>
          <w:rFonts w:hint="eastAsia" w:ascii="宋体" w:hAnsi="宋体" w:eastAsia="宋体" w:cs="宋体"/>
          <w:color w:val="000000"/>
          <w:kern w:val="0"/>
          <w:sz w:val="24"/>
          <w:szCs w:val="24"/>
          <w:highlight w:val="none"/>
        </w:rPr>
        <w:t>部分响应文件未解密的，其他响应文件的评</w:t>
      </w:r>
      <w:r>
        <w:rPr>
          <w:rFonts w:hint="eastAsia" w:ascii="宋体" w:hAnsi="宋体" w:eastAsia="宋体" w:cs="宋体"/>
          <w:color w:val="000000"/>
          <w:kern w:val="0"/>
          <w:sz w:val="24"/>
          <w:szCs w:val="24"/>
          <w:highlight w:val="none"/>
          <w:lang w:val="en-US" w:eastAsia="zh-CN"/>
        </w:rPr>
        <w:t>审</w:t>
      </w:r>
      <w:r>
        <w:rPr>
          <w:rFonts w:hint="eastAsia" w:ascii="宋体" w:hAnsi="宋体" w:eastAsia="宋体" w:cs="宋体"/>
          <w:color w:val="000000"/>
          <w:kern w:val="0"/>
          <w:sz w:val="24"/>
          <w:szCs w:val="24"/>
          <w:highlight w:val="none"/>
        </w:rPr>
        <w:t>可以继续进行。</w:t>
      </w:r>
    </w:p>
    <w:p w14:paraId="792D2DC6">
      <w:pPr>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 xml:space="preserve">13.4 </w:t>
      </w:r>
      <w:r>
        <w:rPr>
          <w:rFonts w:hint="eastAsia" w:ascii="宋体" w:hAnsi="宋体" w:eastAsia="宋体" w:cs="宋体"/>
          <w:color w:val="000000"/>
          <w:kern w:val="0"/>
          <w:sz w:val="24"/>
          <w:szCs w:val="24"/>
          <w:highlight w:val="none"/>
        </w:rPr>
        <w:t>因采购人原因或网上平台发生故障，导致无法按时完成响应文件解密或</w:t>
      </w:r>
      <w:r>
        <w:rPr>
          <w:rFonts w:hint="eastAsia" w:ascii="宋体" w:hAnsi="宋体" w:eastAsia="宋体" w:cs="宋体"/>
          <w:color w:val="000000"/>
          <w:kern w:val="0"/>
          <w:sz w:val="24"/>
          <w:szCs w:val="24"/>
          <w:highlight w:val="none"/>
          <w:lang w:val="en-US" w:eastAsia="zh-CN"/>
        </w:rPr>
        <w:t>磋商</w:t>
      </w:r>
      <w:r>
        <w:rPr>
          <w:rFonts w:hint="eastAsia" w:ascii="宋体" w:hAnsi="宋体" w:eastAsia="宋体" w:cs="宋体"/>
          <w:color w:val="000000"/>
          <w:kern w:val="0"/>
          <w:sz w:val="24"/>
          <w:szCs w:val="24"/>
          <w:highlight w:val="none"/>
        </w:rPr>
        <w:t>工作无法进行的，可根据实际情况相应延迟解密时间或调整</w:t>
      </w:r>
      <w:r>
        <w:rPr>
          <w:rFonts w:hint="eastAsia" w:ascii="宋体" w:hAnsi="宋体" w:eastAsia="宋体" w:cs="宋体"/>
          <w:color w:val="000000"/>
          <w:kern w:val="0"/>
          <w:sz w:val="24"/>
          <w:szCs w:val="24"/>
          <w:highlight w:val="none"/>
          <w:lang w:val="en-US" w:eastAsia="zh-CN"/>
        </w:rPr>
        <w:t>磋商</w:t>
      </w:r>
      <w:r>
        <w:rPr>
          <w:rFonts w:hint="eastAsia" w:ascii="宋体" w:hAnsi="宋体" w:eastAsia="宋体" w:cs="宋体"/>
          <w:color w:val="000000"/>
          <w:kern w:val="0"/>
          <w:sz w:val="24"/>
          <w:szCs w:val="24"/>
          <w:highlight w:val="none"/>
        </w:rPr>
        <w:t>时间。</w:t>
      </w:r>
    </w:p>
    <w:p w14:paraId="20AA996C">
      <w:pPr>
        <w:widowControl/>
        <w:pBdr>
          <w:top w:val="none" w:color="000000" w:sz="0" w:space="0"/>
          <w:left w:val="none" w:color="000000" w:sz="0" w:space="0"/>
          <w:bottom w:val="none" w:color="000000" w:sz="0" w:space="0"/>
          <w:right w:val="none" w:color="000000" w:sz="0" w:space="0"/>
        </w:pBdr>
        <w:spacing w:before="0" w:after="0" w:line="360" w:lineRule="auto"/>
        <w:ind w:left="0" w:right="0" w:firstLine="482"/>
        <w:jc w:val="both"/>
        <w:outlineLvl w:val="2"/>
        <w:rPr>
          <w:rFonts w:hint="eastAsia" w:ascii="宋体" w:hAnsi="宋体" w:eastAsia="宋体" w:cs="宋体"/>
          <w:kern w:val="0"/>
          <w:sz w:val="24"/>
          <w:szCs w:val="24"/>
          <w:highlight w:val="none"/>
        </w:rPr>
      </w:pPr>
      <w:bookmarkStart w:id="54" w:name="_Toc19778"/>
      <w:r>
        <w:rPr>
          <w:rFonts w:hint="eastAsia" w:ascii="宋体" w:hAnsi="宋体" w:eastAsia="宋体" w:cs="宋体"/>
          <w:b/>
          <w:bCs/>
          <w:color w:val="000000"/>
          <w:kern w:val="0"/>
          <w:sz w:val="24"/>
          <w:szCs w:val="24"/>
          <w:highlight w:val="none"/>
          <w:lang w:val="en-US" w:eastAsia="zh-CN"/>
        </w:rPr>
        <w:t xml:space="preserve">14. </w:t>
      </w:r>
      <w:r>
        <w:rPr>
          <w:rFonts w:hint="eastAsia" w:ascii="宋体" w:hAnsi="宋体" w:eastAsia="宋体" w:cs="宋体"/>
          <w:b/>
          <w:color w:val="000000"/>
          <w:kern w:val="0"/>
          <w:sz w:val="24"/>
          <w:szCs w:val="24"/>
          <w:highlight w:val="none"/>
        </w:rPr>
        <w:t>响应文件的修改和撤回</w:t>
      </w:r>
      <w:bookmarkEnd w:id="54"/>
    </w:p>
    <w:p w14:paraId="59FE3AD6">
      <w:pPr>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1</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.1</w:t>
      </w:r>
      <w:r>
        <w:rPr>
          <w:rFonts w:hint="eastAsia" w:ascii="宋体" w:hAnsi="宋体" w:eastAsia="宋体" w:cs="宋体"/>
          <w:color w:val="000000"/>
          <w:kern w:val="0"/>
          <w:sz w:val="24"/>
          <w:szCs w:val="24"/>
          <w:highlight w:val="none"/>
          <w:lang w:val="en-US" w:eastAsia="zh-CN"/>
        </w:rPr>
        <w:t xml:space="preserve"> </w:t>
      </w:r>
      <w:r>
        <w:rPr>
          <w:rFonts w:hint="eastAsia" w:ascii="宋体" w:hAnsi="宋体" w:eastAsia="宋体" w:cs="宋体"/>
          <w:color w:val="000000"/>
          <w:kern w:val="0"/>
          <w:sz w:val="24"/>
          <w:szCs w:val="24"/>
          <w:highlight w:val="none"/>
        </w:rPr>
        <w:t>供应商可在</w:t>
      </w:r>
      <w:r>
        <w:rPr>
          <w:rFonts w:hint="eastAsia" w:ascii="宋体" w:hAnsi="宋体" w:eastAsia="宋体" w:cs="宋体"/>
          <w:color w:val="000000"/>
          <w:kern w:val="0"/>
          <w:sz w:val="24"/>
          <w:szCs w:val="24"/>
          <w:highlight w:val="none"/>
          <w:lang w:val="zh-CN" w:eastAsia="zh-CN"/>
        </w:rPr>
        <w:t>提交响应文件截止时间</w:t>
      </w:r>
      <w:r>
        <w:rPr>
          <w:rFonts w:hint="eastAsia" w:ascii="宋体" w:hAnsi="宋体" w:eastAsia="宋体" w:cs="宋体"/>
          <w:color w:val="000000"/>
          <w:kern w:val="0"/>
          <w:sz w:val="24"/>
          <w:szCs w:val="24"/>
          <w:highlight w:val="none"/>
        </w:rPr>
        <w:t>前撤回其电子响应文件，具体操作方法见《操作手册》。</w:t>
      </w:r>
    </w:p>
    <w:p w14:paraId="6995E25E">
      <w:pPr>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1</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.2</w:t>
      </w:r>
      <w:r>
        <w:rPr>
          <w:rFonts w:hint="eastAsia" w:ascii="宋体" w:hAnsi="宋体" w:eastAsia="宋体" w:cs="宋体"/>
          <w:color w:val="000000"/>
          <w:kern w:val="0"/>
          <w:sz w:val="24"/>
          <w:szCs w:val="24"/>
          <w:highlight w:val="none"/>
          <w:lang w:val="en-US" w:eastAsia="zh-CN"/>
        </w:rPr>
        <w:t xml:space="preserve"> </w:t>
      </w:r>
      <w:r>
        <w:rPr>
          <w:rFonts w:hint="eastAsia" w:ascii="宋体" w:hAnsi="宋体" w:eastAsia="宋体" w:cs="宋体"/>
          <w:color w:val="000000"/>
          <w:kern w:val="0"/>
          <w:sz w:val="24"/>
          <w:szCs w:val="24"/>
          <w:highlight w:val="none"/>
        </w:rPr>
        <w:t>供应商撤回电子响应文件，则认为其不再参与本项目响应活动。</w:t>
      </w:r>
    </w:p>
    <w:p w14:paraId="76D47A0B">
      <w:pPr>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1</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.3</w:t>
      </w:r>
      <w:r>
        <w:rPr>
          <w:rFonts w:hint="eastAsia" w:ascii="宋体" w:hAnsi="宋体" w:eastAsia="宋体" w:cs="宋体"/>
          <w:color w:val="000000"/>
          <w:kern w:val="0"/>
          <w:sz w:val="24"/>
          <w:szCs w:val="24"/>
          <w:highlight w:val="none"/>
          <w:lang w:val="en-US" w:eastAsia="zh-CN"/>
        </w:rPr>
        <w:t xml:space="preserve"> </w:t>
      </w:r>
      <w:r>
        <w:rPr>
          <w:rFonts w:hint="eastAsia" w:ascii="宋体" w:hAnsi="宋体" w:eastAsia="宋体" w:cs="宋体"/>
          <w:color w:val="000000"/>
          <w:kern w:val="0"/>
          <w:sz w:val="24"/>
          <w:szCs w:val="24"/>
          <w:highlight w:val="none"/>
        </w:rPr>
        <w:t>供应商可在</w:t>
      </w:r>
      <w:r>
        <w:rPr>
          <w:rFonts w:hint="eastAsia" w:ascii="宋体" w:hAnsi="宋体" w:eastAsia="宋体" w:cs="宋体"/>
          <w:color w:val="000000"/>
          <w:kern w:val="0"/>
          <w:sz w:val="24"/>
          <w:szCs w:val="24"/>
          <w:highlight w:val="none"/>
          <w:lang w:val="zh-CN" w:eastAsia="zh-CN"/>
        </w:rPr>
        <w:t>提交响应文件截止时间</w:t>
      </w:r>
      <w:r>
        <w:rPr>
          <w:rFonts w:hint="eastAsia" w:ascii="宋体" w:hAnsi="宋体" w:eastAsia="宋体" w:cs="宋体"/>
          <w:color w:val="000000"/>
          <w:kern w:val="0"/>
          <w:sz w:val="24"/>
          <w:szCs w:val="24"/>
          <w:highlight w:val="none"/>
        </w:rPr>
        <w:t>对其电子响应文件进行修改，具体操作方法见《操作手册》。</w:t>
      </w:r>
    </w:p>
    <w:p w14:paraId="6F310DB3">
      <w:pPr>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1</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.4</w:t>
      </w:r>
      <w:r>
        <w:rPr>
          <w:rFonts w:hint="eastAsia" w:ascii="宋体" w:hAnsi="宋体" w:eastAsia="宋体" w:cs="宋体"/>
          <w:color w:val="000000"/>
          <w:kern w:val="0"/>
          <w:sz w:val="24"/>
          <w:szCs w:val="24"/>
          <w:highlight w:val="none"/>
          <w:lang w:val="en-US" w:eastAsia="zh-CN"/>
        </w:rPr>
        <w:t xml:space="preserve"> 提交响应文件截止时间</w:t>
      </w:r>
      <w:r>
        <w:rPr>
          <w:rFonts w:hint="eastAsia" w:ascii="宋体" w:hAnsi="宋体" w:eastAsia="宋体" w:cs="宋体"/>
          <w:color w:val="000000"/>
          <w:kern w:val="0"/>
          <w:sz w:val="24"/>
          <w:szCs w:val="24"/>
          <w:highlight w:val="none"/>
        </w:rPr>
        <w:t>之后，供应商不得对其电子响应文件作任何修改。</w:t>
      </w:r>
      <w:r>
        <w:rPr>
          <w:rFonts w:hint="eastAsia" w:ascii="宋体" w:hAnsi="宋体" w:eastAsia="宋体" w:cs="宋体"/>
          <w:color w:val="000000"/>
          <w:kern w:val="0"/>
          <w:sz w:val="24"/>
          <w:szCs w:val="24"/>
          <w:highlight w:val="none"/>
          <w:lang w:val="zh-CN"/>
        </w:rPr>
        <w:t>但属于磋商小组在评审中发现的计算错误并进行核实的修改、按照磋商文件的变动情况和磋商小组的要求重新提交响应文件的，不在此列。</w:t>
      </w:r>
    </w:p>
    <w:p w14:paraId="7EF07FAD">
      <w:pPr>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eastAsia="宋体"/>
          <w:color w:val="auto"/>
          <w:sz w:val="24"/>
          <w:highlight w:val="none"/>
        </w:rPr>
      </w:pPr>
      <w:r>
        <w:rPr>
          <w:rFonts w:hint="eastAsia" w:ascii="宋体" w:hAnsi="宋体" w:eastAsia="宋体" w:cs="宋体"/>
          <w:color w:val="000000"/>
          <w:kern w:val="0"/>
          <w:sz w:val="24"/>
          <w:szCs w:val="24"/>
          <w:highlight w:val="none"/>
        </w:rPr>
        <w:t>1</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.5</w:t>
      </w:r>
      <w:r>
        <w:rPr>
          <w:rFonts w:hint="eastAsia" w:ascii="宋体" w:hAnsi="宋体" w:eastAsia="宋体" w:cs="宋体"/>
          <w:color w:val="000000"/>
          <w:kern w:val="0"/>
          <w:sz w:val="24"/>
          <w:szCs w:val="24"/>
          <w:highlight w:val="none"/>
          <w:lang w:val="en-US" w:eastAsia="zh-CN"/>
        </w:rPr>
        <w:t xml:space="preserve"> </w:t>
      </w:r>
      <w:r>
        <w:rPr>
          <w:rFonts w:hint="eastAsia" w:ascii="宋体" w:hAnsi="宋体" w:eastAsia="宋体" w:cs="宋体"/>
          <w:color w:val="000000"/>
          <w:kern w:val="0"/>
          <w:sz w:val="24"/>
          <w:szCs w:val="24"/>
          <w:highlight w:val="none"/>
        </w:rPr>
        <w:t>在</w:t>
      </w:r>
      <w:r>
        <w:rPr>
          <w:rFonts w:hint="eastAsia" w:ascii="宋体" w:hAnsi="宋体" w:eastAsia="宋体" w:cs="宋体"/>
          <w:color w:val="000000"/>
          <w:kern w:val="0"/>
          <w:sz w:val="24"/>
          <w:szCs w:val="24"/>
          <w:highlight w:val="none"/>
          <w:lang w:val="zh-CN" w:eastAsia="zh-CN"/>
        </w:rPr>
        <w:t>提交响应文件截止时间</w:t>
      </w:r>
      <w:r>
        <w:rPr>
          <w:rFonts w:hint="eastAsia" w:ascii="宋体" w:hAnsi="宋体" w:eastAsia="宋体" w:cs="宋体"/>
          <w:color w:val="000000"/>
          <w:kern w:val="0"/>
          <w:sz w:val="24"/>
          <w:szCs w:val="24"/>
          <w:highlight w:val="none"/>
        </w:rPr>
        <w:t>至采购文件中规定的</w:t>
      </w:r>
      <w:r>
        <w:rPr>
          <w:rFonts w:hint="eastAsia" w:ascii="宋体" w:hAnsi="宋体" w:eastAsia="宋体" w:cs="宋体"/>
          <w:color w:val="000000"/>
          <w:kern w:val="0"/>
          <w:sz w:val="24"/>
          <w:szCs w:val="24"/>
          <w:highlight w:val="none"/>
          <w:lang w:val="en-US" w:eastAsia="zh-CN"/>
        </w:rPr>
        <w:t>磋商</w:t>
      </w:r>
      <w:r>
        <w:rPr>
          <w:rFonts w:hint="eastAsia" w:ascii="宋体" w:hAnsi="宋体" w:eastAsia="宋体" w:cs="宋体"/>
          <w:color w:val="000000"/>
          <w:kern w:val="0"/>
          <w:sz w:val="24"/>
          <w:szCs w:val="24"/>
          <w:highlight w:val="none"/>
        </w:rPr>
        <w:t>有效期满之间的这段时间内，供应商不得</w:t>
      </w:r>
      <w:r>
        <w:rPr>
          <w:rFonts w:hint="eastAsia" w:ascii="宋体" w:hAnsi="宋体" w:eastAsia="宋体" w:cs="宋体"/>
          <w:color w:val="000000"/>
          <w:kern w:val="0"/>
          <w:sz w:val="24"/>
          <w:szCs w:val="24"/>
          <w:highlight w:val="none"/>
          <w:lang w:val="en-US" w:eastAsia="zh-CN"/>
        </w:rPr>
        <w:t>撤销</w:t>
      </w:r>
      <w:r>
        <w:rPr>
          <w:rFonts w:hint="eastAsia" w:ascii="宋体" w:hAnsi="宋体" w:eastAsia="宋体" w:cs="宋体"/>
          <w:color w:val="000000"/>
          <w:kern w:val="0"/>
          <w:sz w:val="24"/>
          <w:szCs w:val="24"/>
          <w:highlight w:val="none"/>
        </w:rPr>
        <w:t>其响应</w:t>
      </w:r>
      <w:r>
        <w:rPr>
          <w:rFonts w:eastAsia="宋体"/>
          <w:color w:val="auto"/>
          <w:sz w:val="24"/>
          <w:highlight w:val="none"/>
        </w:rPr>
        <w:t>。</w:t>
      </w:r>
    </w:p>
    <w:p w14:paraId="3DC09082">
      <w:pPr>
        <w:snapToGrid w:val="0"/>
        <w:spacing w:line="360" w:lineRule="auto"/>
        <w:ind w:firstLine="482" w:firstLineChars="200"/>
        <w:rPr>
          <w:rFonts w:hint="eastAsia" w:eastAsia="宋体"/>
          <w:color w:val="auto"/>
          <w:sz w:val="24"/>
          <w:highlight w:val="none"/>
        </w:rPr>
      </w:pPr>
      <w:bookmarkStart w:id="55" w:name="_Toc401573844"/>
      <w:r>
        <w:rPr>
          <w:rFonts w:eastAsia="宋体"/>
          <w:b/>
          <w:color w:val="auto"/>
          <w:sz w:val="24"/>
          <w:highlight w:val="none"/>
        </w:rPr>
        <w:t xml:space="preserve">五  </w:t>
      </w:r>
      <w:bookmarkEnd w:id="55"/>
      <w:r>
        <w:rPr>
          <w:rFonts w:hint="eastAsia" w:eastAsia="宋体"/>
          <w:color w:val="auto"/>
          <w:sz w:val="24"/>
          <w:highlight w:val="none"/>
        </w:rPr>
        <w:t>磋商组织及程序</w:t>
      </w:r>
    </w:p>
    <w:p w14:paraId="2455F7DC">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15. 磋商小组</w:t>
      </w:r>
    </w:p>
    <w:p w14:paraId="06620E2A">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15.1 本项目将依法组建磋商小组，磋商小组成员由3人以上（含）单数组成，磋商小组及其成员应当依照政府采购的有关规定履行相关职责和义务。</w:t>
      </w:r>
    </w:p>
    <w:p w14:paraId="501D61D0">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15.2 磋商小组依法对响应文件进行评审，并根据磋商文件规定的程序与实质性响应磋商文件要求的供应商进行磋商。</w:t>
      </w:r>
    </w:p>
    <w:p w14:paraId="312CD435">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15.3 磋商小组应当从质量和服务均能满足磋商文件实质性响应要求的供应商中，按照评审方法和标准推荐成交候选供应商，并编写评审报告。</w:t>
      </w:r>
    </w:p>
    <w:p w14:paraId="6113C4B7">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16. 评审过程的保密性</w:t>
      </w:r>
    </w:p>
    <w:p w14:paraId="28229811">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16.1 评审将在严格保密的情况下进行。</w:t>
      </w:r>
    </w:p>
    <w:p w14:paraId="690A0123">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16.2 有关人员应当遵守评审工作纪律，不得泄露评审文件、评审情况和评审中获悉的国家秘密、商业秘密。</w:t>
      </w:r>
    </w:p>
    <w:p w14:paraId="2115953D">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17. 澄清有关问题</w:t>
      </w:r>
    </w:p>
    <w:p w14:paraId="0133665C">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17.1 项目评审期间，磋商小组有权要求供应商对响应文件中含义不明确、同类问题表述不一致或者有明显文字和计算错误的内容等作出必要的澄清、说明或更正。供应商的澄清、说明或更正不得超出响应文件的范围或者改变响应文件的实质性内容。</w:t>
      </w:r>
    </w:p>
    <w:p w14:paraId="32020944">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17.2 需要供应商进行澄清、说明或更正的，磋商小组将通过“苏采云”系统向供应商发出澄清、说明或更正要求，接到澄清、说明或更正要求的供应商应当按照要求在“苏采云”系统中提交澄清、说明或更正并加盖电子公章。澄清、说明和更正的内容作为响应文件的补充部分，具体操作方式见《操作手册》。</w:t>
      </w:r>
    </w:p>
    <w:p w14:paraId="3AE3294F">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17.3 接到磋商小组澄清、说明或更正要求的供应商如未按规定做出澄清、说明或更正，其风险由供应商自行承担。供应商拒不按照要求对响应件进行澄清、说明或更正的，视其放弃该项权利。</w:t>
      </w:r>
    </w:p>
    <w:p w14:paraId="6D5E59A6">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17.4 供应商在评审全过程中应保持通讯畅通，及时登录“苏采云”系统查阅、答复相关信息。</w:t>
      </w:r>
    </w:p>
    <w:p w14:paraId="7747CF68">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18. 磋商程序</w:t>
      </w:r>
    </w:p>
    <w:p w14:paraId="72D9C629">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18.1 响应文件的资格性检查。</w:t>
      </w:r>
    </w:p>
    <w:p w14:paraId="41FAEC96">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由磋商小组依据法律法规和磋商文件的规定，对响应文件中的资格证明文件进行审查，以确定供应商是否具备参加磋商的资格。</w:t>
      </w:r>
    </w:p>
    <w:p w14:paraId="2C9CBE62">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磋商小组将在提交响应文件截止时间后至评审结束前通过“信用中国”网站(www.creditchina.gov.cn)、中国政府采购网(www.ccgp.gov.cn)查询相关供应商信用记录，并对供应商信用记录进行甄别，对列入“信用中国”网站(www.creditchina.gov.cn)失信被执行人名单、重大税收违法案件当事人名单、中国政府采购网(www.ccgp.gov.cn)政府采购严重违法失信行为记录名单及其他不符合《中华人民共和国政府采购法》第二十二条规定条件的供应商，其响应文件将被认定为响应无效。</w:t>
      </w:r>
    </w:p>
    <w:p w14:paraId="06802AE4">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以联合体形式参加磋商的，联合体成员存在以上不良信用记录的，联合体磋商将被认定为响应无效。</w:t>
      </w:r>
    </w:p>
    <w:p w14:paraId="72528E37">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以上信用查询记录，采购人或采购代理机构将下载查询结果页面后与其他采购文件一并保存。供应商不良信用记录以磋商小组查询结果为准。在本磋商文件规定的查询时间之外，网站信息发生的任何变更均不作为评审依据。供应商自行提供的与网站信息不一致的其他证明材料亦不作为评审依据。</w:t>
      </w:r>
    </w:p>
    <w:p w14:paraId="720BACFA">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18.2 响应文件的符合性检查。</w:t>
      </w:r>
    </w:p>
    <w:p w14:paraId="230D1332">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依据磋商文件的规定，由磋商小组从响应文件的有效性、完整性和对磋商文件的响应程度进行审查，以确定是否对磋商文件的实质性要求作出响应。实质性响应的响应文件应该是与磋商文件要求的全部实质性条款、条件和规格相符，没有重大偏离或保留的响应。</w:t>
      </w:r>
    </w:p>
    <w:p w14:paraId="17D55E9A">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577EAA70">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 xml:space="preserve"> 出现下列情形之一的响应文件按照无效处理：</w:t>
      </w:r>
    </w:p>
    <w:p w14:paraId="629DF7F8">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（1）供应商未按照磋商文件要求上传电子响应文件的。</w:t>
      </w:r>
    </w:p>
    <w:p w14:paraId="7D62B5BF">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（2）供应商在“苏采云”系统规定的时间内未成功解密电子响应文件的。</w:t>
      </w:r>
    </w:p>
    <w:p w14:paraId="314F96E4">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（3）响应文件未按照磋商文件要求签署、盖章的。</w:t>
      </w:r>
    </w:p>
    <w:p w14:paraId="3FE306FC">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（4）响应文件中承诺的磋商有效期不满足磋商文件中载明的磋商有效期。</w:t>
      </w:r>
    </w:p>
    <w:p w14:paraId="3773904D">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（5）供应商在响应文件中提供的货物及/或服务对于磋商文件中标注“★”要求的存在负偏离的。</w:t>
      </w:r>
    </w:p>
    <w:p w14:paraId="00505217">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（6）供应商同一采购包提交两个（含两个）以上不同的响应文件或者最后报价的。</w:t>
      </w:r>
    </w:p>
    <w:p w14:paraId="1258F9A0">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（7）供应商的报价超过了项目最高限价。</w:t>
      </w:r>
    </w:p>
    <w:p w14:paraId="454ECC91">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（8）响应文件含有采购人不能接受的附加条件的。</w:t>
      </w:r>
    </w:p>
    <w:p w14:paraId="39927D6B">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（9）响应文件不符合法律、行政法规规定或磋商文件列明的其他实质性要求。</w:t>
      </w:r>
    </w:p>
    <w:p w14:paraId="474D5570">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18.4 磋商</w:t>
      </w:r>
    </w:p>
    <w:p w14:paraId="12ED6426">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磋商小组所有成员应当集中与单一供应商分别进行磋商，并给予所有参加磋商的供应商平等的磋商机会。</w:t>
      </w:r>
    </w:p>
    <w:p w14:paraId="34D03788">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磋商过程中，磋商小组根据磋商文件和磋商情况可能实质性变动采购需求中的技术、服务要求以及合同草案条款，但不得变动磋商文件中的其他内容。实质性变动的内容，须经采购人代表确认。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29B106AD">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18.5 最后报价</w:t>
      </w:r>
    </w:p>
    <w:p w14:paraId="18427659">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18.5.1 磋商结束后，磋商小组将通过“苏采云”系统要求所有实质性响应的供应商在规定时间内提交最后报价。</w:t>
      </w:r>
    </w:p>
    <w:p w14:paraId="07F19EC1">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18.5.2 最后报价是供应商响应文件的有效组成部分，最后报价也是签订合同的依据。</w:t>
      </w:r>
    </w:p>
    <w:p w14:paraId="656AC818">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18.5.3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3B74DC8F">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18.6异常低价响应审查</w:t>
      </w:r>
    </w:p>
    <w:p w14:paraId="3125C609">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根据《关于推进解决政府采购异常低价问题的通知》（财库〔2026〕2号），评标（磋商）过程中出现下列情形之一的，评标委员会（磋商小组）应当启动异常低价投标审查程序：</w:t>
      </w:r>
    </w:p>
    <w:p w14:paraId="5EA53342">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（1）投标报价低于采购项目预算50%的，即投标报价＜采购项目预算×50%；</w:t>
      </w:r>
    </w:p>
    <w:p w14:paraId="6374C7B0">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（2）投标报价低于采购项目最高限价45%的，即投标报价＜采购项目最高限价×45%；</w:t>
      </w:r>
    </w:p>
    <w:p w14:paraId="2958EB83">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（3）评标委员会（磋商小组）认定的供应商报价过低、有可能影响产品质量或者不能诚信履约的其他情形。</w:t>
      </w:r>
    </w:p>
    <w:p w14:paraId="056B93A2">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 xml:space="preserve"> 启动异常低价投标审查后，评标委员会（磋商小组）应当要求相关供应商在评标现场合理的时间内，提供项目具体成本测算等与报价合理性相关的书面说明材料及相关证明材料，对投标价格作出解释，由评标委员会（磋商小组）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p>
    <w:p w14:paraId="35414177">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18.7 综合评分</w:t>
      </w:r>
    </w:p>
    <w:p w14:paraId="1B8E2911">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经磋商确定最终采购需求和提交最后报价的供应商后，由磋商小组采用综合评分法对供应商的响应文件和最后报价进行综合评分。</w:t>
      </w:r>
    </w:p>
    <w:p w14:paraId="3C19FFF6">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磋商小组各成员独立对每个有效响应的文件进行评价、打分，然后汇总每个供应商每项评分因素的得分。</w:t>
      </w:r>
    </w:p>
    <w:p w14:paraId="6BC54503">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19.成交候选供应商的推荐原则及标准</w:t>
      </w:r>
    </w:p>
    <w:p w14:paraId="2C906DF8">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19.1 如一个分包内只有一种产品，不同供应商所投产品为相同品牌产品的，提供相同品牌且通过资格审查、符合性审查、异常低价响应审查的不同供应商，按一家供应商计算，评审后得分最高的同品牌供应商获得成交候选供应商推荐资格；评审得分相同的，由采购人或者采购人委托磋商小组按照磋商文件规定的方式确定一个供应商获得成交候选供应商推荐资格，磋商文件未规定的采取随机抽取方式确定，其他同品牌供应商不作为成交候选供应商。</w:t>
      </w:r>
    </w:p>
    <w:p w14:paraId="50DA77AF">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19.2 如一个分包内包含多种产品的，采购人或采购代理机构将在采购需求中载明核心产品，多家供应商提供的核心产品品牌型号相同的，按第19.1款规定处理。</w:t>
      </w:r>
    </w:p>
    <w:p w14:paraId="2A9B4FBF">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19.3 磋商小组依据本项目磋商文件所约定的评审方法和标准，按照有效供应商综合总得分由高到低依次推荐成交候选供应商。</w:t>
      </w:r>
    </w:p>
    <w:p w14:paraId="468CF3D8">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综合总得分出现两家或两家以上相同者，按最后报价由低到高排序推荐成交候选供应商；综合总得分且最后报价均相同的，由磋商小组按照技术指标优劣顺序推荐成交候选供应商。</w:t>
      </w:r>
    </w:p>
    <w:p w14:paraId="0AB14790">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20. 编写评审报告</w:t>
      </w:r>
    </w:p>
    <w:p w14:paraId="107B7658">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20.1 评审报告是根据全体磋商小组成员签字的原始评审记录和评审结果编写的报告，评审报告由磋商小组全体成员签字。对评审结论持有异议的磋商小组成员可以书面方式阐述其不同意见和理由。磋商小组成员拒绝在评审报告上签字且不陈述其不同意见和理由的，视为同意评审结论。</w:t>
      </w:r>
    </w:p>
    <w:p w14:paraId="266CBFBB">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21. 采购活动终止的情况</w:t>
      </w:r>
    </w:p>
    <w:p w14:paraId="4AB037A1">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（1）因情况变化，不再符合规定的竞争性磋商采购方式适用情形的。</w:t>
      </w:r>
    </w:p>
    <w:p w14:paraId="30F22377">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（2）出现影响采购公正的违法、违规行为的。</w:t>
      </w:r>
    </w:p>
    <w:p w14:paraId="69D7A9E6">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p>
    <w:p w14:paraId="46FE0DAF">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（4）因重大变故，采购任务取消的。</w:t>
      </w:r>
    </w:p>
    <w:p w14:paraId="31E95BF7">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（5）政府采购法律法规规定的其他情形。</w:t>
      </w:r>
    </w:p>
    <w:p w14:paraId="403BA205">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六、成交</w:t>
      </w:r>
    </w:p>
    <w:p w14:paraId="3838F217">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22. 确定成交供应商</w:t>
      </w:r>
    </w:p>
    <w:p w14:paraId="1FA1675E">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22.1 按以下第（2）种方式确定成交供应商</w:t>
      </w:r>
    </w:p>
    <w:p w14:paraId="2B6865E0">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（1）磋商小组直接确定排名第一的成交候选人为成交供应商；</w:t>
      </w:r>
    </w:p>
    <w:p w14:paraId="56C33752">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（2）采购人在磋商小组推荐的成交候选人中按顺序确定成交供应商。</w:t>
      </w:r>
    </w:p>
    <w:p w14:paraId="07DB07F0">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按第二种方式确定成交供应商的，代理机构自评审结束之日起两个工作日内将评审报告送交采购人，采购人应当自收到评审报告之日起五个工作日内在评审报告推荐的成交候选人中按顺序确定成交供应商。</w:t>
      </w:r>
    </w:p>
    <w:p w14:paraId="36B83ABC">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22.2 成交供应商确定之日起两个工作日内，将在财政部门指定的政府采购信息发布媒体上公告。</w:t>
      </w:r>
    </w:p>
    <w:p w14:paraId="4A4796C2">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22.3 成交通知书对采购人和成交供应商具有同等法律效力。</w:t>
      </w:r>
    </w:p>
    <w:p w14:paraId="7BB53A56">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22.4 成交通知书发出后，成交供应商无正当理由不与采购人签订合同的，应当依法承担法律责任。</w:t>
      </w:r>
    </w:p>
    <w:p w14:paraId="44F2AE6D">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22.5 采购代理机构对未成交的供应商不做未成交原因的解释。</w:t>
      </w:r>
    </w:p>
    <w:p w14:paraId="4FB90B65">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七、签订合同</w:t>
      </w:r>
    </w:p>
    <w:p w14:paraId="3BD94CAF">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23. 签订合同</w:t>
      </w:r>
    </w:p>
    <w:p w14:paraId="3C79FA3F">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23.1 成交供应商应当自成交通知书发出之日起三十日内，与采购人签订采购合同，所签订的合同不得对磋商文件和响应文件作实质性修改。</w:t>
      </w:r>
    </w:p>
    <w:p w14:paraId="7968B625">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23.2 采购人不得向成交供应商提出任何不合理的要求作为签订合同的条件，不得与成交供应商私下订立背离合同实质性内容的协议。</w:t>
      </w:r>
    </w:p>
    <w:p w14:paraId="7981DBC7">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23.3 签订合同后，成交供应商不得将合同标的进行转包。未经采购人同意，成交供应商也不得采用分包形式履行合同,否则采购人有权终止合同。转包或分包造成采购人损失的，成交供应商应承担相应赔偿责任。</w:t>
      </w:r>
    </w:p>
    <w:p w14:paraId="144886AD">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23.4 成交供应商拒绝与采购人签订合同的，采购人可以按照评审报告推荐的成交候选供应商名单排序，确定下一成交候选供应商为成交供应商，也可以重新开展采购活动。成交供应商拒绝签订政府采购合同的不得参加对该项目重新开展的采购活动。</w:t>
      </w:r>
    </w:p>
    <w:p w14:paraId="763F383B">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24. 标的物的追加</w:t>
      </w:r>
    </w:p>
    <w:p w14:paraId="0621837C">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24.1 政府采购合同履行中，采购人需追加与合同标的相同的货物（包含与货物相关的服务）的，在不改变合同其他条款的前提下，可以与成交供应商协商签订补充合同，但所有补充合同的采购金额不超过原合同金额10%。</w:t>
      </w:r>
    </w:p>
    <w:p w14:paraId="2E60553D">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八、质疑和投诉</w:t>
      </w:r>
    </w:p>
    <w:p w14:paraId="5AFB6D50">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25. 质疑</w:t>
      </w:r>
    </w:p>
    <w:p w14:paraId="690D4134">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25.1 供应商认为采购文件、采购过程和成交结果使自己的合法权益受到损害的，可以在知道或者应知其权益受到损害之日起七个工作日内，以书面形式向采购人或采购代理机构提出质疑。接收质疑函的联系部门、联系电话和通讯地址详见竞争性磋商公告。</w:t>
      </w:r>
    </w:p>
    <w:p w14:paraId="7E14246B">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25.2 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1A15403E">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25.3 提出质疑的供应商应当是参与所质疑项目采购活动的供应商。潜在供应商已依法获取其可质疑的采购文件的，可以对该文件提出质疑。</w:t>
      </w:r>
    </w:p>
    <w:p w14:paraId="3E952DEB">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供应商必须在法定质疑期内一次性提出针对同一采购程序环节的质疑。</w:t>
      </w:r>
    </w:p>
    <w:p w14:paraId="24336088">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25.4 供应商提出质疑应当提交质疑函和必要的证明材料。质疑函应当包括下列内容：</w:t>
      </w:r>
    </w:p>
    <w:p w14:paraId="7DC7BEC8">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（一）供应商的姓名或者名称、地址、邮编、联系人及联系电话；</w:t>
      </w:r>
    </w:p>
    <w:p w14:paraId="231AE6AE">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（二）质疑项目的名称、编号；</w:t>
      </w:r>
    </w:p>
    <w:p w14:paraId="2AAB522D">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（三）具体、明确的质疑事项和与质疑事项相关的请求（具体条款）；</w:t>
      </w:r>
    </w:p>
    <w:p w14:paraId="7586ACEE">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（四）事实依据（具体条款）；</w:t>
      </w:r>
    </w:p>
    <w:p w14:paraId="48F333FA">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（五）必要的法律依据（具体条款）；</w:t>
      </w:r>
    </w:p>
    <w:p w14:paraId="69F2546E">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（六）提出质疑的日期。</w:t>
      </w:r>
    </w:p>
    <w:p w14:paraId="70B3EDDD">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472A9DC0">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质疑函应当使用中文。相关当事人提供外文书证或者外国语视听资料的，应当附有中文译本，由翻译机构盖章或者翻译人员签名。</w:t>
      </w:r>
    </w:p>
    <w:p w14:paraId="18DE671D">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26.投诉</w:t>
      </w:r>
    </w:p>
    <w:p w14:paraId="488D9DB4">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26.1 质疑供应商对采购代理机构的答复不满意或者采购代理机构未在规定的时间内作出答复的，可以在答复期满后十五个工作日内向同级政府采购监督管理部门投诉。</w:t>
      </w:r>
    </w:p>
    <w:p w14:paraId="5779152B">
      <w:pPr>
        <w:snapToGrid w:val="0"/>
        <w:spacing w:line="360" w:lineRule="auto"/>
        <w:ind w:firstLine="480" w:firstLineChars="200"/>
        <w:rPr>
          <w:rFonts w:eastAsia="宋体"/>
          <w:color w:val="auto"/>
          <w:sz w:val="24"/>
          <w:highlight w:val="none"/>
        </w:rPr>
      </w:pPr>
      <w:r>
        <w:rPr>
          <w:rFonts w:hint="eastAsia" w:eastAsia="宋体"/>
          <w:color w:val="auto"/>
          <w:sz w:val="24"/>
          <w:highlight w:val="none"/>
          <w:lang w:val="en-US" w:eastAsia="zh-CN"/>
        </w:rPr>
        <w:t>27</w:t>
      </w:r>
      <w:r>
        <w:rPr>
          <w:rFonts w:eastAsia="宋体"/>
          <w:color w:val="auto"/>
          <w:sz w:val="24"/>
          <w:highlight w:val="none"/>
        </w:rPr>
        <w:t>. 代理服务费</w:t>
      </w:r>
    </w:p>
    <w:p w14:paraId="54AE1C1A">
      <w:pPr>
        <w:snapToGrid w:val="0"/>
        <w:spacing w:line="360" w:lineRule="auto"/>
        <w:ind w:firstLine="480" w:firstLineChars="200"/>
        <w:rPr>
          <w:rFonts w:eastAsia="宋体"/>
          <w:color w:val="auto"/>
          <w:sz w:val="24"/>
          <w:highlight w:val="none"/>
        </w:rPr>
      </w:pPr>
      <w:r>
        <w:rPr>
          <w:rFonts w:hint="eastAsia" w:eastAsia="宋体"/>
          <w:color w:val="auto"/>
          <w:sz w:val="24"/>
          <w:highlight w:val="none"/>
          <w:lang w:val="en-US" w:eastAsia="zh-CN"/>
        </w:rPr>
        <w:t>采购人</w:t>
      </w:r>
      <w:r>
        <w:rPr>
          <w:rFonts w:eastAsia="宋体"/>
          <w:color w:val="auto"/>
          <w:sz w:val="24"/>
          <w:highlight w:val="none"/>
        </w:rPr>
        <w:t>按照规定交纳代理服务费。</w:t>
      </w:r>
    </w:p>
    <w:p w14:paraId="1E016494">
      <w:pPr>
        <w:snapToGrid w:val="0"/>
        <w:spacing w:line="360" w:lineRule="auto"/>
        <w:ind w:firstLine="480" w:firstLineChars="200"/>
        <w:rPr>
          <w:rFonts w:eastAsia="宋体"/>
          <w:color w:val="auto"/>
          <w:sz w:val="24"/>
          <w:highlight w:val="none"/>
        </w:rPr>
      </w:pPr>
      <w:r>
        <w:rPr>
          <w:rFonts w:hint="eastAsia" w:eastAsia="宋体"/>
          <w:color w:val="auto"/>
          <w:sz w:val="24"/>
          <w:highlight w:val="none"/>
          <w:lang w:val="en-US" w:eastAsia="zh-CN"/>
        </w:rPr>
        <w:t>28</w:t>
      </w:r>
      <w:r>
        <w:rPr>
          <w:rFonts w:eastAsia="宋体"/>
          <w:color w:val="auto"/>
          <w:sz w:val="24"/>
          <w:highlight w:val="none"/>
        </w:rPr>
        <w:t>.政策功能</w:t>
      </w:r>
    </w:p>
    <w:p w14:paraId="34E2D11C">
      <w:pPr>
        <w:snapToGrid w:val="0"/>
        <w:spacing w:line="360" w:lineRule="auto"/>
        <w:ind w:firstLine="480" w:firstLineChars="200"/>
        <w:rPr>
          <w:rFonts w:eastAsia="宋体"/>
          <w:color w:val="auto"/>
          <w:sz w:val="24"/>
          <w:highlight w:val="none"/>
        </w:rPr>
      </w:pPr>
      <w:r>
        <w:rPr>
          <w:rFonts w:hint="eastAsia" w:eastAsia="宋体"/>
          <w:color w:val="auto"/>
          <w:sz w:val="24"/>
          <w:highlight w:val="none"/>
          <w:lang w:val="en-US" w:eastAsia="zh-CN"/>
        </w:rPr>
        <w:t>28</w:t>
      </w:r>
      <w:r>
        <w:rPr>
          <w:rFonts w:eastAsia="宋体"/>
          <w:color w:val="auto"/>
          <w:sz w:val="24"/>
          <w:highlight w:val="none"/>
        </w:rPr>
        <w:t>.1中小企业政策</w:t>
      </w:r>
    </w:p>
    <w:p w14:paraId="7C5B926E">
      <w:pPr>
        <w:snapToGrid w:val="0"/>
        <w:spacing w:line="360" w:lineRule="auto"/>
        <w:ind w:firstLine="480" w:firstLineChars="200"/>
        <w:rPr>
          <w:rFonts w:eastAsia="宋体"/>
          <w:color w:val="auto"/>
          <w:sz w:val="24"/>
          <w:highlight w:val="none"/>
        </w:rPr>
      </w:pPr>
      <w:r>
        <w:rPr>
          <w:rFonts w:eastAsia="宋体"/>
          <w:color w:val="auto"/>
          <w:sz w:val="24"/>
          <w:highlight w:val="none"/>
        </w:rPr>
        <w:t>（1）中小企业应当符合《转发财政部工业和信息化部关于印发〈政府采购促进中小企业发展管理办法〉的通知》（苏财购〔2021〕34号）、《政府采购促进中小企业发展管理办法》（财库</w:t>
      </w:r>
      <w:r>
        <w:rPr>
          <w:rFonts w:hint="eastAsia" w:eastAsia="宋体"/>
          <w:color w:val="auto"/>
          <w:sz w:val="24"/>
          <w:highlight w:val="none"/>
          <w:lang w:eastAsia="zh-CN"/>
        </w:rPr>
        <w:t>〔2020〕46号</w:t>
      </w:r>
      <w:r>
        <w:rPr>
          <w:rFonts w:eastAsia="宋体"/>
          <w:color w:val="auto"/>
          <w:sz w:val="24"/>
          <w:highlight w:val="none"/>
        </w:rPr>
        <w:t>）、《关于政府采购支持监狱企业发展有关问题的通知》（财库〔2014〕68号）第一条或《关于促进残疾人就业政府采购政策的通知》（财库〔2017〕141号）第一条的规定。</w:t>
      </w:r>
    </w:p>
    <w:p w14:paraId="0FBEF2D7">
      <w:pPr>
        <w:snapToGrid w:val="0"/>
        <w:spacing w:line="360" w:lineRule="auto"/>
        <w:ind w:firstLine="480" w:firstLineChars="200"/>
        <w:rPr>
          <w:rFonts w:eastAsia="宋体"/>
          <w:color w:val="auto"/>
          <w:sz w:val="24"/>
          <w:highlight w:val="none"/>
        </w:rPr>
      </w:pPr>
      <w:r>
        <w:rPr>
          <w:rFonts w:eastAsia="宋体"/>
          <w:color w:val="auto"/>
          <w:sz w:val="24"/>
          <w:highlight w:val="none"/>
        </w:rPr>
        <w:t>（2）</w:t>
      </w:r>
      <w:r>
        <w:rPr>
          <w:rFonts w:hint="eastAsia" w:eastAsia="宋体"/>
          <w:color w:val="auto"/>
          <w:sz w:val="24"/>
          <w:highlight w:val="none"/>
        </w:rPr>
        <w:t>对于专门面向中小企业或小型、微型企业的项目，只面向中小企业或小型、微型企业采购。对于非专门面向中小企业的项目，对小型和微型企业产品的价格给予</w:t>
      </w:r>
      <w:r>
        <w:rPr>
          <w:rFonts w:hint="eastAsia" w:eastAsia="宋体"/>
          <w:b/>
          <w:bCs/>
          <w:color w:val="auto"/>
          <w:sz w:val="24"/>
          <w:highlight w:val="none"/>
          <w:u w:val="single"/>
        </w:rPr>
        <w:t>5%（工程）</w:t>
      </w:r>
      <w:r>
        <w:rPr>
          <w:rFonts w:hint="eastAsia" w:eastAsia="宋体"/>
          <w:color w:val="auto"/>
          <w:sz w:val="24"/>
          <w:highlight w:val="none"/>
        </w:rPr>
        <w:t>的扣除，用扣除后的价格参与评审</w:t>
      </w:r>
      <w:r>
        <w:rPr>
          <w:rFonts w:eastAsia="宋体"/>
          <w:color w:val="auto"/>
          <w:sz w:val="24"/>
          <w:highlight w:val="none"/>
        </w:rPr>
        <w:t>。</w:t>
      </w:r>
    </w:p>
    <w:p w14:paraId="5DB756B1">
      <w:pPr>
        <w:snapToGrid w:val="0"/>
        <w:spacing w:line="360" w:lineRule="auto"/>
        <w:ind w:firstLine="480" w:firstLineChars="200"/>
        <w:rPr>
          <w:rFonts w:hint="eastAsia" w:eastAsia="宋体"/>
          <w:color w:val="auto"/>
          <w:sz w:val="24"/>
          <w:highlight w:val="none"/>
        </w:rPr>
      </w:pPr>
      <w:r>
        <w:rPr>
          <w:rFonts w:eastAsia="宋体"/>
          <w:color w:val="auto"/>
          <w:sz w:val="24"/>
          <w:highlight w:val="none"/>
        </w:rPr>
        <w:t>（3）参加政府采购活动的中小企业应当提供《中小企业声明函》、由省级以上监狱管理局戒毒管理局（含新疆生产建设兵团）出具的属于监狱企业的证明文件或《残</w:t>
      </w:r>
      <w:r>
        <w:rPr>
          <w:rFonts w:hint="eastAsia" w:eastAsia="宋体"/>
          <w:color w:val="auto"/>
          <w:sz w:val="24"/>
          <w:highlight w:val="none"/>
        </w:rPr>
        <w:t>疾人福利性单位声明函》。</w:t>
      </w:r>
    </w:p>
    <w:p w14:paraId="13CA2632">
      <w:pPr>
        <w:snapToGrid w:val="0"/>
        <w:spacing w:line="360" w:lineRule="auto"/>
        <w:ind w:firstLine="480" w:firstLineChars="200"/>
        <w:rPr>
          <w:rFonts w:eastAsia="宋体"/>
          <w:color w:val="auto"/>
          <w:sz w:val="24"/>
          <w:highlight w:val="none"/>
        </w:rPr>
      </w:pPr>
      <w:r>
        <w:rPr>
          <w:rFonts w:hint="eastAsia" w:eastAsia="宋体"/>
          <w:color w:val="auto"/>
          <w:sz w:val="24"/>
          <w:highlight w:val="none"/>
          <w:lang w:val="en-US" w:eastAsia="zh-CN"/>
        </w:rPr>
        <w:t>28</w:t>
      </w:r>
      <w:r>
        <w:rPr>
          <w:rFonts w:eastAsia="宋体"/>
          <w:color w:val="auto"/>
          <w:sz w:val="24"/>
          <w:highlight w:val="none"/>
        </w:rPr>
        <w:t>.2节能产品、环境标志产品政策</w:t>
      </w:r>
    </w:p>
    <w:p w14:paraId="06B0A142">
      <w:pPr>
        <w:snapToGrid w:val="0"/>
        <w:spacing w:line="360" w:lineRule="auto"/>
        <w:ind w:firstLine="480" w:firstLineChars="200"/>
        <w:rPr>
          <w:rFonts w:eastAsia="宋体"/>
          <w:color w:val="auto"/>
          <w:sz w:val="24"/>
          <w:highlight w:val="none"/>
        </w:rPr>
      </w:pPr>
      <w:r>
        <w:rPr>
          <w:rFonts w:hint="eastAsia" w:eastAsia="宋体"/>
          <w:color w:val="auto"/>
          <w:sz w:val="24"/>
          <w:highlight w:val="none"/>
          <w:lang w:val="en-US" w:eastAsia="zh-CN"/>
        </w:rPr>
        <w:t>28</w:t>
      </w:r>
      <w:r>
        <w:rPr>
          <w:rFonts w:eastAsia="宋体"/>
          <w:color w:val="auto"/>
          <w:sz w:val="24"/>
          <w:highlight w:val="none"/>
        </w:rPr>
        <w:t>.</w:t>
      </w:r>
      <w:r>
        <w:rPr>
          <w:rFonts w:hint="eastAsia" w:eastAsia="宋体"/>
          <w:color w:val="auto"/>
          <w:sz w:val="24"/>
          <w:highlight w:val="none"/>
          <w:lang w:val="en-US" w:eastAsia="zh-CN"/>
        </w:rPr>
        <w:t>3</w:t>
      </w:r>
      <w:r>
        <w:rPr>
          <w:rFonts w:eastAsia="宋体"/>
          <w:color w:val="auto"/>
          <w:sz w:val="24"/>
          <w:highlight w:val="none"/>
        </w:rPr>
        <w:t>未按要求提供相关材料的，不享受相关政策。</w:t>
      </w:r>
    </w:p>
    <w:p w14:paraId="2061940F">
      <w:pPr>
        <w:snapToGrid w:val="0"/>
        <w:spacing w:line="360" w:lineRule="auto"/>
        <w:ind w:firstLine="480" w:firstLineChars="200"/>
        <w:rPr>
          <w:rFonts w:eastAsia="宋体"/>
          <w:color w:val="auto"/>
          <w:sz w:val="24"/>
          <w:highlight w:val="none"/>
        </w:rPr>
      </w:pPr>
      <w:r>
        <w:rPr>
          <w:rFonts w:hint="eastAsia" w:eastAsia="宋体"/>
          <w:color w:val="auto"/>
          <w:sz w:val="24"/>
          <w:highlight w:val="none"/>
          <w:lang w:val="en-US" w:eastAsia="zh-CN"/>
        </w:rPr>
        <w:t>28</w:t>
      </w:r>
      <w:r>
        <w:rPr>
          <w:rFonts w:eastAsia="宋体"/>
          <w:color w:val="auto"/>
          <w:sz w:val="24"/>
          <w:highlight w:val="none"/>
        </w:rPr>
        <w:t>.5磋商文件中要求的产品品牌或型号，是采购人根据项目所要实现的功能推荐的品牌或型号，仅供供应商参考，并不是限制条件。</w:t>
      </w:r>
    </w:p>
    <w:p w14:paraId="59BCDB93">
      <w:pPr>
        <w:snapToGrid w:val="0"/>
        <w:spacing w:line="360" w:lineRule="auto"/>
        <w:ind w:firstLine="480" w:firstLineChars="200"/>
        <w:rPr>
          <w:rFonts w:eastAsia="宋体"/>
          <w:color w:val="auto"/>
          <w:sz w:val="24"/>
          <w:highlight w:val="none"/>
        </w:rPr>
      </w:pPr>
      <w:r>
        <w:rPr>
          <w:rFonts w:eastAsia="宋体"/>
          <w:color w:val="auto"/>
          <w:sz w:val="24"/>
          <w:highlight w:val="none"/>
        </w:rPr>
        <w:t>注：本磋商文件中提及的“投标”“投标人”等同“磋商响应”“磋商响应人”。</w:t>
      </w:r>
    </w:p>
    <w:p w14:paraId="5CEEB950">
      <w:pPr>
        <w:pStyle w:val="2"/>
        <w:keepNext/>
        <w:keepLines/>
        <w:pageBreakBefore w:val="0"/>
        <w:widowControl w:val="0"/>
        <w:kinsoku/>
        <w:wordWrap/>
        <w:overflowPunct/>
        <w:topLinePunct w:val="0"/>
        <w:autoSpaceDE/>
        <w:autoSpaceDN/>
        <w:bidi w:val="0"/>
        <w:adjustRightInd/>
        <w:snapToGrid/>
        <w:spacing w:line="360" w:lineRule="auto"/>
        <w:jc w:val="center"/>
        <w:textAlignment w:val="auto"/>
        <w:rPr>
          <w:rFonts w:eastAsia="宋体"/>
          <w:color w:val="auto"/>
          <w:highlight w:val="none"/>
        </w:rPr>
      </w:pPr>
      <w:r>
        <w:rPr>
          <w:b/>
          <w:color w:val="auto"/>
          <w:highlight w:val="none"/>
        </w:rPr>
        <w:br w:type="page"/>
      </w:r>
      <w:bookmarkStart w:id="56" w:name="_Toc7927"/>
      <w:r>
        <w:rPr>
          <w:color w:val="auto"/>
          <w:highlight w:val="none"/>
        </w:rPr>
        <w:t xml:space="preserve">第三章 </w:t>
      </w:r>
      <w:bookmarkEnd w:id="4"/>
      <w:r>
        <w:rPr>
          <w:color w:val="auto"/>
          <w:highlight w:val="none"/>
        </w:rPr>
        <w:t xml:space="preserve"> 采购需求</w:t>
      </w:r>
      <w:bookmarkEnd w:id="56"/>
    </w:p>
    <w:p w14:paraId="39F0A1FE">
      <w:pPr>
        <w:spacing w:line="360" w:lineRule="auto"/>
        <w:ind w:firstLine="480" w:firstLineChars="200"/>
        <w:rPr>
          <w:rFonts w:eastAsia="宋体"/>
          <w:color w:val="auto"/>
          <w:sz w:val="24"/>
          <w:szCs w:val="24"/>
          <w:highlight w:val="none"/>
        </w:rPr>
      </w:pPr>
      <w:r>
        <w:rPr>
          <w:rFonts w:eastAsia="宋体"/>
          <w:color w:val="auto"/>
          <w:sz w:val="24"/>
          <w:szCs w:val="24"/>
          <w:highlight w:val="none"/>
        </w:rPr>
        <w:t>供应商必须仔细阅读本竞争性磋商文件及资料所描述的全部条款。供应商所提供的设备和软件必须满足本竞争性磋商文件技术规范的各项技术要求，确保其技术先进成熟、性能稳定、质量可靠。采购人拒绝低于本竞争性磋商文件技术规范所列任一条款。</w:t>
      </w:r>
    </w:p>
    <w:p w14:paraId="4D092BAD">
      <w:pPr>
        <w:spacing w:line="360" w:lineRule="auto"/>
        <w:jc w:val="left"/>
        <w:outlineLvl w:val="1"/>
        <w:rPr>
          <w:rFonts w:hint="eastAsia" w:ascii="宋体" w:hAnsi="宋体" w:eastAsia="宋体" w:cs="宋体"/>
          <w:b/>
          <w:bCs/>
          <w:color w:val="auto"/>
          <w:sz w:val="24"/>
          <w:szCs w:val="24"/>
          <w:highlight w:val="none"/>
        </w:rPr>
      </w:pPr>
    </w:p>
    <w:p w14:paraId="26CFD776">
      <w:pPr>
        <w:pStyle w:val="3"/>
        <w:spacing w:before="120" w:after="120"/>
        <w:rPr>
          <w:rFonts w:hint="eastAsia" w:ascii="宋体" w:hAnsi="宋体" w:eastAsia="宋体" w:cs="宋体"/>
          <w:color w:val="auto"/>
          <w:sz w:val="24"/>
          <w:szCs w:val="24"/>
          <w:highlight w:val="none"/>
        </w:rPr>
      </w:pPr>
      <w:bookmarkStart w:id="57" w:name="_Toc224551703"/>
      <w:bookmarkStart w:id="58" w:name="_Toc237541181"/>
      <w:bookmarkStart w:id="59" w:name="_Toc237539557"/>
      <w:bookmarkStart w:id="60" w:name="_Toc247534359"/>
      <w:r>
        <w:rPr>
          <w:rFonts w:hint="eastAsia" w:ascii="宋体" w:hAnsi="宋体" w:eastAsia="宋体" w:cs="宋体"/>
          <w:color w:val="auto"/>
          <w:sz w:val="24"/>
          <w:szCs w:val="24"/>
          <w:highlight w:val="none"/>
        </w:rPr>
        <w:t>1.1 工程说明</w:t>
      </w:r>
    </w:p>
    <w:p w14:paraId="3816AEA5">
      <w:pPr>
        <w:pageBreakBefore w:val="0"/>
        <w:kinsoku/>
        <w:wordWrap/>
        <w:overflowPunct/>
        <w:topLinePunct w:val="0"/>
        <w:autoSpaceDE/>
        <w:autoSpaceDN/>
        <w:bidi w:val="0"/>
        <w:spacing w:line="360"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工程概况</w:t>
      </w:r>
    </w:p>
    <w:p w14:paraId="400406E5">
      <w:pPr>
        <w:pageBreakBefore w:val="0"/>
        <w:kinsoku/>
        <w:wordWrap/>
        <w:overflowPunct/>
        <w:topLinePunct w:val="0"/>
        <w:autoSpaceDE/>
        <w:autoSpaceDN/>
        <w:bidi w:val="0"/>
        <w:spacing w:line="360"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里窑闸位于江都区宜陵镇西北五里窑附近，在新通扬运河与老通扬运河交汇口以西约500米处的老通扬运河上，兼有引水、排涝、挡洪、通航等功能。工程于1963年6月开工建设，1964年5月竣工初验并投入运行，是江都水利枢纽重要的配套工程之一。</w:t>
      </w:r>
    </w:p>
    <w:p w14:paraId="5EC969FA">
      <w:pPr>
        <w:pageBreakBefore w:val="0"/>
        <w:kinsoku/>
        <w:wordWrap/>
        <w:overflowPunct/>
        <w:topLinePunct w:val="0"/>
        <w:autoSpaceDE/>
        <w:autoSpaceDN/>
        <w:bidi w:val="0"/>
        <w:spacing w:line="360"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五里窑闸为Ⅲ级通航建筑物，设计通航规模为 800 吨级船队，闸室宽12米，上下闸首净宽10米，全长162.0m。上、下闸首均采用钢筋混凝土“U”形连底式结构，上闸首采用下卧式弧形钢闸门，使用两台15吨卷扬式启闭机驱动；下闸首采用人字门，配用2×4吨推杆式启闭机启闭；下闸首两侧输水阀门为钢结构平面直升门，用8吨螺杆启闭机升降。闸室墙采用钢筋混凝土锚杆闸室墙结构，上部设挡浪板，闸室底部为透水式结构，用钢筋混凝土纵横梁分隔成方格，内填块石，下铺滤层。上、下闸首和两侧闸室墙基础均打有木板桩；为了控制闸室墙后的地下水位，在闸室挡土墙后高程2.0～1.5米处设置排水暗沟一道，直通下游。遇反向水位时，下游出水口的阀门能自动关闭挡水。上下游闸首外均采用圆弧形翼墙和引航道连接。</w:t>
      </w:r>
    </w:p>
    <w:p w14:paraId="50E1AF7A">
      <w:pPr>
        <w:pageBreakBefore w:val="0"/>
        <w:kinsoku/>
        <w:wordWrap/>
        <w:overflowPunct/>
        <w:topLinePunct w:val="0"/>
        <w:autoSpaceDE/>
        <w:autoSpaceDN/>
        <w:bidi w:val="0"/>
        <w:spacing w:line="360" w:lineRule="auto"/>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本次工程的主要建设内容为：1、护岸整理；2、河道清淤；3、护坡加固；4、坎墙砌筑；5、拦河索两岸固定墩浇筑；6、水政警示标牌增设</w:t>
      </w:r>
      <w:r>
        <w:rPr>
          <w:rFonts w:hint="eastAsia" w:ascii="宋体" w:hAnsi="宋体" w:eastAsia="宋体" w:cs="宋体"/>
          <w:snapToGrid w:val="0"/>
          <w:color w:val="auto"/>
          <w:sz w:val="24"/>
          <w:szCs w:val="24"/>
          <w:highlight w:val="none"/>
        </w:rPr>
        <w:t>。</w:t>
      </w:r>
    </w:p>
    <w:p w14:paraId="29CEFDA5">
      <w:pPr>
        <w:pageBreakBefore w:val="0"/>
        <w:kinsoku/>
        <w:wordWrap/>
        <w:overflowPunct/>
        <w:topLinePunct w:val="0"/>
        <w:autoSpaceDE/>
        <w:autoSpaceDN/>
        <w:bidi w:val="0"/>
        <w:spacing w:line="360"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u w:val="single"/>
        </w:rPr>
        <w:t>*本项目另附工程量清单及图纸，供应商依据竞争性磋商文件、工程量清单、图纸报价，依据工程量清单编制工程量清单报价表。</w:t>
      </w:r>
    </w:p>
    <w:p w14:paraId="704505E7">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61" w:name="_Toc12501"/>
      <w:bookmarkStart w:id="62" w:name="_Toc368993215"/>
      <w:bookmarkStart w:id="63" w:name="_Toc369164902"/>
      <w:bookmarkStart w:id="64" w:name="_Toc369165901"/>
      <w:bookmarkStart w:id="65" w:name="_Toc368991729"/>
      <w:r>
        <w:rPr>
          <w:rFonts w:hint="eastAsia" w:ascii="宋体" w:hAnsi="宋体" w:eastAsia="宋体" w:cs="宋体"/>
          <w:color w:val="auto"/>
          <w:sz w:val="24"/>
          <w:szCs w:val="24"/>
          <w:highlight w:val="none"/>
        </w:rPr>
        <w:t>1.1.2 水文气象和工程地质资料</w:t>
      </w:r>
      <w:bookmarkEnd w:id="61"/>
      <w:bookmarkEnd w:id="62"/>
      <w:bookmarkEnd w:id="63"/>
      <w:bookmarkEnd w:id="64"/>
      <w:bookmarkEnd w:id="65"/>
    </w:p>
    <w:p w14:paraId="7D34D03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66" w:name="_Toc2603446"/>
      <w:r>
        <w:rPr>
          <w:rFonts w:hint="eastAsia" w:ascii="宋体" w:hAnsi="宋体" w:eastAsia="宋体" w:cs="宋体"/>
          <w:color w:val="auto"/>
          <w:sz w:val="24"/>
          <w:szCs w:val="24"/>
          <w:highlight w:val="none"/>
        </w:rPr>
        <w:t>特征水位</w:t>
      </w:r>
      <w:bookmarkEnd w:id="66"/>
    </w:p>
    <w:p w14:paraId="7ECF6420">
      <w:pPr>
        <w:pageBreakBefore w:val="0"/>
        <w:kinsoku/>
        <w:wordWrap/>
        <w:overflowPunct/>
        <w:topLinePunct w:val="0"/>
        <w:autoSpaceDE/>
        <w:autoSpaceDN/>
        <w:bidi w:val="0"/>
        <w:adjustRightInd/>
        <w:spacing w:line="360" w:lineRule="auto"/>
        <w:ind w:firstLine="420" w:firstLineChars="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表4.1  五里窑闸上、下游水位组合表</w:t>
      </w:r>
    </w:p>
    <w:tbl>
      <w:tblPr>
        <w:tblStyle w:val="27"/>
        <w:tblW w:w="43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1"/>
        <w:gridCol w:w="1442"/>
        <w:gridCol w:w="2478"/>
        <w:gridCol w:w="2385"/>
      </w:tblGrid>
      <w:tr w14:paraId="6ABBE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99" w:type="pct"/>
            <w:gridSpan w:val="2"/>
            <w:vMerge w:val="restart"/>
            <w:noWrap w:val="0"/>
            <w:vAlign w:val="center"/>
          </w:tcPr>
          <w:p w14:paraId="695927D2">
            <w:pPr>
              <w:pageBreakBefore w:val="0"/>
              <w:kinsoku/>
              <w:wordWrap/>
              <w:overflowPunct/>
              <w:topLinePunct w:val="0"/>
              <w:autoSpaceDE/>
              <w:autoSpaceDN/>
              <w:bidi w:val="0"/>
              <w:adjustRightInd/>
              <w:spacing w:line="360" w:lineRule="auto"/>
              <w:ind w:firstLine="360" w:firstLineChars="15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工  况</w:t>
            </w:r>
          </w:p>
        </w:tc>
        <w:tc>
          <w:tcPr>
            <w:tcW w:w="3201" w:type="pct"/>
            <w:gridSpan w:val="2"/>
            <w:noWrap w:val="0"/>
            <w:vAlign w:val="center"/>
          </w:tcPr>
          <w:p w14:paraId="614BA905">
            <w:pPr>
              <w:pageBreakBefore w:val="0"/>
              <w:kinsoku/>
              <w:wordWrap/>
              <w:overflowPunct/>
              <w:topLinePunct w:val="0"/>
              <w:autoSpaceDE/>
              <w:autoSpaceDN/>
              <w:bidi w:val="0"/>
              <w:adjustRightInd/>
              <w:spacing w:line="360" w:lineRule="auto"/>
              <w:ind w:firstLine="360" w:firstLineChars="15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设计水位（m）</w:t>
            </w:r>
          </w:p>
        </w:tc>
      </w:tr>
      <w:tr w14:paraId="3EB2F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99" w:type="pct"/>
            <w:gridSpan w:val="2"/>
            <w:vMerge w:val="continue"/>
            <w:noWrap w:val="0"/>
            <w:vAlign w:val="center"/>
          </w:tcPr>
          <w:p w14:paraId="100D20BC">
            <w:pPr>
              <w:pageBreakBefore w:val="0"/>
              <w:kinsoku/>
              <w:wordWrap/>
              <w:overflowPunct/>
              <w:topLinePunct w:val="0"/>
              <w:autoSpaceDE/>
              <w:autoSpaceDN/>
              <w:bidi w:val="0"/>
              <w:adjustRightInd/>
              <w:spacing w:line="360" w:lineRule="auto"/>
              <w:ind w:firstLine="360" w:firstLineChars="150"/>
              <w:jc w:val="center"/>
              <w:rPr>
                <w:rFonts w:hint="eastAsia" w:ascii="宋体" w:hAnsi="宋体" w:eastAsia="宋体" w:cs="宋体"/>
                <w:bCs/>
                <w:iCs/>
                <w:color w:val="auto"/>
                <w:sz w:val="24"/>
                <w:szCs w:val="24"/>
                <w:highlight w:val="none"/>
              </w:rPr>
            </w:pPr>
          </w:p>
        </w:tc>
        <w:tc>
          <w:tcPr>
            <w:tcW w:w="1631" w:type="pct"/>
            <w:noWrap w:val="0"/>
            <w:vAlign w:val="center"/>
          </w:tcPr>
          <w:p w14:paraId="4C215328">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上游（墙前）</w:t>
            </w:r>
          </w:p>
        </w:tc>
        <w:tc>
          <w:tcPr>
            <w:tcW w:w="1570" w:type="pct"/>
            <w:noWrap w:val="0"/>
            <w:vAlign w:val="center"/>
          </w:tcPr>
          <w:p w14:paraId="46B79C41">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下游（墙后）</w:t>
            </w:r>
          </w:p>
        </w:tc>
      </w:tr>
      <w:tr w14:paraId="65FE4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50" w:type="pct"/>
            <w:vMerge w:val="restart"/>
            <w:noWrap w:val="0"/>
            <w:vAlign w:val="center"/>
          </w:tcPr>
          <w:p w14:paraId="68AE1B12">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上闸首</w:t>
            </w:r>
          </w:p>
        </w:tc>
        <w:tc>
          <w:tcPr>
            <w:tcW w:w="949" w:type="pct"/>
            <w:noWrap w:val="0"/>
            <w:vAlign w:val="center"/>
          </w:tcPr>
          <w:p w14:paraId="0BF8EDD5">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设计水位</w:t>
            </w:r>
          </w:p>
        </w:tc>
        <w:tc>
          <w:tcPr>
            <w:tcW w:w="1631" w:type="pct"/>
            <w:noWrap w:val="0"/>
            <w:vAlign w:val="center"/>
          </w:tcPr>
          <w:p w14:paraId="7EAE7BDB">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4.5</w:t>
            </w:r>
          </w:p>
        </w:tc>
        <w:tc>
          <w:tcPr>
            <w:tcW w:w="1570" w:type="pct"/>
            <w:noWrap w:val="0"/>
            <w:vAlign w:val="center"/>
          </w:tcPr>
          <w:p w14:paraId="0ADBE487">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0.0</w:t>
            </w:r>
          </w:p>
        </w:tc>
      </w:tr>
      <w:tr w14:paraId="658C4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50" w:type="pct"/>
            <w:vMerge w:val="continue"/>
            <w:noWrap w:val="0"/>
            <w:vAlign w:val="center"/>
          </w:tcPr>
          <w:p w14:paraId="2FA3C995">
            <w:pPr>
              <w:pageBreakBefore w:val="0"/>
              <w:kinsoku/>
              <w:wordWrap/>
              <w:overflowPunct/>
              <w:topLinePunct w:val="0"/>
              <w:autoSpaceDE/>
              <w:autoSpaceDN/>
              <w:bidi w:val="0"/>
              <w:adjustRightInd/>
              <w:spacing w:line="360" w:lineRule="auto"/>
              <w:ind w:firstLine="360" w:firstLineChars="150"/>
              <w:jc w:val="center"/>
              <w:rPr>
                <w:rFonts w:hint="eastAsia" w:ascii="宋体" w:hAnsi="宋体" w:eastAsia="宋体" w:cs="宋体"/>
                <w:bCs/>
                <w:iCs/>
                <w:color w:val="auto"/>
                <w:sz w:val="24"/>
                <w:szCs w:val="24"/>
                <w:highlight w:val="none"/>
              </w:rPr>
            </w:pPr>
          </w:p>
        </w:tc>
        <w:tc>
          <w:tcPr>
            <w:tcW w:w="949" w:type="pct"/>
            <w:noWrap w:val="0"/>
            <w:vAlign w:val="center"/>
          </w:tcPr>
          <w:p w14:paraId="11822E43">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校核水位</w:t>
            </w:r>
          </w:p>
        </w:tc>
        <w:tc>
          <w:tcPr>
            <w:tcW w:w="1631" w:type="pct"/>
            <w:noWrap w:val="0"/>
            <w:vAlign w:val="center"/>
          </w:tcPr>
          <w:p w14:paraId="3324CDD9">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5.0</w:t>
            </w:r>
          </w:p>
        </w:tc>
        <w:tc>
          <w:tcPr>
            <w:tcW w:w="1570" w:type="pct"/>
            <w:noWrap w:val="0"/>
            <w:vAlign w:val="center"/>
          </w:tcPr>
          <w:p w14:paraId="45FA8B9A">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0.0</w:t>
            </w:r>
          </w:p>
        </w:tc>
      </w:tr>
      <w:tr w14:paraId="4B6AA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50" w:type="pct"/>
            <w:vMerge w:val="continue"/>
            <w:noWrap w:val="0"/>
            <w:vAlign w:val="center"/>
          </w:tcPr>
          <w:p w14:paraId="00C0EA0D">
            <w:pPr>
              <w:pageBreakBefore w:val="0"/>
              <w:kinsoku/>
              <w:wordWrap/>
              <w:overflowPunct/>
              <w:topLinePunct w:val="0"/>
              <w:autoSpaceDE/>
              <w:autoSpaceDN/>
              <w:bidi w:val="0"/>
              <w:adjustRightInd/>
              <w:spacing w:line="360" w:lineRule="auto"/>
              <w:ind w:firstLine="360" w:firstLineChars="150"/>
              <w:jc w:val="center"/>
              <w:rPr>
                <w:rFonts w:hint="eastAsia" w:ascii="宋体" w:hAnsi="宋体" w:eastAsia="宋体" w:cs="宋体"/>
                <w:bCs/>
                <w:iCs/>
                <w:color w:val="auto"/>
                <w:sz w:val="24"/>
                <w:szCs w:val="24"/>
                <w:highlight w:val="none"/>
              </w:rPr>
            </w:pPr>
          </w:p>
        </w:tc>
        <w:tc>
          <w:tcPr>
            <w:tcW w:w="949" w:type="pct"/>
            <w:noWrap w:val="0"/>
            <w:vAlign w:val="center"/>
          </w:tcPr>
          <w:p w14:paraId="144BA3AB">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检修水位</w:t>
            </w:r>
          </w:p>
        </w:tc>
        <w:tc>
          <w:tcPr>
            <w:tcW w:w="1631" w:type="pct"/>
            <w:noWrap w:val="0"/>
            <w:vAlign w:val="center"/>
          </w:tcPr>
          <w:p w14:paraId="3D01DAA5">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3.0</w:t>
            </w:r>
          </w:p>
        </w:tc>
        <w:tc>
          <w:tcPr>
            <w:tcW w:w="1570" w:type="pct"/>
            <w:noWrap w:val="0"/>
            <w:vAlign w:val="center"/>
          </w:tcPr>
          <w:p w14:paraId="2A86DB83">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-2.5（闸室无水）</w:t>
            </w:r>
          </w:p>
        </w:tc>
      </w:tr>
      <w:tr w14:paraId="643AC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50" w:type="pct"/>
            <w:vMerge w:val="continue"/>
            <w:noWrap w:val="0"/>
            <w:vAlign w:val="center"/>
          </w:tcPr>
          <w:p w14:paraId="4FC80628">
            <w:pPr>
              <w:pageBreakBefore w:val="0"/>
              <w:kinsoku/>
              <w:wordWrap/>
              <w:overflowPunct/>
              <w:topLinePunct w:val="0"/>
              <w:autoSpaceDE/>
              <w:autoSpaceDN/>
              <w:bidi w:val="0"/>
              <w:adjustRightInd/>
              <w:spacing w:line="360" w:lineRule="auto"/>
              <w:ind w:firstLine="360" w:firstLineChars="150"/>
              <w:jc w:val="center"/>
              <w:rPr>
                <w:rFonts w:hint="eastAsia" w:ascii="宋体" w:hAnsi="宋体" w:eastAsia="宋体" w:cs="宋体"/>
                <w:bCs/>
                <w:iCs/>
                <w:color w:val="auto"/>
                <w:sz w:val="24"/>
                <w:szCs w:val="24"/>
                <w:highlight w:val="none"/>
              </w:rPr>
            </w:pPr>
          </w:p>
        </w:tc>
        <w:tc>
          <w:tcPr>
            <w:tcW w:w="949" w:type="pct"/>
            <w:noWrap w:val="0"/>
            <w:vAlign w:val="center"/>
          </w:tcPr>
          <w:p w14:paraId="643F9A8E">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地震期</w:t>
            </w:r>
          </w:p>
        </w:tc>
        <w:tc>
          <w:tcPr>
            <w:tcW w:w="1631" w:type="pct"/>
            <w:noWrap w:val="0"/>
            <w:vAlign w:val="center"/>
          </w:tcPr>
          <w:p w14:paraId="2E782BA7">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4.5</w:t>
            </w:r>
          </w:p>
        </w:tc>
        <w:tc>
          <w:tcPr>
            <w:tcW w:w="1570" w:type="pct"/>
            <w:noWrap w:val="0"/>
            <w:vAlign w:val="center"/>
          </w:tcPr>
          <w:p w14:paraId="6730B2A7">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0.0</w:t>
            </w:r>
          </w:p>
        </w:tc>
      </w:tr>
      <w:tr w14:paraId="3D0BD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50" w:type="pct"/>
            <w:vMerge w:val="restart"/>
            <w:noWrap w:val="0"/>
            <w:vAlign w:val="center"/>
          </w:tcPr>
          <w:p w14:paraId="46EB8892">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下闸首</w:t>
            </w:r>
          </w:p>
        </w:tc>
        <w:tc>
          <w:tcPr>
            <w:tcW w:w="949" w:type="pct"/>
            <w:noWrap w:val="0"/>
            <w:vAlign w:val="center"/>
          </w:tcPr>
          <w:p w14:paraId="39E4F22D">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设计水位</w:t>
            </w:r>
          </w:p>
        </w:tc>
        <w:tc>
          <w:tcPr>
            <w:tcW w:w="1631" w:type="pct"/>
            <w:noWrap w:val="0"/>
            <w:vAlign w:val="center"/>
          </w:tcPr>
          <w:p w14:paraId="21A04CBE">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0.0</w:t>
            </w:r>
          </w:p>
        </w:tc>
        <w:tc>
          <w:tcPr>
            <w:tcW w:w="1570" w:type="pct"/>
            <w:noWrap w:val="0"/>
            <w:vAlign w:val="center"/>
          </w:tcPr>
          <w:p w14:paraId="51D8A406">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4.5</w:t>
            </w:r>
          </w:p>
        </w:tc>
      </w:tr>
      <w:tr w14:paraId="70ED1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50" w:type="pct"/>
            <w:vMerge w:val="continue"/>
            <w:noWrap w:val="0"/>
            <w:vAlign w:val="center"/>
          </w:tcPr>
          <w:p w14:paraId="54BA0EE7">
            <w:pPr>
              <w:pageBreakBefore w:val="0"/>
              <w:kinsoku/>
              <w:wordWrap/>
              <w:overflowPunct/>
              <w:topLinePunct w:val="0"/>
              <w:autoSpaceDE/>
              <w:autoSpaceDN/>
              <w:bidi w:val="0"/>
              <w:adjustRightInd/>
              <w:spacing w:line="360" w:lineRule="auto"/>
              <w:ind w:firstLine="360" w:firstLineChars="150"/>
              <w:jc w:val="center"/>
              <w:rPr>
                <w:rFonts w:hint="eastAsia" w:ascii="宋体" w:hAnsi="宋体" w:eastAsia="宋体" w:cs="宋体"/>
                <w:bCs/>
                <w:iCs/>
                <w:color w:val="auto"/>
                <w:sz w:val="24"/>
                <w:szCs w:val="24"/>
                <w:highlight w:val="none"/>
              </w:rPr>
            </w:pPr>
          </w:p>
        </w:tc>
        <w:tc>
          <w:tcPr>
            <w:tcW w:w="949" w:type="pct"/>
            <w:noWrap w:val="0"/>
            <w:vAlign w:val="center"/>
          </w:tcPr>
          <w:p w14:paraId="6B64DE05">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校核水位</w:t>
            </w:r>
          </w:p>
        </w:tc>
        <w:tc>
          <w:tcPr>
            <w:tcW w:w="1631" w:type="pct"/>
            <w:noWrap w:val="0"/>
            <w:vAlign w:val="center"/>
          </w:tcPr>
          <w:p w14:paraId="4DCA5CBE">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0.0</w:t>
            </w:r>
          </w:p>
        </w:tc>
        <w:tc>
          <w:tcPr>
            <w:tcW w:w="1570" w:type="pct"/>
            <w:noWrap w:val="0"/>
            <w:vAlign w:val="center"/>
          </w:tcPr>
          <w:p w14:paraId="6D44B6EA">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5.0</w:t>
            </w:r>
          </w:p>
        </w:tc>
      </w:tr>
      <w:tr w14:paraId="6C68B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50" w:type="pct"/>
            <w:vMerge w:val="continue"/>
            <w:noWrap w:val="0"/>
            <w:vAlign w:val="center"/>
          </w:tcPr>
          <w:p w14:paraId="00CAA34E">
            <w:pPr>
              <w:pageBreakBefore w:val="0"/>
              <w:kinsoku/>
              <w:wordWrap/>
              <w:overflowPunct/>
              <w:topLinePunct w:val="0"/>
              <w:autoSpaceDE/>
              <w:autoSpaceDN/>
              <w:bidi w:val="0"/>
              <w:adjustRightInd/>
              <w:spacing w:line="360" w:lineRule="auto"/>
              <w:ind w:firstLine="360" w:firstLineChars="150"/>
              <w:jc w:val="center"/>
              <w:rPr>
                <w:rFonts w:hint="eastAsia" w:ascii="宋体" w:hAnsi="宋体" w:eastAsia="宋体" w:cs="宋体"/>
                <w:bCs/>
                <w:iCs/>
                <w:color w:val="auto"/>
                <w:sz w:val="24"/>
                <w:szCs w:val="24"/>
                <w:highlight w:val="none"/>
              </w:rPr>
            </w:pPr>
          </w:p>
        </w:tc>
        <w:tc>
          <w:tcPr>
            <w:tcW w:w="949" w:type="pct"/>
            <w:noWrap w:val="0"/>
            <w:vAlign w:val="center"/>
          </w:tcPr>
          <w:p w14:paraId="384A8CEC">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检修水位</w:t>
            </w:r>
          </w:p>
        </w:tc>
        <w:tc>
          <w:tcPr>
            <w:tcW w:w="1631" w:type="pct"/>
            <w:noWrap w:val="0"/>
            <w:vAlign w:val="center"/>
          </w:tcPr>
          <w:p w14:paraId="2690B8FB">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-2.5（闸室无水）</w:t>
            </w:r>
          </w:p>
        </w:tc>
        <w:tc>
          <w:tcPr>
            <w:tcW w:w="1570" w:type="pct"/>
            <w:noWrap w:val="0"/>
            <w:vAlign w:val="center"/>
          </w:tcPr>
          <w:p w14:paraId="5C6E1C13">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0.0</w:t>
            </w:r>
          </w:p>
        </w:tc>
      </w:tr>
      <w:tr w14:paraId="79454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50" w:type="pct"/>
            <w:vMerge w:val="continue"/>
            <w:noWrap w:val="0"/>
            <w:vAlign w:val="center"/>
          </w:tcPr>
          <w:p w14:paraId="7D1470A3">
            <w:pPr>
              <w:pageBreakBefore w:val="0"/>
              <w:kinsoku/>
              <w:wordWrap/>
              <w:overflowPunct/>
              <w:topLinePunct w:val="0"/>
              <w:autoSpaceDE/>
              <w:autoSpaceDN/>
              <w:bidi w:val="0"/>
              <w:adjustRightInd/>
              <w:spacing w:line="360" w:lineRule="auto"/>
              <w:ind w:firstLine="360" w:firstLineChars="150"/>
              <w:jc w:val="center"/>
              <w:rPr>
                <w:rFonts w:hint="eastAsia" w:ascii="宋体" w:hAnsi="宋体" w:eastAsia="宋体" w:cs="宋体"/>
                <w:bCs/>
                <w:iCs/>
                <w:color w:val="auto"/>
                <w:sz w:val="24"/>
                <w:szCs w:val="24"/>
                <w:highlight w:val="none"/>
              </w:rPr>
            </w:pPr>
          </w:p>
        </w:tc>
        <w:tc>
          <w:tcPr>
            <w:tcW w:w="949" w:type="pct"/>
            <w:noWrap w:val="0"/>
            <w:vAlign w:val="center"/>
          </w:tcPr>
          <w:p w14:paraId="1B4A530D">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地震期</w:t>
            </w:r>
          </w:p>
        </w:tc>
        <w:tc>
          <w:tcPr>
            <w:tcW w:w="1631" w:type="pct"/>
            <w:noWrap w:val="0"/>
            <w:vAlign w:val="center"/>
          </w:tcPr>
          <w:p w14:paraId="3BDABCCB">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0.0</w:t>
            </w:r>
          </w:p>
        </w:tc>
        <w:tc>
          <w:tcPr>
            <w:tcW w:w="1570" w:type="pct"/>
            <w:noWrap w:val="0"/>
            <w:vAlign w:val="center"/>
          </w:tcPr>
          <w:p w14:paraId="58C2111C">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4.5</w:t>
            </w:r>
          </w:p>
        </w:tc>
      </w:tr>
      <w:tr w14:paraId="6A27E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50" w:type="pct"/>
            <w:vMerge w:val="restart"/>
            <w:noWrap w:val="0"/>
            <w:vAlign w:val="center"/>
          </w:tcPr>
          <w:p w14:paraId="72BCF060">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闸室墙</w:t>
            </w:r>
          </w:p>
        </w:tc>
        <w:tc>
          <w:tcPr>
            <w:tcW w:w="949" w:type="pct"/>
            <w:noWrap w:val="0"/>
            <w:vAlign w:val="center"/>
          </w:tcPr>
          <w:p w14:paraId="23B80211">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设计水位</w:t>
            </w:r>
          </w:p>
        </w:tc>
        <w:tc>
          <w:tcPr>
            <w:tcW w:w="1631" w:type="pct"/>
            <w:noWrap w:val="0"/>
            <w:vAlign w:val="center"/>
          </w:tcPr>
          <w:p w14:paraId="4D1C6FB8">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0.0</w:t>
            </w:r>
          </w:p>
        </w:tc>
        <w:tc>
          <w:tcPr>
            <w:tcW w:w="1570" w:type="pct"/>
            <w:noWrap w:val="0"/>
            <w:vAlign w:val="center"/>
          </w:tcPr>
          <w:p w14:paraId="661D4A6C">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0.5</w:t>
            </w:r>
          </w:p>
        </w:tc>
      </w:tr>
      <w:tr w14:paraId="260EE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50" w:type="pct"/>
            <w:vMerge w:val="continue"/>
            <w:noWrap w:val="0"/>
            <w:vAlign w:val="center"/>
          </w:tcPr>
          <w:p w14:paraId="3B1F572C">
            <w:pPr>
              <w:pageBreakBefore w:val="0"/>
              <w:kinsoku/>
              <w:wordWrap/>
              <w:overflowPunct/>
              <w:topLinePunct w:val="0"/>
              <w:autoSpaceDE/>
              <w:autoSpaceDN/>
              <w:bidi w:val="0"/>
              <w:adjustRightInd/>
              <w:spacing w:line="360" w:lineRule="auto"/>
              <w:ind w:firstLine="360" w:firstLineChars="150"/>
              <w:jc w:val="center"/>
              <w:rPr>
                <w:rFonts w:hint="eastAsia" w:ascii="宋体" w:hAnsi="宋体" w:eastAsia="宋体" w:cs="宋体"/>
                <w:bCs/>
                <w:iCs/>
                <w:color w:val="auto"/>
                <w:sz w:val="24"/>
                <w:szCs w:val="24"/>
                <w:highlight w:val="none"/>
              </w:rPr>
            </w:pPr>
          </w:p>
        </w:tc>
        <w:tc>
          <w:tcPr>
            <w:tcW w:w="949" w:type="pct"/>
            <w:noWrap w:val="0"/>
            <w:vAlign w:val="center"/>
          </w:tcPr>
          <w:p w14:paraId="6F928C60">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检修期</w:t>
            </w:r>
          </w:p>
        </w:tc>
        <w:tc>
          <w:tcPr>
            <w:tcW w:w="1631" w:type="pct"/>
            <w:noWrap w:val="0"/>
            <w:vAlign w:val="center"/>
          </w:tcPr>
          <w:p w14:paraId="64F97908">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-2.5（闸室无水）</w:t>
            </w:r>
          </w:p>
        </w:tc>
        <w:tc>
          <w:tcPr>
            <w:tcW w:w="1570" w:type="pct"/>
            <w:noWrap w:val="0"/>
            <w:vAlign w:val="center"/>
          </w:tcPr>
          <w:p w14:paraId="2AF8104E">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1.0</w:t>
            </w:r>
          </w:p>
        </w:tc>
      </w:tr>
      <w:tr w14:paraId="75EF6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50" w:type="pct"/>
            <w:vMerge w:val="continue"/>
            <w:noWrap w:val="0"/>
            <w:vAlign w:val="center"/>
          </w:tcPr>
          <w:p w14:paraId="7254C9A7">
            <w:pPr>
              <w:pageBreakBefore w:val="0"/>
              <w:kinsoku/>
              <w:wordWrap/>
              <w:overflowPunct/>
              <w:topLinePunct w:val="0"/>
              <w:autoSpaceDE/>
              <w:autoSpaceDN/>
              <w:bidi w:val="0"/>
              <w:adjustRightInd/>
              <w:spacing w:line="360" w:lineRule="auto"/>
              <w:ind w:firstLine="360" w:firstLineChars="150"/>
              <w:jc w:val="center"/>
              <w:rPr>
                <w:rFonts w:hint="eastAsia" w:ascii="宋体" w:hAnsi="宋体" w:eastAsia="宋体" w:cs="宋体"/>
                <w:bCs/>
                <w:iCs/>
                <w:color w:val="auto"/>
                <w:sz w:val="24"/>
                <w:szCs w:val="24"/>
                <w:highlight w:val="none"/>
              </w:rPr>
            </w:pPr>
          </w:p>
        </w:tc>
        <w:tc>
          <w:tcPr>
            <w:tcW w:w="949" w:type="pct"/>
            <w:noWrap w:val="0"/>
            <w:vAlign w:val="center"/>
          </w:tcPr>
          <w:p w14:paraId="51082FDF">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地震期</w:t>
            </w:r>
          </w:p>
        </w:tc>
        <w:tc>
          <w:tcPr>
            <w:tcW w:w="1631" w:type="pct"/>
            <w:noWrap w:val="0"/>
            <w:vAlign w:val="center"/>
          </w:tcPr>
          <w:p w14:paraId="7E7018A0">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0.0</w:t>
            </w:r>
          </w:p>
        </w:tc>
        <w:tc>
          <w:tcPr>
            <w:tcW w:w="1570" w:type="pct"/>
            <w:noWrap w:val="0"/>
            <w:vAlign w:val="center"/>
          </w:tcPr>
          <w:p w14:paraId="070C1B54">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0.5</w:t>
            </w:r>
          </w:p>
        </w:tc>
      </w:tr>
    </w:tbl>
    <w:p w14:paraId="25E9B66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p>
    <w:p w14:paraId="06A19D0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p>
    <w:p w14:paraId="561F45B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2．工程地质</w:t>
      </w:r>
    </w:p>
    <w:p w14:paraId="5BFB765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（1）土层地质</w:t>
      </w:r>
    </w:p>
    <w:p w14:paraId="6CE5C24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五里窑闸场地区勘探揭示深度范围内地层自上而下分述如下：</w:t>
      </w:r>
    </w:p>
    <w:p w14:paraId="3C9C982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第一层：为灰黄或灰色淤泥；夹有碎石瓦砾，系老通扬运河河底的沉积物，埋置在真高0.6～-0.2m之间，平均厚度0.8m。</w:t>
      </w:r>
    </w:p>
    <w:p w14:paraId="1FB3F30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第二层：为棕黄色极坚重粉质壤土、夹有铁锰结核，有细孔状结构、局部细孔中，充填黑色油泥。该层顶部一般呈灰黄色，稍软些，贯入击数N&gt;10，由上而下逐渐变硬。该层埋置高程为-0.20～-3.0m，平均厚2.8m。</w:t>
      </w:r>
    </w:p>
    <w:p w14:paraId="067115C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第三层：为棕黄色重粉质壤土，夹有空心铁锰结核，埋置高程-3.0～-5.2m，厚度2.2～3m。局部地段有透镜体的砂壤土或薄层壤土层与薄层砂</w:t>
      </w:r>
      <w:r>
        <w:rPr>
          <w:rFonts w:hint="eastAsia" w:ascii="宋体" w:hAnsi="宋体" w:eastAsia="宋体" w:cs="宋体"/>
          <w:color w:val="auto"/>
          <w:sz w:val="24"/>
          <w:szCs w:val="24"/>
          <w:highlight w:val="none"/>
          <w:lang w:val="en-US" w:eastAsia="zh-CN"/>
        </w:rPr>
        <w:t>土</w:t>
      </w:r>
      <w:r>
        <w:rPr>
          <w:rFonts w:hint="eastAsia" w:ascii="宋体" w:hAnsi="宋体" w:eastAsia="宋体" w:cs="宋体"/>
          <w:color w:val="auto"/>
          <w:sz w:val="24"/>
          <w:szCs w:val="24"/>
          <w:highlight w:val="none"/>
        </w:rPr>
        <w:t>层，同时在不同高程上也有粉质壤土或轻粉质壤土，本层是建筑物的持力层，一般仍是良好的天然地基。其各项物理学性质指标是：平均贯入击数N=</w:t>
      </w:r>
      <w:r>
        <w:rPr>
          <w:rFonts w:hint="eastAsia" w:ascii="宋体" w:hAnsi="宋体" w:eastAsia="宋体" w:cs="宋体"/>
          <w:color w:val="auto"/>
          <w:sz w:val="24"/>
          <w:szCs w:val="24"/>
          <w:highlight w:val="none"/>
          <w:u w:val="single"/>
        </w:rPr>
        <w:t>14</w:t>
      </w:r>
      <w:r>
        <w:rPr>
          <w:rFonts w:hint="eastAsia" w:ascii="宋体" w:hAnsi="宋体" w:eastAsia="宋体" w:cs="宋体"/>
          <w:color w:val="auto"/>
          <w:sz w:val="24"/>
          <w:szCs w:val="24"/>
          <w:highlight w:val="none"/>
        </w:rPr>
        <w:t>；天然孔隙比ε=0.83，稠度B=0.59，无侧限抗压强度qn=1.57kg/cm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vertAlign w:val="baseline"/>
          <w:lang w:eastAsia="zh-CN"/>
        </w:rPr>
        <w:t>，</w:t>
      </w:r>
      <w:r>
        <w:rPr>
          <w:rFonts w:hint="eastAsia" w:ascii="宋体" w:hAnsi="宋体" w:eastAsia="宋体" w:cs="宋体"/>
          <w:color w:val="auto"/>
          <w:sz w:val="24"/>
          <w:szCs w:val="24"/>
          <w:highlight w:val="none"/>
        </w:rPr>
        <w:t>凝聚力C=0.31kg/cm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vertAlign w:val="baseline"/>
          <w:lang w:eastAsia="zh-CN"/>
        </w:rPr>
        <w:t>，</w:t>
      </w:r>
      <w:r>
        <w:rPr>
          <w:rFonts w:hint="eastAsia" w:ascii="宋体" w:hAnsi="宋体" w:eastAsia="宋体" w:cs="宋体"/>
          <w:color w:val="auto"/>
          <w:sz w:val="24"/>
          <w:szCs w:val="24"/>
          <w:highlight w:val="none"/>
        </w:rPr>
        <w:t>内摩擦角φ=17°，压缩系数a=0.023 cm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rPr>
        <w:t>/kg，渗透系数k=2.14×10-7cm/s。</w:t>
      </w:r>
    </w:p>
    <w:p w14:paraId="378AB26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层：为棕黄色重粉质壤土，夹有铁锰结核，埋置在-5.2～-8.0m之间，平均厚度2.8m，在上闸首东该层底部有一层南北向的壤土与砂壤土互层，厚度0.5～2.0m。本层各项物理力学性质指标为：平均贯入技术N=10，天然孔隙比ε=0.88，稠度B=0.63，无侧限抗压强度qn=1.12kg/c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rPr>
        <w:t>，凝聚力C=0.17kg/cm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vertAlign w:val="baseline"/>
          <w:lang w:eastAsia="zh-CN"/>
        </w:rPr>
        <w:t>，</w:t>
      </w:r>
      <w:r>
        <w:rPr>
          <w:rFonts w:hint="eastAsia" w:ascii="宋体" w:hAnsi="宋体" w:eastAsia="宋体" w:cs="宋体"/>
          <w:color w:val="auto"/>
          <w:sz w:val="24"/>
          <w:szCs w:val="24"/>
          <w:highlight w:val="none"/>
        </w:rPr>
        <w:t>内摩擦角φ=22°，压缩系数a=0.028 cm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rPr>
        <w:t>/kg，本层是下卧层中得软弱层。</w:t>
      </w:r>
    </w:p>
    <w:p w14:paraId="6696A85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第五层：为棕黄色重粉质壤土，部分地带有红丝纹，极坚硬，夹有砂壤，</w:t>
      </w:r>
      <w:r>
        <w:rPr>
          <w:rFonts w:hint="eastAsia" w:ascii="宋体" w:hAnsi="宋体" w:eastAsia="宋体" w:cs="宋体"/>
          <w:color w:val="auto"/>
          <w:sz w:val="24"/>
          <w:szCs w:val="24"/>
          <w:highlight w:val="none"/>
          <w:lang w:eastAsia="zh-CN"/>
        </w:rPr>
        <w:t>下部</w:t>
      </w:r>
      <w:r>
        <w:rPr>
          <w:rFonts w:hint="eastAsia" w:ascii="宋体" w:hAnsi="宋体" w:eastAsia="宋体" w:cs="宋体"/>
          <w:color w:val="auto"/>
          <w:sz w:val="24"/>
          <w:szCs w:val="24"/>
          <w:highlight w:val="none"/>
        </w:rPr>
        <w:t>更硬，呈土粒状结构，平均贯入击数N=17，是良好的下卧层，本层埋置在-8.0～-14.0m，平均厚度6.0m。</w:t>
      </w:r>
    </w:p>
    <w:p w14:paraId="1F8DAF8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第六层：为棕黄色粉质粘土，极坚，平均贯入击数N=27，埋置在-14.0～-20.0m，平均厚度6.8m。</w:t>
      </w:r>
    </w:p>
    <w:p w14:paraId="77705B4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七层：为棕黄色重粉质壤土与细砂、极细砂互层，埋置在-20.8～-27.4m，厚度6.6m，其中有两层砂层（含有少量壤土）较厚，各层厚度达到1～2m，分选性不好，局部夹有小块石。本层各项物理力学性质指标：平均贯入技术N=34，天然孔隙比ε=0.8，稠度B=0.35，无侧限抗压强度qn=1.18kg/c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vertAlign w:val="baseline"/>
          <w:lang w:eastAsia="zh-CN"/>
        </w:rPr>
        <w:t>，</w:t>
      </w:r>
      <w:r>
        <w:rPr>
          <w:rFonts w:hint="eastAsia" w:ascii="宋体" w:hAnsi="宋体" w:eastAsia="宋体" w:cs="宋体"/>
          <w:color w:val="auto"/>
          <w:sz w:val="24"/>
          <w:szCs w:val="24"/>
          <w:highlight w:val="none"/>
        </w:rPr>
        <w:t>凝聚力C=0.30kg/cm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rPr>
        <w:t>，内摩擦角φ=23°，压缩系数a=0.015cm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rPr>
        <w:t>/kg，渗透系数k=2.55×10-7cm/s，砂层（含有少量壤土）的各项物理力学性质指标为：孔隙比ε=0.73，渗透系数k=5.39×10-4cm/s。</w:t>
      </w:r>
    </w:p>
    <w:p w14:paraId="37A646A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第八层：为棕黄色重粉质壤土，埋置在-27.4m以下。</w:t>
      </w:r>
    </w:p>
    <w:p w14:paraId="14A5DDF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各层透水性很小，第一层至第六层的平均渗透系数k=1～3×10-7cm/s，不会发生危害性的水文地质问题。五里窑闸闸室底板底高程为-3.0m，上闸首底板底高程为-4.5～-5.5m，下闸首底板底高程为-4.0m，均坐落在第三层棕黄色重粉质壤土层上。</w:t>
      </w:r>
    </w:p>
    <w:p w14:paraId="709A475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（2）地震烈度</w:t>
      </w:r>
    </w:p>
    <w:p w14:paraId="3EAA01E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根据《中国地震动参数区划图》GB18306—2001，五里窑闸所处场地地震动峰值加速度为0.15g，地震反应谱特征周期为0.35s，相当于地震基本烈度7度。</w:t>
      </w:r>
    </w:p>
    <w:p w14:paraId="4FE92BE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67" w:name="_Toc369164903"/>
      <w:bookmarkStart w:id="68" w:name="_Toc369165902"/>
      <w:bookmarkStart w:id="69" w:name="_Toc368991730"/>
      <w:bookmarkStart w:id="70" w:name="_Toc24561"/>
      <w:bookmarkStart w:id="71" w:name="_Toc368993216"/>
      <w:r>
        <w:rPr>
          <w:rFonts w:hint="eastAsia" w:ascii="宋体" w:hAnsi="宋体" w:eastAsia="宋体" w:cs="宋体"/>
          <w:color w:val="auto"/>
          <w:sz w:val="24"/>
          <w:szCs w:val="24"/>
          <w:highlight w:val="none"/>
        </w:rPr>
        <w:t>1.1.3 施工条件</w:t>
      </w:r>
      <w:bookmarkEnd w:id="67"/>
      <w:bookmarkEnd w:id="68"/>
      <w:bookmarkEnd w:id="69"/>
      <w:bookmarkEnd w:id="70"/>
      <w:bookmarkEnd w:id="71"/>
    </w:p>
    <w:p w14:paraId="525D915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1．交通条件</w:t>
      </w:r>
    </w:p>
    <w:p w14:paraId="4A8EDD7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本次加固工程位于，扬州市江都区宜陵镇附近，周边水网</w:t>
      </w:r>
      <w:r>
        <w:rPr>
          <w:rFonts w:hint="eastAsia" w:ascii="宋体" w:hAnsi="宋体" w:eastAsia="宋体" w:cs="宋体"/>
          <w:color w:val="auto"/>
          <w:sz w:val="24"/>
          <w:szCs w:val="24"/>
          <w:highlight w:val="none"/>
          <w:lang w:eastAsia="zh-CN"/>
        </w:rPr>
        <w:t>贯通</w:t>
      </w:r>
      <w:r>
        <w:rPr>
          <w:rFonts w:hint="eastAsia" w:ascii="宋体" w:hAnsi="宋体" w:eastAsia="宋体" w:cs="宋体"/>
          <w:color w:val="auto"/>
          <w:sz w:val="24"/>
          <w:szCs w:val="24"/>
          <w:highlight w:val="none"/>
        </w:rPr>
        <w:t>，交通顺畅，</w:t>
      </w:r>
    </w:p>
    <w:p w14:paraId="259AFEE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2．发包人提供的施工临时</w:t>
      </w:r>
      <w:r>
        <w:rPr>
          <w:rFonts w:hint="eastAsia" w:ascii="宋体" w:hAnsi="宋体" w:eastAsia="宋体" w:cs="宋体"/>
          <w:color w:val="auto"/>
          <w:sz w:val="24"/>
          <w:szCs w:val="24"/>
          <w:highlight w:val="none"/>
          <w:lang w:eastAsia="zh-CN"/>
        </w:rPr>
        <w:t>场地</w:t>
      </w:r>
    </w:p>
    <w:p w14:paraId="27952BA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本工程施工工场布置根据现场情况，拟</w:t>
      </w:r>
      <w:r>
        <w:rPr>
          <w:rFonts w:hint="eastAsia" w:ascii="宋体" w:hAnsi="宋体" w:eastAsia="宋体" w:cs="宋体"/>
          <w:color w:val="auto"/>
          <w:sz w:val="24"/>
          <w:szCs w:val="24"/>
          <w:highlight w:val="none"/>
          <w:lang w:eastAsia="zh-CN"/>
        </w:rPr>
        <w:t>布置</w:t>
      </w:r>
      <w:r>
        <w:rPr>
          <w:rFonts w:hint="eastAsia" w:ascii="宋体" w:hAnsi="宋体" w:eastAsia="宋体" w:cs="宋体"/>
          <w:color w:val="auto"/>
          <w:sz w:val="24"/>
          <w:szCs w:val="24"/>
          <w:highlight w:val="none"/>
        </w:rPr>
        <w:t>本次设计，主要的施工顺序如下：（1）场地整理（2）河道清淤（3）水上护坡回填（4）膜袋砼施工（5）护坡浇筑。本次设计的施工期为1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个月左右，建议汛后施工。为便于施工，考虑到工程的体量不大，工程的取弃土区均设置在工程</w:t>
      </w:r>
      <w:r>
        <w:rPr>
          <w:rFonts w:hint="eastAsia" w:ascii="宋体" w:hAnsi="宋体" w:eastAsia="宋体" w:cs="宋体"/>
          <w:color w:val="auto"/>
          <w:sz w:val="24"/>
          <w:szCs w:val="24"/>
          <w:highlight w:val="none"/>
          <w:lang w:eastAsia="zh-CN"/>
        </w:rPr>
        <w:t>上游</w:t>
      </w:r>
      <w:r>
        <w:rPr>
          <w:rFonts w:hint="eastAsia" w:ascii="宋体" w:hAnsi="宋体" w:eastAsia="宋体" w:cs="宋体"/>
          <w:color w:val="auto"/>
          <w:sz w:val="24"/>
          <w:szCs w:val="24"/>
          <w:highlight w:val="none"/>
        </w:rPr>
        <w:t>侧的空地上。</w:t>
      </w:r>
    </w:p>
    <w:p w14:paraId="5BB33B5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3．发包人提供的其他施工条件</w:t>
      </w:r>
    </w:p>
    <w:p w14:paraId="4E28DF9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72" w:name="_Toc369765692"/>
      <w:bookmarkStart w:id="73" w:name="_Toc224476506"/>
      <w:bookmarkStart w:id="74" w:name="_Toc280531295"/>
      <w:bookmarkStart w:id="75" w:name="_Toc232309775"/>
      <w:bookmarkStart w:id="76" w:name="_Toc237539558"/>
      <w:bookmarkStart w:id="77" w:name="_Toc237541182"/>
      <w:bookmarkStart w:id="78" w:name="_Toc247534360"/>
      <w:bookmarkStart w:id="79" w:name="_Toc224475772"/>
      <w:bookmarkStart w:id="80" w:name="_Toc249517707"/>
      <w:bookmarkStart w:id="81" w:name="_Toc279938486"/>
      <w:r>
        <w:rPr>
          <w:rFonts w:hint="eastAsia" w:ascii="宋体" w:hAnsi="宋体" w:eastAsia="宋体" w:cs="宋体"/>
          <w:color w:val="auto"/>
          <w:sz w:val="24"/>
          <w:szCs w:val="24"/>
          <w:highlight w:val="none"/>
        </w:rPr>
        <w:t>本工程施工用电可由五里窑闸接引，柴油发电机组由施工单位自备。</w:t>
      </w:r>
    </w:p>
    <w:p w14:paraId="64E0BF3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承包人进场后应进行相关的施工用电设备布置，并负责相应设计、施工、运行等费用。</w:t>
      </w:r>
    </w:p>
    <w:p w14:paraId="2073E4DB">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82" w:name="_Toc31859"/>
      <w:r>
        <w:rPr>
          <w:rFonts w:hint="eastAsia" w:ascii="宋体" w:hAnsi="宋体" w:eastAsia="宋体" w:cs="宋体"/>
          <w:b/>
          <w:bCs/>
          <w:color w:val="auto"/>
          <w:kern w:val="2"/>
          <w:sz w:val="24"/>
          <w:szCs w:val="24"/>
          <w:highlight w:val="none"/>
          <w:lang w:val="en-US" w:eastAsia="zh-CN" w:bidi="ar-SA"/>
        </w:rPr>
        <w:t>1.2 主体工程项目及其工作内容</w:t>
      </w:r>
      <w:bookmarkEnd w:id="72"/>
      <w:bookmarkEnd w:id="73"/>
      <w:bookmarkEnd w:id="74"/>
      <w:bookmarkEnd w:id="75"/>
      <w:bookmarkEnd w:id="76"/>
      <w:bookmarkEnd w:id="77"/>
      <w:bookmarkEnd w:id="78"/>
      <w:bookmarkEnd w:id="79"/>
      <w:bookmarkEnd w:id="80"/>
      <w:bookmarkEnd w:id="81"/>
      <w:bookmarkEnd w:id="82"/>
    </w:p>
    <w:p w14:paraId="33ED7CAD">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83" w:name="_Toc237539559"/>
      <w:bookmarkStart w:id="84" w:name="_Toc368993218"/>
      <w:bookmarkStart w:id="85" w:name="_Toc224551705"/>
      <w:bookmarkStart w:id="86" w:name="_Toc348"/>
      <w:bookmarkStart w:id="87" w:name="_Toc247534361"/>
      <w:bookmarkStart w:id="88" w:name="_Toc369164905"/>
      <w:bookmarkStart w:id="89" w:name="_Toc368991732"/>
      <w:bookmarkStart w:id="90" w:name="_Toc369165904"/>
      <w:r>
        <w:rPr>
          <w:rFonts w:hint="eastAsia" w:ascii="宋体" w:hAnsi="宋体" w:eastAsia="宋体" w:cs="宋体"/>
          <w:color w:val="auto"/>
          <w:sz w:val="24"/>
          <w:szCs w:val="24"/>
          <w:highlight w:val="none"/>
        </w:rPr>
        <w:t>1.2.1 本合同承包人承担的工程项目及其工作内容（不限于）</w:t>
      </w:r>
      <w:bookmarkEnd w:id="83"/>
      <w:bookmarkEnd w:id="84"/>
      <w:bookmarkEnd w:id="85"/>
      <w:bookmarkEnd w:id="86"/>
      <w:bookmarkEnd w:id="87"/>
      <w:bookmarkEnd w:id="88"/>
      <w:bookmarkEnd w:id="89"/>
      <w:bookmarkEnd w:id="90"/>
    </w:p>
    <w:p w14:paraId="7C87C3B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本次工程的主要建设内容为：</w:t>
      </w:r>
    </w:p>
    <w:p w14:paraId="55BFE20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护岸整理：主要整理范围为</w:t>
      </w:r>
      <w:r>
        <w:rPr>
          <w:rFonts w:hint="eastAsia" w:ascii="宋体" w:hAnsi="宋体" w:eastAsia="宋体" w:cs="宋体"/>
          <w:color w:val="auto"/>
          <w:sz w:val="24"/>
          <w:szCs w:val="24"/>
          <w:highlight w:val="none"/>
          <w:lang w:eastAsia="zh-CN"/>
        </w:rPr>
        <w:t>上游两岸</w:t>
      </w:r>
      <w:r>
        <w:rPr>
          <w:rFonts w:hint="eastAsia" w:ascii="宋体" w:hAnsi="宋体" w:eastAsia="宋体" w:cs="宋体"/>
          <w:color w:val="auto"/>
          <w:sz w:val="24"/>
          <w:szCs w:val="24"/>
          <w:highlight w:val="none"/>
        </w:rPr>
        <w:t>；</w:t>
      </w:r>
    </w:p>
    <w:p w14:paraId="13D33AD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河道清淤：结合工程实际，本次设计拟清除河坡的淤泥，右岸河道清淤为</w:t>
      </w:r>
      <w:r>
        <w:rPr>
          <w:rFonts w:hint="eastAsia" w:ascii="宋体" w:hAnsi="宋体" w:eastAsia="宋体" w:cs="宋体"/>
          <w:color w:val="auto"/>
          <w:sz w:val="24"/>
          <w:szCs w:val="24"/>
          <w:highlight w:val="none"/>
          <w:lang w:eastAsia="zh-CN"/>
        </w:rPr>
        <w:t>上</w:t>
      </w:r>
      <w:r>
        <w:rPr>
          <w:rFonts w:hint="eastAsia" w:ascii="宋体" w:hAnsi="宋体" w:eastAsia="宋体" w:cs="宋体"/>
          <w:color w:val="auto"/>
          <w:sz w:val="24"/>
          <w:szCs w:val="24"/>
          <w:highlight w:val="none"/>
        </w:rPr>
        <w:t>闸首边线外</w:t>
      </w:r>
      <w:r>
        <w:rPr>
          <w:rFonts w:hint="eastAsia" w:ascii="宋体" w:hAnsi="宋体" w:eastAsia="宋体" w:cs="宋体"/>
          <w:color w:val="auto"/>
          <w:sz w:val="24"/>
          <w:szCs w:val="24"/>
          <w:highlight w:val="none"/>
          <w:lang w:val="en-US" w:eastAsia="zh-CN"/>
        </w:rPr>
        <w:t>23.00</w:t>
      </w:r>
      <w:r>
        <w:rPr>
          <w:rFonts w:hint="eastAsia" w:ascii="宋体" w:hAnsi="宋体" w:eastAsia="宋体" w:cs="宋体"/>
          <w:color w:val="auto"/>
          <w:sz w:val="24"/>
          <w:szCs w:val="24"/>
          <w:highlight w:val="none"/>
        </w:rPr>
        <w:t>米至河口外</w:t>
      </w:r>
      <w:r>
        <w:rPr>
          <w:rFonts w:hint="eastAsia" w:ascii="宋体" w:hAnsi="宋体" w:eastAsia="宋体" w:cs="宋体"/>
          <w:color w:val="auto"/>
          <w:sz w:val="24"/>
          <w:szCs w:val="24"/>
          <w:highlight w:val="none"/>
          <w:lang w:val="en-US" w:eastAsia="zh-CN"/>
        </w:rPr>
        <w:t>85.0</w:t>
      </w:r>
      <w:r>
        <w:rPr>
          <w:rFonts w:hint="eastAsia" w:ascii="宋体" w:hAnsi="宋体" w:eastAsia="宋体" w:cs="宋体"/>
          <w:color w:val="auto"/>
          <w:sz w:val="24"/>
          <w:szCs w:val="24"/>
          <w:highlight w:val="none"/>
        </w:rPr>
        <w:t>0米，共计6</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0米的范围；左岸河道清淤为</w:t>
      </w:r>
      <w:r>
        <w:rPr>
          <w:rFonts w:hint="eastAsia" w:ascii="宋体" w:hAnsi="宋体" w:eastAsia="宋体" w:cs="宋体"/>
          <w:color w:val="auto"/>
          <w:sz w:val="24"/>
          <w:szCs w:val="24"/>
          <w:highlight w:val="none"/>
          <w:lang w:eastAsia="zh-CN"/>
        </w:rPr>
        <w:t>上</w:t>
      </w:r>
      <w:r>
        <w:rPr>
          <w:rFonts w:hint="eastAsia" w:ascii="宋体" w:hAnsi="宋体" w:eastAsia="宋体" w:cs="宋体"/>
          <w:color w:val="auto"/>
          <w:sz w:val="24"/>
          <w:szCs w:val="24"/>
          <w:highlight w:val="none"/>
        </w:rPr>
        <w:t>闸首边线外</w:t>
      </w:r>
      <w:r>
        <w:rPr>
          <w:rFonts w:hint="eastAsia" w:ascii="宋体" w:hAnsi="宋体" w:eastAsia="宋体" w:cs="宋体"/>
          <w:color w:val="auto"/>
          <w:sz w:val="24"/>
          <w:szCs w:val="24"/>
          <w:highlight w:val="none"/>
          <w:lang w:val="en-US" w:eastAsia="zh-CN"/>
        </w:rPr>
        <w:t>23.00</w:t>
      </w:r>
      <w:r>
        <w:rPr>
          <w:rFonts w:hint="eastAsia" w:ascii="宋体" w:hAnsi="宋体" w:eastAsia="宋体" w:cs="宋体"/>
          <w:color w:val="auto"/>
          <w:sz w:val="24"/>
          <w:szCs w:val="24"/>
          <w:highlight w:val="none"/>
        </w:rPr>
        <w:t>米至河口外</w:t>
      </w:r>
      <w:r>
        <w:rPr>
          <w:rFonts w:hint="eastAsia" w:ascii="宋体" w:hAnsi="宋体" w:eastAsia="宋体" w:cs="宋体"/>
          <w:color w:val="auto"/>
          <w:sz w:val="24"/>
          <w:szCs w:val="24"/>
          <w:highlight w:val="none"/>
          <w:lang w:val="en-US" w:eastAsia="zh-CN"/>
        </w:rPr>
        <w:t>85.00</w:t>
      </w:r>
      <w:r>
        <w:rPr>
          <w:rFonts w:hint="eastAsia" w:ascii="宋体" w:hAnsi="宋体" w:eastAsia="宋体" w:cs="宋体"/>
          <w:color w:val="auto"/>
          <w:sz w:val="24"/>
          <w:szCs w:val="24"/>
          <w:highlight w:val="none"/>
        </w:rPr>
        <w:t>米，共计</w:t>
      </w:r>
      <w:r>
        <w:rPr>
          <w:rFonts w:hint="eastAsia" w:ascii="宋体" w:hAnsi="宋体" w:eastAsia="宋体" w:cs="宋体"/>
          <w:color w:val="auto"/>
          <w:sz w:val="24"/>
          <w:szCs w:val="24"/>
          <w:highlight w:val="none"/>
          <w:lang w:val="en-US" w:eastAsia="zh-CN"/>
        </w:rPr>
        <w:t>62.00</w:t>
      </w:r>
      <w:r>
        <w:rPr>
          <w:rFonts w:hint="eastAsia" w:ascii="宋体" w:hAnsi="宋体" w:eastAsia="宋体" w:cs="宋体"/>
          <w:color w:val="auto"/>
          <w:sz w:val="24"/>
          <w:szCs w:val="24"/>
          <w:highlight w:val="none"/>
        </w:rPr>
        <w:t>米的范围。清淤的方式采用挖泥船，弃土运至周边的</w:t>
      </w:r>
      <w:r>
        <w:rPr>
          <w:rFonts w:hint="eastAsia" w:ascii="宋体" w:hAnsi="宋体" w:eastAsia="宋体" w:cs="宋体"/>
          <w:color w:val="auto"/>
          <w:sz w:val="24"/>
          <w:szCs w:val="24"/>
          <w:highlight w:val="none"/>
          <w:lang w:eastAsia="zh-CN"/>
        </w:rPr>
        <w:t>临时场地</w:t>
      </w:r>
      <w:r>
        <w:rPr>
          <w:rFonts w:hint="eastAsia" w:ascii="宋体" w:hAnsi="宋体" w:eastAsia="宋体" w:cs="宋体"/>
          <w:color w:val="auto"/>
          <w:sz w:val="24"/>
          <w:szCs w:val="24"/>
          <w:highlight w:val="none"/>
        </w:rPr>
        <w:t>；</w:t>
      </w:r>
    </w:p>
    <w:p w14:paraId="6E4EE3D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护坡加固：本次护坡加固的范围与河道清淤范围一致，右岸河道清淤为</w:t>
      </w:r>
      <w:r>
        <w:rPr>
          <w:rFonts w:hint="eastAsia" w:ascii="宋体" w:hAnsi="宋体" w:eastAsia="宋体" w:cs="宋体"/>
          <w:color w:val="auto"/>
          <w:sz w:val="24"/>
          <w:szCs w:val="24"/>
          <w:highlight w:val="none"/>
          <w:lang w:eastAsia="zh-CN"/>
        </w:rPr>
        <w:t>上</w:t>
      </w:r>
      <w:r>
        <w:rPr>
          <w:rFonts w:hint="eastAsia" w:ascii="宋体" w:hAnsi="宋体" w:eastAsia="宋体" w:cs="宋体"/>
          <w:color w:val="auto"/>
          <w:sz w:val="24"/>
          <w:szCs w:val="24"/>
          <w:highlight w:val="none"/>
        </w:rPr>
        <w:t>闸首边线外23.00米至河口外85.00米，共计62.00米的范围；左岸河道清淤为</w:t>
      </w:r>
      <w:r>
        <w:rPr>
          <w:rFonts w:hint="eastAsia" w:ascii="宋体" w:hAnsi="宋体" w:eastAsia="宋体" w:cs="宋体"/>
          <w:color w:val="auto"/>
          <w:sz w:val="24"/>
          <w:szCs w:val="24"/>
          <w:highlight w:val="none"/>
          <w:lang w:eastAsia="zh-CN"/>
        </w:rPr>
        <w:t>上</w:t>
      </w:r>
      <w:r>
        <w:rPr>
          <w:rFonts w:hint="eastAsia" w:ascii="宋体" w:hAnsi="宋体" w:eastAsia="宋体" w:cs="宋体"/>
          <w:color w:val="auto"/>
          <w:sz w:val="24"/>
          <w:szCs w:val="24"/>
          <w:highlight w:val="none"/>
        </w:rPr>
        <w:t>闸首边线外23.00米至河口外85.00米，共计62.00米的范围。加固的方式为水下采用膜袋砼，水上砼生态连锁块护坡；</w:t>
      </w:r>
    </w:p>
    <w:p w14:paraId="7B7F884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上述工程项目和工作内容详见本工程招标文件第三卷招标图纸和本卷技术条款的有关要求，工程量详见招标文件第一卷第5章工程量清单。</w:t>
      </w:r>
    </w:p>
    <w:p w14:paraId="6E825B4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91" w:name="_Toc7040"/>
      <w:bookmarkStart w:id="92" w:name="_Toc237539560"/>
      <w:bookmarkStart w:id="93" w:name="_Toc224551706"/>
      <w:bookmarkStart w:id="94" w:name="_Toc247534362"/>
      <w:r>
        <w:rPr>
          <w:rFonts w:hint="eastAsia" w:ascii="宋体" w:hAnsi="宋体" w:eastAsia="宋体" w:cs="宋体"/>
          <w:color w:val="auto"/>
          <w:sz w:val="24"/>
          <w:szCs w:val="24"/>
          <w:highlight w:val="none"/>
        </w:rPr>
        <w:t>1.2.2 本合同承包人与本工程其他相关承包人的合同界面</w:t>
      </w:r>
      <w:bookmarkEnd w:id="91"/>
      <w:bookmarkEnd w:id="92"/>
      <w:bookmarkEnd w:id="93"/>
      <w:bookmarkEnd w:id="94"/>
    </w:p>
    <w:p w14:paraId="2ABFBF9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w:t>
      </w:r>
    </w:p>
    <w:p w14:paraId="4BCA4B96">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95" w:name="_Toc224551707"/>
      <w:bookmarkStart w:id="96" w:name="_Toc237541183"/>
      <w:bookmarkStart w:id="97" w:name="_Toc237539561"/>
      <w:bookmarkStart w:id="98" w:name="_Toc249517708"/>
      <w:bookmarkStart w:id="99" w:name="_Toc279938487"/>
      <w:bookmarkStart w:id="100" w:name="_Toc247534363"/>
      <w:bookmarkStart w:id="101" w:name="_Toc224476507"/>
      <w:bookmarkStart w:id="102" w:name="_Toc224475773"/>
      <w:bookmarkStart w:id="103" w:name="_Toc280531296"/>
      <w:bookmarkStart w:id="104" w:name="_Toc27111"/>
      <w:bookmarkStart w:id="105" w:name="_Toc369765693"/>
      <w:r>
        <w:rPr>
          <w:rFonts w:hint="eastAsia" w:ascii="宋体" w:hAnsi="宋体" w:eastAsia="宋体" w:cs="宋体"/>
          <w:b/>
          <w:bCs/>
          <w:color w:val="auto"/>
          <w:kern w:val="2"/>
          <w:sz w:val="24"/>
          <w:szCs w:val="24"/>
          <w:highlight w:val="none"/>
          <w:lang w:val="en-US" w:eastAsia="zh-CN" w:bidi="ar-SA"/>
        </w:rPr>
        <w:t>1.3 发包人提供的图纸和文件</w:t>
      </w:r>
      <w:bookmarkEnd w:id="95"/>
      <w:bookmarkEnd w:id="96"/>
      <w:bookmarkEnd w:id="97"/>
      <w:bookmarkEnd w:id="98"/>
      <w:bookmarkEnd w:id="99"/>
      <w:bookmarkEnd w:id="100"/>
      <w:bookmarkEnd w:id="101"/>
      <w:bookmarkEnd w:id="102"/>
      <w:bookmarkEnd w:id="103"/>
      <w:bookmarkEnd w:id="104"/>
      <w:bookmarkEnd w:id="105"/>
    </w:p>
    <w:p w14:paraId="5033348B">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06" w:name="_Toc237539562"/>
      <w:bookmarkStart w:id="107" w:name="_Toc237541184"/>
      <w:bookmarkStart w:id="108" w:name="_Toc8682"/>
      <w:bookmarkStart w:id="109" w:name="_Toc368991735"/>
      <w:bookmarkStart w:id="110" w:name="_Toc368993221"/>
      <w:bookmarkStart w:id="111" w:name="_Toc369164908"/>
      <w:bookmarkStart w:id="112" w:name="_Toc369165907"/>
      <w:bookmarkStart w:id="113" w:name="_Toc224551708"/>
      <w:bookmarkStart w:id="114" w:name="_Toc247534364"/>
      <w:r>
        <w:rPr>
          <w:rFonts w:hint="eastAsia" w:ascii="宋体" w:hAnsi="宋体" w:eastAsia="宋体" w:cs="宋体"/>
          <w:color w:val="auto"/>
          <w:sz w:val="24"/>
          <w:szCs w:val="24"/>
          <w:highlight w:val="none"/>
        </w:rPr>
        <w:t>1.3.1 发包人负责设计的工程图纸和文件</w:t>
      </w:r>
      <w:bookmarkEnd w:id="106"/>
      <w:bookmarkEnd w:id="107"/>
      <w:bookmarkEnd w:id="108"/>
      <w:bookmarkEnd w:id="109"/>
      <w:bookmarkEnd w:id="110"/>
      <w:bookmarkEnd w:id="111"/>
      <w:bookmarkEnd w:id="112"/>
      <w:bookmarkEnd w:id="113"/>
      <w:bookmarkEnd w:id="114"/>
    </w:p>
    <w:p w14:paraId="627254C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1．由发包人负责设计的工程项目，按供图计划提供施工图纸给承包人。</w:t>
      </w:r>
    </w:p>
    <w:p w14:paraId="5738BE9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在履行合同过程中，按合同约定向承包人提交的设计基本资料、材料样品、试验成果，以及根据合同要求提供的录像、照片、会议纪要等所有图纸、文件（包括软件、移动硬盘）和影像资料等，发包人不再另行收取费用。</w:t>
      </w:r>
    </w:p>
    <w:p w14:paraId="223A1D78">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15" w:name="_Toc368991736"/>
      <w:bookmarkStart w:id="116" w:name="_Toc369165908"/>
      <w:bookmarkStart w:id="117" w:name="_Toc224551709"/>
      <w:bookmarkStart w:id="118" w:name="_Toc368993222"/>
      <w:bookmarkStart w:id="119" w:name="_Toc247534365"/>
      <w:bookmarkStart w:id="120" w:name="_Toc25386"/>
      <w:bookmarkStart w:id="121" w:name="_Toc237541185"/>
      <w:bookmarkStart w:id="122" w:name="_Toc237539563"/>
      <w:bookmarkStart w:id="123" w:name="_Toc369164909"/>
      <w:r>
        <w:rPr>
          <w:rFonts w:hint="eastAsia" w:ascii="宋体" w:hAnsi="宋体" w:eastAsia="宋体" w:cs="宋体"/>
          <w:color w:val="auto"/>
          <w:sz w:val="24"/>
          <w:szCs w:val="24"/>
          <w:highlight w:val="none"/>
        </w:rPr>
        <w:t>1.3.2 发包人供图计划</w:t>
      </w:r>
      <w:bookmarkEnd w:id="115"/>
      <w:bookmarkEnd w:id="116"/>
      <w:bookmarkEnd w:id="117"/>
      <w:bookmarkEnd w:id="118"/>
      <w:bookmarkEnd w:id="119"/>
      <w:bookmarkEnd w:id="120"/>
      <w:bookmarkEnd w:id="121"/>
      <w:bookmarkEnd w:id="122"/>
      <w:bookmarkEnd w:id="123"/>
    </w:p>
    <w:p w14:paraId="0B0BC71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1．发包人应在发出开工通知后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7</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天内，与承包人共同商签发包人供图计划，供图计划应列出各工程项目的全部施工图纸目录和提供时间，经合同双方</w:t>
      </w:r>
      <w:r>
        <w:rPr>
          <w:rFonts w:hint="eastAsia" w:ascii="宋体" w:hAnsi="宋体" w:eastAsia="宋体" w:cs="宋体"/>
          <w:color w:val="auto"/>
          <w:sz w:val="24"/>
          <w:szCs w:val="24"/>
          <w:highlight w:val="none"/>
          <w:lang w:eastAsia="zh-CN"/>
        </w:rPr>
        <w:t>签订的</w:t>
      </w:r>
      <w:r>
        <w:rPr>
          <w:rFonts w:hint="eastAsia" w:ascii="宋体" w:hAnsi="宋体" w:eastAsia="宋体" w:cs="宋体"/>
          <w:color w:val="auto"/>
          <w:sz w:val="24"/>
          <w:szCs w:val="24"/>
          <w:highlight w:val="none"/>
        </w:rPr>
        <w:t>供图计划作为合同的补充文件。</w:t>
      </w:r>
    </w:p>
    <w:p w14:paraId="56D508D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．本工程施工图纸计划一批提供全部图纸</w:t>
      </w:r>
    </w:p>
    <w:p w14:paraId="0B4F8CF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24" w:name="_Toc368991737"/>
      <w:bookmarkStart w:id="125" w:name="_Toc224551710"/>
      <w:bookmarkStart w:id="126" w:name="_Toc369164910"/>
      <w:bookmarkStart w:id="127" w:name="_Toc368993223"/>
      <w:bookmarkStart w:id="128" w:name="_Toc237539564"/>
      <w:bookmarkStart w:id="129" w:name="_Toc247534366"/>
      <w:bookmarkStart w:id="130" w:name="_Toc369165909"/>
      <w:bookmarkStart w:id="131" w:name="_Toc10946"/>
      <w:bookmarkStart w:id="132" w:name="_Toc237541186"/>
      <w:r>
        <w:rPr>
          <w:rFonts w:hint="eastAsia" w:ascii="宋体" w:hAnsi="宋体" w:eastAsia="宋体" w:cs="宋体"/>
          <w:color w:val="auto"/>
          <w:sz w:val="24"/>
          <w:szCs w:val="24"/>
          <w:highlight w:val="none"/>
        </w:rPr>
        <w:t>1.3.3 发包人提供施工图纸的份数</w:t>
      </w:r>
      <w:bookmarkEnd w:id="124"/>
      <w:bookmarkEnd w:id="125"/>
      <w:bookmarkEnd w:id="126"/>
      <w:bookmarkEnd w:id="127"/>
      <w:bookmarkEnd w:id="128"/>
      <w:bookmarkEnd w:id="129"/>
      <w:bookmarkEnd w:id="130"/>
      <w:bookmarkEnd w:id="131"/>
      <w:bookmarkEnd w:id="132"/>
    </w:p>
    <w:p w14:paraId="5BDAE39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人应向承包人提供</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份各类施工图纸（包括设计修改图）。承包人可根据施工需要，要求增加提供图纸份数，并为增供的图纸支付费用。</w:t>
      </w:r>
    </w:p>
    <w:p w14:paraId="15DE05C8">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33" w:name="_Toc368991738"/>
      <w:bookmarkStart w:id="134" w:name="_Toc369165910"/>
      <w:bookmarkStart w:id="135" w:name="_Toc224551711"/>
      <w:bookmarkStart w:id="136" w:name="_Toc368993224"/>
      <w:bookmarkStart w:id="137" w:name="_Toc7266"/>
      <w:bookmarkStart w:id="138" w:name="_Toc247534367"/>
      <w:bookmarkStart w:id="139" w:name="_Toc237541187"/>
      <w:bookmarkStart w:id="140" w:name="_Toc369164911"/>
      <w:bookmarkStart w:id="141" w:name="_Toc237539565"/>
      <w:r>
        <w:rPr>
          <w:rFonts w:hint="eastAsia" w:ascii="宋体" w:hAnsi="宋体" w:eastAsia="宋体" w:cs="宋体"/>
          <w:color w:val="auto"/>
          <w:sz w:val="24"/>
          <w:szCs w:val="24"/>
          <w:highlight w:val="none"/>
        </w:rPr>
        <w:t>1.3.4 发包人提供施工图纸的期限</w:t>
      </w:r>
      <w:bookmarkEnd w:id="133"/>
      <w:bookmarkEnd w:id="134"/>
      <w:bookmarkEnd w:id="135"/>
      <w:bookmarkEnd w:id="136"/>
      <w:bookmarkEnd w:id="137"/>
      <w:bookmarkEnd w:id="138"/>
      <w:bookmarkEnd w:id="139"/>
      <w:bookmarkEnd w:id="140"/>
      <w:bookmarkEnd w:id="141"/>
    </w:p>
    <w:p w14:paraId="0863E14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1．用于承包人编制施工进度计划和施工总布置所需的工程枢纽总布置图和主要工程建筑物布置图应在签署合同协议书后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天内提供给承包人。</w:t>
      </w:r>
    </w:p>
    <w:p w14:paraId="1BEF928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2．用于各工程项目施工的工程建筑物结构布置图、体形图等施工图纸，应在该项目工程施工前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rPr>
        <w:t xml:space="preserve"> 天提供给承包人。</w:t>
      </w:r>
    </w:p>
    <w:p w14:paraId="7B1DE06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3．用于工程施工的开挖图、配筋图、细部设计图和浇筑图等施工图纸，应在该部位施工前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天提供给承包人。</w:t>
      </w:r>
    </w:p>
    <w:p w14:paraId="4F7F5645">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42" w:name="_Toc224551712"/>
      <w:bookmarkStart w:id="143" w:name="_Toc368993225"/>
      <w:bookmarkStart w:id="144" w:name="_Toc247534368"/>
      <w:bookmarkStart w:id="145" w:name="_Toc28410"/>
      <w:bookmarkStart w:id="146" w:name="_Toc237541188"/>
      <w:bookmarkStart w:id="147" w:name="_Toc368991739"/>
      <w:bookmarkStart w:id="148" w:name="_Toc369164912"/>
      <w:bookmarkStart w:id="149" w:name="_Toc369165911"/>
      <w:bookmarkStart w:id="150" w:name="_Toc237539566"/>
      <w:r>
        <w:rPr>
          <w:rFonts w:hint="eastAsia" w:ascii="宋体" w:hAnsi="宋体" w:eastAsia="宋体" w:cs="宋体"/>
          <w:color w:val="auto"/>
          <w:sz w:val="24"/>
          <w:szCs w:val="24"/>
          <w:highlight w:val="none"/>
        </w:rPr>
        <w:t>1.3.5 施工图纸的修改</w:t>
      </w:r>
      <w:bookmarkEnd w:id="142"/>
      <w:bookmarkEnd w:id="143"/>
      <w:bookmarkEnd w:id="144"/>
      <w:bookmarkEnd w:id="145"/>
      <w:bookmarkEnd w:id="146"/>
      <w:bookmarkEnd w:id="147"/>
      <w:bookmarkEnd w:id="148"/>
      <w:bookmarkEnd w:id="149"/>
      <w:bookmarkEnd w:id="150"/>
    </w:p>
    <w:p w14:paraId="4DFE482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1．承包人收到发包人提交的施工图纸后，应进行详细检查，若发现错误或表达不清楚时，应在收到图纸后的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天内书面通知</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人。若</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人确认需要作出修改或补充时，应在接件后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天内将修改和补充后的施工图纸重新提交给承包人。</w:t>
      </w:r>
    </w:p>
    <w:p w14:paraId="685506D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人发出施工图纸后，需要对某些工程设计进行修改和补充时，应在该部位开始施工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天前及时签发设计修改图。</w:t>
      </w:r>
    </w:p>
    <w:p w14:paraId="205143F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3．任何设计修改必须由设计单位提供书面修改通知，并加盖单位印章。如遇紧急情况，允许</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人会同驻工设计代表采取应急处理方案，但应及时补办书面修改通知。</w:t>
      </w:r>
    </w:p>
    <w:p w14:paraId="4D05946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4．由于受不可预见因素的影响，发包人无法按预定计划提供施工图纸时，应由</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人与承包人共同研究解决。</w:t>
      </w:r>
    </w:p>
    <w:p w14:paraId="3AB15226">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51" w:name="_Toc16062"/>
      <w:bookmarkStart w:id="152" w:name="_Toc369164913"/>
      <w:bookmarkStart w:id="153" w:name="_Toc237541189"/>
      <w:bookmarkStart w:id="154" w:name="_Toc369165912"/>
      <w:bookmarkStart w:id="155" w:name="_Toc224551713"/>
      <w:bookmarkStart w:id="156" w:name="_Toc368991740"/>
      <w:bookmarkStart w:id="157" w:name="_Toc247534369"/>
      <w:bookmarkStart w:id="158" w:name="_Toc368993226"/>
      <w:bookmarkStart w:id="159" w:name="_Toc237539567"/>
      <w:r>
        <w:rPr>
          <w:rFonts w:hint="eastAsia" w:ascii="宋体" w:hAnsi="宋体" w:eastAsia="宋体" w:cs="宋体"/>
          <w:color w:val="auto"/>
          <w:sz w:val="24"/>
          <w:szCs w:val="24"/>
          <w:highlight w:val="none"/>
        </w:rPr>
        <w:t>1.3.6 发包人供图延误</w:t>
      </w:r>
      <w:bookmarkEnd w:id="151"/>
      <w:bookmarkEnd w:id="152"/>
      <w:bookmarkEnd w:id="153"/>
      <w:bookmarkEnd w:id="154"/>
      <w:bookmarkEnd w:id="155"/>
      <w:bookmarkEnd w:id="156"/>
      <w:bookmarkEnd w:id="157"/>
      <w:bookmarkEnd w:id="158"/>
      <w:bookmarkEnd w:id="159"/>
    </w:p>
    <w:p w14:paraId="58D9078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由于发包人原因造成供图延误，致使承包人无法按合同进度计划完成预定工作，承包人有权按合同约定，要求与</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人协商修订合同进度计划，并相应调整供图计划。</w:t>
      </w:r>
    </w:p>
    <w:p w14:paraId="026CE3A5">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60" w:name="_Toc515335451"/>
      <w:bookmarkStart w:id="161" w:name="_Toc518723293"/>
      <w:bookmarkStart w:id="162" w:name="_Toc494871121"/>
      <w:bookmarkStart w:id="163" w:name="_Toc237539568"/>
      <w:bookmarkStart w:id="164" w:name="_Toc237541190"/>
      <w:bookmarkStart w:id="165" w:name="_Toc224475774"/>
      <w:bookmarkStart w:id="166" w:name="_Toc224476508"/>
      <w:bookmarkStart w:id="167" w:name="_Toc90030634"/>
      <w:bookmarkStart w:id="168" w:name="_Toc232309776"/>
      <w:bookmarkStart w:id="169" w:name="_Toc32511"/>
      <w:bookmarkStart w:id="170" w:name="_Toc279938488"/>
      <w:bookmarkStart w:id="171" w:name="_Toc247534370"/>
      <w:bookmarkStart w:id="172" w:name="_Toc369765694"/>
      <w:bookmarkStart w:id="173" w:name="_Toc280531297"/>
      <w:bookmarkStart w:id="174" w:name="_Toc249517709"/>
      <w:r>
        <w:rPr>
          <w:rFonts w:hint="eastAsia" w:ascii="宋体" w:hAnsi="宋体" w:eastAsia="宋体" w:cs="宋体"/>
          <w:b/>
          <w:bCs/>
          <w:color w:val="auto"/>
          <w:kern w:val="2"/>
          <w:sz w:val="24"/>
          <w:szCs w:val="24"/>
          <w:highlight w:val="none"/>
          <w:lang w:val="en-US" w:eastAsia="zh-CN" w:bidi="ar-SA"/>
        </w:rPr>
        <w:t xml:space="preserve">1.4 </w:t>
      </w:r>
      <w:bookmarkEnd w:id="160"/>
      <w:bookmarkEnd w:id="161"/>
      <w:bookmarkEnd w:id="162"/>
      <w:bookmarkEnd w:id="163"/>
      <w:bookmarkEnd w:id="164"/>
      <w:bookmarkEnd w:id="165"/>
      <w:bookmarkEnd w:id="166"/>
      <w:bookmarkEnd w:id="167"/>
      <w:bookmarkEnd w:id="168"/>
      <w:r>
        <w:rPr>
          <w:rFonts w:hint="eastAsia" w:ascii="宋体" w:hAnsi="宋体" w:eastAsia="宋体" w:cs="宋体"/>
          <w:b/>
          <w:bCs/>
          <w:color w:val="auto"/>
          <w:kern w:val="2"/>
          <w:sz w:val="24"/>
          <w:szCs w:val="24"/>
          <w:highlight w:val="none"/>
          <w:lang w:val="en-US" w:eastAsia="zh-CN" w:bidi="ar-SA"/>
        </w:rPr>
        <w:t>承包人提交文件</w:t>
      </w:r>
      <w:bookmarkEnd w:id="169"/>
      <w:bookmarkEnd w:id="170"/>
      <w:bookmarkEnd w:id="171"/>
      <w:bookmarkEnd w:id="172"/>
      <w:bookmarkEnd w:id="173"/>
      <w:bookmarkEnd w:id="174"/>
    </w:p>
    <w:p w14:paraId="47BB4B4E">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75" w:name="_Toc368991742"/>
      <w:bookmarkStart w:id="176" w:name="_Toc237539569"/>
      <w:bookmarkStart w:id="177" w:name="_Toc369164915"/>
      <w:bookmarkStart w:id="178" w:name="_Toc224551715"/>
      <w:bookmarkStart w:id="179" w:name="_Toc368993228"/>
      <w:bookmarkStart w:id="180" w:name="_Toc369165914"/>
      <w:bookmarkStart w:id="181" w:name="_Toc237541191"/>
      <w:bookmarkStart w:id="182" w:name="_Toc224476509"/>
      <w:bookmarkStart w:id="183" w:name="_Toc23814"/>
      <w:bookmarkStart w:id="184" w:name="_Toc247534371"/>
      <w:r>
        <w:rPr>
          <w:rFonts w:hint="eastAsia" w:ascii="宋体" w:hAnsi="宋体" w:eastAsia="宋体" w:cs="宋体"/>
          <w:color w:val="auto"/>
          <w:sz w:val="24"/>
          <w:szCs w:val="24"/>
          <w:highlight w:val="none"/>
        </w:rPr>
        <w:t>1.4.1 承包人负责设计的工程图纸和文件</w:t>
      </w:r>
      <w:bookmarkEnd w:id="175"/>
      <w:bookmarkEnd w:id="176"/>
      <w:bookmarkEnd w:id="177"/>
      <w:bookmarkEnd w:id="178"/>
      <w:bookmarkEnd w:id="179"/>
      <w:bookmarkEnd w:id="180"/>
      <w:bookmarkEnd w:id="181"/>
      <w:bookmarkEnd w:id="182"/>
      <w:bookmarkEnd w:id="183"/>
      <w:bookmarkEnd w:id="184"/>
    </w:p>
    <w:p w14:paraId="68E7B29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承包人按合同约定向</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人提交的基本资料、试验成果、施工样品，以及录像、照片、会议纪要等所有图纸、文件（包括软件、移动硬盘）和影像资料等所需的费用，均包括在相关项目的报价中，发包人不再另行支付。</w:t>
      </w:r>
    </w:p>
    <w:p w14:paraId="438DDBA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85" w:name="_Toc237539570"/>
      <w:bookmarkStart w:id="186" w:name="_Toc368991743"/>
      <w:bookmarkStart w:id="187" w:name="_Toc237541192"/>
      <w:bookmarkStart w:id="188" w:name="_Toc247534372"/>
      <w:bookmarkStart w:id="189" w:name="_Toc369164916"/>
      <w:bookmarkStart w:id="190" w:name="_Toc368993229"/>
      <w:bookmarkStart w:id="191" w:name="_Toc224476510"/>
      <w:bookmarkStart w:id="192" w:name="_Toc369165915"/>
      <w:bookmarkStart w:id="193" w:name="_Toc7745"/>
      <w:bookmarkStart w:id="194" w:name="_Toc224551716"/>
      <w:r>
        <w:rPr>
          <w:rFonts w:hint="eastAsia" w:ascii="宋体" w:hAnsi="宋体" w:eastAsia="宋体" w:cs="宋体"/>
          <w:color w:val="auto"/>
          <w:sz w:val="24"/>
          <w:szCs w:val="24"/>
          <w:highlight w:val="none"/>
        </w:rPr>
        <w:t>1.4.2 承包人图纸和文件的提交计划</w:t>
      </w:r>
      <w:bookmarkEnd w:id="185"/>
      <w:bookmarkEnd w:id="186"/>
      <w:bookmarkEnd w:id="187"/>
      <w:bookmarkEnd w:id="188"/>
      <w:bookmarkEnd w:id="189"/>
      <w:bookmarkEnd w:id="190"/>
      <w:bookmarkEnd w:id="191"/>
      <w:bookmarkEnd w:id="192"/>
      <w:bookmarkEnd w:id="193"/>
      <w:bookmarkEnd w:id="194"/>
    </w:p>
    <w:p w14:paraId="396E916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承包人应在签署协议书后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天内，根据</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人批准的合同进度计划，提交一份由项目经理签署的承包人图纸和文件提交计划，报送</w:t>
      </w:r>
      <w:r>
        <w:rPr>
          <w:rFonts w:hint="eastAsia" w:ascii="宋体" w:hAnsi="宋体" w:eastAsia="宋体" w:cs="宋体"/>
          <w:color w:val="auto"/>
          <w:sz w:val="24"/>
          <w:szCs w:val="24"/>
          <w:highlight w:val="none"/>
          <w:lang w:val="en-US" w:eastAsia="zh-CN"/>
        </w:rPr>
        <w:t>发包人</w:t>
      </w:r>
      <w:r>
        <w:rPr>
          <w:rFonts w:hint="eastAsia" w:ascii="宋体" w:hAnsi="宋体" w:eastAsia="宋体" w:cs="宋体"/>
          <w:color w:val="auto"/>
          <w:sz w:val="24"/>
          <w:szCs w:val="24"/>
          <w:highlight w:val="none"/>
        </w:rPr>
        <w:t>审批，</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人应在收到该提交计划后的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天内批复承包人。提交计划应说明图纸和文件的名称和提交时间，提交的图纸和文件的项目内容应包括（但不限于）以下第1.4.3条至第1.4.7条规定的各项提</w:t>
      </w:r>
      <w:r>
        <w:rPr>
          <w:rFonts w:hint="eastAsia" w:ascii="宋体" w:hAnsi="宋体" w:eastAsia="宋体" w:cs="宋体"/>
          <w:color w:val="auto"/>
          <w:sz w:val="24"/>
          <w:szCs w:val="24"/>
          <w:highlight w:val="none"/>
          <w:lang w:eastAsia="zh-CN"/>
        </w:rPr>
        <w:t>交文</w:t>
      </w:r>
      <w:r>
        <w:rPr>
          <w:rFonts w:hint="eastAsia" w:ascii="宋体" w:hAnsi="宋体" w:eastAsia="宋体" w:cs="宋体"/>
          <w:color w:val="auto"/>
          <w:sz w:val="24"/>
          <w:szCs w:val="24"/>
          <w:highlight w:val="none"/>
        </w:rPr>
        <w:t>件，以及按本合同约定应由承包人提交的其他图纸和文件。</w:t>
      </w:r>
    </w:p>
    <w:p w14:paraId="425B9D06">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95" w:name="_Toc24970"/>
      <w:bookmarkStart w:id="196" w:name="_Toc247534373"/>
      <w:bookmarkStart w:id="197" w:name="_Toc369164917"/>
      <w:bookmarkStart w:id="198" w:name="_Toc237541193"/>
      <w:bookmarkStart w:id="199" w:name="_Toc237539571"/>
      <w:bookmarkStart w:id="200" w:name="_Toc369165916"/>
      <w:bookmarkStart w:id="201" w:name="_Toc368993230"/>
      <w:bookmarkStart w:id="202" w:name="_Toc368991744"/>
      <w:bookmarkStart w:id="203" w:name="_Toc224476511"/>
      <w:bookmarkStart w:id="204" w:name="_Toc224551717"/>
      <w:r>
        <w:rPr>
          <w:rFonts w:hint="eastAsia" w:ascii="宋体" w:hAnsi="宋体" w:eastAsia="宋体" w:cs="宋体"/>
          <w:color w:val="auto"/>
          <w:sz w:val="24"/>
          <w:szCs w:val="24"/>
          <w:highlight w:val="none"/>
        </w:rPr>
        <w:t>1.4.3 施工总进度计划</w:t>
      </w:r>
      <w:bookmarkEnd w:id="195"/>
      <w:bookmarkEnd w:id="196"/>
      <w:bookmarkEnd w:id="197"/>
      <w:bookmarkEnd w:id="198"/>
      <w:bookmarkEnd w:id="199"/>
      <w:bookmarkEnd w:id="200"/>
      <w:bookmarkEnd w:id="201"/>
      <w:bookmarkEnd w:id="202"/>
      <w:bookmarkEnd w:id="203"/>
      <w:bookmarkEnd w:id="204"/>
    </w:p>
    <w:p w14:paraId="34A5755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1．承包人应在收到开工通知后的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天内，按本合同约定，采用关键线路法网络图编制本合同工程施工总进度计划（包括与发包人管理软件版本相匹配的网络电子软件）报送</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人审批。</w:t>
      </w:r>
    </w:p>
    <w:p w14:paraId="6D332B1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编制的施工总进度计划应满足本合同约定的本合同工程、单位工程和部分工程的开工日期，以及各工程施工控制节点工期要求的规定。网络图的编制应按以下各项数据和内容，表述全部工程施工作业间的逻辑关系：</w:t>
      </w:r>
    </w:p>
    <w:p w14:paraId="09B4DFA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（1）作业和相应节点编号；</w:t>
      </w:r>
    </w:p>
    <w:p w14:paraId="3B1283D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（2）各项施工作业间的衔接和协调关系；</w:t>
      </w:r>
    </w:p>
    <w:p w14:paraId="5629756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（3）持续时间；</w:t>
      </w:r>
    </w:p>
    <w:p w14:paraId="597A4F5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（4）最早开工及最早完工日期；</w:t>
      </w:r>
    </w:p>
    <w:p w14:paraId="1AD29A2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（5）最迟开工及最迟完工日期；</w:t>
      </w:r>
    </w:p>
    <w:p w14:paraId="6DE4AD1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（6）总时差和自由时差；</w:t>
      </w:r>
    </w:p>
    <w:p w14:paraId="4CA2BFB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（7）施工强度曲线；</w:t>
      </w:r>
    </w:p>
    <w:p w14:paraId="63940CA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（8）附需要资源和说明。</w:t>
      </w:r>
    </w:p>
    <w:p w14:paraId="74110BC4">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205" w:name="_Toc368993231"/>
      <w:bookmarkStart w:id="206" w:name="_Toc247534374"/>
      <w:bookmarkStart w:id="207" w:name="_Toc368991745"/>
      <w:bookmarkStart w:id="208" w:name="_Toc224476512"/>
      <w:bookmarkStart w:id="209" w:name="_Toc237539572"/>
      <w:bookmarkStart w:id="210" w:name="_Toc369165917"/>
      <w:bookmarkStart w:id="211" w:name="_Toc237541194"/>
      <w:bookmarkStart w:id="212" w:name="_Toc369164918"/>
      <w:bookmarkStart w:id="213" w:name="_Toc224551718"/>
      <w:bookmarkStart w:id="214" w:name="_Toc30701"/>
      <w:r>
        <w:rPr>
          <w:rFonts w:hint="eastAsia" w:ascii="宋体" w:hAnsi="宋体" w:eastAsia="宋体" w:cs="宋体"/>
          <w:color w:val="auto"/>
          <w:sz w:val="24"/>
          <w:szCs w:val="24"/>
          <w:highlight w:val="none"/>
        </w:rPr>
        <w:t>1.4.4 施工总布置设计</w:t>
      </w:r>
      <w:bookmarkEnd w:id="205"/>
      <w:bookmarkEnd w:id="206"/>
      <w:bookmarkEnd w:id="207"/>
      <w:bookmarkEnd w:id="208"/>
      <w:bookmarkEnd w:id="209"/>
      <w:bookmarkEnd w:id="210"/>
      <w:bookmarkEnd w:id="211"/>
      <w:bookmarkEnd w:id="212"/>
      <w:bookmarkEnd w:id="213"/>
      <w:bookmarkEnd w:id="214"/>
    </w:p>
    <w:p w14:paraId="256FC20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1．承包人应在收到开工通知后的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天内，将本合同工程的施工总布置设计文件，报送</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人审批。</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人应在签收后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天内批复承包人。</w:t>
      </w:r>
    </w:p>
    <w:p w14:paraId="1BE025E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提交的施工总布置设计文件，其内容应包括施工总平面布置图、主要剖面图和设计说明书。承包人应按所列各项临时设施的设计和使用要求进行总平面布置，施工总布置的占地范围不得超过发包人划定的界线。</w:t>
      </w:r>
    </w:p>
    <w:p w14:paraId="178E632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3．承包人应按本技术条款第3章有关“施工安全措施”和第4章“环境保护和水土保持”的要求，采取必要措施保护好临时设施周围开挖后的边坡、冲沟、河道、河岸的稳定和安全。</w:t>
      </w:r>
    </w:p>
    <w:p w14:paraId="1D453DFA">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215" w:name="_Toc247534375"/>
      <w:bookmarkStart w:id="216" w:name="_Toc368991746"/>
      <w:bookmarkStart w:id="217" w:name="_Toc368993232"/>
      <w:bookmarkStart w:id="218" w:name="_Toc224551719"/>
      <w:bookmarkStart w:id="219" w:name="_Toc369165918"/>
      <w:bookmarkStart w:id="220" w:name="_Toc29821"/>
      <w:bookmarkStart w:id="221" w:name="_Toc224476513"/>
      <w:bookmarkStart w:id="222" w:name="_Toc237541195"/>
      <w:bookmarkStart w:id="223" w:name="_Toc237539573"/>
      <w:bookmarkStart w:id="224" w:name="_Toc369164919"/>
      <w:r>
        <w:rPr>
          <w:rFonts w:hint="eastAsia" w:ascii="宋体" w:hAnsi="宋体" w:eastAsia="宋体" w:cs="宋体"/>
          <w:color w:val="auto"/>
          <w:sz w:val="24"/>
          <w:szCs w:val="24"/>
          <w:highlight w:val="none"/>
        </w:rPr>
        <w:t>1.4.5 施工临时设施设计</w:t>
      </w:r>
      <w:bookmarkEnd w:id="215"/>
      <w:bookmarkEnd w:id="216"/>
      <w:bookmarkEnd w:id="217"/>
      <w:bookmarkEnd w:id="218"/>
      <w:bookmarkEnd w:id="219"/>
      <w:bookmarkEnd w:id="220"/>
      <w:bookmarkEnd w:id="221"/>
      <w:bookmarkEnd w:id="222"/>
      <w:bookmarkEnd w:id="223"/>
      <w:bookmarkEnd w:id="224"/>
    </w:p>
    <w:p w14:paraId="3D7246D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1．承包人应按施工进度计划的安排，在施工临时设施开始施工前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天，将各项施工临时设施的设计文件报送</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人审批。</w:t>
      </w:r>
    </w:p>
    <w:p w14:paraId="7D5A5DD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2．承包人提交的施工临时设施设计应包括施工临时设施的平面布置图、主要剖面图和设计说明书。上述各项设计应详细表述以下内容：</w:t>
      </w:r>
    </w:p>
    <w:p w14:paraId="6CAFBAD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（1）场内施工交通工程的规划布置及道路等布置图。</w:t>
      </w:r>
    </w:p>
    <w:p w14:paraId="4282DE8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（2）施工用电负荷、电压等级</w:t>
      </w:r>
      <w:r>
        <w:rPr>
          <w:rFonts w:hint="eastAsia" w:ascii="宋体" w:hAnsi="宋体" w:eastAsia="宋体" w:cs="宋体"/>
          <w:color w:val="auto"/>
          <w:sz w:val="24"/>
          <w:szCs w:val="24"/>
          <w:highlight w:val="none"/>
          <w:lang w:eastAsia="zh-CN"/>
        </w:rPr>
        <w:t>等数据</w:t>
      </w:r>
      <w:r>
        <w:rPr>
          <w:rFonts w:hint="eastAsia" w:ascii="宋体" w:hAnsi="宋体" w:eastAsia="宋体" w:cs="宋体"/>
          <w:color w:val="auto"/>
          <w:sz w:val="24"/>
          <w:szCs w:val="24"/>
          <w:highlight w:val="none"/>
        </w:rPr>
        <w:t>表。</w:t>
      </w:r>
    </w:p>
    <w:p w14:paraId="76A9802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）各施工作业区</w:t>
      </w:r>
      <w:r>
        <w:rPr>
          <w:rFonts w:hint="eastAsia" w:ascii="宋体" w:hAnsi="宋体" w:eastAsia="宋体" w:cs="宋体"/>
          <w:color w:val="auto"/>
          <w:sz w:val="24"/>
          <w:szCs w:val="24"/>
          <w:highlight w:val="none"/>
          <w:lang w:eastAsia="zh-CN"/>
        </w:rPr>
        <w:t>警示</w:t>
      </w:r>
      <w:r>
        <w:rPr>
          <w:rFonts w:hint="eastAsia" w:ascii="宋体" w:hAnsi="宋体" w:eastAsia="宋体" w:cs="宋体"/>
          <w:color w:val="auto"/>
          <w:sz w:val="24"/>
          <w:szCs w:val="24"/>
          <w:highlight w:val="none"/>
        </w:rPr>
        <w:t>照明设施的布置图、工程量和设备配置一览表。</w:t>
      </w:r>
    </w:p>
    <w:p w14:paraId="5B3940A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）各临时工厂设施包括混凝土预制件、钢筋、木材等</w:t>
      </w:r>
      <w:r>
        <w:rPr>
          <w:rFonts w:hint="eastAsia" w:ascii="宋体" w:hAnsi="宋体" w:eastAsia="宋体" w:cs="宋体"/>
          <w:color w:val="auto"/>
          <w:sz w:val="24"/>
          <w:szCs w:val="24"/>
          <w:highlight w:val="none"/>
          <w:lang w:eastAsia="zh-CN"/>
        </w:rPr>
        <w:t>材料堆放</w:t>
      </w:r>
      <w:r>
        <w:rPr>
          <w:rFonts w:hint="eastAsia" w:ascii="宋体" w:hAnsi="宋体" w:eastAsia="宋体" w:cs="宋体"/>
          <w:color w:val="auto"/>
          <w:sz w:val="24"/>
          <w:szCs w:val="24"/>
          <w:highlight w:val="none"/>
        </w:rPr>
        <w:t>布置图、工程量一览表。</w:t>
      </w:r>
    </w:p>
    <w:p w14:paraId="1E2A3ED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）大型施工机械设备停放场布置图、工程量及其设备、设施配置一览表。</w:t>
      </w:r>
    </w:p>
    <w:p w14:paraId="4007081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）施工期环境保护工程及其设施的设计标准、布置图、工程量和设备、设施配置一览表。</w:t>
      </w:r>
    </w:p>
    <w:p w14:paraId="1C2A067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）根据本合同规定设计的安全防护设施的布置图、工程量和设备、设施配置一览表。</w:t>
      </w:r>
    </w:p>
    <w:p w14:paraId="56F07AE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225" w:name="_Toc369165919"/>
      <w:bookmarkStart w:id="226" w:name="_Toc237539574"/>
      <w:bookmarkStart w:id="227" w:name="_Toc247534376"/>
      <w:bookmarkStart w:id="228" w:name="_Toc224551720"/>
      <w:bookmarkStart w:id="229" w:name="_Toc368991747"/>
      <w:bookmarkStart w:id="230" w:name="_Toc224476514"/>
      <w:bookmarkStart w:id="231" w:name="_Toc237541196"/>
      <w:bookmarkStart w:id="232" w:name="_Toc369164920"/>
      <w:bookmarkStart w:id="233" w:name="_Toc24150"/>
      <w:bookmarkStart w:id="234" w:name="_Toc368993233"/>
      <w:r>
        <w:rPr>
          <w:rFonts w:hint="eastAsia" w:ascii="宋体" w:hAnsi="宋体" w:eastAsia="宋体" w:cs="宋体"/>
          <w:color w:val="auto"/>
          <w:sz w:val="24"/>
          <w:szCs w:val="24"/>
          <w:highlight w:val="none"/>
        </w:rPr>
        <w:t>1.4.6 主要施工方法和措施</w:t>
      </w:r>
      <w:bookmarkEnd w:id="225"/>
      <w:bookmarkEnd w:id="226"/>
      <w:bookmarkEnd w:id="227"/>
      <w:bookmarkEnd w:id="228"/>
      <w:bookmarkEnd w:id="229"/>
      <w:bookmarkEnd w:id="230"/>
      <w:bookmarkEnd w:id="231"/>
      <w:bookmarkEnd w:id="232"/>
      <w:bookmarkEnd w:id="233"/>
      <w:bookmarkEnd w:id="234"/>
    </w:p>
    <w:p w14:paraId="0B35C82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1．承包人应在主要工程建筑物开始施工和（或）主要机电设备安装前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天，按约定的内容提交主要工程建筑物施工和（或）机电设备安装的方法和措施报送</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人审批。</w:t>
      </w:r>
    </w:p>
    <w:p w14:paraId="70FF610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主要工程建筑物的工程施工和（或）主要机电设备安装的方法和措施，其内容应包括施工布置、施工程序、施工工艺和试验、主要施工材料、施工设备和劳动力，环境保护和水土保持措施，机电设备安装方案和安装工艺措施，质量检验和安全保证措施，以及施工和安装的进度安排等。</w:t>
      </w:r>
    </w:p>
    <w:p w14:paraId="0B2B081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人认为有必要时，承包人应按</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人指示提交单位工程的施工方法和措施，报送</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人审批。单位工程的施工方法和措施的内容与本条第2款相同。</w:t>
      </w:r>
    </w:p>
    <w:p w14:paraId="0DDC89C0">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235" w:name="_Toc224551721"/>
      <w:bookmarkStart w:id="236" w:name="_Toc369164921"/>
      <w:bookmarkStart w:id="237" w:name="_Toc247534377"/>
      <w:bookmarkStart w:id="238" w:name="_Toc369165920"/>
      <w:bookmarkStart w:id="239" w:name="_Toc26144"/>
      <w:bookmarkStart w:id="240" w:name="_Toc237541197"/>
      <w:bookmarkStart w:id="241" w:name="_Toc368991748"/>
      <w:bookmarkStart w:id="242" w:name="_Toc224476515"/>
      <w:bookmarkStart w:id="243" w:name="_Toc368993234"/>
      <w:bookmarkStart w:id="244" w:name="_Toc237539575"/>
      <w:r>
        <w:rPr>
          <w:rFonts w:hint="eastAsia" w:ascii="宋体" w:hAnsi="宋体" w:eastAsia="宋体" w:cs="宋体"/>
          <w:color w:val="auto"/>
          <w:sz w:val="24"/>
          <w:szCs w:val="24"/>
          <w:highlight w:val="none"/>
        </w:rPr>
        <w:t>1.4.7 承包人施工图纸</w:t>
      </w:r>
      <w:bookmarkEnd w:id="235"/>
      <w:bookmarkEnd w:id="236"/>
      <w:bookmarkEnd w:id="237"/>
      <w:bookmarkEnd w:id="238"/>
      <w:bookmarkEnd w:id="239"/>
      <w:bookmarkEnd w:id="240"/>
      <w:bookmarkEnd w:id="241"/>
      <w:bookmarkEnd w:id="242"/>
      <w:bookmarkEnd w:id="243"/>
      <w:bookmarkEnd w:id="244"/>
    </w:p>
    <w:p w14:paraId="41F7DBF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1．由发包人负责设计的工程项目，应由</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按规定提供施工图纸给承包人，承包人应按发包人提供的施工图纸绘制其施工作业需要的分层浇筑图、钢筋模板放样图、脚手架搭设图等施工图纸，承包人的上述施工图纸以及按规定由承包人提交的图纸和文件，均应在每项工程开始施工或安装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天报送</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人审批。</w:t>
      </w:r>
    </w:p>
    <w:p w14:paraId="6CB7E20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2．若承包人根据其施工的需要，要求对发包人提供的施工图纸作局部修改时，应向</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人提交书面报告，详细说明要求修改的目的与修改的具体建议。经</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人批准，并由</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人提出修改后的施工图纸发给承包人。没有</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人的同意，承包人不得自行修改施工图纸。</w:t>
      </w:r>
    </w:p>
    <w:p w14:paraId="34ABAFB0">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245" w:name="_Toc247534378"/>
      <w:bookmarkStart w:id="246" w:name="_Toc368993235"/>
      <w:bookmarkStart w:id="247" w:name="_Toc237539576"/>
      <w:bookmarkStart w:id="248" w:name="_Toc369165921"/>
      <w:bookmarkStart w:id="249" w:name="_Toc369164922"/>
      <w:bookmarkStart w:id="250" w:name="_Toc368991749"/>
      <w:bookmarkStart w:id="251" w:name="_Toc237541198"/>
      <w:bookmarkStart w:id="252" w:name="_Toc224476516"/>
      <w:bookmarkStart w:id="253" w:name="_Toc224551722"/>
      <w:bookmarkStart w:id="254" w:name="_Toc4846"/>
      <w:r>
        <w:rPr>
          <w:rFonts w:hint="eastAsia" w:ascii="宋体" w:hAnsi="宋体" w:eastAsia="宋体" w:cs="宋体"/>
          <w:color w:val="auto"/>
          <w:sz w:val="24"/>
          <w:szCs w:val="24"/>
          <w:highlight w:val="none"/>
        </w:rPr>
        <w:t>1.4.8 承包人图纸和文件的审批</w:t>
      </w:r>
      <w:bookmarkEnd w:id="245"/>
      <w:bookmarkEnd w:id="246"/>
      <w:bookmarkEnd w:id="247"/>
      <w:bookmarkEnd w:id="248"/>
      <w:bookmarkEnd w:id="249"/>
      <w:bookmarkEnd w:id="250"/>
      <w:bookmarkEnd w:id="251"/>
      <w:bookmarkEnd w:id="252"/>
      <w:bookmarkEnd w:id="253"/>
      <w:bookmarkEnd w:id="254"/>
    </w:p>
    <w:p w14:paraId="71A4523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1．除合同另有约定外，凡须经</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人审批的承包人图纸和文件，</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人应在收到承包人提交的各项图纸和文件后</w:t>
      </w:r>
      <w:r>
        <w:rPr>
          <w:rFonts w:hint="eastAsia" w:ascii="宋体" w:hAnsi="宋体" w:eastAsia="宋体" w:cs="宋体"/>
          <w:color w:val="auto"/>
          <w:sz w:val="24"/>
          <w:szCs w:val="24"/>
          <w:highlight w:val="none"/>
          <w:u w:val="single"/>
        </w:rPr>
        <w:t xml:space="preserve"> 7 </w:t>
      </w:r>
      <w:r>
        <w:rPr>
          <w:rFonts w:hint="eastAsia" w:ascii="宋体" w:hAnsi="宋体" w:eastAsia="宋体" w:cs="宋体"/>
          <w:color w:val="auto"/>
          <w:sz w:val="24"/>
          <w:szCs w:val="24"/>
          <w:highlight w:val="none"/>
        </w:rPr>
        <w:t>天内批复承包人，逾期不批复，则视为已经</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人批准。</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人的审批意见包括：</w:t>
      </w:r>
    </w:p>
    <w:p w14:paraId="230240C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（1）同意按此执行；或</w:t>
      </w:r>
    </w:p>
    <w:p w14:paraId="235C195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（2）按修改意见执行；或</w:t>
      </w:r>
    </w:p>
    <w:p w14:paraId="3CA31E3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（3）修改后重新提交；或</w:t>
      </w:r>
    </w:p>
    <w:p w14:paraId="7D6B556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（4）不予批准。</w:t>
      </w:r>
    </w:p>
    <w:p w14:paraId="43B4B8E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2．凡标有“按修改意见执行”或“修改后重新提交”的图纸和文件，应由承包人在收到批复件后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天内作出相应修改。所有修改都应由承包人在修改的图纸和文件上标明编号、日期以及说明修改范围和内容，并由承包人项目经理签字后，重新提交</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人批复，</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人应在图纸的角签部位和文件的签署</w:t>
      </w:r>
      <w:r>
        <w:rPr>
          <w:rFonts w:hint="eastAsia" w:ascii="宋体" w:hAnsi="宋体" w:eastAsia="宋体" w:cs="宋体"/>
          <w:color w:val="auto"/>
          <w:sz w:val="24"/>
          <w:szCs w:val="24"/>
          <w:highlight w:val="none"/>
          <w:lang w:eastAsia="zh-CN"/>
        </w:rPr>
        <w:t>栏</w:t>
      </w:r>
      <w:r>
        <w:rPr>
          <w:rFonts w:hint="eastAsia" w:ascii="宋体" w:hAnsi="宋体" w:eastAsia="宋体" w:cs="宋体"/>
          <w:color w:val="auto"/>
          <w:sz w:val="24"/>
          <w:szCs w:val="24"/>
          <w:highlight w:val="none"/>
        </w:rPr>
        <w:t>签注处理意见后，发还承包人执行。</w:t>
      </w:r>
    </w:p>
    <w:p w14:paraId="352B816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3．凡合同约定由承包人报送</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人批准的图纸和文件，必须由项目经理或其授权代表签名，否则均属无效。</w:t>
      </w:r>
      <w:bookmarkStart w:id="255" w:name="_Toc90030635"/>
      <w:r>
        <w:rPr>
          <w:rFonts w:hint="eastAsia" w:ascii="宋体" w:hAnsi="宋体" w:eastAsia="宋体" w:cs="宋体"/>
          <w:color w:val="auto"/>
          <w:sz w:val="24"/>
          <w:szCs w:val="24"/>
          <w:highlight w:val="none"/>
        </w:rPr>
        <w:t>凡未经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签署的图纸和文件，均属无效。</w:t>
      </w:r>
    </w:p>
    <w:bookmarkEnd w:id="255"/>
    <w:p w14:paraId="7074EBCE">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256" w:name="_Toc224476518"/>
      <w:bookmarkStart w:id="257" w:name="_Toc237539580"/>
      <w:bookmarkStart w:id="258" w:name="_Toc224475776"/>
      <w:bookmarkStart w:id="259" w:name="_Toc247534382"/>
      <w:bookmarkStart w:id="260" w:name="_Toc249517711"/>
      <w:bookmarkStart w:id="261" w:name="_Toc279938490"/>
      <w:bookmarkStart w:id="262" w:name="_Toc518723294"/>
      <w:bookmarkStart w:id="263" w:name="_Toc925"/>
      <w:bookmarkStart w:id="264" w:name="_Toc237541201"/>
      <w:bookmarkStart w:id="265" w:name="_Toc369765696"/>
      <w:bookmarkStart w:id="266" w:name="_Toc494871123"/>
      <w:bookmarkStart w:id="267" w:name="_Toc90030636"/>
      <w:bookmarkStart w:id="268" w:name="_Toc515335453"/>
      <w:bookmarkStart w:id="269" w:name="_Toc280531299"/>
      <w:bookmarkStart w:id="270" w:name="_Toc232309778"/>
      <w:r>
        <w:rPr>
          <w:rFonts w:hint="eastAsia" w:ascii="宋体" w:hAnsi="宋体" w:eastAsia="宋体" w:cs="宋体"/>
          <w:b/>
          <w:bCs/>
          <w:color w:val="auto"/>
          <w:kern w:val="2"/>
          <w:sz w:val="24"/>
          <w:szCs w:val="24"/>
          <w:highlight w:val="none"/>
          <w:lang w:val="en-US" w:eastAsia="zh-CN" w:bidi="ar-SA"/>
        </w:rPr>
        <w:t>1.6 承包人提供的材料和设备</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14:paraId="4515A15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271" w:name="_Toc369165926"/>
      <w:bookmarkStart w:id="272" w:name="_Toc247534383"/>
      <w:bookmarkStart w:id="273" w:name="_Toc224551727"/>
      <w:bookmarkStart w:id="274" w:name="_Toc18669"/>
      <w:bookmarkStart w:id="275" w:name="_Toc237539581"/>
      <w:bookmarkStart w:id="276" w:name="_Toc368991754"/>
      <w:bookmarkStart w:id="277" w:name="_Toc368993240"/>
      <w:bookmarkStart w:id="278" w:name="_Toc369164927"/>
      <w:r>
        <w:rPr>
          <w:rFonts w:hint="eastAsia" w:ascii="宋体" w:hAnsi="宋体" w:eastAsia="宋体" w:cs="宋体"/>
          <w:color w:val="auto"/>
          <w:sz w:val="24"/>
          <w:szCs w:val="24"/>
          <w:highlight w:val="none"/>
        </w:rPr>
        <w:t>1.6.1 承包人提供的材料</w:t>
      </w:r>
      <w:bookmarkEnd w:id="271"/>
      <w:bookmarkEnd w:id="272"/>
      <w:bookmarkEnd w:id="273"/>
      <w:bookmarkEnd w:id="274"/>
      <w:bookmarkEnd w:id="275"/>
      <w:bookmarkEnd w:id="276"/>
      <w:bookmarkEnd w:id="277"/>
      <w:bookmarkEnd w:id="278"/>
    </w:p>
    <w:p w14:paraId="13BEC3B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1．材料采购计划 </w:t>
      </w:r>
    </w:p>
    <w:p w14:paraId="44F77CD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（1）承包人负责用于本工程</w:t>
      </w:r>
      <w:r>
        <w:rPr>
          <w:rFonts w:hint="eastAsia" w:ascii="宋体" w:hAnsi="宋体" w:eastAsia="宋体" w:cs="宋体"/>
          <w:color w:val="auto"/>
          <w:sz w:val="24"/>
          <w:szCs w:val="24"/>
          <w:highlight w:val="none"/>
          <w:lang w:eastAsia="zh-CN"/>
        </w:rPr>
        <w:t>其他所有</w:t>
      </w:r>
      <w:r>
        <w:rPr>
          <w:rFonts w:hint="eastAsia" w:ascii="宋体" w:hAnsi="宋体" w:eastAsia="宋体" w:cs="宋体"/>
          <w:color w:val="auto"/>
          <w:sz w:val="24"/>
          <w:szCs w:val="24"/>
          <w:highlight w:val="none"/>
        </w:rPr>
        <w:t>材料的采购。其中水泥采购所选定的生产厂家应得到</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和发包人的批准，并应选择国家免检产品。承包人应在开工通知签发后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天内应按合同进度计划和本技术条款的要求制定《材料采购计划表》报送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应在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天内批复，经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批准后的《材料采购计划表》作为本工程材料采购总的控制依据。</w:t>
      </w:r>
    </w:p>
    <w:p w14:paraId="53C964B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（2）承包人采购材料要求</w:t>
      </w:r>
    </w:p>
    <w:p w14:paraId="665C620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1）承包人采购的各种材料应满足本合同施工图纸的要求和符合各项专业技术条款规定的质量标准；</w:t>
      </w:r>
    </w:p>
    <w:p w14:paraId="5330FF3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2）大宗材料的供应应满足施工总进度计划对材料高峰用量的要求。</w:t>
      </w:r>
    </w:p>
    <w:p w14:paraId="67ABB14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2．材料交货验收</w:t>
      </w:r>
    </w:p>
    <w:p w14:paraId="0E4C463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承包人提供的材料应按本合同约定进行检查和验收，其材料交货验收的内容包括：</w:t>
      </w:r>
    </w:p>
    <w:p w14:paraId="4B1C5D3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（1）查验证件：承包人应按供货合同的要求查验每批材料的发货单、计量单、装箱材料的合格证书、化验单以及其他有关图纸、文件和证件，并应将上述图纸，以及文件、证件的复印件提交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w:t>
      </w:r>
    </w:p>
    <w:p w14:paraId="62AC7E1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（2）抽样检验：承包人按本合同约定和技术条款各章的有关规定进行材料抽样检验，并将检验结果报送</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w:t>
      </w:r>
    </w:p>
    <w:p w14:paraId="7F09D98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（3）合格鉴定书：承包人应根据材料的试验检验结果，对每批材料是否合格作出鉴定，并将合格鉴定书提交</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人复查。</w:t>
      </w:r>
    </w:p>
    <w:p w14:paraId="674A6C9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（4）材料验收：经鉴定合格的材料方能验收，承包人应协助</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人核对材料品名、规格、数量、包装以及封记的完整性，并</w:t>
      </w:r>
      <w:r>
        <w:rPr>
          <w:rFonts w:hint="eastAsia" w:ascii="宋体" w:hAnsi="宋体" w:eastAsia="宋体" w:cs="宋体"/>
          <w:color w:val="auto"/>
          <w:sz w:val="24"/>
          <w:szCs w:val="24"/>
          <w:highlight w:val="none"/>
          <w:lang w:eastAsia="zh-CN"/>
        </w:rPr>
        <w:t>做好</w:t>
      </w:r>
      <w:r>
        <w:rPr>
          <w:rFonts w:hint="eastAsia" w:ascii="宋体" w:hAnsi="宋体" w:eastAsia="宋体" w:cs="宋体"/>
          <w:color w:val="auto"/>
          <w:sz w:val="24"/>
          <w:szCs w:val="24"/>
          <w:highlight w:val="none"/>
        </w:rPr>
        <w:t>记录。并由承包人会同</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人共同验点入库。</w:t>
      </w:r>
    </w:p>
    <w:p w14:paraId="36E8585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3．不合格材料的处理</w:t>
      </w:r>
    </w:p>
    <w:p w14:paraId="68A01F9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严禁将不合格的材料运往现场，经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查库发现的不合格材料，应禁止使用，并清除出场。承包人违约使用了不合格材料，应按本合同约定予以清除或返工至合格为止。</w:t>
      </w:r>
    </w:p>
    <w:p w14:paraId="51BB08A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．材料贮存</w:t>
      </w:r>
    </w:p>
    <w:p w14:paraId="0BD378B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材料的贮存方式应能保证工程施工质量能全部</w:t>
      </w:r>
      <w:r>
        <w:rPr>
          <w:rFonts w:hint="eastAsia" w:ascii="宋体" w:hAnsi="宋体" w:eastAsia="宋体" w:cs="宋体"/>
          <w:color w:val="auto"/>
          <w:sz w:val="24"/>
          <w:szCs w:val="24"/>
          <w:highlight w:val="none"/>
          <w:lang w:eastAsia="zh-CN"/>
        </w:rPr>
        <w:t>符合</w:t>
      </w:r>
      <w:r>
        <w:rPr>
          <w:rFonts w:hint="eastAsia" w:ascii="宋体" w:hAnsi="宋体" w:eastAsia="宋体" w:cs="宋体"/>
          <w:color w:val="auto"/>
          <w:sz w:val="24"/>
          <w:szCs w:val="24"/>
          <w:highlight w:val="none"/>
        </w:rPr>
        <w:t>工程要求的性能指标，材料堆存前应清理好堆存场地，贮存的材料应置于通风干燥和方便取货的地点。</w:t>
      </w:r>
    </w:p>
    <w:p w14:paraId="2A51857C">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279" w:name="_Toc16645"/>
      <w:bookmarkStart w:id="280" w:name="_Toc368991755"/>
      <w:bookmarkStart w:id="281" w:name="_Toc237539582"/>
      <w:bookmarkStart w:id="282" w:name="_Toc369165927"/>
      <w:bookmarkStart w:id="283" w:name="_Toc368993241"/>
      <w:bookmarkStart w:id="284" w:name="_Toc224551728"/>
      <w:bookmarkStart w:id="285" w:name="_Toc369164928"/>
      <w:r>
        <w:rPr>
          <w:rFonts w:hint="eastAsia" w:ascii="宋体" w:hAnsi="宋体" w:eastAsia="宋体" w:cs="宋体"/>
          <w:color w:val="auto"/>
          <w:sz w:val="24"/>
          <w:szCs w:val="24"/>
          <w:highlight w:val="none"/>
        </w:rPr>
        <w:t>1.6.2 承包人提供的工程设备</w:t>
      </w:r>
      <w:bookmarkEnd w:id="279"/>
      <w:bookmarkEnd w:id="280"/>
      <w:bookmarkEnd w:id="281"/>
      <w:bookmarkEnd w:id="282"/>
      <w:bookmarkEnd w:id="283"/>
      <w:bookmarkEnd w:id="284"/>
      <w:bookmarkEnd w:id="285"/>
    </w:p>
    <w:p w14:paraId="33EA54A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1．按合同约定由承包人负责采购和安装的工程设备，应根据施工进度的安排以及本合同《工程量清单》所列的项目内容和本技术条款规定的技术要求，提出工程设备的订货清单，报送</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人审批。</w:t>
      </w:r>
    </w:p>
    <w:p w14:paraId="4E58F3D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2．承包人应按</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人批准的工程设备订货清单办理订货。承包人应承担工程设备的采购、验收、运输和保管的全部责任。</w:t>
      </w:r>
    </w:p>
    <w:p w14:paraId="1902C48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人应按本合同约定，参加工程设备的交货验收和检验测试。</w:t>
      </w:r>
    </w:p>
    <w:p w14:paraId="107886D0">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286" w:name="_Toc368993242"/>
      <w:bookmarkStart w:id="287" w:name="_Toc368991756"/>
      <w:bookmarkStart w:id="288" w:name="_Toc247534384"/>
      <w:bookmarkStart w:id="289" w:name="_Toc369164929"/>
      <w:bookmarkStart w:id="290" w:name="_Toc237539583"/>
      <w:bookmarkStart w:id="291" w:name="_Toc369165928"/>
      <w:bookmarkStart w:id="292" w:name="_Toc19088"/>
      <w:bookmarkStart w:id="293" w:name="_Toc224551729"/>
      <w:r>
        <w:rPr>
          <w:rFonts w:hint="eastAsia" w:ascii="宋体" w:hAnsi="宋体" w:eastAsia="宋体" w:cs="宋体"/>
          <w:color w:val="auto"/>
          <w:sz w:val="24"/>
          <w:szCs w:val="24"/>
          <w:highlight w:val="none"/>
        </w:rPr>
        <w:t>1.6.3 承包人施工设备</w:t>
      </w:r>
      <w:bookmarkEnd w:id="286"/>
      <w:bookmarkEnd w:id="287"/>
      <w:bookmarkEnd w:id="288"/>
      <w:bookmarkEnd w:id="289"/>
      <w:bookmarkEnd w:id="290"/>
      <w:bookmarkEnd w:id="291"/>
      <w:bookmarkEnd w:id="292"/>
      <w:bookmarkEnd w:id="293"/>
    </w:p>
    <w:p w14:paraId="22F636B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1．承包人应在签署协议书后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天内，提交一份为完成本合同各项工作所需的施工设备清单，报送</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人审批。</w:t>
      </w:r>
    </w:p>
    <w:p w14:paraId="231C177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2．施工过程中，承包人应按</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人的指示，及时补充和调整施工设备。</w:t>
      </w:r>
    </w:p>
    <w:p w14:paraId="633C6C9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3．承包人配置的旧施工设备（包括租赁的旧设备），应由</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人进行检查，并须进行试运行，确认其符合使用要求后方可投入使用。</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人有权向承包人索取必要的租赁设备资料和有关图纸。</w:t>
      </w:r>
    </w:p>
    <w:p w14:paraId="2E10ED5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4．不论承包人采用何种方式取得的施工设备，都应对施工设备使用过程中造成的损失和损坏负全部责任，</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人一旦发现承包人使用的施工设备影响工程进度和质量时，承包人应按</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人的指示及时予以更换。</w:t>
      </w:r>
    </w:p>
    <w:p w14:paraId="62CDD97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5．施工设备的保险由承包人办理，承包人应将保险单副本提交</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w:t>
      </w:r>
    </w:p>
    <w:p w14:paraId="50E66D2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6．承包人施工设备进场后，</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应按承包人提供的施工设备清单，仔细核查进场施工设备的数量、规格和性能是否符合施工进度计划和质量控制的要求。如发现进场的施工设备不能满足施工要求时，</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人有权责令撤换。</w:t>
      </w:r>
    </w:p>
    <w:p w14:paraId="6C857E0D">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294" w:name="_Toc247534385"/>
      <w:bookmarkStart w:id="295" w:name="_Toc237539584"/>
      <w:bookmarkStart w:id="296" w:name="_Toc369165929"/>
      <w:bookmarkStart w:id="297" w:name="_Toc224551730"/>
      <w:bookmarkStart w:id="298" w:name="_Toc368993243"/>
      <w:bookmarkStart w:id="299" w:name="_Toc369164930"/>
      <w:bookmarkStart w:id="300" w:name="_Toc368991757"/>
      <w:bookmarkStart w:id="301" w:name="_Toc15014"/>
      <w:r>
        <w:rPr>
          <w:rFonts w:hint="eastAsia" w:ascii="宋体" w:hAnsi="宋体" w:eastAsia="宋体" w:cs="宋体"/>
          <w:color w:val="auto"/>
          <w:sz w:val="24"/>
          <w:szCs w:val="24"/>
          <w:highlight w:val="none"/>
        </w:rPr>
        <w:t>1.6.4不合格的材料和工程设备的处理</w:t>
      </w:r>
      <w:bookmarkEnd w:id="294"/>
      <w:bookmarkEnd w:id="295"/>
      <w:bookmarkEnd w:id="296"/>
      <w:bookmarkEnd w:id="297"/>
      <w:bookmarkEnd w:id="298"/>
      <w:bookmarkEnd w:id="299"/>
      <w:bookmarkEnd w:id="300"/>
      <w:bookmarkEnd w:id="301"/>
    </w:p>
    <w:p w14:paraId="37665BB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由于承包人使用了不合格材料和工程设备造成了工程损害，</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人可以随时发出指示，要求承包人立即采取措施进行补救，直至彻底清除工程的不合格部位以及不合格的材料或工程设备，由此增加的费用和工期延误责任由承包人承担。</w:t>
      </w:r>
    </w:p>
    <w:p w14:paraId="50BE4790">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302" w:name="_Toc90030637"/>
      <w:bookmarkStart w:id="303" w:name="_Toc232309779"/>
      <w:bookmarkStart w:id="304" w:name="_Toc224475777"/>
      <w:bookmarkStart w:id="305" w:name="_Toc249517712"/>
      <w:bookmarkStart w:id="306" w:name="_Toc237539585"/>
      <w:bookmarkStart w:id="307" w:name="_Toc224476519"/>
      <w:bookmarkStart w:id="308" w:name="_Toc237541202"/>
      <w:bookmarkStart w:id="309" w:name="_Toc279938491"/>
      <w:bookmarkStart w:id="310" w:name="_Toc247534386"/>
      <w:bookmarkStart w:id="311" w:name="_Toc515335454"/>
      <w:bookmarkStart w:id="312" w:name="_Toc518723295"/>
      <w:bookmarkStart w:id="313" w:name="_Toc369765697"/>
      <w:bookmarkStart w:id="314" w:name="_Toc23981"/>
      <w:bookmarkStart w:id="315" w:name="_Toc494871124"/>
      <w:bookmarkStart w:id="316" w:name="_Toc280531300"/>
      <w:r>
        <w:rPr>
          <w:rFonts w:hint="eastAsia" w:ascii="宋体" w:hAnsi="宋体" w:eastAsia="宋体" w:cs="宋体"/>
          <w:b/>
          <w:bCs/>
          <w:color w:val="auto"/>
          <w:kern w:val="2"/>
          <w:sz w:val="24"/>
          <w:szCs w:val="24"/>
          <w:highlight w:val="none"/>
          <w:lang w:val="en-US" w:eastAsia="zh-CN" w:bidi="ar-SA"/>
        </w:rPr>
        <w:t>1.7 进度计划的实施</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14:paraId="105AE1C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317" w:name="_Toc3693"/>
      <w:bookmarkStart w:id="318" w:name="_Toc224551732"/>
      <w:bookmarkStart w:id="319" w:name="_Toc369164932"/>
      <w:bookmarkStart w:id="320" w:name="_Toc247534387"/>
      <w:bookmarkStart w:id="321" w:name="_Toc369165931"/>
      <w:bookmarkStart w:id="322" w:name="_Toc368993245"/>
      <w:bookmarkStart w:id="323" w:name="_Toc237539586"/>
      <w:bookmarkStart w:id="324" w:name="_Toc368991759"/>
      <w:r>
        <w:rPr>
          <w:rFonts w:hint="eastAsia" w:ascii="宋体" w:hAnsi="宋体" w:eastAsia="宋体" w:cs="宋体"/>
          <w:color w:val="auto"/>
          <w:sz w:val="24"/>
          <w:szCs w:val="24"/>
          <w:highlight w:val="none"/>
        </w:rPr>
        <w:t>1.7.1 施工总进度实施计划</w:t>
      </w:r>
      <w:bookmarkEnd w:id="317"/>
      <w:bookmarkEnd w:id="318"/>
      <w:bookmarkEnd w:id="319"/>
      <w:bookmarkEnd w:id="320"/>
      <w:bookmarkEnd w:id="321"/>
      <w:bookmarkEnd w:id="322"/>
      <w:bookmarkEnd w:id="323"/>
      <w:bookmarkEnd w:id="324"/>
    </w:p>
    <w:p w14:paraId="3A7E9CE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1．为加强工程施工进度计划的科学管理，承包人应在进点后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天内，根据合同协议书确认的总进度计划，编制详细的施工总进度实施计划报送</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人批准。除应按本章相关要求编制施工总进度实施计划外，还应说明以下内容：</w:t>
      </w:r>
    </w:p>
    <w:p w14:paraId="2AC3227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（1）各永久工程和临时工程项目按期完成的年、月工程量计划和各年度形象面貌。</w:t>
      </w:r>
    </w:p>
    <w:p w14:paraId="700B9D3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（2）主要物资材料（如钢材、钢筋、木材、水泥、粉煤灰、用水和用电等）使用计划及主要材料订货安排；</w:t>
      </w:r>
    </w:p>
    <w:p w14:paraId="205499B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（3）施工现场各类人员配备和劳务安排计划；</w:t>
      </w:r>
    </w:p>
    <w:p w14:paraId="08CAF0E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（4）工程设备的订货、交货安排计划；</w:t>
      </w:r>
    </w:p>
    <w:p w14:paraId="4E5AF48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说明。</w:t>
      </w:r>
    </w:p>
    <w:p w14:paraId="6EF03A2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2．施工总进度实施计划应采用先进的网络图关键线路电子计算软件。</w:t>
      </w:r>
    </w:p>
    <w:p w14:paraId="1629AC37">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325" w:name="_Toc224551736"/>
      <w:bookmarkStart w:id="326" w:name="_Toc18708"/>
      <w:bookmarkStart w:id="327" w:name="_Toc369165935"/>
      <w:bookmarkStart w:id="328" w:name="_Toc368991763"/>
      <w:bookmarkStart w:id="329" w:name="_Toc368993249"/>
      <w:bookmarkStart w:id="330" w:name="_Toc369164936"/>
      <w:bookmarkStart w:id="331" w:name="_Toc247534391"/>
      <w:bookmarkStart w:id="332" w:name="_Toc237539590"/>
      <w:r>
        <w:rPr>
          <w:rFonts w:hint="eastAsia" w:ascii="宋体" w:hAnsi="宋体" w:eastAsia="宋体" w:cs="宋体"/>
          <w:color w:val="auto"/>
          <w:sz w:val="24"/>
          <w:szCs w:val="24"/>
          <w:highlight w:val="none"/>
        </w:rPr>
        <w:t>1.7.</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进度会议</w:t>
      </w:r>
      <w:bookmarkEnd w:id="325"/>
      <w:bookmarkEnd w:id="326"/>
      <w:bookmarkEnd w:id="327"/>
      <w:bookmarkEnd w:id="328"/>
      <w:bookmarkEnd w:id="329"/>
      <w:bookmarkEnd w:id="330"/>
      <w:bookmarkEnd w:id="331"/>
      <w:bookmarkEnd w:id="332"/>
    </w:p>
    <w:p w14:paraId="46A09E2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人定期召</w:t>
      </w:r>
      <w:r>
        <w:rPr>
          <w:rFonts w:hint="eastAsia" w:ascii="宋体" w:hAnsi="宋体" w:eastAsia="宋体" w:cs="宋体"/>
          <w:color w:val="auto"/>
          <w:sz w:val="24"/>
          <w:szCs w:val="24"/>
          <w:highlight w:val="none"/>
          <w:lang w:eastAsia="zh-CN"/>
        </w:rPr>
        <w:t>开</w:t>
      </w:r>
      <w:r>
        <w:rPr>
          <w:rFonts w:hint="eastAsia" w:ascii="宋体" w:hAnsi="宋体" w:eastAsia="宋体" w:cs="宋体"/>
          <w:color w:val="auto"/>
          <w:sz w:val="24"/>
          <w:szCs w:val="24"/>
          <w:highlight w:val="none"/>
        </w:rPr>
        <w:t>进度会议，检查承包人的合同进度计划执行情况和工程质量状况，协调解决工程施工中发生的工程变更、质量缺陷处理、支付结算等问题以及与其他承包人的相互干扰和矛盾。</w:t>
      </w:r>
    </w:p>
    <w:p w14:paraId="13C6F8A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333" w:name="_Toc237539591"/>
      <w:bookmarkStart w:id="334" w:name="_Toc368993250"/>
      <w:bookmarkStart w:id="335" w:name="_Toc29029"/>
      <w:bookmarkStart w:id="336" w:name="_Toc247534392"/>
      <w:bookmarkStart w:id="337" w:name="_Toc368991764"/>
      <w:bookmarkStart w:id="338" w:name="_Toc369164937"/>
      <w:bookmarkStart w:id="339" w:name="_Toc369165936"/>
      <w:r>
        <w:rPr>
          <w:rFonts w:hint="eastAsia" w:ascii="宋体" w:hAnsi="宋体" w:eastAsia="宋体" w:cs="宋体"/>
          <w:color w:val="auto"/>
          <w:sz w:val="24"/>
          <w:szCs w:val="24"/>
          <w:highlight w:val="none"/>
        </w:rPr>
        <w:t>1.7.</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进度计划的调整与修订</w:t>
      </w:r>
      <w:bookmarkEnd w:id="333"/>
      <w:bookmarkEnd w:id="334"/>
      <w:bookmarkEnd w:id="335"/>
      <w:bookmarkEnd w:id="336"/>
      <w:bookmarkEnd w:id="337"/>
      <w:bookmarkEnd w:id="338"/>
      <w:bookmarkEnd w:id="339"/>
    </w:p>
    <w:p w14:paraId="189F918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在工程实施过程中，不论何种原因引起的工期延误，承包人均应及时</w:t>
      </w:r>
      <w:r>
        <w:rPr>
          <w:rFonts w:hint="eastAsia" w:ascii="宋体" w:hAnsi="宋体" w:eastAsia="宋体" w:cs="宋体"/>
          <w:color w:val="auto"/>
          <w:sz w:val="24"/>
          <w:szCs w:val="24"/>
          <w:highlight w:val="none"/>
          <w:lang w:eastAsia="zh-CN"/>
        </w:rPr>
        <w:t>做出</w:t>
      </w:r>
      <w:r>
        <w:rPr>
          <w:rFonts w:hint="eastAsia" w:ascii="宋体" w:hAnsi="宋体" w:eastAsia="宋体" w:cs="宋体"/>
          <w:color w:val="auto"/>
          <w:sz w:val="24"/>
          <w:szCs w:val="24"/>
          <w:highlight w:val="none"/>
        </w:rPr>
        <w:t>调整，并在月进度报告中提出调整后的进度计划及其说明。若进度计划的调整需要修改关键线路或改变关键工程的完工日期时，承包人应按</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人指示，提交修订的进度计划报送</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人审批。</w:t>
      </w:r>
    </w:p>
    <w:p w14:paraId="3DEE57E0">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340" w:name="_Toc280531301"/>
      <w:bookmarkStart w:id="341" w:name="_Toc249517713"/>
      <w:bookmarkStart w:id="342" w:name="_Toc237541203"/>
      <w:bookmarkStart w:id="343" w:name="_Toc224476520"/>
      <w:bookmarkStart w:id="344" w:name="_Toc237539592"/>
      <w:bookmarkStart w:id="345" w:name="_Toc279938492"/>
      <w:bookmarkStart w:id="346" w:name="_Toc9072"/>
      <w:bookmarkStart w:id="347" w:name="_Toc369765698"/>
      <w:bookmarkStart w:id="348" w:name="_Toc247534393"/>
      <w:bookmarkStart w:id="349" w:name="_Toc224475778"/>
      <w:bookmarkStart w:id="350" w:name="_Toc232309780"/>
      <w:r>
        <w:rPr>
          <w:rFonts w:hint="eastAsia" w:ascii="宋体" w:hAnsi="宋体" w:eastAsia="宋体" w:cs="宋体"/>
          <w:b/>
          <w:bCs/>
          <w:color w:val="auto"/>
          <w:kern w:val="2"/>
          <w:sz w:val="24"/>
          <w:szCs w:val="24"/>
          <w:highlight w:val="none"/>
          <w:lang w:val="en-US" w:eastAsia="zh-CN" w:bidi="ar-SA"/>
        </w:rPr>
        <w:t>1.8 工程质量的检查和检验</w:t>
      </w:r>
      <w:bookmarkEnd w:id="340"/>
      <w:bookmarkEnd w:id="341"/>
      <w:bookmarkEnd w:id="342"/>
      <w:bookmarkEnd w:id="343"/>
      <w:bookmarkEnd w:id="344"/>
      <w:bookmarkEnd w:id="345"/>
      <w:bookmarkEnd w:id="346"/>
      <w:bookmarkEnd w:id="347"/>
      <w:bookmarkEnd w:id="348"/>
      <w:bookmarkEnd w:id="349"/>
      <w:bookmarkEnd w:id="350"/>
    </w:p>
    <w:p w14:paraId="2DEE0E3B">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351" w:name="_Toc247534394"/>
      <w:bookmarkStart w:id="352" w:name="_Toc224551738"/>
      <w:bookmarkStart w:id="353" w:name="_Toc369165938"/>
      <w:bookmarkStart w:id="354" w:name="_Toc369164939"/>
      <w:bookmarkStart w:id="355" w:name="_Toc237539593"/>
      <w:bookmarkStart w:id="356" w:name="_Toc368991766"/>
      <w:bookmarkStart w:id="357" w:name="_Toc368993252"/>
      <w:bookmarkStart w:id="358" w:name="_Toc31877"/>
      <w:r>
        <w:rPr>
          <w:rFonts w:hint="eastAsia" w:ascii="宋体" w:hAnsi="宋体" w:eastAsia="宋体" w:cs="宋体"/>
          <w:color w:val="auto"/>
          <w:sz w:val="24"/>
          <w:szCs w:val="24"/>
          <w:highlight w:val="none"/>
        </w:rPr>
        <w:t>1.8.1 承包人的质量自检</w:t>
      </w:r>
      <w:bookmarkEnd w:id="351"/>
      <w:bookmarkEnd w:id="352"/>
      <w:bookmarkEnd w:id="353"/>
      <w:bookmarkEnd w:id="354"/>
      <w:bookmarkEnd w:id="355"/>
      <w:bookmarkEnd w:id="356"/>
      <w:bookmarkEnd w:id="357"/>
      <w:bookmarkEnd w:id="358"/>
    </w:p>
    <w:p w14:paraId="1A8F92D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1．承包人应按本合同约定，建立完善质量管理体制，严格履行合同规定的质量检查职责。承包人应按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指示和批准的格式，编制工程质量报表，定期提交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w:t>
      </w:r>
    </w:p>
    <w:p w14:paraId="5D9D4B0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2．工程发生质量事故时，承包人应约请</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人共同对工程质量事故进行检查，</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并应参加为查明事故原因的试验和抽样检验，并应将其试验和检验成果提交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w:t>
      </w:r>
    </w:p>
    <w:p w14:paraId="59B2E97C">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359" w:name="_Toc368991767"/>
      <w:bookmarkStart w:id="360" w:name="_Toc247534395"/>
      <w:bookmarkStart w:id="361" w:name="_Toc4887"/>
      <w:bookmarkStart w:id="362" w:name="_Toc237539594"/>
      <w:bookmarkStart w:id="363" w:name="_Toc369164940"/>
      <w:bookmarkStart w:id="364" w:name="_Toc368993253"/>
      <w:bookmarkStart w:id="365" w:name="_Toc369165939"/>
      <w:bookmarkStart w:id="366" w:name="_Toc224551739"/>
      <w:r>
        <w:rPr>
          <w:rFonts w:hint="eastAsia" w:ascii="宋体" w:hAnsi="宋体" w:eastAsia="宋体" w:cs="宋体"/>
          <w:color w:val="auto"/>
          <w:sz w:val="24"/>
          <w:szCs w:val="24"/>
          <w:highlight w:val="none"/>
        </w:rPr>
        <w:t xml:space="preserve">1.8.2 </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人的质量检查</w:t>
      </w:r>
      <w:bookmarkEnd w:id="359"/>
      <w:bookmarkEnd w:id="360"/>
      <w:bookmarkEnd w:id="361"/>
      <w:bookmarkEnd w:id="362"/>
      <w:bookmarkEnd w:id="363"/>
      <w:bookmarkEnd w:id="364"/>
      <w:bookmarkEnd w:id="365"/>
      <w:bookmarkEnd w:id="366"/>
    </w:p>
    <w:p w14:paraId="73789A9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人有权按本合同约定，对工程的所有部位及其任何一项工艺、材料和工程设备进行检查和检验。</w:t>
      </w:r>
    </w:p>
    <w:p w14:paraId="0F38665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人为检查工程和工程设备质量的需要，可要求承包人提交材料质量和设备出厂合格证、材料试验和设备检测成果、施工和安装记录等，承包人应及时予以提供。</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人在施工过程中要求承包人提供的合格证书、检测成果和施工安装记录等将是工程和工程设备验收的附件。</w:t>
      </w:r>
    </w:p>
    <w:p w14:paraId="7113E9C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人检验材料和工程设备的质量和性能指标时，有权要求承包人按合同约定，提供试验用的材料样品和在现场钻取试件，或使用承包人测试设备，进行试验检验，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还可按合同约定，要求承包人进行补充的试验检验。</w:t>
      </w:r>
    </w:p>
    <w:p w14:paraId="725CE8E0">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367" w:name="_Toc369765699"/>
      <w:bookmarkStart w:id="368" w:name="_Toc280531302"/>
      <w:bookmarkStart w:id="369" w:name="_Toc247534396"/>
      <w:bookmarkStart w:id="370" w:name="_Toc249517714"/>
      <w:bookmarkStart w:id="371" w:name="_Toc279938493"/>
      <w:bookmarkStart w:id="372" w:name="_Toc23456"/>
      <w:r>
        <w:rPr>
          <w:rFonts w:hint="eastAsia" w:ascii="宋体" w:hAnsi="宋体" w:eastAsia="宋体" w:cs="宋体"/>
          <w:b/>
          <w:bCs/>
          <w:color w:val="auto"/>
          <w:kern w:val="2"/>
          <w:sz w:val="24"/>
          <w:szCs w:val="24"/>
          <w:highlight w:val="none"/>
          <w:lang w:val="en-US" w:eastAsia="zh-CN" w:bidi="ar-SA"/>
        </w:rPr>
        <w:t>1.9 引用技术标准和规程规范的规定</w:t>
      </w:r>
      <w:bookmarkEnd w:id="367"/>
      <w:bookmarkEnd w:id="368"/>
      <w:bookmarkEnd w:id="369"/>
      <w:bookmarkEnd w:id="370"/>
      <w:bookmarkEnd w:id="371"/>
      <w:bookmarkEnd w:id="372"/>
    </w:p>
    <w:p w14:paraId="108BAF7A">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373" w:name="_Toc369164942"/>
      <w:bookmarkStart w:id="374" w:name="_Toc368991769"/>
      <w:bookmarkStart w:id="375" w:name="_Toc368993255"/>
      <w:bookmarkStart w:id="376" w:name="_Toc369165941"/>
      <w:bookmarkStart w:id="377" w:name="_Toc247534397"/>
      <w:bookmarkStart w:id="378" w:name="_Toc18491"/>
      <w:r>
        <w:rPr>
          <w:rFonts w:hint="eastAsia" w:ascii="宋体" w:hAnsi="宋体" w:eastAsia="宋体" w:cs="宋体"/>
          <w:color w:val="auto"/>
          <w:sz w:val="24"/>
          <w:szCs w:val="24"/>
          <w:highlight w:val="none"/>
        </w:rPr>
        <w:t>1.9.1 技术标准和规程规范的遵行顺序</w:t>
      </w:r>
      <w:bookmarkEnd w:id="373"/>
      <w:bookmarkEnd w:id="374"/>
      <w:bookmarkEnd w:id="375"/>
      <w:bookmarkEnd w:id="376"/>
      <w:bookmarkEnd w:id="377"/>
      <w:bookmarkEnd w:id="378"/>
    </w:p>
    <w:p w14:paraId="21BA702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建设工程的设计、施工和安装应遵行技术标准和规程规范的顺序为：</w:t>
      </w:r>
    </w:p>
    <w:p w14:paraId="5175BA8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1．国家标准和行业标准中的强制性规定；</w:t>
      </w:r>
    </w:p>
    <w:p w14:paraId="7D2AC42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2．材料与工程设备供货合同中指定的专用技术标准；</w:t>
      </w:r>
    </w:p>
    <w:p w14:paraId="449604D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3．本合同技术条款中规定的施工安装技术要求；</w:t>
      </w:r>
    </w:p>
    <w:p w14:paraId="3E9E845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4．履行合同过程中，由</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发出的指示与</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批准的承包人提交件中有关施工安装的补充技术要求；</w:t>
      </w:r>
    </w:p>
    <w:p w14:paraId="235B25E0">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379" w:name="_Toc369164943"/>
      <w:bookmarkStart w:id="380" w:name="_Toc247534398"/>
      <w:bookmarkStart w:id="381" w:name="_Toc368991770"/>
      <w:bookmarkStart w:id="382" w:name="_Toc368993256"/>
      <w:bookmarkStart w:id="383" w:name="_Toc369165942"/>
      <w:bookmarkStart w:id="384" w:name="_Toc12024"/>
      <w:r>
        <w:rPr>
          <w:rFonts w:hint="eastAsia" w:ascii="宋体" w:hAnsi="宋体" w:eastAsia="宋体" w:cs="宋体"/>
          <w:color w:val="auto"/>
          <w:sz w:val="24"/>
          <w:szCs w:val="24"/>
          <w:highlight w:val="none"/>
        </w:rPr>
        <w:t>1.9.2 遵守国家和行业标准的强制性规定</w:t>
      </w:r>
      <w:bookmarkEnd w:id="379"/>
      <w:bookmarkEnd w:id="380"/>
      <w:bookmarkEnd w:id="381"/>
      <w:bookmarkEnd w:id="382"/>
      <w:bookmarkEnd w:id="383"/>
      <w:bookmarkEnd w:id="384"/>
    </w:p>
    <w:p w14:paraId="3918C41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技术条款中有关工程等级、防洪标准和工程安全鉴定标准等涉及工程安全的施工安装技术要求及其验收标准，必须严格遵守国家和行业标准中的强制性规定。遇有矛盾时，应由</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按国家和行业标准的强制性规定进行修正。涉及变更的，应按本合同条款相关约定办理。</w:t>
      </w:r>
    </w:p>
    <w:p w14:paraId="467C383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385" w:name="_Toc247534400"/>
      <w:bookmarkStart w:id="386" w:name="_Toc368991772"/>
      <w:bookmarkStart w:id="387" w:name="_Toc24635"/>
      <w:bookmarkStart w:id="388" w:name="_Toc369164945"/>
      <w:bookmarkStart w:id="389" w:name="_Toc368993258"/>
      <w:bookmarkStart w:id="390" w:name="_Toc369165944"/>
      <w:r>
        <w:rPr>
          <w:rFonts w:hint="eastAsia" w:ascii="宋体" w:hAnsi="宋体" w:eastAsia="宋体" w:cs="宋体"/>
          <w:color w:val="auto"/>
          <w:sz w:val="24"/>
          <w:szCs w:val="24"/>
          <w:highlight w:val="none"/>
        </w:rPr>
        <w:t>1.9.</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新技术和新工艺的采用</w:t>
      </w:r>
      <w:bookmarkEnd w:id="385"/>
      <w:bookmarkEnd w:id="386"/>
      <w:bookmarkEnd w:id="387"/>
      <w:bookmarkEnd w:id="388"/>
      <w:bookmarkEnd w:id="389"/>
      <w:bookmarkEnd w:id="390"/>
    </w:p>
    <w:p w14:paraId="665C0EB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在施工过程中，</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人为保证工程质量和施工进度的要求，有权指示承包人或批准承包人采用新技术和新工艺，并增补和修改技术条款的内容。其增补和修改的内容中涉及变更时，应按本合同条款相关约定办理。</w:t>
      </w:r>
    </w:p>
    <w:p w14:paraId="79263B73">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391" w:name="_Toc224475780"/>
      <w:bookmarkStart w:id="392" w:name="_Toc279938494"/>
      <w:bookmarkStart w:id="393" w:name="_Toc232309782"/>
      <w:bookmarkStart w:id="394" w:name="_Toc247534402"/>
      <w:bookmarkStart w:id="395" w:name="_Toc280531303"/>
      <w:bookmarkStart w:id="396" w:name="_Toc237541205"/>
      <w:bookmarkStart w:id="397" w:name="_Toc237539603"/>
      <w:bookmarkStart w:id="398" w:name="_Toc369765700"/>
      <w:bookmarkStart w:id="399" w:name="_Toc249517715"/>
      <w:bookmarkStart w:id="400" w:name="_Toc18539"/>
      <w:bookmarkStart w:id="401" w:name="_Toc224476522"/>
      <w:r>
        <w:rPr>
          <w:rFonts w:hint="eastAsia" w:ascii="宋体" w:hAnsi="宋体" w:eastAsia="宋体" w:cs="宋体"/>
          <w:b/>
          <w:bCs/>
          <w:color w:val="auto"/>
          <w:kern w:val="2"/>
          <w:sz w:val="24"/>
          <w:szCs w:val="24"/>
          <w:highlight w:val="none"/>
          <w:lang w:val="en-US" w:eastAsia="zh-CN" w:bidi="ar-SA"/>
        </w:rPr>
        <w:t>1.10 工程量计量</w:t>
      </w:r>
      <w:bookmarkEnd w:id="391"/>
      <w:bookmarkEnd w:id="392"/>
      <w:bookmarkEnd w:id="393"/>
      <w:bookmarkEnd w:id="394"/>
      <w:bookmarkEnd w:id="395"/>
      <w:bookmarkEnd w:id="396"/>
      <w:bookmarkEnd w:id="397"/>
      <w:bookmarkEnd w:id="398"/>
      <w:bookmarkEnd w:id="399"/>
      <w:bookmarkEnd w:id="400"/>
      <w:bookmarkEnd w:id="401"/>
    </w:p>
    <w:p w14:paraId="47167F26">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402" w:name="_Toc247534403"/>
      <w:bookmarkStart w:id="403" w:name="_Toc369165947"/>
      <w:bookmarkStart w:id="404" w:name="_Toc7824"/>
      <w:bookmarkStart w:id="405" w:name="_Toc368993261"/>
      <w:bookmarkStart w:id="406" w:name="_Toc224551748"/>
      <w:bookmarkStart w:id="407" w:name="_Toc368991775"/>
      <w:bookmarkStart w:id="408" w:name="_Toc369164948"/>
      <w:bookmarkStart w:id="409" w:name="_Toc237539604"/>
      <w:r>
        <w:rPr>
          <w:rFonts w:hint="eastAsia" w:ascii="宋体" w:hAnsi="宋体" w:eastAsia="宋体" w:cs="宋体"/>
          <w:color w:val="auto"/>
          <w:sz w:val="24"/>
          <w:szCs w:val="24"/>
          <w:highlight w:val="none"/>
        </w:rPr>
        <w:t>1.10.1 说明</w:t>
      </w:r>
      <w:bookmarkEnd w:id="402"/>
      <w:bookmarkEnd w:id="403"/>
      <w:bookmarkEnd w:id="404"/>
      <w:bookmarkEnd w:id="405"/>
      <w:bookmarkEnd w:id="406"/>
      <w:bookmarkEnd w:id="407"/>
      <w:bookmarkEnd w:id="408"/>
      <w:bookmarkEnd w:id="409"/>
    </w:p>
    <w:p w14:paraId="23DE54C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1．本合同的工程项目应按本合同条款相关规定进行计量。所有工程项目的计量方法均应符合《水利工程工程量清单计价规范》（GB50501-2007）和本技术条款各章的有关规定。</w:t>
      </w:r>
    </w:p>
    <w:p w14:paraId="7C397F4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2．承包人应保证自供的一切计量设备和用具符合国家度量衡标准的精度要求。</w:t>
      </w:r>
    </w:p>
    <w:p w14:paraId="5EFF971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3．除合同另有约定外，凡超出施工图纸所示和合同技术条款规定的有效工程量以外的超挖、超填工程量，施工附加量，加工、运输损耗量等均不予计量。</w:t>
      </w:r>
    </w:p>
    <w:p w14:paraId="547F77E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4．根据合同完成的有效工程量，由承包人按施工图纸计算，或采用标准的计量设备进行秤量，并经</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人签认后，列入承包人完成工程量报表。当分次结算累计工程量与按完成施工图纸所示及合同文件规定计算的有效工程量不一致时，以按完成施工图纸所示及合同文件规定计算的有效工程量为准。</w:t>
      </w:r>
    </w:p>
    <w:p w14:paraId="6DEF447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5．分次结算工程量的测量工作，应在</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人在场的情况下，由承包人负责。必要时，</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人有权指示承包人对结算工程量重新进行复核测量，并由</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人核查确认。</w:t>
      </w:r>
    </w:p>
    <w:p w14:paraId="5ED8B98F">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410" w:name="_Toc280531304"/>
      <w:bookmarkStart w:id="411" w:name="_Toc249517716"/>
      <w:bookmarkStart w:id="412" w:name="_Toc236720589"/>
      <w:bookmarkStart w:id="413" w:name="_Toc226966818"/>
      <w:bookmarkStart w:id="414" w:name="_Toc22317"/>
      <w:bookmarkStart w:id="415" w:name="_Toc369765701"/>
      <w:bookmarkStart w:id="416" w:name="_Toc279938495"/>
      <w:bookmarkStart w:id="417" w:name="_Toc247534408"/>
      <w:bookmarkStart w:id="418" w:name="_Toc240281280"/>
      <w:r>
        <w:rPr>
          <w:rFonts w:hint="eastAsia" w:ascii="宋体" w:hAnsi="宋体" w:eastAsia="宋体" w:cs="宋体"/>
          <w:b/>
          <w:bCs/>
          <w:color w:val="auto"/>
          <w:kern w:val="2"/>
          <w:sz w:val="24"/>
          <w:szCs w:val="24"/>
          <w:highlight w:val="none"/>
          <w:lang w:val="en-US" w:eastAsia="zh-CN" w:bidi="ar-SA"/>
        </w:rPr>
        <w:t>1.11 工程价款支付</w:t>
      </w:r>
      <w:bookmarkEnd w:id="410"/>
      <w:bookmarkEnd w:id="411"/>
      <w:bookmarkEnd w:id="412"/>
      <w:bookmarkEnd w:id="413"/>
      <w:bookmarkEnd w:id="414"/>
      <w:bookmarkEnd w:id="415"/>
      <w:bookmarkEnd w:id="416"/>
      <w:bookmarkEnd w:id="417"/>
      <w:bookmarkEnd w:id="418"/>
    </w:p>
    <w:p w14:paraId="74FD3B9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419" w:name="_Toc18598"/>
      <w:bookmarkStart w:id="420" w:name="_Toc368993267"/>
      <w:bookmarkStart w:id="421" w:name="_Toc247534409"/>
      <w:bookmarkStart w:id="422" w:name="_Toc369165953"/>
      <w:bookmarkStart w:id="423" w:name="_Toc245603554"/>
      <w:bookmarkStart w:id="424" w:name="_Toc369164954"/>
      <w:bookmarkStart w:id="425" w:name="_Toc368991781"/>
      <w:r>
        <w:rPr>
          <w:rFonts w:hint="eastAsia" w:ascii="宋体" w:hAnsi="宋体" w:eastAsia="宋体" w:cs="宋体"/>
          <w:color w:val="auto"/>
          <w:sz w:val="24"/>
          <w:szCs w:val="24"/>
          <w:highlight w:val="none"/>
        </w:rPr>
        <w:t>1.11.1 单价支付项目</w:t>
      </w:r>
      <w:bookmarkEnd w:id="419"/>
      <w:bookmarkEnd w:id="420"/>
      <w:bookmarkEnd w:id="421"/>
      <w:bookmarkEnd w:id="422"/>
      <w:bookmarkEnd w:id="423"/>
      <w:bookmarkEnd w:id="424"/>
      <w:bookmarkEnd w:id="425"/>
    </w:p>
    <w:p w14:paraId="005B27B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426" w:name="_Toc245603555"/>
      <w:r>
        <w:rPr>
          <w:rFonts w:hint="eastAsia" w:ascii="宋体" w:hAnsi="宋体" w:eastAsia="宋体" w:cs="宋体"/>
          <w:color w:val="auto"/>
          <w:sz w:val="24"/>
          <w:szCs w:val="24"/>
          <w:highlight w:val="none"/>
        </w:rPr>
        <w:t>除合同另有约定外，承包人在《工程量清单》以单价形式列报的所有工程项目，发包人均按《工程量清单》相应项目的工程单价支付。</w:t>
      </w:r>
      <w:bookmarkEnd w:id="426"/>
    </w:p>
    <w:p w14:paraId="2FE66BBB">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427" w:name="_Toc245603556"/>
      <w:bookmarkStart w:id="428" w:name="_Toc247534410"/>
      <w:bookmarkStart w:id="429" w:name="_Toc368993268"/>
      <w:bookmarkStart w:id="430" w:name="_Toc368991782"/>
      <w:bookmarkStart w:id="431" w:name="_Toc20028"/>
      <w:bookmarkStart w:id="432" w:name="_Toc369165954"/>
      <w:bookmarkStart w:id="433" w:name="_Toc369164955"/>
      <w:r>
        <w:rPr>
          <w:rFonts w:hint="eastAsia" w:ascii="宋体" w:hAnsi="宋体" w:eastAsia="宋体" w:cs="宋体"/>
          <w:color w:val="auto"/>
          <w:sz w:val="24"/>
          <w:szCs w:val="24"/>
          <w:highlight w:val="none"/>
        </w:rPr>
        <w:t>1.11.2 一般总价支付项目</w:t>
      </w:r>
      <w:bookmarkEnd w:id="427"/>
      <w:bookmarkEnd w:id="428"/>
      <w:bookmarkEnd w:id="429"/>
      <w:bookmarkEnd w:id="430"/>
      <w:bookmarkEnd w:id="431"/>
      <w:bookmarkEnd w:id="432"/>
      <w:bookmarkEnd w:id="433"/>
    </w:p>
    <w:p w14:paraId="75ABC3D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434" w:name="_Toc245603557"/>
      <w:r>
        <w:rPr>
          <w:rFonts w:hint="eastAsia" w:ascii="宋体" w:hAnsi="宋体" w:eastAsia="宋体" w:cs="宋体"/>
          <w:color w:val="auto"/>
          <w:sz w:val="24"/>
          <w:szCs w:val="24"/>
          <w:highlight w:val="none"/>
        </w:rPr>
        <w:t>除合同另有约定外，承包人在《工程量清单》以总价形式列报的所有工程项目，发包人均按《工程量清单》相应项目（不包括以总价形式列报的暂列金额）的总价支付。</w:t>
      </w:r>
      <w:bookmarkEnd w:id="434"/>
    </w:p>
    <w:p w14:paraId="60C76BCA">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435" w:name="_Toc368993269"/>
      <w:bookmarkStart w:id="436" w:name="_Toc245603558"/>
      <w:bookmarkStart w:id="437" w:name="_Toc247534411"/>
      <w:bookmarkStart w:id="438" w:name="_Toc2795"/>
      <w:bookmarkStart w:id="439" w:name="_Toc369165955"/>
      <w:bookmarkStart w:id="440" w:name="_Toc368991783"/>
      <w:bookmarkStart w:id="441" w:name="_Toc369164956"/>
      <w:r>
        <w:rPr>
          <w:rFonts w:hint="eastAsia" w:ascii="宋体" w:hAnsi="宋体" w:eastAsia="宋体" w:cs="宋体"/>
          <w:color w:val="auto"/>
          <w:sz w:val="24"/>
          <w:szCs w:val="24"/>
          <w:highlight w:val="none"/>
        </w:rPr>
        <w:t>1.11.3 特殊约定的总价支付项目</w:t>
      </w:r>
      <w:bookmarkEnd w:id="435"/>
      <w:bookmarkEnd w:id="436"/>
      <w:bookmarkEnd w:id="437"/>
      <w:bookmarkEnd w:id="438"/>
      <w:bookmarkEnd w:id="439"/>
      <w:bookmarkEnd w:id="440"/>
      <w:bookmarkEnd w:id="441"/>
    </w:p>
    <w:p w14:paraId="29AEB65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442" w:name="_Toc245603560"/>
      <w:r>
        <w:rPr>
          <w:rFonts w:hint="eastAsia" w:ascii="宋体" w:hAnsi="宋体" w:eastAsia="宋体" w:cs="宋体"/>
          <w:color w:val="auto"/>
          <w:sz w:val="24"/>
          <w:szCs w:val="24"/>
          <w:highlight w:val="none"/>
        </w:rPr>
        <w:t>1．进场费</w:t>
      </w:r>
      <w:bookmarkEnd w:id="442"/>
    </w:p>
    <w:p w14:paraId="5FB1D2F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承包人完成合同项目施工所需人员、施工设备和周转性材料的调遣费用，应在《工程量清单》以总价形式列报。</w:t>
      </w:r>
    </w:p>
    <w:p w14:paraId="5D63D17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443" w:name="_Toc245603561"/>
      <w:r>
        <w:rPr>
          <w:rFonts w:hint="eastAsia" w:ascii="宋体" w:hAnsi="宋体" w:eastAsia="宋体" w:cs="宋体"/>
          <w:color w:val="auto"/>
          <w:sz w:val="24"/>
          <w:szCs w:val="24"/>
          <w:highlight w:val="none"/>
        </w:rPr>
        <w:t>2．退场费</w:t>
      </w:r>
      <w:bookmarkEnd w:id="443"/>
    </w:p>
    <w:p w14:paraId="0BD8DDA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444" w:name="_Toc245603562"/>
      <w:r>
        <w:rPr>
          <w:rFonts w:hint="eastAsia" w:ascii="宋体" w:hAnsi="宋体" w:eastAsia="宋体" w:cs="宋体"/>
          <w:color w:val="auto"/>
          <w:sz w:val="24"/>
          <w:szCs w:val="24"/>
          <w:highlight w:val="none"/>
        </w:rPr>
        <w:t>工程完工验收后，承包人完工清场，撤退人员、施工设备和周转性材料等所需费用，由承包人根据合同要求规定的工作内容在《工程量清单》以总价形式列报，在</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检查确认承包人完成全部清场撤退后由发包人予以支付。</w:t>
      </w:r>
      <w:bookmarkEnd w:id="444"/>
    </w:p>
    <w:p w14:paraId="1029B89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445" w:name="_Toc245603563"/>
      <w:r>
        <w:rPr>
          <w:rFonts w:hint="eastAsia" w:ascii="宋体" w:hAnsi="宋体" w:eastAsia="宋体" w:cs="宋体"/>
          <w:color w:val="auto"/>
          <w:sz w:val="24"/>
          <w:szCs w:val="24"/>
          <w:highlight w:val="none"/>
        </w:rPr>
        <w:t>3．保险费</w:t>
      </w:r>
      <w:bookmarkEnd w:id="445"/>
    </w:p>
    <w:p w14:paraId="30C63DC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发包人按合同条款的规定支付。</w:t>
      </w:r>
    </w:p>
    <w:p w14:paraId="004A6C3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4．其他特殊约定的总价支付项目</w:t>
      </w:r>
    </w:p>
    <w:p w14:paraId="7055B65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446" w:name="_Toc245603559"/>
      <w:r>
        <w:rPr>
          <w:rFonts w:hint="eastAsia" w:ascii="宋体" w:hAnsi="宋体" w:eastAsia="宋体" w:cs="宋体"/>
          <w:color w:val="auto"/>
          <w:sz w:val="24"/>
          <w:szCs w:val="24"/>
          <w:highlight w:val="none"/>
        </w:rPr>
        <w:t>承包人在《工程量清单》以总价形式列报且合同有特殊约定的项目，发包人根据相应合同条款约定的支付方式和支付金额，以《工程量清单》相应项目（不包括以总价形式列报的暂列金额）的总价为上限酌情支付。</w:t>
      </w:r>
      <w:bookmarkEnd w:id="446"/>
    </w:p>
    <w:p w14:paraId="6C82F2F7">
      <w:pPr>
        <w:pStyle w:val="2"/>
        <w:pageBreakBefore w:val="0"/>
        <w:tabs>
          <w:tab w:val="center" w:pos="4153"/>
        </w:tabs>
        <w:kinsoku/>
        <w:wordWrap/>
        <w:overflowPunct/>
        <w:topLinePunct w:val="0"/>
        <w:autoSpaceDE/>
        <w:autoSpaceDN/>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bookmarkStart w:id="447" w:name="_Toc237541207"/>
      <w:bookmarkStart w:id="448" w:name="_Toc224475781"/>
      <w:bookmarkStart w:id="449" w:name="_Toc232309784"/>
      <w:bookmarkStart w:id="450" w:name="_Toc224476524"/>
      <w:bookmarkStart w:id="451" w:name="_Toc195696660"/>
      <w:bookmarkStart w:id="452" w:name="_Toc237539616"/>
      <w:bookmarkStart w:id="453" w:name="_Toc369765702"/>
      <w:bookmarkStart w:id="454" w:name="_Toc21267"/>
      <w:bookmarkStart w:id="455" w:name="_Toc260152094"/>
      <w:bookmarkStart w:id="456" w:name="_Toc247534413"/>
      <w:bookmarkStart w:id="457" w:name="_Toc249517717"/>
      <w:bookmarkStart w:id="458" w:name="_Toc280531305"/>
      <w:bookmarkStart w:id="459" w:name="_Toc279938496"/>
      <w:r>
        <w:rPr>
          <w:rFonts w:hint="eastAsia" w:ascii="宋体" w:hAnsi="宋体" w:eastAsia="宋体" w:cs="宋体"/>
          <w:color w:val="auto"/>
          <w:sz w:val="24"/>
          <w:szCs w:val="24"/>
          <w:highlight w:val="none"/>
        </w:rPr>
        <w:t xml:space="preserve">2  </w:t>
      </w:r>
      <w:bookmarkEnd w:id="447"/>
      <w:bookmarkEnd w:id="448"/>
      <w:bookmarkEnd w:id="449"/>
      <w:bookmarkEnd w:id="450"/>
      <w:bookmarkEnd w:id="451"/>
      <w:bookmarkEnd w:id="452"/>
      <w:r>
        <w:rPr>
          <w:rFonts w:hint="eastAsia" w:ascii="宋体" w:hAnsi="宋体" w:eastAsia="宋体" w:cs="宋体"/>
          <w:color w:val="auto"/>
          <w:sz w:val="24"/>
          <w:szCs w:val="24"/>
          <w:highlight w:val="none"/>
        </w:rPr>
        <w:t>施工临时设施</w:t>
      </w:r>
      <w:bookmarkEnd w:id="453"/>
      <w:bookmarkEnd w:id="454"/>
      <w:bookmarkEnd w:id="455"/>
      <w:bookmarkEnd w:id="456"/>
      <w:bookmarkEnd w:id="457"/>
      <w:bookmarkEnd w:id="458"/>
      <w:bookmarkEnd w:id="459"/>
    </w:p>
    <w:p w14:paraId="47FAAD64">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460" w:name="_Toc224475782"/>
      <w:bookmarkStart w:id="461" w:name="_Toc279938497"/>
      <w:bookmarkStart w:id="462" w:name="_Toc369765703"/>
      <w:bookmarkStart w:id="463" w:name="_Toc237541208"/>
      <w:bookmarkStart w:id="464" w:name="_Toc224476525"/>
      <w:bookmarkStart w:id="465" w:name="_Toc280531306"/>
      <w:bookmarkStart w:id="466" w:name="_Toc3930"/>
      <w:bookmarkStart w:id="467" w:name="_Toc232309785"/>
      <w:bookmarkStart w:id="468" w:name="_Toc247534414"/>
      <w:bookmarkStart w:id="469" w:name="_Toc237539617"/>
      <w:bookmarkStart w:id="470" w:name="_Toc249517718"/>
      <w:r>
        <w:rPr>
          <w:rFonts w:hint="eastAsia" w:ascii="宋体" w:hAnsi="宋体" w:eastAsia="宋体" w:cs="宋体"/>
          <w:b/>
          <w:bCs/>
          <w:color w:val="auto"/>
          <w:kern w:val="2"/>
          <w:sz w:val="24"/>
          <w:szCs w:val="24"/>
          <w:highlight w:val="none"/>
          <w:lang w:val="en-US" w:eastAsia="zh-CN" w:bidi="ar-SA"/>
        </w:rPr>
        <w:t>2.1 一般规定</w:t>
      </w:r>
      <w:bookmarkEnd w:id="460"/>
      <w:bookmarkEnd w:id="461"/>
      <w:bookmarkEnd w:id="462"/>
      <w:bookmarkEnd w:id="463"/>
      <w:bookmarkEnd w:id="464"/>
      <w:bookmarkEnd w:id="465"/>
      <w:bookmarkEnd w:id="466"/>
      <w:bookmarkEnd w:id="467"/>
      <w:bookmarkEnd w:id="468"/>
      <w:bookmarkEnd w:id="469"/>
      <w:bookmarkEnd w:id="470"/>
    </w:p>
    <w:p w14:paraId="0D3D5AC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471" w:name="_Toc224551761"/>
      <w:bookmarkStart w:id="472" w:name="_Toc247534415"/>
      <w:bookmarkStart w:id="473" w:name="_Toc369165959"/>
      <w:bookmarkStart w:id="474" w:name="_Toc368991787"/>
      <w:bookmarkStart w:id="475" w:name="_Toc368993273"/>
      <w:bookmarkStart w:id="476" w:name="_Toc5275"/>
      <w:bookmarkStart w:id="477" w:name="_Toc237541209"/>
      <w:bookmarkStart w:id="478" w:name="_Toc369164960"/>
      <w:bookmarkStart w:id="479" w:name="_Toc237539618"/>
      <w:r>
        <w:rPr>
          <w:rFonts w:hint="eastAsia" w:ascii="宋体" w:hAnsi="宋体" w:eastAsia="宋体" w:cs="宋体"/>
          <w:color w:val="auto"/>
          <w:sz w:val="24"/>
          <w:szCs w:val="24"/>
          <w:highlight w:val="none"/>
        </w:rPr>
        <w:t>2.1.1 应用范围</w:t>
      </w:r>
      <w:bookmarkEnd w:id="471"/>
      <w:bookmarkEnd w:id="472"/>
      <w:bookmarkEnd w:id="473"/>
      <w:bookmarkEnd w:id="474"/>
      <w:bookmarkEnd w:id="475"/>
      <w:bookmarkEnd w:id="476"/>
      <w:bookmarkEnd w:id="477"/>
      <w:bookmarkEnd w:id="478"/>
      <w:bookmarkEnd w:id="479"/>
    </w:p>
    <w:p w14:paraId="14A6C9B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章适用于本工程施工临时设施的设计、施工及其附属设备的采购和配置、安装、运行和维护等全部工作。其工作项目包括：施工测量、现场试验、施工交通（含临时交通桥、临时码头等）、施工供水、施工供电、施工通信、施工照明、混凝土系统、施工附属工厂、仓库、存料场及弃料场，以及办公和生活建筑设施等。</w:t>
      </w:r>
    </w:p>
    <w:p w14:paraId="6E8C6484">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480" w:name="_Toc368993274"/>
      <w:bookmarkStart w:id="481" w:name="_Toc369165960"/>
      <w:bookmarkStart w:id="482" w:name="_Toc237541210"/>
      <w:bookmarkStart w:id="483" w:name="_Toc19272"/>
      <w:bookmarkStart w:id="484" w:name="_Toc368991788"/>
      <w:bookmarkStart w:id="485" w:name="_Toc369164961"/>
      <w:bookmarkStart w:id="486" w:name="_Toc247534416"/>
      <w:bookmarkStart w:id="487" w:name="_Toc237539619"/>
      <w:bookmarkStart w:id="488" w:name="_Toc224551762"/>
      <w:r>
        <w:rPr>
          <w:rFonts w:hint="eastAsia" w:ascii="宋体" w:hAnsi="宋体" w:eastAsia="宋体" w:cs="宋体"/>
          <w:color w:val="auto"/>
          <w:sz w:val="24"/>
          <w:szCs w:val="24"/>
          <w:highlight w:val="none"/>
        </w:rPr>
        <w:t>2.1.2 承包人的责任</w:t>
      </w:r>
      <w:bookmarkEnd w:id="480"/>
      <w:bookmarkEnd w:id="481"/>
      <w:bookmarkEnd w:id="482"/>
      <w:bookmarkEnd w:id="483"/>
      <w:bookmarkEnd w:id="484"/>
      <w:bookmarkEnd w:id="485"/>
      <w:bookmarkEnd w:id="486"/>
      <w:bookmarkEnd w:id="487"/>
      <w:bookmarkEnd w:id="488"/>
    </w:p>
    <w:p w14:paraId="38145D3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1．承包人应按施工总进度计划的安排和本工程施工需要，修建完成所列的各项施工临时设施，并在各项永久工程建筑物开工前，完成全部施工临时设施及其附属设备的安装和试运行。</w:t>
      </w:r>
    </w:p>
    <w:p w14:paraId="6A3B380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2．承包人应按合同约定和有关规定，负责本工程的施工测量和现场试验工作。并对其提供的测量和试验成果负全部责任。</w:t>
      </w:r>
    </w:p>
    <w:p w14:paraId="5D0210B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应按发包人提供的施工交通规划及有关规定，负责场内施工临时道路及其交通设施、设备的设计、施工、采购和配置、安装、运行和维护（包括临时码头、场外道路补偿维修和养护等）、场内的道路及必要的场外的临近交通设施等）。</w:t>
      </w:r>
    </w:p>
    <w:p w14:paraId="2F33ED1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4．承包人</w:t>
      </w:r>
      <w:r>
        <w:rPr>
          <w:rFonts w:hint="eastAsia" w:ascii="宋体" w:hAnsi="宋体" w:eastAsia="宋体" w:cs="宋体"/>
          <w:color w:val="auto"/>
          <w:sz w:val="24"/>
          <w:szCs w:val="24"/>
          <w:highlight w:val="none"/>
          <w:lang w:eastAsia="zh-CN"/>
        </w:rPr>
        <w:t>应</w:t>
      </w:r>
      <w:r>
        <w:rPr>
          <w:rFonts w:hint="eastAsia" w:ascii="宋体" w:hAnsi="宋体" w:eastAsia="宋体" w:cs="宋体"/>
          <w:color w:val="auto"/>
          <w:sz w:val="24"/>
          <w:szCs w:val="24"/>
          <w:highlight w:val="none"/>
        </w:rPr>
        <w:t>负责设计和配置施工供水、供电、供风、通信等施工临时设施系统（</w:t>
      </w:r>
      <w:r>
        <w:rPr>
          <w:rFonts w:hint="eastAsia" w:ascii="宋体" w:hAnsi="宋体" w:eastAsia="宋体" w:cs="宋体"/>
          <w:color w:val="auto"/>
          <w:sz w:val="24"/>
          <w:szCs w:val="24"/>
          <w:highlight w:val="none"/>
          <w:lang w:eastAsia="zh-CN"/>
        </w:rPr>
        <w:t>包括</w:t>
      </w:r>
      <w:r>
        <w:rPr>
          <w:rFonts w:hint="eastAsia" w:ascii="宋体" w:hAnsi="宋体" w:eastAsia="宋体" w:cs="宋体"/>
          <w:color w:val="auto"/>
          <w:sz w:val="24"/>
          <w:szCs w:val="24"/>
          <w:highlight w:val="none"/>
        </w:rPr>
        <w:t>设备的采购和配置、安装、运行和维护）。</w:t>
      </w:r>
    </w:p>
    <w:p w14:paraId="6EDF321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5．承包人应负责设计、建造混凝土生产系统、钢筋加工、</w:t>
      </w:r>
      <w:r>
        <w:rPr>
          <w:rFonts w:hint="eastAsia" w:ascii="宋体" w:hAnsi="宋体" w:eastAsia="宋体" w:cs="宋体"/>
          <w:color w:val="auto"/>
          <w:sz w:val="24"/>
          <w:szCs w:val="24"/>
          <w:highlight w:val="none"/>
          <w:lang w:eastAsia="zh-CN"/>
        </w:rPr>
        <w:t>机械</w:t>
      </w:r>
      <w:r>
        <w:rPr>
          <w:rFonts w:hint="eastAsia" w:ascii="宋体" w:hAnsi="宋体" w:eastAsia="宋体" w:cs="宋体"/>
          <w:color w:val="auto"/>
          <w:sz w:val="24"/>
          <w:szCs w:val="24"/>
          <w:highlight w:val="none"/>
        </w:rPr>
        <w:t>修配加工、汽车修理保养、仓储设施、弃碴场等的辅助生产设施（包括其设备的采购和配置、安装、运行和维护等）。</w:t>
      </w:r>
    </w:p>
    <w:p w14:paraId="3B024F9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6．承包人应负责现场办公和生活建筑等临时设施的规划、布置、设计、施工和维护，并应对办公和生活建筑物的使用安全负全部责任。</w:t>
      </w:r>
    </w:p>
    <w:p w14:paraId="7210565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7、本工程主要混凝土结构主要结构采用商品混凝土，承包人须考虑商品混凝土运输车辆进入现场的道路和桥梁等维修和加固费用，该费用含在混凝土报价中。</w:t>
      </w:r>
    </w:p>
    <w:p w14:paraId="04C989E2">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489" w:name="_Toc13795"/>
      <w:bookmarkStart w:id="490" w:name="_Toc369164962"/>
      <w:bookmarkStart w:id="491" w:name="_Toc237541211"/>
      <w:bookmarkStart w:id="492" w:name="_Toc368991789"/>
      <w:bookmarkStart w:id="493" w:name="_Toc368993275"/>
      <w:bookmarkStart w:id="494" w:name="_Toc369165961"/>
      <w:bookmarkStart w:id="495" w:name="_Toc247534417"/>
      <w:bookmarkStart w:id="496" w:name="_Toc224551763"/>
      <w:bookmarkStart w:id="497" w:name="_Toc237539620"/>
      <w:r>
        <w:rPr>
          <w:rFonts w:hint="eastAsia" w:ascii="宋体" w:hAnsi="宋体" w:eastAsia="宋体" w:cs="宋体"/>
          <w:color w:val="auto"/>
          <w:sz w:val="24"/>
          <w:szCs w:val="24"/>
          <w:highlight w:val="none"/>
        </w:rPr>
        <w:t>2.1.3 主要提交件</w:t>
      </w:r>
      <w:bookmarkEnd w:id="489"/>
      <w:bookmarkEnd w:id="490"/>
      <w:bookmarkEnd w:id="491"/>
      <w:bookmarkEnd w:id="492"/>
      <w:bookmarkEnd w:id="493"/>
      <w:bookmarkEnd w:id="494"/>
      <w:bookmarkEnd w:id="495"/>
      <w:bookmarkEnd w:id="496"/>
      <w:bookmarkEnd w:id="497"/>
      <w:r>
        <w:rPr>
          <w:rFonts w:hint="eastAsia" w:ascii="宋体" w:hAnsi="宋体" w:eastAsia="宋体" w:cs="宋体"/>
          <w:color w:val="auto"/>
          <w:sz w:val="24"/>
          <w:szCs w:val="24"/>
          <w:highlight w:val="none"/>
        </w:rPr>
        <w:t xml:space="preserve"> </w:t>
      </w:r>
    </w:p>
    <w:p w14:paraId="4EFE95E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承包人应在每项施工临时设施开工前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天，根据批准的施工总布置设计和有关规定，编制各项施工临时设施的设计文件，报送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审批。各项施工临时设施的设计文件应包括以下内容：</w:t>
      </w:r>
    </w:p>
    <w:p w14:paraId="5F7B925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1．施工临时设施及其设备布置图；</w:t>
      </w:r>
    </w:p>
    <w:p w14:paraId="3D17224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2．主要结构设计说明；</w:t>
      </w:r>
    </w:p>
    <w:p w14:paraId="777188B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3．施工工艺流程和（或）施工程序说明；</w:t>
      </w:r>
    </w:p>
    <w:p w14:paraId="4C48966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4．安全和环境保护措施，文明工地建设标准等；</w:t>
      </w:r>
    </w:p>
    <w:p w14:paraId="0992548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5．施工进度计划等。 </w:t>
      </w:r>
    </w:p>
    <w:p w14:paraId="25BF9098">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498" w:name="_Toc369165962"/>
      <w:bookmarkStart w:id="499" w:name="_Toc369164963"/>
      <w:bookmarkStart w:id="500" w:name="_Toc368993276"/>
      <w:bookmarkStart w:id="501" w:name="_Toc247534418"/>
      <w:bookmarkStart w:id="502" w:name="_Toc368991790"/>
      <w:bookmarkStart w:id="503" w:name="_Toc237539621"/>
      <w:bookmarkStart w:id="504" w:name="_Toc237541212"/>
      <w:bookmarkStart w:id="505" w:name="_Toc224551764"/>
      <w:bookmarkStart w:id="506" w:name="_Toc25696"/>
      <w:r>
        <w:rPr>
          <w:rFonts w:hint="eastAsia" w:ascii="宋体" w:hAnsi="宋体" w:eastAsia="宋体" w:cs="宋体"/>
          <w:color w:val="auto"/>
          <w:sz w:val="24"/>
          <w:szCs w:val="24"/>
          <w:highlight w:val="none"/>
        </w:rPr>
        <w:t>2.1.4 须遵守的标准和规程规范（不限于）</w:t>
      </w:r>
      <w:bookmarkEnd w:id="498"/>
      <w:bookmarkEnd w:id="499"/>
      <w:bookmarkEnd w:id="500"/>
      <w:bookmarkEnd w:id="501"/>
      <w:bookmarkEnd w:id="502"/>
      <w:bookmarkEnd w:id="503"/>
      <w:bookmarkEnd w:id="504"/>
      <w:bookmarkEnd w:id="505"/>
      <w:bookmarkEnd w:id="506"/>
    </w:p>
    <w:p w14:paraId="0A59173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1．《水利水电工程施工组织设计规范》SL303-2017</w:t>
      </w:r>
    </w:p>
    <w:p w14:paraId="6A28283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2．《水利水电工程施工测量规范》SL52-2015</w:t>
      </w:r>
    </w:p>
    <w:p w14:paraId="29DE7F5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3．《生活饮用水卫生标准》GB5749-2006</w:t>
      </w:r>
    </w:p>
    <w:p w14:paraId="387E344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．《水闸施工规范》SL27-2014</w:t>
      </w:r>
    </w:p>
    <w:p w14:paraId="57AC3C1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．《水工建筑物地下开挖工程施工规范》SL378-2007</w:t>
      </w:r>
    </w:p>
    <w:p w14:paraId="20740DE7">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507" w:name="_Toc237539622"/>
      <w:bookmarkStart w:id="508" w:name="_Toc224476526"/>
      <w:bookmarkStart w:id="509" w:name="_Toc237541213"/>
      <w:bookmarkStart w:id="510" w:name="_Toc280531307"/>
      <w:bookmarkStart w:id="511" w:name="_Toc224475783"/>
      <w:bookmarkStart w:id="512" w:name="_Toc232309786"/>
      <w:bookmarkStart w:id="513" w:name="_Toc249517719"/>
      <w:bookmarkStart w:id="514" w:name="_Toc247534419"/>
      <w:bookmarkStart w:id="515" w:name="_Toc32622"/>
      <w:bookmarkStart w:id="516" w:name="_Toc369765704"/>
      <w:bookmarkStart w:id="517" w:name="_Toc279938498"/>
      <w:r>
        <w:rPr>
          <w:rFonts w:hint="eastAsia" w:ascii="宋体" w:hAnsi="宋体" w:eastAsia="宋体" w:cs="宋体"/>
          <w:b/>
          <w:bCs/>
          <w:color w:val="auto"/>
          <w:kern w:val="2"/>
          <w:sz w:val="24"/>
          <w:szCs w:val="24"/>
          <w:highlight w:val="none"/>
          <w:lang w:val="en-US" w:eastAsia="zh-CN" w:bidi="ar-SA"/>
        </w:rPr>
        <w:t>2.2 现场施工测量</w:t>
      </w:r>
      <w:bookmarkEnd w:id="507"/>
      <w:bookmarkEnd w:id="508"/>
      <w:bookmarkEnd w:id="509"/>
      <w:bookmarkEnd w:id="510"/>
      <w:bookmarkEnd w:id="511"/>
      <w:bookmarkEnd w:id="512"/>
      <w:bookmarkEnd w:id="513"/>
      <w:bookmarkEnd w:id="514"/>
      <w:bookmarkEnd w:id="515"/>
      <w:bookmarkEnd w:id="516"/>
      <w:bookmarkEnd w:id="517"/>
    </w:p>
    <w:p w14:paraId="38522C10">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518" w:name="_Toc9823"/>
      <w:bookmarkStart w:id="519" w:name="_Toc237539623"/>
      <w:bookmarkStart w:id="520" w:name="_Toc369165964"/>
      <w:bookmarkStart w:id="521" w:name="_Toc368993278"/>
      <w:bookmarkStart w:id="522" w:name="_Toc247534420"/>
      <w:bookmarkStart w:id="523" w:name="_Toc368991792"/>
      <w:bookmarkStart w:id="524" w:name="_Toc224551766"/>
      <w:bookmarkStart w:id="525" w:name="_Toc369164965"/>
      <w:r>
        <w:rPr>
          <w:rFonts w:hint="eastAsia" w:ascii="宋体" w:hAnsi="宋体" w:eastAsia="宋体" w:cs="宋体"/>
          <w:color w:val="auto"/>
          <w:sz w:val="24"/>
          <w:szCs w:val="24"/>
          <w:highlight w:val="none"/>
        </w:rPr>
        <w:t>2.2.1 测量基准和施工控制网</w:t>
      </w:r>
      <w:bookmarkEnd w:id="518"/>
      <w:bookmarkEnd w:id="519"/>
      <w:bookmarkEnd w:id="520"/>
      <w:bookmarkEnd w:id="521"/>
      <w:bookmarkEnd w:id="522"/>
      <w:bookmarkEnd w:id="523"/>
      <w:bookmarkEnd w:id="524"/>
      <w:bookmarkEnd w:id="525"/>
    </w:p>
    <w:p w14:paraId="46161EC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1．承包人测设施工控制网</w:t>
      </w:r>
    </w:p>
    <w:p w14:paraId="619923F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（1）若合同约定由承包人负责测设施工控制网，</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人应按合同约定，在承包人进点后的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天内，向承包人提供测量基准点、基准线和水准点及其基本资料和数据。承包人接收</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人提供的测量基准后，应会同</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人共同校测上述测量基准资料的准确性。</w:t>
      </w:r>
    </w:p>
    <w:p w14:paraId="0506420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（2）承包人应以</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提供的测量基准点、基准线和水准点，并按《水利水电工程施工测量规范》SL52-2015中规定的施工精度要求测设施工控制网，在开工日后</w:t>
      </w:r>
      <w:r>
        <w:rPr>
          <w:rFonts w:hint="eastAsia" w:ascii="宋体" w:hAnsi="宋体" w:eastAsia="宋体" w:cs="宋体"/>
          <w:color w:val="auto"/>
          <w:sz w:val="24"/>
          <w:szCs w:val="24"/>
          <w:highlight w:val="none"/>
          <w:u w:val="single"/>
        </w:rPr>
        <w:t xml:space="preserve"> 14 </w:t>
      </w:r>
      <w:r>
        <w:rPr>
          <w:rFonts w:hint="eastAsia" w:ascii="宋体" w:hAnsi="宋体" w:eastAsia="宋体" w:cs="宋体"/>
          <w:color w:val="auto"/>
          <w:sz w:val="24"/>
          <w:szCs w:val="24"/>
          <w:highlight w:val="none"/>
        </w:rPr>
        <w:t>天内报送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w:t>
      </w:r>
    </w:p>
    <w:p w14:paraId="0CD4A46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人和其他承包人可以根据本工程施工的需要，免费使用承包人的施工控制网，承包人应予以必要的协助。</w:t>
      </w:r>
    </w:p>
    <w:p w14:paraId="3534FE7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2．发包人提供施工控制网</w:t>
      </w:r>
    </w:p>
    <w:p w14:paraId="6A92BA0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（1）若合同约定由发包人负责提供施工控制网，</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应按合同约定，在承包人进点后的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天内，按工程施工精度的要求，向承包人提供施工期平面控制网坐标系统与高程控制网的基本资料。发包人应对其提供的施工控制网资料的准确性负责。</w:t>
      </w:r>
    </w:p>
    <w:p w14:paraId="0DC8C1A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（2）发包人可以委托承包人自行从国家测绘机构取得测量控制网基本资料，并承担全部施工控制网的测设工作。此时，承包人应按本条第1款的规定将施工控制网资料（包括从国家测绘网取得基本测绘资料）报送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人的批准不免除承包人应对本工程施工控制网承担的全部责任。</w:t>
      </w:r>
    </w:p>
    <w:p w14:paraId="6E0E461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3．承包人应负责保护好基本平面和高程施工控制网点及自行增设的控制点，承包人应对所有测量控制点的缺失和损坏负责，直至工程完工后完好地移交给发包人。</w:t>
      </w:r>
    </w:p>
    <w:p w14:paraId="40846A8D">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526" w:name="_Toc369165965"/>
      <w:bookmarkStart w:id="527" w:name="_Toc237539624"/>
      <w:bookmarkStart w:id="528" w:name="_Toc368991793"/>
      <w:bookmarkStart w:id="529" w:name="_Toc224551767"/>
      <w:bookmarkStart w:id="530" w:name="_Toc247534421"/>
      <w:bookmarkStart w:id="531" w:name="_Toc369164966"/>
      <w:bookmarkStart w:id="532" w:name="_Toc368993279"/>
      <w:bookmarkStart w:id="533" w:name="_Toc17965"/>
      <w:r>
        <w:rPr>
          <w:rFonts w:hint="eastAsia" w:ascii="宋体" w:hAnsi="宋体" w:eastAsia="宋体" w:cs="宋体"/>
          <w:color w:val="auto"/>
          <w:sz w:val="24"/>
          <w:szCs w:val="24"/>
          <w:highlight w:val="none"/>
        </w:rPr>
        <w:t>2.2.2 施工测量</w:t>
      </w:r>
      <w:bookmarkEnd w:id="526"/>
      <w:bookmarkEnd w:id="527"/>
      <w:bookmarkEnd w:id="528"/>
      <w:bookmarkEnd w:id="529"/>
      <w:bookmarkEnd w:id="530"/>
      <w:bookmarkEnd w:id="531"/>
      <w:bookmarkEnd w:id="532"/>
      <w:bookmarkEnd w:id="533"/>
    </w:p>
    <w:p w14:paraId="2BA2FC7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1．承包人应负责工程施工阶段的全部施工测量放样工作。</w:t>
      </w:r>
    </w:p>
    <w:p w14:paraId="5230D5D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2．承包人应按本技术条款的规定，提交计量测量资料报送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人使用承包人施工控制网进行的检查测量，或</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人与承包人联合进行的复核测量，均不免除承包人对保证建筑物或工程设备位置和尺寸的准确性所应负的责任。</w:t>
      </w:r>
    </w:p>
    <w:p w14:paraId="2FAC5DF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3．经双方协商同意，</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人与承包人联合进行的计量测量，并经双方核签的测量成果，可直接用于计量付款。</w:t>
      </w:r>
    </w:p>
    <w:p w14:paraId="77F41AE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4．承包人应负责保护好测量基准点、基准线和水准点及自行增设的控制网点，并提供通向网点的道路和防护栏杆。测量网点的缺失和损坏应由承包人负责修复。</w:t>
      </w:r>
    </w:p>
    <w:p w14:paraId="1D029FE5">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534" w:name="_Toc247534429"/>
      <w:bookmarkStart w:id="535" w:name="_Toc280531310"/>
      <w:bookmarkStart w:id="536" w:name="_Toc30275"/>
      <w:bookmarkStart w:id="537" w:name="_Toc224476530"/>
      <w:bookmarkStart w:id="538" w:name="_Toc232309789"/>
      <w:bookmarkStart w:id="539" w:name="_Toc279938501"/>
      <w:bookmarkStart w:id="540" w:name="_Toc237541216"/>
      <w:bookmarkStart w:id="541" w:name="_Toc249517722"/>
      <w:bookmarkStart w:id="542" w:name="_Toc369765707"/>
      <w:bookmarkStart w:id="543" w:name="_Toc224475786"/>
      <w:bookmarkStart w:id="544" w:name="_Toc237539632"/>
      <w:r>
        <w:rPr>
          <w:rFonts w:hint="eastAsia" w:ascii="宋体" w:hAnsi="宋体" w:eastAsia="宋体" w:cs="宋体"/>
          <w:b/>
          <w:bCs/>
          <w:color w:val="auto"/>
          <w:kern w:val="2"/>
          <w:sz w:val="24"/>
          <w:szCs w:val="24"/>
          <w:highlight w:val="none"/>
          <w:lang w:val="en-US" w:eastAsia="zh-CN" w:bidi="ar-SA"/>
        </w:rPr>
        <w:t>2.</w:t>
      </w:r>
      <w:r>
        <w:rPr>
          <w:rFonts w:hint="default" w:ascii="宋体" w:hAnsi="宋体" w:eastAsia="宋体" w:cs="宋体"/>
          <w:b/>
          <w:bCs/>
          <w:color w:val="auto"/>
          <w:kern w:val="2"/>
          <w:sz w:val="24"/>
          <w:szCs w:val="24"/>
          <w:highlight w:val="none"/>
          <w:lang w:val="en-US" w:eastAsia="zh-CN" w:bidi="ar-SA"/>
        </w:rPr>
        <w:t>3</w:t>
      </w:r>
      <w:r>
        <w:rPr>
          <w:rFonts w:hint="eastAsia" w:ascii="宋体" w:hAnsi="宋体" w:eastAsia="宋体" w:cs="宋体"/>
          <w:b/>
          <w:bCs/>
          <w:color w:val="auto"/>
          <w:kern w:val="2"/>
          <w:sz w:val="24"/>
          <w:szCs w:val="24"/>
          <w:highlight w:val="none"/>
          <w:lang w:val="en-US" w:eastAsia="zh-CN" w:bidi="ar-SA"/>
        </w:rPr>
        <w:t xml:space="preserve"> 施工供电</w:t>
      </w:r>
      <w:bookmarkEnd w:id="534"/>
      <w:bookmarkEnd w:id="535"/>
      <w:bookmarkEnd w:id="536"/>
      <w:bookmarkEnd w:id="537"/>
      <w:bookmarkEnd w:id="538"/>
      <w:bookmarkEnd w:id="539"/>
      <w:bookmarkEnd w:id="540"/>
      <w:bookmarkEnd w:id="541"/>
      <w:bookmarkEnd w:id="542"/>
      <w:bookmarkEnd w:id="543"/>
      <w:bookmarkEnd w:id="544"/>
    </w:p>
    <w:p w14:paraId="054C035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545" w:name="_Toc224551775"/>
      <w:bookmarkStart w:id="546" w:name="_Toc369164975"/>
      <w:bookmarkStart w:id="547" w:name="_Toc368991802"/>
      <w:bookmarkStart w:id="548" w:name="_Toc237539633"/>
      <w:bookmarkStart w:id="549" w:name="_Toc368993288"/>
      <w:bookmarkStart w:id="550" w:name="_Toc247534430"/>
      <w:bookmarkStart w:id="551" w:name="_Toc369165974"/>
      <w:bookmarkStart w:id="552" w:name="_Toc7047"/>
      <w:r>
        <w:rPr>
          <w:rFonts w:hint="eastAsia" w:ascii="宋体" w:hAnsi="宋体" w:eastAsia="宋体" w:cs="宋体"/>
          <w:color w:val="auto"/>
          <w:sz w:val="24"/>
          <w:szCs w:val="24"/>
          <w:highlight w:val="none"/>
        </w:rPr>
        <w:t>2.</w:t>
      </w:r>
      <w:r>
        <w:rPr>
          <w:rFonts w:hint="default" w:ascii="宋体" w:hAnsi="宋体" w:eastAsia="宋体" w:cs="宋体"/>
          <w:color w:val="auto"/>
          <w:sz w:val="24"/>
          <w:szCs w:val="24"/>
          <w:highlight w:val="none"/>
          <w:lang w:val="en-US"/>
        </w:rPr>
        <w:t>3</w:t>
      </w:r>
      <w:r>
        <w:rPr>
          <w:rFonts w:hint="eastAsia" w:ascii="宋体" w:hAnsi="宋体" w:eastAsia="宋体" w:cs="宋体"/>
          <w:color w:val="auto"/>
          <w:sz w:val="24"/>
          <w:szCs w:val="24"/>
          <w:highlight w:val="none"/>
        </w:rPr>
        <w:t>.1 发包人提供施工电源</w:t>
      </w:r>
      <w:bookmarkEnd w:id="545"/>
      <w:bookmarkEnd w:id="546"/>
      <w:bookmarkEnd w:id="547"/>
      <w:bookmarkEnd w:id="548"/>
      <w:bookmarkEnd w:id="549"/>
      <w:bookmarkEnd w:id="550"/>
      <w:bookmarkEnd w:id="551"/>
      <w:bookmarkEnd w:id="552"/>
    </w:p>
    <w:p w14:paraId="5209B5D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553" w:name="_Toc247534431"/>
      <w:bookmarkStart w:id="554" w:name="_Toc279938502"/>
      <w:bookmarkStart w:id="555" w:name="_Toc224476531"/>
      <w:bookmarkStart w:id="556" w:name="_Toc249517723"/>
      <w:bookmarkStart w:id="557" w:name="_Toc224475787"/>
      <w:bookmarkStart w:id="558" w:name="_Toc369765708"/>
      <w:bookmarkStart w:id="559" w:name="_Toc232309790"/>
      <w:bookmarkStart w:id="560" w:name="_Toc280531311"/>
      <w:bookmarkStart w:id="561" w:name="_Toc237539634"/>
      <w:bookmarkStart w:id="562" w:name="_Toc237541217"/>
      <w:r>
        <w:rPr>
          <w:rFonts w:hint="eastAsia" w:ascii="宋体" w:hAnsi="宋体" w:eastAsia="宋体" w:cs="宋体"/>
          <w:color w:val="auto"/>
          <w:sz w:val="24"/>
          <w:szCs w:val="24"/>
          <w:highlight w:val="none"/>
        </w:rPr>
        <w:t>1. 本工程施工临时用电可从五里窑闸工程接引。</w:t>
      </w:r>
    </w:p>
    <w:p w14:paraId="5AE8BE6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承包人进场后应进行相关的施工用电设备布置，并负责相应设计、施工、运行等费用。</w:t>
      </w:r>
    </w:p>
    <w:p w14:paraId="24C2E47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承包人应根据施工期用电负荷及保证率，确定自发电容量，并自行负责运行管理和维护。</w:t>
      </w:r>
    </w:p>
    <w:p w14:paraId="5376369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承包人在施工</w:t>
      </w:r>
      <w:r>
        <w:rPr>
          <w:rFonts w:hint="eastAsia" w:ascii="宋体" w:hAnsi="宋体" w:eastAsia="宋体" w:cs="宋体"/>
          <w:color w:val="auto"/>
          <w:sz w:val="24"/>
          <w:szCs w:val="24"/>
          <w:highlight w:val="none"/>
          <w:lang w:eastAsia="zh-CN"/>
        </w:rPr>
        <w:t>期间</w:t>
      </w:r>
      <w:r>
        <w:rPr>
          <w:rFonts w:hint="eastAsia" w:ascii="宋体" w:hAnsi="宋体" w:eastAsia="宋体" w:cs="宋体"/>
          <w:color w:val="auto"/>
          <w:sz w:val="24"/>
          <w:szCs w:val="24"/>
          <w:highlight w:val="none"/>
        </w:rPr>
        <w:t>应负责现有供电、通讯等设施免遭破坏。若现有供电、通讯设施影响施工，承包人应采取临时措施，由此产生的费用，承包人应自行承担。</w:t>
      </w:r>
    </w:p>
    <w:bookmarkEnd w:id="553"/>
    <w:bookmarkEnd w:id="554"/>
    <w:bookmarkEnd w:id="555"/>
    <w:bookmarkEnd w:id="556"/>
    <w:bookmarkEnd w:id="557"/>
    <w:bookmarkEnd w:id="558"/>
    <w:bookmarkEnd w:id="559"/>
    <w:bookmarkEnd w:id="560"/>
    <w:bookmarkEnd w:id="561"/>
    <w:bookmarkEnd w:id="562"/>
    <w:p w14:paraId="5A036833">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563" w:name="_Toc232309793"/>
      <w:bookmarkStart w:id="564" w:name="_Toc369765711"/>
      <w:bookmarkStart w:id="565" w:name="_Toc249517726"/>
      <w:bookmarkStart w:id="566" w:name="_Toc237541220"/>
      <w:bookmarkStart w:id="567" w:name="_Toc224476535"/>
      <w:bookmarkStart w:id="568" w:name="_Toc280531314"/>
      <w:bookmarkStart w:id="569" w:name="_Toc237539638"/>
      <w:bookmarkStart w:id="570" w:name="_Toc224475790"/>
      <w:bookmarkStart w:id="571" w:name="_Toc279938505"/>
      <w:bookmarkStart w:id="572" w:name="_Toc247534435"/>
      <w:bookmarkStart w:id="573" w:name="_Toc10057"/>
      <w:r>
        <w:rPr>
          <w:rFonts w:hint="eastAsia" w:ascii="宋体" w:hAnsi="宋体" w:eastAsia="宋体" w:cs="宋体"/>
          <w:b/>
          <w:bCs/>
          <w:color w:val="auto"/>
          <w:kern w:val="2"/>
          <w:sz w:val="24"/>
          <w:szCs w:val="24"/>
          <w:highlight w:val="none"/>
          <w:lang w:val="en-US" w:eastAsia="zh-CN" w:bidi="ar-SA"/>
        </w:rPr>
        <w:t>2.</w:t>
      </w:r>
      <w:r>
        <w:rPr>
          <w:rFonts w:hint="default" w:ascii="宋体" w:hAnsi="宋体" w:eastAsia="宋体" w:cs="宋体"/>
          <w:b/>
          <w:bCs/>
          <w:color w:val="auto"/>
          <w:kern w:val="2"/>
          <w:sz w:val="24"/>
          <w:szCs w:val="24"/>
          <w:highlight w:val="none"/>
          <w:lang w:val="en-US" w:eastAsia="zh-CN" w:bidi="ar-SA"/>
        </w:rPr>
        <w:t>4</w:t>
      </w:r>
      <w:r>
        <w:rPr>
          <w:rFonts w:hint="eastAsia" w:ascii="宋体" w:hAnsi="宋体" w:eastAsia="宋体" w:cs="宋体"/>
          <w:b/>
          <w:bCs/>
          <w:color w:val="auto"/>
          <w:kern w:val="2"/>
          <w:sz w:val="24"/>
          <w:szCs w:val="24"/>
          <w:highlight w:val="none"/>
          <w:lang w:val="en-US" w:eastAsia="zh-CN" w:bidi="ar-SA"/>
        </w:rPr>
        <w:t xml:space="preserve"> 施工通信</w:t>
      </w:r>
      <w:bookmarkEnd w:id="563"/>
      <w:bookmarkEnd w:id="564"/>
      <w:bookmarkEnd w:id="565"/>
      <w:bookmarkEnd w:id="566"/>
      <w:bookmarkEnd w:id="567"/>
      <w:bookmarkEnd w:id="568"/>
      <w:bookmarkEnd w:id="569"/>
      <w:bookmarkEnd w:id="570"/>
      <w:bookmarkEnd w:id="571"/>
      <w:bookmarkEnd w:id="572"/>
      <w:bookmarkEnd w:id="573"/>
    </w:p>
    <w:p w14:paraId="5B339E1F">
      <w:pPr>
        <w:pStyle w:val="4"/>
        <w:pageBreakBefore w:val="0"/>
        <w:kinsoku/>
        <w:wordWrap/>
        <w:overflowPunct/>
        <w:topLinePunct w:val="0"/>
        <w:autoSpaceDE/>
        <w:autoSpaceDN/>
        <w:bidi w:val="0"/>
        <w:spacing w:line="360" w:lineRule="auto"/>
        <w:ind w:firstLine="480" w:firstLineChars="200"/>
        <w:rPr>
          <w:rFonts w:hint="eastAsia" w:ascii="宋体" w:hAnsi="宋体" w:eastAsia="宋体" w:cs="宋体"/>
          <w:color w:val="auto"/>
          <w:sz w:val="24"/>
          <w:szCs w:val="24"/>
          <w:highlight w:val="none"/>
        </w:rPr>
      </w:pPr>
      <w:bookmarkStart w:id="574" w:name="_Toc368993294"/>
      <w:bookmarkStart w:id="575" w:name="_Toc237539639"/>
      <w:bookmarkStart w:id="576" w:name="_Toc224476536"/>
      <w:bookmarkStart w:id="577" w:name="_Toc16864"/>
      <w:bookmarkStart w:id="578" w:name="_Toc368991808"/>
      <w:bookmarkStart w:id="579" w:name="_Toc369164981"/>
      <w:bookmarkStart w:id="580" w:name="_Toc224551781"/>
      <w:bookmarkStart w:id="581" w:name="_Toc369165980"/>
      <w:bookmarkStart w:id="582" w:name="_Toc247534436"/>
      <w:r>
        <w:rPr>
          <w:rFonts w:hint="eastAsia" w:ascii="宋体" w:hAnsi="宋体" w:eastAsia="宋体" w:cs="宋体"/>
          <w:color w:val="auto"/>
          <w:sz w:val="24"/>
          <w:szCs w:val="24"/>
          <w:highlight w:val="none"/>
        </w:rPr>
        <w:t>施工通信</w:t>
      </w:r>
      <w:bookmarkEnd w:id="574"/>
      <w:bookmarkEnd w:id="575"/>
      <w:bookmarkEnd w:id="576"/>
      <w:bookmarkEnd w:id="577"/>
      <w:bookmarkEnd w:id="578"/>
      <w:bookmarkEnd w:id="579"/>
      <w:bookmarkEnd w:id="580"/>
      <w:bookmarkEnd w:id="581"/>
      <w:bookmarkEnd w:id="582"/>
    </w:p>
    <w:p w14:paraId="2357663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承包人应自行负责设计、施工、采购、安装、管理和维修其施工现场内部的通信服务设施。其他承包人需要使用其内部通信设施时，应按本合同条款相关要求另行约定。</w:t>
      </w:r>
    </w:p>
    <w:p w14:paraId="68DB80EB">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583" w:name="_Toc249517727"/>
      <w:bookmarkStart w:id="584" w:name="_Toc280531315"/>
      <w:bookmarkStart w:id="585" w:name="_Toc224475791"/>
      <w:bookmarkStart w:id="586" w:name="_Toc369765712"/>
      <w:bookmarkStart w:id="587" w:name="_Toc224476538"/>
      <w:bookmarkStart w:id="588" w:name="_Toc237539641"/>
      <w:bookmarkStart w:id="589" w:name="_Toc232309794"/>
      <w:bookmarkStart w:id="590" w:name="_Toc237541221"/>
      <w:bookmarkStart w:id="591" w:name="_Toc279938506"/>
      <w:bookmarkStart w:id="592" w:name="_Toc24545"/>
      <w:bookmarkStart w:id="593" w:name="_Toc247534438"/>
      <w:r>
        <w:rPr>
          <w:rFonts w:hint="eastAsia" w:ascii="宋体" w:hAnsi="宋体" w:eastAsia="宋体" w:cs="宋体"/>
          <w:b/>
          <w:bCs/>
          <w:color w:val="auto"/>
          <w:kern w:val="2"/>
          <w:sz w:val="24"/>
          <w:szCs w:val="24"/>
          <w:highlight w:val="none"/>
          <w:lang w:val="en-US" w:eastAsia="zh-CN" w:bidi="ar-SA"/>
        </w:rPr>
        <w:t>2.</w:t>
      </w:r>
      <w:r>
        <w:rPr>
          <w:rFonts w:hint="default" w:ascii="宋体" w:hAnsi="宋体" w:eastAsia="宋体" w:cs="宋体"/>
          <w:b/>
          <w:bCs/>
          <w:color w:val="auto"/>
          <w:kern w:val="2"/>
          <w:sz w:val="24"/>
          <w:szCs w:val="24"/>
          <w:highlight w:val="none"/>
          <w:lang w:val="en-US" w:eastAsia="zh-CN" w:bidi="ar-SA"/>
        </w:rPr>
        <w:t>5</w:t>
      </w:r>
      <w:r>
        <w:rPr>
          <w:rFonts w:hint="eastAsia" w:ascii="宋体" w:hAnsi="宋体" w:eastAsia="宋体" w:cs="宋体"/>
          <w:b/>
          <w:bCs/>
          <w:color w:val="auto"/>
          <w:kern w:val="2"/>
          <w:sz w:val="24"/>
          <w:szCs w:val="24"/>
          <w:highlight w:val="none"/>
          <w:lang w:val="en-US" w:eastAsia="zh-CN" w:bidi="ar-SA"/>
        </w:rPr>
        <w:t xml:space="preserve"> 砂石料采购</w:t>
      </w:r>
      <w:bookmarkEnd w:id="583"/>
      <w:bookmarkEnd w:id="584"/>
      <w:bookmarkEnd w:id="585"/>
      <w:bookmarkEnd w:id="586"/>
      <w:bookmarkEnd w:id="587"/>
      <w:bookmarkEnd w:id="588"/>
      <w:bookmarkEnd w:id="589"/>
      <w:bookmarkEnd w:id="590"/>
      <w:bookmarkEnd w:id="591"/>
      <w:bookmarkEnd w:id="592"/>
      <w:bookmarkEnd w:id="593"/>
    </w:p>
    <w:p w14:paraId="0265625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1．承包人应负责采购本合同工程施工所需符合要求的全部砂石料。</w:t>
      </w:r>
    </w:p>
    <w:p w14:paraId="655E79F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2．砂石料的供应应满足施工总进度计划对各种砂石料的高峰用量要求。</w:t>
      </w:r>
    </w:p>
    <w:p w14:paraId="614CD0D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3．承包人采购的各种砂石料应满足本合同施工图纸的要求和符合各专项技术条款规定的质量标准。</w:t>
      </w:r>
    </w:p>
    <w:p w14:paraId="1D986FA4">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594" w:name="_Toc237539647"/>
      <w:bookmarkStart w:id="595" w:name="_Toc224475796"/>
      <w:bookmarkStart w:id="596" w:name="_Toc249517732"/>
      <w:bookmarkStart w:id="597" w:name="_Toc21273"/>
      <w:bookmarkStart w:id="598" w:name="_Toc280531320"/>
      <w:bookmarkStart w:id="599" w:name="_Toc247534444"/>
      <w:bookmarkStart w:id="600" w:name="_Toc232309799"/>
      <w:bookmarkStart w:id="601" w:name="_Toc279938511"/>
      <w:bookmarkStart w:id="602" w:name="_Toc224476543"/>
      <w:bookmarkStart w:id="603" w:name="_Toc237541227"/>
      <w:bookmarkStart w:id="604" w:name="_Toc369765717"/>
      <w:r>
        <w:rPr>
          <w:rFonts w:hint="eastAsia" w:ascii="宋体" w:hAnsi="宋体" w:eastAsia="宋体" w:cs="宋体"/>
          <w:b/>
          <w:bCs/>
          <w:color w:val="auto"/>
          <w:kern w:val="2"/>
          <w:sz w:val="24"/>
          <w:szCs w:val="24"/>
          <w:highlight w:val="none"/>
          <w:lang w:val="en-US" w:eastAsia="zh-CN" w:bidi="ar-SA"/>
        </w:rPr>
        <w:t>2.6 临时生产管理和生活设施</w:t>
      </w:r>
      <w:bookmarkEnd w:id="594"/>
      <w:bookmarkEnd w:id="595"/>
      <w:bookmarkEnd w:id="596"/>
      <w:bookmarkEnd w:id="597"/>
      <w:bookmarkEnd w:id="598"/>
      <w:bookmarkEnd w:id="599"/>
      <w:bookmarkEnd w:id="600"/>
      <w:bookmarkEnd w:id="601"/>
      <w:bookmarkEnd w:id="602"/>
      <w:bookmarkEnd w:id="603"/>
      <w:bookmarkEnd w:id="604"/>
    </w:p>
    <w:p w14:paraId="03878305">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605" w:name="_Toc368991817"/>
      <w:bookmarkStart w:id="606" w:name="_Toc237541228"/>
      <w:bookmarkStart w:id="607" w:name="_Toc18418"/>
      <w:bookmarkStart w:id="608" w:name="_Toc224551790"/>
      <w:bookmarkStart w:id="609" w:name="_Toc368993303"/>
      <w:bookmarkStart w:id="610" w:name="_Toc237539648"/>
      <w:bookmarkStart w:id="611" w:name="_Toc247534445"/>
      <w:bookmarkStart w:id="612" w:name="_Toc369164990"/>
      <w:bookmarkStart w:id="613" w:name="_Toc369165989"/>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 承包人的临时生产管理和生活设施</w:t>
      </w:r>
      <w:bookmarkEnd w:id="605"/>
      <w:bookmarkEnd w:id="606"/>
      <w:bookmarkEnd w:id="607"/>
      <w:bookmarkEnd w:id="608"/>
      <w:bookmarkEnd w:id="609"/>
      <w:bookmarkEnd w:id="610"/>
      <w:bookmarkEnd w:id="611"/>
      <w:bookmarkEnd w:id="612"/>
      <w:bookmarkEnd w:id="613"/>
    </w:p>
    <w:p w14:paraId="1C755FF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1．除合同另有约定外，承包人应负责本合同工程施工需要的全部临时生产管理与生活建筑及其设施的设计、建造（包括场地平整）、设备的采购、安装、管理和维护等。</w:t>
      </w:r>
    </w:p>
    <w:p w14:paraId="4B7367C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2．临时房屋和公用设施的布置必须满足以下要求：</w:t>
      </w:r>
    </w:p>
    <w:p w14:paraId="0670F48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（1）办公及生活区</w:t>
      </w:r>
      <w:r>
        <w:rPr>
          <w:rFonts w:hint="eastAsia" w:ascii="宋体" w:hAnsi="宋体" w:eastAsia="宋体" w:cs="宋体"/>
          <w:color w:val="auto"/>
          <w:sz w:val="24"/>
          <w:szCs w:val="24"/>
          <w:highlight w:val="none"/>
          <w:lang w:eastAsia="zh-CN"/>
        </w:rPr>
        <w:t>应保持整洁，现场生活垃圾不过夜，建筑垃圾及时清运</w:t>
      </w:r>
      <w:r>
        <w:rPr>
          <w:rFonts w:hint="eastAsia" w:ascii="宋体" w:hAnsi="宋体" w:eastAsia="宋体" w:cs="宋体"/>
          <w:color w:val="auto"/>
          <w:sz w:val="24"/>
          <w:szCs w:val="24"/>
          <w:highlight w:val="none"/>
        </w:rPr>
        <w:t>。</w:t>
      </w:r>
    </w:p>
    <w:p w14:paraId="70F27DF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（2）各类加工场地必须平整、整洁。</w:t>
      </w:r>
      <w:r>
        <w:rPr>
          <w:rFonts w:hint="eastAsia" w:ascii="宋体" w:hAnsi="宋体" w:eastAsia="宋体" w:cs="宋体"/>
          <w:color w:val="auto"/>
          <w:sz w:val="24"/>
          <w:szCs w:val="24"/>
          <w:highlight w:val="none"/>
          <w:lang w:eastAsia="zh-CN"/>
        </w:rPr>
        <w:t>现场</w:t>
      </w:r>
      <w:r>
        <w:rPr>
          <w:rFonts w:hint="eastAsia" w:ascii="宋体" w:hAnsi="宋体" w:eastAsia="宋体" w:cs="宋体"/>
          <w:color w:val="auto"/>
          <w:sz w:val="24"/>
          <w:szCs w:val="24"/>
          <w:highlight w:val="none"/>
        </w:rPr>
        <w:t>须配消防灭火器</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只。</w:t>
      </w:r>
    </w:p>
    <w:p w14:paraId="69D815C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（3）施工管理及生产、生活区应建围墙与周围建筑物隔离。</w:t>
      </w:r>
    </w:p>
    <w:p w14:paraId="4E8B3E8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614" w:name="_Toc195696661"/>
    </w:p>
    <w:p w14:paraId="0E206D7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p>
    <w:p w14:paraId="31DE8D09">
      <w:pPr>
        <w:pStyle w:val="2"/>
        <w:pageBreakBefore w:val="0"/>
        <w:tabs>
          <w:tab w:val="center" w:pos="4153"/>
        </w:tabs>
        <w:kinsoku/>
        <w:wordWrap/>
        <w:overflowPunct/>
        <w:topLinePunct w:val="0"/>
        <w:autoSpaceDE/>
        <w:autoSpaceDN/>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bookmarkStart w:id="615" w:name="_Toc237541240"/>
      <w:bookmarkStart w:id="616" w:name="_Toc224475798"/>
      <w:bookmarkStart w:id="617" w:name="_Toc279938513"/>
      <w:bookmarkStart w:id="618" w:name="_Toc280531322"/>
      <w:bookmarkStart w:id="619" w:name="_Toc249517734"/>
      <w:bookmarkStart w:id="620" w:name="_Toc247534448"/>
      <w:bookmarkStart w:id="621" w:name="_Toc237539651"/>
      <w:bookmarkStart w:id="622" w:name="_Toc260152095"/>
      <w:bookmarkStart w:id="623" w:name="_Toc224476545"/>
      <w:bookmarkStart w:id="624" w:name="_Toc232309801"/>
      <w:bookmarkStart w:id="625" w:name="_Toc24435"/>
      <w:bookmarkStart w:id="626" w:name="_Toc369765719"/>
      <w:r>
        <w:rPr>
          <w:rFonts w:hint="eastAsia" w:ascii="宋体" w:hAnsi="宋体" w:eastAsia="宋体" w:cs="宋体"/>
          <w:color w:val="auto"/>
          <w:sz w:val="24"/>
          <w:szCs w:val="24"/>
          <w:highlight w:val="none"/>
        </w:rPr>
        <w:t>3  施工安全措施</w:t>
      </w:r>
      <w:bookmarkEnd w:id="614"/>
      <w:bookmarkEnd w:id="615"/>
      <w:bookmarkEnd w:id="616"/>
      <w:bookmarkEnd w:id="617"/>
      <w:bookmarkEnd w:id="618"/>
      <w:bookmarkEnd w:id="619"/>
      <w:bookmarkEnd w:id="620"/>
      <w:bookmarkEnd w:id="621"/>
      <w:bookmarkEnd w:id="622"/>
      <w:bookmarkEnd w:id="623"/>
      <w:bookmarkEnd w:id="624"/>
      <w:bookmarkEnd w:id="625"/>
      <w:bookmarkEnd w:id="626"/>
    </w:p>
    <w:p w14:paraId="04E0E698">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627" w:name="_Toc369765720"/>
      <w:bookmarkStart w:id="628" w:name="_Toc357518028"/>
      <w:bookmarkStart w:id="629" w:name="_Toc11908"/>
      <w:bookmarkStart w:id="630" w:name="_Toc237541241"/>
      <w:bookmarkStart w:id="631" w:name="_Toc224475799"/>
      <w:bookmarkStart w:id="632" w:name="_Toc247534449"/>
      <w:bookmarkStart w:id="633" w:name="_Toc279938514"/>
      <w:bookmarkStart w:id="634" w:name="_Toc249517735"/>
      <w:bookmarkStart w:id="635" w:name="_Toc224476546"/>
      <w:bookmarkStart w:id="636" w:name="_Toc237539652"/>
      <w:bookmarkStart w:id="637" w:name="_Toc232309802"/>
      <w:bookmarkStart w:id="638" w:name="_Toc280531323"/>
      <w:r>
        <w:rPr>
          <w:rFonts w:hint="eastAsia" w:ascii="宋体" w:hAnsi="宋体" w:eastAsia="宋体" w:cs="宋体"/>
          <w:b/>
          <w:bCs/>
          <w:color w:val="auto"/>
          <w:kern w:val="2"/>
          <w:sz w:val="24"/>
          <w:szCs w:val="24"/>
          <w:highlight w:val="none"/>
          <w:lang w:val="en-US" w:eastAsia="zh-CN" w:bidi="ar-SA"/>
        </w:rPr>
        <w:t>3.1 一般规定</w:t>
      </w:r>
      <w:bookmarkEnd w:id="627"/>
      <w:bookmarkEnd w:id="628"/>
      <w:bookmarkEnd w:id="629"/>
    </w:p>
    <w:p w14:paraId="523BD31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639" w:name="_Toc11331"/>
      <w:bookmarkStart w:id="640" w:name="_Toc369165993"/>
      <w:bookmarkStart w:id="641" w:name="_Toc368991821"/>
      <w:bookmarkStart w:id="642" w:name="_Toc369164994"/>
      <w:bookmarkStart w:id="643" w:name="_Toc368993307"/>
      <w:bookmarkStart w:id="644" w:name="_Toc368991822"/>
      <w:bookmarkStart w:id="645" w:name="_Toc369165994"/>
      <w:bookmarkStart w:id="646" w:name="_Toc24284"/>
      <w:bookmarkStart w:id="647" w:name="_Toc369164995"/>
      <w:bookmarkStart w:id="648" w:name="_Toc368993308"/>
      <w:r>
        <w:rPr>
          <w:rFonts w:hint="eastAsia" w:ascii="宋体" w:hAnsi="宋体" w:eastAsia="宋体" w:cs="宋体"/>
          <w:color w:val="auto"/>
          <w:sz w:val="24"/>
          <w:szCs w:val="24"/>
          <w:highlight w:val="none"/>
        </w:rPr>
        <w:t>3.1.1 应用范围</w:t>
      </w:r>
      <w:bookmarkEnd w:id="639"/>
      <w:bookmarkEnd w:id="640"/>
      <w:bookmarkEnd w:id="641"/>
      <w:bookmarkEnd w:id="642"/>
      <w:bookmarkEnd w:id="643"/>
    </w:p>
    <w:p w14:paraId="1166AC8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本章适用于施工现场安全技术和管理工作：包括现场施工劳动保护、工程和人员保险、照明、场内交通、消防、洪水和气象灾害保护和安全监测等的施工安全措施。</w:t>
      </w:r>
    </w:p>
    <w:p w14:paraId="1D49DCBD">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 承包人的安全施工责任</w:t>
      </w:r>
      <w:bookmarkEnd w:id="644"/>
      <w:bookmarkEnd w:id="645"/>
      <w:bookmarkEnd w:id="646"/>
      <w:bookmarkEnd w:id="647"/>
      <w:bookmarkEnd w:id="648"/>
    </w:p>
    <w:p w14:paraId="40CA7F2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1．承包人应按本合同条款的约定和《水电水利工程土建施工安全技术规程》（SL398-2007）的规定履行其安全施工职责。</w:t>
      </w:r>
    </w:p>
    <w:p w14:paraId="193B718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坚持“安全第一，预防为主，综合治理”的方针，建立、健全安全生产责任制度，制定各项安全生产规章制度和操作规程，完善安全生产条件，加强安全生产监督管理，杜绝生产安全事故，切实保障生命和财产安全。</w:t>
      </w:r>
    </w:p>
    <w:p w14:paraId="19F3643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3．承包人应加强对职工进行施工安全教育，应按有关规定的内容，编印安全保护手册发给全体职工。工人上岗前应进行安全操作的考试和考核。合格者才准上岗。</w:t>
      </w:r>
    </w:p>
    <w:p w14:paraId="01DC093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4．承包人必须遵守国家颁布的有关安全规程。若承包人责任区内发生重大安全事故时，承包人应立即报告发包人，并在事故发生后24h内向发包人提交事故情况的书面报告。</w:t>
      </w:r>
    </w:p>
    <w:p w14:paraId="70ACBE2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承包人必须遵守国家颁布的有关安全规定，按合同要求建立完善的施工安全生产设施，为施工作业人员配置必需的劳动保护用品。施工安全的专项费用必须专款专用，承包人应对其由于安全专项费用和施工安全措施不到位而发生的安全事故承担全部责任。</w:t>
      </w:r>
    </w:p>
    <w:p w14:paraId="5C0976F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6．承包人应负责全部施工作业的安全检查，包括：</w:t>
      </w:r>
    </w:p>
    <w:p w14:paraId="44ECFD2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（1）加强对全部施工作业的安全检查，建立专门的检查机构，配备专职的安检人员。</w:t>
      </w:r>
    </w:p>
    <w:p w14:paraId="61160F9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（2）承包人的专职安全人员必须定期深入现场，进行经常性的安全生产检查，及时消除事故隐患，并及时</w:t>
      </w:r>
      <w:r>
        <w:rPr>
          <w:rFonts w:hint="eastAsia" w:ascii="宋体" w:hAnsi="宋体" w:eastAsia="宋体" w:cs="宋体"/>
          <w:color w:val="auto"/>
          <w:sz w:val="24"/>
          <w:szCs w:val="24"/>
          <w:highlight w:val="none"/>
          <w:lang w:eastAsia="zh-CN"/>
        </w:rPr>
        <w:t>做好</w:t>
      </w:r>
      <w:r>
        <w:rPr>
          <w:rFonts w:hint="eastAsia" w:ascii="宋体" w:hAnsi="宋体" w:eastAsia="宋体" w:cs="宋体"/>
          <w:color w:val="auto"/>
          <w:sz w:val="24"/>
          <w:szCs w:val="24"/>
          <w:highlight w:val="none"/>
        </w:rPr>
        <w:t>安全记录。</w:t>
      </w:r>
    </w:p>
    <w:p w14:paraId="1DD64D2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（3）对开挖作业的施工，承包人除承担上述安全保护外，还应完善安全生产措施和责任制度。</w:t>
      </w:r>
    </w:p>
    <w:p w14:paraId="5946C55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649" w:name="_Toc369164996"/>
      <w:bookmarkStart w:id="650" w:name="_Toc368993309"/>
      <w:bookmarkStart w:id="651" w:name="_Toc368991823"/>
      <w:bookmarkStart w:id="652" w:name="_Toc369165995"/>
      <w:bookmarkStart w:id="653" w:name="_Toc15746"/>
      <w:r>
        <w:rPr>
          <w:rFonts w:hint="eastAsia" w:ascii="宋体" w:hAnsi="宋体" w:eastAsia="宋体" w:cs="宋体"/>
          <w:color w:val="auto"/>
          <w:sz w:val="24"/>
          <w:szCs w:val="24"/>
          <w:highlight w:val="none"/>
        </w:rPr>
        <w:t>3.1.3 主要提交件</w:t>
      </w:r>
      <w:bookmarkEnd w:id="649"/>
      <w:bookmarkEnd w:id="650"/>
      <w:bookmarkEnd w:id="651"/>
      <w:bookmarkEnd w:id="652"/>
      <w:bookmarkEnd w:id="653"/>
    </w:p>
    <w:p w14:paraId="2D889D8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1．承包人应在本工程开工前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天，根据《中华人民共和国安全生产法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水利工程建设安全生产管理规定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职业健康安全管理体系规范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中华人民共和国消防法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中华人民共和国道路交通安全法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中华人民共和国传染病防治法实施办法》</w:t>
      </w:r>
      <w:r>
        <w:rPr>
          <w:rFonts w:hint="eastAsia" w:ascii="宋体" w:hAnsi="宋体" w:eastAsia="宋体" w:cs="宋体"/>
          <w:color w:val="auto"/>
          <w:sz w:val="24"/>
          <w:szCs w:val="24"/>
          <w:highlight w:val="none"/>
          <w:lang w:eastAsia="zh-CN"/>
        </w:rPr>
        <w:t>等以</w:t>
      </w:r>
      <w:r>
        <w:rPr>
          <w:rFonts w:hint="eastAsia" w:ascii="宋体" w:hAnsi="宋体" w:eastAsia="宋体" w:cs="宋体"/>
          <w:color w:val="auto"/>
          <w:sz w:val="24"/>
          <w:szCs w:val="24"/>
          <w:highlight w:val="none"/>
        </w:rPr>
        <w:t>及国家和地方有关的法规，以及规定的内容和要求，编制本项目安全生产预案，报送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w:t>
      </w:r>
    </w:p>
    <w:p w14:paraId="38656FE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2．承包人应在进度报告中，按本章规定的各项安全工作内容，详细说明本工程各施工工作面的安全措施计划实施情况，以及按</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人指示的格式提交安全检查记录和安全事故处理记录。</w:t>
      </w:r>
    </w:p>
    <w:p w14:paraId="1234BA7E">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654" w:name="_Toc369164997"/>
      <w:bookmarkStart w:id="655" w:name="_Toc369165996"/>
      <w:bookmarkStart w:id="656" w:name="_Toc368993310"/>
      <w:bookmarkStart w:id="657" w:name="_Toc368991824"/>
      <w:bookmarkStart w:id="658" w:name="_Toc4212"/>
      <w:r>
        <w:rPr>
          <w:rFonts w:hint="eastAsia" w:ascii="宋体" w:hAnsi="宋体" w:eastAsia="宋体" w:cs="宋体"/>
          <w:color w:val="auto"/>
          <w:sz w:val="24"/>
          <w:szCs w:val="24"/>
          <w:highlight w:val="none"/>
        </w:rPr>
        <w:t>3.1.4 须遵守的法律、法规、标准和规程规范及相关规定（不限于）</w:t>
      </w:r>
      <w:bookmarkEnd w:id="654"/>
      <w:bookmarkEnd w:id="655"/>
      <w:bookmarkEnd w:id="656"/>
      <w:bookmarkEnd w:id="657"/>
      <w:bookmarkEnd w:id="658"/>
    </w:p>
    <w:p w14:paraId="31ECD3C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1．《中华人民共和国安全生产法》2002年11月1日起施行</w:t>
      </w:r>
    </w:p>
    <w:p w14:paraId="746B9E7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2．《中华人民共和国道路交通安全法》2004年5月1日起施行</w:t>
      </w:r>
    </w:p>
    <w:p w14:paraId="62B0740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3．《中华人民共和国劳动法》</w:t>
      </w:r>
    </w:p>
    <w:p w14:paraId="613E16D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4．《中华人民共和国食品卫生法》</w:t>
      </w:r>
    </w:p>
    <w:p w14:paraId="089AC53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5．《中华人民共和国消防法》</w:t>
      </w:r>
    </w:p>
    <w:p w14:paraId="32917AD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6．《建设工程安全生产管理条例》国务院令第393号</w:t>
      </w:r>
    </w:p>
    <w:p w14:paraId="30C23A7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7．《水利工程建设安全生产管理规定》水利部令第26号</w:t>
      </w:r>
    </w:p>
    <w:p w14:paraId="5EE53D9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8．《中华人民共和国传染病防治法实施办法》</w:t>
      </w:r>
    </w:p>
    <w:p w14:paraId="56BB1CD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9．《职业健康安全管理体系规范》GB/T28001-2001</w:t>
      </w:r>
    </w:p>
    <w:p w14:paraId="7166C87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10．《建筑施工安全检查标准》</w:t>
      </w:r>
    </w:p>
    <w:p w14:paraId="6DBE358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11．《安全标志》</w:t>
      </w:r>
    </w:p>
    <w:p w14:paraId="4EB3E42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12．《水电水利工程土建施工安全技术规程》DL/T5371-2007</w:t>
      </w:r>
    </w:p>
    <w:p w14:paraId="14435A6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13．《安全技术措施计划的项目总名称表》劳动部 全国总工会发布 2005.4 27.</w:t>
      </w:r>
    </w:p>
    <w:p w14:paraId="5A367DB2">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659" w:name="_Toc5218"/>
      <w:bookmarkStart w:id="660" w:name="_Toc369765721"/>
      <w:bookmarkStart w:id="661" w:name="_Toc357518029"/>
      <w:r>
        <w:rPr>
          <w:rFonts w:hint="eastAsia" w:ascii="宋体" w:hAnsi="宋体" w:eastAsia="宋体" w:cs="宋体"/>
          <w:b/>
          <w:bCs/>
          <w:color w:val="auto"/>
          <w:kern w:val="2"/>
          <w:sz w:val="24"/>
          <w:szCs w:val="24"/>
          <w:highlight w:val="none"/>
          <w:lang w:val="en-US" w:eastAsia="zh-CN" w:bidi="ar-SA"/>
        </w:rPr>
        <w:t>3.2 施工安全措施</w:t>
      </w:r>
      <w:bookmarkEnd w:id="659"/>
      <w:bookmarkEnd w:id="660"/>
      <w:bookmarkEnd w:id="661"/>
    </w:p>
    <w:p w14:paraId="29DF86A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662" w:name="_Toc369164999"/>
      <w:bookmarkStart w:id="663" w:name="_Toc368991826"/>
      <w:bookmarkStart w:id="664" w:name="_Toc369165998"/>
      <w:bookmarkStart w:id="665" w:name="_Toc368993312"/>
      <w:bookmarkStart w:id="666" w:name="_Toc30199"/>
      <w:r>
        <w:rPr>
          <w:rFonts w:hint="eastAsia" w:ascii="宋体" w:hAnsi="宋体" w:eastAsia="宋体" w:cs="宋体"/>
          <w:color w:val="auto"/>
          <w:sz w:val="24"/>
          <w:szCs w:val="24"/>
          <w:highlight w:val="none"/>
        </w:rPr>
        <w:t>3.2.1 施工安全措施计划</w:t>
      </w:r>
      <w:bookmarkEnd w:id="662"/>
      <w:bookmarkEnd w:id="663"/>
      <w:bookmarkEnd w:id="664"/>
      <w:bookmarkEnd w:id="665"/>
      <w:bookmarkEnd w:id="666"/>
    </w:p>
    <w:p w14:paraId="3214609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承包人按本章第3.1.3条1款规定提交的施工安全措施计划，其内容应包括施工安全机构的设置、专职安全人员的配备，以及防洪、防火、防毒、防噪声、防爆破烟尘、救护、警报、治安</w:t>
      </w:r>
      <w:r>
        <w:rPr>
          <w:rFonts w:hint="eastAsia" w:ascii="宋体" w:hAnsi="宋体" w:eastAsia="宋体" w:cs="宋体"/>
          <w:color w:val="auto"/>
          <w:sz w:val="24"/>
          <w:szCs w:val="24"/>
          <w:highlight w:val="none"/>
          <w:lang w:eastAsia="zh-CN"/>
        </w:rPr>
        <w:t>和</w:t>
      </w:r>
      <w:r>
        <w:rPr>
          <w:rFonts w:hint="eastAsia" w:ascii="宋体" w:hAnsi="宋体" w:eastAsia="宋体" w:cs="宋体"/>
          <w:color w:val="auto"/>
          <w:sz w:val="24"/>
          <w:szCs w:val="24"/>
          <w:highlight w:val="none"/>
        </w:rPr>
        <w:t>炸药管理等。施工安全措施的项目和范围，还应符合国家颁发的《安全技术措施计划的</w:t>
      </w:r>
      <w:r>
        <w:rPr>
          <w:rFonts w:hint="eastAsia" w:ascii="宋体" w:hAnsi="宋体" w:eastAsia="宋体" w:cs="宋体"/>
          <w:color w:val="auto"/>
          <w:sz w:val="24"/>
          <w:szCs w:val="24"/>
          <w:highlight w:val="none"/>
          <w:lang w:eastAsia="zh-CN"/>
        </w:rPr>
        <w:t>项目</w:t>
      </w:r>
      <w:r>
        <w:rPr>
          <w:rFonts w:hint="eastAsia" w:ascii="宋体" w:hAnsi="宋体" w:eastAsia="宋体" w:cs="宋体"/>
          <w:color w:val="auto"/>
          <w:sz w:val="24"/>
          <w:szCs w:val="24"/>
          <w:highlight w:val="none"/>
        </w:rPr>
        <w:t>名称表》及其附录H、I、J的规定。</w:t>
      </w:r>
    </w:p>
    <w:p w14:paraId="14055CB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667" w:name="_Toc7687"/>
      <w:bookmarkStart w:id="668" w:name="_Toc369165999"/>
      <w:bookmarkStart w:id="669" w:name="_Toc369165000"/>
      <w:bookmarkStart w:id="670" w:name="_Toc368993313"/>
      <w:bookmarkStart w:id="671" w:name="_Toc368991827"/>
      <w:r>
        <w:rPr>
          <w:rFonts w:hint="eastAsia" w:ascii="宋体" w:hAnsi="宋体" w:eastAsia="宋体" w:cs="宋体"/>
          <w:color w:val="auto"/>
          <w:sz w:val="24"/>
          <w:szCs w:val="24"/>
          <w:highlight w:val="none"/>
        </w:rPr>
        <w:t>3.2.2 劳动保护</w:t>
      </w:r>
      <w:bookmarkEnd w:id="667"/>
      <w:bookmarkEnd w:id="668"/>
      <w:bookmarkEnd w:id="669"/>
      <w:bookmarkEnd w:id="670"/>
      <w:bookmarkEnd w:id="671"/>
    </w:p>
    <w:p w14:paraId="0AFA8E7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承包人应按照国家《中华人民共和国劳动法》的规定，保障现场施工人员的劳动安全，包括：</w:t>
      </w:r>
    </w:p>
    <w:p w14:paraId="7FF716F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1．定期向所有现场施工人员发放劳动者必需的安全帽、水鞋、雨衣、手套、手灯、防护面具和安全带等劳动保护用品，以及特殊工种作业人员的劳动保护津贴和营养补助等。</w:t>
      </w:r>
    </w:p>
    <w:p w14:paraId="6432B99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2．按《中华人民共和国劳动法》有关规定安排现场作业人员的劳动和休息时间，加班时间不得超过《中华人民共和国劳动法》的规定，保障劳动者</w:t>
      </w:r>
      <w:r>
        <w:rPr>
          <w:rFonts w:hint="eastAsia" w:ascii="宋体" w:hAnsi="宋体" w:eastAsia="宋体" w:cs="宋体"/>
          <w:color w:val="auto"/>
          <w:sz w:val="24"/>
          <w:szCs w:val="24"/>
          <w:highlight w:val="none"/>
          <w:lang w:eastAsia="zh-CN"/>
        </w:rPr>
        <w:t>必需的</w:t>
      </w:r>
      <w:r>
        <w:rPr>
          <w:rFonts w:hint="eastAsia" w:ascii="宋体" w:hAnsi="宋体" w:eastAsia="宋体" w:cs="宋体"/>
          <w:color w:val="auto"/>
          <w:sz w:val="24"/>
          <w:szCs w:val="24"/>
          <w:highlight w:val="none"/>
        </w:rPr>
        <w:t>休息时间。</w:t>
      </w:r>
    </w:p>
    <w:p w14:paraId="12F8EEDB">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672" w:name="_Toc32283"/>
      <w:bookmarkStart w:id="673" w:name="_Toc369166002"/>
      <w:bookmarkStart w:id="674" w:name="_Toc369165003"/>
      <w:bookmarkStart w:id="675" w:name="_Toc368993316"/>
      <w:bookmarkStart w:id="676" w:name="_Toc368991830"/>
      <w:r>
        <w:rPr>
          <w:rFonts w:hint="eastAsia" w:ascii="宋体" w:hAnsi="宋体" w:eastAsia="宋体" w:cs="宋体"/>
          <w:color w:val="auto"/>
          <w:sz w:val="24"/>
          <w:szCs w:val="24"/>
          <w:highlight w:val="none"/>
        </w:rPr>
        <w:t>3.2.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照明安全</w:t>
      </w:r>
      <w:bookmarkEnd w:id="672"/>
      <w:bookmarkEnd w:id="673"/>
      <w:bookmarkEnd w:id="674"/>
      <w:bookmarkEnd w:id="675"/>
      <w:bookmarkEnd w:id="676"/>
    </w:p>
    <w:p w14:paraId="0C6C6AF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承包人应在施工作业区、施工道路、临时设施、办公区和生活区设置足够的照明，地下洞室的施工作业区、运输通道应布置照明设施符合SL398-2007第4.5.9～4.5.14条的规定。</w:t>
      </w:r>
    </w:p>
    <w:p w14:paraId="5D8F7464">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677" w:name="_Toc368993320"/>
      <w:bookmarkStart w:id="678" w:name="_Toc369165007"/>
      <w:bookmarkStart w:id="679" w:name="_Toc369166006"/>
      <w:bookmarkStart w:id="680" w:name="_Toc572"/>
      <w:bookmarkStart w:id="681" w:name="_Toc368991834"/>
      <w:r>
        <w:rPr>
          <w:rFonts w:hint="eastAsia" w:ascii="宋体" w:hAnsi="宋体" w:eastAsia="宋体" w:cs="宋体"/>
          <w:color w:val="auto"/>
          <w:sz w:val="24"/>
          <w:szCs w:val="24"/>
          <w:highlight w:val="none"/>
        </w:rPr>
        <w:t>3.2.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 消防</w:t>
      </w:r>
      <w:bookmarkEnd w:id="677"/>
      <w:bookmarkEnd w:id="678"/>
      <w:bookmarkEnd w:id="679"/>
      <w:bookmarkEnd w:id="680"/>
      <w:bookmarkEnd w:id="681"/>
      <w:r>
        <w:rPr>
          <w:rFonts w:hint="eastAsia" w:ascii="宋体" w:hAnsi="宋体" w:eastAsia="宋体" w:cs="宋体"/>
          <w:color w:val="auto"/>
          <w:sz w:val="24"/>
          <w:szCs w:val="24"/>
          <w:highlight w:val="none"/>
        </w:rPr>
        <w:t xml:space="preserve"> </w:t>
      </w:r>
    </w:p>
    <w:p w14:paraId="69AACFB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1．承包人应遵守《中华人民共和国消防法》，负责其自己辖区内的消防工作。承包人应对其辖区内发生的火灾及其造成的人员伤亡和财产损失负责。</w:t>
      </w:r>
    </w:p>
    <w:p w14:paraId="540C3D4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2．承包人应建立现场消防组织，配置必要的消防专职人员和消防设备器材。消防设备的型号和功率应满足消防任务的需要。</w:t>
      </w:r>
    </w:p>
    <w:p w14:paraId="531FE50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3．承包人应划分施工现场的防火责任区，在现场配备必要的灭火器材、设置防火警示标志，按有关防火规程的规定，设置和保持畅通的消防通道。</w:t>
      </w:r>
    </w:p>
    <w:p w14:paraId="5552B97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4．承包人应对职工进行经常性的消防知识教育和消防安全训练，消防设备器材应经常检查和保养，使其处于良好的待命状态。</w:t>
      </w:r>
    </w:p>
    <w:p w14:paraId="61F0800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5．承包人应制定经常性的消防检查制度。承包人的消防专职人员应按有关防火规程的规定，定期检查各施工现场，以及办公与生活区的消防安全，特别是用电安全。</w:t>
      </w:r>
    </w:p>
    <w:p w14:paraId="0C288E3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682" w:name="_Toc368993322"/>
      <w:bookmarkStart w:id="683" w:name="_Toc368991836"/>
      <w:bookmarkStart w:id="684" w:name="_Toc22423"/>
      <w:bookmarkStart w:id="685" w:name="_Toc369166008"/>
      <w:bookmarkStart w:id="686" w:name="_Toc369165009"/>
      <w:r>
        <w:rPr>
          <w:rFonts w:hint="eastAsia" w:ascii="宋体" w:hAnsi="宋体" w:eastAsia="宋体" w:cs="宋体"/>
          <w:color w:val="auto"/>
          <w:sz w:val="24"/>
          <w:szCs w:val="24"/>
          <w:highlight w:val="none"/>
        </w:rPr>
        <w:t>3.2.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安全标志</w:t>
      </w:r>
      <w:bookmarkEnd w:id="682"/>
      <w:bookmarkEnd w:id="683"/>
      <w:bookmarkEnd w:id="684"/>
      <w:bookmarkEnd w:id="685"/>
      <w:bookmarkEnd w:id="686"/>
    </w:p>
    <w:p w14:paraId="18F04CC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1．承包人应在施工区内设置一切必需的标志，包括：</w:t>
      </w:r>
    </w:p>
    <w:p w14:paraId="7B9F137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（1）准道路标志；</w:t>
      </w:r>
    </w:p>
    <w:p w14:paraId="36FACB8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（2）报警标志；</w:t>
      </w:r>
    </w:p>
    <w:p w14:paraId="587CB75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（3）危险标志；</w:t>
      </w:r>
    </w:p>
    <w:p w14:paraId="43324A4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（4）控制标志；</w:t>
      </w:r>
    </w:p>
    <w:p w14:paraId="3881C27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（5）安全标志；</w:t>
      </w:r>
    </w:p>
    <w:p w14:paraId="2262F87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（6）指示标志。</w:t>
      </w:r>
    </w:p>
    <w:p w14:paraId="18F006E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2．承包人应负责维修和保护施工区内自设或发包人设置的所有标志，并按</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人的指示，经常补充或更换失效的标志。</w:t>
      </w:r>
    </w:p>
    <w:p w14:paraId="3DA8580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687" w:name="_Toc368991838"/>
      <w:bookmarkStart w:id="688" w:name="_Toc369166010"/>
      <w:bookmarkStart w:id="689" w:name="_Toc368993324"/>
      <w:bookmarkStart w:id="690" w:name="_Toc21501"/>
      <w:bookmarkStart w:id="691" w:name="_Toc369165011"/>
      <w:r>
        <w:rPr>
          <w:rFonts w:hint="eastAsia" w:ascii="宋体" w:hAnsi="宋体" w:eastAsia="宋体" w:cs="宋体"/>
          <w:color w:val="auto"/>
          <w:sz w:val="24"/>
          <w:szCs w:val="24"/>
          <w:highlight w:val="none"/>
        </w:rPr>
        <w:t>3.2.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施工安全监测</w:t>
      </w:r>
      <w:bookmarkEnd w:id="687"/>
      <w:bookmarkEnd w:id="688"/>
      <w:bookmarkEnd w:id="689"/>
      <w:bookmarkEnd w:id="690"/>
      <w:bookmarkEnd w:id="691"/>
    </w:p>
    <w:p w14:paraId="7E0B8B3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1．承包人在永久与施工边坡等的开挖过程中，应根据其施工安全的需要和（或）按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指示，安装必要的施工安全监测仪器，及时进行必要的施工安全监测，并定期将安全监测成果提交</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w:t>
      </w:r>
    </w:p>
    <w:p w14:paraId="7BA33C2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2．承包人在施工安全监测中，发现监测数据异常，危及施工安全时应立即停止开挖，及时进行支护。完成安全支护后，根据监测成果证明已达到继续施工的安全要求，并经</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人同意后，才能继续开挖。</w:t>
      </w:r>
    </w:p>
    <w:p w14:paraId="1D1A0CC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3．承包人在护坡、挡墙等的施工过程中，应结合建筑物永久性安全监测，埋设必要的位移、沉陷与地下水情等的观测仪器设备，进行施工期的安全监测，并定期将安全监测成果提交</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w:t>
      </w:r>
    </w:p>
    <w:p w14:paraId="6159D57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4．承包人在施工期间应加强上下游围堰、区域临时对外交通道路及临时导航河道的观测和维护，并定期将安全监测成果提交</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w:t>
      </w:r>
    </w:p>
    <w:p w14:paraId="51EE35C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5．承包人应配备具有安全监测资质的监测人员承担施工期的安全监测工作；</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 xml:space="preserve">人的安全监测管理人员也应具备安全监测资质。 </w:t>
      </w:r>
    </w:p>
    <w:p w14:paraId="57078A15">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692" w:name="_Toc1636"/>
      <w:bookmarkStart w:id="693" w:name="_Toc357518030"/>
      <w:bookmarkStart w:id="694" w:name="_Toc369765722"/>
      <w:r>
        <w:rPr>
          <w:rFonts w:hint="eastAsia" w:ascii="宋体" w:hAnsi="宋体" w:eastAsia="宋体" w:cs="宋体"/>
          <w:b/>
          <w:bCs/>
          <w:color w:val="auto"/>
          <w:kern w:val="2"/>
          <w:sz w:val="24"/>
          <w:szCs w:val="24"/>
          <w:highlight w:val="none"/>
          <w:lang w:val="en-US" w:eastAsia="zh-CN" w:bidi="ar-SA"/>
        </w:rPr>
        <w:t>3.3 建立规范化的现场施工秩序</w:t>
      </w:r>
      <w:bookmarkEnd w:id="692"/>
      <w:bookmarkEnd w:id="693"/>
      <w:bookmarkEnd w:id="694"/>
    </w:p>
    <w:p w14:paraId="450B478E">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695" w:name="_Toc369165013"/>
      <w:bookmarkStart w:id="696" w:name="_Toc25084"/>
      <w:bookmarkStart w:id="697" w:name="_Toc369166012"/>
      <w:bookmarkStart w:id="698" w:name="_Toc368991840"/>
      <w:bookmarkStart w:id="699" w:name="_Toc368993326"/>
      <w:r>
        <w:rPr>
          <w:rFonts w:hint="eastAsia" w:ascii="宋体" w:hAnsi="宋体" w:eastAsia="宋体" w:cs="宋体"/>
          <w:color w:val="auto"/>
          <w:sz w:val="24"/>
          <w:szCs w:val="24"/>
          <w:highlight w:val="none"/>
        </w:rPr>
        <w:t>3.3.1 建筑物施工场地</w:t>
      </w:r>
      <w:bookmarkEnd w:id="695"/>
      <w:bookmarkEnd w:id="696"/>
      <w:bookmarkEnd w:id="697"/>
      <w:bookmarkEnd w:id="698"/>
      <w:bookmarkEnd w:id="699"/>
    </w:p>
    <w:p w14:paraId="3A65301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1．承包人的施工场地必须干净整洁、做到无积水、无淤泥、无杂物，材料堆放整齐。</w:t>
      </w:r>
    </w:p>
    <w:p w14:paraId="058FB42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2．严格遵守“工完、料尽、场地净”的原则，不留垃圾、不留剩余施工材料和施工机具，各种设备运转正常。</w:t>
      </w:r>
    </w:p>
    <w:p w14:paraId="7F5D445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3．承包人修建的施工临建设施应符合</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批准的施工规划要求，并应满足各项安全要求。</w:t>
      </w:r>
    </w:p>
    <w:p w14:paraId="038AF59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人可要求承包人在施工场地设置工程的施工平面布置图，以及各级承包人人员的安全施工责任牌等的文明施工警示牌。</w:t>
      </w:r>
    </w:p>
    <w:p w14:paraId="3000A9A4">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00" w:name="_Toc368991841"/>
      <w:bookmarkStart w:id="701" w:name="_Toc368993327"/>
      <w:bookmarkStart w:id="702" w:name="_Toc11322"/>
      <w:bookmarkStart w:id="703" w:name="_Toc369165014"/>
      <w:bookmarkStart w:id="704" w:name="_Toc369166013"/>
      <w:r>
        <w:rPr>
          <w:rFonts w:hint="eastAsia" w:ascii="宋体" w:hAnsi="宋体" w:eastAsia="宋体" w:cs="宋体"/>
          <w:color w:val="auto"/>
          <w:sz w:val="24"/>
          <w:szCs w:val="24"/>
          <w:highlight w:val="none"/>
        </w:rPr>
        <w:t>3.3.2 施工材料场地</w:t>
      </w:r>
      <w:bookmarkEnd w:id="700"/>
      <w:bookmarkEnd w:id="701"/>
      <w:bookmarkEnd w:id="702"/>
      <w:bookmarkEnd w:id="703"/>
      <w:bookmarkEnd w:id="704"/>
      <w:r>
        <w:rPr>
          <w:rFonts w:hint="eastAsia" w:ascii="宋体" w:hAnsi="宋体" w:eastAsia="宋体" w:cs="宋体"/>
          <w:color w:val="auto"/>
          <w:sz w:val="24"/>
          <w:szCs w:val="24"/>
          <w:highlight w:val="none"/>
        </w:rPr>
        <w:t xml:space="preserve"> </w:t>
      </w:r>
    </w:p>
    <w:p w14:paraId="533B7C0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1．材料进入现场应按指定位置堆放整齐，不得影响现场施工和堵塞施工通道。材料堆放场地应有专职的管理人员。</w:t>
      </w:r>
    </w:p>
    <w:p w14:paraId="1D64C6D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2．施工和安装用的各种扣件、紧固件、绳索具、小型配件、</w:t>
      </w:r>
      <w:r>
        <w:rPr>
          <w:rFonts w:hint="eastAsia" w:ascii="宋体" w:hAnsi="宋体" w:eastAsia="宋体" w:cs="宋体"/>
          <w:color w:val="auto"/>
          <w:sz w:val="24"/>
          <w:szCs w:val="24"/>
          <w:highlight w:val="none"/>
          <w:lang w:eastAsia="zh-CN"/>
        </w:rPr>
        <w:t>螺钉</w:t>
      </w:r>
      <w:r>
        <w:rPr>
          <w:rFonts w:hint="eastAsia" w:ascii="宋体" w:hAnsi="宋体" w:eastAsia="宋体" w:cs="宋体"/>
          <w:color w:val="auto"/>
          <w:sz w:val="24"/>
          <w:szCs w:val="24"/>
          <w:highlight w:val="none"/>
        </w:rPr>
        <w:t>等应在专设的仓库内装箱放置。</w:t>
      </w:r>
    </w:p>
    <w:p w14:paraId="42732835">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05" w:name="_Toc369165015"/>
      <w:bookmarkStart w:id="706" w:name="_Toc368991842"/>
      <w:bookmarkStart w:id="707" w:name="_Toc22050"/>
      <w:bookmarkStart w:id="708" w:name="_Toc368993328"/>
      <w:bookmarkStart w:id="709" w:name="_Toc369166014"/>
      <w:r>
        <w:rPr>
          <w:rFonts w:hint="eastAsia" w:ascii="宋体" w:hAnsi="宋体" w:eastAsia="宋体" w:cs="宋体"/>
          <w:color w:val="auto"/>
          <w:sz w:val="24"/>
          <w:szCs w:val="24"/>
          <w:highlight w:val="none"/>
        </w:rPr>
        <w:t>3.3.3 混凝土浇筑施工场地</w:t>
      </w:r>
      <w:bookmarkEnd w:id="705"/>
      <w:bookmarkEnd w:id="706"/>
      <w:bookmarkEnd w:id="707"/>
      <w:bookmarkEnd w:id="708"/>
      <w:bookmarkEnd w:id="709"/>
    </w:p>
    <w:p w14:paraId="7D064C3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1．检验不合格的废弃混凝土应运至专设的弃料场，不得在施工场地内任意弃置；混凝土浇筑面的冲洗、冲毛废水应由专设的沟道集中排放；灌浆工作面的污水和废弃浆液应排入排水沟内；严禁污水漫流。</w:t>
      </w:r>
    </w:p>
    <w:p w14:paraId="1B66452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混凝土振捣器绝缘性能应良好，并应在配电盘上装设有漏电保护器，以保障混凝土振捣人员的人身安全。混凝土收仓后应禁止人员踩踏，混凝土面上不允许随便涂写，应设立标志，及时将各种浇筑器具清洗收回摆放整齐。</w:t>
      </w:r>
    </w:p>
    <w:p w14:paraId="68BB0952">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10" w:name="_Toc369166015"/>
      <w:bookmarkStart w:id="711" w:name="_Toc368991843"/>
      <w:bookmarkStart w:id="712" w:name="_Toc368993329"/>
      <w:bookmarkStart w:id="713" w:name="_Toc369165016"/>
      <w:bookmarkStart w:id="714" w:name="_Toc8048"/>
      <w:r>
        <w:rPr>
          <w:rFonts w:hint="eastAsia" w:ascii="宋体" w:hAnsi="宋体" w:eastAsia="宋体" w:cs="宋体"/>
          <w:color w:val="auto"/>
          <w:sz w:val="24"/>
          <w:szCs w:val="24"/>
          <w:highlight w:val="none"/>
        </w:rPr>
        <w:t>3.3.4 金属结构安装场地</w:t>
      </w:r>
      <w:bookmarkEnd w:id="710"/>
      <w:bookmarkEnd w:id="711"/>
      <w:bookmarkEnd w:id="712"/>
      <w:bookmarkEnd w:id="713"/>
      <w:bookmarkEnd w:id="714"/>
    </w:p>
    <w:p w14:paraId="68D1A7F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1．金属结构安装前，应将埋设件按不同种类分别堆放整齐、标记明显、支垫合理，避免受潮、锈蚀及污染。</w:t>
      </w:r>
    </w:p>
    <w:p w14:paraId="59D5D66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2．严格按照规程及安装方案进行运输和吊装，设备和部件装车应固定、牢靠。</w:t>
      </w:r>
    </w:p>
    <w:p w14:paraId="71B9345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．现场待安装的设备或材料应有序放置，杜绝在安装场地乱扔焊条头和废料等杂物。</w:t>
      </w:r>
    </w:p>
    <w:p w14:paraId="713A24B7">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15" w:name="_Toc368993332"/>
      <w:bookmarkStart w:id="716" w:name="_Toc368991846"/>
      <w:bookmarkStart w:id="717" w:name="_Toc22291"/>
      <w:bookmarkStart w:id="718" w:name="_Toc369165019"/>
      <w:bookmarkStart w:id="719" w:name="_Toc369166018"/>
      <w:r>
        <w:rPr>
          <w:rFonts w:hint="eastAsia" w:ascii="宋体" w:hAnsi="宋体" w:eastAsia="宋体" w:cs="宋体"/>
          <w:color w:val="auto"/>
          <w:sz w:val="24"/>
          <w:szCs w:val="24"/>
          <w:highlight w:val="none"/>
        </w:rPr>
        <w:t>3.3.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施工场地环境治理</w:t>
      </w:r>
      <w:bookmarkEnd w:id="715"/>
      <w:bookmarkEnd w:id="716"/>
      <w:bookmarkEnd w:id="717"/>
      <w:bookmarkEnd w:id="718"/>
      <w:bookmarkEnd w:id="719"/>
    </w:p>
    <w:p w14:paraId="6FC7A62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1．承包人应在施工现场设置足够的“保洁箱”，及时将垃圾清理到指定地点；承包人应设有统一就餐的餐厅，施工现场不得乱扔生活垃圾。</w:t>
      </w:r>
    </w:p>
    <w:p w14:paraId="1EEF747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2．施工现场应基本上达到无淤泥杂物、无积水、抽排水设施良好，防止在施工现场乱弃料，乱搭建现象。</w:t>
      </w:r>
    </w:p>
    <w:p w14:paraId="47C18CDB">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720" w:name="_Toc369765723"/>
      <w:bookmarkStart w:id="721" w:name="_Toc5931"/>
      <w:bookmarkStart w:id="722" w:name="_Toc357518031"/>
      <w:r>
        <w:rPr>
          <w:rFonts w:hint="eastAsia" w:ascii="宋体" w:hAnsi="宋体" w:eastAsia="宋体" w:cs="宋体"/>
          <w:b/>
          <w:bCs/>
          <w:color w:val="auto"/>
          <w:kern w:val="2"/>
          <w:sz w:val="24"/>
          <w:szCs w:val="24"/>
          <w:highlight w:val="none"/>
          <w:lang w:val="en-US" w:eastAsia="zh-CN" w:bidi="ar-SA"/>
        </w:rPr>
        <w:t>3.4 应急救援措施</w:t>
      </w:r>
      <w:bookmarkEnd w:id="720"/>
      <w:bookmarkEnd w:id="721"/>
      <w:bookmarkEnd w:id="722"/>
    </w:p>
    <w:p w14:paraId="51B96C2A">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23" w:name="_Toc368993334"/>
      <w:bookmarkStart w:id="724" w:name="_Toc369166020"/>
      <w:bookmarkStart w:id="725" w:name="_Toc368991848"/>
      <w:bookmarkStart w:id="726" w:name="_Toc30254"/>
      <w:bookmarkStart w:id="727" w:name="_Toc369165021"/>
      <w:r>
        <w:rPr>
          <w:rFonts w:hint="eastAsia" w:ascii="宋体" w:hAnsi="宋体" w:eastAsia="宋体" w:cs="宋体"/>
          <w:color w:val="auto"/>
          <w:sz w:val="24"/>
          <w:szCs w:val="24"/>
          <w:highlight w:val="none"/>
        </w:rPr>
        <w:t>3.4.1 事故应急救援预案</w:t>
      </w:r>
      <w:bookmarkEnd w:id="723"/>
      <w:bookmarkEnd w:id="724"/>
      <w:bookmarkEnd w:id="725"/>
      <w:bookmarkEnd w:id="726"/>
      <w:bookmarkEnd w:id="727"/>
    </w:p>
    <w:p w14:paraId="11A0667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1．承包人应制定生产安全事故的应急救援预案，应急救援预案应能随时紧急调动应救人员，救援专职人员应定期组织演练。</w:t>
      </w:r>
    </w:p>
    <w:p w14:paraId="07A5E9E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2．发生事故后，承包人应按应急救援要求，配备必需的应急救援器材和设备，并及时将应急救援的措施报告提交</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w:t>
      </w:r>
    </w:p>
    <w:p w14:paraId="3607350B">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28" w:name="_Toc369166021"/>
      <w:bookmarkStart w:id="729" w:name="_Toc7313"/>
      <w:bookmarkStart w:id="730" w:name="_Toc368991849"/>
      <w:bookmarkStart w:id="731" w:name="_Toc368993335"/>
      <w:bookmarkStart w:id="732" w:name="_Toc369165022"/>
      <w:r>
        <w:rPr>
          <w:rFonts w:hint="eastAsia" w:ascii="宋体" w:hAnsi="宋体" w:eastAsia="宋体" w:cs="宋体"/>
          <w:color w:val="auto"/>
          <w:sz w:val="24"/>
          <w:szCs w:val="24"/>
          <w:highlight w:val="none"/>
        </w:rPr>
        <w:t>3.4.2 伤亡事故处理</w:t>
      </w:r>
      <w:bookmarkEnd w:id="728"/>
      <w:bookmarkEnd w:id="729"/>
      <w:bookmarkEnd w:id="730"/>
      <w:bookmarkEnd w:id="731"/>
      <w:bookmarkEnd w:id="732"/>
    </w:p>
    <w:p w14:paraId="7517B09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1．工程施工过程中，若发生施工生产人员或第三者人员的伤亡事故时，承包人应按本合同条款相关的约定，及时进行处理，并立即报告</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w:t>
      </w:r>
    </w:p>
    <w:p w14:paraId="5774FD5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2．若发生重大伤亡或特大事故时，承包人必须保护事故现场，除及时报告发包人和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外，还应立即报告当地人民政府相关管理部门，并在当地政府主管部门的支持和协助下，按国家的有关规定，妥善处理好事故。</w:t>
      </w:r>
    </w:p>
    <w:p w14:paraId="0253D6A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3．事故处理结案后，承包人应向公众张榜告示处理事故结果。</w:t>
      </w:r>
    </w:p>
    <w:p w14:paraId="70730BC8">
      <w:pPr>
        <w:pStyle w:val="2"/>
        <w:pageBreakBefore w:val="0"/>
        <w:tabs>
          <w:tab w:val="center" w:pos="4153"/>
        </w:tabs>
        <w:kinsoku/>
        <w:wordWrap/>
        <w:overflowPunct/>
        <w:topLinePunct w:val="0"/>
        <w:autoSpaceDE/>
        <w:autoSpaceDN/>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bookmarkStart w:id="733" w:name="_Toc21614"/>
      <w:bookmarkStart w:id="734" w:name="_Toc369765726"/>
      <w:bookmarkStart w:id="735" w:name="_Toc357518034"/>
      <w:r>
        <w:rPr>
          <w:rFonts w:hint="eastAsia" w:ascii="宋体" w:hAnsi="宋体" w:eastAsia="宋体" w:cs="宋体"/>
          <w:color w:val="auto"/>
          <w:sz w:val="24"/>
          <w:szCs w:val="24"/>
          <w:highlight w:val="none"/>
        </w:rPr>
        <w:t>4  环境保护和水土保持</w:t>
      </w:r>
      <w:bookmarkEnd w:id="733"/>
      <w:bookmarkEnd w:id="734"/>
      <w:bookmarkEnd w:id="735"/>
    </w:p>
    <w:p w14:paraId="50B94F1B">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736" w:name="_Toc357518035"/>
      <w:bookmarkStart w:id="737" w:name="_Toc369765727"/>
      <w:bookmarkStart w:id="738" w:name="_Toc20009"/>
      <w:r>
        <w:rPr>
          <w:rFonts w:hint="eastAsia" w:ascii="宋体" w:hAnsi="宋体" w:eastAsia="宋体" w:cs="宋体"/>
          <w:b/>
          <w:bCs/>
          <w:color w:val="auto"/>
          <w:kern w:val="2"/>
          <w:sz w:val="24"/>
          <w:szCs w:val="24"/>
          <w:highlight w:val="none"/>
          <w:lang w:val="en-US" w:eastAsia="zh-CN" w:bidi="ar-SA"/>
        </w:rPr>
        <w:t>4.1 一般规定</w:t>
      </w:r>
      <w:bookmarkEnd w:id="736"/>
      <w:bookmarkEnd w:id="737"/>
      <w:bookmarkEnd w:id="738"/>
    </w:p>
    <w:p w14:paraId="20666AD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39" w:name="_Toc369166028"/>
      <w:bookmarkStart w:id="740" w:name="_Toc369165029"/>
      <w:bookmarkStart w:id="741" w:name="_Toc2613"/>
      <w:bookmarkStart w:id="742" w:name="_Toc368991856"/>
      <w:bookmarkStart w:id="743" w:name="_Toc368993342"/>
      <w:r>
        <w:rPr>
          <w:rFonts w:hint="eastAsia" w:ascii="宋体" w:hAnsi="宋体" w:eastAsia="宋体" w:cs="宋体"/>
          <w:color w:val="auto"/>
          <w:sz w:val="24"/>
          <w:szCs w:val="24"/>
          <w:highlight w:val="none"/>
        </w:rPr>
        <w:t>4.1.1应用范围</w:t>
      </w:r>
      <w:bookmarkEnd w:id="739"/>
      <w:bookmarkEnd w:id="740"/>
      <w:bookmarkEnd w:id="741"/>
      <w:bookmarkEnd w:id="742"/>
      <w:bookmarkEnd w:id="743"/>
    </w:p>
    <w:p w14:paraId="0D4AD0F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本章规定适用于本工程施工期的生产、生活区环境保护和水土保持的有关工作，主要工作范围和内容包括：</w:t>
      </w:r>
    </w:p>
    <w:p w14:paraId="3E2E645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1．污水和废水处理：</w:t>
      </w:r>
    </w:p>
    <w:p w14:paraId="11C55D2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（1）混凝土生产及其他辅助系统等的废水处理；</w:t>
      </w:r>
    </w:p>
    <w:p w14:paraId="033D5E8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（2）生产区和生活区的生活污水处理。</w:t>
      </w:r>
    </w:p>
    <w:p w14:paraId="20B7F30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2．本工程范围内的大气环境保护。</w:t>
      </w:r>
    </w:p>
    <w:p w14:paraId="2D1C301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3．本工程范围内的声环境保护。</w:t>
      </w:r>
    </w:p>
    <w:p w14:paraId="6A78049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4．生产区及生活区的固体废弃物处理。</w:t>
      </w:r>
    </w:p>
    <w:p w14:paraId="47F42C4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5．本工程涉及的生态环境保护。</w:t>
      </w:r>
    </w:p>
    <w:p w14:paraId="5B341EE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6．生产区和生活区的施工期人群健康保护。</w:t>
      </w:r>
    </w:p>
    <w:p w14:paraId="2A41EDF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7．本工程施工期水土保持</w:t>
      </w:r>
    </w:p>
    <w:p w14:paraId="7B861A4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（1）本工程的存料、弃料场的水土保持；</w:t>
      </w:r>
    </w:p>
    <w:p w14:paraId="61BE12C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（2）本工程的施工场地与大面积开挖地区的水土保持。</w:t>
      </w:r>
    </w:p>
    <w:p w14:paraId="5A1511C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8．本工程完工后的场地清理（包括土地复耕与植被恢复等）。</w:t>
      </w:r>
    </w:p>
    <w:p w14:paraId="07D2CD45">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44" w:name="_Toc369166029"/>
      <w:bookmarkStart w:id="745" w:name="_Toc368991857"/>
      <w:bookmarkStart w:id="746" w:name="_Toc25737"/>
      <w:bookmarkStart w:id="747" w:name="_Toc369165030"/>
      <w:bookmarkStart w:id="748" w:name="_Toc368993343"/>
      <w:r>
        <w:rPr>
          <w:rFonts w:hint="eastAsia" w:ascii="宋体" w:hAnsi="宋体" w:eastAsia="宋体" w:cs="宋体"/>
          <w:color w:val="auto"/>
          <w:sz w:val="24"/>
          <w:szCs w:val="24"/>
          <w:highlight w:val="none"/>
        </w:rPr>
        <w:t>4.1.2 承包人责任</w:t>
      </w:r>
      <w:bookmarkEnd w:id="744"/>
      <w:bookmarkEnd w:id="745"/>
      <w:bookmarkEnd w:id="746"/>
      <w:bookmarkEnd w:id="747"/>
      <w:bookmarkEnd w:id="748"/>
    </w:p>
    <w:p w14:paraId="0F112A2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1．承包人必须遵守有关环境保护和水土保持的法律、法规和规章，并按照本合同技术条款有关环境保护和水土保持的要求，做好施工区及生活区的环境保护与水土保持工作。</w:t>
      </w:r>
    </w:p>
    <w:p w14:paraId="6421328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本合同划定的施工场地界线以外的树木和植被必须尽力加以保护。承包人不得让有害物质（如燃料、油料、化学品、酸等，以及超过剂量的有害气体和尘埃、污水、泥土或水、弃料等），污染施工场地以外的土地和河川。</w:t>
      </w:r>
    </w:p>
    <w:p w14:paraId="6DA7B14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3．承包人应按合同约定和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指示，接受国家和地方环境保护与水行政主管部门的监督、监测和检查。</w:t>
      </w:r>
    </w:p>
    <w:p w14:paraId="632153C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4．承包人应对其违反上述法律、法规、规章以及本合同规定所造成的环境污染、水土流失、人员伤害和财产损失等承担赔偿责任。</w:t>
      </w:r>
    </w:p>
    <w:p w14:paraId="37D1CCF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5．在施工过程中由于承包人的延误，未能及时按施工图纸要求和（或）</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的指示，做好永久性的环境保护与水土保持工作，因而增加额外工作量，导致增加费用和工期延误，应由承包人负责。</w:t>
      </w:r>
    </w:p>
    <w:p w14:paraId="4458C3D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6．承包人应按国家有关文物保护的规定，保护工程现场发掘的文物，有义务协助和配合文物部门的挖掘保护工作。</w:t>
      </w:r>
    </w:p>
    <w:p w14:paraId="6CBD1DB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7．承包人应按施工图纸和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的指示，完成本章范围内的除绿化施工的全部工作。</w:t>
      </w:r>
    </w:p>
    <w:p w14:paraId="0C21725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8．承包人必须按本技术条款有关材料和设备的规定，负责采购、验收、运输和保管工程施工中所需的全部材料。</w:t>
      </w:r>
    </w:p>
    <w:p w14:paraId="6F0132B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9．承包人应做好施工生产、生活区的水土保持工作，如临时排水沟等。</w:t>
      </w:r>
    </w:p>
    <w:p w14:paraId="200EA14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10．承包人应服从</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安排，做好相关配合工作。</w:t>
      </w:r>
    </w:p>
    <w:p w14:paraId="68660278">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49" w:name="_Toc19346"/>
      <w:bookmarkStart w:id="750" w:name="_Toc368993344"/>
      <w:bookmarkStart w:id="751" w:name="_Toc369165031"/>
      <w:bookmarkStart w:id="752" w:name="_Toc368991858"/>
      <w:bookmarkStart w:id="753" w:name="_Toc369166030"/>
      <w:r>
        <w:rPr>
          <w:rFonts w:hint="eastAsia" w:ascii="宋体" w:hAnsi="宋体" w:eastAsia="宋体" w:cs="宋体"/>
          <w:color w:val="auto"/>
          <w:sz w:val="24"/>
          <w:szCs w:val="24"/>
          <w:highlight w:val="none"/>
        </w:rPr>
        <w:t>4.1.3 主要提交件</w:t>
      </w:r>
      <w:bookmarkEnd w:id="749"/>
      <w:bookmarkEnd w:id="750"/>
      <w:bookmarkEnd w:id="751"/>
      <w:bookmarkEnd w:id="752"/>
      <w:bookmarkEnd w:id="753"/>
    </w:p>
    <w:p w14:paraId="00D3909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1．环境保护及水土保持措施计划：</w:t>
      </w:r>
    </w:p>
    <w:p w14:paraId="495DCA4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承包人在提交施工总布置设计文件时，应同时提交本合同施工期的环境保护和水土保持措施计划，报送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审批，其内容应包括：</w:t>
      </w:r>
    </w:p>
    <w:p w14:paraId="3207787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（1）承包人生活区的生活用水和生活污水处理措施；</w:t>
      </w:r>
    </w:p>
    <w:p w14:paraId="0FFAC85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（2）施工生产废水（如：混凝土生产系统废水、机修废水等）处理措施；</w:t>
      </w:r>
    </w:p>
    <w:p w14:paraId="4741860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）本工程存料场、弃料场的挡护工程、坡面保护工程和排水工程；</w:t>
      </w:r>
    </w:p>
    <w:p w14:paraId="7FBF708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）施工辅助生产区（如混凝土系统生产区及加工场等）、工程枢纽施工区、施工生活营地等所有场地周边的截、排水措施，开挖边坡支护措施、挡护建筑物的排水措施等； </w:t>
      </w:r>
    </w:p>
    <w:p w14:paraId="0CEB931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）施工区边坡工程的水土流失保护措施；</w:t>
      </w:r>
    </w:p>
    <w:p w14:paraId="5DC072C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）完工后场地清理</w:t>
      </w:r>
      <w:r>
        <w:rPr>
          <w:rFonts w:hint="eastAsia" w:ascii="宋体" w:hAnsi="宋体" w:eastAsia="宋体" w:cs="宋体"/>
          <w:color w:val="auto"/>
          <w:sz w:val="24"/>
          <w:szCs w:val="24"/>
          <w:highlight w:val="none"/>
          <w:lang w:eastAsia="zh-CN"/>
        </w:rPr>
        <w:t>及</w:t>
      </w:r>
      <w:r>
        <w:rPr>
          <w:rFonts w:hint="eastAsia" w:ascii="宋体" w:hAnsi="宋体" w:eastAsia="宋体" w:cs="宋体"/>
          <w:color w:val="auto"/>
          <w:sz w:val="24"/>
          <w:szCs w:val="24"/>
          <w:highlight w:val="none"/>
        </w:rPr>
        <w:t>植被恢复的规划和措施。</w:t>
      </w:r>
    </w:p>
    <w:p w14:paraId="3E900D7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2．完工验收资料</w:t>
      </w:r>
    </w:p>
    <w:p w14:paraId="68B680F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（1）环境保护措施质量检查及验收报告；</w:t>
      </w:r>
    </w:p>
    <w:p w14:paraId="6D1009A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（2）水土保持措施的质量检查及验收报告；</w:t>
      </w:r>
    </w:p>
    <w:p w14:paraId="10DC5A0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人要求提供的</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资料。</w:t>
      </w:r>
    </w:p>
    <w:p w14:paraId="6A7DF46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54" w:name="_Toc368991859"/>
      <w:bookmarkStart w:id="755" w:name="_Toc369166031"/>
      <w:bookmarkStart w:id="756" w:name="_Toc368993345"/>
      <w:bookmarkStart w:id="757" w:name="_Toc4126"/>
      <w:bookmarkStart w:id="758" w:name="_Toc369165032"/>
      <w:r>
        <w:rPr>
          <w:rFonts w:hint="eastAsia" w:ascii="宋体" w:hAnsi="宋体" w:eastAsia="宋体" w:cs="宋体"/>
          <w:color w:val="auto"/>
          <w:sz w:val="24"/>
          <w:szCs w:val="24"/>
          <w:highlight w:val="none"/>
        </w:rPr>
        <w:t>4.1.4 须遵守的法律、法规、标准和规程规范（不限于）</w:t>
      </w:r>
      <w:bookmarkEnd w:id="754"/>
      <w:bookmarkEnd w:id="755"/>
      <w:bookmarkEnd w:id="756"/>
      <w:bookmarkEnd w:id="757"/>
      <w:bookmarkEnd w:id="758"/>
    </w:p>
    <w:p w14:paraId="64E6202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1．引用法律法规和标准</w:t>
      </w:r>
    </w:p>
    <w:p w14:paraId="6F070BD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（1）《中华人民共和国环境保护法》</w:t>
      </w:r>
    </w:p>
    <w:p w14:paraId="3E099EC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（2）《中华人民共和国水土保持法》</w:t>
      </w:r>
    </w:p>
    <w:p w14:paraId="6C2D4CD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（3）《中华人民共和国水污染防治法》</w:t>
      </w:r>
    </w:p>
    <w:p w14:paraId="058D3A6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）《中华人民共和国水法》</w:t>
      </w:r>
    </w:p>
    <w:p w14:paraId="15D93BA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）《建设项目环境保护管理条例》</w:t>
      </w:r>
    </w:p>
    <w:p w14:paraId="7E2205D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2．引用标准和规程规范</w:t>
      </w:r>
    </w:p>
    <w:p w14:paraId="584E2CA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（1）《环境影响评价技术导则 水利水电工程》HJ/T88</w:t>
      </w:r>
    </w:p>
    <w:p w14:paraId="0F09412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）《建筑施工场界噪声限值》GB12523</w:t>
      </w:r>
    </w:p>
    <w:p w14:paraId="7C613C8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）《水土保持监测技术规程》SL277</w:t>
      </w:r>
    </w:p>
    <w:p w14:paraId="099229A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）《水土保持综合治理验收规范》GB/T15773</w:t>
      </w:r>
    </w:p>
    <w:p w14:paraId="67B3AB6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）《生活饮用水卫生标准》GB5749</w:t>
      </w:r>
    </w:p>
    <w:p w14:paraId="01FA1CE1">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759" w:name="_Toc369765728"/>
      <w:bookmarkStart w:id="760" w:name="_Toc357518036"/>
      <w:bookmarkStart w:id="761" w:name="_Toc631"/>
      <w:r>
        <w:rPr>
          <w:rFonts w:hint="eastAsia" w:ascii="宋体" w:hAnsi="宋体" w:eastAsia="宋体" w:cs="宋体"/>
          <w:b/>
          <w:bCs/>
          <w:color w:val="auto"/>
          <w:kern w:val="2"/>
          <w:sz w:val="24"/>
          <w:szCs w:val="24"/>
          <w:highlight w:val="none"/>
          <w:lang w:val="en-US" w:eastAsia="zh-CN" w:bidi="ar-SA"/>
        </w:rPr>
        <w:t>4.2 环境保护</w:t>
      </w:r>
      <w:bookmarkEnd w:id="759"/>
      <w:bookmarkEnd w:id="760"/>
      <w:bookmarkEnd w:id="761"/>
    </w:p>
    <w:p w14:paraId="35BC9F6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62" w:name="_Toc9382"/>
      <w:bookmarkStart w:id="763" w:name="_Toc369166033"/>
      <w:bookmarkStart w:id="764" w:name="_Toc368993347"/>
      <w:bookmarkStart w:id="765" w:name="_Toc369165034"/>
      <w:bookmarkStart w:id="766" w:name="_Toc368991861"/>
      <w:r>
        <w:rPr>
          <w:rFonts w:hint="eastAsia" w:ascii="宋体" w:hAnsi="宋体" w:eastAsia="宋体" w:cs="宋体"/>
          <w:color w:val="auto"/>
          <w:sz w:val="24"/>
          <w:szCs w:val="24"/>
          <w:highlight w:val="none"/>
        </w:rPr>
        <w:t>4.2.1 生活供水及</w:t>
      </w:r>
      <w:r>
        <w:rPr>
          <w:rFonts w:hint="eastAsia" w:ascii="宋体" w:hAnsi="宋体" w:eastAsia="宋体" w:cs="宋体"/>
          <w:color w:val="auto"/>
          <w:sz w:val="24"/>
          <w:szCs w:val="24"/>
          <w:highlight w:val="none"/>
          <w:lang w:eastAsia="zh-CN"/>
        </w:rPr>
        <w:t>生活污水处理</w:t>
      </w:r>
      <w:bookmarkEnd w:id="762"/>
      <w:bookmarkEnd w:id="763"/>
      <w:bookmarkEnd w:id="764"/>
      <w:bookmarkEnd w:id="765"/>
      <w:bookmarkEnd w:id="766"/>
    </w:p>
    <w:p w14:paraId="47270E3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1．生活供水要求</w:t>
      </w:r>
    </w:p>
    <w:p w14:paraId="388F042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（1）发包人或由发包人委托承包人在承包人营地修建生活供水设施，由承包人负责为本合同工程的职工提供生活用水，其饮用水水质应符合《生活饮用水卫生标准》GB5749-2006规定。</w:t>
      </w:r>
    </w:p>
    <w:p w14:paraId="2AC8A14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（2）承包人应负责保护生活供水设施的卫生和安全，保证供应合格水质。承包人应按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的指示和本技术条款的规定，定期进行水质检测工作。</w:t>
      </w:r>
    </w:p>
    <w:p w14:paraId="171051E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2．生活</w:t>
      </w:r>
      <w:r>
        <w:rPr>
          <w:rFonts w:hint="eastAsia" w:ascii="宋体" w:hAnsi="宋体" w:eastAsia="宋体" w:cs="宋体"/>
          <w:color w:val="auto"/>
          <w:sz w:val="24"/>
          <w:szCs w:val="24"/>
          <w:highlight w:val="none"/>
          <w:lang w:eastAsia="zh-CN"/>
        </w:rPr>
        <w:t>污水</w:t>
      </w:r>
      <w:r>
        <w:rPr>
          <w:rFonts w:hint="eastAsia" w:ascii="宋体" w:hAnsi="宋体" w:eastAsia="宋体" w:cs="宋体"/>
          <w:color w:val="auto"/>
          <w:sz w:val="24"/>
          <w:szCs w:val="24"/>
          <w:highlight w:val="none"/>
        </w:rPr>
        <w:t>、废水处理</w:t>
      </w:r>
    </w:p>
    <w:p w14:paraId="3B87C9B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合同另有约定外，本合同承包人应负责建设、运行和维护其营地的生活污水收集系统，污水处理系统（包括排污口接入），处理后的废水水质必须符合受纳水体环境功能区规划规定的排放要求，或应遵守国家标准《污水综合排放标准》GB8978-1996的规定，不得将未处理的生活污水直接或间接排入河流水体中，或造成生活供水系统的污染。</w:t>
      </w:r>
    </w:p>
    <w:p w14:paraId="4AA836B8">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67" w:name="_Toc369166036"/>
      <w:bookmarkStart w:id="768" w:name="_Toc368993350"/>
      <w:bookmarkStart w:id="769" w:name="_Toc469"/>
      <w:bookmarkStart w:id="770" w:name="_Toc368991864"/>
      <w:bookmarkStart w:id="771" w:name="_Toc369165037"/>
      <w:r>
        <w:rPr>
          <w:rFonts w:hint="eastAsia" w:ascii="宋体" w:hAnsi="宋体" w:eastAsia="宋体" w:cs="宋体"/>
          <w:color w:val="auto"/>
          <w:sz w:val="24"/>
          <w:szCs w:val="24"/>
          <w:highlight w:val="none"/>
        </w:rPr>
        <w:t>4.2.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固体废弃物处理</w:t>
      </w:r>
      <w:bookmarkEnd w:id="767"/>
      <w:bookmarkEnd w:id="768"/>
      <w:bookmarkEnd w:id="769"/>
      <w:bookmarkEnd w:id="770"/>
      <w:bookmarkEnd w:id="771"/>
    </w:p>
    <w:p w14:paraId="754DB6C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1．固体废弃物处理措施</w:t>
      </w:r>
    </w:p>
    <w:p w14:paraId="4BCD90F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固体废弃物包括施工产生的生产废料、生活垃圾和建筑垃圾。应由承包人采取以下措施进行处理：</w:t>
      </w:r>
    </w:p>
    <w:p w14:paraId="4584461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w:t>
      </w:r>
      <w:r>
        <w:rPr>
          <w:rFonts w:hint="eastAsia" w:ascii="宋体" w:hAnsi="宋体" w:eastAsia="宋体" w:cs="宋体"/>
          <w:color w:val="auto"/>
          <w:sz w:val="24"/>
          <w:szCs w:val="24"/>
          <w:highlight w:val="none"/>
          <w:lang w:eastAsia="zh-CN"/>
        </w:rPr>
        <w:t>按</w:t>
      </w:r>
      <w:r>
        <w:rPr>
          <w:rFonts w:hint="eastAsia" w:ascii="宋体" w:hAnsi="宋体" w:eastAsia="宋体" w:cs="宋体"/>
          <w:color w:val="auto"/>
          <w:sz w:val="24"/>
          <w:szCs w:val="24"/>
          <w:highlight w:val="none"/>
        </w:rPr>
        <w:t>批准的施工组织设计场地规划，负责对其施工场地以及生活区范围内的生产和生活垃圾进行清运填埋。承包人还应设置必要的生活卫生设施（垃圾箱、</w:t>
      </w:r>
      <w:r>
        <w:rPr>
          <w:rFonts w:hint="eastAsia" w:ascii="宋体" w:hAnsi="宋体" w:eastAsia="宋体" w:cs="宋体"/>
          <w:color w:val="auto"/>
          <w:sz w:val="24"/>
          <w:szCs w:val="24"/>
          <w:highlight w:val="none"/>
          <w:lang w:eastAsia="zh-CN"/>
        </w:rPr>
        <w:t>桶</w:t>
      </w:r>
      <w:r>
        <w:rPr>
          <w:rFonts w:hint="eastAsia" w:ascii="宋体" w:hAnsi="宋体" w:eastAsia="宋体" w:cs="宋体"/>
          <w:color w:val="auto"/>
          <w:sz w:val="24"/>
          <w:szCs w:val="24"/>
          <w:highlight w:val="none"/>
        </w:rPr>
        <w:t>等），及时清扫生活垃圾，统一运至指定地点。</w:t>
      </w:r>
    </w:p>
    <w:p w14:paraId="3D5018F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（2）机械修理及汽修等的生产垃圾中的金属类废品，应由承包人负责回收利用。</w:t>
      </w:r>
      <w:r>
        <w:rPr>
          <w:rFonts w:hint="eastAsia" w:ascii="宋体" w:hAnsi="宋体" w:eastAsia="宋体" w:cs="宋体"/>
          <w:color w:val="auto"/>
          <w:sz w:val="24"/>
          <w:szCs w:val="24"/>
          <w:highlight w:val="none"/>
          <w:lang w:eastAsia="zh-CN"/>
        </w:rPr>
        <w:t>其他生产</w:t>
      </w:r>
      <w:r>
        <w:rPr>
          <w:rFonts w:hint="eastAsia" w:ascii="宋体" w:hAnsi="宋体" w:eastAsia="宋体" w:cs="宋体"/>
          <w:color w:val="auto"/>
          <w:sz w:val="24"/>
          <w:szCs w:val="24"/>
          <w:highlight w:val="none"/>
        </w:rPr>
        <w:t>垃圾均应按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指示统一处理。</w:t>
      </w:r>
    </w:p>
    <w:p w14:paraId="4D82C97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（3）承包人应按本合同技术条款的规定和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的指示处理好施工弃料，严格按指定的渣场弃料，并按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批准的施工组织设计，采取碾压、挡护或绿化等措施进行处理。</w:t>
      </w:r>
    </w:p>
    <w:p w14:paraId="7BBF3AB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（4）承包人不得任意堆放弃料，严禁向河道乱弃料，防止和减少水土流失。</w:t>
      </w:r>
    </w:p>
    <w:p w14:paraId="09DF63B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（5）对难以避免滑入河道的渣土、因施工造成场地塌滑、毁坏林草和场地造成泥沙漫流等问题，承包人应接受</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和地方有关部门的监督检查。并采取合理措施进行处理。</w:t>
      </w:r>
    </w:p>
    <w:p w14:paraId="4C9E340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2．有毒有害物质和危险品的管理</w:t>
      </w:r>
    </w:p>
    <w:p w14:paraId="5AE97B3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承包人应遵照国家法律法规的规定，对有毒有害和危险品严格管理，防止污染事故和安全事故的发生，由于承包人的原因引发的污染事故和安全事故，其造成的损失应由承包人承担赔偿责任。</w:t>
      </w:r>
    </w:p>
    <w:p w14:paraId="062C786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4．弃土运输道路应远离视觉敏感受体。</w:t>
      </w:r>
    </w:p>
    <w:p w14:paraId="3DAF459B">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772" w:name="_Toc369765730"/>
      <w:bookmarkStart w:id="773" w:name="_Toc357518038"/>
      <w:bookmarkStart w:id="774" w:name="_Toc3663"/>
      <w:r>
        <w:rPr>
          <w:rFonts w:hint="eastAsia" w:ascii="宋体" w:hAnsi="宋体" w:eastAsia="宋体" w:cs="宋体"/>
          <w:b/>
          <w:bCs/>
          <w:color w:val="auto"/>
          <w:kern w:val="2"/>
          <w:sz w:val="24"/>
          <w:szCs w:val="24"/>
          <w:highlight w:val="none"/>
          <w:lang w:val="en-US" w:eastAsia="zh-CN" w:bidi="ar-SA"/>
        </w:rPr>
        <w:t>4.3 水土保持</w:t>
      </w:r>
      <w:bookmarkEnd w:id="772"/>
      <w:bookmarkEnd w:id="773"/>
      <w:bookmarkEnd w:id="774"/>
    </w:p>
    <w:p w14:paraId="68A891E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75" w:name="_Toc22103"/>
      <w:bookmarkStart w:id="776" w:name="_Toc369166042"/>
      <w:bookmarkStart w:id="777" w:name="_Toc368993356"/>
      <w:bookmarkStart w:id="778" w:name="_Toc369165043"/>
      <w:bookmarkStart w:id="779" w:name="_Toc368991870"/>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 水土保持措施计划</w:t>
      </w:r>
      <w:bookmarkEnd w:id="775"/>
      <w:bookmarkEnd w:id="776"/>
      <w:bookmarkEnd w:id="777"/>
      <w:bookmarkEnd w:id="778"/>
      <w:bookmarkEnd w:id="779"/>
    </w:p>
    <w:p w14:paraId="3258E3D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承包人应按</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人批准的施工期水土保持措施计划，负责实施本合同责任范围内（包括施工开挖的场地、生活区、施工道路和渣场等）的水土保持工程措施，并在工程结束后按合同要求进行场地清理和整治。</w:t>
      </w:r>
    </w:p>
    <w:p w14:paraId="76563BF4">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80" w:name="_Toc368993357"/>
      <w:bookmarkStart w:id="781" w:name="_Toc369166043"/>
      <w:bookmarkStart w:id="782" w:name="_Toc368991871"/>
      <w:bookmarkStart w:id="783" w:name="_Toc369165044"/>
      <w:bookmarkStart w:id="784" w:name="_Toc31565"/>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 保护周边的水土保持设施</w:t>
      </w:r>
      <w:bookmarkEnd w:id="780"/>
      <w:bookmarkEnd w:id="781"/>
      <w:bookmarkEnd w:id="782"/>
      <w:bookmarkEnd w:id="783"/>
      <w:bookmarkEnd w:id="784"/>
    </w:p>
    <w:p w14:paraId="75DBAF6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承包人应自觉保护施工场地周边的林草和水土保持设施（包括排泥场、渠、塘坝等），避免或减少由于施工造成的水土流失。</w:t>
      </w:r>
    </w:p>
    <w:p w14:paraId="356F66A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85" w:name="_Toc369165045"/>
      <w:bookmarkStart w:id="786" w:name="_Toc368993358"/>
      <w:bookmarkStart w:id="787" w:name="_Toc369166044"/>
      <w:bookmarkStart w:id="788" w:name="_Toc368991872"/>
      <w:bookmarkStart w:id="789" w:name="_Toc13102"/>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 做好水土保持工程措施</w:t>
      </w:r>
      <w:bookmarkEnd w:id="785"/>
      <w:bookmarkEnd w:id="786"/>
      <w:bookmarkEnd w:id="787"/>
      <w:bookmarkEnd w:id="788"/>
      <w:bookmarkEnd w:id="789"/>
    </w:p>
    <w:p w14:paraId="7750D09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1．按合同约定和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指示，做好本合同防治责任范围内各项工程的开挖支护、截水、灌浆、衬砌、挡护结构及排水等工程防护措施。</w:t>
      </w:r>
    </w:p>
    <w:p w14:paraId="5D449BA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2．按合同约定和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指示，对场内道路的上下边坡采取有效的水土流失防治措施，并应负责维护其场内道路及其他交通设施的水土保持设施，</w:t>
      </w:r>
    </w:p>
    <w:p w14:paraId="1A761C29">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790" w:name="_Toc357518039"/>
      <w:bookmarkStart w:id="791" w:name="_Toc15335"/>
      <w:bookmarkStart w:id="792" w:name="_Toc369765731"/>
      <w:r>
        <w:rPr>
          <w:rFonts w:hint="eastAsia" w:ascii="宋体" w:hAnsi="宋体" w:eastAsia="宋体" w:cs="宋体"/>
          <w:b/>
          <w:bCs/>
          <w:color w:val="auto"/>
          <w:kern w:val="2"/>
          <w:sz w:val="24"/>
          <w:szCs w:val="24"/>
          <w:highlight w:val="none"/>
          <w:lang w:val="en-US" w:eastAsia="zh-CN" w:bidi="ar-SA"/>
        </w:rPr>
        <w:t>4.4 环境清理和环境恢复</w:t>
      </w:r>
      <w:bookmarkEnd w:id="790"/>
      <w:bookmarkEnd w:id="791"/>
      <w:bookmarkEnd w:id="792"/>
    </w:p>
    <w:p w14:paraId="7948BB0C">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93" w:name="_Toc369165050"/>
      <w:bookmarkStart w:id="794" w:name="_Toc368991877"/>
      <w:bookmarkStart w:id="795" w:name="_Toc369166049"/>
      <w:bookmarkStart w:id="796" w:name="_Toc11135"/>
      <w:bookmarkStart w:id="797" w:name="_Toc368993363"/>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环境清理</w:t>
      </w:r>
      <w:bookmarkEnd w:id="793"/>
      <w:bookmarkEnd w:id="794"/>
      <w:bookmarkEnd w:id="795"/>
      <w:bookmarkEnd w:id="796"/>
      <w:bookmarkEnd w:id="797"/>
    </w:p>
    <w:p w14:paraId="21A37A6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1．在每一施工作业区施工结束后，承包人应及时拆除地面以上部分的各种临时建筑结构，以及各种临时设施（如已废弃的沉淀池和临时挡洪设施等）。</w:t>
      </w:r>
    </w:p>
    <w:p w14:paraId="386368B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2．承包人的所有材料和设备应按计划撤离现场，工地范围内废弃的材料、设备及其他生产垃圾应统一按环境规划的要求和（或）</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人指示的方式处理。</w:t>
      </w:r>
    </w:p>
    <w:p w14:paraId="75F31FD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3．对防治范围内的排水沟道、</w:t>
      </w:r>
      <w:r>
        <w:rPr>
          <w:rFonts w:hint="eastAsia" w:ascii="宋体" w:hAnsi="宋体" w:eastAsia="宋体" w:cs="宋体"/>
          <w:color w:val="auto"/>
          <w:sz w:val="24"/>
          <w:szCs w:val="24"/>
          <w:highlight w:val="none"/>
          <w:lang w:eastAsia="zh-CN"/>
        </w:rPr>
        <w:t>防护</w:t>
      </w:r>
      <w:r>
        <w:rPr>
          <w:rFonts w:hint="eastAsia" w:ascii="宋体" w:hAnsi="宋体" w:eastAsia="宋体" w:cs="宋体"/>
          <w:color w:val="auto"/>
          <w:sz w:val="24"/>
          <w:szCs w:val="24"/>
          <w:highlight w:val="none"/>
        </w:rPr>
        <w:t>措施等永久性水土保持设施，应在撤离前按环境恢复计划要求进行疏通和修整。</w:t>
      </w:r>
    </w:p>
    <w:p w14:paraId="2B820B5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4．按合同要求拆除和撤离的其他设施和结构，均应及时清理出场。</w:t>
      </w:r>
    </w:p>
    <w:p w14:paraId="28BFA1D7">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98" w:name="_Toc368993364"/>
      <w:bookmarkStart w:id="799" w:name="_Toc26785"/>
      <w:bookmarkStart w:id="800" w:name="_Toc368991878"/>
      <w:bookmarkStart w:id="801" w:name="_Toc369166050"/>
      <w:bookmarkStart w:id="802" w:name="_Toc369165051"/>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环境恢复</w:t>
      </w:r>
      <w:bookmarkEnd w:id="798"/>
      <w:bookmarkEnd w:id="799"/>
      <w:bookmarkEnd w:id="800"/>
      <w:bookmarkEnd w:id="801"/>
      <w:bookmarkEnd w:id="802"/>
    </w:p>
    <w:p w14:paraId="1D91FD8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批准的环境恢复施工措施计划，完成恢复环境的辅助工程设施，并由</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按规定验收合格后进行全部植被恢复的种植工作。</w:t>
      </w:r>
    </w:p>
    <w:bookmarkEnd w:id="630"/>
    <w:bookmarkEnd w:id="631"/>
    <w:bookmarkEnd w:id="632"/>
    <w:bookmarkEnd w:id="633"/>
    <w:bookmarkEnd w:id="634"/>
    <w:bookmarkEnd w:id="635"/>
    <w:bookmarkEnd w:id="636"/>
    <w:bookmarkEnd w:id="637"/>
    <w:bookmarkEnd w:id="638"/>
    <w:p w14:paraId="5F648118">
      <w:pPr>
        <w:pStyle w:val="2"/>
        <w:pageBreakBefore w:val="0"/>
        <w:tabs>
          <w:tab w:val="center" w:pos="4153"/>
        </w:tabs>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803" w:name="_Toc195696846"/>
      <w:bookmarkStart w:id="804" w:name="_Toc224475820"/>
      <w:bookmarkStart w:id="805" w:name="_Toc224476592"/>
      <w:r>
        <w:rPr>
          <w:rFonts w:hint="eastAsia" w:ascii="宋体" w:hAnsi="宋体" w:eastAsia="宋体" w:cs="宋体"/>
          <w:color w:val="auto"/>
          <w:sz w:val="24"/>
          <w:szCs w:val="24"/>
          <w:highlight w:val="none"/>
        </w:rPr>
        <w:br w:type="page"/>
      </w:r>
      <w:bookmarkStart w:id="806" w:name="_Toc237539744"/>
      <w:bookmarkStart w:id="807" w:name="_Toc232309824"/>
      <w:bookmarkStart w:id="808" w:name="_Toc260152098"/>
      <w:bookmarkStart w:id="809" w:name="_Toc369765744"/>
      <w:bookmarkStart w:id="810" w:name="_Toc237541281"/>
      <w:bookmarkStart w:id="811" w:name="_Toc5413"/>
      <w:bookmarkStart w:id="812" w:name="_Toc247534544"/>
      <w:bookmarkStart w:id="813" w:name="_Toc249517759"/>
      <w:bookmarkStart w:id="814" w:name="_Toc279938538"/>
      <w:bookmarkStart w:id="815" w:name="_Toc280531347"/>
      <w:r>
        <w:rPr>
          <w:rFonts w:hint="eastAsia" w:ascii="宋体" w:hAnsi="宋体" w:eastAsia="宋体" w:cs="宋体"/>
          <w:color w:val="auto"/>
          <w:sz w:val="24"/>
          <w:szCs w:val="24"/>
          <w:highlight w:val="none"/>
        </w:rPr>
        <w:t>5  土方开挖</w:t>
      </w:r>
      <w:bookmarkEnd w:id="803"/>
      <w:bookmarkEnd w:id="804"/>
      <w:bookmarkEnd w:id="805"/>
      <w:bookmarkEnd w:id="806"/>
      <w:bookmarkEnd w:id="807"/>
      <w:bookmarkEnd w:id="808"/>
      <w:bookmarkEnd w:id="809"/>
      <w:bookmarkEnd w:id="810"/>
      <w:bookmarkEnd w:id="811"/>
      <w:bookmarkEnd w:id="812"/>
      <w:bookmarkEnd w:id="813"/>
      <w:bookmarkEnd w:id="814"/>
      <w:bookmarkEnd w:id="815"/>
    </w:p>
    <w:p w14:paraId="63AD2F9A">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816" w:name="_Toc224475821"/>
      <w:bookmarkStart w:id="817" w:name="_Toc249517760"/>
      <w:bookmarkStart w:id="818" w:name="_Toc232309825"/>
      <w:bookmarkStart w:id="819" w:name="_Toc280531348"/>
      <w:bookmarkStart w:id="820" w:name="_Toc279938539"/>
      <w:bookmarkStart w:id="821" w:name="_Toc224476593"/>
      <w:bookmarkStart w:id="822" w:name="_Toc4030"/>
      <w:bookmarkStart w:id="823" w:name="_Toc237541282"/>
      <w:bookmarkStart w:id="824" w:name="_Toc237539745"/>
      <w:bookmarkStart w:id="825" w:name="_Toc369765745"/>
      <w:bookmarkStart w:id="826" w:name="_Toc247534545"/>
      <w:r>
        <w:rPr>
          <w:rFonts w:hint="eastAsia" w:ascii="宋体" w:hAnsi="宋体" w:eastAsia="宋体" w:cs="宋体"/>
          <w:b/>
          <w:bCs/>
          <w:color w:val="auto"/>
          <w:kern w:val="2"/>
          <w:sz w:val="24"/>
          <w:szCs w:val="24"/>
          <w:highlight w:val="none"/>
          <w:lang w:val="en-US" w:eastAsia="zh-CN" w:bidi="ar-SA"/>
        </w:rPr>
        <w:t>5.1 一般规定</w:t>
      </w:r>
      <w:bookmarkEnd w:id="816"/>
      <w:bookmarkEnd w:id="817"/>
      <w:bookmarkEnd w:id="818"/>
      <w:bookmarkEnd w:id="819"/>
      <w:bookmarkEnd w:id="820"/>
      <w:bookmarkEnd w:id="821"/>
      <w:bookmarkEnd w:id="822"/>
      <w:bookmarkEnd w:id="823"/>
      <w:bookmarkEnd w:id="824"/>
      <w:bookmarkEnd w:id="825"/>
      <w:bookmarkEnd w:id="826"/>
      <w:r>
        <w:rPr>
          <w:rFonts w:hint="eastAsia" w:ascii="宋体" w:hAnsi="宋体" w:eastAsia="宋体" w:cs="宋体"/>
          <w:b/>
          <w:bCs/>
          <w:color w:val="auto"/>
          <w:kern w:val="2"/>
          <w:sz w:val="24"/>
          <w:szCs w:val="24"/>
          <w:highlight w:val="none"/>
          <w:lang w:val="en-US" w:eastAsia="zh-CN" w:bidi="ar-SA"/>
        </w:rPr>
        <w:t xml:space="preserve"> </w:t>
      </w:r>
    </w:p>
    <w:p w14:paraId="76030234">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827" w:name="_Toc237539746"/>
      <w:bookmarkStart w:id="828" w:name="_Toc1443"/>
      <w:bookmarkStart w:id="829" w:name="_Toc247534546"/>
      <w:bookmarkStart w:id="830" w:name="_Toc368993400"/>
      <w:bookmarkStart w:id="831" w:name="_Toc369165087"/>
      <w:bookmarkStart w:id="832" w:name="_Toc224551879"/>
      <w:bookmarkStart w:id="833" w:name="_Toc369166086"/>
      <w:bookmarkStart w:id="834" w:name="_Toc368991914"/>
      <w:bookmarkStart w:id="835" w:name="_Toc224476594"/>
      <w:r>
        <w:rPr>
          <w:rFonts w:hint="eastAsia" w:ascii="宋体" w:hAnsi="宋体" w:eastAsia="宋体" w:cs="宋体"/>
          <w:color w:val="auto"/>
          <w:sz w:val="24"/>
          <w:szCs w:val="24"/>
          <w:highlight w:val="none"/>
        </w:rPr>
        <w:t>5.1.1 应用范围</w:t>
      </w:r>
      <w:bookmarkEnd w:id="827"/>
      <w:bookmarkEnd w:id="828"/>
      <w:bookmarkEnd w:id="829"/>
      <w:bookmarkEnd w:id="830"/>
      <w:bookmarkEnd w:id="831"/>
      <w:bookmarkEnd w:id="832"/>
      <w:bookmarkEnd w:id="833"/>
      <w:bookmarkEnd w:id="834"/>
      <w:bookmarkEnd w:id="835"/>
    </w:p>
    <w:p w14:paraId="369DD7A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本章规定适用于本合同施工图纸所示的土方开挖工程，包括本合同各项永久工程和临时工程的边坡开挖、引河开挖，以及其他</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指示的土方开挖工程。其开挖工作内容包括：场地清理、土方开挖、边坡稳定监测、完工验收前的维护，以及将开挖可利用或废弃的土方运至</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指定的堆放区、弃土区并按本技术条款第4章要求加以保护、治理等工作。</w:t>
      </w:r>
    </w:p>
    <w:p w14:paraId="399311A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836" w:name="_Toc368991915"/>
      <w:bookmarkStart w:id="837" w:name="_Toc224551880"/>
      <w:bookmarkStart w:id="838" w:name="_Toc369166087"/>
      <w:bookmarkStart w:id="839" w:name="_Toc368993401"/>
      <w:bookmarkStart w:id="840" w:name="_Toc224476595"/>
      <w:bookmarkStart w:id="841" w:name="_Toc20375"/>
      <w:bookmarkStart w:id="842" w:name="_Toc369165088"/>
      <w:bookmarkStart w:id="843" w:name="_Toc247534547"/>
      <w:bookmarkStart w:id="844" w:name="_Toc237539747"/>
      <w:bookmarkStart w:id="845" w:name="_Toc237541283"/>
      <w:r>
        <w:rPr>
          <w:rFonts w:hint="eastAsia" w:ascii="宋体" w:hAnsi="宋体" w:eastAsia="宋体" w:cs="宋体"/>
          <w:color w:val="auto"/>
          <w:sz w:val="24"/>
          <w:szCs w:val="24"/>
          <w:highlight w:val="none"/>
        </w:rPr>
        <w:t>5.1.2 承包人的责任</w:t>
      </w:r>
      <w:bookmarkEnd w:id="836"/>
      <w:bookmarkEnd w:id="837"/>
      <w:bookmarkEnd w:id="838"/>
      <w:bookmarkEnd w:id="839"/>
      <w:bookmarkEnd w:id="840"/>
      <w:bookmarkEnd w:id="841"/>
      <w:bookmarkEnd w:id="842"/>
      <w:bookmarkEnd w:id="843"/>
      <w:bookmarkEnd w:id="844"/>
      <w:bookmarkEnd w:id="845"/>
    </w:p>
    <w:p w14:paraId="71FD463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846" w:name="_Toc224476596"/>
      <w:r>
        <w:rPr>
          <w:rFonts w:hint="eastAsia" w:ascii="宋体" w:hAnsi="宋体" w:eastAsia="宋体" w:cs="宋体"/>
          <w:color w:val="auto"/>
          <w:sz w:val="24"/>
          <w:szCs w:val="24"/>
          <w:highlight w:val="none"/>
        </w:rPr>
        <w:t>1．承包人应根据本技术条款和施工图纸的要求，以及</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的指示，按土方开挖工程的开挖线进行施工，若在开挖过程中偏离了指定开挖线，应重新修整到</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认为合格为止。因承包人自身施工失误所增加的工程量，以及由此增加的额外费用均由承包人承担。</w:t>
      </w:r>
      <w:bookmarkEnd w:id="846"/>
    </w:p>
    <w:p w14:paraId="1F1A438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847" w:name="_Toc224476597"/>
      <w:r>
        <w:rPr>
          <w:rFonts w:hint="eastAsia" w:ascii="宋体" w:hAnsi="宋体" w:eastAsia="宋体" w:cs="宋体"/>
          <w:color w:val="auto"/>
          <w:sz w:val="24"/>
          <w:szCs w:val="24"/>
          <w:highlight w:val="none"/>
        </w:rPr>
        <w:t>2．承包人为其施工需要，在本合同施工图纸开挖线以外进行的开挖，应注意保持永久边坡开挖的稳定，并应在该开挖工作开始前，提交书面报告报送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审批。施工图纸开挖线以外所增加的开挖费用由承包人计入报价，发包人不予另行支付。</w:t>
      </w:r>
      <w:bookmarkEnd w:id="847"/>
    </w:p>
    <w:p w14:paraId="0785E57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848" w:name="_Toc224476598"/>
      <w:r>
        <w:rPr>
          <w:rFonts w:hint="eastAsia" w:ascii="宋体" w:hAnsi="宋体" w:eastAsia="宋体" w:cs="宋体"/>
          <w:color w:val="auto"/>
          <w:sz w:val="24"/>
          <w:szCs w:val="24"/>
          <w:highlight w:val="none"/>
        </w:rPr>
        <w:t>3．在施工前，承包人应详细了解工程地质结构、地形地貌和水文地质情况。对可能引</w:t>
      </w:r>
      <w:bookmarkEnd w:id="848"/>
      <w:r>
        <w:rPr>
          <w:rFonts w:hint="eastAsia" w:ascii="宋体" w:hAnsi="宋体" w:eastAsia="宋体" w:cs="宋体"/>
          <w:color w:val="auto"/>
          <w:sz w:val="24"/>
          <w:szCs w:val="24"/>
          <w:highlight w:val="none"/>
        </w:rPr>
        <w:t>起的滑坡和崩塌体应及时采取有效的预防性保护措施；在陡坡下施工，应仔细检查边坡的稳定性，如遇有孤石、崩塌体等，应事先</w:t>
      </w:r>
      <w:r>
        <w:rPr>
          <w:rFonts w:hint="eastAsia" w:ascii="宋体" w:hAnsi="宋体" w:eastAsia="宋体" w:cs="宋体"/>
          <w:color w:val="auto"/>
          <w:sz w:val="24"/>
          <w:szCs w:val="24"/>
          <w:highlight w:val="none"/>
          <w:lang w:eastAsia="zh-CN"/>
        </w:rPr>
        <w:t>做好</w:t>
      </w:r>
      <w:r>
        <w:rPr>
          <w:rFonts w:hint="eastAsia" w:ascii="宋体" w:hAnsi="宋体" w:eastAsia="宋体" w:cs="宋体"/>
          <w:color w:val="auto"/>
          <w:sz w:val="24"/>
          <w:szCs w:val="24"/>
          <w:highlight w:val="none"/>
        </w:rPr>
        <w:t>妥善的清理和支护。</w:t>
      </w:r>
    </w:p>
    <w:p w14:paraId="50CEEFC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849" w:name="_Toc224476599"/>
      <w:r>
        <w:rPr>
          <w:rFonts w:hint="eastAsia" w:ascii="宋体" w:hAnsi="宋体" w:eastAsia="宋体" w:cs="宋体"/>
          <w:color w:val="auto"/>
          <w:sz w:val="24"/>
          <w:szCs w:val="24"/>
          <w:highlight w:val="none"/>
        </w:rPr>
        <w:t>4．修建施工区内专用道路的土方明挖工程，除遵守本技术条款外，还应按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指定的相关行业规范执行。</w:t>
      </w:r>
      <w:bookmarkEnd w:id="849"/>
    </w:p>
    <w:p w14:paraId="2B008A9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850" w:name="_Toc224476600"/>
      <w:r>
        <w:rPr>
          <w:rFonts w:hint="eastAsia" w:ascii="宋体" w:hAnsi="宋体" w:eastAsia="宋体" w:cs="宋体"/>
          <w:color w:val="auto"/>
          <w:sz w:val="24"/>
          <w:szCs w:val="24"/>
          <w:highlight w:val="none"/>
        </w:rPr>
        <w:t>5．在已有建筑物附近进行开挖时，承包人必须采取可靠的施工措施保证其原有建筑物、地下电缆、光缆等的稳定和安全。</w:t>
      </w:r>
      <w:bookmarkEnd w:id="850"/>
    </w:p>
    <w:p w14:paraId="248B83E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851" w:name="_Toc224476601"/>
      <w:r>
        <w:rPr>
          <w:rFonts w:hint="eastAsia" w:ascii="宋体" w:hAnsi="宋体" w:eastAsia="宋体" w:cs="宋体"/>
          <w:color w:val="auto"/>
          <w:sz w:val="24"/>
          <w:szCs w:val="24"/>
          <w:highlight w:val="none"/>
        </w:rPr>
        <w:t>6．承包人应制定施工安全措施，在危险地带设置明显的安全警示标志。夜间施工时，应设置足够的照明和安全防护设施。</w:t>
      </w:r>
      <w:bookmarkEnd w:id="851"/>
    </w:p>
    <w:p w14:paraId="43325BA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7．承包人应分阶段进行土方开挖。</w:t>
      </w:r>
    </w:p>
    <w:p w14:paraId="0F27F20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8．承包人不论采用何种开挖方式，均应保证建筑物持力层不受扰动。</w:t>
      </w:r>
    </w:p>
    <w:p w14:paraId="415794A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9．承包人应负责本合同土方开挖工程的施工及其设备配置和维修，排泥场、堆料场的设计和施工，以及质量检查和验收等全部工作。</w:t>
      </w:r>
    </w:p>
    <w:p w14:paraId="59FB5C21">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852" w:name="_Toc224551881"/>
      <w:bookmarkStart w:id="853" w:name="_Toc224476602"/>
      <w:bookmarkStart w:id="854" w:name="_Toc237539748"/>
      <w:bookmarkStart w:id="855" w:name="_Toc368993402"/>
      <w:bookmarkStart w:id="856" w:name="_Toc247534548"/>
      <w:bookmarkStart w:id="857" w:name="_Toc369165089"/>
      <w:bookmarkStart w:id="858" w:name="_Toc369166088"/>
      <w:bookmarkStart w:id="859" w:name="_Toc237541284"/>
      <w:bookmarkStart w:id="860" w:name="_Toc368991916"/>
      <w:bookmarkStart w:id="861" w:name="_Toc6342"/>
      <w:r>
        <w:rPr>
          <w:rFonts w:hint="eastAsia" w:ascii="宋体" w:hAnsi="宋体" w:eastAsia="宋体" w:cs="宋体"/>
          <w:color w:val="auto"/>
          <w:sz w:val="24"/>
          <w:szCs w:val="24"/>
          <w:highlight w:val="none"/>
        </w:rPr>
        <w:t>5.1.3 主要提交件</w:t>
      </w:r>
      <w:bookmarkEnd w:id="852"/>
      <w:bookmarkEnd w:id="853"/>
      <w:bookmarkEnd w:id="854"/>
      <w:bookmarkEnd w:id="855"/>
      <w:bookmarkEnd w:id="856"/>
      <w:bookmarkEnd w:id="857"/>
      <w:bookmarkEnd w:id="858"/>
      <w:bookmarkEnd w:id="859"/>
      <w:bookmarkEnd w:id="860"/>
      <w:bookmarkEnd w:id="861"/>
    </w:p>
    <w:p w14:paraId="77E72B6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862" w:name="_Toc224476603"/>
      <w:r>
        <w:rPr>
          <w:rFonts w:hint="eastAsia" w:ascii="宋体" w:hAnsi="宋体" w:eastAsia="宋体" w:cs="宋体"/>
          <w:color w:val="auto"/>
          <w:sz w:val="24"/>
          <w:szCs w:val="24"/>
          <w:highlight w:val="none"/>
        </w:rPr>
        <w:t>1．施工措施计划</w:t>
      </w:r>
      <w:bookmarkEnd w:id="862"/>
    </w:p>
    <w:p w14:paraId="4FB756C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承包人应在本工程或每项单位工程开工前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指示和施工图纸的要求，提交一份包括下列内容的施工措施计划；报送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w:t>
      </w:r>
    </w:p>
    <w:p w14:paraId="37B9C01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（1）开挖施工平面布置图（含施工交通线路布置图）</w:t>
      </w:r>
    </w:p>
    <w:p w14:paraId="32D8321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（2）开挖程序与开挖方法；</w:t>
      </w:r>
    </w:p>
    <w:p w14:paraId="2AC1C4E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（3）施工设备的配置和劳动力安排；</w:t>
      </w:r>
    </w:p>
    <w:p w14:paraId="77FC1C6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（4）排水或降低水位措施</w:t>
      </w:r>
    </w:p>
    <w:p w14:paraId="26E6920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（5）开挖边坡保护措施；</w:t>
      </w:r>
    </w:p>
    <w:p w14:paraId="5B25E3F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（6）土料利用和弃料措施；</w:t>
      </w:r>
    </w:p>
    <w:p w14:paraId="781B346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（7）堆料场和排泥场的设计</w:t>
      </w:r>
    </w:p>
    <w:p w14:paraId="6F05F45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（8）质量、安全和施工环境保证措施；</w:t>
      </w:r>
    </w:p>
    <w:p w14:paraId="6FA6690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（9）施工进度计划等。</w:t>
      </w:r>
    </w:p>
    <w:p w14:paraId="690161E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863" w:name="_Toc224476604"/>
      <w:r>
        <w:rPr>
          <w:rFonts w:hint="eastAsia" w:ascii="宋体" w:hAnsi="宋体" w:eastAsia="宋体" w:cs="宋体"/>
          <w:color w:val="auto"/>
          <w:sz w:val="24"/>
          <w:szCs w:val="24"/>
          <w:highlight w:val="none"/>
        </w:rPr>
        <w:t>2．开挖放样资料</w:t>
      </w:r>
      <w:bookmarkEnd w:id="863"/>
    </w:p>
    <w:p w14:paraId="3D21787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每项单位工程开工前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天，承包人应将开挖前实测地形和开挖放样剖面图报送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批准后，方可进行开挖。</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的批准，不减轻承包人对其开挖放线准确性应负的责任。承包人不能因</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指示纠正其放线错误而引起的返工，向发包人要求额外支付。</w:t>
      </w:r>
    </w:p>
    <w:p w14:paraId="3022C3B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3．土方开挖调配计划报告</w:t>
      </w:r>
    </w:p>
    <w:p w14:paraId="3AE5ADD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承包人应在土方工程开挖开工前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天，编制一份土方开挖调配计划报告，报送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w:t>
      </w:r>
    </w:p>
    <w:p w14:paraId="5292A03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864" w:name="_Toc224476606"/>
      <w:r>
        <w:rPr>
          <w:rFonts w:hint="eastAsia" w:ascii="宋体" w:hAnsi="宋体" w:eastAsia="宋体" w:cs="宋体"/>
          <w:color w:val="auto"/>
          <w:sz w:val="24"/>
          <w:szCs w:val="24"/>
          <w:highlight w:val="none"/>
        </w:rPr>
        <w:t>4．完工验收资料</w:t>
      </w:r>
      <w:bookmarkEnd w:id="864"/>
    </w:p>
    <w:p w14:paraId="7ECF35D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土方开挖工程完工后，承包人应按本合同约定提交以下完工验收资料：</w:t>
      </w:r>
    </w:p>
    <w:p w14:paraId="14DBFF1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（1）土方开挖工程竣工平面、剖面图和引河断面图；</w:t>
      </w:r>
    </w:p>
    <w:p w14:paraId="4F332E7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（2）质量检查和验收记录；</w:t>
      </w:r>
    </w:p>
    <w:p w14:paraId="768E06F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要求提供的</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资料。</w:t>
      </w:r>
    </w:p>
    <w:p w14:paraId="1B8801F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865" w:name="_Toc369166089"/>
      <w:bookmarkStart w:id="866" w:name="_Toc237539749"/>
      <w:bookmarkStart w:id="867" w:name="_Toc368991917"/>
      <w:bookmarkStart w:id="868" w:name="_Toc369165090"/>
      <w:bookmarkStart w:id="869" w:name="_Toc224476607"/>
      <w:bookmarkStart w:id="870" w:name="_Toc247534549"/>
      <w:bookmarkStart w:id="871" w:name="_Toc2631"/>
      <w:bookmarkStart w:id="872" w:name="_Toc368993403"/>
      <w:bookmarkStart w:id="873" w:name="_Toc224551882"/>
      <w:bookmarkStart w:id="874" w:name="_Toc237541285"/>
      <w:r>
        <w:rPr>
          <w:rFonts w:hint="eastAsia" w:ascii="宋体" w:hAnsi="宋体" w:eastAsia="宋体" w:cs="宋体"/>
          <w:color w:val="auto"/>
          <w:sz w:val="24"/>
          <w:szCs w:val="24"/>
          <w:highlight w:val="none"/>
        </w:rPr>
        <w:t>5.1.4 须遵守的标准和规程规范（不限于）</w:t>
      </w:r>
      <w:bookmarkEnd w:id="865"/>
      <w:bookmarkEnd w:id="866"/>
      <w:bookmarkEnd w:id="867"/>
      <w:bookmarkEnd w:id="868"/>
      <w:bookmarkEnd w:id="869"/>
      <w:bookmarkEnd w:id="870"/>
      <w:bookmarkEnd w:id="871"/>
      <w:bookmarkEnd w:id="872"/>
      <w:bookmarkEnd w:id="873"/>
      <w:bookmarkEnd w:id="874"/>
    </w:p>
    <w:p w14:paraId="0499DB9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875" w:name="_Toc224476610"/>
      <w:r>
        <w:rPr>
          <w:rFonts w:hint="eastAsia" w:ascii="宋体" w:hAnsi="宋体" w:eastAsia="宋体" w:cs="宋体"/>
          <w:color w:val="auto"/>
          <w:sz w:val="24"/>
          <w:szCs w:val="24"/>
          <w:highlight w:val="none"/>
        </w:rPr>
        <w:t>1．《水利水电工程施工组织设计规范》SL303；</w:t>
      </w:r>
      <w:bookmarkEnd w:id="875"/>
    </w:p>
    <w:p w14:paraId="3E548DB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876" w:name="_Toc224476611"/>
      <w:r>
        <w:rPr>
          <w:rFonts w:hint="eastAsia" w:ascii="宋体" w:hAnsi="宋体" w:eastAsia="宋体" w:cs="宋体"/>
          <w:color w:val="auto"/>
          <w:sz w:val="24"/>
          <w:szCs w:val="24"/>
          <w:highlight w:val="none"/>
        </w:rPr>
        <w:t>2．《土方与爆破工程施工及验收规范》GBJ201；</w:t>
      </w:r>
      <w:bookmarkEnd w:id="876"/>
    </w:p>
    <w:p w14:paraId="062C4FD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877" w:name="_Toc224476608"/>
      <w:r>
        <w:rPr>
          <w:rFonts w:hint="eastAsia" w:ascii="宋体" w:hAnsi="宋体" w:eastAsia="宋体" w:cs="宋体"/>
          <w:color w:val="auto"/>
          <w:sz w:val="24"/>
          <w:szCs w:val="24"/>
          <w:highlight w:val="none"/>
        </w:rPr>
        <w:t>3．《建筑工程施工质量验收统一标准》GB50300；</w:t>
      </w:r>
      <w:bookmarkEnd w:id="877"/>
    </w:p>
    <w:p w14:paraId="3F19DC5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878" w:name="_Toc224476609"/>
      <w:r>
        <w:rPr>
          <w:rFonts w:hint="eastAsia" w:ascii="宋体" w:hAnsi="宋体" w:eastAsia="宋体" w:cs="宋体"/>
          <w:color w:val="auto"/>
          <w:sz w:val="24"/>
          <w:szCs w:val="24"/>
          <w:highlight w:val="none"/>
        </w:rPr>
        <w:t>4．《建筑地基基础施工质量验收规范》 GB50202；</w:t>
      </w:r>
      <w:bookmarkEnd w:id="878"/>
    </w:p>
    <w:p w14:paraId="60E7FCB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本章土方开挖工程的专项技术</w:t>
      </w:r>
      <w:r>
        <w:rPr>
          <w:rFonts w:hint="eastAsia" w:ascii="宋体" w:hAnsi="宋体" w:eastAsia="宋体" w:cs="宋体"/>
          <w:color w:val="auto"/>
          <w:sz w:val="24"/>
          <w:szCs w:val="24"/>
          <w:highlight w:val="none"/>
          <w:lang w:eastAsia="zh-CN"/>
        </w:rPr>
        <w:t>涉及其他</w:t>
      </w:r>
      <w:r>
        <w:rPr>
          <w:rFonts w:hint="eastAsia" w:ascii="宋体" w:hAnsi="宋体" w:eastAsia="宋体" w:cs="宋体"/>
          <w:color w:val="auto"/>
          <w:sz w:val="24"/>
          <w:szCs w:val="24"/>
          <w:highlight w:val="none"/>
        </w:rPr>
        <w:t>章节引用的标准和规程规范。</w:t>
      </w:r>
    </w:p>
    <w:p w14:paraId="5FABEEAA">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879" w:name="_Toc224475822"/>
      <w:bookmarkStart w:id="880" w:name="_Toc279938540"/>
      <w:bookmarkStart w:id="881" w:name="_Toc280531349"/>
      <w:bookmarkStart w:id="882" w:name="_Toc224476612"/>
      <w:bookmarkStart w:id="883" w:name="_Toc369765746"/>
      <w:bookmarkStart w:id="884" w:name="_Toc18436"/>
      <w:bookmarkStart w:id="885" w:name="_Toc237541286"/>
      <w:bookmarkStart w:id="886" w:name="_Toc237539750"/>
      <w:bookmarkStart w:id="887" w:name="_Toc247534550"/>
      <w:bookmarkStart w:id="888" w:name="_Toc232309826"/>
      <w:bookmarkStart w:id="889" w:name="_Toc249517761"/>
      <w:bookmarkStart w:id="890" w:name="_Toc109903744"/>
      <w:r>
        <w:rPr>
          <w:rFonts w:hint="eastAsia" w:ascii="宋体" w:hAnsi="宋体" w:eastAsia="宋体" w:cs="宋体"/>
          <w:b/>
          <w:bCs/>
          <w:color w:val="auto"/>
          <w:kern w:val="2"/>
          <w:sz w:val="24"/>
          <w:szCs w:val="24"/>
          <w:highlight w:val="none"/>
          <w:lang w:val="en-US" w:eastAsia="zh-CN" w:bidi="ar-SA"/>
        </w:rPr>
        <w:t>5.2 场地清理</w:t>
      </w:r>
      <w:bookmarkEnd w:id="879"/>
      <w:bookmarkEnd w:id="880"/>
      <w:bookmarkEnd w:id="881"/>
      <w:bookmarkEnd w:id="882"/>
      <w:bookmarkEnd w:id="883"/>
      <w:bookmarkEnd w:id="884"/>
      <w:bookmarkEnd w:id="885"/>
      <w:bookmarkEnd w:id="886"/>
      <w:bookmarkEnd w:id="887"/>
      <w:bookmarkEnd w:id="888"/>
      <w:bookmarkEnd w:id="889"/>
    </w:p>
    <w:p w14:paraId="0250080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场地清理包括植被清理和表土开挖。其范围包括永久和临时工程、料场、存弃料场、弃土场、排泥场等施工用地需要清理的全部区域地表。</w:t>
      </w:r>
    </w:p>
    <w:p w14:paraId="35F10346">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891" w:name="_Toc247534551"/>
      <w:bookmarkStart w:id="892" w:name="_Toc368991919"/>
      <w:bookmarkStart w:id="893" w:name="_Toc369165092"/>
      <w:bookmarkStart w:id="894" w:name="_Toc11194"/>
      <w:bookmarkStart w:id="895" w:name="_Toc237539751"/>
      <w:bookmarkStart w:id="896" w:name="_Toc368993405"/>
      <w:bookmarkStart w:id="897" w:name="_Toc224551884"/>
      <w:bookmarkStart w:id="898" w:name="_Toc369166091"/>
      <w:r>
        <w:rPr>
          <w:rFonts w:hint="eastAsia" w:ascii="宋体" w:hAnsi="宋体" w:eastAsia="宋体" w:cs="宋体"/>
          <w:color w:val="auto"/>
          <w:sz w:val="24"/>
          <w:szCs w:val="24"/>
          <w:highlight w:val="none"/>
        </w:rPr>
        <w:t>5.2.1 植被清理</w:t>
      </w:r>
      <w:bookmarkEnd w:id="891"/>
      <w:bookmarkEnd w:id="892"/>
      <w:bookmarkEnd w:id="893"/>
      <w:bookmarkEnd w:id="894"/>
      <w:bookmarkEnd w:id="895"/>
      <w:bookmarkEnd w:id="896"/>
      <w:bookmarkEnd w:id="897"/>
      <w:bookmarkEnd w:id="898"/>
    </w:p>
    <w:p w14:paraId="0AFE6F3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1．在场地开挖前，承包人应清理开挖区域内的树根、杂草、垃圾、废渣及其他有碍物。</w:t>
      </w:r>
    </w:p>
    <w:p w14:paraId="11D66EF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另有指示外，主体工程施工场地地表的植被清理，必须延伸至离施工图纸所示最大开挖边线外侧至少5m距离。</w:t>
      </w:r>
    </w:p>
    <w:p w14:paraId="53E2EEA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3．主体工程植被清理的挖除树根范围应延伸到离施工图纸所示最大开挖边线外侧3m距离。</w:t>
      </w:r>
    </w:p>
    <w:p w14:paraId="1E1A706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4．承包人应注意保护清理区域附近的天然植被，避免因施工不当造成清理区域附近林业和天然植被资源的毁坏，以及对环境保护造成的不良后果。</w:t>
      </w:r>
    </w:p>
    <w:p w14:paraId="3FCFAAB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5．场地清理范围内，承包人砍伐的成材或清理获得具有商业价值的材料应归发包人所有，承包人应按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指示将其运到指定地点交给发包人。</w:t>
      </w:r>
    </w:p>
    <w:p w14:paraId="30C04E2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凡属无价值的可燃物，承包人应尽快将其焚毁。在焚毁期间，承包人应采取必要的防火措施，并按本技术条款第4章规定的要求确保焚毁场地及其周边地区的安全，并对燃烧后果负责。凡属无法烧尽或严重影响环境的清除物，承包人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指定的地点进行掩埋，掩埋物不得妨碍自然排水或污染河川。</w:t>
      </w:r>
    </w:p>
    <w:p w14:paraId="54F5000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7．场地清理中发现文物古迹，承包人应按本合同条款的约定办理。</w:t>
      </w:r>
    </w:p>
    <w:p w14:paraId="1ED21ABB">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899" w:name="_Toc368991920"/>
      <w:bookmarkStart w:id="900" w:name="_Toc369165093"/>
      <w:bookmarkStart w:id="901" w:name="_Toc247534552"/>
      <w:bookmarkStart w:id="902" w:name="_Toc237539752"/>
      <w:bookmarkStart w:id="903" w:name="_Toc224551885"/>
      <w:bookmarkStart w:id="904" w:name="_Toc368993406"/>
      <w:bookmarkStart w:id="905" w:name="_Toc369166092"/>
      <w:bookmarkStart w:id="906" w:name="_Toc28356"/>
      <w:r>
        <w:rPr>
          <w:rFonts w:hint="eastAsia" w:ascii="宋体" w:hAnsi="宋体" w:eastAsia="宋体" w:cs="宋体"/>
          <w:color w:val="auto"/>
          <w:sz w:val="24"/>
          <w:szCs w:val="24"/>
          <w:highlight w:val="none"/>
        </w:rPr>
        <w:t>5.2.2 表土的清挖、堆放和有机土壤的使用</w:t>
      </w:r>
      <w:bookmarkEnd w:id="899"/>
      <w:bookmarkEnd w:id="900"/>
      <w:bookmarkEnd w:id="901"/>
      <w:bookmarkEnd w:id="902"/>
      <w:bookmarkEnd w:id="903"/>
      <w:bookmarkEnd w:id="904"/>
      <w:bookmarkEnd w:id="905"/>
      <w:bookmarkEnd w:id="906"/>
    </w:p>
    <w:p w14:paraId="14964EA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含细根须、草本植物及覆盖草等植物的表层有机土壤，承包人应按</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人指示运到指定地点堆放保存。承包人应按本合同技术条款第4.5款的规定合理使用有机土壤。</w:t>
      </w:r>
    </w:p>
    <w:p w14:paraId="4E3864B2">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907" w:name="_Toc279938541"/>
      <w:bookmarkStart w:id="908" w:name="_Toc237541287"/>
      <w:bookmarkStart w:id="909" w:name="_Toc247534553"/>
      <w:bookmarkStart w:id="910" w:name="_Toc369765747"/>
      <w:bookmarkStart w:id="911" w:name="_Toc249517762"/>
      <w:bookmarkStart w:id="912" w:name="_Toc224476613"/>
      <w:bookmarkStart w:id="913" w:name="_Toc19543"/>
      <w:bookmarkStart w:id="914" w:name="_Toc280531350"/>
      <w:bookmarkStart w:id="915" w:name="_Toc237539753"/>
      <w:bookmarkStart w:id="916" w:name="_Toc232309827"/>
      <w:bookmarkStart w:id="917" w:name="_Toc224475823"/>
      <w:r>
        <w:rPr>
          <w:rFonts w:hint="eastAsia" w:ascii="宋体" w:hAnsi="宋体" w:eastAsia="宋体" w:cs="宋体"/>
          <w:b/>
          <w:bCs/>
          <w:color w:val="auto"/>
          <w:kern w:val="2"/>
          <w:sz w:val="24"/>
          <w:szCs w:val="24"/>
          <w:highlight w:val="none"/>
          <w:lang w:val="en-US" w:eastAsia="zh-CN" w:bidi="ar-SA"/>
        </w:rPr>
        <w:t>5.3 土方开挖</w:t>
      </w:r>
      <w:bookmarkEnd w:id="907"/>
      <w:bookmarkEnd w:id="908"/>
      <w:bookmarkEnd w:id="909"/>
      <w:bookmarkEnd w:id="910"/>
      <w:bookmarkEnd w:id="911"/>
      <w:bookmarkEnd w:id="912"/>
      <w:bookmarkEnd w:id="913"/>
      <w:bookmarkEnd w:id="914"/>
      <w:bookmarkEnd w:id="915"/>
      <w:bookmarkEnd w:id="916"/>
      <w:bookmarkEnd w:id="917"/>
    </w:p>
    <w:p w14:paraId="2BA0F8E2">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918" w:name="_Toc368991923"/>
      <w:bookmarkStart w:id="919" w:name="_Toc369166095"/>
      <w:bookmarkStart w:id="920" w:name="_Toc224551888"/>
      <w:bookmarkStart w:id="921" w:name="_Toc237539755"/>
      <w:bookmarkStart w:id="922" w:name="_Toc7837"/>
      <w:bookmarkStart w:id="923" w:name="_Toc247534555"/>
      <w:bookmarkStart w:id="924" w:name="_Toc369165096"/>
      <w:bookmarkStart w:id="925" w:name="_Toc368993409"/>
      <w:r>
        <w:rPr>
          <w:rFonts w:hint="eastAsia" w:ascii="宋体" w:hAnsi="宋体" w:eastAsia="宋体" w:cs="宋体"/>
          <w:color w:val="auto"/>
          <w:sz w:val="24"/>
          <w:szCs w:val="24"/>
          <w:highlight w:val="none"/>
        </w:rPr>
        <w:t>5.3. 开挖区域的临时道路</w:t>
      </w:r>
      <w:bookmarkEnd w:id="918"/>
      <w:bookmarkEnd w:id="919"/>
      <w:bookmarkEnd w:id="920"/>
      <w:bookmarkEnd w:id="921"/>
      <w:bookmarkEnd w:id="922"/>
      <w:bookmarkEnd w:id="923"/>
      <w:bookmarkEnd w:id="924"/>
      <w:bookmarkEnd w:id="925"/>
    </w:p>
    <w:p w14:paraId="4B87DFA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承包人应按SL303-2004第5.3节，本技术条款规定和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批准的施工总布置设计进行场内交通道路布置。</w:t>
      </w:r>
    </w:p>
    <w:p w14:paraId="2E777094">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926" w:name="_Toc25076"/>
      <w:bookmarkStart w:id="927" w:name="_Toc236722816"/>
      <w:bookmarkStart w:id="928" w:name="_Toc368993410"/>
      <w:bookmarkStart w:id="929" w:name="_Toc240281394"/>
      <w:bookmarkStart w:id="930" w:name="_Toc369165097"/>
      <w:bookmarkStart w:id="931" w:name="_Toc369166096"/>
      <w:bookmarkStart w:id="932" w:name="_Toc247534556"/>
      <w:bookmarkStart w:id="933" w:name="_Toc236720693"/>
      <w:bookmarkStart w:id="934" w:name="_Toc368991924"/>
      <w:r>
        <w:rPr>
          <w:rFonts w:hint="eastAsia" w:ascii="宋体" w:hAnsi="宋体" w:eastAsia="宋体" w:cs="宋体"/>
          <w:color w:val="auto"/>
          <w:sz w:val="24"/>
          <w:szCs w:val="24"/>
          <w:highlight w:val="none"/>
        </w:rPr>
        <w:t>5.3.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校核测量</w:t>
      </w:r>
      <w:bookmarkEnd w:id="926"/>
      <w:bookmarkEnd w:id="927"/>
      <w:bookmarkEnd w:id="928"/>
      <w:bookmarkEnd w:id="929"/>
      <w:bookmarkEnd w:id="930"/>
      <w:bookmarkEnd w:id="931"/>
      <w:bookmarkEnd w:id="932"/>
      <w:bookmarkEnd w:id="933"/>
      <w:bookmarkEnd w:id="934"/>
    </w:p>
    <w:p w14:paraId="081069B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承包人应按施工图纸的要求，校测开挖区域的平面位置、水平标高、控制桩号、水准点和边坡坡度等。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有权随时抽验承包人的校核测量成果，有必要时，</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可与承包人联合进行核测。</w:t>
      </w:r>
    </w:p>
    <w:p w14:paraId="129813B1">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935" w:name="_Toc368991926"/>
      <w:bookmarkStart w:id="936" w:name="_Toc19626"/>
      <w:bookmarkStart w:id="937" w:name="_Toc369166098"/>
      <w:bookmarkStart w:id="938" w:name="_Toc224551890"/>
      <w:bookmarkStart w:id="939" w:name="_Toc247534558"/>
      <w:bookmarkStart w:id="940" w:name="_Toc368993412"/>
      <w:bookmarkStart w:id="941" w:name="_Toc369165099"/>
      <w:bookmarkStart w:id="942" w:name="_Toc237539757"/>
      <w:r>
        <w:rPr>
          <w:rFonts w:hint="eastAsia" w:ascii="宋体" w:hAnsi="宋体" w:eastAsia="宋体" w:cs="宋体"/>
          <w:color w:val="auto"/>
          <w:sz w:val="24"/>
          <w:szCs w:val="24"/>
          <w:highlight w:val="none"/>
        </w:rPr>
        <w:t>5.3.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雨季施工</w:t>
      </w:r>
      <w:bookmarkEnd w:id="935"/>
      <w:bookmarkEnd w:id="936"/>
      <w:bookmarkEnd w:id="937"/>
      <w:bookmarkEnd w:id="938"/>
      <w:bookmarkEnd w:id="939"/>
      <w:bookmarkEnd w:id="940"/>
      <w:bookmarkEnd w:id="941"/>
      <w:bookmarkEnd w:id="942"/>
    </w:p>
    <w:p w14:paraId="4E928CC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在雨季施工中，承包人应采取保证基础工程质量和安全施工的技术措施，有效地防止雨水冲刷边坡和侵蚀地基土壤。</w:t>
      </w:r>
    </w:p>
    <w:p w14:paraId="18CE748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943" w:name="_Toc224551891"/>
      <w:bookmarkStart w:id="944" w:name="_Toc368991927"/>
      <w:bookmarkStart w:id="945" w:name="_Toc120"/>
      <w:bookmarkStart w:id="946" w:name="_Toc368993413"/>
      <w:bookmarkStart w:id="947" w:name="_Toc369166099"/>
      <w:bookmarkStart w:id="948" w:name="_Toc237539758"/>
      <w:bookmarkStart w:id="949" w:name="_Toc369165100"/>
      <w:bookmarkStart w:id="950" w:name="_Toc247534559"/>
      <w:r>
        <w:rPr>
          <w:rFonts w:hint="eastAsia" w:ascii="宋体" w:hAnsi="宋体" w:eastAsia="宋体" w:cs="宋体"/>
          <w:color w:val="auto"/>
          <w:sz w:val="24"/>
          <w:szCs w:val="24"/>
          <w:highlight w:val="none"/>
        </w:rPr>
        <w:t>5.3.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 临时边坡的稳定</w:t>
      </w:r>
      <w:bookmarkEnd w:id="943"/>
      <w:bookmarkEnd w:id="944"/>
      <w:bookmarkEnd w:id="945"/>
      <w:bookmarkEnd w:id="946"/>
      <w:bookmarkEnd w:id="947"/>
      <w:bookmarkEnd w:id="948"/>
      <w:bookmarkEnd w:id="949"/>
      <w:bookmarkEnd w:id="950"/>
    </w:p>
    <w:p w14:paraId="6081146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主体工程的临时开挖边坡，应按施工图纸所示或</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指示进行开挖。对于承包人自行确定的开挖边坡，或时间保留较长的临时边坡，经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检查认为存在不安全因素时，承包人应按</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人指示进行补充开挖和采取保护措施，承包人不得因此要求增加额外费用。</w:t>
      </w:r>
    </w:p>
    <w:p w14:paraId="5711B2CD">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951" w:name="_Toc237539759"/>
      <w:bookmarkStart w:id="952" w:name="_Toc11516"/>
      <w:bookmarkStart w:id="953" w:name="_Toc369166100"/>
      <w:bookmarkStart w:id="954" w:name="_Toc369165101"/>
      <w:bookmarkStart w:id="955" w:name="_Toc224551892"/>
      <w:bookmarkStart w:id="956" w:name="_Toc368991928"/>
      <w:bookmarkStart w:id="957" w:name="_Toc247534560"/>
      <w:bookmarkStart w:id="958" w:name="_Toc368993414"/>
      <w:r>
        <w:rPr>
          <w:rFonts w:hint="eastAsia" w:ascii="宋体" w:hAnsi="宋体" w:eastAsia="宋体" w:cs="宋体"/>
          <w:color w:val="auto"/>
          <w:sz w:val="24"/>
          <w:szCs w:val="24"/>
          <w:highlight w:val="none"/>
        </w:rPr>
        <w:t>5.3.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基础和边坡开挖</w:t>
      </w:r>
      <w:bookmarkEnd w:id="951"/>
      <w:bookmarkEnd w:id="952"/>
      <w:bookmarkEnd w:id="953"/>
      <w:bookmarkEnd w:id="954"/>
      <w:bookmarkEnd w:id="955"/>
      <w:bookmarkEnd w:id="956"/>
      <w:bookmarkEnd w:id="957"/>
      <w:bookmarkEnd w:id="958"/>
    </w:p>
    <w:p w14:paraId="533B210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基础和边坡开挖的施工方法应符合SL303-2004第4.2节的规定。</w:t>
      </w:r>
    </w:p>
    <w:p w14:paraId="14ACBD5A">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959" w:name="_Toc369165102"/>
      <w:bookmarkStart w:id="960" w:name="_Toc11991"/>
      <w:bookmarkStart w:id="961" w:name="_Toc237539760"/>
      <w:bookmarkStart w:id="962" w:name="_Toc224551893"/>
      <w:bookmarkStart w:id="963" w:name="_Toc247534561"/>
      <w:bookmarkStart w:id="964" w:name="_Toc368993415"/>
      <w:bookmarkStart w:id="965" w:name="_Toc369166101"/>
      <w:bookmarkStart w:id="966" w:name="_Toc368991929"/>
      <w:r>
        <w:rPr>
          <w:rFonts w:hint="eastAsia" w:ascii="宋体" w:hAnsi="宋体" w:eastAsia="宋体" w:cs="宋体"/>
          <w:color w:val="auto"/>
          <w:sz w:val="24"/>
          <w:szCs w:val="24"/>
          <w:highlight w:val="none"/>
        </w:rPr>
        <w:t>5.3.</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边坡的护面和加固</w:t>
      </w:r>
      <w:bookmarkEnd w:id="959"/>
      <w:bookmarkEnd w:id="960"/>
      <w:bookmarkEnd w:id="961"/>
      <w:bookmarkEnd w:id="962"/>
      <w:bookmarkEnd w:id="963"/>
      <w:bookmarkEnd w:id="964"/>
      <w:bookmarkEnd w:id="965"/>
      <w:bookmarkEnd w:id="966"/>
    </w:p>
    <w:p w14:paraId="05AC9BF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为防止修整后的开挖边坡遭受雨水冲刷，边坡的护面和加固工作应在雨季前严格按施工图纸要求完成。</w:t>
      </w:r>
    </w:p>
    <w:p w14:paraId="10AE918A">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967" w:name="_Toc237539761"/>
      <w:bookmarkStart w:id="968" w:name="_Toc369166102"/>
      <w:bookmarkStart w:id="969" w:name="_Toc247534562"/>
      <w:bookmarkStart w:id="970" w:name="_Toc13700"/>
      <w:bookmarkStart w:id="971" w:name="_Toc368991930"/>
      <w:bookmarkStart w:id="972" w:name="_Toc368993416"/>
      <w:bookmarkStart w:id="973" w:name="_Toc224551894"/>
      <w:bookmarkStart w:id="974" w:name="_Toc369165103"/>
      <w:r>
        <w:rPr>
          <w:rFonts w:hint="eastAsia" w:ascii="宋体" w:hAnsi="宋体" w:eastAsia="宋体" w:cs="宋体"/>
          <w:color w:val="auto"/>
          <w:sz w:val="24"/>
          <w:szCs w:val="24"/>
          <w:highlight w:val="none"/>
        </w:rPr>
        <w:t>5.3.</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 xml:space="preserve"> 开挖线的变更</w:t>
      </w:r>
      <w:bookmarkEnd w:id="967"/>
      <w:bookmarkEnd w:id="968"/>
      <w:bookmarkEnd w:id="969"/>
      <w:bookmarkEnd w:id="970"/>
      <w:bookmarkEnd w:id="971"/>
      <w:bookmarkEnd w:id="972"/>
      <w:bookmarkEnd w:id="973"/>
      <w:bookmarkEnd w:id="974"/>
    </w:p>
    <w:p w14:paraId="3FBDC17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在开挖过程中，经</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人批准，承包人可根据土方明挖边坡和基础揭示的地质特性，对施工图纸所示的开挖线</w:t>
      </w:r>
      <w:r>
        <w:rPr>
          <w:rFonts w:hint="eastAsia" w:ascii="宋体" w:hAnsi="宋体" w:eastAsia="宋体" w:cs="宋体"/>
          <w:color w:val="auto"/>
          <w:sz w:val="24"/>
          <w:szCs w:val="24"/>
          <w:highlight w:val="none"/>
          <w:lang w:eastAsia="zh-CN"/>
        </w:rPr>
        <w:t>做必要</w:t>
      </w:r>
      <w:r>
        <w:rPr>
          <w:rFonts w:hint="eastAsia" w:ascii="宋体" w:hAnsi="宋体" w:eastAsia="宋体" w:cs="宋体"/>
          <w:color w:val="auto"/>
          <w:sz w:val="24"/>
          <w:szCs w:val="24"/>
          <w:highlight w:val="none"/>
        </w:rPr>
        <w:t>修改，但须按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签发施工修改图，承包人应在收到施工修改图后才能开挖。涉及合同变更的，应按本合同条款的约定办理。</w:t>
      </w:r>
    </w:p>
    <w:p w14:paraId="054D5E66">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975" w:name="_Toc369166103"/>
      <w:bookmarkStart w:id="976" w:name="_Toc247534563"/>
      <w:bookmarkStart w:id="977" w:name="_Toc224551895"/>
      <w:bookmarkStart w:id="978" w:name="_Toc369165104"/>
      <w:bookmarkStart w:id="979" w:name="_Toc21875"/>
      <w:bookmarkStart w:id="980" w:name="_Toc368991931"/>
      <w:bookmarkStart w:id="981" w:name="_Toc368993417"/>
      <w:bookmarkStart w:id="982" w:name="_Toc237539762"/>
      <w:r>
        <w:rPr>
          <w:rFonts w:hint="eastAsia" w:ascii="宋体" w:hAnsi="宋体" w:eastAsia="宋体" w:cs="宋体"/>
          <w:color w:val="auto"/>
          <w:sz w:val="24"/>
          <w:szCs w:val="24"/>
          <w:highlight w:val="none"/>
        </w:rPr>
        <w:t>5.3.</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边坡安全的应急措施</w:t>
      </w:r>
      <w:bookmarkEnd w:id="975"/>
      <w:bookmarkEnd w:id="976"/>
      <w:bookmarkEnd w:id="977"/>
      <w:bookmarkEnd w:id="978"/>
      <w:bookmarkEnd w:id="979"/>
      <w:bookmarkEnd w:id="980"/>
      <w:bookmarkEnd w:id="981"/>
      <w:bookmarkEnd w:id="982"/>
    </w:p>
    <w:p w14:paraId="225B5B0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若开挖过程中出现裂缝和滑动迹象时，承包人应立即暂停施工，并通知</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。必要时承包人应按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的指示设置观测点，及时观测边坡变化情况，并做好记录。</w:t>
      </w:r>
    </w:p>
    <w:p w14:paraId="57DADDAE">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983" w:name="_Toc247534565"/>
      <w:bookmarkStart w:id="984" w:name="_Toc369166105"/>
      <w:bookmarkStart w:id="985" w:name="_Toc368991933"/>
      <w:bookmarkStart w:id="986" w:name="_Toc368993419"/>
      <w:bookmarkStart w:id="987" w:name="_Toc369165106"/>
      <w:bookmarkStart w:id="988" w:name="_Toc237539764"/>
      <w:bookmarkStart w:id="989" w:name="_Toc224551897"/>
      <w:bookmarkStart w:id="990" w:name="_Toc12515"/>
      <w:r>
        <w:rPr>
          <w:rFonts w:hint="eastAsia" w:ascii="宋体" w:hAnsi="宋体" w:eastAsia="宋体" w:cs="宋体"/>
          <w:color w:val="auto"/>
          <w:sz w:val="24"/>
          <w:szCs w:val="24"/>
          <w:highlight w:val="none"/>
        </w:rPr>
        <w:t>5.3.</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弃土的堆置</w:t>
      </w:r>
      <w:bookmarkEnd w:id="983"/>
      <w:bookmarkEnd w:id="984"/>
      <w:bookmarkEnd w:id="985"/>
      <w:bookmarkEnd w:id="986"/>
      <w:bookmarkEnd w:id="987"/>
      <w:bookmarkEnd w:id="988"/>
      <w:bookmarkEnd w:id="989"/>
      <w:bookmarkEnd w:id="990"/>
    </w:p>
    <w:p w14:paraId="6ABAB92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1．必须根据施工图所示或</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指定的弃土区范围堆置河道开挖弃土。弃土堆放要平整、顺直、密实，必须服从</w:t>
      </w:r>
      <w:r>
        <w:rPr>
          <w:rFonts w:hint="eastAsia" w:ascii="宋体" w:hAnsi="宋体" w:eastAsia="宋体" w:cs="宋体"/>
          <w:color w:val="auto"/>
          <w:sz w:val="24"/>
          <w:szCs w:val="24"/>
          <w:highlight w:val="none"/>
          <w:lang w:val="en-US" w:eastAsia="zh-CN"/>
        </w:rPr>
        <w:t>发包人</w:t>
      </w:r>
      <w:r>
        <w:rPr>
          <w:rFonts w:hint="eastAsia" w:ascii="宋体" w:hAnsi="宋体" w:eastAsia="宋体" w:cs="宋体"/>
          <w:color w:val="auto"/>
          <w:sz w:val="24"/>
          <w:szCs w:val="24"/>
          <w:highlight w:val="none"/>
        </w:rPr>
        <w:t>指令进行堆放。开挖土方除筑堤外，其余土按设计要求</w:t>
      </w:r>
      <w:r>
        <w:rPr>
          <w:rFonts w:hint="eastAsia" w:ascii="宋体" w:hAnsi="宋体" w:eastAsia="宋体" w:cs="宋体"/>
          <w:color w:val="auto"/>
          <w:sz w:val="24"/>
          <w:szCs w:val="24"/>
          <w:highlight w:val="none"/>
          <w:lang w:eastAsia="zh-CN"/>
        </w:rPr>
        <w:t>堆放</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指定的堆土区，弃土堆放要整齐。</w:t>
      </w:r>
    </w:p>
    <w:p w14:paraId="623E6AC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2．不允许在开挖范围的上侧弃土。在沿河岸岸边弃土时，应防止雨水冲刷造成河道堵塞。</w:t>
      </w:r>
    </w:p>
    <w:p w14:paraId="69D3DA5D">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991" w:name="_Toc368993420"/>
      <w:bookmarkStart w:id="992" w:name="_Toc368991934"/>
      <w:bookmarkStart w:id="993" w:name="_Toc224551898"/>
      <w:bookmarkStart w:id="994" w:name="_Toc369166106"/>
      <w:bookmarkStart w:id="995" w:name="_Toc247534566"/>
      <w:bookmarkStart w:id="996" w:name="_Toc369165107"/>
      <w:bookmarkStart w:id="997" w:name="_Toc17121"/>
      <w:bookmarkStart w:id="998" w:name="_Toc237539765"/>
      <w:r>
        <w:rPr>
          <w:rFonts w:hint="eastAsia" w:ascii="宋体" w:hAnsi="宋体" w:eastAsia="宋体" w:cs="宋体"/>
          <w:color w:val="auto"/>
          <w:sz w:val="24"/>
          <w:szCs w:val="24"/>
          <w:highlight w:val="none"/>
        </w:rPr>
        <w:t>5.3.1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 xml:space="preserve"> 机械开挖的边坡修整</w:t>
      </w:r>
      <w:bookmarkEnd w:id="991"/>
      <w:bookmarkEnd w:id="992"/>
      <w:bookmarkEnd w:id="993"/>
      <w:bookmarkEnd w:id="994"/>
      <w:bookmarkEnd w:id="995"/>
      <w:bookmarkEnd w:id="996"/>
      <w:bookmarkEnd w:id="997"/>
      <w:bookmarkEnd w:id="998"/>
    </w:p>
    <w:p w14:paraId="24B9CA3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使用机械开挖土方时，实际施工的边坡坡度应适当留有修坡余量，再用人工修整，应满足施工图纸要求的坡度和平整度。</w:t>
      </w:r>
    </w:p>
    <w:p w14:paraId="7FC141DE">
      <w:pPr>
        <w:keepNext/>
        <w:keepLines/>
        <w:pageBreakBefore w:val="0"/>
        <w:widowControl w:val="0"/>
        <w:kinsoku/>
        <w:wordWrap/>
        <w:overflowPunct/>
        <w:topLinePunct w:val="0"/>
        <w:autoSpaceDE/>
        <w:autoSpaceDN/>
        <w:bidi w:val="0"/>
        <w:spacing w:before="120" w:after="120" w:line="360" w:lineRule="auto"/>
        <w:jc w:val="both"/>
        <w:outlineLvl w:val="1"/>
        <w:rPr>
          <w:rFonts w:hint="default" w:ascii="宋体" w:hAnsi="宋体" w:eastAsia="宋体" w:cs="宋体"/>
          <w:b/>
          <w:bCs/>
          <w:color w:val="auto"/>
          <w:kern w:val="2"/>
          <w:sz w:val="24"/>
          <w:szCs w:val="24"/>
          <w:highlight w:val="none"/>
          <w:lang w:val="en-US" w:eastAsia="zh-CN" w:bidi="ar-SA"/>
        </w:rPr>
      </w:pPr>
      <w:bookmarkStart w:id="999" w:name="_Toc369765749"/>
      <w:bookmarkStart w:id="1000" w:name="_Toc247534575"/>
      <w:bookmarkStart w:id="1001" w:name="_Toc237541295"/>
      <w:bookmarkStart w:id="1002" w:name="_Toc1242"/>
      <w:bookmarkStart w:id="1003" w:name="_Toc280531352"/>
      <w:bookmarkStart w:id="1004" w:name="_Toc224476615"/>
      <w:bookmarkStart w:id="1005" w:name="_Toc232309829"/>
      <w:bookmarkStart w:id="1006" w:name="_Toc237539774"/>
      <w:bookmarkStart w:id="1007" w:name="_Toc249517764"/>
      <w:bookmarkStart w:id="1008" w:name="_Toc279938543"/>
      <w:bookmarkStart w:id="1009" w:name="_Toc224475825"/>
      <w:r>
        <w:rPr>
          <w:rFonts w:hint="eastAsia" w:ascii="宋体" w:hAnsi="宋体" w:eastAsia="宋体" w:cs="宋体"/>
          <w:b/>
          <w:bCs/>
          <w:color w:val="auto"/>
          <w:kern w:val="2"/>
          <w:sz w:val="24"/>
          <w:szCs w:val="24"/>
          <w:highlight w:val="none"/>
          <w:lang w:val="en-US" w:eastAsia="zh-CN" w:bidi="ar-SA"/>
        </w:rPr>
        <w:t>5.4 土料场开采</w:t>
      </w:r>
      <w:bookmarkEnd w:id="999"/>
      <w:bookmarkEnd w:id="1000"/>
      <w:bookmarkEnd w:id="1001"/>
      <w:bookmarkEnd w:id="1002"/>
      <w:bookmarkEnd w:id="1003"/>
      <w:bookmarkEnd w:id="1004"/>
      <w:bookmarkEnd w:id="1005"/>
      <w:bookmarkEnd w:id="1006"/>
      <w:bookmarkEnd w:id="1007"/>
      <w:bookmarkEnd w:id="1008"/>
      <w:bookmarkEnd w:id="1009"/>
      <w:r>
        <w:rPr>
          <w:rFonts w:hint="eastAsia" w:ascii="宋体" w:hAnsi="宋体" w:eastAsia="宋体" w:cs="宋体"/>
          <w:b/>
          <w:bCs/>
          <w:color w:val="auto"/>
          <w:kern w:val="2"/>
          <w:sz w:val="24"/>
          <w:szCs w:val="24"/>
          <w:highlight w:val="none"/>
          <w:lang w:val="en-US" w:eastAsia="zh-CN" w:bidi="ar-SA"/>
        </w:rPr>
        <w:t xml:space="preserve">   </w:t>
      </w:r>
    </w:p>
    <w:p w14:paraId="4ABE591A">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010" w:name="_Toc237541296"/>
      <w:bookmarkStart w:id="1011" w:name="_Toc247534576"/>
      <w:bookmarkStart w:id="1012" w:name="_Toc369166116"/>
      <w:bookmarkStart w:id="1013" w:name="_Toc24328"/>
      <w:bookmarkStart w:id="1014" w:name="_Toc237539775"/>
      <w:bookmarkStart w:id="1015" w:name="_Toc368993430"/>
      <w:bookmarkStart w:id="1016" w:name="_Toc368991944"/>
      <w:bookmarkStart w:id="1017" w:name="_Toc369165117"/>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 料场复查</w:t>
      </w:r>
      <w:bookmarkEnd w:id="1010"/>
      <w:bookmarkEnd w:id="1011"/>
      <w:bookmarkEnd w:id="1012"/>
      <w:bookmarkEnd w:id="1013"/>
      <w:bookmarkEnd w:id="1014"/>
      <w:bookmarkEnd w:id="1015"/>
      <w:bookmarkEnd w:id="1016"/>
      <w:bookmarkEnd w:id="1017"/>
    </w:p>
    <w:p w14:paraId="71C59B6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1．复查工作内容</w:t>
      </w:r>
    </w:p>
    <w:p w14:paraId="38E1791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承包人应根据本工程所需各种土料的使用要求，对本合同指定的土料场（河道开挖范围、取土区）进行复勘核查，其复查内容包括；</w:t>
      </w:r>
    </w:p>
    <w:p w14:paraId="03F651D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（1）建筑物和河道开挖范围和数量结合河道堤防和建筑物墙后填筑土料数量；</w:t>
      </w:r>
    </w:p>
    <w:p w14:paraId="5328750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（2）河道开挖区表土开挖厚度及有效开采层厚度；</w:t>
      </w:r>
    </w:p>
    <w:p w14:paraId="312198DC">
      <w:pPr>
        <w:pageBreakBefore w:val="0"/>
        <w:kinsoku/>
        <w:wordWrap/>
        <w:overflowPunct/>
        <w:topLinePunct w:val="0"/>
        <w:autoSpaceDE/>
        <w:autoSpaceDN/>
        <w:bidi w:val="0"/>
        <w:spacing w:line="360" w:lineRule="auto"/>
        <w:ind w:firstLine="42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按发包人要求取土</w:t>
      </w:r>
    </w:p>
    <w:p w14:paraId="63165E2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（4）根据施工图纸要求对上述第（1）、（3）项所列各种土料进行物理力学性能复核试验；</w:t>
      </w:r>
    </w:p>
    <w:p w14:paraId="637C37D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（5）优质土料的挖填平衡情况；</w:t>
      </w:r>
    </w:p>
    <w:p w14:paraId="319E958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（6）土料场的开挖和装运条件；</w:t>
      </w:r>
    </w:p>
    <w:p w14:paraId="4F9E674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（7）土料场的工程地质和水文地质条件。</w:t>
      </w:r>
    </w:p>
    <w:p w14:paraId="76CD48D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2．复查后的变更</w:t>
      </w:r>
    </w:p>
    <w:p w14:paraId="0B5F2F0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若承包人的复查成果与本合同文件中提供的资料和数据不一致，或施工过程中由于地质勘探或设计原因需要改变料场开采区，或必须另选、增选新料场时，应由承包人编制料场变更计划，提交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审批。料场变更应按本合同条款的约定办理。</w:t>
      </w:r>
    </w:p>
    <w:p w14:paraId="0A8A27A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018" w:name="_Toc369165118"/>
      <w:bookmarkStart w:id="1019" w:name="_Toc368993431"/>
      <w:bookmarkStart w:id="1020" w:name="_Toc237539776"/>
      <w:bookmarkStart w:id="1021" w:name="_Toc368991945"/>
      <w:bookmarkStart w:id="1022" w:name="_Toc369166117"/>
      <w:bookmarkStart w:id="1023" w:name="_Toc247534577"/>
      <w:bookmarkStart w:id="1024" w:name="_Toc12318"/>
      <w:bookmarkStart w:id="1025" w:name="_Toc237541297"/>
      <w:bookmarkStart w:id="1026" w:name="_Toc224551908"/>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 料场开采规划</w:t>
      </w:r>
      <w:bookmarkEnd w:id="1018"/>
      <w:bookmarkEnd w:id="1019"/>
      <w:bookmarkEnd w:id="1020"/>
      <w:bookmarkEnd w:id="1021"/>
      <w:bookmarkEnd w:id="1022"/>
      <w:bookmarkEnd w:id="1023"/>
      <w:bookmarkEnd w:id="1024"/>
      <w:bookmarkEnd w:id="1025"/>
    </w:p>
    <w:p w14:paraId="1CE1D18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应遵守SL303-2004第4.4.8条的规定。</w:t>
      </w:r>
      <w:bookmarkEnd w:id="1026"/>
    </w:p>
    <w:p w14:paraId="344E768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027" w:name="_Toc368993432"/>
      <w:bookmarkStart w:id="1028" w:name="_Toc369166118"/>
      <w:bookmarkStart w:id="1029" w:name="_Toc247534578"/>
      <w:bookmarkStart w:id="1030" w:name="_Toc224551909"/>
      <w:bookmarkStart w:id="1031" w:name="_Toc368991946"/>
      <w:bookmarkStart w:id="1032" w:name="_Toc369165119"/>
      <w:bookmarkStart w:id="1033" w:name="_Toc27754"/>
      <w:bookmarkStart w:id="1034" w:name="_Toc237541298"/>
      <w:bookmarkStart w:id="1035" w:name="_Toc237539777"/>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 料场清理</w:t>
      </w:r>
      <w:bookmarkEnd w:id="1027"/>
      <w:bookmarkEnd w:id="1028"/>
      <w:bookmarkEnd w:id="1029"/>
      <w:bookmarkEnd w:id="1030"/>
      <w:bookmarkEnd w:id="1031"/>
      <w:bookmarkEnd w:id="1032"/>
      <w:bookmarkEnd w:id="1033"/>
      <w:bookmarkEnd w:id="1034"/>
      <w:bookmarkEnd w:id="1035"/>
    </w:p>
    <w:p w14:paraId="09694C1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土料开挖前，承包人应按规定进行植被清理和表土清挖。表土和渣应按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的指示运至指定地点各自堆放。并应防止采用料中混入植被有机物和弃料。</w:t>
      </w:r>
    </w:p>
    <w:p w14:paraId="72C19650">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036" w:name="_Toc32142"/>
      <w:bookmarkStart w:id="1037" w:name="_Toc369166119"/>
      <w:bookmarkStart w:id="1038" w:name="_Toc237541299"/>
      <w:bookmarkStart w:id="1039" w:name="_Toc247534579"/>
      <w:bookmarkStart w:id="1040" w:name="_Toc369165120"/>
      <w:bookmarkStart w:id="1041" w:name="_Toc368993433"/>
      <w:bookmarkStart w:id="1042" w:name="_Toc224551910"/>
      <w:bookmarkStart w:id="1043" w:name="_Toc237539778"/>
      <w:bookmarkStart w:id="1044" w:name="_Toc368991947"/>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.4 料场的防洪和排水措施</w:t>
      </w:r>
      <w:bookmarkEnd w:id="1036"/>
      <w:bookmarkEnd w:id="1037"/>
      <w:bookmarkEnd w:id="1038"/>
      <w:bookmarkEnd w:id="1039"/>
      <w:bookmarkEnd w:id="1040"/>
      <w:bookmarkEnd w:id="1041"/>
      <w:bookmarkEnd w:id="1042"/>
      <w:bookmarkEnd w:id="1043"/>
      <w:bookmarkEnd w:id="1044"/>
    </w:p>
    <w:p w14:paraId="45BA116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土料场周围及开采区内，应按规定设置有效的排水系统和采取必要的防洪措施，以保证土料质量和开挖工作的顺利进行。</w:t>
      </w:r>
    </w:p>
    <w:p w14:paraId="61EAC0CA">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045" w:name="_Toc369166120"/>
      <w:bookmarkStart w:id="1046" w:name="_Toc14843"/>
      <w:bookmarkStart w:id="1047" w:name="_Toc368991948"/>
      <w:bookmarkStart w:id="1048" w:name="_Toc369165121"/>
      <w:bookmarkStart w:id="1049" w:name="_Toc247534580"/>
      <w:bookmarkStart w:id="1050" w:name="_Toc237539779"/>
      <w:bookmarkStart w:id="1051" w:name="_Toc368993434"/>
      <w:bookmarkStart w:id="1052" w:name="_Toc224551911"/>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.5土料开采和堆存</w:t>
      </w:r>
      <w:bookmarkEnd w:id="1045"/>
      <w:bookmarkEnd w:id="1046"/>
      <w:bookmarkEnd w:id="1047"/>
      <w:bookmarkEnd w:id="1048"/>
      <w:bookmarkEnd w:id="1049"/>
      <w:bookmarkEnd w:id="1050"/>
      <w:bookmarkEnd w:id="1051"/>
    </w:p>
    <w:p w14:paraId="6C1244D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应符合SL303-2004第4.4.9条至第4.4.10条的规定。</w:t>
      </w:r>
      <w:bookmarkEnd w:id="1052"/>
    </w:p>
    <w:p w14:paraId="3E58E9E5">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053" w:name="_Toc249517765"/>
      <w:bookmarkStart w:id="1054" w:name="_Toc232309830"/>
      <w:bookmarkStart w:id="1055" w:name="_Toc280531353"/>
      <w:bookmarkStart w:id="1056" w:name="_Toc224476616"/>
      <w:bookmarkStart w:id="1057" w:name="_Toc369765750"/>
      <w:bookmarkStart w:id="1058" w:name="_Toc12120"/>
      <w:bookmarkStart w:id="1059" w:name="_Toc237539780"/>
      <w:bookmarkStart w:id="1060" w:name="_Toc247534581"/>
      <w:bookmarkStart w:id="1061" w:name="_Toc279938544"/>
      <w:bookmarkStart w:id="1062" w:name="_Toc237541300"/>
      <w:bookmarkStart w:id="1063" w:name="_Toc224475826"/>
      <w:r>
        <w:rPr>
          <w:rFonts w:hint="eastAsia" w:ascii="宋体" w:hAnsi="宋体" w:eastAsia="宋体" w:cs="宋体"/>
          <w:b/>
          <w:bCs/>
          <w:color w:val="auto"/>
          <w:kern w:val="2"/>
          <w:sz w:val="24"/>
          <w:szCs w:val="24"/>
          <w:highlight w:val="none"/>
          <w:lang w:val="en-US" w:eastAsia="zh-CN" w:bidi="ar-SA"/>
        </w:rPr>
        <w:t>5.5 开挖土料的利用和弃土处理</w:t>
      </w:r>
      <w:bookmarkEnd w:id="1053"/>
      <w:bookmarkEnd w:id="1054"/>
      <w:bookmarkEnd w:id="1055"/>
      <w:bookmarkEnd w:id="1056"/>
      <w:bookmarkEnd w:id="1057"/>
      <w:bookmarkEnd w:id="1058"/>
      <w:bookmarkEnd w:id="1059"/>
      <w:bookmarkEnd w:id="1060"/>
      <w:bookmarkEnd w:id="1061"/>
      <w:bookmarkEnd w:id="1062"/>
      <w:bookmarkEnd w:id="1063"/>
    </w:p>
    <w:p w14:paraId="0B959475">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064" w:name="_Toc8386"/>
      <w:bookmarkStart w:id="1065" w:name="_Toc368993436"/>
      <w:bookmarkStart w:id="1066" w:name="_Toc247534582"/>
      <w:bookmarkStart w:id="1067" w:name="_Toc224551913"/>
      <w:bookmarkStart w:id="1068" w:name="_Toc237539781"/>
      <w:bookmarkStart w:id="1069" w:name="_Toc369165123"/>
      <w:bookmarkStart w:id="1070" w:name="_Toc369166122"/>
      <w:bookmarkStart w:id="1071" w:name="_Toc368991950"/>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 可利用土料专用于本工程</w:t>
      </w:r>
      <w:bookmarkEnd w:id="1064"/>
      <w:bookmarkEnd w:id="1065"/>
      <w:bookmarkEnd w:id="1066"/>
      <w:bookmarkEnd w:id="1067"/>
      <w:bookmarkEnd w:id="1068"/>
      <w:bookmarkEnd w:id="1069"/>
      <w:bookmarkEnd w:id="1070"/>
      <w:bookmarkEnd w:id="1071"/>
    </w:p>
    <w:p w14:paraId="7D63C87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承包人报送的土方明挖工程措施计划中，应对开挖获得的可利用土料进行统一规划，土料应首先专用于本工程永久和临时工程的填筑及场地平整等。</w:t>
      </w:r>
    </w:p>
    <w:p w14:paraId="36067FA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072" w:name="_Toc369166123"/>
      <w:bookmarkStart w:id="1073" w:name="_Toc247534583"/>
      <w:bookmarkStart w:id="1074" w:name="_Toc368991951"/>
      <w:bookmarkStart w:id="1075" w:name="_Toc224551914"/>
      <w:bookmarkStart w:id="1076" w:name="_Toc369165124"/>
      <w:bookmarkStart w:id="1077" w:name="_Toc237539782"/>
      <w:bookmarkStart w:id="1078" w:name="_Toc9140"/>
      <w:bookmarkStart w:id="1079" w:name="_Toc368993437"/>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 可利用土料和弃置废料应分类堆存</w:t>
      </w:r>
      <w:bookmarkEnd w:id="1072"/>
      <w:bookmarkEnd w:id="1073"/>
      <w:bookmarkEnd w:id="1074"/>
      <w:bookmarkEnd w:id="1075"/>
      <w:bookmarkEnd w:id="1076"/>
      <w:bookmarkEnd w:id="1077"/>
      <w:bookmarkEnd w:id="1078"/>
      <w:bookmarkEnd w:id="1079"/>
    </w:p>
    <w:p w14:paraId="34738B3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进行工程开挖时，应将可利用土料和弃置废料分别运至指定地点分类堆存。承包人应严格按批准的施工措施计划确定的堆渣地点、范围和堆料方式进行堆存，土料堆体应保持边坡稳定，并设有良好的自由排水措施。</w:t>
      </w:r>
    </w:p>
    <w:p w14:paraId="23BE0DA1">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080" w:name="_Toc368993438"/>
      <w:bookmarkStart w:id="1081" w:name="_Toc369165125"/>
      <w:bookmarkStart w:id="1082" w:name="_Toc237539783"/>
      <w:bookmarkStart w:id="1083" w:name="_Toc29239"/>
      <w:bookmarkStart w:id="1084" w:name="_Toc247534584"/>
      <w:bookmarkStart w:id="1085" w:name="_Toc224551915"/>
      <w:bookmarkStart w:id="1086" w:name="_Toc369166124"/>
      <w:bookmarkStart w:id="1087" w:name="_Toc368991952"/>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.3 可利用土料的保质措施</w:t>
      </w:r>
      <w:bookmarkEnd w:id="1080"/>
      <w:bookmarkEnd w:id="1081"/>
      <w:bookmarkEnd w:id="1082"/>
      <w:bookmarkEnd w:id="1083"/>
      <w:bookmarkEnd w:id="1084"/>
      <w:bookmarkEnd w:id="1085"/>
      <w:bookmarkEnd w:id="1086"/>
      <w:bookmarkEnd w:id="1087"/>
    </w:p>
    <w:p w14:paraId="16E9E4A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确认的可用料，承包人应在开挖、装运、堆存和</w:t>
      </w:r>
      <w:r>
        <w:rPr>
          <w:rFonts w:hint="eastAsia" w:ascii="宋体" w:hAnsi="宋体" w:eastAsia="宋体" w:cs="宋体"/>
          <w:color w:val="auto"/>
          <w:sz w:val="24"/>
          <w:szCs w:val="24"/>
          <w:highlight w:val="none"/>
          <w:lang w:eastAsia="zh-CN"/>
        </w:rPr>
        <w:t>其他作业</w:t>
      </w:r>
      <w:r>
        <w:rPr>
          <w:rFonts w:hint="eastAsia" w:ascii="宋体" w:hAnsi="宋体" w:eastAsia="宋体" w:cs="宋体"/>
          <w:color w:val="auto"/>
          <w:sz w:val="24"/>
          <w:szCs w:val="24"/>
          <w:highlight w:val="none"/>
        </w:rPr>
        <w:t>时，采取有效的保质措施，保护可利用土料免受污染和侵蚀。</w:t>
      </w:r>
    </w:p>
    <w:p w14:paraId="65132E64">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088" w:name="_Toc232309832"/>
      <w:bookmarkStart w:id="1089" w:name="_Toc249517767"/>
      <w:bookmarkStart w:id="1090" w:name="_Toc237539794"/>
      <w:bookmarkStart w:id="1091" w:name="_Toc369765752"/>
      <w:bookmarkStart w:id="1092" w:name="_Toc224476618"/>
      <w:bookmarkStart w:id="1093" w:name="_Toc237541311"/>
      <w:bookmarkStart w:id="1094" w:name="_Toc224475828"/>
      <w:bookmarkStart w:id="1095" w:name="_Toc247534586"/>
      <w:bookmarkStart w:id="1096" w:name="_Toc10710"/>
      <w:bookmarkStart w:id="1097" w:name="_Toc279938546"/>
      <w:bookmarkStart w:id="1098" w:name="_Toc280531355"/>
      <w:r>
        <w:rPr>
          <w:rFonts w:hint="eastAsia" w:ascii="宋体" w:hAnsi="宋体" w:eastAsia="宋体" w:cs="宋体"/>
          <w:b/>
          <w:bCs/>
          <w:color w:val="auto"/>
          <w:kern w:val="2"/>
          <w:sz w:val="24"/>
          <w:szCs w:val="24"/>
          <w:highlight w:val="none"/>
          <w:lang w:val="en-US" w:eastAsia="zh-CN" w:bidi="ar-SA"/>
        </w:rPr>
        <w:t>5.6 检查和验收</w:t>
      </w:r>
      <w:bookmarkEnd w:id="1088"/>
      <w:bookmarkEnd w:id="1089"/>
      <w:bookmarkEnd w:id="1090"/>
      <w:bookmarkEnd w:id="1091"/>
      <w:bookmarkEnd w:id="1092"/>
      <w:bookmarkEnd w:id="1093"/>
      <w:bookmarkEnd w:id="1094"/>
      <w:bookmarkEnd w:id="1095"/>
      <w:bookmarkEnd w:id="1096"/>
      <w:bookmarkEnd w:id="1097"/>
      <w:bookmarkEnd w:id="1098"/>
    </w:p>
    <w:p w14:paraId="2F709E32">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099" w:name="_Toc224551918"/>
      <w:bookmarkStart w:id="1100" w:name="_Toc24054"/>
      <w:bookmarkStart w:id="1101" w:name="_Toc369165128"/>
      <w:bookmarkStart w:id="1102" w:name="_Toc368991955"/>
      <w:bookmarkStart w:id="1103" w:name="_Toc237539795"/>
      <w:bookmarkStart w:id="1104" w:name="_Toc368993441"/>
      <w:bookmarkStart w:id="1105" w:name="_Toc247534587"/>
      <w:bookmarkStart w:id="1106" w:name="_Toc369166127"/>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 土方开挖前的检查和验收</w:t>
      </w:r>
      <w:bookmarkEnd w:id="1099"/>
      <w:bookmarkEnd w:id="1100"/>
      <w:bookmarkEnd w:id="1101"/>
      <w:bookmarkEnd w:id="1102"/>
      <w:bookmarkEnd w:id="1103"/>
      <w:bookmarkEnd w:id="1104"/>
      <w:bookmarkEnd w:id="1105"/>
      <w:bookmarkEnd w:id="1106"/>
    </w:p>
    <w:p w14:paraId="5176404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土方开挖前，承包人应会同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进行以下各项检查：</w:t>
      </w:r>
    </w:p>
    <w:p w14:paraId="74355A3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107" w:name="_Toc224476619"/>
      <w:r>
        <w:rPr>
          <w:rFonts w:hint="eastAsia" w:ascii="宋体" w:hAnsi="宋体" w:eastAsia="宋体" w:cs="宋体"/>
          <w:color w:val="auto"/>
          <w:sz w:val="24"/>
          <w:szCs w:val="24"/>
          <w:highlight w:val="none"/>
        </w:rPr>
        <w:t>1．用于开挖工程量计量的原地形测量剖面的复核检查。</w:t>
      </w:r>
      <w:bookmarkEnd w:id="1107"/>
    </w:p>
    <w:p w14:paraId="0CDDD77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108" w:name="_Toc224476620"/>
      <w:r>
        <w:rPr>
          <w:rFonts w:hint="eastAsia" w:ascii="宋体" w:hAnsi="宋体" w:eastAsia="宋体" w:cs="宋体"/>
          <w:color w:val="auto"/>
          <w:sz w:val="24"/>
          <w:szCs w:val="24"/>
          <w:highlight w:val="none"/>
        </w:rPr>
        <w:t>2．按施工图纸所示的工程建筑物开挖尺寸进行开挖剖面测量放样成果的检查。承包人的开挖剖面放样成果，应经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复核签认后，作为支付的依据。</w:t>
      </w:r>
      <w:bookmarkEnd w:id="1108"/>
    </w:p>
    <w:p w14:paraId="3E8EFA9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109" w:name="_Toc224476621"/>
      <w:r>
        <w:rPr>
          <w:rFonts w:hint="eastAsia" w:ascii="宋体" w:hAnsi="宋体" w:eastAsia="宋体" w:cs="宋体"/>
          <w:color w:val="auto"/>
          <w:sz w:val="24"/>
          <w:szCs w:val="24"/>
          <w:highlight w:val="none"/>
        </w:rPr>
        <w:t>3．按施工图纸所示进行开挖区周围排水和防洪保护设施的质量检查和验收。</w:t>
      </w:r>
      <w:bookmarkEnd w:id="1109"/>
    </w:p>
    <w:p w14:paraId="2EF1E42D">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110" w:name="_Toc369165129"/>
      <w:bookmarkStart w:id="1111" w:name="_Toc224551919"/>
      <w:bookmarkStart w:id="1112" w:name="_Toc247534588"/>
      <w:bookmarkStart w:id="1113" w:name="_Toc237539796"/>
      <w:bookmarkStart w:id="1114" w:name="_Toc368991956"/>
      <w:bookmarkStart w:id="1115" w:name="_Toc9039"/>
      <w:bookmarkStart w:id="1116" w:name="_Toc368993442"/>
      <w:bookmarkStart w:id="1117" w:name="_Toc369166128"/>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 土方开挖过程中的质量检查</w:t>
      </w:r>
      <w:bookmarkEnd w:id="1110"/>
      <w:bookmarkEnd w:id="1111"/>
      <w:bookmarkEnd w:id="1112"/>
      <w:bookmarkEnd w:id="1113"/>
      <w:bookmarkEnd w:id="1114"/>
      <w:bookmarkEnd w:id="1115"/>
      <w:bookmarkEnd w:id="1116"/>
      <w:bookmarkEnd w:id="1117"/>
    </w:p>
    <w:p w14:paraId="5BF147F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土方开挖过程中，承包人应定期测量校正开挖平面的尺寸和标高，以及按施工图纸要求检查开挖边坡的坡度和平整度。并将测量资料提交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w:t>
      </w:r>
    </w:p>
    <w:p w14:paraId="06023D3A">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118" w:name="_Toc369166129"/>
      <w:bookmarkStart w:id="1119" w:name="_Toc5642"/>
      <w:bookmarkStart w:id="1120" w:name="_Toc368991957"/>
      <w:bookmarkStart w:id="1121" w:name="_Toc224551920"/>
      <w:bookmarkStart w:id="1122" w:name="_Toc369165130"/>
      <w:bookmarkStart w:id="1123" w:name="_Toc237539797"/>
      <w:bookmarkStart w:id="1124" w:name="_Toc368993443"/>
      <w:bookmarkStart w:id="1125" w:name="_Toc247534589"/>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 土方开挖工程完成后的质量检查和验收</w:t>
      </w:r>
      <w:bookmarkEnd w:id="1118"/>
      <w:bookmarkEnd w:id="1119"/>
      <w:bookmarkEnd w:id="1120"/>
      <w:bookmarkEnd w:id="1121"/>
      <w:bookmarkEnd w:id="1122"/>
      <w:bookmarkEnd w:id="1123"/>
      <w:bookmarkEnd w:id="1124"/>
      <w:bookmarkEnd w:id="1125"/>
    </w:p>
    <w:p w14:paraId="28BAB40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126" w:name="_Toc224476622"/>
      <w:r>
        <w:rPr>
          <w:rFonts w:hint="eastAsia" w:ascii="宋体" w:hAnsi="宋体" w:eastAsia="宋体" w:cs="宋体"/>
          <w:color w:val="auto"/>
          <w:sz w:val="24"/>
          <w:szCs w:val="24"/>
          <w:highlight w:val="none"/>
        </w:rPr>
        <w:t>1．土方基础明挖工程完成后，承包人应会同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进行以下各项质量检查和验收：</w:t>
      </w:r>
      <w:bookmarkEnd w:id="1126"/>
    </w:p>
    <w:p w14:paraId="762A468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（1）按施工图纸要求检查工程</w:t>
      </w:r>
      <w:r>
        <w:rPr>
          <w:rFonts w:hint="eastAsia" w:ascii="宋体" w:hAnsi="宋体" w:eastAsia="宋体" w:cs="宋体"/>
          <w:color w:val="auto"/>
          <w:sz w:val="24"/>
          <w:szCs w:val="24"/>
          <w:highlight w:val="none"/>
          <w:lang w:eastAsia="zh-CN"/>
        </w:rPr>
        <w:t>基坑开挖</w:t>
      </w:r>
      <w:r>
        <w:rPr>
          <w:rFonts w:hint="eastAsia" w:ascii="宋体" w:hAnsi="宋体" w:eastAsia="宋体" w:cs="宋体"/>
          <w:color w:val="auto"/>
          <w:sz w:val="24"/>
          <w:szCs w:val="24"/>
          <w:highlight w:val="none"/>
        </w:rPr>
        <w:t>面的平面尺寸、标高和场地平整度；</w:t>
      </w:r>
    </w:p>
    <w:p w14:paraId="42544AE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（2）取样检测基础土的物理力学性质指标；</w:t>
      </w:r>
    </w:p>
    <w:p w14:paraId="52C5B35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127" w:name="_Toc224476623"/>
      <w:r>
        <w:rPr>
          <w:rFonts w:hint="eastAsia" w:ascii="宋体" w:hAnsi="宋体" w:eastAsia="宋体" w:cs="宋体"/>
          <w:color w:val="auto"/>
          <w:sz w:val="24"/>
          <w:szCs w:val="24"/>
          <w:highlight w:val="none"/>
        </w:rPr>
        <w:t>2．基础面覆盖前的质量检验和验收</w:t>
      </w:r>
      <w:bookmarkEnd w:id="1127"/>
    </w:p>
    <w:p w14:paraId="793C9EC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（1）基础面覆盖前，应复核检查基础面是否满足本章相关条款的规定，并应保证基础面无积水或流水，保证检查和验收后的基础面土壤未受扰动，经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检查合格后才能进行覆盖。</w:t>
      </w:r>
    </w:p>
    <w:p w14:paraId="4CF7FD0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（2）对已开挖完成的土基基础开挖面，应在基础封底（或砌体）填筑前清除表面的松软土层，并按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批准的施工方法进行压实，受积水侵蚀软化的土壤应予清除。并应在</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检验合格后立即进行覆盖。</w:t>
      </w:r>
    </w:p>
    <w:p w14:paraId="24BF2A5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（3）上述第（1）款基础面开挖完成后的检查验收，与第（2）款规定的在基础面覆盖前，进行基础清理作业后的检验验收是检查和检验目的和性质不同的两次作业，未经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同意，承包人不得将这两次作业合并为一次完成。</w:t>
      </w:r>
    </w:p>
    <w:p w14:paraId="405F2DD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128" w:name="_Toc224476624"/>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．永久边坡的检查和验收</w:t>
      </w:r>
      <w:bookmarkEnd w:id="1128"/>
    </w:p>
    <w:p w14:paraId="7348483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（1）永久边坡的坡度和平整度的复测检查；</w:t>
      </w:r>
    </w:p>
    <w:p w14:paraId="4D0BEA5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（2）边坡永久性排水沟道的坡度和尺寸的复测检查。</w:t>
      </w:r>
    </w:p>
    <w:p w14:paraId="7816217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129" w:name="_Toc224476625"/>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．完工验收资料</w:t>
      </w:r>
      <w:bookmarkEnd w:id="1129"/>
    </w:p>
    <w:p w14:paraId="2899FC3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土方开挖工程完工后，承包人应按本合同约定提交以下完工验收资料：</w:t>
      </w:r>
    </w:p>
    <w:p w14:paraId="5D314C8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（1）土方开挖工程竣工平面、剖面图、引河断面图；</w:t>
      </w:r>
    </w:p>
    <w:p w14:paraId="6FAAACA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（2）质量检查和验收记录；</w:t>
      </w:r>
    </w:p>
    <w:p w14:paraId="288EC63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要求提供的</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资料。</w:t>
      </w:r>
    </w:p>
    <w:bookmarkEnd w:id="890"/>
    <w:p w14:paraId="390616A1">
      <w:pPr>
        <w:pStyle w:val="2"/>
        <w:pageBreakBefore w:val="0"/>
        <w:tabs>
          <w:tab w:val="center" w:pos="4153"/>
        </w:tabs>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130" w:name="_Toc369765754"/>
      <w:bookmarkStart w:id="1131" w:name="_Toc237541313"/>
      <w:bookmarkStart w:id="1132" w:name="_Toc279938548"/>
      <w:bookmarkStart w:id="1133" w:name="_Toc232309834"/>
      <w:bookmarkStart w:id="1134" w:name="_Toc247534591"/>
      <w:bookmarkStart w:id="1135" w:name="_Toc237539799"/>
      <w:bookmarkStart w:id="1136" w:name="_Toc280531357"/>
      <w:bookmarkStart w:id="1137" w:name="_Toc11884"/>
      <w:bookmarkStart w:id="1138" w:name="_Toc249517769"/>
      <w:bookmarkStart w:id="1139" w:name="_Toc260152099"/>
      <w:bookmarkStart w:id="1140" w:name="_Toc195696851"/>
      <w:r>
        <w:rPr>
          <w:rFonts w:hint="eastAsia" w:ascii="宋体" w:hAnsi="宋体" w:eastAsia="宋体" w:cs="宋体"/>
          <w:color w:val="auto"/>
          <w:sz w:val="24"/>
          <w:szCs w:val="24"/>
          <w:highlight w:val="none"/>
        </w:rPr>
        <w:t>6  土石方填筑工程</w:t>
      </w:r>
      <w:bookmarkEnd w:id="1130"/>
      <w:bookmarkEnd w:id="1131"/>
      <w:bookmarkEnd w:id="1132"/>
      <w:bookmarkEnd w:id="1133"/>
      <w:bookmarkEnd w:id="1134"/>
      <w:bookmarkEnd w:id="1135"/>
      <w:bookmarkEnd w:id="1136"/>
      <w:bookmarkEnd w:id="1137"/>
      <w:bookmarkEnd w:id="1138"/>
      <w:bookmarkEnd w:id="1139"/>
      <w:bookmarkEnd w:id="1140"/>
    </w:p>
    <w:p w14:paraId="2BA60700">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141" w:name="_Toc111433258"/>
      <w:bookmarkStart w:id="1142" w:name="_Toc133205429"/>
      <w:bookmarkStart w:id="1143" w:name="_Toc133205812"/>
      <w:bookmarkStart w:id="1144" w:name="_Toc111261310"/>
      <w:bookmarkStart w:id="1145" w:name="_Toc122249855"/>
      <w:bookmarkStart w:id="1146" w:name="_Toc133161820"/>
      <w:bookmarkStart w:id="1147" w:name="_Toc111474038"/>
      <w:bookmarkStart w:id="1148" w:name="_Toc232309835"/>
      <w:bookmarkStart w:id="1149" w:name="_Toc133161634"/>
      <w:bookmarkStart w:id="1150" w:name="_Toc121904227"/>
      <w:bookmarkStart w:id="1151" w:name="_Toc492387164"/>
      <w:bookmarkStart w:id="1152" w:name="_Toc224475830"/>
      <w:bookmarkStart w:id="1153" w:name="_Toc120962414"/>
      <w:bookmarkStart w:id="1154" w:name="_Toc122316139"/>
      <w:bookmarkStart w:id="1155" w:name="_Toc237539800"/>
      <w:bookmarkStart w:id="1156" w:name="_Toc120958652"/>
      <w:bookmarkStart w:id="1157" w:name="_Toc120958489"/>
      <w:bookmarkStart w:id="1158" w:name="_Toc122315976"/>
      <w:bookmarkStart w:id="1159" w:name="_Toc224476627"/>
      <w:bookmarkStart w:id="1160" w:name="_Toc237541314"/>
      <w:bookmarkStart w:id="1161" w:name="_Toc369765755"/>
      <w:bookmarkStart w:id="1162" w:name="_Toc280531358"/>
      <w:bookmarkStart w:id="1163" w:name="_Toc249517770"/>
      <w:bookmarkStart w:id="1164" w:name="_Toc279938549"/>
      <w:bookmarkStart w:id="1165" w:name="_Toc247534592"/>
      <w:bookmarkStart w:id="1166" w:name="_Toc11958"/>
      <w:r>
        <w:rPr>
          <w:rFonts w:hint="eastAsia" w:ascii="宋体" w:hAnsi="宋体" w:eastAsia="宋体" w:cs="宋体"/>
          <w:b/>
          <w:bCs/>
          <w:color w:val="auto"/>
          <w:kern w:val="2"/>
          <w:sz w:val="24"/>
          <w:szCs w:val="24"/>
          <w:highlight w:val="none"/>
          <w:lang w:val="en-US" w:eastAsia="zh-CN" w:bidi="ar-SA"/>
        </w:rPr>
        <w:t xml:space="preserve">6.1 </w:t>
      </w:r>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r>
        <w:rPr>
          <w:rFonts w:hint="eastAsia" w:ascii="宋体" w:hAnsi="宋体" w:eastAsia="宋体" w:cs="宋体"/>
          <w:b/>
          <w:bCs/>
          <w:color w:val="auto"/>
          <w:kern w:val="2"/>
          <w:sz w:val="24"/>
          <w:szCs w:val="24"/>
          <w:highlight w:val="none"/>
          <w:lang w:val="en-US" w:eastAsia="zh-CN" w:bidi="ar-SA"/>
        </w:rPr>
        <w:t>一般规定</w:t>
      </w:r>
      <w:bookmarkEnd w:id="1161"/>
      <w:bookmarkEnd w:id="1162"/>
      <w:bookmarkEnd w:id="1163"/>
      <w:bookmarkEnd w:id="1164"/>
      <w:bookmarkEnd w:id="1165"/>
      <w:bookmarkEnd w:id="1166"/>
    </w:p>
    <w:p w14:paraId="25B690F6">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167" w:name="_Toc237539801"/>
      <w:bookmarkStart w:id="1168" w:name="_Toc224551924"/>
      <w:bookmarkStart w:id="1169" w:name="_Toc369166133"/>
      <w:bookmarkStart w:id="1170" w:name="_Toc369165134"/>
      <w:bookmarkStart w:id="1171" w:name="_Toc368991961"/>
      <w:bookmarkStart w:id="1172" w:name="_Toc22964"/>
      <w:bookmarkStart w:id="1173" w:name="_Toc247534593"/>
      <w:bookmarkStart w:id="1174" w:name="_Toc368993447"/>
      <w:r>
        <w:rPr>
          <w:rFonts w:hint="eastAsia" w:ascii="宋体" w:hAnsi="宋体" w:eastAsia="宋体" w:cs="宋体"/>
          <w:color w:val="auto"/>
          <w:sz w:val="24"/>
          <w:szCs w:val="24"/>
          <w:highlight w:val="none"/>
        </w:rPr>
        <w:t>6.1.1 应用范围</w:t>
      </w:r>
      <w:bookmarkEnd w:id="1167"/>
      <w:bookmarkEnd w:id="1168"/>
      <w:bookmarkEnd w:id="1169"/>
      <w:bookmarkEnd w:id="1170"/>
      <w:bookmarkEnd w:id="1171"/>
      <w:bookmarkEnd w:id="1172"/>
      <w:bookmarkEnd w:id="1173"/>
      <w:bookmarkEnd w:id="1174"/>
    </w:p>
    <w:p w14:paraId="5E5E781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工程施工图纸所示的河道堤防填筑、管理区土方回填等的施工。其工作内容包括：土料平衡；现场土料开采、加工和运输；堤防、墙后土的填筑、碾压、接缝处理、路基铺筑、泥结石路面铺筑、管理区土方回填平整；抛石、滤（垫）层填筑等各项工作内容的质量检查和验收等。</w:t>
      </w:r>
    </w:p>
    <w:p w14:paraId="1D0E7E7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175" w:name="_Toc368993448"/>
      <w:bookmarkStart w:id="1176" w:name="_Toc237539802"/>
      <w:bookmarkStart w:id="1177" w:name="_Toc224551925"/>
      <w:bookmarkStart w:id="1178" w:name="_Toc368991962"/>
      <w:bookmarkStart w:id="1179" w:name="_Toc369165135"/>
      <w:bookmarkStart w:id="1180" w:name="_Toc369166134"/>
      <w:bookmarkStart w:id="1181" w:name="_Toc247534594"/>
      <w:bookmarkStart w:id="1182" w:name="_Toc27736"/>
      <w:r>
        <w:rPr>
          <w:rFonts w:hint="eastAsia" w:ascii="宋体" w:hAnsi="宋体" w:eastAsia="宋体" w:cs="宋体"/>
          <w:color w:val="auto"/>
          <w:sz w:val="24"/>
          <w:szCs w:val="24"/>
          <w:highlight w:val="none"/>
        </w:rPr>
        <w:t>6.1.2 承包人的责任</w:t>
      </w:r>
      <w:bookmarkEnd w:id="1175"/>
      <w:bookmarkEnd w:id="1176"/>
      <w:bookmarkEnd w:id="1177"/>
      <w:bookmarkEnd w:id="1178"/>
      <w:bookmarkEnd w:id="1179"/>
      <w:bookmarkEnd w:id="1180"/>
      <w:bookmarkEnd w:id="1181"/>
      <w:bookmarkEnd w:id="1182"/>
    </w:p>
    <w:p w14:paraId="2DEB3F8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1．承包人应按施工图纸和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的指示，完成本章范围内的全部工作。</w:t>
      </w:r>
    </w:p>
    <w:p w14:paraId="5B2B981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2．承包人应结合本工程土源情况，进行统一规划，合理平衡，保证填筑工程供料的连续和均衡。若土料调配不当，导致土方填筑施工受阻，其延误的工期和增加的费用由承包人负责。</w:t>
      </w:r>
    </w:p>
    <w:p w14:paraId="31037FD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bookmarkStart w:id="1183" w:name="_Toc111433265"/>
      <w:bookmarkStart w:id="1184" w:name="_Toc120958659"/>
      <w:bookmarkStart w:id="1185" w:name="_Toc120958496"/>
      <w:bookmarkStart w:id="1186" w:name="_Toc122249862"/>
      <w:bookmarkStart w:id="1187" w:name="_Toc122316146"/>
      <w:bookmarkStart w:id="1188" w:name="_Toc122315983"/>
      <w:bookmarkStart w:id="1189" w:name="_Toc111261317"/>
      <w:bookmarkStart w:id="1190" w:name="_Toc121904234"/>
      <w:bookmarkStart w:id="1191" w:name="_Toc120962421"/>
      <w:bookmarkStart w:id="1192" w:name="_Toc111474045"/>
      <w:r>
        <w:rPr>
          <w:rFonts w:hint="eastAsia" w:ascii="宋体" w:hAnsi="宋体" w:eastAsia="宋体" w:cs="宋体"/>
          <w:color w:val="auto"/>
          <w:sz w:val="24"/>
          <w:szCs w:val="24"/>
          <w:highlight w:val="none"/>
        </w:rPr>
        <w:t>道路路基铺筑</w:t>
      </w:r>
      <w:bookmarkEnd w:id="1183"/>
      <w:bookmarkEnd w:id="1184"/>
      <w:bookmarkEnd w:id="1185"/>
      <w:bookmarkEnd w:id="1186"/>
      <w:bookmarkEnd w:id="1187"/>
      <w:bookmarkEnd w:id="1188"/>
      <w:bookmarkEnd w:id="1189"/>
      <w:bookmarkEnd w:id="1190"/>
      <w:bookmarkEnd w:id="1191"/>
      <w:bookmarkEnd w:id="1192"/>
      <w:r>
        <w:rPr>
          <w:rFonts w:hint="eastAsia" w:ascii="宋体" w:hAnsi="宋体" w:eastAsia="宋体" w:cs="宋体"/>
          <w:color w:val="auto"/>
          <w:sz w:val="24"/>
          <w:szCs w:val="24"/>
          <w:highlight w:val="none"/>
        </w:rPr>
        <w:t>应根据交通行业相关条款或</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的指示进行施工，其压实度应满足施工图纸的要求。</w:t>
      </w:r>
    </w:p>
    <w:p w14:paraId="22DDE50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4．在填筑过程中，承包人应保证观测仪器埋设与监测工作的正常进行，采取有效措施，保护已埋设仪器和测量标志完好无损。</w:t>
      </w:r>
    </w:p>
    <w:p w14:paraId="5CFE890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5．承包人应按施工图纸规定的技术指标，负责土工合成材料的采购、验收、运输和保管，以及按本技术条款的规定完成土工合成材料结构的全部施工作业。</w:t>
      </w:r>
    </w:p>
    <w:p w14:paraId="2AC1F50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6．在施工过程中，承包人应做到作业面施工的统一管理、合理安排、分段流水作业，填筑面层次分明，作业面平整。填筑竣工后，应修整填筑体，使其坡面平整，颜色均匀。</w:t>
      </w:r>
    </w:p>
    <w:p w14:paraId="752360B6">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193" w:name="_Toc368991963"/>
      <w:bookmarkStart w:id="1194" w:name="_Toc29703"/>
      <w:bookmarkStart w:id="1195" w:name="_Toc368993449"/>
      <w:bookmarkStart w:id="1196" w:name="_Toc369165136"/>
      <w:bookmarkStart w:id="1197" w:name="_Toc369166135"/>
      <w:bookmarkStart w:id="1198" w:name="_Toc224551926"/>
      <w:bookmarkStart w:id="1199" w:name="_Toc247534595"/>
      <w:bookmarkStart w:id="1200" w:name="_Toc237539803"/>
      <w:r>
        <w:rPr>
          <w:rFonts w:hint="eastAsia" w:ascii="宋体" w:hAnsi="宋体" w:eastAsia="宋体" w:cs="宋体"/>
          <w:color w:val="auto"/>
          <w:sz w:val="24"/>
          <w:szCs w:val="24"/>
          <w:highlight w:val="none"/>
        </w:rPr>
        <w:t>6.1.3 主要提交件</w:t>
      </w:r>
      <w:bookmarkEnd w:id="1193"/>
      <w:bookmarkEnd w:id="1194"/>
      <w:bookmarkEnd w:id="1195"/>
      <w:bookmarkEnd w:id="1196"/>
      <w:bookmarkEnd w:id="1197"/>
      <w:bookmarkEnd w:id="1198"/>
      <w:bookmarkEnd w:id="1199"/>
      <w:bookmarkEnd w:id="1200"/>
    </w:p>
    <w:p w14:paraId="1D81911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1．土方填筑施工措施计划</w:t>
      </w:r>
    </w:p>
    <w:p w14:paraId="221302B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在土方填筑工程开工前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天，承包人应按施工图纸要求和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指示，提交一份包括下列内容的施工措施计划，报送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w:t>
      </w:r>
    </w:p>
    <w:p w14:paraId="5385355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（1）施工布置图；</w:t>
      </w:r>
    </w:p>
    <w:p w14:paraId="3651677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（2）土方填筑程序和方法；</w:t>
      </w:r>
    </w:p>
    <w:p w14:paraId="12AB7B5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）施工进度计划；</w:t>
      </w:r>
    </w:p>
    <w:p w14:paraId="45DDBAD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要求提交的其他文件和资料。</w:t>
      </w:r>
    </w:p>
    <w:p w14:paraId="6B0796A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2．地形测量资料</w:t>
      </w:r>
    </w:p>
    <w:p w14:paraId="74BD578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土方填筑工程开工前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天，承包人应将填筑区基础开挖验收后实测的平、剖面地形测量资料报送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签认的地形测量资料</w:t>
      </w:r>
      <w:r>
        <w:rPr>
          <w:rFonts w:hint="eastAsia" w:ascii="宋体" w:hAnsi="宋体" w:eastAsia="宋体" w:cs="宋体"/>
          <w:color w:val="auto"/>
          <w:sz w:val="24"/>
          <w:szCs w:val="24"/>
          <w:highlight w:val="none"/>
          <w:lang w:eastAsia="zh-CN"/>
        </w:rPr>
        <w:t>作为</w:t>
      </w:r>
      <w:r>
        <w:rPr>
          <w:rFonts w:hint="eastAsia" w:ascii="宋体" w:hAnsi="宋体" w:eastAsia="宋体" w:cs="宋体"/>
          <w:color w:val="auto"/>
          <w:sz w:val="24"/>
          <w:szCs w:val="24"/>
          <w:highlight w:val="none"/>
        </w:rPr>
        <w:t>填筑工程量的依据。</w:t>
      </w:r>
    </w:p>
    <w:p w14:paraId="0B9012E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．完工验收资料</w:t>
      </w:r>
    </w:p>
    <w:p w14:paraId="436ED4D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土方填筑工程完工后，承包人应按本合同条款的规定，为</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进行完工验收提交以下完工资料：</w:t>
      </w:r>
    </w:p>
    <w:p w14:paraId="6074B2B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（1）土方填筑工程竣工图；</w:t>
      </w:r>
    </w:p>
    <w:p w14:paraId="7C470AF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要求提供的</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资料。</w:t>
      </w:r>
    </w:p>
    <w:p w14:paraId="66CD90E7">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201" w:name="_Toc120958653"/>
      <w:bookmarkStart w:id="1202" w:name="_Toc369765757"/>
      <w:bookmarkStart w:id="1203" w:name="_Toc111433259"/>
      <w:bookmarkStart w:id="1204" w:name="_Toc121904228"/>
      <w:bookmarkStart w:id="1205" w:name="_Toc133205813"/>
      <w:bookmarkStart w:id="1206" w:name="_Toc247534597"/>
      <w:bookmarkStart w:id="1207" w:name="_Toc232309837"/>
      <w:bookmarkStart w:id="1208" w:name="_Toc279938551"/>
      <w:bookmarkStart w:id="1209" w:name="_Toc120958490"/>
      <w:bookmarkStart w:id="1210" w:name="_Toc133161821"/>
      <w:bookmarkStart w:id="1211" w:name="_Toc492387165"/>
      <w:bookmarkStart w:id="1212" w:name="_Toc237541316"/>
      <w:bookmarkStart w:id="1213" w:name="_Toc133205430"/>
      <w:bookmarkStart w:id="1214" w:name="_Toc5835"/>
      <w:bookmarkStart w:id="1215" w:name="_Toc133161635"/>
      <w:bookmarkStart w:id="1216" w:name="_Toc122249856"/>
      <w:bookmarkStart w:id="1217" w:name="_Toc122316140"/>
      <w:bookmarkStart w:id="1218" w:name="_Toc122315977"/>
      <w:bookmarkStart w:id="1219" w:name="_Toc249517772"/>
      <w:bookmarkStart w:id="1220" w:name="_Toc120962415"/>
      <w:bookmarkStart w:id="1221" w:name="_Toc111261311"/>
      <w:bookmarkStart w:id="1222" w:name="_Toc237539805"/>
      <w:bookmarkStart w:id="1223" w:name="_Toc224475832"/>
      <w:bookmarkStart w:id="1224" w:name="_Toc111474039"/>
      <w:bookmarkStart w:id="1225" w:name="_Toc280531360"/>
      <w:bookmarkStart w:id="1226" w:name="_Toc224476629"/>
      <w:r>
        <w:rPr>
          <w:rFonts w:hint="eastAsia" w:ascii="宋体" w:hAnsi="宋体" w:eastAsia="宋体" w:cs="宋体"/>
          <w:b/>
          <w:bCs/>
          <w:color w:val="auto"/>
          <w:kern w:val="2"/>
          <w:sz w:val="24"/>
          <w:szCs w:val="24"/>
          <w:highlight w:val="none"/>
          <w:lang w:val="en-US" w:eastAsia="zh-CN" w:bidi="ar-SA"/>
        </w:rPr>
        <w:t>6.2 土方开挖和填筑平衡</w:t>
      </w:r>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p>
    <w:p w14:paraId="5AB1B8F1">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227" w:name="_Toc369165139"/>
      <w:bookmarkStart w:id="1228" w:name="_Toc369166138"/>
      <w:bookmarkStart w:id="1229" w:name="_Toc224551929"/>
      <w:bookmarkStart w:id="1230" w:name="_Toc237539806"/>
      <w:bookmarkStart w:id="1231" w:name="_Toc247534598"/>
      <w:bookmarkStart w:id="1232" w:name="_Toc368993452"/>
      <w:bookmarkStart w:id="1233" w:name="_Toc11259"/>
      <w:bookmarkStart w:id="1234" w:name="_Toc237541317"/>
      <w:bookmarkStart w:id="1235" w:name="_Toc368991966"/>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 选定土方填筑料开挖区</w:t>
      </w:r>
      <w:bookmarkEnd w:id="1227"/>
      <w:bookmarkEnd w:id="1228"/>
      <w:bookmarkEnd w:id="1229"/>
      <w:bookmarkEnd w:id="1230"/>
      <w:bookmarkEnd w:id="1231"/>
      <w:bookmarkEnd w:id="1232"/>
      <w:bookmarkEnd w:id="1233"/>
      <w:bookmarkEnd w:id="1234"/>
      <w:bookmarkEnd w:id="1235"/>
    </w:p>
    <w:p w14:paraId="5CAC1CC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承包人应根据料场复查资料和料场规划，结合现场生产性试验成果，选定各种土料开挖区。</w:t>
      </w:r>
    </w:p>
    <w:p w14:paraId="02B44EC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236" w:name="_Toc247534599"/>
      <w:bookmarkStart w:id="1237" w:name="_Toc680"/>
      <w:bookmarkStart w:id="1238" w:name="_Toc237541318"/>
      <w:bookmarkStart w:id="1239" w:name="_Toc369165140"/>
      <w:bookmarkStart w:id="1240" w:name="_Toc369166139"/>
      <w:bookmarkStart w:id="1241" w:name="_Toc224551930"/>
      <w:bookmarkStart w:id="1242" w:name="_Toc237539807"/>
      <w:bookmarkStart w:id="1243" w:name="_Toc368991967"/>
      <w:bookmarkStart w:id="1244" w:name="_Toc368993453"/>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 土方填筑料的开采和平衡</w:t>
      </w:r>
      <w:bookmarkEnd w:id="1236"/>
      <w:bookmarkEnd w:id="1237"/>
      <w:bookmarkEnd w:id="1238"/>
      <w:bookmarkEnd w:id="1239"/>
      <w:bookmarkEnd w:id="1240"/>
      <w:bookmarkEnd w:id="1241"/>
      <w:bookmarkEnd w:id="1242"/>
      <w:bookmarkEnd w:id="1243"/>
      <w:bookmarkEnd w:id="1244"/>
    </w:p>
    <w:p w14:paraId="4B39D0D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承包人应根据施工总进度计划的要求和选定的土料开挖区，做好土料开挖和工程填筑计划的平衡，在提交的施工措施计划中，列出详细的土方开挖和填筑的平衡计划，以确保土方填筑工程供料的可靠性和均衡性。</w:t>
      </w:r>
    </w:p>
    <w:p w14:paraId="2A8943FF">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245" w:name="_Toc133161639"/>
      <w:bookmarkStart w:id="1246" w:name="_Toc492387169"/>
      <w:bookmarkStart w:id="1247" w:name="_Toc111433263"/>
      <w:bookmarkStart w:id="1248" w:name="_Toc133205434"/>
      <w:bookmarkStart w:id="1249" w:name="_Toc122249860"/>
      <w:bookmarkStart w:id="1250" w:name="_Toc369765761"/>
      <w:bookmarkStart w:id="1251" w:name="_Toc111474043"/>
      <w:bookmarkStart w:id="1252" w:name="_Toc249517776"/>
      <w:bookmarkStart w:id="1253" w:name="_Toc120962419"/>
      <w:bookmarkStart w:id="1254" w:name="_Toc224476633"/>
      <w:bookmarkStart w:id="1255" w:name="_Toc120958494"/>
      <w:bookmarkStart w:id="1256" w:name="_Toc133161825"/>
      <w:bookmarkStart w:id="1257" w:name="_Toc247534608"/>
      <w:bookmarkStart w:id="1258" w:name="_Toc279938555"/>
      <w:bookmarkStart w:id="1259" w:name="_Toc8010"/>
      <w:bookmarkStart w:id="1260" w:name="_Toc122315981"/>
      <w:bookmarkStart w:id="1261" w:name="_Toc232309841"/>
      <w:bookmarkStart w:id="1262" w:name="_Toc280531364"/>
      <w:bookmarkStart w:id="1263" w:name="_Toc122316144"/>
      <w:bookmarkStart w:id="1264" w:name="_Toc121904232"/>
      <w:bookmarkStart w:id="1265" w:name="_Toc111261315"/>
      <w:bookmarkStart w:id="1266" w:name="_Toc237539816"/>
      <w:bookmarkStart w:id="1267" w:name="_Toc237541328"/>
      <w:bookmarkStart w:id="1268" w:name="_Toc133205817"/>
      <w:bookmarkStart w:id="1269" w:name="_Toc224475836"/>
      <w:bookmarkStart w:id="1270" w:name="_Toc120958657"/>
      <w:r>
        <w:rPr>
          <w:rFonts w:hint="eastAsia" w:ascii="宋体" w:hAnsi="宋体" w:eastAsia="宋体" w:cs="宋体"/>
          <w:b/>
          <w:bCs/>
          <w:color w:val="auto"/>
          <w:kern w:val="2"/>
          <w:sz w:val="24"/>
          <w:szCs w:val="24"/>
          <w:highlight w:val="none"/>
          <w:lang w:val="en-US" w:eastAsia="zh-CN" w:bidi="ar-SA"/>
        </w:rPr>
        <w:t>6.3 填料运输</w:t>
      </w:r>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p>
    <w:p w14:paraId="408A5ECC">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271" w:name="_Toc369165148"/>
      <w:bookmarkStart w:id="1272" w:name="_Toc224551939"/>
      <w:bookmarkStart w:id="1273" w:name="_Toc18521"/>
      <w:bookmarkStart w:id="1274" w:name="_Toc368991975"/>
      <w:bookmarkStart w:id="1275" w:name="_Toc247534609"/>
      <w:bookmarkStart w:id="1276" w:name="_Toc368993461"/>
      <w:bookmarkStart w:id="1277" w:name="_Toc369166147"/>
      <w:bookmarkStart w:id="1278" w:name="_Toc237539817"/>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 运输设备</w:t>
      </w:r>
      <w:bookmarkEnd w:id="1271"/>
      <w:bookmarkEnd w:id="1272"/>
      <w:bookmarkEnd w:id="1273"/>
      <w:bookmarkEnd w:id="1274"/>
      <w:bookmarkEnd w:id="1275"/>
      <w:bookmarkEnd w:id="1276"/>
      <w:bookmarkEnd w:id="1277"/>
      <w:bookmarkEnd w:id="1278"/>
    </w:p>
    <w:p w14:paraId="2767786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1．承包人应根据施工现场的实际情况，合理选定运输路线，尽量提高机械利用率。</w:t>
      </w:r>
    </w:p>
    <w:p w14:paraId="4F9D290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2．填料应采用自卸汽车运输，因施工需要而改用其它方式运输时，承包人应经过论证，并提交措施计划报送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w:t>
      </w:r>
    </w:p>
    <w:p w14:paraId="18A47AA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3．运输土料使用的车辆应相对固定，并经常保持车厢、轮胎的清洁，防止残留在车厢和轮胎上的泥土带入填筑区。</w:t>
      </w:r>
    </w:p>
    <w:p w14:paraId="2AE9F3E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279" w:name="_Toc368993462"/>
      <w:bookmarkStart w:id="1280" w:name="_Toc21035"/>
      <w:bookmarkStart w:id="1281" w:name="_Toc237539818"/>
      <w:bookmarkStart w:id="1282" w:name="_Toc224551940"/>
      <w:bookmarkStart w:id="1283" w:name="_Toc369165149"/>
      <w:bookmarkStart w:id="1284" w:name="_Toc247534610"/>
      <w:bookmarkStart w:id="1285" w:name="_Toc369166148"/>
      <w:bookmarkStart w:id="1286" w:name="_Toc368991976"/>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 运输措施</w:t>
      </w:r>
      <w:bookmarkEnd w:id="1279"/>
      <w:bookmarkEnd w:id="1280"/>
      <w:bookmarkEnd w:id="1281"/>
      <w:bookmarkEnd w:id="1282"/>
      <w:bookmarkEnd w:id="1283"/>
      <w:bookmarkEnd w:id="1284"/>
      <w:bookmarkEnd w:id="1285"/>
      <w:bookmarkEnd w:id="1286"/>
    </w:p>
    <w:p w14:paraId="6D6F7FD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1．土料运输应与料场装料和填筑面卸料、铺料等工序持续和连贯进行，以免周转过多而导致含水量的过大变化。</w:t>
      </w:r>
    </w:p>
    <w:p w14:paraId="73B6352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认为不合格的土料，一律不得用于本合同工程。</w:t>
      </w:r>
    </w:p>
    <w:p w14:paraId="50409FF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3．夜间</w:t>
      </w:r>
      <w:r>
        <w:rPr>
          <w:rFonts w:hint="eastAsia" w:ascii="宋体" w:hAnsi="宋体" w:eastAsia="宋体" w:cs="宋体"/>
          <w:color w:val="auto"/>
          <w:sz w:val="24"/>
          <w:szCs w:val="24"/>
          <w:highlight w:val="none"/>
          <w:lang w:eastAsia="zh-CN"/>
        </w:rPr>
        <w:t>不安排施工</w:t>
      </w:r>
      <w:r>
        <w:rPr>
          <w:rFonts w:hint="eastAsia" w:ascii="宋体" w:hAnsi="宋体" w:eastAsia="宋体" w:cs="宋体"/>
          <w:color w:val="auto"/>
          <w:sz w:val="24"/>
          <w:szCs w:val="24"/>
          <w:highlight w:val="none"/>
        </w:rPr>
        <w:t>。</w:t>
      </w:r>
    </w:p>
    <w:p w14:paraId="4B6049CA">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287" w:name="_Toc237539819"/>
      <w:bookmarkStart w:id="1288" w:name="_Toc224476634"/>
      <w:bookmarkStart w:id="1289" w:name="_Toc232309842"/>
      <w:bookmarkStart w:id="1290" w:name="_Toc21671"/>
      <w:bookmarkStart w:id="1291" w:name="_Toc237541329"/>
      <w:bookmarkStart w:id="1292" w:name="_Toc280531365"/>
      <w:bookmarkStart w:id="1293" w:name="_Toc279938556"/>
      <w:bookmarkStart w:id="1294" w:name="_Toc369765762"/>
      <w:bookmarkStart w:id="1295" w:name="_Toc224475837"/>
      <w:bookmarkStart w:id="1296" w:name="_Toc247534611"/>
      <w:bookmarkStart w:id="1297" w:name="_Toc492387170"/>
      <w:bookmarkStart w:id="1298" w:name="_Toc249517777"/>
      <w:r>
        <w:rPr>
          <w:rFonts w:hint="eastAsia" w:ascii="宋体" w:hAnsi="宋体" w:eastAsia="宋体" w:cs="宋体"/>
          <w:b/>
          <w:bCs/>
          <w:color w:val="auto"/>
          <w:kern w:val="2"/>
          <w:sz w:val="24"/>
          <w:szCs w:val="24"/>
          <w:highlight w:val="none"/>
          <w:lang w:val="en-US" w:eastAsia="zh-CN" w:bidi="ar-SA"/>
        </w:rPr>
        <w:t xml:space="preserve">6.4 </w:t>
      </w:r>
      <w:bookmarkStart w:id="1299" w:name="_Toc121904233"/>
      <w:bookmarkStart w:id="1300" w:name="_Toc133205435"/>
      <w:bookmarkStart w:id="1301" w:name="_Toc111261316"/>
      <w:bookmarkStart w:id="1302" w:name="_Toc133161640"/>
      <w:bookmarkStart w:id="1303" w:name="_Toc122315982"/>
      <w:bookmarkStart w:id="1304" w:name="_Toc133161826"/>
      <w:bookmarkStart w:id="1305" w:name="_Toc111474044"/>
      <w:bookmarkStart w:id="1306" w:name="_Toc120958658"/>
      <w:bookmarkStart w:id="1307" w:name="_Toc120962420"/>
      <w:bookmarkStart w:id="1308" w:name="_Toc122316145"/>
      <w:bookmarkStart w:id="1309" w:name="_Toc120958495"/>
      <w:bookmarkStart w:id="1310" w:name="_Toc122249861"/>
      <w:bookmarkStart w:id="1311" w:name="_Toc133205818"/>
      <w:bookmarkStart w:id="1312" w:name="_Toc111433264"/>
      <w:r>
        <w:rPr>
          <w:rFonts w:hint="eastAsia" w:ascii="宋体" w:hAnsi="宋体" w:eastAsia="宋体" w:cs="宋体"/>
          <w:b/>
          <w:bCs/>
          <w:color w:val="auto"/>
          <w:kern w:val="2"/>
          <w:sz w:val="24"/>
          <w:szCs w:val="24"/>
          <w:highlight w:val="none"/>
          <w:lang w:val="en-US" w:eastAsia="zh-CN" w:bidi="ar-SA"/>
        </w:rPr>
        <w:t>土方填筑</w:t>
      </w:r>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p>
    <w:p w14:paraId="57D61E76">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313" w:name="_Toc368991978"/>
      <w:bookmarkStart w:id="1314" w:name="_Toc369165151"/>
      <w:bookmarkStart w:id="1315" w:name="_Toc8330"/>
      <w:bookmarkStart w:id="1316" w:name="_Toc247534612"/>
      <w:bookmarkStart w:id="1317" w:name="_Toc237539820"/>
      <w:bookmarkStart w:id="1318" w:name="_Toc369166150"/>
      <w:bookmarkStart w:id="1319" w:name="_Toc368993464"/>
      <w:bookmarkStart w:id="1320" w:name="_Toc224551942"/>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 说明</w:t>
      </w:r>
      <w:bookmarkEnd w:id="1313"/>
      <w:bookmarkEnd w:id="1314"/>
      <w:bookmarkEnd w:id="1315"/>
      <w:bookmarkEnd w:id="1316"/>
      <w:bookmarkEnd w:id="1317"/>
      <w:bookmarkEnd w:id="1318"/>
      <w:bookmarkEnd w:id="1319"/>
      <w:bookmarkEnd w:id="1320"/>
    </w:p>
    <w:p w14:paraId="707C6CC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1．本节所述的土方填筑适用于各部位的土方填筑。</w:t>
      </w:r>
    </w:p>
    <w:p w14:paraId="492FC6D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2．施工图纸所示的工程填筑尺寸应是已考虑了沉陷影响后的外形尺寸和高程。</w:t>
      </w:r>
    </w:p>
    <w:p w14:paraId="0A2D0E4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321" w:name="_Toc368991979"/>
      <w:bookmarkStart w:id="1322" w:name="_Toc247534613"/>
      <w:bookmarkStart w:id="1323" w:name="_Toc369166151"/>
      <w:bookmarkStart w:id="1324" w:name="_Toc237539821"/>
      <w:bookmarkStart w:id="1325" w:name="_Toc368993465"/>
      <w:bookmarkStart w:id="1326" w:name="_Toc224551943"/>
      <w:bookmarkStart w:id="1327" w:name="_Toc369165152"/>
      <w:bookmarkStart w:id="1328" w:name="_Toc26955"/>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.2土方填筑前的准备</w:t>
      </w:r>
      <w:bookmarkEnd w:id="1321"/>
      <w:bookmarkEnd w:id="1322"/>
      <w:bookmarkEnd w:id="1323"/>
      <w:bookmarkEnd w:id="1324"/>
      <w:bookmarkEnd w:id="1325"/>
      <w:bookmarkEnd w:id="1326"/>
      <w:bookmarkEnd w:id="1327"/>
      <w:bookmarkEnd w:id="1328"/>
    </w:p>
    <w:p w14:paraId="1A6C9D2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的指示和本技术条款相关规定，完成土方填筑部位的基础清理和排水工作。</w:t>
      </w:r>
    </w:p>
    <w:p w14:paraId="0263E76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．引河堤防工程，必须清除新老堤结合部位的杂草、树根等各种杂物和疏松土层，再分层填筑。堤基树根清除必须满足以下要求：</w:t>
      </w:r>
    </w:p>
    <w:p w14:paraId="0BC9147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（1）清基后，不得有直径大于3cm的树根。</w:t>
      </w:r>
    </w:p>
    <w:p w14:paraId="5DD7594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（2）清基后1m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rPr>
        <w:t>范围内直径小于3cm的树根不得多于3根。</w:t>
      </w:r>
    </w:p>
    <w:p w14:paraId="461FA81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．所有堤基开挖、清除的弃土、杂物、</w:t>
      </w:r>
      <w:r>
        <w:rPr>
          <w:rFonts w:hint="eastAsia" w:ascii="宋体" w:hAnsi="宋体" w:eastAsia="宋体" w:cs="宋体"/>
          <w:color w:val="auto"/>
          <w:sz w:val="24"/>
          <w:szCs w:val="24"/>
          <w:highlight w:val="none"/>
          <w:lang w:eastAsia="zh-CN"/>
        </w:rPr>
        <w:t>废渣</w:t>
      </w:r>
      <w:r>
        <w:rPr>
          <w:rFonts w:hint="eastAsia" w:ascii="宋体" w:hAnsi="宋体" w:eastAsia="宋体" w:cs="宋体"/>
          <w:color w:val="auto"/>
          <w:sz w:val="24"/>
          <w:szCs w:val="24"/>
          <w:highlight w:val="none"/>
        </w:rPr>
        <w:t>等均应运到指定的场地堆放，不得随地弃置，更不得与筑堤土料混杂。</w:t>
      </w:r>
    </w:p>
    <w:p w14:paraId="2C2732B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．经深层清理的隐蔽工程部位，清理后</w:t>
      </w:r>
      <w:r>
        <w:rPr>
          <w:rFonts w:hint="eastAsia" w:ascii="宋体" w:hAnsi="宋体" w:eastAsia="宋体" w:cs="宋体"/>
          <w:color w:val="auto"/>
          <w:sz w:val="24"/>
          <w:szCs w:val="24"/>
          <w:highlight w:val="none"/>
          <w:lang w:eastAsia="zh-CN"/>
        </w:rPr>
        <w:t>覆土</w:t>
      </w:r>
      <w:r>
        <w:rPr>
          <w:rFonts w:hint="eastAsia" w:ascii="宋体" w:hAnsi="宋体" w:eastAsia="宋体" w:cs="宋体"/>
          <w:color w:val="auto"/>
          <w:sz w:val="24"/>
          <w:szCs w:val="24"/>
          <w:highlight w:val="none"/>
        </w:rPr>
        <w:t>，应视作大堤填筑，其工程质量要求、检验程序与堤防填筑一致。堤基填土应分层分批，铺土厚度控制0.2～0.3m。</w:t>
      </w:r>
    </w:p>
    <w:p w14:paraId="7EBF653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．土方填筑部位的全部基础处理工作，应按施工图纸要求施工完毕。经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按本合同条款以及本技术条款相关规定进行验收，合格后，才能开始上部土方填筑。基面验收后应及时填筑，若因故延搁，不能及时立即施工时，应做好基面保护，复工前应再检验，必要时须重新清理。</w:t>
      </w:r>
    </w:p>
    <w:p w14:paraId="46C061E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．堤基处理应按《堤防工程设计规范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堤防工程施工规范》等有关规范进行施工。</w:t>
      </w:r>
    </w:p>
    <w:p w14:paraId="544A0B0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329" w:name="_Toc368991980"/>
      <w:bookmarkStart w:id="1330" w:name="_Toc22134"/>
      <w:bookmarkStart w:id="1331" w:name="_Toc369166152"/>
      <w:bookmarkStart w:id="1332" w:name="_Toc369165153"/>
      <w:bookmarkStart w:id="1333" w:name="_Toc247534614"/>
      <w:bookmarkStart w:id="1334" w:name="_Toc224551944"/>
      <w:bookmarkStart w:id="1335" w:name="_Toc237539822"/>
      <w:bookmarkStart w:id="1336" w:name="_Toc368993466"/>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 建筑物墙后回填土填筑</w:t>
      </w:r>
      <w:bookmarkEnd w:id="1329"/>
      <w:bookmarkEnd w:id="1330"/>
      <w:bookmarkEnd w:id="1331"/>
      <w:bookmarkEnd w:id="1332"/>
      <w:bookmarkEnd w:id="1333"/>
      <w:bookmarkEnd w:id="1334"/>
      <w:bookmarkEnd w:id="1335"/>
      <w:bookmarkEnd w:id="1336"/>
    </w:p>
    <w:p w14:paraId="362C38B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挡墙墙后回填土的填筑要求：</w:t>
      </w:r>
    </w:p>
    <w:p w14:paraId="0ED22EA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337" w:name="_Toc511022913"/>
      <w:r>
        <w:rPr>
          <w:rFonts w:hint="eastAsia" w:ascii="宋体" w:hAnsi="宋体" w:eastAsia="宋体" w:cs="宋体"/>
          <w:color w:val="auto"/>
          <w:sz w:val="24"/>
          <w:szCs w:val="24"/>
          <w:highlight w:val="none"/>
        </w:rPr>
        <w:t>1．铺填作业应从最低处开始，按水平层次进行，不得顺坡铺填。</w:t>
      </w:r>
      <w:bookmarkEnd w:id="1337"/>
      <w:bookmarkStart w:id="1338" w:name="_Toc511022914"/>
    </w:p>
    <w:bookmarkEnd w:id="1338"/>
    <w:p w14:paraId="455A78B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339" w:name="_Toc511022915"/>
      <w:r>
        <w:rPr>
          <w:rFonts w:hint="eastAsia" w:ascii="宋体" w:hAnsi="宋体" w:eastAsia="宋体" w:cs="宋体"/>
          <w:color w:val="auto"/>
          <w:sz w:val="24"/>
          <w:szCs w:val="24"/>
          <w:highlight w:val="none"/>
        </w:rPr>
        <w:t>2．严禁将砂（砾）料或其他透水料与</w:t>
      </w:r>
      <w:r>
        <w:rPr>
          <w:rFonts w:hint="eastAsia" w:ascii="宋体" w:hAnsi="宋体" w:eastAsia="宋体" w:cs="宋体"/>
          <w:color w:val="auto"/>
          <w:sz w:val="24"/>
          <w:szCs w:val="24"/>
          <w:highlight w:val="none"/>
          <w:lang w:eastAsia="zh-CN"/>
        </w:rPr>
        <w:t>黏性</w:t>
      </w:r>
      <w:r>
        <w:rPr>
          <w:rFonts w:hint="eastAsia" w:ascii="宋体" w:hAnsi="宋体" w:eastAsia="宋体" w:cs="宋体"/>
          <w:color w:val="auto"/>
          <w:sz w:val="24"/>
          <w:szCs w:val="24"/>
          <w:highlight w:val="none"/>
        </w:rPr>
        <w:t>土料混杂，土料中的杂质应予清除。</w:t>
      </w:r>
    </w:p>
    <w:p w14:paraId="4B6D5F4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3．作业面应分层统一铺土、统一碾压，并配备人员或平土机具参与整平作业，严禁出现界沟。</w:t>
      </w:r>
      <w:bookmarkEnd w:id="1339"/>
      <w:r>
        <w:rPr>
          <w:rFonts w:hint="eastAsia" w:ascii="宋体" w:hAnsi="宋体" w:eastAsia="宋体" w:cs="宋体"/>
          <w:color w:val="auto"/>
          <w:sz w:val="24"/>
          <w:szCs w:val="24"/>
          <w:highlight w:val="none"/>
        </w:rPr>
        <w:t>膨胀土改良土与常规土料结合部处应先填改良土后填其他土料。</w:t>
      </w:r>
    </w:p>
    <w:p w14:paraId="1C358C2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340" w:name="_Toc511022916"/>
      <w:r>
        <w:rPr>
          <w:rFonts w:hint="eastAsia" w:ascii="宋体" w:hAnsi="宋体" w:eastAsia="宋体" w:cs="宋体"/>
          <w:color w:val="auto"/>
          <w:sz w:val="24"/>
          <w:szCs w:val="24"/>
          <w:highlight w:val="none"/>
        </w:rPr>
        <w:t>4．机械碾压不到的部位，应辅以夯具夯实，夯实时应采用连环套打法，夯迹双向套压，夯迹搭压宽度应不小于1/3夯径。</w:t>
      </w:r>
      <w:bookmarkEnd w:id="1340"/>
    </w:p>
    <w:p w14:paraId="67DD54C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341" w:name="_Toc511022917"/>
      <w:r>
        <w:rPr>
          <w:rFonts w:hint="eastAsia" w:ascii="宋体" w:hAnsi="宋体" w:eastAsia="宋体" w:cs="宋体"/>
          <w:color w:val="auto"/>
          <w:sz w:val="24"/>
          <w:szCs w:val="24"/>
          <w:highlight w:val="none"/>
        </w:rPr>
        <w:t>5．每一填土层按规定的施工压实参数或类似条件的碾压经验施工完毕后，应经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检查合格后才能继续铺填新土。</w:t>
      </w:r>
      <w:bookmarkEnd w:id="1341"/>
      <w:r>
        <w:rPr>
          <w:rFonts w:hint="eastAsia" w:ascii="宋体" w:hAnsi="宋体" w:eastAsia="宋体" w:cs="宋体"/>
          <w:color w:val="auto"/>
          <w:sz w:val="24"/>
          <w:szCs w:val="24"/>
          <w:highlight w:val="none"/>
        </w:rPr>
        <w:t>经验收合格的填筑层因故未继续施工，复工前应进行刨面、洒水处理，并经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验收合格后才能铺筑新土，以使层间结合紧密。</w:t>
      </w:r>
    </w:p>
    <w:p w14:paraId="5B35382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342" w:name="_Toc511022918"/>
      <w:r>
        <w:rPr>
          <w:rFonts w:hint="eastAsia" w:ascii="宋体" w:hAnsi="宋体" w:eastAsia="宋体" w:cs="宋体"/>
          <w:color w:val="auto"/>
          <w:sz w:val="24"/>
          <w:szCs w:val="24"/>
          <w:highlight w:val="none"/>
        </w:rPr>
        <w:t>6．压实土体不应出现干松土、弹簧土、剪切破坏、光面等不良现象。</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检查认为不合格时，有权要求承包人返工处理，经检验合格后方可铺新土。</w:t>
      </w:r>
      <w:bookmarkEnd w:id="1342"/>
    </w:p>
    <w:p w14:paraId="2F2C223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7．在原土堤的斜坡结合面上填筑时，应随填筑面上升进行削坡，并削至质量合格层；削坡合格后，应控制好结合面土料的含水量，边刨毛、边铺土、边压实。</w:t>
      </w:r>
    </w:p>
    <w:p w14:paraId="4DA3852B">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343" w:name="_Toc224551945"/>
      <w:bookmarkStart w:id="1344" w:name="_Toc368991981"/>
      <w:bookmarkStart w:id="1345" w:name="_Toc368993467"/>
      <w:bookmarkStart w:id="1346" w:name="_Toc4766"/>
      <w:bookmarkStart w:id="1347" w:name="_Toc247534615"/>
      <w:bookmarkStart w:id="1348" w:name="_Toc237539823"/>
      <w:bookmarkStart w:id="1349" w:name="_Toc369165154"/>
      <w:bookmarkStart w:id="1350" w:name="_Toc369166153"/>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.4 堤防填筑</w:t>
      </w:r>
      <w:bookmarkEnd w:id="1343"/>
      <w:bookmarkEnd w:id="1344"/>
      <w:bookmarkEnd w:id="1345"/>
      <w:bookmarkEnd w:id="1346"/>
      <w:bookmarkEnd w:id="1347"/>
      <w:bookmarkEnd w:id="1348"/>
      <w:bookmarkEnd w:id="1349"/>
      <w:bookmarkEnd w:id="1350"/>
    </w:p>
    <w:p w14:paraId="1E43EE2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1．铺料作业</w:t>
      </w:r>
    </w:p>
    <w:p w14:paraId="012A170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应按设计要求将土料（按进占法施工）铺至规定部位，每层土料的铺填，必须在接到</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的上土令后方可进行。严禁将砂（砾）料或其他透水料与</w:t>
      </w:r>
      <w:r>
        <w:rPr>
          <w:rFonts w:hint="eastAsia" w:ascii="宋体" w:hAnsi="宋体" w:eastAsia="宋体" w:cs="宋体"/>
          <w:color w:val="auto"/>
          <w:sz w:val="24"/>
          <w:szCs w:val="24"/>
          <w:highlight w:val="none"/>
          <w:lang w:eastAsia="zh-CN"/>
        </w:rPr>
        <w:t>黏性</w:t>
      </w:r>
      <w:r>
        <w:rPr>
          <w:rFonts w:hint="eastAsia" w:ascii="宋体" w:hAnsi="宋体" w:eastAsia="宋体" w:cs="宋体"/>
          <w:color w:val="auto"/>
          <w:sz w:val="24"/>
          <w:szCs w:val="24"/>
          <w:highlight w:val="none"/>
        </w:rPr>
        <w:t>土料混杂，上堤土料中的杂质应予清除。铺料厚度和土块直径的限制尺寸，宜通过碾压试验确定，一般铺料厚度要求为0.25m（允许偏差≤±5cm），土块粒径≤10cm。铺料至堤边时，应在设计边线外侧各超填一定余量：人工铺料宜为10cm，机械铺料宜为30cm。</w:t>
      </w:r>
    </w:p>
    <w:p w14:paraId="014BB29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2．填筑作业</w:t>
      </w:r>
    </w:p>
    <w:p w14:paraId="7CC4593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应符合下列要求：</w:t>
      </w:r>
    </w:p>
    <w:p w14:paraId="0845F3A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（1）地面起伏不平时，应按水平分层由低处开始逐层填筑，不得顺坡铺填；堤防横断面上的地面坡度陡于1:5时，应将地面坡度削至缓于1:5。</w:t>
      </w:r>
    </w:p>
    <w:p w14:paraId="0F3CAAD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（2）分段作业面的最小长度不应小于100m。作业面应分层统一铺土、统一碾压，并配备人员或平土机具参与整平作业，严禁出现界沟。</w:t>
      </w:r>
    </w:p>
    <w:p w14:paraId="7B47AC8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相邻施工段的作业面宜均衡上升，若段与段之间不可避免出现高差时，应以斜坡面相接，坡度可采用1:3～1:5，高差大时宜用缓坡。作业面不能平衡进土，且高差在1.5m以上，产生坡面施工接缝时，应作为隐蔽工程处理，接缝施工应由</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负责验收。</w:t>
      </w:r>
    </w:p>
    <w:p w14:paraId="70F4A28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（4）在土堤的斜坡结合面上填筑时，应随填筑面上升进行削坡，并削至质量合格层；削坡合格后，应控制好结合面土料的含水量，边刨毛、边铺土、边压实。</w:t>
      </w:r>
    </w:p>
    <w:p w14:paraId="7CFAD5E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（5）已铺土料表面在压实前被晒干时，应洒水湿润。</w:t>
      </w:r>
    </w:p>
    <w:p w14:paraId="7C40ED0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（6）用光面碾磙压实</w:t>
      </w:r>
      <w:r>
        <w:rPr>
          <w:rFonts w:hint="eastAsia" w:ascii="宋体" w:hAnsi="宋体" w:eastAsia="宋体" w:cs="宋体"/>
          <w:color w:val="auto"/>
          <w:sz w:val="24"/>
          <w:szCs w:val="24"/>
          <w:highlight w:val="none"/>
          <w:lang w:eastAsia="zh-CN"/>
        </w:rPr>
        <w:t>黏性</w:t>
      </w:r>
      <w:r>
        <w:rPr>
          <w:rFonts w:hint="eastAsia" w:ascii="宋体" w:hAnsi="宋体" w:eastAsia="宋体" w:cs="宋体"/>
          <w:color w:val="auto"/>
          <w:sz w:val="24"/>
          <w:szCs w:val="24"/>
          <w:highlight w:val="none"/>
        </w:rPr>
        <w:t>土填筑层，新层铺料前，应对压光层面</w:t>
      </w:r>
      <w:r>
        <w:rPr>
          <w:rFonts w:hint="eastAsia" w:ascii="宋体" w:hAnsi="宋体" w:eastAsia="宋体" w:cs="宋体"/>
          <w:color w:val="auto"/>
          <w:sz w:val="24"/>
          <w:szCs w:val="24"/>
          <w:highlight w:val="none"/>
          <w:lang w:eastAsia="zh-CN"/>
        </w:rPr>
        <w:t>做</w:t>
      </w:r>
      <w:r>
        <w:rPr>
          <w:rFonts w:hint="eastAsia" w:ascii="宋体" w:hAnsi="宋体" w:eastAsia="宋体" w:cs="宋体"/>
          <w:color w:val="auto"/>
          <w:sz w:val="24"/>
          <w:szCs w:val="24"/>
          <w:highlight w:val="none"/>
        </w:rPr>
        <w:t>刨毛处理。填筑层检验合格后因故未继续施工，因搁置较久或经过雨淋干湿交替使表面产生疏松层时，复工前应进行复压处理。</w:t>
      </w:r>
    </w:p>
    <w:p w14:paraId="0331087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（7）如发现局部“弹簧土”、层间光面、层间中空、松土层或剪切破坏等质量问题时，应及时处理，并经检验合格后，方准铺填新土。</w:t>
      </w:r>
    </w:p>
    <w:p w14:paraId="668FC1B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（8）对占压堤身断面的上堤临时马道、坡道作补缺口处理，须将已板结老土刨松，与新铺土料统一按填筑要求分层压实。</w:t>
      </w:r>
    </w:p>
    <w:p w14:paraId="618DED5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（9）堤后有弃土平台时，应分层按设计全断面填筑，不得先筑堤，后筑平台。堤正身部分自碾加专门碾压，弃土部分以自碾为主。</w:t>
      </w:r>
    </w:p>
    <w:p w14:paraId="2392019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（10）堤身填筑应按规范要求预留沉降超高。</w:t>
      </w:r>
    </w:p>
    <w:p w14:paraId="11B30B3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（11）堤身全断面填筑完毕后，应作整坡压实及削坡处理，并对堤防两侧护堤地面的坑洼进行铺填平整。</w:t>
      </w:r>
    </w:p>
    <w:p w14:paraId="51A55A1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3．压实作业</w:t>
      </w:r>
    </w:p>
    <w:p w14:paraId="754C6D8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（1）施工前应先做碾压试验，验证碾压质量达到设计干密度值的措施。</w:t>
      </w:r>
    </w:p>
    <w:p w14:paraId="3ED48AF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（2）分段填筑，各段应设立标志，以防漏压、欠压和过压。上下层的接缝位置应错开。每层应设高程桩网，以保证按规定层厚进土。</w:t>
      </w:r>
    </w:p>
    <w:p w14:paraId="23ADAB7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（3）碾压施工应符合下列规定：</w:t>
      </w:r>
    </w:p>
    <w:p w14:paraId="6F70885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1）碾压机械行走方向应以达到最佳自碾效果为原则设计，施工道路及马道的间距不小于50m。</w:t>
      </w:r>
    </w:p>
    <w:p w14:paraId="63BD6A2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2）分段、分片碾压，相邻作业面的搭接碾压宽度，平行堤轴线方向不应小于0.5m，垂直堤轴线方向不应小于3m。</w:t>
      </w:r>
    </w:p>
    <w:p w14:paraId="75D370A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3）拖拉机带碾磙或振动碾压作业，宜采用进退错距法，碾压搭压宽度应大于10cm；铲运机兼作压实机械时，宜采用轮迹排压法，轮迹应搭压轮宽的1/3。</w:t>
      </w:r>
    </w:p>
    <w:p w14:paraId="736C4EC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4）机械碾压时应控制行车速度，以不超过下列规定为宜：平碾为2Km/h，振动碾为2Km/h，铲运机为2档。</w:t>
      </w:r>
    </w:p>
    <w:p w14:paraId="7A24EEA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5）机械碾压不到的部位，应辅以夯具夯实，夯实时应采用连环套打法，夯迹双向套压，夯压夯1/3，行压行1/3；分段、分片夯实时，夯迹搭压宽度应不小于1/3夯径。</w:t>
      </w:r>
    </w:p>
    <w:p w14:paraId="3B9B6221">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351" w:name="_Toc247534634"/>
      <w:bookmarkStart w:id="1352" w:name="_Toc133205437"/>
      <w:bookmarkStart w:id="1353" w:name="_Toc122315985"/>
      <w:bookmarkStart w:id="1354" w:name="_Toc120962423"/>
      <w:bookmarkStart w:id="1355" w:name="_Toc111474047"/>
      <w:bookmarkStart w:id="1356" w:name="_Toc133205820"/>
      <w:bookmarkStart w:id="1357" w:name="_Toc122249864"/>
      <w:bookmarkStart w:id="1358" w:name="_Toc120958498"/>
      <w:bookmarkStart w:id="1359" w:name="_Toc224475840"/>
      <w:bookmarkStart w:id="1360" w:name="_Toc280531372"/>
      <w:bookmarkStart w:id="1361" w:name="_Toc224476644"/>
      <w:bookmarkStart w:id="1362" w:name="_Toc237539834"/>
      <w:bookmarkStart w:id="1363" w:name="_Toc232309845"/>
      <w:bookmarkStart w:id="1364" w:name="_Toc249517783"/>
      <w:bookmarkStart w:id="1365" w:name="_Toc133161642"/>
      <w:bookmarkStart w:id="1366" w:name="_Toc111433267"/>
      <w:bookmarkStart w:id="1367" w:name="_Toc237541335"/>
      <w:bookmarkStart w:id="1368" w:name="_Toc122316148"/>
      <w:bookmarkStart w:id="1369" w:name="_Toc369765769"/>
      <w:bookmarkStart w:id="1370" w:name="_Toc111261320"/>
      <w:bookmarkStart w:id="1371" w:name="_Toc133161828"/>
      <w:bookmarkStart w:id="1372" w:name="_Toc2814"/>
      <w:bookmarkStart w:id="1373" w:name="_Toc492387171"/>
      <w:bookmarkStart w:id="1374" w:name="_Toc279938560"/>
      <w:bookmarkStart w:id="1375" w:name="_Toc121904236"/>
      <w:bookmarkStart w:id="1376" w:name="_Toc120958661"/>
      <w:r>
        <w:rPr>
          <w:rFonts w:hint="eastAsia" w:ascii="宋体" w:hAnsi="宋体" w:eastAsia="宋体" w:cs="宋体"/>
          <w:b/>
          <w:bCs/>
          <w:color w:val="auto"/>
          <w:kern w:val="2"/>
          <w:sz w:val="24"/>
          <w:szCs w:val="24"/>
          <w:highlight w:val="none"/>
          <w:lang w:val="en-US" w:eastAsia="zh-CN" w:bidi="ar-SA"/>
        </w:rPr>
        <w:t>6.5 质量检查和验收</w:t>
      </w:r>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p>
    <w:p w14:paraId="316782C8">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377" w:name="_Toc224551956"/>
      <w:bookmarkStart w:id="1378" w:name="_Toc369166177"/>
      <w:bookmarkStart w:id="1379" w:name="_Toc368993491"/>
      <w:bookmarkStart w:id="1380" w:name="_Toc237541336"/>
      <w:bookmarkStart w:id="1381" w:name="_Toc368992005"/>
      <w:bookmarkStart w:id="1382" w:name="_Toc247534635"/>
      <w:bookmarkStart w:id="1383" w:name="_Toc237539835"/>
      <w:bookmarkStart w:id="1384" w:name="_Toc16484"/>
      <w:bookmarkStart w:id="1385" w:name="_Toc369165178"/>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 建筑物墙后回填土方工程的质量检查和验收</w:t>
      </w:r>
      <w:bookmarkEnd w:id="1377"/>
      <w:bookmarkEnd w:id="1378"/>
      <w:bookmarkEnd w:id="1379"/>
      <w:bookmarkEnd w:id="1380"/>
      <w:bookmarkEnd w:id="1381"/>
      <w:bookmarkEnd w:id="1382"/>
      <w:bookmarkEnd w:id="1383"/>
      <w:bookmarkEnd w:id="1384"/>
      <w:bookmarkEnd w:id="1385"/>
    </w:p>
    <w:p w14:paraId="11F8204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386" w:name="_Toc237541337"/>
      <w:r>
        <w:rPr>
          <w:rFonts w:hint="eastAsia" w:ascii="宋体" w:hAnsi="宋体" w:eastAsia="宋体" w:cs="宋体"/>
          <w:color w:val="auto"/>
          <w:sz w:val="24"/>
          <w:szCs w:val="24"/>
          <w:highlight w:val="none"/>
        </w:rPr>
        <w:t>1．土方填筑前，承包人应会同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进行以下各项目的质量检查和验收：</w:t>
      </w:r>
      <w:bookmarkEnd w:id="1386"/>
    </w:p>
    <w:p w14:paraId="4495747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（1）填筑前地形平、剖面测量资料的复核检查；</w:t>
      </w:r>
    </w:p>
    <w:p w14:paraId="257F9AA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（2）填筑前按规定进行基础面清理质量的检查和验收；</w:t>
      </w:r>
    </w:p>
    <w:p w14:paraId="5EA0BAC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（3）填料开挖区各种土方填筑料的物理力学性质的抽样检验；</w:t>
      </w:r>
    </w:p>
    <w:p w14:paraId="0E45BCD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（4）现场生产性试验选定的施工碾压参数</w:t>
      </w:r>
      <w:r>
        <w:rPr>
          <w:rFonts w:hint="eastAsia" w:ascii="宋体" w:hAnsi="宋体" w:eastAsia="宋体" w:cs="宋体"/>
          <w:color w:val="auto"/>
          <w:sz w:val="24"/>
          <w:szCs w:val="24"/>
          <w:highlight w:val="none"/>
          <w:lang w:eastAsia="zh-CN"/>
        </w:rPr>
        <w:t>及</w:t>
      </w:r>
      <w:r>
        <w:rPr>
          <w:rFonts w:hint="eastAsia" w:ascii="宋体" w:hAnsi="宋体" w:eastAsia="宋体" w:cs="宋体"/>
          <w:color w:val="auto"/>
          <w:sz w:val="24"/>
          <w:szCs w:val="24"/>
          <w:highlight w:val="none"/>
        </w:rPr>
        <w:t>各项试验成果的检查和验收。</w:t>
      </w:r>
    </w:p>
    <w:p w14:paraId="25E5ACB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387" w:name="_Toc237541338"/>
      <w:r>
        <w:rPr>
          <w:rFonts w:hint="eastAsia" w:ascii="宋体" w:hAnsi="宋体" w:eastAsia="宋体" w:cs="宋体"/>
          <w:color w:val="auto"/>
          <w:sz w:val="24"/>
          <w:szCs w:val="24"/>
          <w:highlight w:val="none"/>
        </w:rPr>
        <w:t>2．施工期的质量检查和验收</w:t>
      </w:r>
      <w:bookmarkEnd w:id="1387"/>
    </w:p>
    <w:p w14:paraId="08DD76F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施工过程中承包人应会同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定期进行以下各项土方填筑材料的质量检查和检验：</w:t>
      </w:r>
    </w:p>
    <w:p w14:paraId="1BC227B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（1）在土料场，对土料的含水量和黏土含量进行检查。</w:t>
      </w:r>
    </w:p>
    <w:p w14:paraId="65589F7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填筑区每层铺土厚度（20～30cm）、压实碾重、压实遍数等施工工艺进行检查；每层土填筑完成，土料的压实指标按规定压实度控制，其检测要求按《土工试验方法标准》（GB50123）进行。经检验合格后方可进行上一层土的填筑。</w:t>
      </w:r>
    </w:p>
    <w:p w14:paraId="574F54F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（3）承包人应按本合同条款的规定和施工图设计要求进行工程隐蔽部位的验收。</w:t>
      </w:r>
    </w:p>
    <w:p w14:paraId="277E10B4">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388" w:name="_Toc368993492"/>
      <w:bookmarkStart w:id="1389" w:name="_Toc369166178"/>
      <w:bookmarkStart w:id="1390" w:name="_Toc237541339"/>
      <w:bookmarkStart w:id="1391" w:name="_Toc369165179"/>
      <w:bookmarkStart w:id="1392" w:name="_Toc26005"/>
      <w:bookmarkStart w:id="1393" w:name="_Toc237539836"/>
      <w:bookmarkStart w:id="1394" w:name="_Toc247534636"/>
      <w:bookmarkStart w:id="1395" w:name="_Toc368992006"/>
      <w:bookmarkStart w:id="1396" w:name="_Toc224551957"/>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 堤防填筑工程的质量检查和验收</w:t>
      </w:r>
      <w:bookmarkEnd w:id="1388"/>
      <w:bookmarkEnd w:id="1389"/>
      <w:bookmarkEnd w:id="1390"/>
      <w:bookmarkEnd w:id="1391"/>
      <w:bookmarkEnd w:id="1392"/>
      <w:bookmarkEnd w:id="1393"/>
      <w:bookmarkEnd w:id="1394"/>
      <w:bookmarkEnd w:id="1395"/>
      <w:bookmarkEnd w:id="1396"/>
    </w:p>
    <w:p w14:paraId="420DC6E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1．堤身填筑施工参数的检查</w:t>
      </w:r>
    </w:p>
    <w:p w14:paraId="2014884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堤身填筑施工参数应与碾压试验参数相符，土料的压实指标按规定压实度控制，其检测要求按《土工试验方法标准》（GB50123—1999）进行。</w:t>
      </w:r>
    </w:p>
    <w:p w14:paraId="41326AB0">
      <w:pPr>
        <w:pageBreakBefore w:val="0"/>
        <w:kinsoku/>
        <w:wordWrap/>
        <w:overflowPunct/>
        <w:topLinePunct w:val="0"/>
        <w:autoSpaceDE/>
        <w:autoSpaceDN/>
        <w:bidi w:val="0"/>
        <w:spacing w:line="360" w:lineRule="auto"/>
        <w:ind w:firstLine="420"/>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现场质量控制，由</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根据各工段不同土质，取样送持证单位做击实试验，取得设计压实度条件下的含水量和控制干密度，作为现场的质量控制指标。取样每500m不得少于一组，地质条件有明显变化的地段取样应加密。</w:t>
      </w:r>
    </w:p>
    <w:p w14:paraId="6B15A4B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3．土堤质量评定</w:t>
      </w:r>
    </w:p>
    <w:p w14:paraId="45DD098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按单元工程进行，并应符合下列要求：</w:t>
      </w:r>
    </w:p>
    <w:p w14:paraId="2250542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（1）单元工程划分：宜按工段内每堤长100m划分一个单元。</w:t>
      </w:r>
    </w:p>
    <w:p w14:paraId="6FBCB4C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（2）单元工程的质量评定，是对单元堤段内全部填土质量的总体评价。现场质量控制由</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根据各施工段的不同土质取样送持证单位做击实试验，取得设计压实度条件下的控制干密度作为现场的质量控制指标。由单元内分层检测的干密度成果累加统计得出其合格率，样本总数应不少于20个。</w:t>
      </w:r>
    </w:p>
    <w:p w14:paraId="4DA75BF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（3）检测干密度值不小于设计干密度值为合格样。</w:t>
      </w:r>
    </w:p>
    <w:p w14:paraId="152F7BC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（4）堤防填筑土方干密度合格率须达90%以上，且必须同时满足下列条件：a. 不合格样干密度值不得低于设计干密度值的96%；b. 不合格样不得集中在局部范围内。</w:t>
      </w:r>
    </w:p>
    <w:p w14:paraId="1E50669A">
      <w:pPr>
        <w:pStyle w:val="2"/>
        <w:pageBreakBefore w:val="0"/>
        <w:tabs>
          <w:tab w:val="center" w:pos="4153"/>
        </w:tabs>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397" w:name="_Toc19561"/>
      <w:bookmarkStart w:id="1398" w:name="_Toc224475842"/>
      <w:bookmarkStart w:id="1399" w:name="_Toc237539841"/>
      <w:bookmarkStart w:id="1400" w:name="_Toc232309847"/>
      <w:bookmarkStart w:id="1401" w:name="_Toc247534641"/>
      <w:bookmarkStart w:id="1402" w:name="_Toc280531374"/>
      <w:bookmarkStart w:id="1403" w:name="_Toc224476646"/>
      <w:bookmarkStart w:id="1404" w:name="_Toc249517785"/>
      <w:bookmarkStart w:id="1405" w:name="_Toc260152100"/>
      <w:bookmarkStart w:id="1406" w:name="_Toc195696858"/>
      <w:bookmarkStart w:id="1407" w:name="_Toc279938562"/>
      <w:bookmarkStart w:id="1408" w:name="_Toc369765771"/>
      <w:bookmarkStart w:id="1409" w:name="_Toc237541344"/>
      <w:r>
        <w:rPr>
          <w:rFonts w:hint="eastAsia" w:ascii="宋体" w:hAnsi="宋体" w:eastAsia="宋体" w:cs="宋体"/>
          <w:color w:val="auto"/>
          <w:sz w:val="24"/>
          <w:szCs w:val="24"/>
          <w:highlight w:val="none"/>
        </w:rPr>
        <w:t>7  砌体工程</w:t>
      </w:r>
      <w:bookmarkEnd w:id="1397"/>
      <w:bookmarkEnd w:id="1398"/>
      <w:bookmarkEnd w:id="1399"/>
      <w:bookmarkEnd w:id="1400"/>
      <w:bookmarkEnd w:id="1401"/>
      <w:bookmarkEnd w:id="1402"/>
      <w:bookmarkEnd w:id="1403"/>
      <w:bookmarkEnd w:id="1404"/>
      <w:bookmarkEnd w:id="1405"/>
      <w:bookmarkEnd w:id="1406"/>
      <w:bookmarkEnd w:id="1407"/>
      <w:bookmarkEnd w:id="1408"/>
      <w:bookmarkEnd w:id="1409"/>
    </w:p>
    <w:p w14:paraId="212EBFEB">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410" w:name="_Toc279938563"/>
      <w:bookmarkStart w:id="1411" w:name="_Toc237539842"/>
      <w:bookmarkStart w:id="1412" w:name="_Toc369765772"/>
      <w:bookmarkStart w:id="1413" w:name="_Toc280531375"/>
      <w:bookmarkStart w:id="1414" w:name="_Toc237541345"/>
      <w:bookmarkStart w:id="1415" w:name="_Toc247534642"/>
      <w:bookmarkStart w:id="1416" w:name="_Toc249517786"/>
      <w:bookmarkStart w:id="1417" w:name="_Toc232309848"/>
      <w:bookmarkStart w:id="1418" w:name="_Toc224475843"/>
      <w:bookmarkStart w:id="1419" w:name="_Toc14301"/>
      <w:bookmarkStart w:id="1420" w:name="_Toc224476647"/>
      <w:r>
        <w:rPr>
          <w:rFonts w:hint="eastAsia" w:ascii="宋体" w:hAnsi="宋体" w:eastAsia="宋体" w:cs="宋体"/>
          <w:b/>
          <w:bCs/>
          <w:color w:val="auto"/>
          <w:kern w:val="2"/>
          <w:sz w:val="24"/>
          <w:szCs w:val="24"/>
          <w:highlight w:val="none"/>
          <w:lang w:val="en-US" w:eastAsia="zh-CN" w:bidi="ar-SA"/>
        </w:rPr>
        <w:t>7.1 一般规定</w:t>
      </w:r>
      <w:bookmarkEnd w:id="1410"/>
      <w:bookmarkEnd w:id="1411"/>
      <w:bookmarkEnd w:id="1412"/>
      <w:bookmarkEnd w:id="1413"/>
      <w:bookmarkEnd w:id="1414"/>
      <w:bookmarkEnd w:id="1415"/>
      <w:bookmarkEnd w:id="1416"/>
      <w:bookmarkEnd w:id="1417"/>
      <w:bookmarkEnd w:id="1418"/>
      <w:bookmarkEnd w:id="1419"/>
      <w:bookmarkEnd w:id="1420"/>
    </w:p>
    <w:p w14:paraId="108CC61E">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421" w:name="_Toc237539843"/>
      <w:bookmarkStart w:id="1422" w:name="_Toc224476648"/>
      <w:bookmarkStart w:id="1423" w:name="_Toc368993500"/>
      <w:bookmarkStart w:id="1424" w:name="_Toc247534643"/>
      <w:bookmarkStart w:id="1425" w:name="_Toc224551964"/>
      <w:bookmarkStart w:id="1426" w:name="_Toc224475844"/>
      <w:bookmarkStart w:id="1427" w:name="_Toc368992014"/>
      <w:bookmarkStart w:id="1428" w:name="_Toc369166186"/>
      <w:bookmarkStart w:id="1429" w:name="_Toc5934"/>
      <w:bookmarkStart w:id="1430" w:name="_Toc369165187"/>
      <w:r>
        <w:rPr>
          <w:rFonts w:hint="eastAsia" w:ascii="宋体" w:hAnsi="宋体" w:eastAsia="宋体" w:cs="宋体"/>
          <w:color w:val="auto"/>
          <w:sz w:val="24"/>
          <w:szCs w:val="24"/>
          <w:highlight w:val="none"/>
        </w:rPr>
        <w:t>7.1.1 应用范围</w:t>
      </w:r>
      <w:bookmarkEnd w:id="1421"/>
      <w:bookmarkEnd w:id="1422"/>
      <w:bookmarkEnd w:id="1423"/>
      <w:bookmarkEnd w:id="1424"/>
      <w:bookmarkEnd w:id="1425"/>
      <w:bookmarkEnd w:id="1426"/>
      <w:bookmarkEnd w:id="1427"/>
      <w:bookmarkEnd w:id="1428"/>
      <w:bookmarkEnd w:id="1429"/>
      <w:bookmarkEnd w:id="1430"/>
    </w:p>
    <w:p w14:paraId="0083973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本章规定适用于本合同施工图纸所示的各类建筑物砌体工程，其工程项目主要为破损浆（灌）砌石修复、生态连锁式护坡等工程。</w:t>
      </w:r>
    </w:p>
    <w:p w14:paraId="4FE79BEA">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431" w:name="_Toc368992015"/>
      <w:bookmarkStart w:id="1432" w:name="_Toc224551965"/>
      <w:bookmarkStart w:id="1433" w:name="_Toc237539844"/>
      <w:bookmarkStart w:id="1434" w:name="_Toc224476649"/>
      <w:bookmarkStart w:id="1435" w:name="_Toc247534644"/>
      <w:bookmarkStart w:id="1436" w:name="_Toc368993501"/>
      <w:bookmarkStart w:id="1437" w:name="_Toc369165188"/>
      <w:bookmarkStart w:id="1438" w:name="_Toc8800"/>
      <w:bookmarkStart w:id="1439" w:name="_Toc224475845"/>
      <w:bookmarkStart w:id="1440" w:name="_Toc369166187"/>
      <w:r>
        <w:rPr>
          <w:rFonts w:hint="eastAsia" w:ascii="宋体" w:hAnsi="宋体" w:eastAsia="宋体" w:cs="宋体"/>
          <w:color w:val="auto"/>
          <w:sz w:val="24"/>
          <w:szCs w:val="24"/>
          <w:highlight w:val="none"/>
        </w:rPr>
        <w:t>7.1.2 承包人责任</w:t>
      </w:r>
      <w:bookmarkEnd w:id="1431"/>
      <w:bookmarkEnd w:id="1432"/>
      <w:bookmarkEnd w:id="1433"/>
      <w:bookmarkEnd w:id="1434"/>
      <w:bookmarkEnd w:id="1435"/>
      <w:bookmarkEnd w:id="1436"/>
      <w:bookmarkEnd w:id="1437"/>
      <w:bookmarkEnd w:id="1438"/>
      <w:bookmarkEnd w:id="1439"/>
      <w:bookmarkEnd w:id="1440"/>
    </w:p>
    <w:p w14:paraId="7EBB78C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441" w:name="_Toc369166188"/>
      <w:bookmarkStart w:id="1442" w:name="_Toc224551966"/>
      <w:bookmarkStart w:id="1443" w:name="_Toc369165189"/>
      <w:bookmarkStart w:id="1444" w:name="_Toc368993502"/>
      <w:bookmarkStart w:id="1445" w:name="_Toc237539845"/>
      <w:bookmarkStart w:id="1446" w:name="_Toc224475846"/>
      <w:bookmarkStart w:id="1447" w:name="_Toc368992016"/>
      <w:bookmarkStart w:id="1448" w:name="_Toc247534645"/>
      <w:bookmarkStart w:id="1449" w:name="_Toc224476650"/>
      <w:r>
        <w:rPr>
          <w:rFonts w:hint="eastAsia" w:ascii="宋体" w:hAnsi="宋体" w:eastAsia="宋体" w:cs="宋体"/>
          <w:color w:val="auto"/>
          <w:sz w:val="24"/>
          <w:szCs w:val="24"/>
          <w:highlight w:val="none"/>
        </w:rPr>
        <w:t>1. 承包人应按本合同施工图纸和有关规定以及</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的指示，负责砌体工程基础的场地清理、排水、砌体材料的加工制备、砌体工程的施工砌筑与质量检查和验收等全部工作。</w:t>
      </w:r>
    </w:p>
    <w:p w14:paraId="1B876BF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除合同另有规定外，承包人应提供为完成本合同施工图纸所示全部砌体工程所需的人工、材料、施工设备和辅助设施，以及各种砌体胶结材料的采购运输、储存和保管等工作。</w:t>
      </w:r>
    </w:p>
    <w:p w14:paraId="340CCD6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承包人应负责本工程砌体建筑物各种石材、胶结材料试验及其配合比的试验和选择，以及砌筑工艺的选择。承包人应将材料、配合比试验和砌筑工艺选择的成果报送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w:t>
      </w:r>
    </w:p>
    <w:p w14:paraId="7A6B3325">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450" w:name="_Toc6854"/>
      <w:r>
        <w:rPr>
          <w:rFonts w:hint="eastAsia" w:ascii="宋体" w:hAnsi="宋体" w:eastAsia="宋体" w:cs="宋体"/>
          <w:color w:val="auto"/>
          <w:sz w:val="24"/>
          <w:szCs w:val="24"/>
          <w:highlight w:val="none"/>
        </w:rPr>
        <w:t>7.1.3 主要提交件</w:t>
      </w:r>
      <w:bookmarkEnd w:id="1441"/>
      <w:bookmarkEnd w:id="1442"/>
      <w:bookmarkEnd w:id="1443"/>
      <w:bookmarkEnd w:id="1444"/>
      <w:bookmarkEnd w:id="1445"/>
      <w:bookmarkEnd w:id="1446"/>
      <w:bookmarkEnd w:id="1447"/>
      <w:bookmarkEnd w:id="1448"/>
      <w:bookmarkEnd w:id="1449"/>
      <w:bookmarkEnd w:id="1450"/>
    </w:p>
    <w:p w14:paraId="408EBC4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451" w:name="_Toc224551967"/>
      <w:bookmarkStart w:id="1452" w:name="_Toc369166189"/>
      <w:bookmarkStart w:id="1453" w:name="_Toc224475847"/>
      <w:bookmarkStart w:id="1454" w:name="_Toc368992017"/>
      <w:bookmarkStart w:id="1455" w:name="_Toc247534646"/>
      <w:bookmarkStart w:id="1456" w:name="_Toc369165190"/>
      <w:bookmarkStart w:id="1457" w:name="_Toc224476651"/>
      <w:bookmarkStart w:id="1458" w:name="_Toc368993503"/>
      <w:bookmarkStart w:id="1459" w:name="_Toc237539846"/>
      <w:r>
        <w:rPr>
          <w:rFonts w:hint="eastAsia" w:ascii="宋体" w:hAnsi="宋体" w:eastAsia="宋体" w:cs="宋体"/>
          <w:color w:val="auto"/>
          <w:sz w:val="24"/>
          <w:szCs w:val="24"/>
          <w:highlight w:val="none"/>
        </w:rPr>
        <w:t>1. 砌石工程施工措施计划</w:t>
      </w:r>
    </w:p>
    <w:p w14:paraId="788F063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认为有必要时，承包人应在砌体工程开工前</w:t>
      </w:r>
      <w:r>
        <w:rPr>
          <w:rFonts w:hint="eastAsia" w:ascii="宋体" w:hAnsi="宋体" w:eastAsia="宋体" w:cs="宋体"/>
          <w:color w:val="auto"/>
          <w:sz w:val="24"/>
          <w:szCs w:val="24"/>
          <w:highlight w:val="none"/>
          <w:u w:val="single"/>
          <w:lang w:eastAsia="zh-CN"/>
        </w:rPr>
        <w:t>5</w:t>
      </w:r>
      <w:r>
        <w:rPr>
          <w:rFonts w:hint="eastAsia" w:ascii="宋体" w:hAnsi="宋体" w:eastAsia="宋体" w:cs="宋体"/>
          <w:color w:val="auto"/>
          <w:sz w:val="24"/>
          <w:szCs w:val="24"/>
          <w:highlight w:val="none"/>
        </w:rPr>
        <w:t>天，提交一份施工措施计划提交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审批，其内容应包括：</w:t>
      </w:r>
    </w:p>
    <w:p w14:paraId="799E407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（1）施工布置图及其说明； </w:t>
      </w:r>
    </w:p>
    <w:p w14:paraId="56ACC99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（2）砌体工程施工工艺和方法；</w:t>
      </w:r>
    </w:p>
    <w:p w14:paraId="57CA265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（3）主要施工设备的配置；</w:t>
      </w:r>
    </w:p>
    <w:p w14:paraId="13A7BB6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（4）质量控制和安全保证措施；</w:t>
      </w:r>
    </w:p>
    <w:p w14:paraId="31377D2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（5）施工进度计划等。</w:t>
      </w:r>
    </w:p>
    <w:p w14:paraId="4885CB7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砌体石料的材料试验报告</w:t>
      </w:r>
    </w:p>
    <w:p w14:paraId="70685D8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承包人应在砌体工程开工前</w:t>
      </w:r>
      <w:r>
        <w:rPr>
          <w:rFonts w:hint="eastAsia" w:ascii="宋体" w:hAnsi="宋体" w:eastAsia="宋体" w:cs="宋体"/>
          <w:color w:val="auto"/>
          <w:sz w:val="24"/>
          <w:szCs w:val="24"/>
          <w:highlight w:val="none"/>
          <w:u w:val="single"/>
        </w:rPr>
        <w:t>21</w:t>
      </w:r>
      <w:r>
        <w:rPr>
          <w:rFonts w:hint="eastAsia" w:ascii="宋体" w:hAnsi="宋体" w:eastAsia="宋体" w:cs="宋体"/>
          <w:color w:val="auto"/>
          <w:sz w:val="24"/>
          <w:szCs w:val="24"/>
          <w:highlight w:val="none"/>
        </w:rPr>
        <w:t>天，将工程采用的各种石料的材料试验成果，报送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批准。未经批准的材料，不得使用。</w:t>
      </w:r>
    </w:p>
    <w:p w14:paraId="2A98A61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质量检查记录和报表</w:t>
      </w:r>
    </w:p>
    <w:p w14:paraId="5C7A38C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砌体工程施工过程中，承包人应按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指示，提交施工质量检查记录和报表，其内容包括：</w:t>
      </w:r>
    </w:p>
    <w:p w14:paraId="56ED282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（1）砌体材料和砌筑胶结材料的取样试验报告；</w:t>
      </w:r>
    </w:p>
    <w:p w14:paraId="0DB6403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（2）工厂化生产</w:t>
      </w:r>
      <w:r>
        <w:rPr>
          <w:rFonts w:hint="eastAsia" w:ascii="宋体" w:hAnsi="宋体" w:eastAsia="宋体" w:cs="宋体"/>
          <w:color w:val="auto"/>
          <w:sz w:val="24"/>
          <w:szCs w:val="24"/>
          <w:highlight w:val="none"/>
          <w:lang w:eastAsia="zh-CN"/>
        </w:rPr>
        <w:t>砌</w:t>
      </w:r>
      <w:r>
        <w:rPr>
          <w:rFonts w:hint="eastAsia" w:ascii="宋体" w:hAnsi="宋体" w:eastAsia="宋体" w:cs="宋体"/>
          <w:color w:val="auto"/>
          <w:sz w:val="24"/>
          <w:szCs w:val="24"/>
          <w:highlight w:val="none"/>
        </w:rPr>
        <w:t>块的出厂合格证；</w:t>
      </w:r>
    </w:p>
    <w:p w14:paraId="38A2B6F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（3）砌体工程基础的质量检查记录；</w:t>
      </w:r>
    </w:p>
    <w:p w14:paraId="0917A9C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（4）砌体工程的砌筑质量检查记录；</w:t>
      </w:r>
    </w:p>
    <w:p w14:paraId="6876236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（5）质量事故处理记录。</w:t>
      </w:r>
    </w:p>
    <w:p w14:paraId="488152A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完工验收资料</w:t>
      </w:r>
    </w:p>
    <w:p w14:paraId="47C37B5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承包人应为</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进行砌体工程的完工验收提交以下完工资料：</w:t>
      </w:r>
    </w:p>
    <w:p w14:paraId="37EB0A9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（1）砌体工程竣工图；</w:t>
      </w:r>
    </w:p>
    <w:p w14:paraId="6B2A36A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（2）砌体材料试验报告、合格证或质量保证书；</w:t>
      </w:r>
    </w:p>
    <w:p w14:paraId="774EA3F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（3）砌体工程基础（或基槽）的验收资料；</w:t>
      </w:r>
    </w:p>
    <w:p w14:paraId="3EFB406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（4）砌体工程的砌筑质量报告；</w:t>
      </w:r>
    </w:p>
    <w:p w14:paraId="5353160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要求提交的</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完工资料。</w:t>
      </w:r>
    </w:p>
    <w:p w14:paraId="67E4227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460" w:name="_Toc25424"/>
      <w:r>
        <w:rPr>
          <w:rFonts w:hint="eastAsia" w:ascii="宋体" w:hAnsi="宋体" w:eastAsia="宋体" w:cs="宋体"/>
          <w:color w:val="auto"/>
          <w:sz w:val="24"/>
          <w:szCs w:val="24"/>
          <w:highlight w:val="none"/>
        </w:rPr>
        <w:t>7.1.4 须遵守的标准和规程规范（不限于）</w:t>
      </w:r>
      <w:bookmarkEnd w:id="1451"/>
      <w:bookmarkEnd w:id="1452"/>
      <w:bookmarkEnd w:id="1453"/>
      <w:bookmarkEnd w:id="1454"/>
      <w:bookmarkEnd w:id="1455"/>
      <w:bookmarkEnd w:id="1456"/>
      <w:bookmarkEnd w:id="1457"/>
      <w:bookmarkEnd w:id="1458"/>
      <w:bookmarkEnd w:id="1459"/>
      <w:bookmarkEnd w:id="1460"/>
    </w:p>
    <w:p w14:paraId="540851A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1．《浆砌石坝施工技术规定》SD120；</w:t>
      </w:r>
    </w:p>
    <w:p w14:paraId="045F5D4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2．《砌体工程施工质量验收规范》GB50203；</w:t>
      </w:r>
    </w:p>
    <w:p w14:paraId="0C7AD70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3．《砌筑砂浆配合比设计规程》JGJ98；</w:t>
      </w:r>
    </w:p>
    <w:p w14:paraId="1AE6D69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4．《普通混凝土用砂、石质量及检验方法标准》JGJ52；</w:t>
      </w:r>
    </w:p>
    <w:p w14:paraId="13697AB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5．《混凝土用水标准》JGJ63；</w:t>
      </w:r>
    </w:p>
    <w:p w14:paraId="7691039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．《水利水电工程天然建筑材料勘察规程》SL251；</w:t>
      </w:r>
    </w:p>
    <w:p w14:paraId="2C6E59C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．《建筑工程质量检验评定标准》 GBJ301；</w:t>
      </w:r>
    </w:p>
    <w:p w14:paraId="4652CEE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．《水闸施工规范》（SL27-2014）</w:t>
      </w:r>
    </w:p>
    <w:p w14:paraId="39AF21B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本章砌体工程的专项技术</w:t>
      </w:r>
      <w:r>
        <w:rPr>
          <w:rFonts w:hint="eastAsia" w:ascii="宋体" w:hAnsi="宋体" w:eastAsia="宋体" w:cs="宋体"/>
          <w:color w:val="auto"/>
          <w:sz w:val="24"/>
          <w:szCs w:val="24"/>
          <w:highlight w:val="none"/>
          <w:lang w:eastAsia="zh-CN"/>
        </w:rPr>
        <w:t>涉及其他</w:t>
      </w:r>
      <w:r>
        <w:rPr>
          <w:rFonts w:hint="eastAsia" w:ascii="宋体" w:hAnsi="宋体" w:eastAsia="宋体" w:cs="宋体"/>
          <w:color w:val="auto"/>
          <w:sz w:val="24"/>
          <w:szCs w:val="24"/>
          <w:highlight w:val="none"/>
        </w:rPr>
        <w:t>章节引用的标准和规程规范。</w:t>
      </w:r>
    </w:p>
    <w:p w14:paraId="56EFBAFA">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461" w:name="_Toc492387181"/>
      <w:bookmarkStart w:id="1462" w:name="_Toc121904246"/>
      <w:bookmarkStart w:id="1463" w:name="_Toc111433278"/>
      <w:bookmarkStart w:id="1464" w:name="_Toc224476652"/>
      <w:bookmarkStart w:id="1465" w:name="_Toc120962433"/>
      <w:bookmarkStart w:id="1466" w:name="_Toc111261331"/>
      <w:bookmarkStart w:id="1467" w:name="_Toc232309849"/>
      <w:bookmarkStart w:id="1468" w:name="_Toc133205830"/>
      <w:bookmarkStart w:id="1469" w:name="_Toc280531376"/>
      <w:bookmarkStart w:id="1470" w:name="_Toc13680"/>
      <w:bookmarkStart w:id="1471" w:name="_Toc120958508"/>
      <w:bookmarkStart w:id="1472" w:name="_Toc224475848"/>
      <w:bookmarkStart w:id="1473" w:name="_Toc122315995"/>
      <w:bookmarkStart w:id="1474" w:name="_Toc120958671"/>
      <w:bookmarkStart w:id="1475" w:name="_Toc237541346"/>
      <w:bookmarkStart w:id="1476" w:name="_Toc133205447"/>
      <w:bookmarkStart w:id="1477" w:name="_Toc237539847"/>
      <w:bookmarkStart w:id="1478" w:name="_Toc369765773"/>
      <w:bookmarkStart w:id="1479" w:name="_Toc122316158"/>
      <w:bookmarkStart w:id="1480" w:name="_Toc133161838"/>
      <w:bookmarkStart w:id="1481" w:name="_Toc111474058"/>
      <w:bookmarkStart w:id="1482" w:name="_Toc122249874"/>
      <w:bookmarkStart w:id="1483" w:name="_Toc279938564"/>
      <w:bookmarkStart w:id="1484" w:name="_Toc249517787"/>
      <w:bookmarkStart w:id="1485" w:name="_Toc247534647"/>
      <w:bookmarkStart w:id="1486" w:name="_Toc133161652"/>
      <w:r>
        <w:rPr>
          <w:rFonts w:hint="eastAsia" w:ascii="宋体" w:hAnsi="宋体" w:eastAsia="宋体" w:cs="宋体"/>
          <w:b/>
          <w:bCs/>
          <w:color w:val="auto"/>
          <w:kern w:val="2"/>
          <w:sz w:val="24"/>
          <w:szCs w:val="24"/>
          <w:highlight w:val="none"/>
          <w:lang w:val="en-US" w:eastAsia="zh-CN" w:bidi="ar-SA"/>
        </w:rPr>
        <w:t>7.2 砌石工程</w:t>
      </w:r>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p>
    <w:p w14:paraId="1C1CDF61">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487" w:name="_Toc247534648"/>
      <w:bookmarkStart w:id="1488" w:name="_Toc224476653"/>
      <w:bookmarkStart w:id="1489" w:name="_Toc368992019"/>
      <w:bookmarkStart w:id="1490" w:name="_Toc237539848"/>
      <w:bookmarkStart w:id="1491" w:name="_Toc14599"/>
      <w:bookmarkStart w:id="1492" w:name="_Toc368993505"/>
      <w:bookmarkStart w:id="1493" w:name="_Toc224551969"/>
      <w:bookmarkStart w:id="1494" w:name="_Toc224475849"/>
      <w:bookmarkStart w:id="1495" w:name="_Toc369165192"/>
      <w:bookmarkStart w:id="1496" w:name="_Toc237541347"/>
      <w:bookmarkStart w:id="1497" w:name="_Toc369166191"/>
      <w:r>
        <w:rPr>
          <w:rFonts w:hint="eastAsia" w:ascii="宋体" w:hAnsi="宋体" w:eastAsia="宋体" w:cs="宋体"/>
          <w:color w:val="auto"/>
          <w:sz w:val="24"/>
          <w:szCs w:val="24"/>
          <w:highlight w:val="none"/>
        </w:rPr>
        <w:t>7.2.1 材料</w:t>
      </w:r>
      <w:bookmarkEnd w:id="1487"/>
      <w:bookmarkEnd w:id="1488"/>
      <w:bookmarkEnd w:id="1489"/>
      <w:bookmarkEnd w:id="1490"/>
      <w:bookmarkEnd w:id="1491"/>
      <w:bookmarkEnd w:id="1492"/>
      <w:bookmarkEnd w:id="1493"/>
      <w:bookmarkEnd w:id="1494"/>
      <w:bookmarkEnd w:id="1495"/>
      <w:bookmarkEnd w:id="1496"/>
      <w:bookmarkEnd w:id="1497"/>
    </w:p>
    <w:p w14:paraId="7894D8D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．砂、砾石</w:t>
      </w:r>
    </w:p>
    <w:p w14:paraId="519B64F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（1）砂和砾石的质量应符合SDl20-84表2.1.2和表2.1.3的规定。砂浆和小骨料混凝土采用的砂料，要求粒径为0.15～5mm，细度模数为2.5～3.0。</w:t>
      </w:r>
    </w:p>
    <w:p w14:paraId="051A85A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（2）混凝土灌砌块石所用的石子粒径不宜大于20mm。</w:t>
      </w:r>
    </w:p>
    <w:p w14:paraId="0E4D1E6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．水泥和水</w:t>
      </w:r>
    </w:p>
    <w:p w14:paraId="67C6694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（1）砌筑工程采用的水泥品种和标号应符合本技术条款相关规定，到货的水泥应按品种、标号、出厂日期分别堆存，受潮湿结块的水泥，禁止使用。</w:t>
      </w:r>
    </w:p>
    <w:p w14:paraId="4CFBAE4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应按本章相关规定的用水质量标准，拌制砂浆和小骨料混凝土。对拌和及养护的水质有怀疑时，应进行砂浆强度验证，如果该水制成砂浆的抗压强度低于标准水制成的砂浆28天龄期抗压强度的90％以下时，则此水不能使用。</w:t>
      </w:r>
    </w:p>
    <w:p w14:paraId="473B5B1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．胶凝材料（用于砌筑工程的水泥砂浆和细骨料混凝土）</w:t>
      </w:r>
    </w:p>
    <w:p w14:paraId="779E259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（1）胶凝材料的配合比必须满足施工图纸规定的强度和施工和易性要求，配合比必须通过试验确定。施工中承包人需要改变胶凝材料的配合比时，应重新试验，并报送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w:t>
      </w:r>
    </w:p>
    <w:p w14:paraId="4FEAC1C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（2）拌制胶凝材料，应严格按试验确定的配料单进行配料，严禁擅自更改，配料的称量允许误差应符合下列规定：水泥为±2％；砂、砾石为±3％；水、外加剂为±1％。</w:t>
      </w:r>
    </w:p>
    <w:p w14:paraId="3146713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（3）胶凝材料拌和过程中应保持粗、细骨料含水率的稳定性，根据骨料含水量的变化情况，随时调整用水量，以保证水灰比的准确性。</w:t>
      </w:r>
    </w:p>
    <w:p w14:paraId="2025487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（4）胶凝材料拌和时间：机械拌和不少于2～3min，一般不应采用人工拌和。局部少量的人工拌和料至少干拌三遍，再湿拌至色泽均匀，方可使用。</w:t>
      </w:r>
    </w:p>
    <w:p w14:paraId="27FB8AE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（5）胶凝材料应随拌随用。胶凝材料的允许间歇时间应通过试验确定，或参照表8—l选定。在运输或贮存中发生离析、析水的砂浆，砌筑前应重新</w:t>
      </w:r>
      <w:r>
        <w:rPr>
          <w:rFonts w:hint="eastAsia" w:ascii="宋体" w:hAnsi="宋体" w:eastAsia="宋体" w:cs="宋体"/>
          <w:color w:val="auto"/>
          <w:sz w:val="24"/>
          <w:szCs w:val="24"/>
          <w:highlight w:val="none"/>
          <w:lang w:eastAsia="zh-CN"/>
        </w:rPr>
        <w:t>拌合</w:t>
      </w:r>
      <w:r>
        <w:rPr>
          <w:rFonts w:hint="eastAsia" w:ascii="宋体" w:hAnsi="宋体" w:eastAsia="宋体" w:cs="宋体"/>
          <w:color w:val="auto"/>
          <w:sz w:val="24"/>
          <w:szCs w:val="24"/>
          <w:highlight w:val="none"/>
        </w:rPr>
        <w:t>，已初凝的胶凝材料不得使用。</w:t>
      </w:r>
    </w:p>
    <w:p w14:paraId="787AF759">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表7.2.1--1      胶凝材料的允许间歇时间</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6"/>
        <w:gridCol w:w="2792"/>
        <w:gridCol w:w="3871"/>
      </w:tblGrid>
      <w:tr w14:paraId="4A443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86" w:type="dxa"/>
            <w:vMerge w:val="restart"/>
            <w:tcBorders>
              <w:top w:val="single" w:color="auto" w:sz="12" w:space="0"/>
              <w:left w:val="single" w:color="auto" w:sz="12" w:space="0"/>
            </w:tcBorders>
            <w:noWrap w:val="0"/>
            <w:vAlign w:val="center"/>
          </w:tcPr>
          <w:p w14:paraId="7FBB81FA">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砌筑时气温</w:t>
            </w:r>
          </w:p>
          <w:p w14:paraId="3BC24566">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6663" w:type="dxa"/>
            <w:gridSpan w:val="2"/>
            <w:tcBorders>
              <w:top w:val="single" w:color="auto" w:sz="12" w:space="0"/>
              <w:right w:val="single" w:color="auto" w:sz="12" w:space="0"/>
            </w:tcBorders>
            <w:noWrap w:val="0"/>
            <w:vAlign w:val="center"/>
          </w:tcPr>
          <w:p w14:paraId="0D287E09">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允  许  间  歇  时  间（mim）</w:t>
            </w:r>
          </w:p>
        </w:tc>
      </w:tr>
      <w:tr w14:paraId="77732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86" w:type="dxa"/>
            <w:vMerge w:val="continue"/>
            <w:tcBorders>
              <w:left w:val="single" w:color="auto" w:sz="12" w:space="0"/>
            </w:tcBorders>
            <w:noWrap w:val="0"/>
            <w:vAlign w:val="center"/>
          </w:tcPr>
          <w:p w14:paraId="409B8D3E">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p>
        </w:tc>
        <w:tc>
          <w:tcPr>
            <w:tcW w:w="2792" w:type="dxa"/>
            <w:noWrap w:val="0"/>
            <w:vAlign w:val="center"/>
          </w:tcPr>
          <w:p w14:paraId="5E1A23BF">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普通硅酸盐水泥</w:t>
            </w:r>
          </w:p>
        </w:tc>
        <w:tc>
          <w:tcPr>
            <w:tcW w:w="3871" w:type="dxa"/>
            <w:tcBorders>
              <w:right w:val="single" w:color="auto" w:sz="12" w:space="0"/>
            </w:tcBorders>
            <w:noWrap w:val="0"/>
            <w:vAlign w:val="center"/>
          </w:tcPr>
          <w:p w14:paraId="4954E986">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矿渣硅酸盐水泥及火山灰质硅酸盐水泥</w:t>
            </w:r>
          </w:p>
        </w:tc>
      </w:tr>
      <w:tr w14:paraId="3FDA2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86" w:type="dxa"/>
            <w:tcBorders>
              <w:left w:val="single" w:color="auto" w:sz="12" w:space="0"/>
            </w:tcBorders>
            <w:noWrap w:val="0"/>
            <w:vAlign w:val="center"/>
          </w:tcPr>
          <w:p w14:paraId="2A55F448">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30</w:t>
            </w:r>
          </w:p>
        </w:tc>
        <w:tc>
          <w:tcPr>
            <w:tcW w:w="2792" w:type="dxa"/>
            <w:noWrap w:val="0"/>
            <w:vAlign w:val="center"/>
          </w:tcPr>
          <w:p w14:paraId="3E612945">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90</w:t>
            </w:r>
          </w:p>
        </w:tc>
        <w:tc>
          <w:tcPr>
            <w:tcW w:w="3871" w:type="dxa"/>
            <w:tcBorders>
              <w:right w:val="single" w:color="auto" w:sz="12" w:space="0"/>
            </w:tcBorders>
            <w:noWrap w:val="0"/>
            <w:vAlign w:val="center"/>
          </w:tcPr>
          <w:p w14:paraId="278D22C4">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120</w:t>
            </w:r>
          </w:p>
        </w:tc>
      </w:tr>
      <w:tr w14:paraId="0D1AA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86" w:type="dxa"/>
            <w:tcBorders>
              <w:left w:val="single" w:color="auto" w:sz="12" w:space="0"/>
            </w:tcBorders>
            <w:noWrap w:val="0"/>
            <w:vAlign w:val="center"/>
          </w:tcPr>
          <w:p w14:paraId="17D771D4">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20</w:t>
            </w:r>
          </w:p>
        </w:tc>
        <w:tc>
          <w:tcPr>
            <w:tcW w:w="2792" w:type="dxa"/>
            <w:noWrap w:val="0"/>
            <w:vAlign w:val="center"/>
          </w:tcPr>
          <w:p w14:paraId="54D83D71">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135</w:t>
            </w:r>
          </w:p>
        </w:tc>
        <w:tc>
          <w:tcPr>
            <w:tcW w:w="3871" w:type="dxa"/>
            <w:tcBorders>
              <w:right w:val="single" w:color="auto" w:sz="12" w:space="0"/>
            </w:tcBorders>
            <w:noWrap w:val="0"/>
            <w:vAlign w:val="center"/>
          </w:tcPr>
          <w:p w14:paraId="462DD25E">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180</w:t>
            </w:r>
          </w:p>
        </w:tc>
      </w:tr>
      <w:tr w14:paraId="59CEB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86" w:type="dxa"/>
            <w:tcBorders>
              <w:left w:val="single" w:color="auto" w:sz="12" w:space="0"/>
              <w:bottom w:val="single" w:color="auto" w:sz="12" w:space="0"/>
            </w:tcBorders>
            <w:noWrap w:val="0"/>
            <w:vAlign w:val="center"/>
          </w:tcPr>
          <w:p w14:paraId="3530863B">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10</w:t>
            </w:r>
          </w:p>
        </w:tc>
        <w:tc>
          <w:tcPr>
            <w:tcW w:w="2792" w:type="dxa"/>
            <w:tcBorders>
              <w:bottom w:val="single" w:color="auto" w:sz="12" w:space="0"/>
            </w:tcBorders>
            <w:noWrap w:val="0"/>
            <w:vAlign w:val="center"/>
          </w:tcPr>
          <w:p w14:paraId="6748BF68">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195</w:t>
            </w:r>
          </w:p>
        </w:tc>
        <w:tc>
          <w:tcPr>
            <w:tcW w:w="3871" w:type="dxa"/>
            <w:tcBorders>
              <w:bottom w:val="single" w:color="auto" w:sz="12" w:space="0"/>
              <w:right w:val="single" w:color="auto" w:sz="12" w:space="0"/>
            </w:tcBorders>
            <w:noWrap w:val="0"/>
            <w:vAlign w:val="center"/>
          </w:tcPr>
          <w:p w14:paraId="7A611B48">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r>
    </w:tbl>
    <w:p w14:paraId="790E5377">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p>
    <w:p w14:paraId="5554C64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（6）用于砌筑筑石砌体工程的细骨料混凝土，细骨料混凝土的配合比应通过试验确定，配合比成果应提交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w:t>
      </w:r>
    </w:p>
    <w:p w14:paraId="3D6A6D4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498" w:name="_Toc369165194"/>
      <w:bookmarkStart w:id="1499" w:name="_Toc368992021"/>
      <w:bookmarkStart w:id="1500" w:name="_Toc237539850"/>
      <w:bookmarkStart w:id="1501" w:name="_Toc28818"/>
      <w:bookmarkStart w:id="1502" w:name="_Toc369166193"/>
      <w:bookmarkStart w:id="1503" w:name="_Toc247534650"/>
      <w:bookmarkStart w:id="1504" w:name="_Toc368993507"/>
      <w:r>
        <w:rPr>
          <w:rFonts w:hint="eastAsia" w:ascii="宋体" w:hAnsi="宋体" w:eastAsia="宋体" w:cs="宋体"/>
          <w:color w:val="auto"/>
          <w:sz w:val="24"/>
          <w:szCs w:val="24"/>
          <w:highlight w:val="none"/>
        </w:rPr>
        <w:t>7.2.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水泥砂浆勾缝防渗</w:t>
      </w:r>
      <w:bookmarkEnd w:id="1498"/>
      <w:bookmarkEnd w:id="1499"/>
      <w:bookmarkEnd w:id="1500"/>
      <w:bookmarkEnd w:id="1501"/>
      <w:bookmarkEnd w:id="1502"/>
      <w:bookmarkEnd w:id="1503"/>
      <w:bookmarkEnd w:id="1504"/>
    </w:p>
    <w:p w14:paraId="68F9432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1．砌体勾缝采用平缝，不得凸出；采用水泥砂浆勾缝作为防渗体时，防渗用的勾缝砂浆应采用细砂和较小的水灰比，灰砂比控制在1:1至1:2之间。勾缝砂浆标号应高于砌体砂浆标号。</w:t>
      </w:r>
    </w:p>
    <w:p w14:paraId="637EDB0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2．防渗用砂浆应采用42.5级以上的普通硅酸盐水泥。</w:t>
      </w:r>
    </w:p>
    <w:p w14:paraId="1C9F0BE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3．清缝应在料石砌筑24h后进行，缝宽不小于砌缝宽度，缝深不小于缝宽的两倍，勾缝前必须将缝槽冲洗干净，不得残留灰渣和积水，并保持缝面湿润。</w:t>
      </w:r>
    </w:p>
    <w:p w14:paraId="7E670E2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4．勾缝砂浆必须单独拌制，严禁与砌体砂浆混用。</w:t>
      </w:r>
    </w:p>
    <w:p w14:paraId="212CF2A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5．当勾缝完成和砂浆初凝后，砌体表面应刷洗干净，至少用浸湿物覆盖保持21天，在养护期间应经常洒水，使砌体保持湿润，避免碰撞和振动。</w:t>
      </w:r>
    </w:p>
    <w:p w14:paraId="0CBE4F22">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505" w:name="_Toc22989"/>
      <w:bookmarkStart w:id="1506" w:name="_Toc280531377"/>
      <w:bookmarkStart w:id="1507" w:name="_Toc369765774"/>
      <w:r>
        <w:rPr>
          <w:rFonts w:hint="eastAsia" w:ascii="宋体" w:hAnsi="宋体" w:eastAsia="宋体" w:cs="宋体"/>
          <w:b/>
          <w:bCs/>
          <w:color w:val="auto"/>
          <w:kern w:val="2"/>
          <w:sz w:val="24"/>
          <w:szCs w:val="24"/>
          <w:highlight w:val="none"/>
          <w:lang w:val="en-US" w:eastAsia="zh-CN" w:bidi="ar-SA"/>
        </w:rPr>
        <w:t>7.3 预制混凝土生态护坡</w:t>
      </w:r>
      <w:bookmarkEnd w:id="1505"/>
      <w:bookmarkEnd w:id="1506"/>
      <w:bookmarkEnd w:id="1507"/>
    </w:p>
    <w:p w14:paraId="096F0615">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508" w:name="_Toc369166196"/>
      <w:bookmarkStart w:id="1509" w:name="_Toc368993510"/>
      <w:bookmarkStart w:id="1510" w:name="_Toc369165197"/>
      <w:bookmarkStart w:id="1511" w:name="_Toc368992024"/>
      <w:bookmarkStart w:id="1512" w:name="_Toc24494"/>
      <w:r>
        <w:rPr>
          <w:rFonts w:hint="eastAsia" w:ascii="宋体" w:hAnsi="宋体" w:eastAsia="宋体" w:cs="宋体"/>
          <w:color w:val="auto"/>
          <w:sz w:val="24"/>
          <w:szCs w:val="24"/>
          <w:highlight w:val="none"/>
        </w:rPr>
        <w:t>7.3.1 材料</w:t>
      </w:r>
      <w:bookmarkEnd w:id="1508"/>
      <w:bookmarkEnd w:id="1509"/>
      <w:bookmarkEnd w:id="1510"/>
      <w:bookmarkEnd w:id="1511"/>
      <w:bookmarkEnd w:id="1512"/>
    </w:p>
    <w:p w14:paraId="4F99DC6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1．预制生态混凝土砖</w:t>
      </w:r>
    </w:p>
    <w:p w14:paraId="70E8595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预制生态混凝土砖出厂时应有出厂产品质量合格证书和使用说明书。到达施工现场后，应有现场验收报告，包括砖块尺寸、颜色、单块重量等。</w:t>
      </w:r>
    </w:p>
    <w:p w14:paraId="22F7470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2．垫层</w:t>
      </w:r>
    </w:p>
    <w:p w14:paraId="0F54B9E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加工后的成品料应符合施工图纸和技术条款的规定，滤料的级配应与被保护土体的颗粒级配相适应。</w:t>
      </w:r>
    </w:p>
    <w:p w14:paraId="24923CD5">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513" w:name="_Toc369166197"/>
      <w:bookmarkStart w:id="1514" w:name="_Toc20880"/>
      <w:bookmarkStart w:id="1515" w:name="_Toc368993511"/>
      <w:bookmarkStart w:id="1516" w:name="_Toc369165198"/>
      <w:bookmarkStart w:id="1517" w:name="_Toc368992025"/>
      <w:r>
        <w:rPr>
          <w:rFonts w:hint="eastAsia" w:ascii="宋体" w:hAnsi="宋体" w:eastAsia="宋体" w:cs="宋体"/>
          <w:color w:val="auto"/>
          <w:sz w:val="24"/>
          <w:szCs w:val="24"/>
          <w:highlight w:val="none"/>
        </w:rPr>
        <w:t>7.3.2预制混凝土生态护坡</w:t>
      </w:r>
      <w:bookmarkEnd w:id="1513"/>
      <w:bookmarkEnd w:id="1514"/>
      <w:bookmarkEnd w:id="1515"/>
      <w:bookmarkEnd w:id="1516"/>
      <w:bookmarkEnd w:id="1517"/>
    </w:p>
    <w:p w14:paraId="3199D95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1．按照设计边坡坡度要求，进行边坡地基处理，清除杂草、树根、突出物，用适当的土料填充空洞并振实，使边坡表面平整、密实，并符合设计边坡要求；</w:t>
      </w:r>
    </w:p>
    <w:p w14:paraId="78B9FAB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2．在已完成的基础面上铺设垫层；</w:t>
      </w:r>
    </w:p>
    <w:p w14:paraId="203A3A5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3．从下边沿开始铺设预制生态混凝土砖，纵、横、斜向均对齐；</w:t>
      </w:r>
    </w:p>
    <w:p w14:paraId="63E2173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4．每单元铺筑完成后，砌筑格埂，用混凝土将剩余部分的格埂连同嵌入格埂的预制生态混凝土砖一起砌筑，使格埂符合设计要求的尺寸；</w:t>
      </w:r>
    </w:p>
    <w:p w14:paraId="665DE46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5．用干砂、碎石或土填充砖孔和接缝；</w:t>
      </w:r>
    </w:p>
    <w:p w14:paraId="6745AC6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6．为形成转角或直边，可用无齿锯切割预制生态混凝土砖以得到相应的规格和角度。</w:t>
      </w:r>
    </w:p>
    <w:p w14:paraId="63D133A0">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518" w:name="_Toc279938566"/>
      <w:bookmarkStart w:id="1519" w:name="_Toc492387182"/>
      <w:bookmarkStart w:id="1520" w:name="_Toc247534656"/>
      <w:bookmarkStart w:id="1521" w:name="_Toc14409"/>
      <w:bookmarkStart w:id="1522" w:name="_Toc237541351"/>
      <w:bookmarkStart w:id="1523" w:name="_Toc249517789"/>
      <w:bookmarkStart w:id="1524" w:name="_Toc280531378"/>
      <w:bookmarkStart w:id="1525" w:name="_Toc224475858"/>
      <w:bookmarkStart w:id="1526" w:name="_Toc237539856"/>
      <w:bookmarkStart w:id="1527" w:name="_Toc232309852"/>
      <w:bookmarkStart w:id="1528" w:name="_Toc369765776"/>
      <w:bookmarkStart w:id="1529" w:name="_Toc224476662"/>
      <w:r>
        <w:rPr>
          <w:rFonts w:hint="eastAsia" w:ascii="宋体" w:hAnsi="宋体" w:eastAsia="宋体" w:cs="宋体"/>
          <w:b/>
          <w:bCs/>
          <w:color w:val="auto"/>
          <w:kern w:val="2"/>
          <w:sz w:val="24"/>
          <w:szCs w:val="24"/>
          <w:highlight w:val="none"/>
          <w:lang w:val="en-US" w:eastAsia="zh-CN" w:bidi="ar-SA"/>
        </w:rPr>
        <w:t xml:space="preserve">7.4 </w:t>
      </w:r>
      <w:bookmarkStart w:id="1530" w:name="_Toc111433279"/>
      <w:bookmarkStart w:id="1531" w:name="_Toc133205450"/>
      <w:bookmarkStart w:id="1532" w:name="_Toc121904254"/>
      <w:bookmarkStart w:id="1533" w:name="_Toc122315998"/>
      <w:bookmarkStart w:id="1534" w:name="_Toc111261332"/>
      <w:bookmarkStart w:id="1535" w:name="_Toc122249877"/>
      <w:bookmarkStart w:id="1536" w:name="_Toc120958511"/>
      <w:bookmarkStart w:id="1537" w:name="_Toc122316161"/>
      <w:bookmarkStart w:id="1538" w:name="_Toc111474059"/>
      <w:bookmarkStart w:id="1539" w:name="_Toc120958674"/>
      <w:bookmarkStart w:id="1540" w:name="_Toc133161655"/>
      <w:bookmarkStart w:id="1541" w:name="_Toc133161841"/>
      <w:bookmarkStart w:id="1542" w:name="_Toc120962436"/>
      <w:bookmarkStart w:id="1543" w:name="_Toc133205833"/>
      <w:r>
        <w:rPr>
          <w:rFonts w:hint="eastAsia" w:ascii="宋体" w:hAnsi="宋体" w:eastAsia="宋体" w:cs="宋体"/>
          <w:b/>
          <w:bCs/>
          <w:color w:val="auto"/>
          <w:kern w:val="2"/>
          <w:sz w:val="24"/>
          <w:szCs w:val="24"/>
          <w:highlight w:val="none"/>
          <w:lang w:val="en-US" w:eastAsia="zh-CN" w:bidi="ar-SA"/>
        </w:rPr>
        <w:t>质量检查和验收</w:t>
      </w:r>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p>
    <w:p w14:paraId="12BFFB2B">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544" w:name="_Toc14891"/>
      <w:bookmarkStart w:id="1545" w:name="_Toc247534657"/>
      <w:bookmarkStart w:id="1546" w:name="_Toc369166202"/>
      <w:bookmarkStart w:id="1547" w:name="_Toc368992030"/>
      <w:bookmarkStart w:id="1548" w:name="_Toc369165203"/>
      <w:bookmarkStart w:id="1549" w:name="_Toc224551982"/>
      <w:bookmarkStart w:id="1550" w:name="_Toc368993516"/>
      <w:bookmarkStart w:id="1551" w:name="_Toc237539857"/>
      <w:r>
        <w:rPr>
          <w:rFonts w:hint="eastAsia" w:ascii="宋体" w:hAnsi="宋体" w:eastAsia="宋体" w:cs="宋体"/>
          <w:color w:val="auto"/>
          <w:sz w:val="24"/>
          <w:szCs w:val="24"/>
          <w:highlight w:val="none"/>
        </w:rPr>
        <w:t>7.4.1 砌石工程质量检查</w:t>
      </w:r>
      <w:bookmarkEnd w:id="1544"/>
      <w:bookmarkEnd w:id="1545"/>
      <w:bookmarkEnd w:id="1546"/>
      <w:bookmarkEnd w:id="1547"/>
      <w:bookmarkEnd w:id="1548"/>
      <w:bookmarkEnd w:id="1549"/>
      <w:bookmarkEnd w:id="1550"/>
      <w:bookmarkEnd w:id="1551"/>
    </w:p>
    <w:p w14:paraId="011643C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进行以下各款所列项目的质量检查，检查记录应报送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w:t>
      </w:r>
    </w:p>
    <w:p w14:paraId="21FF482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1．原材料的质量检查</w:t>
      </w:r>
    </w:p>
    <w:p w14:paraId="24CDCF2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（1）砌石工程所用的块石、预制生态混凝土砖应按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指示和本章相关规定进行物理力学性质和外形尺寸的检查。</w:t>
      </w:r>
    </w:p>
    <w:p w14:paraId="599C4ED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（2）用于砌石的水泥、水、外加剂以及砂等原材料应按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指示及本章相关规定进行质量检查。</w:t>
      </w:r>
    </w:p>
    <w:p w14:paraId="17BCE41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．土工布施工期的质量检查和验收</w:t>
      </w:r>
    </w:p>
    <w:p w14:paraId="295316E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在施工过程中，承包人应会同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对土工布的施工质量进行以下项目的质量检验和验收：</w:t>
      </w:r>
    </w:p>
    <w:p w14:paraId="0145174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（1）覆盖前的外观检查</w:t>
      </w:r>
    </w:p>
    <w:p w14:paraId="1B9A37F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在土工布被覆盖前，应按SL／T225—98第5.6.9条1、2项的规定目测有无漏接，接缝是否无烫损、无褶皱，铺设是否平整。</w:t>
      </w:r>
    </w:p>
    <w:p w14:paraId="6EBCE3A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（2）拼接缝强度的测试检验</w:t>
      </w:r>
    </w:p>
    <w:p w14:paraId="20D52FD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按SL／T225—98第5.6.9条3项的规定，每1000m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rPr>
        <w:t>取一试样，</w:t>
      </w:r>
      <w:r>
        <w:rPr>
          <w:rFonts w:hint="eastAsia" w:ascii="宋体" w:hAnsi="宋体" w:eastAsia="宋体" w:cs="宋体"/>
          <w:color w:val="auto"/>
          <w:sz w:val="24"/>
          <w:szCs w:val="24"/>
          <w:highlight w:val="none"/>
          <w:lang w:eastAsia="zh-CN"/>
        </w:rPr>
        <w:t>做</w:t>
      </w:r>
      <w:r>
        <w:rPr>
          <w:rFonts w:hint="eastAsia" w:ascii="宋体" w:hAnsi="宋体" w:eastAsia="宋体" w:cs="宋体"/>
          <w:color w:val="auto"/>
          <w:sz w:val="24"/>
          <w:szCs w:val="24"/>
          <w:highlight w:val="none"/>
        </w:rPr>
        <w:t>拉伸强度试验，要求接缝处强度不低于母材的80％，且试件断裂不得在接缝处，否则接缝不合格。</w:t>
      </w:r>
    </w:p>
    <w:p w14:paraId="1AD7157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．预制混凝土生态护坡的质量检查</w:t>
      </w:r>
    </w:p>
    <w:p w14:paraId="16B4130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预制混凝土生态护坡的质量检测应按照表8－3所列项目和标准进行。</w:t>
      </w:r>
    </w:p>
    <w:p w14:paraId="09D452A3">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表7.4.1－3      预制混凝土生态护坡质量检测标准</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09"/>
        <w:gridCol w:w="829"/>
        <w:gridCol w:w="1337"/>
        <w:gridCol w:w="1996"/>
        <w:gridCol w:w="1996"/>
        <w:gridCol w:w="1994"/>
      </w:tblGrid>
      <w:tr w14:paraId="4513D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jc w:val="center"/>
        </w:trPr>
        <w:tc>
          <w:tcPr>
            <w:tcW w:w="609" w:type="dxa"/>
            <w:tcBorders>
              <w:top w:val="single" w:color="auto" w:sz="12" w:space="0"/>
              <w:left w:val="single" w:color="auto" w:sz="12" w:space="0"/>
            </w:tcBorders>
            <w:noWrap w:val="0"/>
            <w:vAlign w:val="center"/>
          </w:tcPr>
          <w:p w14:paraId="0F5BB1AF">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bookmarkStart w:id="1552" w:name="_Toc237539858"/>
            <w:bookmarkStart w:id="1553" w:name="_Toc247534658"/>
            <w:bookmarkStart w:id="1554" w:name="_Toc224551983"/>
            <w:r>
              <w:rPr>
                <w:rFonts w:hint="eastAsia" w:ascii="宋体" w:hAnsi="宋体" w:eastAsia="宋体" w:cs="宋体"/>
                <w:color w:val="auto"/>
                <w:sz w:val="24"/>
                <w:szCs w:val="24"/>
                <w:highlight w:val="none"/>
              </w:rPr>
              <w:t>序号</w:t>
            </w:r>
          </w:p>
        </w:tc>
        <w:tc>
          <w:tcPr>
            <w:tcW w:w="2166" w:type="dxa"/>
            <w:gridSpan w:val="2"/>
            <w:tcBorders>
              <w:top w:val="single" w:color="auto" w:sz="12" w:space="0"/>
            </w:tcBorders>
            <w:noWrap w:val="0"/>
            <w:vAlign w:val="center"/>
          </w:tcPr>
          <w:p w14:paraId="4F8EB3D8">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    目</w:t>
            </w:r>
          </w:p>
        </w:tc>
        <w:tc>
          <w:tcPr>
            <w:tcW w:w="1996" w:type="dxa"/>
            <w:tcBorders>
              <w:top w:val="single" w:color="auto" w:sz="12" w:space="0"/>
            </w:tcBorders>
            <w:noWrap w:val="0"/>
            <w:vAlign w:val="center"/>
          </w:tcPr>
          <w:p w14:paraId="26D5D141">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允许偏差（mm）</w:t>
            </w:r>
          </w:p>
        </w:tc>
        <w:tc>
          <w:tcPr>
            <w:tcW w:w="1996" w:type="dxa"/>
            <w:tcBorders>
              <w:top w:val="single" w:color="auto" w:sz="12" w:space="0"/>
            </w:tcBorders>
            <w:noWrap w:val="0"/>
            <w:vAlign w:val="center"/>
          </w:tcPr>
          <w:p w14:paraId="74289CD6">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检测频率</w:t>
            </w:r>
          </w:p>
        </w:tc>
        <w:tc>
          <w:tcPr>
            <w:tcW w:w="1994" w:type="dxa"/>
            <w:tcBorders>
              <w:top w:val="single" w:color="auto" w:sz="12" w:space="0"/>
              <w:right w:val="single" w:color="auto" w:sz="12" w:space="0"/>
            </w:tcBorders>
            <w:noWrap w:val="0"/>
            <w:vAlign w:val="center"/>
          </w:tcPr>
          <w:p w14:paraId="37EE0C91">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检测工具和方法</w:t>
            </w:r>
          </w:p>
        </w:tc>
      </w:tr>
      <w:tr w14:paraId="5B3DC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jc w:val="center"/>
        </w:trPr>
        <w:tc>
          <w:tcPr>
            <w:tcW w:w="609" w:type="dxa"/>
            <w:tcBorders>
              <w:left w:val="single" w:color="auto" w:sz="12" w:space="0"/>
            </w:tcBorders>
            <w:noWrap w:val="0"/>
            <w:vAlign w:val="center"/>
          </w:tcPr>
          <w:p w14:paraId="46118144">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166" w:type="dxa"/>
            <w:gridSpan w:val="2"/>
            <w:noWrap w:val="0"/>
            <w:vAlign w:val="center"/>
          </w:tcPr>
          <w:p w14:paraId="12BD52FE">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护坡顶底高程</w:t>
            </w:r>
          </w:p>
        </w:tc>
        <w:tc>
          <w:tcPr>
            <w:tcW w:w="1996" w:type="dxa"/>
            <w:noWrap w:val="0"/>
            <w:vAlign w:val="center"/>
          </w:tcPr>
          <w:p w14:paraId="5A293D33">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1996" w:type="dxa"/>
            <w:noWrap w:val="0"/>
            <w:vAlign w:val="center"/>
          </w:tcPr>
          <w:p w14:paraId="7A0C17DC">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每块上、下测2处</w:t>
            </w:r>
          </w:p>
        </w:tc>
        <w:tc>
          <w:tcPr>
            <w:tcW w:w="1994" w:type="dxa"/>
            <w:tcBorders>
              <w:right w:val="single" w:color="auto" w:sz="12" w:space="0"/>
            </w:tcBorders>
            <w:noWrap w:val="0"/>
            <w:vAlign w:val="center"/>
          </w:tcPr>
          <w:p w14:paraId="50C05BF8">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用水准仪</w:t>
            </w:r>
          </w:p>
        </w:tc>
      </w:tr>
      <w:tr w14:paraId="0E6FD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jc w:val="center"/>
        </w:trPr>
        <w:tc>
          <w:tcPr>
            <w:tcW w:w="609" w:type="dxa"/>
            <w:tcBorders>
              <w:left w:val="single" w:color="auto" w:sz="12" w:space="0"/>
            </w:tcBorders>
            <w:noWrap w:val="0"/>
            <w:vAlign w:val="center"/>
          </w:tcPr>
          <w:p w14:paraId="75163D8B">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166" w:type="dxa"/>
            <w:gridSpan w:val="2"/>
            <w:noWrap w:val="0"/>
            <w:vAlign w:val="center"/>
          </w:tcPr>
          <w:p w14:paraId="6A0F22FC">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表面平整度</w:t>
            </w:r>
          </w:p>
        </w:tc>
        <w:tc>
          <w:tcPr>
            <w:tcW w:w="1996" w:type="dxa"/>
            <w:noWrap w:val="0"/>
            <w:vAlign w:val="center"/>
          </w:tcPr>
          <w:p w14:paraId="3A0D73A0">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1996" w:type="dxa"/>
            <w:noWrap w:val="0"/>
            <w:vAlign w:val="center"/>
          </w:tcPr>
          <w:p w14:paraId="581DBE79">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每块测3处</w:t>
            </w:r>
          </w:p>
        </w:tc>
        <w:tc>
          <w:tcPr>
            <w:tcW w:w="1994" w:type="dxa"/>
            <w:tcBorders>
              <w:right w:val="single" w:color="auto" w:sz="12" w:space="0"/>
            </w:tcBorders>
            <w:noWrap w:val="0"/>
            <w:vAlign w:val="center"/>
          </w:tcPr>
          <w:p w14:paraId="3F4A47DE">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用2m靠尺和塞规量</w:t>
            </w:r>
          </w:p>
        </w:tc>
      </w:tr>
      <w:tr w14:paraId="49FA6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jc w:val="center"/>
        </w:trPr>
        <w:tc>
          <w:tcPr>
            <w:tcW w:w="609" w:type="dxa"/>
            <w:tcBorders>
              <w:left w:val="single" w:color="auto" w:sz="12" w:space="0"/>
            </w:tcBorders>
            <w:noWrap w:val="0"/>
            <w:vAlign w:val="center"/>
          </w:tcPr>
          <w:p w14:paraId="4F13F38E">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166" w:type="dxa"/>
            <w:gridSpan w:val="2"/>
            <w:noWrap w:val="0"/>
            <w:vAlign w:val="center"/>
          </w:tcPr>
          <w:p w14:paraId="37EA49B7">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边坡</w:t>
            </w:r>
          </w:p>
        </w:tc>
        <w:tc>
          <w:tcPr>
            <w:tcW w:w="1996" w:type="dxa"/>
            <w:noWrap w:val="0"/>
            <w:vAlign w:val="center"/>
          </w:tcPr>
          <w:p w14:paraId="5DD711B7">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设计坡比1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（n±0.02）</w:t>
            </w:r>
          </w:p>
        </w:tc>
        <w:tc>
          <w:tcPr>
            <w:tcW w:w="1996" w:type="dxa"/>
            <w:noWrap w:val="0"/>
            <w:vAlign w:val="center"/>
          </w:tcPr>
          <w:p w14:paraId="5D1716DB">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每块测3处</w:t>
            </w:r>
          </w:p>
        </w:tc>
        <w:tc>
          <w:tcPr>
            <w:tcW w:w="1994" w:type="dxa"/>
            <w:tcBorders>
              <w:right w:val="single" w:color="auto" w:sz="12" w:space="0"/>
            </w:tcBorders>
            <w:noWrap w:val="0"/>
            <w:vAlign w:val="center"/>
          </w:tcPr>
          <w:p w14:paraId="0C0A2713">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用坡度尺</w:t>
            </w:r>
          </w:p>
        </w:tc>
      </w:tr>
      <w:tr w14:paraId="75DC2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jc w:val="center"/>
        </w:trPr>
        <w:tc>
          <w:tcPr>
            <w:tcW w:w="609" w:type="dxa"/>
            <w:vMerge w:val="restart"/>
            <w:tcBorders>
              <w:left w:val="single" w:color="auto" w:sz="12" w:space="0"/>
            </w:tcBorders>
            <w:noWrap w:val="0"/>
            <w:vAlign w:val="center"/>
          </w:tcPr>
          <w:p w14:paraId="5CE55E25">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829" w:type="dxa"/>
            <w:vMerge w:val="restart"/>
            <w:noWrap w:val="0"/>
            <w:vAlign w:val="center"/>
          </w:tcPr>
          <w:p w14:paraId="4AC26893">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土工布</w:t>
            </w:r>
          </w:p>
          <w:p w14:paraId="7BF2D9A3">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铺设</w:t>
            </w:r>
          </w:p>
        </w:tc>
        <w:tc>
          <w:tcPr>
            <w:tcW w:w="1337" w:type="dxa"/>
            <w:noWrap w:val="0"/>
            <w:vAlign w:val="center"/>
          </w:tcPr>
          <w:p w14:paraId="552A0EFE">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表面平整度</w:t>
            </w:r>
          </w:p>
        </w:tc>
        <w:tc>
          <w:tcPr>
            <w:tcW w:w="1996" w:type="dxa"/>
            <w:noWrap w:val="0"/>
            <w:vAlign w:val="center"/>
          </w:tcPr>
          <w:p w14:paraId="32D09DEE">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996" w:type="dxa"/>
            <w:noWrap w:val="0"/>
            <w:vAlign w:val="center"/>
          </w:tcPr>
          <w:p w14:paraId="0A7803DA">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每块3处</w:t>
            </w:r>
          </w:p>
        </w:tc>
        <w:tc>
          <w:tcPr>
            <w:tcW w:w="1994" w:type="dxa"/>
            <w:tcBorders>
              <w:right w:val="single" w:color="auto" w:sz="12" w:space="0"/>
            </w:tcBorders>
            <w:noWrap w:val="0"/>
            <w:vAlign w:val="center"/>
          </w:tcPr>
          <w:p w14:paraId="2CC87191">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用2m靠尺和塞规量</w:t>
            </w:r>
          </w:p>
        </w:tc>
      </w:tr>
      <w:tr w14:paraId="6DAD1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jc w:val="center"/>
        </w:trPr>
        <w:tc>
          <w:tcPr>
            <w:tcW w:w="609" w:type="dxa"/>
            <w:vMerge w:val="continue"/>
            <w:tcBorders>
              <w:left w:val="single" w:color="auto" w:sz="12" w:space="0"/>
            </w:tcBorders>
            <w:noWrap w:val="0"/>
            <w:vAlign w:val="center"/>
          </w:tcPr>
          <w:p w14:paraId="0168C15B">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p>
        </w:tc>
        <w:tc>
          <w:tcPr>
            <w:tcW w:w="829" w:type="dxa"/>
            <w:vMerge w:val="continue"/>
            <w:noWrap w:val="0"/>
            <w:vAlign w:val="center"/>
          </w:tcPr>
          <w:p w14:paraId="47F5DBBB">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p>
        </w:tc>
        <w:tc>
          <w:tcPr>
            <w:tcW w:w="1337" w:type="dxa"/>
            <w:noWrap w:val="0"/>
            <w:vAlign w:val="center"/>
          </w:tcPr>
          <w:p w14:paraId="062C6270">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搭接宽度</w:t>
            </w:r>
          </w:p>
        </w:tc>
        <w:tc>
          <w:tcPr>
            <w:tcW w:w="1996" w:type="dxa"/>
            <w:noWrap w:val="0"/>
            <w:vAlign w:val="center"/>
          </w:tcPr>
          <w:p w14:paraId="1C83ADB4">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≥30cm</w:t>
            </w:r>
          </w:p>
        </w:tc>
        <w:tc>
          <w:tcPr>
            <w:tcW w:w="1996" w:type="dxa"/>
            <w:noWrap w:val="0"/>
            <w:vAlign w:val="center"/>
          </w:tcPr>
          <w:p w14:paraId="3E4A203F">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每块3处</w:t>
            </w:r>
          </w:p>
        </w:tc>
        <w:tc>
          <w:tcPr>
            <w:tcW w:w="1994" w:type="dxa"/>
            <w:tcBorders>
              <w:right w:val="single" w:color="auto" w:sz="12" w:space="0"/>
            </w:tcBorders>
            <w:noWrap w:val="0"/>
            <w:vAlign w:val="center"/>
          </w:tcPr>
          <w:p w14:paraId="3373F7A0">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用钢尺量</w:t>
            </w:r>
          </w:p>
        </w:tc>
      </w:tr>
      <w:tr w14:paraId="2D32B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jc w:val="center"/>
        </w:trPr>
        <w:tc>
          <w:tcPr>
            <w:tcW w:w="609" w:type="dxa"/>
            <w:tcBorders>
              <w:left w:val="single" w:color="auto" w:sz="12" w:space="0"/>
              <w:bottom w:val="single" w:color="auto" w:sz="12" w:space="0"/>
            </w:tcBorders>
            <w:noWrap w:val="0"/>
            <w:vAlign w:val="center"/>
          </w:tcPr>
          <w:p w14:paraId="29319DED">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166" w:type="dxa"/>
            <w:gridSpan w:val="2"/>
            <w:tcBorders>
              <w:bottom w:val="single" w:color="auto" w:sz="12" w:space="0"/>
            </w:tcBorders>
            <w:noWrap w:val="0"/>
            <w:vAlign w:val="center"/>
          </w:tcPr>
          <w:p w14:paraId="3249E6DA">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混凝土强度</w:t>
            </w:r>
          </w:p>
        </w:tc>
        <w:tc>
          <w:tcPr>
            <w:tcW w:w="1996" w:type="dxa"/>
            <w:tcBorders>
              <w:bottom w:val="single" w:color="auto" w:sz="12" w:space="0"/>
            </w:tcBorders>
            <w:noWrap w:val="0"/>
            <w:vAlign w:val="center"/>
          </w:tcPr>
          <w:p w14:paraId="52462E82">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符合设计要求</w:t>
            </w:r>
          </w:p>
        </w:tc>
        <w:tc>
          <w:tcPr>
            <w:tcW w:w="1996" w:type="dxa"/>
            <w:tcBorders>
              <w:bottom w:val="single" w:color="auto" w:sz="12" w:space="0"/>
            </w:tcBorders>
            <w:noWrap w:val="0"/>
            <w:vAlign w:val="center"/>
          </w:tcPr>
          <w:p w14:paraId="3B7F2FCB">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p>
        </w:tc>
        <w:tc>
          <w:tcPr>
            <w:tcW w:w="1994" w:type="dxa"/>
            <w:tcBorders>
              <w:bottom w:val="single" w:color="auto" w:sz="12" w:space="0"/>
              <w:right w:val="single" w:color="auto" w:sz="12" w:space="0"/>
            </w:tcBorders>
            <w:noWrap w:val="0"/>
            <w:vAlign w:val="center"/>
          </w:tcPr>
          <w:p w14:paraId="7076987D">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p>
        </w:tc>
      </w:tr>
    </w:tbl>
    <w:p w14:paraId="5B510DB2">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p>
    <w:p w14:paraId="615752EC">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555" w:name="_Toc4303"/>
      <w:bookmarkStart w:id="1556" w:name="_Toc368992031"/>
      <w:bookmarkStart w:id="1557" w:name="_Toc369166203"/>
      <w:bookmarkStart w:id="1558" w:name="_Toc368993517"/>
      <w:bookmarkStart w:id="1559" w:name="_Toc369165204"/>
      <w:r>
        <w:rPr>
          <w:rFonts w:hint="eastAsia" w:ascii="宋体" w:hAnsi="宋体" w:eastAsia="宋体" w:cs="宋体"/>
          <w:color w:val="auto"/>
          <w:sz w:val="24"/>
          <w:szCs w:val="24"/>
          <w:highlight w:val="none"/>
        </w:rPr>
        <w:t>7.4.2 砌体工程验收</w:t>
      </w:r>
      <w:bookmarkEnd w:id="1552"/>
      <w:bookmarkEnd w:id="1553"/>
      <w:bookmarkEnd w:id="1554"/>
      <w:bookmarkEnd w:id="1555"/>
      <w:bookmarkEnd w:id="1556"/>
      <w:bookmarkEnd w:id="1557"/>
      <w:bookmarkEnd w:id="1558"/>
      <w:bookmarkEnd w:id="1559"/>
    </w:p>
    <w:p w14:paraId="2A8A357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1．砌体工程砌筑前进行测量放样成果的检查和基础面开挖清理质量的检查和验收。</w:t>
      </w:r>
    </w:p>
    <w:p w14:paraId="5A3DAAA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2．在砌体工程砌筑过程中，按规定对砌体工程的各项材料和砌体砌筑质量进行检查和验收。</w:t>
      </w:r>
    </w:p>
    <w:p w14:paraId="77775BA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3．完工验收。每项砌体工程完工后，承包人应按本合同条款规定，向</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申请完工验收，并按规定向</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提交完工验收资料。</w:t>
      </w:r>
    </w:p>
    <w:p w14:paraId="34890FC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p>
    <w:p w14:paraId="243A9CA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sectPr>
          <w:headerReference r:id="rId7" w:type="default"/>
          <w:footerReference r:id="rId8" w:type="default"/>
          <w:pgSz w:w="11907" w:h="16840"/>
          <w:pgMar w:top="1304" w:right="1588" w:bottom="1304" w:left="1588" w:header="851" w:footer="851" w:gutter="0"/>
          <w:pgNumType w:fmt="decimal" w:start="1"/>
          <w:cols w:space="720" w:num="1"/>
        </w:sectPr>
      </w:pPr>
    </w:p>
    <w:p w14:paraId="446B6773">
      <w:pPr>
        <w:pStyle w:val="2"/>
        <w:pageBreakBefore w:val="0"/>
        <w:tabs>
          <w:tab w:val="center" w:pos="4153"/>
        </w:tabs>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560" w:name="_Toc236798821"/>
      <w:bookmarkStart w:id="1561" w:name="_Toc249517799"/>
      <w:bookmarkStart w:id="1562" w:name="_Toc232309863"/>
      <w:bookmarkStart w:id="1563" w:name="_Toc7029"/>
      <w:bookmarkStart w:id="1564" w:name="_Toc247534724"/>
      <w:bookmarkStart w:id="1565" w:name="_Toc237539888"/>
      <w:bookmarkStart w:id="1566" w:name="_Toc237146070"/>
      <w:bookmarkStart w:id="1567" w:name="_Toc232309862"/>
      <w:bookmarkStart w:id="1568" w:name="_Toc369765782"/>
      <w:bookmarkStart w:id="1569" w:name="_Toc224476689"/>
      <w:bookmarkStart w:id="1570" w:name="_Toc237541368"/>
      <w:bookmarkStart w:id="1571" w:name="_Toc280531384"/>
      <w:bookmarkStart w:id="1572" w:name="_Toc224475868"/>
      <w:bookmarkStart w:id="1573" w:name="_Toc224476690"/>
      <w:bookmarkStart w:id="1574" w:name="_Toc237505178"/>
      <w:bookmarkStart w:id="1575" w:name="_Toc279938572"/>
      <w:bookmarkStart w:id="1576" w:name="_Toc237539887"/>
      <w:bookmarkStart w:id="1577" w:name="_Toc224475869"/>
      <w:bookmarkStart w:id="1578" w:name="_Toc260152102"/>
      <w:r>
        <w:rPr>
          <w:rFonts w:hint="eastAsia" w:ascii="宋体" w:hAnsi="宋体" w:eastAsia="宋体" w:cs="宋体"/>
          <w:color w:val="auto"/>
          <w:sz w:val="24"/>
          <w:szCs w:val="24"/>
          <w:highlight w:val="none"/>
        </w:rPr>
        <w:t>8  混凝土工程</w:t>
      </w:r>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p>
    <w:p w14:paraId="3389EEB3">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579" w:name="_Toc237539889"/>
      <w:bookmarkStart w:id="1580" w:name="_Toc280531385"/>
      <w:bookmarkStart w:id="1581" w:name="_Toc369765783"/>
      <w:bookmarkStart w:id="1582" w:name="_Toc232309864"/>
      <w:bookmarkStart w:id="1583" w:name="_Toc247534725"/>
      <w:bookmarkStart w:id="1584" w:name="_Toc224476691"/>
      <w:bookmarkStart w:id="1585" w:name="_Toc279938573"/>
      <w:bookmarkStart w:id="1586" w:name="_Toc224475870"/>
      <w:bookmarkStart w:id="1587" w:name="_Toc237541369"/>
      <w:bookmarkStart w:id="1588" w:name="_Toc249517800"/>
      <w:bookmarkStart w:id="1589" w:name="_Toc16909"/>
      <w:r>
        <w:rPr>
          <w:rFonts w:hint="eastAsia" w:ascii="宋体" w:hAnsi="宋体" w:eastAsia="宋体" w:cs="宋体"/>
          <w:b/>
          <w:bCs/>
          <w:color w:val="auto"/>
          <w:kern w:val="2"/>
          <w:sz w:val="24"/>
          <w:szCs w:val="24"/>
          <w:highlight w:val="none"/>
          <w:lang w:val="en-US" w:eastAsia="zh-CN" w:bidi="ar-SA"/>
        </w:rPr>
        <w:t>8.1 一般规定</w:t>
      </w:r>
      <w:bookmarkEnd w:id="1579"/>
      <w:bookmarkEnd w:id="1580"/>
      <w:bookmarkEnd w:id="1581"/>
      <w:bookmarkEnd w:id="1582"/>
      <w:bookmarkEnd w:id="1583"/>
      <w:bookmarkEnd w:id="1584"/>
      <w:bookmarkEnd w:id="1585"/>
      <w:bookmarkEnd w:id="1586"/>
      <w:bookmarkEnd w:id="1587"/>
      <w:bookmarkEnd w:id="1588"/>
      <w:bookmarkEnd w:id="1589"/>
    </w:p>
    <w:p w14:paraId="49340C4A">
      <w:pPr>
        <w:pageBreakBefore w:val="0"/>
        <w:kinsoku/>
        <w:wordWrap/>
        <w:overflowPunct/>
        <w:topLinePunct w:val="0"/>
        <w:autoSpaceDE/>
        <w:autoSpaceDN/>
        <w:bidi w:val="0"/>
        <w:spacing w:line="360" w:lineRule="auto"/>
        <w:ind w:firstLine="4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为了提高混凝土施工质量和耐久性要求，本工程保护层垫块须采用定型生产钢筋保护层混凝土垫块，详见江苏省水利厅文件苏水科</w:t>
      </w:r>
      <w:r>
        <w:rPr>
          <w:rFonts w:hint="eastAsia" w:ascii="宋体" w:hAnsi="宋体" w:eastAsia="宋体" w:cs="宋体"/>
          <w:b/>
          <w:color w:val="auto"/>
          <w:sz w:val="24"/>
          <w:szCs w:val="24"/>
          <w:highlight w:val="none"/>
          <w:lang w:eastAsia="zh-CN"/>
        </w:rPr>
        <w:t>〔2013〕5号</w:t>
      </w:r>
      <w:r>
        <w:rPr>
          <w:rFonts w:hint="eastAsia" w:ascii="宋体" w:hAnsi="宋体" w:eastAsia="宋体" w:cs="宋体"/>
          <w:b/>
          <w:color w:val="auto"/>
          <w:sz w:val="24"/>
          <w:szCs w:val="24"/>
          <w:highlight w:val="none"/>
        </w:rPr>
        <w:t>文。</w:t>
      </w:r>
    </w:p>
    <w:p w14:paraId="722FD7C5">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590" w:name="_Toc247534726"/>
      <w:bookmarkStart w:id="1591" w:name="_Toc369165231"/>
      <w:bookmarkStart w:id="1592" w:name="_Toc224552051"/>
      <w:bookmarkStart w:id="1593" w:name="_Toc1856"/>
      <w:bookmarkStart w:id="1594" w:name="_Toc237539890"/>
      <w:bookmarkStart w:id="1595" w:name="_Toc368993544"/>
      <w:bookmarkStart w:id="1596" w:name="_Toc369166230"/>
      <w:bookmarkStart w:id="1597" w:name="_Toc368992058"/>
      <w:r>
        <w:rPr>
          <w:rFonts w:hint="eastAsia" w:ascii="宋体" w:hAnsi="宋体" w:eastAsia="宋体" w:cs="宋体"/>
          <w:color w:val="auto"/>
          <w:sz w:val="24"/>
          <w:szCs w:val="24"/>
          <w:highlight w:val="none"/>
        </w:rPr>
        <w:t>8.1.1 应用范围</w:t>
      </w:r>
      <w:bookmarkEnd w:id="1590"/>
      <w:bookmarkEnd w:id="1591"/>
      <w:bookmarkEnd w:id="1592"/>
      <w:bookmarkEnd w:id="1593"/>
      <w:bookmarkEnd w:id="1594"/>
      <w:bookmarkEnd w:id="1595"/>
      <w:bookmarkEnd w:id="1596"/>
      <w:bookmarkEnd w:id="1597"/>
    </w:p>
    <w:p w14:paraId="30BD3FD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1．本章规定适用于本合同施工图纸所示的素混凝土游格埂、模袋混凝土护坡、集水井等永久工程建筑物与临时建筑物的常态混凝土（含钢筋混凝土、钢筋抗裂混凝土）、预制混凝土等混凝土工程的施工。</w:t>
      </w:r>
    </w:p>
    <w:p w14:paraId="73FE052D">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598" w:name="_Toc237539891"/>
      <w:bookmarkStart w:id="1599" w:name="_Toc369166231"/>
      <w:bookmarkStart w:id="1600" w:name="_Toc247534727"/>
      <w:bookmarkStart w:id="1601" w:name="_Toc224552052"/>
      <w:bookmarkStart w:id="1602" w:name="_Toc368993545"/>
      <w:bookmarkStart w:id="1603" w:name="_Toc18532"/>
      <w:bookmarkStart w:id="1604" w:name="_Toc368992059"/>
      <w:bookmarkStart w:id="1605" w:name="_Toc369165232"/>
      <w:r>
        <w:rPr>
          <w:rFonts w:hint="eastAsia" w:ascii="宋体" w:hAnsi="宋体" w:eastAsia="宋体" w:cs="宋体"/>
          <w:color w:val="auto"/>
          <w:sz w:val="24"/>
          <w:szCs w:val="24"/>
          <w:highlight w:val="none"/>
        </w:rPr>
        <w:t>8.1.2 承包人责任</w:t>
      </w:r>
      <w:bookmarkEnd w:id="1598"/>
      <w:bookmarkEnd w:id="1599"/>
      <w:bookmarkEnd w:id="1600"/>
      <w:bookmarkEnd w:id="1601"/>
      <w:bookmarkEnd w:id="1602"/>
      <w:bookmarkEnd w:id="1603"/>
      <w:bookmarkEnd w:id="1604"/>
      <w:bookmarkEnd w:id="1605"/>
    </w:p>
    <w:p w14:paraId="6E86CFB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1．承包人应按本合同工程各种类型混凝土的要求，负责水泥砂、石骨料的生产、运输、贮存和使用，以及为浇筑混凝土所需原材料的验收。</w:t>
      </w:r>
    </w:p>
    <w:p w14:paraId="6830A34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2．承包人应负责提供骨料系统的试验检验所需的全部设备和辅助设施。</w:t>
      </w:r>
    </w:p>
    <w:p w14:paraId="3A57411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3．承包人应负责修建本合同工程施工所需的混凝土拌和站及其生产设备的采购、安装、运行管理、维护和拆除，并使其生产能力满足本合同规定的施工进度要求。</w:t>
      </w:r>
    </w:p>
    <w:p w14:paraId="17F81D1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4．承包人应负责本合同工程施工所需的各种类型模板的材料供应，以及模板的制作、安装、拆除和维护。</w:t>
      </w:r>
    </w:p>
    <w:p w14:paraId="31A841D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5．承包人应负责提供止水和施工缝、膨胀缝、收缩缝、控制缝等所需的材料及其制作、安装和施工。</w:t>
      </w:r>
    </w:p>
    <w:p w14:paraId="17B079F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6．承包人应根据本合同技术条款和施工图纸所示的各种强度等级混凝土的质量要求，负责各种混凝土配合比的设计和试验，以及混凝土的</w:t>
      </w:r>
      <w:r>
        <w:rPr>
          <w:rFonts w:hint="eastAsia" w:ascii="宋体" w:hAnsi="宋体" w:eastAsia="宋体" w:cs="宋体"/>
          <w:color w:val="auto"/>
          <w:sz w:val="24"/>
          <w:szCs w:val="24"/>
          <w:highlight w:val="none"/>
          <w:lang w:eastAsia="zh-CN"/>
        </w:rPr>
        <w:t>拌合</w:t>
      </w:r>
      <w:r>
        <w:rPr>
          <w:rFonts w:hint="eastAsia" w:ascii="宋体" w:hAnsi="宋体" w:eastAsia="宋体" w:cs="宋体"/>
          <w:color w:val="auto"/>
          <w:sz w:val="24"/>
          <w:szCs w:val="24"/>
          <w:highlight w:val="none"/>
        </w:rPr>
        <w:t>、运输、浇筑、温度控制、养护、维修及进行质量检查和检验等的全部混凝土施工作业。</w:t>
      </w:r>
    </w:p>
    <w:p w14:paraId="05C2EEB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7．承包人应负责提供混凝土温度控制所需的材料和有关设施设备的采购、供应、制作和安装，并进行混凝土冷却。</w:t>
      </w:r>
    </w:p>
    <w:p w14:paraId="6F25E86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8．承包人应负责本合同技术条款和施工图纸所示的全部预制混凝土构件的制作、运输、吊运、安装及进行质量检查和检验等的全部施工作业。</w:t>
      </w:r>
    </w:p>
    <w:p w14:paraId="654DBC8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9．承包人应负责提供混凝土接缝灌浆的材料和设备以及浆液配合比的试验并完成接缝灌浆工作。</w:t>
      </w:r>
    </w:p>
    <w:p w14:paraId="040D554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10．承包人应负责提供混凝土表面保护所需的材料和有关设备的采购、供应、制作、安装。</w:t>
      </w:r>
    </w:p>
    <w:p w14:paraId="6435E1C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11．承包人应按本合同规定负责施工现场的环境保护。各类施工废弃物必须弃置于合同规定或</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指定的地点，避免污染环境。</w:t>
      </w:r>
    </w:p>
    <w:p w14:paraId="233E5784">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06" w:name="_Toc24495"/>
      <w:bookmarkStart w:id="1607" w:name="_Toc224552053"/>
      <w:bookmarkStart w:id="1608" w:name="_Toc369165233"/>
      <w:bookmarkStart w:id="1609" w:name="_Toc368992060"/>
      <w:bookmarkStart w:id="1610" w:name="_Toc369166232"/>
      <w:bookmarkStart w:id="1611" w:name="_Toc247534728"/>
      <w:bookmarkStart w:id="1612" w:name="_Toc368993546"/>
      <w:bookmarkStart w:id="1613" w:name="_Toc237539892"/>
      <w:r>
        <w:rPr>
          <w:rFonts w:hint="eastAsia" w:ascii="宋体" w:hAnsi="宋体" w:eastAsia="宋体" w:cs="宋体"/>
          <w:color w:val="auto"/>
          <w:sz w:val="24"/>
          <w:szCs w:val="24"/>
          <w:highlight w:val="none"/>
        </w:rPr>
        <w:t>8.1.3 主要提交件</w:t>
      </w:r>
      <w:bookmarkEnd w:id="1606"/>
      <w:bookmarkEnd w:id="1607"/>
      <w:bookmarkEnd w:id="1608"/>
      <w:bookmarkEnd w:id="1609"/>
      <w:bookmarkEnd w:id="1610"/>
      <w:bookmarkEnd w:id="1611"/>
      <w:bookmarkEnd w:id="1612"/>
      <w:bookmarkEnd w:id="1613"/>
    </w:p>
    <w:p w14:paraId="64A8510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1．施工</w:t>
      </w:r>
      <w:r>
        <w:rPr>
          <w:rFonts w:hint="eastAsia" w:ascii="宋体" w:hAnsi="宋体" w:eastAsia="宋体" w:cs="宋体"/>
          <w:color w:val="auto"/>
          <w:sz w:val="24"/>
          <w:szCs w:val="24"/>
          <w:highlight w:val="none"/>
          <w:lang w:eastAsia="zh-CN"/>
        </w:rPr>
        <w:t>计划及质量</w:t>
      </w:r>
    </w:p>
    <w:p w14:paraId="5D1A6ED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混凝土浇筑施工措施计划：承包人应在开工前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天，提交一份混凝土浇筑的施工措施计划报送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审批，其内容包括：</w:t>
      </w:r>
      <w:r>
        <w:rPr>
          <w:rFonts w:hint="eastAsia" w:ascii="宋体" w:hAnsi="宋体" w:eastAsia="宋体" w:cs="宋体"/>
          <w:color w:val="auto"/>
          <w:sz w:val="24"/>
          <w:szCs w:val="24"/>
          <w:highlight w:val="none"/>
          <w:lang w:eastAsia="zh-CN"/>
        </w:rPr>
        <w:t>施工计划、</w:t>
      </w:r>
      <w:r>
        <w:rPr>
          <w:rFonts w:hint="eastAsia" w:ascii="宋体" w:hAnsi="宋体" w:eastAsia="宋体" w:cs="宋体"/>
          <w:color w:val="auto"/>
          <w:sz w:val="24"/>
          <w:szCs w:val="24"/>
          <w:highlight w:val="none"/>
        </w:rPr>
        <w:t>施工质量控制措施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质量检查</w:t>
      </w:r>
      <w:r>
        <w:rPr>
          <w:rFonts w:hint="eastAsia" w:ascii="宋体" w:hAnsi="宋体" w:eastAsia="宋体" w:cs="宋体"/>
          <w:color w:val="auto"/>
          <w:sz w:val="24"/>
          <w:szCs w:val="24"/>
          <w:highlight w:val="none"/>
          <w:lang w:eastAsia="zh-CN"/>
        </w:rPr>
        <w:t>和合格证</w:t>
      </w:r>
      <w:r>
        <w:rPr>
          <w:rFonts w:hint="eastAsia" w:ascii="宋体" w:hAnsi="宋体" w:eastAsia="宋体" w:cs="宋体"/>
          <w:color w:val="auto"/>
          <w:sz w:val="24"/>
          <w:szCs w:val="24"/>
          <w:highlight w:val="none"/>
        </w:rPr>
        <w:t>等。</w:t>
      </w:r>
    </w:p>
    <w:p w14:paraId="693D6B2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．完工验收资料</w:t>
      </w:r>
    </w:p>
    <w:p w14:paraId="051FAF9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混凝土工程建筑物全部完工后，承包人应向发包人申请完工验收，并提交以下完工资料：</w:t>
      </w:r>
    </w:p>
    <w:p w14:paraId="5881B82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1）各混凝土工程建筑物的隐蔽工程及工程隐蔽部位的质量检查验收报告；</w:t>
      </w:r>
    </w:p>
    <w:p w14:paraId="0EFEEBC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指示提交的其他完工资料。</w:t>
      </w:r>
    </w:p>
    <w:p w14:paraId="3F87D078">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14" w:name="_Toc237539893"/>
      <w:bookmarkStart w:id="1615" w:name="_Toc369165234"/>
      <w:bookmarkStart w:id="1616" w:name="_Toc369166233"/>
      <w:bookmarkStart w:id="1617" w:name="_Toc368992061"/>
      <w:bookmarkStart w:id="1618" w:name="_Toc368993547"/>
      <w:bookmarkStart w:id="1619" w:name="_Toc224475871"/>
      <w:bookmarkStart w:id="1620" w:name="_Toc247534729"/>
      <w:bookmarkStart w:id="1621" w:name="_Toc224476692"/>
      <w:bookmarkStart w:id="1622" w:name="_Toc8928"/>
      <w:r>
        <w:rPr>
          <w:rFonts w:hint="eastAsia" w:ascii="宋体" w:hAnsi="宋体" w:eastAsia="宋体" w:cs="宋体"/>
          <w:color w:val="auto"/>
          <w:sz w:val="24"/>
          <w:szCs w:val="24"/>
          <w:highlight w:val="none"/>
        </w:rPr>
        <w:t>8.1.4 引用标准和规程规范</w:t>
      </w:r>
      <w:bookmarkEnd w:id="1614"/>
      <w:bookmarkEnd w:id="1615"/>
      <w:bookmarkEnd w:id="1616"/>
      <w:bookmarkEnd w:id="1617"/>
      <w:bookmarkEnd w:id="1618"/>
      <w:bookmarkEnd w:id="1619"/>
      <w:bookmarkEnd w:id="1620"/>
      <w:bookmarkEnd w:id="1621"/>
      <w:bookmarkEnd w:id="1622"/>
    </w:p>
    <w:p w14:paraId="73E91C2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1．《混凝土结构工程施工质量验收规范》GB50204；</w:t>
      </w:r>
    </w:p>
    <w:p w14:paraId="25F31F3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2．《混凝土质量控制标准》GB50164； </w:t>
      </w:r>
    </w:p>
    <w:p w14:paraId="796BE3F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3．《混凝土强度检验评定标准》GBJ107；</w:t>
      </w:r>
    </w:p>
    <w:p w14:paraId="3B71C47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4．《水工混凝土施工规范》DL/T5144；</w:t>
      </w:r>
    </w:p>
    <w:p w14:paraId="4ECDEC0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5．《水工混凝土钢筋施工规范》DL/T5169；</w:t>
      </w:r>
    </w:p>
    <w:p w14:paraId="0FB2C0F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6．《水电水利工程模板施工规范》DL/T5110；</w:t>
      </w:r>
    </w:p>
    <w:p w14:paraId="0E62A81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7．《水工建筑物滑动模板施工技术规范》SL32；</w:t>
      </w:r>
    </w:p>
    <w:p w14:paraId="2E97C3C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8．《混凝土用水标准》JGJ63；</w:t>
      </w:r>
    </w:p>
    <w:p w14:paraId="792FF9E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9．《水工混凝土试验规程》SL352；</w:t>
      </w:r>
    </w:p>
    <w:p w14:paraId="36091BE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10．《硅酸盐水泥、普通硅酸盐水泥》GB175；</w:t>
      </w:r>
    </w:p>
    <w:p w14:paraId="46A1BF7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11．《轻骨料混凝土技术规程》JGJ51；</w:t>
      </w:r>
    </w:p>
    <w:p w14:paraId="0A3BA93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12．《粉煤灰混凝土应用技术规程》GBJ146；</w:t>
      </w:r>
    </w:p>
    <w:p w14:paraId="774ACA8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13．《水工混凝土掺用粉煤灰技术规范》DL/T5055；</w:t>
      </w:r>
    </w:p>
    <w:p w14:paraId="0F3D62E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14．《水工混凝土外加剂技术规程》 DL/T5100；</w:t>
      </w:r>
    </w:p>
    <w:p w14:paraId="70CB03D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15．《低热微膨胀水泥》GB2938；</w:t>
      </w:r>
    </w:p>
    <w:p w14:paraId="52B2BA5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16．《水工混凝土结构设计规范》SL/T191；</w:t>
      </w:r>
    </w:p>
    <w:p w14:paraId="1FFED4E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17．《混凝土及预制混凝土构件质量控制规程》CECS40；</w:t>
      </w:r>
    </w:p>
    <w:p w14:paraId="47D4169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18．《水闸施工规范》SL27；</w:t>
      </w:r>
    </w:p>
    <w:p w14:paraId="62260C3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19．《水利水电工程膜袋混凝土技术规范》T/CWEA 11-2020</w:t>
      </w:r>
    </w:p>
    <w:p w14:paraId="1465777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本章混凝土工程的专项技术</w:t>
      </w:r>
      <w:r>
        <w:rPr>
          <w:rFonts w:hint="eastAsia" w:ascii="宋体" w:hAnsi="宋体" w:eastAsia="宋体" w:cs="宋体"/>
          <w:color w:val="auto"/>
          <w:sz w:val="24"/>
          <w:szCs w:val="24"/>
          <w:highlight w:val="none"/>
          <w:lang w:eastAsia="zh-CN"/>
        </w:rPr>
        <w:t>涉及其他</w:t>
      </w:r>
      <w:r>
        <w:rPr>
          <w:rFonts w:hint="eastAsia" w:ascii="宋体" w:hAnsi="宋体" w:eastAsia="宋体" w:cs="宋体"/>
          <w:color w:val="auto"/>
          <w:sz w:val="24"/>
          <w:szCs w:val="24"/>
          <w:highlight w:val="none"/>
        </w:rPr>
        <w:t>章节引用的标准和规程规范。</w:t>
      </w:r>
    </w:p>
    <w:p w14:paraId="3698D6A5">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623" w:name="_Toc396369979"/>
      <w:bookmarkStart w:id="1624" w:name="_Toc16635"/>
      <w:bookmarkStart w:id="1625" w:name="_Toc403642781"/>
      <w:bookmarkStart w:id="1626" w:name="_Toc396315465"/>
      <w:bookmarkStart w:id="1627" w:name="_Toc399862184"/>
      <w:r>
        <w:rPr>
          <w:rFonts w:hint="eastAsia" w:ascii="宋体" w:hAnsi="宋体" w:eastAsia="宋体" w:cs="宋体"/>
          <w:b/>
          <w:bCs/>
          <w:color w:val="auto"/>
          <w:kern w:val="2"/>
          <w:sz w:val="24"/>
          <w:szCs w:val="24"/>
          <w:highlight w:val="none"/>
          <w:lang w:val="en-US" w:eastAsia="zh-CN" w:bidi="ar-SA"/>
        </w:rPr>
        <w:t>8.2 商品混凝土</w:t>
      </w:r>
      <w:bookmarkEnd w:id="1623"/>
      <w:bookmarkEnd w:id="1624"/>
      <w:bookmarkEnd w:id="1625"/>
      <w:bookmarkEnd w:id="1626"/>
      <w:bookmarkEnd w:id="1627"/>
    </w:p>
    <w:p w14:paraId="51B89A36">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28" w:name="_Toc20107"/>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.1商品混凝土原材料</w:t>
      </w:r>
      <w:bookmarkEnd w:id="1628"/>
    </w:p>
    <w:p w14:paraId="01FF5A4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1、水泥</w:t>
      </w:r>
    </w:p>
    <w:p w14:paraId="10E2A01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水泥应符合《通用硅酸盐水泥》（GB175-2007）的规定，应优先选择42.5、52.5级普通水泥和52.5级硅酸盐水泥。水泥应具有良好的稳定性、保水性、与外加剂适应性。28d抗压强度宜大于相应强度等级标准值4.5MPa，水泥标准稠度用水量宜小于28%。水泥熟料中C3A含量宜在8%以下。水泥碱含量（按Na2O当量计）不宜超过0.6%。</w:t>
      </w:r>
    </w:p>
    <w:p w14:paraId="3A260BA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商品混凝土生产厂家应按不超过500t为一个检验批进行复验，检验项目包括抗压强度、抗折强度、标准稠度用水量、安定性、凝结时间等。</w:t>
      </w:r>
    </w:p>
    <w:p w14:paraId="42937A2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2、细骨料</w:t>
      </w:r>
    </w:p>
    <w:p w14:paraId="076399B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细骨料应选择质地坚硬、清洁、级配良好、吸水率低、空隙率小的天然砂或人工砂，品质应符合《水闸施工规范》（SL27-2014）、《水工混凝土施工规范》（DL/T5144-2001）的相关要求。 </w:t>
      </w:r>
    </w:p>
    <w:p w14:paraId="4EBBF8E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砂细度模数宜在2.4～3.0之间。可将粗、细砂混合使用，混合砂的细度模数应在2.5～3.0之间。采用泵送的混凝土，砂中通过0.315mm筛数量应在15%以上。砂中含泥量宜小于2%，砂中不得含有泥块。硫化物及硫酸盐含量不得超过1%。有抗冻要求时细骨料的坚固性应不超过8%，无抗冻要求时不得超过10%。云母含量≤2%，轻物质含量≤1%（指天然砂），有机质含量浅于标准色，表观密度≥2500kg/m3，砂饱和面干吸水率应小于2.5%。</w:t>
      </w:r>
    </w:p>
    <w:p w14:paraId="73BF4CB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商品混凝土生产厂家应按不超过600t为一个检验批进行复验，检验项目包括细度模数、含泥量、泥块含量、表观密度等。</w:t>
      </w:r>
      <w:r>
        <w:rPr>
          <w:rFonts w:hint="eastAsia" w:ascii="宋体" w:hAnsi="宋体" w:eastAsia="宋体" w:cs="宋体"/>
          <w:color w:val="auto"/>
          <w:sz w:val="24"/>
          <w:szCs w:val="24"/>
          <w:highlight w:val="none"/>
          <w:lang w:val="en-US" w:eastAsia="zh-CN"/>
        </w:rPr>
        <w:t>发包人</w:t>
      </w:r>
      <w:r>
        <w:rPr>
          <w:rFonts w:hint="eastAsia" w:ascii="宋体" w:hAnsi="宋体" w:eastAsia="宋体" w:cs="宋体"/>
          <w:color w:val="auto"/>
          <w:sz w:val="24"/>
          <w:szCs w:val="24"/>
          <w:highlight w:val="none"/>
        </w:rPr>
        <w:t>可根据需要要求施工单位检测坚固性、云母含量、轻物质含量、有机质含量以及碱活性等项目。</w:t>
      </w:r>
    </w:p>
    <w:p w14:paraId="15DB2F2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3、粗骨料</w:t>
      </w:r>
    </w:p>
    <w:p w14:paraId="0D28B98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粗骨料应选用质地坚硬、粒形级配良好的碎石、卵石，品质应符合《水闸施工规范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水工混凝土施工规范》的相关要求。</w:t>
      </w:r>
    </w:p>
    <w:p w14:paraId="51B7AFC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粗骨料最大粒径应不大于结构截面最小尺寸的1/4，不大于钢筋最小净距的2/3。对双层或多层钢筋结构，不大于钢筋最小净距的1/2。受氯离子侵蚀的结构部位宜小于钢筋保护层厚度的2/3，水下结构部位不大于钢筋保护层厚度。对少筋混凝土或无筋混凝土结构，可选用较大的粗骨料粒径。</w:t>
      </w:r>
    </w:p>
    <w:p w14:paraId="7D85264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粗骨料表面应洁净，如有裹粉、裹泥或被污染应冲洗或清除。</w:t>
      </w:r>
    </w:p>
    <w:p w14:paraId="5607498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含泥量应小于1%，不得含有泥块。主体结构部位宜使用针片状含量小于10%、压碎值小于13%的粗骨料。粗骨料不得含风化石、软弱颗粒。可采用单粒级石子进行两级配或三级配投料使用，形成连续级配，其松散堆积密度应大于1500kg/m3，</w:t>
      </w:r>
      <w:r>
        <w:rPr>
          <w:rFonts w:hint="eastAsia" w:ascii="宋体" w:hAnsi="宋体" w:eastAsia="宋体" w:cs="宋体"/>
          <w:color w:val="auto"/>
          <w:sz w:val="24"/>
          <w:szCs w:val="24"/>
          <w:highlight w:val="none"/>
          <w:lang w:eastAsia="zh-CN"/>
        </w:rPr>
        <w:t>孔隙率</w:t>
      </w:r>
      <w:r>
        <w:rPr>
          <w:rFonts w:hint="eastAsia" w:ascii="宋体" w:hAnsi="宋体" w:eastAsia="宋体" w:cs="宋体"/>
          <w:color w:val="auto"/>
          <w:sz w:val="24"/>
          <w:szCs w:val="24"/>
          <w:highlight w:val="none"/>
        </w:rPr>
        <w:t>宜小于42%，表观密度应大于2550kg/ m3。饱和面干吸水率应小于2%，干湿交替或冻融破坏环境条件下宜小于1%。</w:t>
      </w:r>
    </w:p>
    <w:p w14:paraId="1528D95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商品混凝土生产厂家应按不超过600t为一个检验批进行复验，检验项目包括颗粒级配、含泥量、泥块含量、压碎值、针片状含量、表观密度、</w:t>
      </w:r>
      <w:r>
        <w:rPr>
          <w:rFonts w:hint="eastAsia" w:ascii="宋体" w:hAnsi="宋体" w:eastAsia="宋体" w:cs="宋体"/>
          <w:color w:val="auto"/>
          <w:sz w:val="24"/>
          <w:szCs w:val="24"/>
          <w:highlight w:val="none"/>
          <w:lang w:eastAsia="zh-CN"/>
        </w:rPr>
        <w:t>孔隙率</w:t>
      </w:r>
      <w:r>
        <w:rPr>
          <w:rFonts w:hint="eastAsia" w:ascii="宋体" w:hAnsi="宋体" w:eastAsia="宋体" w:cs="宋体"/>
          <w:color w:val="auto"/>
          <w:sz w:val="24"/>
          <w:szCs w:val="24"/>
          <w:highlight w:val="none"/>
        </w:rPr>
        <w:t>等。</w:t>
      </w:r>
    </w:p>
    <w:p w14:paraId="51E64C6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4、粉煤灰</w:t>
      </w:r>
    </w:p>
    <w:p w14:paraId="4895D7C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粉煤灰应选择符合《水工混凝土掺用粉煤灰技术规范》（DL/T5055-2007）、《用于水泥和混凝土中的粉煤灰》（GB1596-2005）的Ⅰ、Ⅱ级粉煤灰。抗冻、抗碳化、抗氯离子侵蚀要求高以及易产生温度裂缝的结构部位宜选择Ⅰ级粉煤灰。</w:t>
      </w:r>
    </w:p>
    <w:p w14:paraId="73E4FCB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商品混凝土生产厂家应以不超过200t为一个检验批进行复验，检验项目包括含水量、细度、需水量比、SO3含量、烧失量等。</w:t>
      </w:r>
    </w:p>
    <w:p w14:paraId="61D08D5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5、矿渣粉</w:t>
      </w:r>
    </w:p>
    <w:p w14:paraId="135104F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矿渣粉应选择符合《用于水泥和混凝土中的粒化高炉矿渣粉》（GB/T18046-2008）的S95、S105矿渣粉。</w:t>
      </w:r>
    </w:p>
    <w:p w14:paraId="7774B3A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商品混凝土生产厂家应以不超过200t为一个检验批进行复验，检验项目包括含水量、细度、活性指数、流动度比、SO3含量、烧失量等。</w:t>
      </w:r>
    </w:p>
    <w:p w14:paraId="075B509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6、外加剂</w:t>
      </w:r>
    </w:p>
    <w:p w14:paraId="7CC2704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品混凝土掺入的外加剂应符合合同约定和《水工混凝土外加剂技术规程》（DL/T5100-1999）、《混凝土外加剂》（GB8076-1997）、《混凝土泵送剂》（JC473-2001）等标准要求。外加剂掺量及其与水泥的适应性应符合《混凝土外加剂应用技术规范》（GB50119-2003）的规定，掺量应经试验确定。应严格控制外加剂中氯离子等有害介质含量。外加剂应与水泥等胶凝材料具有良好的适应性，对混凝土体积稳定性影响小。</w:t>
      </w:r>
    </w:p>
    <w:p w14:paraId="78F5C51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减水剂的减水率不宜低于18%。有抗冻要求的混凝土宜掺用引气剂或引气型高效减水剂，混凝土含气量应根据混凝土的抗冻等级和骨料最大粒径通过试验确定，F150及以下抗冻等级混凝土含气量控制在4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4.5%。有抗裂抗渗要求的结构部位，混凝土中可掺入膨胀剂，品质应符合《混凝土膨胀剂》（JC476-2001）的要求，掺量应根据试验确定，掺膨胀剂的混凝土应进行早期保湿养护。</w:t>
      </w:r>
    </w:p>
    <w:p w14:paraId="3F7D98D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商品混凝土生产厂家应以不超过200t（粉剂）、50t（水剂）为一个检验批进行复验，检验项目包括密度、细度、pH值、水泥净浆流动度、固含量等。</w:t>
      </w:r>
    </w:p>
    <w:p w14:paraId="47C0A75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7、水</w:t>
      </w:r>
    </w:p>
    <w:p w14:paraId="4DEF4E0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应使用适宜饮用的水，未经处理的工业废水、生活污水等不得使用。水中不得含有影响水泥正常凝结与硬化的有害杂质，氯离子含量不超过200mg/L，硫酸盐含量（以硫酸根离子计）不大于2000mg/L，pH值不小于4。</w:t>
      </w:r>
    </w:p>
    <w:p w14:paraId="3549309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商品混凝土生产厂家应提供拌和用水检验结果，检验内容包括pH值、不溶物、可溶物、氯离子、硫化物、硫酸盐等，检验结果应符合《水工混凝土施工规范》（DL/T5144-2001）混凝土拌和用水的指标要求。</w:t>
      </w:r>
    </w:p>
    <w:p w14:paraId="1E0DB1E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8、其他材料</w:t>
      </w:r>
    </w:p>
    <w:p w14:paraId="22CE384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对大体积底板的加强带、墩墙等抗裂要求较高的结构部位，混凝土中宜掺入防裂抗裂纤维，混凝土有增韧要求时宜掺入增韧纤维。纤维性能应符合《水泥混凝土和砂浆用合成纤维》（GB/T21120-2007）的规定。</w:t>
      </w:r>
    </w:p>
    <w:p w14:paraId="314391C5">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29" w:name="_Toc24292"/>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.2商品混凝土配合比</w:t>
      </w:r>
      <w:bookmarkEnd w:id="1629"/>
    </w:p>
    <w:p w14:paraId="51BB833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1、配合比设计</w:t>
      </w:r>
    </w:p>
    <w:p w14:paraId="6698BE9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混凝土配合比设计应根据混凝土所处环境条件，满足设计强度等级、耐久性、温控以及施工工作性等要求。</w:t>
      </w:r>
    </w:p>
    <w:p w14:paraId="0A6E31C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混凝土配合比设计应按《水工混凝土试验规程》（SL352-2006）规定的方法进行。混凝土配制强度保证率应取95%，混凝土强度标准差一般宜取4.0～4.5MPa。如采用预拌混凝土生产厂家统计资料，C30及以上等级的混凝土应不小于3.0MPa，C30以下混凝土应不小于2.5MPa。</w:t>
      </w:r>
    </w:p>
    <w:p w14:paraId="135B816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应根据设计文件对混凝土性能的要求，通过试验确定混凝土水胶比。水胶比应符合《水闸施工规范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水工混凝土施工规范》的要求。C20~C30混凝土水胶比宜控制在0.4～0.5之间，混凝土用水量宜控制在170kg/m</w:t>
      </w:r>
      <w:r>
        <w:rPr>
          <w:rFonts w:hint="eastAsia" w:ascii="宋体" w:hAnsi="宋体" w:eastAsia="宋体" w:cs="宋体"/>
          <w:color w:val="auto"/>
          <w:sz w:val="24"/>
          <w:szCs w:val="24"/>
          <w:highlight w:val="none"/>
          <w:vertAlign w:val="superscript"/>
        </w:rPr>
        <w:t>3</w:t>
      </w:r>
      <w:r>
        <w:rPr>
          <w:rFonts w:hint="eastAsia" w:ascii="宋体" w:hAnsi="宋体" w:eastAsia="宋体" w:cs="宋体"/>
          <w:color w:val="auto"/>
          <w:sz w:val="24"/>
          <w:szCs w:val="24"/>
          <w:highlight w:val="none"/>
        </w:rPr>
        <w:t>以下，胶凝材料总量宜控制在350～400 kg/m</w:t>
      </w:r>
      <w:r>
        <w:rPr>
          <w:rFonts w:hint="eastAsia" w:ascii="宋体" w:hAnsi="宋体" w:eastAsia="宋体" w:cs="宋体"/>
          <w:color w:val="auto"/>
          <w:sz w:val="24"/>
          <w:szCs w:val="24"/>
          <w:highlight w:val="none"/>
          <w:vertAlign w:val="superscript"/>
        </w:rPr>
        <w:t>3</w:t>
      </w:r>
      <w:r>
        <w:rPr>
          <w:rFonts w:hint="eastAsia" w:ascii="宋体" w:hAnsi="宋体" w:eastAsia="宋体" w:cs="宋体"/>
          <w:color w:val="auto"/>
          <w:sz w:val="24"/>
          <w:szCs w:val="24"/>
          <w:highlight w:val="none"/>
        </w:rPr>
        <w:t>之间。C35~C40混凝土胶凝材料总量宜控制在400～450 kg/m</w:t>
      </w:r>
      <w:r>
        <w:rPr>
          <w:rFonts w:hint="eastAsia" w:ascii="宋体" w:hAnsi="宋体" w:eastAsia="宋体" w:cs="宋体"/>
          <w:color w:val="auto"/>
          <w:sz w:val="24"/>
          <w:szCs w:val="24"/>
          <w:highlight w:val="none"/>
          <w:vertAlign w:val="superscript"/>
        </w:rPr>
        <w:t>3</w:t>
      </w:r>
      <w:r>
        <w:rPr>
          <w:rFonts w:hint="eastAsia" w:ascii="宋体" w:hAnsi="宋体" w:eastAsia="宋体" w:cs="宋体"/>
          <w:color w:val="auto"/>
          <w:sz w:val="24"/>
          <w:szCs w:val="24"/>
          <w:highlight w:val="none"/>
        </w:rPr>
        <w:t>。</w:t>
      </w:r>
    </w:p>
    <w:p w14:paraId="7FC86BE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根据混凝土性能要求、掺合料品质，通过试验确定预拌混凝土掺合料的掺量。一般单掺粉煤灰时掺量不宜超过30%，单掺矿渣粉时掺量不宜超过50%。复合掺入时，粉煤灰掺量宜控制在20%以内，矿渣粉控制在30%以内。抗碳化要求高的结构部位，混凝土中水泥熟料的含量不宜低于220 kg/m3。耐久性要求高的混凝土，矿物掺合料用量可参照《混凝土结构耐久性设计规范》（GB/T50746-2008）执行。</w:t>
      </w:r>
    </w:p>
    <w:p w14:paraId="11CB38A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混凝土骨料含有碱活性或未进行检验的，配合比设计时宜控制混凝土总含碱量在3.5kg/m3以内，并使用低碱外加剂。</w:t>
      </w:r>
    </w:p>
    <w:p w14:paraId="6CA6E61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采用输送泵浇筑的，混凝土运送至浇筑地点的坍落度宜控制在10～15cm。浇筑灌注桩时宜控制在16～20cm。</w:t>
      </w:r>
    </w:p>
    <w:p w14:paraId="3E929CF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2、试配混凝土</w:t>
      </w:r>
      <w:r>
        <w:rPr>
          <w:rFonts w:hint="eastAsia" w:ascii="宋体" w:hAnsi="宋体" w:eastAsia="宋体" w:cs="宋体"/>
          <w:color w:val="auto"/>
          <w:sz w:val="24"/>
          <w:szCs w:val="24"/>
          <w:highlight w:val="none"/>
          <w:lang w:eastAsia="zh-CN"/>
        </w:rPr>
        <w:t>拌合</w:t>
      </w:r>
      <w:r>
        <w:rPr>
          <w:rFonts w:hint="eastAsia" w:ascii="宋体" w:hAnsi="宋体" w:eastAsia="宋体" w:cs="宋体"/>
          <w:color w:val="auto"/>
          <w:sz w:val="24"/>
          <w:szCs w:val="24"/>
          <w:highlight w:val="none"/>
        </w:rPr>
        <w:t>物及强度检验</w:t>
      </w:r>
    </w:p>
    <w:p w14:paraId="1C9CBC6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混凝土配合比设计时应按《水工混凝土试验规程》进行混凝土</w:t>
      </w:r>
      <w:r>
        <w:rPr>
          <w:rFonts w:hint="eastAsia" w:ascii="宋体" w:hAnsi="宋体" w:eastAsia="宋体" w:cs="宋体"/>
          <w:color w:val="auto"/>
          <w:sz w:val="24"/>
          <w:szCs w:val="24"/>
          <w:highlight w:val="none"/>
          <w:lang w:eastAsia="zh-CN"/>
        </w:rPr>
        <w:t>拌合</w:t>
      </w:r>
      <w:r>
        <w:rPr>
          <w:rFonts w:hint="eastAsia" w:ascii="宋体" w:hAnsi="宋体" w:eastAsia="宋体" w:cs="宋体"/>
          <w:color w:val="auto"/>
          <w:sz w:val="24"/>
          <w:szCs w:val="24"/>
          <w:highlight w:val="none"/>
        </w:rPr>
        <w:t>物的坍落度、坍落度损失、凝结时间、泌水率、含气量等试验，并成型混凝土试块检验混凝土抗压强度、抗渗、抗冻等性能。</w:t>
      </w:r>
    </w:p>
    <w:p w14:paraId="039C5B7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30" w:name="_Toc11569"/>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.3商品混凝土的生产与运输</w:t>
      </w:r>
      <w:bookmarkEnd w:id="1630"/>
    </w:p>
    <w:p w14:paraId="4AE482E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1、混凝土生产</w:t>
      </w:r>
    </w:p>
    <w:p w14:paraId="6B9B07F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商品混凝土生产厂家应按《预拌混凝土》规定设立试验室。预拌混凝土生产厂家的试验仪器设备、生产计量器具必须经过计量部门的检定。混凝土搅拌楼各原材料的计量应符合规范要求。</w:t>
      </w:r>
    </w:p>
    <w:p w14:paraId="1F4FF61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按照混凝土配合比通知单拌制混凝土。混凝土配合比通知单应包括生产日期、工程名称，混凝土强度、坍落度，混凝土配合比编号，原材料的名称、品种、规格、配合比，每立方米混凝土所用原材料的实际用量等内容。</w:t>
      </w:r>
    </w:p>
    <w:p w14:paraId="15822B5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2、混凝土生产检验</w:t>
      </w:r>
    </w:p>
    <w:p w14:paraId="3D83509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商品混凝土生产厂家应按《水闸施工规范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水工混凝土施工规范》及《预拌混凝土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水工混凝土试验规程》等标准的要求，对混凝土所用原材料的称量、拌和时间、拌和物的坍落度、试块强度、含气量等进行检验。</w:t>
      </w:r>
    </w:p>
    <w:p w14:paraId="26D178B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商品混凝土生产厂家应随每一运输车向施工单位提供所运送商品混凝土的发货单。</w:t>
      </w:r>
    </w:p>
    <w:p w14:paraId="3A29374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3、运输与交货检验</w:t>
      </w:r>
    </w:p>
    <w:p w14:paraId="1E25E6B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商品混凝土生产厂家应与施工单位共同计划好混凝土供料速度与入仓速度的匹配与平衡，安排好商品混凝土运送发车间隔，避免混凝土来料间隔时间或在工地停滞时间过长。运送时应保持混凝土</w:t>
      </w:r>
      <w:r>
        <w:rPr>
          <w:rFonts w:hint="eastAsia" w:ascii="宋体" w:hAnsi="宋体" w:eastAsia="宋体" w:cs="宋体"/>
          <w:color w:val="auto"/>
          <w:sz w:val="24"/>
          <w:szCs w:val="24"/>
          <w:highlight w:val="none"/>
          <w:lang w:eastAsia="zh-CN"/>
        </w:rPr>
        <w:t>拌合</w:t>
      </w:r>
      <w:r>
        <w:rPr>
          <w:rFonts w:hint="eastAsia" w:ascii="宋体" w:hAnsi="宋体" w:eastAsia="宋体" w:cs="宋体"/>
          <w:color w:val="auto"/>
          <w:sz w:val="24"/>
          <w:szCs w:val="24"/>
          <w:highlight w:val="none"/>
        </w:rPr>
        <w:t>物的均匀性，不应产生分层离析现象。</w:t>
      </w:r>
    </w:p>
    <w:p w14:paraId="316B31C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商品混凝土进入施工现场时，商品混凝土生产厂家应提供符合合同要求的商品混凝土出厂合格证。应根据合同约定进行交货检验。取样和检验按国家和水利行业有关规范、标准执行。</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质量指标的判定由供需双方根据国家有关标准在合同中约定。</w:t>
      </w:r>
    </w:p>
    <w:p w14:paraId="512B37A0">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631" w:name="_Toc399862185"/>
      <w:bookmarkStart w:id="1632" w:name="_Toc403642782"/>
      <w:bookmarkStart w:id="1633" w:name="_Toc1265"/>
      <w:r>
        <w:rPr>
          <w:rFonts w:hint="eastAsia" w:ascii="宋体" w:hAnsi="宋体" w:eastAsia="宋体" w:cs="宋体"/>
          <w:b/>
          <w:bCs/>
          <w:color w:val="auto"/>
          <w:kern w:val="2"/>
          <w:sz w:val="24"/>
          <w:szCs w:val="24"/>
          <w:highlight w:val="none"/>
          <w:lang w:val="en-US" w:eastAsia="zh-CN" w:bidi="ar-SA"/>
        </w:rPr>
        <w:t>8.3 模板</w:t>
      </w:r>
      <w:bookmarkEnd w:id="1631"/>
      <w:bookmarkEnd w:id="1632"/>
      <w:bookmarkEnd w:id="1633"/>
    </w:p>
    <w:p w14:paraId="20A1ABF6">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34" w:name="_Toc13227"/>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 模板材料</w:t>
      </w:r>
      <w:bookmarkEnd w:id="1634"/>
    </w:p>
    <w:p w14:paraId="5F1527B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模板和支架材料的种类、等级，应根据本合同施工图纸所示的结构特点、质量要求以及本合同技术条款规定的使用要求等确定；模板和支架材料应优先选用钢材、镜面竹胶板、钢筋混凝土或混凝土等模板材料。</w:t>
      </w:r>
    </w:p>
    <w:p w14:paraId="7720430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2．尽量少用或不用木材制作模板，若经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批准同意采用木模时，其木材质量应达到Ⅲ等以上的材质标准；腐朽、严重扭曲或脆弱性的木材严禁使用。</w:t>
      </w:r>
    </w:p>
    <w:p w14:paraId="09B1C47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3．模板材料的质量应符合本合同指明的现行国家标准和本行业标准。</w:t>
      </w:r>
    </w:p>
    <w:p w14:paraId="0E97212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4．钢模板护面厚度应不小于3mm，钢模板的表面应光滑，不允许有凹痕，</w:t>
      </w:r>
      <w:r>
        <w:rPr>
          <w:rFonts w:hint="eastAsia" w:ascii="宋体" w:hAnsi="宋体" w:eastAsia="宋体" w:cs="宋体"/>
          <w:color w:val="auto"/>
          <w:sz w:val="24"/>
          <w:szCs w:val="24"/>
          <w:highlight w:val="none"/>
          <w:lang w:eastAsia="zh-CN"/>
        </w:rPr>
        <w:t>皱褶</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表面缺陷。</w:t>
      </w:r>
    </w:p>
    <w:p w14:paraId="72F5B24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5．模板的拉杆等金属支撑件的材料应符合DL/T5110-2000的规定。</w:t>
      </w:r>
    </w:p>
    <w:p w14:paraId="7980FB7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6．对有较大面积外露面的（如：工作桥底、挡墙迎水面、墩墙外露面等）模板应优先选用镜面竹胶板等材料，以保证砼外露面的光滑美观。</w:t>
      </w:r>
    </w:p>
    <w:p w14:paraId="7AA6C0D5">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35" w:name="_Toc19387"/>
      <w:r>
        <w:rPr>
          <w:rFonts w:hint="eastAsia" w:ascii="宋体" w:hAnsi="宋体" w:eastAsia="宋体" w:cs="宋体"/>
          <w:color w:val="auto"/>
          <w:sz w:val="24"/>
          <w:szCs w:val="24"/>
          <w:highlight w:val="none"/>
        </w:rPr>
        <w:t>8.4.2 模板的设计、制作和安装</w:t>
      </w:r>
      <w:bookmarkEnd w:id="1635"/>
    </w:p>
    <w:p w14:paraId="4F5ADFC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1．混凝土模板的设计，除应满足本合同施工图纸所示建筑物结构的外形尺寸外，应遵守DL/T5110-2000第6章的有关规定。</w:t>
      </w:r>
    </w:p>
    <w:p w14:paraId="7B3AF7C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2．各种混凝土模板制作的允许偏差不应超过DL/T5110-2000第7章表7.0.1的有关规定。</w:t>
      </w:r>
    </w:p>
    <w:p w14:paraId="6F6AA28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3．异形模板、滑动模板、移置模板和永久性模板等特殊模板的设计、制作和安装，除应遵守DL/T5110-2000第10章的有关规定外，还应满足</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批准的模板设计文件规定的允许偏差及其他结构要求。</w:t>
      </w:r>
    </w:p>
    <w:p w14:paraId="7A2C600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4．曲面模板的设计和制作，除应满足本合同施工图纸所示的混凝土建筑物表面的曲度要求外，不应超过DL/T5110-2000第7.0.1条规定的允许偏差范围。</w:t>
      </w:r>
    </w:p>
    <w:p w14:paraId="24868A0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5．模板之间的接缝必须平整严密，建筑物分层施工时应逐层校正下层偏差，模板下端不应有“错台”。</w:t>
      </w:r>
    </w:p>
    <w:p w14:paraId="4D49218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6．模板及支架上严禁堆放超过其设计荷载的材料和设备。</w:t>
      </w:r>
    </w:p>
    <w:p w14:paraId="75A467D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7．模板安装必须按混凝土结构物的详图测量放样，重要结构多设控制点，以利检查校正。模板安装过程中，应设置足够的临时固定设施，以防变形和倾覆。</w:t>
      </w:r>
    </w:p>
    <w:p w14:paraId="34E2A82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8．建筑结构物的混凝土与钢筋混凝土模板的安装允许偏差应遵守GB50204-2002第4.2.7条的规定；大体积混凝土模板的安装允许偏差应遵守DL/T5110-2000第8.0.9条的规定。</w:t>
      </w:r>
    </w:p>
    <w:p w14:paraId="01B20B0D">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36" w:name="_Toc1091"/>
      <w:r>
        <w:rPr>
          <w:rFonts w:hint="eastAsia" w:ascii="宋体" w:hAnsi="宋体" w:eastAsia="宋体" w:cs="宋体"/>
          <w:color w:val="auto"/>
          <w:sz w:val="24"/>
          <w:szCs w:val="24"/>
          <w:highlight w:val="none"/>
        </w:rPr>
        <w:t>8.4.3 模板的清洗和涂料</w:t>
      </w:r>
      <w:bookmarkEnd w:id="1636"/>
    </w:p>
    <w:p w14:paraId="2651E40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钢模板在每次使用前应清洗干净；为防锈和拆模方便，钢模面板应涂刷矿物油类的防锈保护涂料，不得采用污染混凝土的油剂，也不得采用影响混凝土或钢筋混凝土质量的涂剂，对已污染的混凝土面，承包人应采取有效措施加以清除。</w:t>
      </w:r>
    </w:p>
    <w:p w14:paraId="02B06CC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2．木模板面应采用烤石蜡或其他</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批准的保护性涂料进行保护。</w:t>
      </w:r>
    </w:p>
    <w:p w14:paraId="6225F5B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3．承包人应采取有效的技术措施提高砼外露面处模板表面的光洁和平整度，确保砼表面的浇筑质量、确保平整光洁。</w:t>
      </w:r>
    </w:p>
    <w:p w14:paraId="35F9C742">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37" w:name="_Toc20525"/>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.4 模板的拆除和维修</w:t>
      </w:r>
      <w:bookmarkEnd w:id="1637"/>
    </w:p>
    <w:p w14:paraId="1D2C75F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1．现浇混凝土的模板（如侧模、底模）以及钢筋混凝土与混凝土结构的承载模板拆除时的混凝土强度应遵守本技术条款、施工图纸和DL/T5110-2000第9.0.1条的规定。</w:t>
      </w:r>
    </w:p>
    <w:p w14:paraId="2A30157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2．墩、台、柱部位的混凝土强度必须达到3.5MPa时，方可拆除模板。</w:t>
      </w:r>
    </w:p>
    <w:p w14:paraId="396C25A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3．特殊模板的拆除时限应由承包人报经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批准。流道、深井筒式的泵房及其他体型复杂的构筑物，其模板及支架的拆除应制定专门方案，拆除时间除满足强度达到100%之外，一般不宜少于21d。</w:t>
      </w:r>
    </w:p>
    <w:p w14:paraId="32A3114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4．预制混凝土构件模板拆除的混凝土强度应遵守本技术条款、施工图纸和DL/T5110-2000第9.0.3条的规定。</w:t>
      </w:r>
    </w:p>
    <w:p w14:paraId="798AD04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5．后张法预应力混凝土结构模板的拆除，除应符合本合同技术条款和施工图纸的规定外，其侧面模板应在预应力张拉前拆除；底部模板应在结构构件建立预应力后拆除。</w:t>
      </w:r>
    </w:p>
    <w:p w14:paraId="13E30AB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6．经计算和试验复核后，混凝土结构实际强度已能承受自重</w:t>
      </w:r>
      <w:r>
        <w:rPr>
          <w:rFonts w:hint="eastAsia" w:ascii="宋体" w:hAnsi="宋体" w:eastAsia="宋体" w:cs="宋体"/>
          <w:color w:val="auto"/>
          <w:sz w:val="24"/>
          <w:szCs w:val="24"/>
          <w:highlight w:val="none"/>
          <w:lang w:eastAsia="zh-CN"/>
        </w:rPr>
        <w:t>及其他</w:t>
      </w:r>
      <w:r>
        <w:rPr>
          <w:rFonts w:hint="eastAsia" w:ascii="宋体" w:hAnsi="宋体" w:eastAsia="宋体" w:cs="宋体"/>
          <w:color w:val="auto"/>
          <w:sz w:val="24"/>
          <w:szCs w:val="24"/>
          <w:highlight w:val="none"/>
        </w:rPr>
        <w:t>荷载时，经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批准后，方可提前拆模。未经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批准，模板及其支架和支撑均不得任意拆除。</w:t>
      </w:r>
    </w:p>
    <w:p w14:paraId="5832618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7．拆下的模板、支架及其配件应及时清理与维修。暂时不用的模板应分类堆存，妥善保管。</w:t>
      </w:r>
    </w:p>
    <w:p w14:paraId="03721F3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8．模板的安装及拆除作业必须使用专项设备，并应严格按规定的施工程序进行，以避免施工</w:t>
      </w:r>
      <w:r>
        <w:rPr>
          <w:rFonts w:hint="eastAsia" w:ascii="宋体" w:hAnsi="宋体" w:eastAsia="宋体" w:cs="宋体"/>
          <w:color w:val="auto"/>
          <w:sz w:val="24"/>
          <w:szCs w:val="24"/>
          <w:highlight w:val="none"/>
          <w:lang w:eastAsia="zh-CN"/>
        </w:rPr>
        <w:t>期间</w:t>
      </w:r>
      <w:r>
        <w:rPr>
          <w:rFonts w:hint="eastAsia" w:ascii="宋体" w:hAnsi="宋体" w:eastAsia="宋体" w:cs="宋体"/>
          <w:color w:val="auto"/>
          <w:sz w:val="24"/>
          <w:szCs w:val="24"/>
          <w:highlight w:val="none"/>
        </w:rPr>
        <w:t>发生事故，防止混凝土及其模板的损坏。</w:t>
      </w:r>
    </w:p>
    <w:p w14:paraId="63A976A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38" w:name="_Toc25821"/>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.5 模板质量检查</w:t>
      </w:r>
      <w:bookmarkEnd w:id="1638"/>
      <w:r>
        <w:rPr>
          <w:rFonts w:hint="eastAsia" w:ascii="宋体" w:hAnsi="宋体" w:eastAsia="宋体" w:cs="宋体"/>
          <w:color w:val="auto"/>
          <w:sz w:val="24"/>
          <w:szCs w:val="24"/>
          <w:highlight w:val="none"/>
        </w:rPr>
        <w:t xml:space="preserve"> </w:t>
      </w:r>
    </w:p>
    <w:p w14:paraId="0194BBF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1．现场安装质量检查</w:t>
      </w:r>
    </w:p>
    <w:p w14:paraId="6971EA3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（1）模板安装前，承包人应会同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共同检查进场模板及其附件的制作质量是否符合本合同技术条款和施工图纸的要求。</w:t>
      </w:r>
    </w:p>
    <w:p w14:paraId="18FC530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（2）模板安装应有足够的密封性能，以防止混凝土浇筑过程中的水泥浆流失。</w:t>
      </w:r>
    </w:p>
    <w:p w14:paraId="68366FE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（3）重复使用的模板应保持原设计要求的强度、刚度、密实性和模板表面的光滑度，检查发现模板有损坏时，承包人应按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指示进行更换或修补。</w:t>
      </w:r>
    </w:p>
    <w:p w14:paraId="4629BF2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（4）模板安装完成后，应由承包人负责对模板的安装质量进行检查，并将检查和检测记录报送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w:t>
      </w:r>
    </w:p>
    <w:p w14:paraId="4788FA2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（5）在混凝土浇筑过程中，承包人应随时检查模板的定线和定位；一旦发现偏差和位移，应采取有效措施予以纠正，并做好记录，及时提交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w:t>
      </w:r>
    </w:p>
    <w:p w14:paraId="09F4AF4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2．模板拆除后的检查</w:t>
      </w:r>
    </w:p>
    <w:p w14:paraId="3CEA974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承包人应验算混凝土建筑物拆模后的混凝土强度，保证拆除支撑或模板后，其承受的压力不会引起混凝土结构受损。验算成果应报送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w:t>
      </w:r>
    </w:p>
    <w:p w14:paraId="08EDDA63">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639" w:name="_Toc1482"/>
      <w:r>
        <w:rPr>
          <w:rFonts w:hint="eastAsia" w:ascii="宋体" w:hAnsi="宋体" w:eastAsia="宋体" w:cs="宋体"/>
          <w:b/>
          <w:bCs/>
          <w:color w:val="auto"/>
          <w:kern w:val="2"/>
          <w:sz w:val="24"/>
          <w:szCs w:val="24"/>
          <w:highlight w:val="none"/>
          <w:lang w:val="en-US" w:eastAsia="zh-CN" w:bidi="ar-SA"/>
        </w:rPr>
        <w:t>8.4 膜袋混凝土</w:t>
      </w:r>
      <w:bookmarkEnd w:id="1639"/>
    </w:p>
    <w:p w14:paraId="082E865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40" w:name="_Toc30034"/>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  一般规定</w:t>
      </w:r>
      <w:bookmarkEnd w:id="1640"/>
    </w:p>
    <w:p w14:paraId="237F264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施工前应复核基准点，完成施工测量控制网布设、施工区域原始地形测绘、施工定位放样等工作。</w:t>
      </w:r>
    </w:p>
    <w:p w14:paraId="4C72B80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应根据混凝土性能指标、浇筑工程量、现场施工条件以及施工进度等要求，合理选配施工设备、参数。</w:t>
      </w:r>
    </w:p>
    <w:p w14:paraId="41F3E1B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应对进场的原材料、中间产品等进行检查、验收。</w:t>
      </w:r>
    </w:p>
    <w:p w14:paraId="0D8DD3A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模袋混凝土施工前宜进行生产性试验，确定施工工艺。</w:t>
      </w:r>
    </w:p>
    <w:p w14:paraId="2D73815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水深超过2m的模袋铺设和混凝土充填，应配备潜水员。</w:t>
      </w:r>
    </w:p>
    <w:p w14:paraId="42DE3BC1">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41" w:name="_Toc20609"/>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 原材料</w:t>
      </w:r>
      <w:bookmarkEnd w:id="1641"/>
    </w:p>
    <w:p w14:paraId="1A80F33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土工织物的规格、型号和性能应符合设计要求，材料进场时应提供产品质量证明文件。土工织物宜采用高强长丝机织布，质量应符合 GB/T 17640的规定。</w:t>
      </w:r>
    </w:p>
    <w:p w14:paraId="5BEA72B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土工织物在运输、储存中，标签应完整，无破损、污染，</w:t>
      </w:r>
    </w:p>
    <w:p w14:paraId="31EABD7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应采取措施防止</w:t>
      </w:r>
      <w:r>
        <w:rPr>
          <w:rFonts w:hint="eastAsia" w:ascii="宋体" w:hAnsi="宋体" w:eastAsia="宋体" w:cs="宋体"/>
          <w:color w:val="auto"/>
          <w:sz w:val="24"/>
          <w:szCs w:val="24"/>
          <w:highlight w:val="none"/>
          <w:lang w:eastAsia="zh-CN"/>
        </w:rPr>
        <w:t>暴晒</w:t>
      </w:r>
      <w:r>
        <w:rPr>
          <w:rFonts w:hint="eastAsia" w:ascii="宋体" w:hAnsi="宋体" w:eastAsia="宋体" w:cs="宋体"/>
          <w:color w:val="auto"/>
          <w:sz w:val="24"/>
          <w:szCs w:val="24"/>
          <w:highlight w:val="none"/>
        </w:rPr>
        <w:t>。出现下列情况时，土工织物不得使用：</w:t>
      </w:r>
    </w:p>
    <w:p w14:paraId="33F64B2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（1）存放期超过6个月，未经再次检验或检验不合格的；</w:t>
      </w:r>
    </w:p>
    <w:p w14:paraId="4B701B7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（2）表面出现变色、丧失光泽、脆化、断经断纬或孔洞等现象。</w:t>
      </w:r>
    </w:p>
    <w:p w14:paraId="3007376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（3）水泥、砂石骨料、掺合料、水等混凝土原材料质量检验应符合SL677的要求。</w:t>
      </w:r>
    </w:p>
    <w:p w14:paraId="5C957BD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42" w:name="_Toc5584"/>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.3混凝土配合比</w:t>
      </w:r>
      <w:bookmarkEnd w:id="1642"/>
    </w:p>
    <w:p w14:paraId="248B64C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应依据DL/T5330 的相关规定，结合模袋混凝土设计强度、施工条件、原材料供应及施工机具情况，开展模袋混凝土配合比设计及试拌，并确定模袋混凝土施工配合比。</w:t>
      </w:r>
    </w:p>
    <w:p w14:paraId="6ED31F9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混凝土配合比选用除应满足强度、耐久性、和易性设计要求外，还应符合下列规定：</w:t>
      </w:r>
    </w:p>
    <w:p w14:paraId="54399B7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（1）混凝土坍落度不宜小于200mm；</w:t>
      </w:r>
    </w:p>
    <w:p w14:paraId="165B318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（2）宜采用普通硅酸盐水泥；</w:t>
      </w:r>
    </w:p>
    <w:p w14:paraId="56E76A5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（3）胶凝材料可掺用Ⅱ级及以上粉煤灰，最大掺量不超过GB/T50146的规定；</w:t>
      </w:r>
    </w:p>
    <w:p w14:paraId="6D9FF7B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（4）外加剂应用应符合 DL/T 5100的规定，模袋混凝土宜优先选用高效减水剂，有抗冻要求时，宜添加引气剂；</w:t>
      </w:r>
    </w:p>
    <w:p w14:paraId="4B3A589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（5）砂率应满足混凝土泵送施工需要：细骨料宜选用中砂，粗骨料最大粒径应符合表8.</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.3的要求。</w:t>
      </w:r>
    </w:p>
    <w:p w14:paraId="35E75064">
      <w:pPr>
        <w:pageBreakBefore w:val="0"/>
        <w:kinsoku/>
        <w:wordWrap/>
        <w:overflowPunct/>
        <w:topLinePunct w:val="0"/>
        <w:autoSpaceDE/>
        <w:autoSpaceDN/>
        <w:bidi w:val="0"/>
        <w:spacing w:line="360" w:lineRule="auto"/>
        <w:ind w:firstLine="42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表 8.5.3  模袋混凝土粗骨料最大粒径    单位：mm</w:t>
      </w:r>
    </w:p>
    <w:tbl>
      <w:tblPr>
        <w:tblStyle w:val="27"/>
        <w:tblW w:w="4442" w:type="pct"/>
        <w:tblInd w:w="72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595"/>
        <w:gridCol w:w="3967"/>
      </w:tblGrid>
      <w:tr w14:paraId="6EAA44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2683" w:type="pct"/>
            <w:tcBorders>
              <w:top w:val="single" w:color="000000" w:sz="8" w:space="0"/>
              <w:left w:val="single" w:color="000000" w:sz="8" w:space="0"/>
              <w:bottom w:val="single" w:color="000000" w:sz="8" w:space="0"/>
              <w:right w:val="single" w:color="000000" w:sz="8" w:space="0"/>
            </w:tcBorders>
            <w:noWrap/>
            <w:vAlign w:val="center"/>
          </w:tcPr>
          <w:p w14:paraId="6169E024">
            <w:pPr>
              <w:pageBreakBefore w:val="0"/>
              <w:kinsoku/>
              <w:wordWrap/>
              <w:overflowPunct/>
              <w:topLinePunct w:val="0"/>
              <w:autoSpaceDE/>
              <w:autoSpaceDN/>
              <w:bidi w:val="0"/>
              <w:spacing w:line="360" w:lineRule="auto"/>
              <w:ind w:firstLine="42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模袋混凝土厚度</w:t>
            </w:r>
          </w:p>
        </w:tc>
        <w:tc>
          <w:tcPr>
            <w:tcW w:w="2316" w:type="pct"/>
            <w:tcBorders>
              <w:top w:val="single" w:color="000000" w:sz="8" w:space="0"/>
              <w:left w:val="single" w:color="000000" w:sz="8" w:space="0"/>
              <w:bottom w:val="single" w:color="000000" w:sz="8" w:space="0"/>
              <w:right w:val="single" w:color="000000" w:sz="8" w:space="0"/>
            </w:tcBorders>
            <w:noWrap/>
            <w:vAlign w:val="center"/>
          </w:tcPr>
          <w:p w14:paraId="10170A0E">
            <w:pPr>
              <w:pageBreakBefore w:val="0"/>
              <w:kinsoku/>
              <w:wordWrap/>
              <w:overflowPunct/>
              <w:topLinePunct w:val="0"/>
              <w:autoSpaceDE/>
              <w:autoSpaceDN/>
              <w:bidi w:val="0"/>
              <w:spacing w:line="360" w:lineRule="auto"/>
              <w:ind w:firstLine="42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骨料最大粒径</w:t>
            </w:r>
          </w:p>
        </w:tc>
      </w:tr>
      <w:tr w14:paraId="1D6D2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683" w:type="pct"/>
            <w:tcBorders>
              <w:top w:val="single" w:color="000000" w:sz="8" w:space="0"/>
              <w:left w:val="single" w:color="000000" w:sz="8" w:space="0"/>
              <w:bottom w:val="single" w:color="000000" w:sz="8" w:space="0"/>
              <w:right w:val="single" w:color="000000" w:sz="8" w:space="0"/>
            </w:tcBorders>
            <w:noWrap/>
            <w:vAlign w:val="center"/>
          </w:tcPr>
          <w:p w14:paraId="5F7609C6">
            <w:pPr>
              <w:pageBreakBefore w:val="0"/>
              <w:kinsoku/>
              <w:wordWrap/>
              <w:overflowPunct/>
              <w:topLinePunct w:val="0"/>
              <w:autoSpaceDE/>
              <w:autoSpaceDN/>
              <w:bidi w:val="0"/>
              <w:spacing w:line="360" w:lineRule="auto"/>
              <w:ind w:firstLine="42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100~250</w:t>
            </w:r>
          </w:p>
        </w:tc>
        <w:tc>
          <w:tcPr>
            <w:tcW w:w="2316" w:type="pct"/>
            <w:tcBorders>
              <w:top w:val="single" w:color="000000" w:sz="8" w:space="0"/>
              <w:left w:val="single" w:color="000000" w:sz="8" w:space="0"/>
              <w:bottom w:val="single" w:color="000000" w:sz="8" w:space="0"/>
              <w:right w:val="single" w:color="000000" w:sz="8" w:space="0"/>
            </w:tcBorders>
            <w:noWrap/>
            <w:vAlign w:val="center"/>
          </w:tcPr>
          <w:p w14:paraId="31411C4F">
            <w:pPr>
              <w:pageBreakBefore w:val="0"/>
              <w:kinsoku/>
              <w:wordWrap/>
              <w:overflowPunct/>
              <w:topLinePunct w:val="0"/>
              <w:autoSpaceDE/>
              <w:autoSpaceDN/>
              <w:bidi w:val="0"/>
              <w:spacing w:line="360" w:lineRule="auto"/>
              <w:ind w:firstLine="42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w:t>
            </w:r>
          </w:p>
        </w:tc>
      </w:tr>
      <w:tr w14:paraId="536C5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2683" w:type="pct"/>
            <w:tcBorders>
              <w:top w:val="single" w:color="000000" w:sz="8" w:space="0"/>
              <w:left w:val="single" w:color="000000" w:sz="8" w:space="0"/>
              <w:bottom w:val="single" w:color="000000" w:sz="8" w:space="0"/>
              <w:right w:val="single" w:color="000000" w:sz="8" w:space="0"/>
            </w:tcBorders>
            <w:noWrap/>
            <w:vAlign w:val="center"/>
          </w:tcPr>
          <w:p w14:paraId="1067DD1F">
            <w:pPr>
              <w:pageBreakBefore w:val="0"/>
              <w:kinsoku/>
              <w:wordWrap/>
              <w:overflowPunct/>
              <w:topLinePunct w:val="0"/>
              <w:autoSpaceDE/>
              <w:autoSpaceDN/>
              <w:bidi w:val="0"/>
              <w:spacing w:line="360" w:lineRule="auto"/>
              <w:ind w:firstLine="42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≥250</w:t>
            </w:r>
          </w:p>
        </w:tc>
        <w:tc>
          <w:tcPr>
            <w:tcW w:w="2316" w:type="pct"/>
            <w:tcBorders>
              <w:top w:val="single" w:color="000000" w:sz="8" w:space="0"/>
              <w:left w:val="single" w:color="000000" w:sz="8" w:space="0"/>
              <w:bottom w:val="single" w:color="000000" w:sz="8" w:space="0"/>
              <w:right w:val="single" w:color="000000" w:sz="8" w:space="0"/>
            </w:tcBorders>
            <w:noWrap/>
            <w:vAlign w:val="center"/>
          </w:tcPr>
          <w:p w14:paraId="1F2D942A">
            <w:pPr>
              <w:pageBreakBefore w:val="0"/>
              <w:kinsoku/>
              <w:wordWrap/>
              <w:overflowPunct/>
              <w:topLinePunct w:val="0"/>
              <w:autoSpaceDE/>
              <w:autoSpaceDN/>
              <w:bidi w:val="0"/>
              <w:spacing w:line="360" w:lineRule="auto"/>
              <w:ind w:firstLine="42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≤40</w:t>
            </w:r>
          </w:p>
        </w:tc>
      </w:tr>
    </w:tbl>
    <w:p w14:paraId="0996AC3B">
      <w:pPr>
        <w:pageBreakBefore w:val="0"/>
        <w:kinsoku/>
        <w:wordWrap/>
        <w:overflowPunct/>
        <w:topLinePunct w:val="0"/>
        <w:autoSpaceDE/>
        <w:autoSpaceDN/>
        <w:bidi w:val="0"/>
        <w:spacing w:line="360" w:lineRule="auto"/>
        <w:ind w:firstLine="420"/>
        <w:jc w:val="center"/>
        <w:rPr>
          <w:rFonts w:hint="eastAsia" w:ascii="宋体" w:hAnsi="宋体" w:eastAsia="宋体" w:cs="宋体"/>
          <w:color w:val="auto"/>
          <w:sz w:val="24"/>
          <w:szCs w:val="24"/>
          <w:highlight w:val="none"/>
        </w:rPr>
      </w:pPr>
    </w:p>
    <w:p w14:paraId="35A0A767">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43" w:name="_Toc1220"/>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.4 生产性试验</w:t>
      </w:r>
      <w:bookmarkEnd w:id="1643"/>
    </w:p>
    <w:p w14:paraId="4D19E16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模袋混凝土施工前，宜编制生产性试验方案，开展生产性试验；选取的区段、部位，应能反映施工期的工况条件。</w:t>
      </w:r>
    </w:p>
    <w:p w14:paraId="584E566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生产性试验宜包括以下内容：</w:t>
      </w:r>
    </w:p>
    <w:p w14:paraId="7B60C65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（1）验证劳动力和施工机具等资源配置的合理性；</w:t>
      </w:r>
    </w:p>
    <w:p w14:paraId="0C3D97F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（2）验证模袋铺设、固定、搭接的质量以及混凝土的性能和充填质量，验证拟定的充填次序；</w:t>
      </w:r>
    </w:p>
    <w:p w14:paraId="3D4F5B7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（3）确定充填速度、充填压力等施工工艺参数；</w:t>
      </w:r>
    </w:p>
    <w:p w14:paraId="67C43EA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（4）确定模袋预留收缩量、系绳长度等技术指标。</w:t>
      </w:r>
    </w:p>
    <w:p w14:paraId="11CD89E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3、对水下铺设、充填宜通过水下摄像验证试验的效果。</w:t>
      </w:r>
    </w:p>
    <w:p w14:paraId="4D82B03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44" w:name="_Toc28914"/>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.5 基面处理</w:t>
      </w:r>
      <w:bookmarkEnd w:id="1644"/>
    </w:p>
    <w:p w14:paraId="48699DE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模袋混凝土施工前应按要求进行基面清理，清理范围应超出设计边线以外500mm，处理后的基面应无明显凹凸。</w:t>
      </w:r>
    </w:p>
    <w:p w14:paraId="70278F4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基面范围内的坑洞、沟槽以及水下冲坑、淤泥质地基等不良地质状况，应按设计要求进行处理。</w:t>
      </w:r>
    </w:p>
    <w:p w14:paraId="3DF8C60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基面验收后，应及时铺设模袋、充填混凝土。</w:t>
      </w:r>
      <w:r>
        <w:rPr>
          <w:rFonts w:hint="eastAsia" w:ascii="宋体" w:hAnsi="宋体" w:eastAsia="宋体" w:cs="宋体"/>
          <w:color w:val="auto"/>
          <w:sz w:val="24"/>
          <w:szCs w:val="24"/>
          <w:highlight w:val="none"/>
          <w:lang w:eastAsia="zh-CN"/>
        </w:rPr>
        <w:t>若</w:t>
      </w:r>
      <w:r>
        <w:rPr>
          <w:rFonts w:hint="eastAsia" w:ascii="宋体" w:hAnsi="宋体" w:eastAsia="宋体" w:cs="宋体"/>
          <w:color w:val="auto"/>
          <w:sz w:val="24"/>
          <w:szCs w:val="24"/>
          <w:highlight w:val="none"/>
        </w:rPr>
        <w:t>不能立即施工，应做好基面保护，复工前应重新检验。</w:t>
      </w:r>
    </w:p>
    <w:p w14:paraId="0900A095">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45" w:name="_Toc24632"/>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.6 模袋加工和铺设</w:t>
      </w:r>
      <w:bookmarkEnd w:id="1645"/>
    </w:p>
    <w:p w14:paraId="1EE6B24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一般规定</w:t>
      </w:r>
    </w:p>
    <w:p w14:paraId="2D37B99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（1）应根据设计要求、土工织物幅面、现场制作条件、施工条件和现场地形等确定标准模袋、异形模袋的制作尺寸。</w:t>
      </w:r>
    </w:p>
    <w:p w14:paraId="0A91617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（2）加工完成的模袋应妥善存放，运输、装卸过程中应采取措施避免损伤。</w:t>
      </w:r>
    </w:p>
    <w:p w14:paraId="2E18265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模袋加工</w:t>
      </w:r>
    </w:p>
    <w:p w14:paraId="375F97E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（1）模袋宜在厂内加工；沿堤坝坡向，单幅模袋应采用整块机织布缝制，幅与幅之间应采用缝接方式连接，拼缝质量应满足设计要求。</w:t>
      </w:r>
    </w:p>
    <w:p w14:paraId="6B5D55B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（2）模袋充填口数量宜根据充填面积确定，每个充填口充填面积不宜大于20m²。</w:t>
      </w:r>
    </w:p>
    <w:p w14:paraId="2E73E89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（3）袖口长度不应小于500mm，袖口与模袋应牢靠连接。</w:t>
      </w:r>
    </w:p>
    <w:p w14:paraId="6C85C7A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模袋铺设</w:t>
      </w:r>
    </w:p>
    <w:p w14:paraId="4AB57D45">
      <w:pPr>
        <w:pageBreakBefore w:val="0"/>
        <w:kinsoku/>
        <w:wordWrap/>
        <w:overflowPunct/>
        <w:topLinePunct w:val="0"/>
        <w:autoSpaceDE/>
        <w:autoSpaceDN/>
        <w:bidi w:val="0"/>
        <w:spacing w:line="360" w:lineRule="auto"/>
        <w:ind w:firstLine="42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模袋铺设前应完成下列准备工作：</w:t>
      </w:r>
    </w:p>
    <w:p w14:paraId="57CF6F6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（1）模袋已通过现场验收；</w:t>
      </w:r>
    </w:p>
    <w:p w14:paraId="413BE71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（2）基面或反滤层已通过验收；</w:t>
      </w:r>
    </w:p>
    <w:p w14:paraId="06D8361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（3）已按设计要求测量定位放样，放样内容应包括坡肩线、坡脚线和坡面边线；</w:t>
      </w:r>
    </w:p>
    <w:p w14:paraId="459742B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（4）固定桩、紧线器或手动葫芦等工具配置数量应满足施工需要。</w:t>
      </w:r>
    </w:p>
    <w:p w14:paraId="363203B1">
      <w:pPr>
        <w:pageBreakBefore w:val="0"/>
        <w:kinsoku/>
        <w:wordWrap/>
        <w:overflowPunct/>
        <w:topLinePunct w:val="0"/>
        <w:autoSpaceDE/>
        <w:autoSpaceDN/>
        <w:bidi w:val="0"/>
        <w:spacing w:line="360" w:lineRule="auto"/>
        <w:ind w:firstLine="42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模袋铺设施工作业应符合下列规定：</w:t>
      </w:r>
    </w:p>
    <w:p w14:paraId="2749D2E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（1）模袋铺设宜按先深水后浅水、先标准断面后异型断面的次序进行；</w:t>
      </w:r>
    </w:p>
    <w:p w14:paraId="3BECD42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（2）模袋铺设宜采用机械与人工结合的方式进行：</w:t>
      </w:r>
    </w:p>
    <w:p w14:paraId="56F1E5A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① 浅水区或旱地可采用人工铺设；</w:t>
      </w:r>
    </w:p>
    <w:p w14:paraId="1C7C48BF">
      <w:pPr>
        <w:pageBreakBefore w:val="0"/>
        <w:kinsoku/>
        <w:wordWrap/>
        <w:overflowPunct/>
        <w:topLinePunct w:val="0"/>
        <w:autoSpaceDE/>
        <w:autoSpaceDN/>
        <w:bidi w:val="0"/>
        <w:spacing w:line="360" w:lineRule="auto"/>
        <w:ind w:firstLine="948" w:firstLineChars="3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 水深超过2m时，宜使用驳船或浮动平台机械铺设，潜水员配合作业。</w:t>
      </w:r>
    </w:p>
    <w:p w14:paraId="323636A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（3）模袋铺设应充分展开，固定牢靠；</w:t>
      </w:r>
    </w:p>
    <w:p w14:paraId="45F3E06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（4）铺设应留有收缩裕量，保证相邻模袋搭接宽度。相邻块模袋为缝接时，拼缝质量应满足设计要求；</w:t>
      </w:r>
    </w:p>
    <w:p w14:paraId="18D09FB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（5）相邻块搭接部位应按设计铺设反滤布。</w:t>
      </w:r>
    </w:p>
    <w:p w14:paraId="01C7EA08">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46" w:name="_Toc6697"/>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.7 模袋混凝土施工</w:t>
      </w:r>
      <w:bookmarkEnd w:id="1646"/>
    </w:p>
    <w:p w14:paraId="17923A9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一般规定</w:t>
      </w:r>
    </w:p>
    <w:p w14:paraId="5D54D1E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（1）混凝土生产、运输应符合 SL 677 的要求。混凝土拌和、运输、充填等设备经调试应满足施工要求。</w:t>
      </w:r>
    </w:p>
    <w:p w14:paraId="7186AC2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（2）混凝土泵送管道布设应符合JGJ/T10的要求，末端宜采用耐高压软管。</w:t>
      </w:r>
    </w:p>
    <w:p w14:paraId="1F176EC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（3）水深超过2m时，宜配备潜水员协助混凝土充填施工，并检查混凝土充填质量。</w:t>
      </w:r>
    </w:p>
    <w:p w14:paraId="025E812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混凝土充填</w:t>
      </w:r>
    </w:p>
    <w:p w14:paraId="255BB81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（1）管道接入和封扎应符合下列规定：</w:t>
      </w:r>
    </w:p>
    <w:p w14:paraId="17579A65">
      <w:pPr>
        <w:pageBreakBefore w:val="0"/>
        <w:kinsoku/>
        <w:wordWrap/>
        <w:overflowPunct/>
        <w:topLinePunct w:val="0"/>
        <w:autoSpaceDE/>
        <w:autoSpaceDN/>
        <w:bidi w:val="0"/>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 管道不宜垂直插入模袋，插入模袋内深度不宜小于100mm；</w:t>
      </w:r>
    </w:p>
    <w:p w14:paraId="5851CC2C">
      <w:pPr>
        <w:pageBreakBefore w:val="0"/>
        <w:kinsoku/>
        <w:wordWrap/>
        <w:overflowPunct/>
        <w:topLinePunct w:val="0"/>
        <w:autoSpaceDE/>
        <w:autoSpaceDN/>
        <w:bidi w:val="0"/>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 管道与袖口应绑扎牢固；</w:t>
      </w:r>
    </w:p>
    <w:p w14:paraId="45CC2851">
      <w:pPr>
        <w:pageBreakBefore w:val="0"/>
        <w:kinsoku/>
        <w:wordWrap/>
        <w:overflowPunct/>
        <w:topLinePunct w:val="0"/>
        <w:autoSpaceDE/>
        <w:autoSpaceDN/>
        <w:bidi w:val="0"/>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 混凝土充满后应立即撤管封扎。</w:t>
      </w:r>
    </w:p>
    <w:p w14:paraId="786E7A1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（2）模袋混凝土充填次序宜遵循下列原则：</w:t>
      </w:r>
    </w:p>
    <w:p w14:paraId="142BAF36">
      <w:pPr>
        <w:pageBreakBefore w:val="0"/>
        <w:kinsoku/>
        <w:wordWrap/>
        <w:overflowPunct/>
        <w:topLinePunct w:val="0"/>
        <w:autoSpaceDE/>
        <w:autoSpaceDN/>
        <w:bidi w:val="0"/>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 先上游后下游；</w:t>
      </w:r>
    </w:p>
    <w:p w14:paraId="4C60F6A4">
      <w:pPr>
        <w:pageBreakBefore w:val="0"/>
        <w:kinsoku/>
        <w:wordWrap/>
        <w:overflowPunct/>
        <w:topLinePunct w:val="0"/>
        <w:autoSpaceDE/>
        <w:autoSpaceDN/>
        <w:bidi w:val="0"/>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 自下而上，依次充填。</w:t>
      </w:r>
    </w:p>
    <w:p w14:paraId="783E681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（3）模袋混凝土充填速度宜为10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15m³/h，充填压力宜为0.2~0.3MPa。</w:t>
      </w:r>
    </w:p>
    <w:p w14:paraId="7F663C9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（4）模袋混凝土应按单幅复核混凝土充填量，实际充填量与计算量的偏差值宜控制</w:t>
      </w:r>
      <w:r>
        <w:rPr>
          <w:rFonts w:hint="eastAsia" w:ascii="宋体" w:hAnsi="宋体" w:eastAsia="宋体" w:cs="宋体"/>
          <w:color w:val="auto"/>
          <w:sz w:val="24"/>
          <w:szCs w:val="24"/>
          <w:highlight w:val="none"/>
          <w:lang w:eastAsia="zh-CN"/>
        </w:rPr>
        <w:t>在</w:t>
      </w:r>
      <w:r>
        <w:rPr>
          <w:rFonts w:hint="eastAsia" w:ascii="宋体" w:hAnsi="宋体" w:eastAsia="宋体" w:cs="宋体"/>
          <w:color w:val="auto"/>
          <w:sz w:val="24"/>
          <w:szCs w:val="24"/>
          <w:highlight w:val="none"/>
        </w:rPr>
        <w:t>5%~+8%。</w:t>
      </w:r>
    </w:p>
    <w:p w14:paraId="496718C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（5）模袋混凝土充填宜连续进行，一次浇筑成型；确因故不能一次浇筑成型的，间隔时间不得超过混凝土初凝时间。</w:t>
      </w:r>
    </w:p>
    <w:p w14:paraId="3773C90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（6）模袋混凝土充填时应密切观察灌口充填范围内的饱满度，接近饱满时，暂停5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10min，待模袋中水分和空气析出后，再充填至饱满。</w:t>
      </w:r>
    </w:p>
    <w:p w14:paraId="551697A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（7）模袋混凝土充填过程中，应采取措施防止模袋出现堵塞、鼓胀、鼓包等现象，不得随意加压充填。</w:t>
      </w:r>
    </w:p>
    <w:p w14:paraId="6302023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（8）模袋在充填前应充分湿润，充填后应立即将表面附着灰渣冲洗干净，做好成品保护。</w:t>
      </w:r>
    </w:p>
    <w:p w14:paraId="6CA4CB2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（9）相邻模袋采用缝接时，充填完成后拼缝处不得出现开口现象，模袋间空隙不得大于20mm；采用搭接时，充填完成后搭接长度不应小于设计值。</w:t>
      </w:r>
    </w:p>
    <w:p w14:paraId="3DF7128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（10）模袋混凝土边界应按设计要求及时压护，压护时模袋混凝土强度不应小于设计强度的70%。</w:t>
      </w:r>
    </w:p>
    <w:p w14:paraId="305FD1A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（11）有排渗要求时，应预先铺设反滤层；排水管宜在混凝土充填后初凝前埋设，采用级配砂石料填芯。</w:t>
      </w:r>
    </w:p>
    <w:p w14:paraId="3554503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47" w:name="_Toc11133"/>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.8 养护</w:t>
      </w:r>
      <w:bookmarkEnd w:id="1647"/>
    </w:p>
    <w:p w14:paraId="7D1C504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水上模袋混凝土应在混凝土充填后及时养护。</w:t>
      </w:r>
    </w:p>
    <w:p w14:paraId="3D12862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养护应连续进行，养护期内应保持混凝土表面湿润。</w:t>
      </w:r>
    </w:p>
    <w:p w14:paraId="3803D2D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养护时间不宜少于28d。</w:t>
      </w:r>
    </w:p>
    <w:p w14:paraId="6DA39D6D">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48" w:name="_Toc30393"/>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.9 质量检验与验收</w:t>
      </w:r>
      <w:bookmarkEnd w:id="1648"/>
    </w:p>
    <w:p w14:paraId="77F963C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一般规定</w:t>
      </w:r>
    </w:p>
    <w:p w14:paraId="605427A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（1）模袋混凝土单元工程划分界限宜设在模袋混凝土缝接或搭接处，长度不宜大于100m。</w:t>
      </w:r>
    </w:p>
    <w:p w14:paraId="29BA352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（2）模袋混凝土单元工程宜划分为基面处理、模袋加工及铺设、混凝土充填等工序，其中模袋加工及铺设、混凝土充填为主要工序。</w:t>
      </w:r>
    </w:p>
    <w:p w14:paraId="04748EC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（3）模袋混凝土试件应按 JTS 257 的要求制备；混凝土抗压强度质量评定应符合 SL 176的规定。</w:t>
      </w:r>
    </w:p>
    <w:p w14:paraId="6BEE5F8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（4）水下模袋施工的整体充填效果可通过水下影像资料验证，可采用水下检测仪器进行检测。</w:t>
      </w:r>
    </w:p>
    <w:p w14:paraId="0D7BC0E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基面处理</w:t>
      </w:r>
    </w:p>
    <w:p w14:paraId="0622065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（1）基面施工质量检验标准应满足表8.</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.9--1的规定。</w:t>
      </w:r>
    </w:p>
    <w:tbl>
      <w:tblPr>
        <w:tblStyle w:val="2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67"/>
        <w:gridCol w:w="784"/>
        <w:gridCol w:w="1423"/>
        <w:gridCol w:w="3275"/>
        <w:gridCol w:w="1512"/>
        <w:gridCol w:w="1676"/>
      </w:tblGrid>
      <w:tr w14:paraId="2EBB4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908" w:type="pct"/>
            <w:gridSpan w:val="2"/>
            <w:tcBorders>
              <w:top w:val="single" w:color="000000" w:sz="8" w:space="0"/>
              <w:left w:val="single" w:color="000000" w:sz="8" w:space="0"/>
              <w:bottom w:val="single" w:color="000000" w:sz="8" w:space="0"/>
              <w:right w:val="single" w:color="000000" w:sz="8" w:space="0"/>
            </w:tcBorders>
            <w:noWrap/>
            <w:vAlign w:val="center"/>
          </w:tcPr>
          <w:p w14:paraId="376E578E">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项次</w:t>
            </w:r>
          </w:p>
        </w:tc>
        <w:tc>
          <w:tcPr>
            <w:tcW w:w="738" w:type="pct"/>
            <w:tcBorders>
              <w:top w:val="single" w:color="000000" w:sz="8" w:space="0"/>
              <w:left w:val="single" w:color="000000" w:sz="8" w:space="0"/>
              <w:bottom w:val="single" w:color="000000" w:sz="8" w:space="0"/>
              <w:right w:val="single" w:color="000000" w:sz="8" w:space="0"/>
            </w:tcBorders>
            <w:noWrap/>
            <w:vAlign w:val="center"/>
          </w:tcPr>
          <w:p w14:paraId="336017EE">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检验项目</w:t>
            </w:r>
          </w:p>
        </w:tc>
        <w:tc>
          <w:tcPr>
            <w:tcW w:w="1698" w:type="pct"/>
            <w:tcBorders>
              <w:top w:val="single" w:color="000000" w:sz="8" w:space="0"/>
              <w:left w:val="single" w:color="000000" w:sz="8" w:space="0"/>
              <w:bottom w:val="single" w:color="000000" w:sz="8" w:space="0"/>
              <w:right w:val="single" w:color="000000" w:sz="8" w:space="0"/>
            </w:tcBorders>
            <w:noWrap/>
            <w:vAlign w:val="center"/>
          </w:tcPr>
          <w:p w14:paraId="351E6BBE">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质量要求</w:t>
            </w:r>
          </w:p>
        </w:tc>
        <w:tc>
          <w:tcPr>
            <w:tcW w:w="784" w:type="pct"/>
            <w:tcBorders>
              <w:top w:val="single" w:color="000000" w:sz="8" w:space="0"/>
              <w:left w:val="single" w:color="000000" w:sz="8" w:space="0"/>
              <w:bottom w:val="single" w:color="000000" w:sz="8" w:space="0"/>
              <w:right w:val="single" w:color="000000" w:sz="8" w:space="0"/>
            </w:tcBorders>
            <w:noWrap/>
            <w:vAlign w:val="center"/>
          </w:tcPr>
          <w:p w14:paraId="1B97DE2A">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检验方法</w:t>
            </w:r>
          </w:p>
        </w:tc>
        <w:tc>
          <w:tcPr>
            <w:tcW w:w="869" w:type="pct"/>
            <w:tcBorders>
              <w:top w:val="single" w:color="000000" w:sz="8" w:space="0"/>
              <w:left w:val="single" w:color="000000" w:sz="8" w:space="0"/>
              <w:bottom w:val="single" w:color="000000" w:sz="8" w:space="0"/>
              <w:right w:val="single" w:color="000000" w:sz="8" w:space="0"/>
            </w:tcBorders>
            <w:noWrap/>
            <w:vAlign w:val="center"/>
          </w:tcPr>
          <w:p w14:paraId="7EDB3A22">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lang w:val="en-US"/>
              </w:rPr>
            </w:pPr>
            <w:r>
              <w:rPr>
                <w:rFonts w:hint="eastAsia" w:ascii="宋体" w:hAnsi="宋体" w:eastAsia="宋体" w:cs="宋体"/>
                <w:b/>
                <w:bCs/>
                <w:i w:val="0"/>
                <w:iCs w:val="0"/>
                <w:color w:val="auto"/>
                <w:kern w:val="0"/>
                <w:sz w:val="24"/>
                <w:szCs w:val="24"/>
                <w:highlight w:val="none"/>
                <w:u w:val="none"/>
                <w:lang w:val="en-US" w:eastAsia="zh-CN" w:bidi="ar"/>
              </w:rPr>
              <w:t>检验数量</w:t>
            </w:r>
          </w:p>
        </w:tc>
      </w:tr>
      <w:tr w14:paraId="497C5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501" w:type="pct"/>
            <w:vMerge w:val="restart"/>
            <w:tcBorders>
              <w:top w:val="single" w:color="000000" w:sz="8" w:space="0"/>
              <w:left w:val="single" w:color="000000" w:sz="8" w:space="0"/>
              <w:bottom w:val="single" w:color="000000" w:sz="8" w:space="0"/>
              <w:right w:val="single" w:color="000000" w:sz="8" w:space="0"/>
            </w:tcBorders>
            <w:noWrap w:val="0"/>
            <w:vAlign w:val="center"/>
          </w:tcPr>
          <w:p w14:paraId="723E938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主控 项目</w:t>
            </w:r>
          </w:p>
        </w:tc>
        <w:tc>
          <w:tcPr>
            <w:tcW w:w="406" w:type="pct"/>
            <w:tcBorders>
              <w:top w:val="single" w:color="000000" w:sz="8" w:space="0"/>
              <w:left w:val="single" w:color="000000" w:sz="8" w:space="0"/>
              <w:bottom w:val="single" w:color="000000" w:sz="8" w:space="0"/>
              <w:right w:val="single" w:color="000000" w:sz="8" w:space="0"/>
            </w:tcBorders>
            <w:noWrap/>
            <w:vAlign w:val="center"/>
          </w:tcPr>
          <w:p w14:paraId="07ECDB9F">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738" w:type="pct"/>
            <w:tcBorders>
              <w:top w:val="single" w:color="000000" w:sz="8" w:space="0"/>
              <w:left w:val="single" w:color="000000" w:sz="8" w:space="0"/>
              <w:bottom w:val="single" w:color="000000" w:sz="8" w:space="0"/>
              <w:right w:val="single" w:color="000000" w:sz="8" w:space="0"/>
            </w:tcBorders>
            <w:noWrap/>
            <w:vAlign w:val="center"/>
          </w:tcPr>
          <w:p w14:paraId="0ED06B6C">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基面清理</w:t>
            </w:r>
          </w:p>
        </w:tc>
        <w:tc>
          <w:tcPr>
            <w:tcW w:w="1698" w:type="pct"/>
            <w:tcBorders>
              <w:top w:val="single" w:color="000000" w:sz="8" w:space="0"/>
              <w:left w:val="single" w:color="000000" w:sz="8" w:space="0"/>
              <w:bottom w:val="single" w:color="000000" w:sz="8" w:space="0"/>
              <w:right w:val="single" w:color="000000" w:sz="8" w:space="0"/>
            </w:tcBorders>
            <w:noWrap w:val="0"/>
            <w:vAlign w:val="center"/>
          </w:tcPr>
          <w:p w14:paraId="6061D76F">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表层树根、杂草、垃圾、废渣等障碍物已全部清除</w:t>
            </w:r>
          </w:p>
        </w:tc>
        <w:tc>
          <w:tcPr>
            <w:tcW w:w="784" w:type="pct"/>
            <w:tcBorders>
              <w:top w:val="single" w:color="000000" w:sz="8" w:space="0"/>
              <w:left w:val="single" w:color="000000" w:sz="8" w:space="0"/>
              <w:bottom w:val="single" w:color="000000" w:sz="8" w:space="0"/>
              <w:right w:val="single" w:color="000000" w:sz="8" w:space="0"/>
            </w:tcBorders>
            <w:noWrap/>
            <w:vAlign w:val="center"/>
          </w:tcPr>
          <w:p w14:paraId="2F807E0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观察</w:t>
            </w:r>
          </w:p>
        </w:tc>
        <w:tc>
          <w:tcPr>
            <w:tcW w:w="869" w:type="pct"/>
            <w:vMerge w:val="restart"/>
            <w:tcBorders>
              <w:top w:val="single" w:color="000000" w:sz="8" w:space="0"/>
              <w:left w:val="single" w:color="000000" w:sz="8" w:space="0"/>
              <w:bottom w:val="single" w:color="000000" w:sz="8" w:space="0"/>
              <w:right w:val="single" w:color="000000" w:sz="8" w:space="0"/>
            </w:tcBorders>
            <w:noWrap/>
            <w:vAlign w:val="center"/>
          </w:tcPr>
          <w:p w14:paraId="2AB3C85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全数</w:t>
            </w:r>
          </w:p>
        </w:tc>
      </w:tr>
      <w:tr w14:paraId="4CE03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5" w:hRule="atLeast"/>
        </w:trPr>
        <w:tc>
          <w:tcPr>
            <w:tcW w:w="501" w:type="pct"/>
            <w:vMerge w:val="continue"/>
            <w:tcBorders>
              <w:top w:val="single" w:color="000000" w:sz="8" w:space="0"/>
              <w:left w:val="single" w:color="000000" w:sz="8" w:space="0"/>
              <w:bottom w:val="single" w:color="000000" w:sz="8" w:space="0"/>
              <w:right w:val="single" w:color="000000" w:sz="8" w:space="0"/>
            </w:tcBorders>
            <w:noWrap w:val="0"/>
            <w:vAlign w:val="center"/>
          </w:tcPr>
          <w:p w14:paraId="6F8153C6">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406" w:type="pct"/>
            <w:tcBorders>
              <w:top w:val="single" w:color="000000" w:sz="8" w:space="0"/>
              <w:left w:val="single" w:color="000000" w:sz="8" w:space="0"/>
              <w:bottom w:val="single" w:color="000000" w:sz="8" w:space="0"/>
              <w:right w:val="single" w:color="000000" w:sz="8" w:space="0"/>
            </w:tcBorders>
            <w:noWrap/>
            <w:vAlign w:val="center"/>
          </w:tcPr>
          <w:p w14:paraId="4866071F">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iCs/>
                <w:color w:val="auto"/>
                <w:kern w:val="0"/>
                <w:sz w:val="24"/>
                <w:szCs w:val="24"/>
                <w:highlight w:val="none"/>
                <w:u w:val="none"/>
                <w:lang w:val="en-US" w:eastAsia="zh-CN" w:bidi="ar"/>
              </w:rPr>
              <w:t>2</w:t>
            </w:r>
          </w:p>
        </w:tc>
        <w:tc>
          <w:tcPr>
            <w:tcW w:w="738" w:type="pct"/>
            <w:tcBorders>
              <w:top w:val="single" w:color="000000" w:sz="8" w:space="0"/>
              <w:left w:val="single" w:color="000000" w:sz="8" w:space="0"/>
              <w:bottom w:val="single" w:color="000000" w:sz="8" w:space="0"/>
              <w:right w:val="single" w:color="000000" w:sz="8" w:space="0"/>
            </w:tcBorders>
            <w:noWrap/>
            <w:vAlign w:val="center"/>
          </w:tcPr>
          <w:p w14:paraId="0ACEDDE5">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基面处理</w:t>
            </w:r>
          </w:p>
        </w:tc>
        <w:tc>
          <w:tcPr>
            <w:tcW w:w="1698" w:type="pct"/>
            <w:tcBorders>
              <w:top w:val="single" w:color="000000" w:sz="8" w:space="0"/>
              <w:left w:val="single" w:color="000000" w:sz="8" w:space="0"/>
              <w:bottom w:val="single" w:color="000000" w:sz="8" w:space="0"/>
              <w:right w:val="single" w:color="000000" w:sz="8" w:space="0"/>
            </w:tcBorders>
            <w:noWrap w:val="0"/>
            <w:vAlign w:val="center"/>
          </w:tcPr>
          <w:p w14:paraId="5EFFFA94">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基面坑、沟、洞、亏坡和淤泥、 腐殖质土等软基面处理符合 设计要求</w:t>
            </w:r>
          </w:p>
        </w:tc>
        <w:tc>
          <w:tcPr>
            <w:tcW w:w="784" w:type="pct"/>
            <w:tcBorders>
              <w:top w:val="single" w:color="000000" w:sz="8" w:space="0"/>
              <w:left w:val="single" w:color="000000" w:sz="8" w:space="0"/>
              <w:bottom w:val="single" w:color="000000" w:sz="8" w:space="0"/>
              <w:right w:val="single" w:color="000000" w:sz="8" w:space="0"/>
            </w:tcBorders>
            <w:noWrap w:val="0"/>
            <w:vAlign w:val="center"/>
          </w:tcPr>
          <w:p w14:paraId="7861ECD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试验、 观察</w:t>
            </w:r>
          </w:p>
        </w:tc>
        <w:tc>
          <w:tcPr>
            <w:tcW w:w="869" w:type="pct"/>
            <w:vMerge w:val="continue"/>
            <w:tcBorders>
              <w:top w:val="single" w:color="000000" w:sz="8" w:space="0"/>
              <w:left w:val="single" w:color="000000" w:sz="8" w:space="0"/>
              <w:bottom w:val="single" w:color="000000" w:sz="8" w:space="0"/>
              <w:right w:val="single" w:color="000000" w:sz="8" w:space="0"/>
            </w:tcBorders>
            <w:noWrap/>
            <w:vAlign w:val="center"/>
          </w:tcPr>
          <w:p w14:paraId="2D9F4564">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r>
      <w:tr w14:paraId="46F19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01" w:type="pct"/>
            <w:vMerge w:val="restart"/>
            <w:tcBorders>
              <w:top w:val="single" w:color="000000" w:sz="8" w:space="0"/>
              <w:left w:val="single" w:color="000000" w:sz="8" w:space="0"/>
              <w:bottom w:val="single" w:color="000000" w:sz="8" w:space="0"/>
              <w:right w:val="single" w:color="000000" w:sz="8" w:space="0"/>
            </w:tcBorders>
            <w:noWrap w:val="0"/>
            <w:vAlign w:val="center"/>
          </w:tcPr>
          <w:p w14:paraId="1B67366C">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—般 项目</w:t>
            </w:r>
          </w:p>
        </w:tc>
        <w:tc>
          <w:tcPr>
            <w:tcW w:w="406" w:type="pct"/>
            <w:tcBorders>
              <w:top w:val="single" w:color="000000" w:sz="8" w:space="0"/>
              <w:left w:val="single" w:color="000000" w:sz="8" w:space="0"/>
              <w:bottom w:val="single" w:color="000000" w:sz="8" w:space="0"/>
              <w:right w:val="single" w:color="000000" w:sz="8" w:space="0"/>
            </w:tcBorders>
            <w:noWrap/>
            <w:vAlign w:val="center"/>
          </w:tcPr>
          <w:p w14:paraId="601CA01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738" w:type="pct"/>
            <w:tcBorders>
              <w:top w:val="single" w:color="000000" w:sz="8" w:space="0"/>
              <w:left w:val="single" w:color="000000" w:sz="8" w:space="0"/>
              <w:bottom w:val="single" w:color="000000" w:sz="8" w:space="0"/>
              <w:right w:val="single" w:color="000000" w:sz="8" w:space="0"/>
            </w:tcBorders>
            <w:noWrap/>
            <w:vAlign w:val="center"/>
          </w:tcPr>
          <w:p w14:paraId="7E39357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清理范围</w:t>
            </w:r>
          </w:p>
        </w:tc>
        <w:tc>
          <w:tcPr>
            <w:tcW w:w="1698" w:type="pct"/>
            <w:tcBorders>
              <w:top w:val="single" w:color="000000" w:sz="8" w:space="0"/>
              <w:left w:val="single" w:color="000000" w:sz="8" w:space="0"/>
              <w:bottom w:val="single" w:color="000000" w:sz="8" w:space="0"/>
              <w:right w:val="single" w:color="000000" w:sz="8" w:space="0"/>
            </w:tcBorders>
            <w:noWrap/>
            <w:vAlign w:val="center"/>
          </w:tcPr>
          <w:p w14:paraId="22C00C29">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清理至基面边线外500mm以上</w:t>
            </w:r>
          </w:p>
        </w:tc>
        <w:tc>
          <w:tcPr>
            <w:tcW w:w="784" w:type="pct"/>
            <w:vMerge w:val="restart"/>
            <w:tcBorders>
              <w:top w:val="single" w:color="000000" w:sz="8" w:space="0"/>
              <w:left w:val="single" w:color="000000" w:sz="8" w:space="0"/>
              <w:bottom w:val="single" w:color="000000" w:sz="8" w:space="0"/>
              <w:right w:val="single" w:color="000000" w:sz="8" w:space="0"/>
            </w:tcBorders>
            <w:noWrap/>
            <w:vAlign w:val="center"/>
          </w:tcPr>
          <w:p w14:paraId="6F1B4EB5">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测量</w:t>
            </w:r>
          </w:p>
        </w:tc>
        <w:tc>
          <w:tcPr>
            <w:tcW w:w="869" w:type="pct"/>
            <w:vMerge w:val="restart"/>
            <w:tcBorders>
              <w:top w:val="single" w:color="000000" w:sz="8" w:space="0"/>
              <w:left w:val="single" w:color="000000" w:sz="8" w:space="0"/>
              <w:bottom w:val="single" w:color="000000" w:sz="8" w:space="0"/>
              <w:right w:val="single" w:color="000000" w:sz="8" w:space="0"/>
            </w:tcBorders>
            <w:noWrap/>
            <w:vAlign w:val="center"/>
          </w:tcPr>
          <w:p w14:paraId="4BE1733D">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1断面/20m</w:t>
            </w:r>
          </w:p>
        </w:tc>
      </w:tr>
      <w:tr w14:paraId="0CA16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01" w:type="pct"/>
            <w:vMerge w:val="continue"/>
            <w:tcBorders>
              <w:top w:val="single" w:color="000000" w:sz="8" w:space="0"/>
              <w:left w:val="single" w:color="000000" w:sz="8" w:space="0"/>
              <w:bottom w:val="single" w:color="000000" w:sz="8" w:space="0"/>
              <w:right w:val="single" w:color="000000" w:sz="8" w:space="0"/>
            </w:tcBorders>
            <w:noWrap w:val="0"/>
            <w:vAlign w:val="center"/>
          </w:tcPr>
          <w:p w14:paraId="75AAE3E4">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406" w:type="pct"/>
            <w:tcBorders>
              <w:top w:val="single" w:color="000000" w:sz="8" w:space="0"/>
              <w:left w:val="single" w:color="000000" w:sz="8" w:space="0"/>
              <w:bottom w:val="single" w:color="000000" w:sz="8" w:space="0"/>
              <w:right w:val="single" w:color="000000" w:sz="8" w:space="0"/>
            </w:tcBorders>
            <w:noWrap/>
            <w:vAlign w:val="center"/>
          </w:tcPr>
          <w:p w14:paraId="31A613CB">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738" w:type="pct"/>
            <w:tcBorders>
              <w:top w:val="single" w:color="000000" w:sz="8" w:space="0"/>
              <w:left w:val="single" w:color="000000" w:sz="8" w:space="0"/>
              <w:bottom w:val="single" w:color="000000" w:sz="8" w:space="0"/>
              <w:right w:val="single" w:color="000000" w:sz="8" w:space="0"/>
            </w:tcBorders>
            <w:noWrap/>
            <w:vAlign w:val="center"/>
          </w:tcPr>
          <w:p w14:paraId="0D58B881">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坡度</w:t>
            </w:r>
          </w:p>
        </w:tc>
        <w:tc>
          <w:tcPr>
            <w:tcW w:w="1698" w:type="pct"/>
            <w:tcBorders>
              <w:top w:val="single" w:color="000000" w:sz="8" w:space="0"/>
              <w:left w:val="single" w:color="000000" w:sz="8" w:space="0"/>
              <w:bottom w:val="single" w:color="000000" w:sz="8" w:space="0"/>
              <w:right w:val="single" w:color="000000" w:sz="8" w:space="0"/>
            </w:tcBorders>
            <w:noWrap/>
            <w:vAlign w:val="center"/>
          </w:tcPr>
          <w:p w14:paraId="46A006AD">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不陡于设计要求</w:t>
            </w:r>
          </w:p>
        </w:tc>
        <w:tc>
          <w:tcPr>
            <w:tcW w:w="784" w:type="pct"/>
            <w:vMerge w:val="continue"/>
            <w:tcBorders>
              <w:top w:val="single" w:color="000000" w:sz="8" w:space="0"/>
              <w:left w:val="single" w:color="000000" w:sz="8" w:space="0"/>
              <w:bottom w:val="single" w:color="000000" w:sz="8" w:space="0"/>
              <w:right w:val="single" w:color="000000" w:sz="8" w:space="0"/>
            </w:tcBorders>
            <w:noWrap/>
            <w:vAlign w:val="center"/>
          </w:tcPr>
          <w:p w14:paraId="74DDC314">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869" w:type="pct"/>
            <w:vMerge w:val="continue"/>
            <w:tcBorders>
              <w:top w:val="single" w:color="000000" w:sz="8" w:space="0"/>
              <w:left w:val="single" w:color="000000" w:sz="8" w:space="0"/>
              <w:bottom w:val="single" w:color="000000" w:sz="8" w:space="0"/>
              <w:right w:val="single" w:color="000000" w:sz="8" w:space="0"/>
            </w:tcBorders>
            <w:noWrap/>
            <w:vAlign w:val="center"/>
          </w:tcPr>
          <w:p w14:paraId="0831E0C3">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r>
      <w:tr w14:paraId="76A81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01" w:type="pct"/>
            <w:vMerge w:val="continue"/>
            <w:tcBorders>
              <w:top w:val="single" w:color="000000" w:sz="8" w:space="0"/>
              <w:left w:val="single" w:color="000000" w:sz="8" w:space="0"/>
              <w:bottom w:val="single" w:color="000000" w:sz="8" w:space="0"/>
              <w:right w:val="single" w:color="000000" w:sz="8" w:space="0"/>
            </w:tcBorders>
            <w:noWrap w:val="0"/>
            <w:vAlign w:val="center"/>
          </w:tcPr>
          <w:p w14:paraId="680393FA">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406" w:type="pct"/>
            <w:tcBorders>
              <w:top w:val="single" w:color="000000" w:sz="8" w:space="0"/>
              <w:left w:val="single" w:color="000000" w:sz="8" w:space="0"/>
              <w:bottom w:val="single" w:color="000000" w:sz="8" w:space="0"/>
              <w:right w:val="single" w:color="000000" w:sz="8" w:space="0"/>
            </w:tcBorders>
            <w:noWrap/>
            <w:vAlign w:val="center"/>
          </w:tcPr>
          <w:p w14:paraId="13C4A80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738" w:type="pct"/>
            <w:tcBorders>
              <w:top w:val="single" w:color="000000" w:sz="8" w:space="0"/>
              <w:left w:val="single" w:color="000000" w:sz="8" w:space="0"/>
              <w:bottom w:val="single" w:color="000000" w:sz="8" w:space="0"/>
              <w:right w:val="single" w:color="000000" w:sz="8" w:space="0"/>
            </w:tcBorders>
            <w:noWrap/>
            <w:vAlign w:val="center"/>
          </w:tcPr>
          <w:p w14:paraId="67E28CBD">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坡面平整</w:t>
            </w:r>
          </w:p>
        </w:tc>
        <w:tc>
          <w:tcPr>
            <w:tcW w:w="1698" w:type="pct"/>
            <w:tcBorders>
              <w:top w:val="single" w:color="000000" w:sz="8" w:space="0"/>
              <w:left w:val="single" w:color="000000" w:sz="8" w:space="0"/>
              <w:bottom w:val="single" w:color="000000" w:sz="8" w:space="0"/>
              <w:right w:val="single" w:color="000000" w:sz="8" w:space="0"/>
            </w:tcBorders>
            <w:noWrap/>
            <w:vAlign w:val="center"/>
          </w:tcPr>
          <w:p w14:paraId="39810021">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无明显凹凸</w:t>
            </w:r>
          </w:p>
        </w:tc>
        <w:tc>
          <w:tcPr>
            <w:tcW w:w="784" w:type="pct"/>
            <w:tcBorders>
              <w:top w:val="single" w:color="000000" w:sz="8" w:space="0"/>
              <w:left w:val="single" w:color="000000" w:sz="8" w:space="0"/>
              <w:bottom w:val="single" w:color="000000" w:sz="8" w:space="0"/>
              <w:right w:val="single" w:color="000000" w:sz="8" w:space="0"/>
            </w:tcBorders>
            <w:noWrap/>
            <w:vAlign w:val="center"/>
          </w:tcPr>
          <w:p w14:paraId="5D92DFF6">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观察</w:t>
            </w:r>
          </w:p>
        </w:tc>
        <w:tc>
          <w:tcPr>
            <w:tcW w:w="869" w:type="pct"/>
            <w:tcBorders>
              <w:top w:val="single" w:color="000000" w:sz="8" w:space="0"/>
              <w:left w:val="single" w:color="000000" w:sz="8" w:space="0"/>
              <w:bottom w:val="single" w:color="000000" w:sz="8" w:space="0"/>
              <w:right w:val="single" w:color="000000" w:sz="8" w:space="0"/>
            </w:tcBorders>
            <w:noWrap/>
            <w:vAlign w:val="center"/>
          </w:tcPr>
          <w:p w14:paraId="59129649">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全数</w:t>
            </w:r>
          </w:p>
        </w:tc>
      </w:tr>
    </w:tbl>
    <w:p w14:paraId="2C152BF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p>
    <w:p w14:paraId="3E8C539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（2）水下基面质量检验应辅以水下测量或潜水员检查。</w:t>
      </w:r>
    </w:p>
    <w:p w14:paraId="2609081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模袋加工及铺设</w:t>
      </w:r>
    </w:p>
    <w:p w14:paraId="62986C4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（1）模袋加工及铺设除应符合设计要求外，还应符合本标准5.2节和5.3节的要求。</w:t>
      </w:r>
    </w:p>
    <w:p w14:paraId="04AF95B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（2）模袋加工及铺设施工质量检验标准。</w:t>
      </w:r>
    </w:p>
    <w:p w14:paraId="22EFD10F">
      <w:pPr>
        <w:pageBreakBefore w:val="0"/>
        <w:kinsoku/>
        <w:wordWrap/>
        <w:overflowPunct/>
        <w:topLinePunct w:val="0"/>
        <w:autoSpaceDE/>
        <w:autoSpaceDN/>
        <w:bidi w:val="0"/>
        <w:spacing w:line="360" w:lineRule="auto"/>
        <w:ind w:firstLine="42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表 8.5.</w:t>
      </w:r>
      <w:r>
        <w:rPr>
          <w:rFonts w:hint="eastAsia" w:ascii="宋体" w:hAnsi="宋体" w:eastAsia="宋体" w:cs="宋体"/>
          <w:b/>
          <w:bCs/>
          <w:color w:val="auto"/>
          <w:sz w:val="24"/>
          <w:szCs w:val="24"/>
          <w:highlight w:val="none"/>
          <w:lang w:val="en-US" w:eastAsia="zh-CN"/>
        </w:rPr>
        <w:t>9-2</w:t>
      </w:r>
      <w:r>
        <w:rPr>
          <w:rFonts w:hint="eastAsia" w:ascii="宋体" w:hAnsi="宋体" w:eastAsia="宋体" w:cs="宋体"/>
          <w:b/>
          <w:bCs/>
          <w:color w:val="auto"/>
          <w:sz w:val="24"/>
          <w:szCs w:val="24"/>
          <w:highlight w:val="none"/>
        </w:rPr>
        <w:t xml:space="preserve">  模袋加工及铺设施工质量检验标准</w:t>
      </w:r>
    </w:p>
    <w:tbl>
      <w:tblPr>
        <w:tblStyle w:val="27"/>
        <w:tblW w:w="885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40"/>
        <w:gridCol w:w="600"/>
        <w:gridCol w:w="1350"/>
        <w:gridCol w:w="1896"/>
        <w:gridCol w:w="2004"/>
        <w:gridCol w:w="1146"/>
        <w:gridCol w:w="1118"/>
      </w:tblGrid>
      <w:tr w14:paraId="14DD0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340" w:type="dxa"/>
            <w:gridSpan w:val="2"/>
            <w:tcBorders>
              <w:top w:val="single" w:color="000000" w:sz="8" w:space="0"/>
              <w:left w:val="single" w:color="000000" w:sz="8" w:space="0"/>
              <w:bottom w:val="single" w:color="000000" w:sz="8" w:space="0"/>
              <w:right w:val="single" w:color="000000" w:sz="8" w:space="0"/>
            </w:tcBorders>
            <w:noWrap/>
            <w:vAlign w:val="center"/>
          </w:tcPr>
          <w:p w14:paraId="39D8E841">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项次</w:t>
            </w:r>
          </w:p>
        </w:tc>
        <w:tc>
          <w:tcPr>
            <w:tcW w:w="1350" w:type="dxa"/>
            <w:tcBorders>
              <w:top w:val="single" w:color="000000" w:sz="8" w:space="0"/>
              <w:left w:val="single" w:color="000000" w:sz="8" w:space="0"/>
              <w:bottom w:val="single" w:color="000000" w:sz="8" w:space="0"/>
              <w:right w:val="single" w:color="000000" w:sz="8" w:space="0"/>
            </w:tcBorders>
            <w:noWrap/>
            <w:vAlign w:val="center"/>
          </w:tcPr>
          <w:p w14:paraId="0EAA36EE">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检验项目</w:t>
            </w:r>
          </w:p>
        </w:tc>
        <w:tc>
          <w:tcPr>
            <w:tcW w:w="3900" w:type="dxa"/>
            <w:gridSpan w:val="2"/>
            <w:tcBorders>
              <w:top w:val="single" w:color="000000" w:sz="8" w:space="0"/>
              <w:left w:val="single" w:color="000000" w:sz="8" w:space="0"/>
              <w:bottom w:val="single" w:color="000000" w:sz="8" w:space="0"/>
              <w:right w:val="single" w:color="000000" w:sz="8" w:space="0"/>
            </w:tcBorders>
            <w:noWrap/>
            <w:vAlign w:val="center"/>
          </w:tcPr>
          <w:p w14:paraId="719E7DDE">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质量要求</w:t>
            </w:r>
          </w:p>
        </w:tc>
        <w:tc>
          <w:tcPr>
            <w:tcW w:w="1146" w:type="dxa"/>
            <w:tcBorders>
              <w:top w:val="single" w:color="000000" w:sz="8" w:space="0"/>
              <w:left w:val="single" w:color="000000" w:sz="8" w:space="0"/>
              <w:bottom w:val="single" w:color="000000" w:sz="8" w:space="0"/>
              <w:right w:val="single" w:color="000000" w:sz="8" w:space="0"/>
            </w:tcBorders>
            <w:noWrap/>
            <w:vAlign w:val="center"/>
          </w:tcPr>
          <w:p w14:paraId="71C100FF">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检验方法</w:t>
            </w:r>
          </w:p>
        </w:tc>
        <w:tc>
          <w:tcPr>
            <w:tcW w:w="1118" w:type="dxa"/>
            <w:tcBorders>
              <w:top w:val="single" w:color="000000" w:sz="8" w:space="0"/>
              <w:left w:val="single" w:color="000000" w:sz="8" w:space="0"/>
              <w:bottom w:val="single" w:color="000000" w:sz="8" w:space="0"/>
              <w:right w:val="single" w:color="000000" w:sz="8" w:space="0"/>
            </w:tcBorders>
            <w:noWrap/>
            <w:vAlign w:val="center"/>
          </w:tcPr>
          <w:p w14:paraId="7A7FD672">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检验数量</w:t>
            </w:r>
          </w:p>
        </w:tc>
      </w:tr>
      <w:tr w14:paraId="2674D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40" w:type="dxa"/>
            <w:vMerge w:val="restart"/>
            <w:tcBorders>
              <w:top w:val="single" w:color="000000" w:sz="8" w:space="0"/>
              <w:left w:val="single" w:color="000000" w:sz="8" w:space="0"/>
              <w:bottom w:val="single" w:color="000000" w:sz="8" w:space="0"/>
              <w:right w:val="single" w:color="000000" w:sz="8" w:space="0"/>
            </w:tcBorders>
            <w:noWrap w:val="0"/>
            <w:vAlign w:val="center"/>
          </w:tcPr>
          <w:p w14:paraId="40DFAE5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主控项目</w:t>
            </w:r>
          </w:p>
        </w:tc>
        <w:tc>
          <w:tcPr>
            <w:tcW w:w="600" w:type="dxa"/>
            <w:vMerge w:val="restart"/>
            <w:tcBorders>
              <w:top w:val="single" w:color="000000" w:sz="8" w:space="0"/>
              <w:left w:val="single" w:color="000000" w:sz="8" w:space="0"/>
              <w:right w:val="single" w:color="000000" w:sz="8" w:space="0"/>
            </w:tcBorders>
            <w:noWrap w:val="0"/>
            <w:vAlign w:val="center"/>
          </w:tcPr>
          <w:p w14:paraId="3AD7A0B2">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1</w:t>
            </w:r>
          </w:p>
        </w:tc>
        <w:tc>
          <w:tcPr>
            <w:tcW w:w="1350" w:type="dxa"/>
            <w:vMerge w:val="restart"/>
            <w:tcBorders>
              <w:top w:val="single" w:color="000000" w:sz="8" w:space="0"/>
              <w:left w:val="single" w:color="000000" w:sz="8" w:space="0"/>
              <w:bottom w:val="single" w:color="000000" w:sz="8" w:space="0"/>
              <w:right w:val="single" w:color="000000" w:sz="8" w:space="0"/>
            </w:tcBorders>
            <w:noWrap/>
            <w:vAlign w:val="center"/>
          </w:tcPr>
          <w:p w14:paraId="51B85DE9">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模袋规格</w:t>
            </w:r>
          </w:p>
        </w:tc>
        <w:tc>
          <w:tcPr>
            <w:tcW w:w="1896" w:type="dxa"/>
            <w:tcBorders>
              <w:top w:val="single" w:color="000000" w:sz="8" w:space="0"/>
              <w:left w:val="single" w:color="000000" w:sz="8" w:space="0"/>
              <w:bottom w:val="single" w:color="000000" w:sz="8" w:space="0"/>
              <w:right w:val="single" w:color="000000" w:sz="8" w:space="0"/>
            </w:tcBorders>
            <w:noWrap/>
            <w:vAlign w:val="center"/>
          </w:tcPr>
          <w:p w14:paraId="47495405">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横向尺寸</w:t>
            </w:r>
          </w:p>
        </w:tc>
        <w:tc>
          <w:tcPr>
            <w:tcW w:w="2004" w:type="dxa"/>
            <w:tcBorders>
              <w:top w:val="single" w:color="000000" w:sz="8" w:space="0"/>
              <w:left w:val="single" w:color="000000" w:sz="8" w:space="0"/>
              <w:bottom w:val="single" w:color="000000" w:sz="8" w:space="0"/>
              <w:right w:val="single" w:color="000000" w:sz="8" w:space="0"/>
            </w:tcBorders>
            <w:noWrap/>
            <w:vAlign w:val="center"/>
          </w:tcPr>
          <w:p w14:paraId="69EC5FF5">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不小于（1+3%）</w:t>
            </w:r>
            <w:r>
              <w:rPr>
                <w:rFonts w:hint="eastAsia" w:ascii="宋体" w:hAnsi="宋体" w:eastAsia="宋体" w:cs="宋体"/>
                <w:i/>
                <w:iCs/>
                <w:color w:val="auto"/>
                <w:kern w:val="0"/>
                <w:sz w:val="24"/>
                <w:szCs w:val="24"/>
                <w:highlight w:val="none"/>
                <w:u w:val="none"/>
                <w:lang w:val="en-US" w:eastAsia="zh-CN" w:bidi="ar"/>
              </w:rPr>
              <w:t>B</w:t>
            </w:r>
          </w:p>
        </w:tc>
        <w:tc>
          <w:tcPr>
            <w:tcW w:w="1146" w:type="dxa"/>
            <w:vMerge w:val="restart"/>
            <w:tcBorders>
              <w:top w:val="single" w:color="000000" w:sz="8" w:space="0"/>
              <w:left w:val="single" w:color="000000" w:sz="8" w:space="0"/>
              <w:bottom w:val="single" w:color="000000" w:sz="8" w:space="0"/>
              <w:right w:val="single" w:color="000000" w:sz="8" w:space="0"/>
            </w:tcBorders>
            <w:noWrap/>
            <w:vAlign w:val="center"/>
          </w:tcPr>
          <w:p w14:paraId="6E532B55">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量测</w:t>
            </w:r>
          </w:p>
        </w:tc>
        <w:tc>
          <w:tcPr>
            <w:tcW w:w="1118" w:type="dxa"/>
            <w:vMerge w:val="restart"/>
            <w:tcBorders>
              <w:top w:val="single" w:color="000000" w:sz="8" w:space="0"/>
              <w:left w:val="single" w:color="000000" w:sz="8" w:space="0"/>
              <w:bottom w:val="single" w:color="000000" w:sz="8" w:space="0"/>
              <w:right w:val="single" w:color="000000" w:sz="8" w:space="0"/>
            </w:tcBorders>
            <w:noWrap/>
            <w:vAlign w:val="center"/>
          </w:tcPr>
          <w:p w14:paraId="5E109B5F">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全数</w:t>
            </w:r>
          </w:p>
        </w:tc>
      </w:tr>
      <w:tr w14:paraId="54F83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40" w:type="dxa"/>
            <w:vMerge w:val="continue"/>
            <w:tcBorders>
              <w:top w:val="single" w:color="000000" w:sz="8" w:space="0"/>
              <w:left w:val="single" w:color="000000" w:sz="8" w:space="0"/>
              <w:bottom w:val="single" w:color="000000" w:sz="8" w:space="0"/>
              <w:right w:val="single" w:color="000000" w:sz="8" w:space="0"/>
            </w:tcBorders>
            <w:noWrap w:val="0"/>
            <w:vAlign w:val="center"/>
          </w:tcPr>
          <w:p w14:paraId="134797DF">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600" w:type="dxa"/>
            <w:vMerge w:val="continue"/>
            <w:tcBorders>
              <w:left w:val="single" w:color="000000" w:sz="8" w:space="0"/>
              <w:bottom w:val="single" w:color="000000" w:sz="8" w:space="0"/>
              <w:right w:val="single" w:color="000000" w:sz="8" w:space="0"/>
            </w:tcBorders>
            <w:noWrap w:val="0"/>
            <w:vAlign w:val="center"/>
          </w:tcPr>
          <w:p w14:paraId="4E825CA1">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1350" w:type="dxa"/>
            <w:vMerge w:val="continue"/>
            <w:tcBorders>
              <w:top w:val="single" w:color="000000" w:sz="8" w:space="0"/>
              <w:left w:val="single" w:color="000000" w:sz="8" w:space="0"/>
              <w:bottom w:val="single" w:color="000000" w:sz="8" w:space="0"/>
              <w:right w:val="single" w:color="000000" w:sz="8" w:space="0"/>
            </w:tcBorders>
            <w:noWrap/>
            <w:vAlign w:val="center"/>
          </w:tcPr>
          <w:p w14:paraId="77858206">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1896" w:type="dxa"/>
            <w:tcBorders>
              <w:top w:val="single" w:color="000000" w:sz="8" w:space="0"/>
              <w:left w:val="single" w:color="000000" w:sz="8" w:space="0"/>
              <w:bottom w:val="single" w:color="000000" w:sz="8" w:space="0"/>
              <w:right w:val="single" w:color="000000" w:sz="8" w:space="0"/>
            </w:tcBorders>
            <w:noWrap/>
            <w:vAlign w:val="center"/>
          </w:tcPr>
          <w:p w14:paraId="6E307E07">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纵向尺寸</w:t>
            </w:r>
          </w:p>
        </w:tc>
        <w:tc>
          <w:tcPr>
            <w:tcW w:w="2004" w:type="dxa"/>
            <w:tcBorders>
              <w:top w:val="single" w:color="000000" w:sz="8" w:space="0"/>
              <w:left w:val="single" w:color="000000" w:sz="8" w:space="0"/>
              <w:bottom w:val="single" w:color="000000" w:sz="8" w:space="0"/>
              <w:right w:val="single" w:color="000000" w:sz="8" w:space="0"/>
            </w:tcBorders>
            <w:noWrap/>
            <w:vAlign w:val="center"/>
          </w:tcPr>
          <w:p w14:paraId="0596A93B">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不小于（1 +7%）</w:t>
            </w:r>
            <w:r>
              <w:rPr>
                <w:rFonts w:hint="eastAsia" w:ascii="宋体" w:hAnsi="宋体" w:eastAsia="宋体" w:cs="宋体"/>
                <w:i/>
                <w:iCs/>
                <w:color w:val="auto"/>
                <w:kern w:val="0"/>
                <w:sz w:val="24"/>
                <w:szCs w:val="24"/>
                <w:highlight w:val="none"/>
                <w:u w:val="none"/>
                <w:lang w:val="en-US" w:eastAsia="zh-CN" w:bidi="ar"/>
              </w:rPr>
              <w:t>L</w:t>
            </w:r>
          </w:p>
        </w:tc>
        <w:tc>
          <w:tcPr>
            <w:tcW w:w="1146" w:type="dxa"/>
            <w:vMerge w:val="continue"/>
            <w:tcBorders>
              <w:top w:val="single" w:color="000000" w:sz="8" w:space="0"/>
              <w:left w:val="single" w:color="000000" w:sz="8" w:space="0"/>
              <w:bottom w:val="single" w:color="000000" w:sz="8" w:space="0"/>
              <w:right w:val="single" w:color="000000" w:sz="8" w:space="0"/>
            </w:tcBorders>
            <w:noWrap/>
            <w:vAlign w:val="center"/>
          </w:tcPr>
          <w:p w14:paraId="641893F6">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1118" w:type="dxa"/>
            <w:vMerge w:val="continue"/>
            <w:tcBorders>
              <w:top w:val="single" w:color="000000" w:sz="8" w:space="0"/>
              <w:left w:val="single" w:color="000000" w:sz="8" w:space="0"/>
              <w:bottom w:val="single" w:color="000000" w:sz="8" w:space="0"/>
              <w:right w:val="single" w:color="000000" w:sz="8" w:space="0"/>
            </w:tcBorders>
            <w:noWrap/>
            <w:vAlign w:val="center"/>
          </w:tcPr>
          <w:p w14:paraId="0EBA3972">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r>
      <w:tr w14:paraId="42E49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40" w:type="dxa"/>
            <w:vMerge w:val="continue"/>
            <w:tcBorders>
              <w:top w:val="single" w:color="000000" w:sz="8" w:space="0"/>
              <w:left w:val="single" w:color="000000" w:sz="8" w:space="0"/>
              <w:bottom w:val="single" w:color="000000" w:sz="8" w:space="0"/>
              <w:right w:val="single" w:color="000000" w:sz="8" w:space="0"/>
            </w:tcBorders>
            <w:noWrap w:val="0"/>
            <w:vAlign w:val="center"/>
          </w:tcPr>
          <w:p w14:paraId="0B0CC9C1">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600" w:type="dxa"/>
            <w:tcBorders>
              <w:top w:val="single" w:color="000000" w:sz="8" w:space="0"/>
              <w:left w:val="single" w:color="000000" w:sz="8" w:space="0"/>
              <w:bottom w:val="single" w:color="000000" w:sz="8" w:space="0"/>
              <w:right w:val="single" w:color="000000" w:sz="8" w:space="0"/>
            </w:tcBorders>
            <w:noWrap w:val="0"/>
            <w:vAlign w:val="center"/>
          </w:tcPr>
          <w:p w14:paraId="4DEE11FD">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2</w:t>
            </w:r>
          </w:p>
        </w:tc>
        <w:tc>
          <w:tcPr>
            <w:tcW w:w="1350" w:type="dxa"/>
            <w:tcBorders>
              <w:top w:val="single" w:color="000000" w:sz="8" w:space="0"/>
              <w:left w:val="single" w:color="000000" w:sz="8" w:space="0"/>
              <w:bottom w:val="single" w:color="000000" w:sz="8" w:space="0"/>
              <w:right w:val="single" w:color="000000" w:sz="8" w:space="0"/>
            </w:tcBorders>
            <w:noWrap/>
            <w:vAlign w:val="center"/>
          </w:tcPr>
          <w:p w14:paraId="16D3F3AF">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制作及连接</w:t>
            </w:r>
          </w:p>
        </w:tc>
        <w:tc>
          <w:tcPr>
            <w:tcW w:w="3900" w:type="dxa"/>
            <w:gridSpan w:val="2"/>
            <w:tcBorders>
              <w:top w:val="single" w:color="000000" w:sz="8" w:space="0"/>
              <w:left w:val="single" w:color="000000" w:sz="8" w:space="0"/>
              <w:bottom w:val="single" w:color="000000" w:sz="8" w:space="0"/>
              <w:right w:val="single" w:color="000000" w:sz="8" w:space="0"/>
            </w:tcBorders>
            <w:noWrap w:val="0"/>
            <w:vAlign w:val="center"/>
          </w:tcPr>
          <w:p w14:paraId="066A66E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模袋沿横断面方向整块制作加工，纵向采用缝接方式连接，拼缝质量符合设计要求</w:t>
            </w:r>
          </w:p>
        </w:tc>
        <w:tc>
          <w:tcPr>
            <w:tcW w:w="1146" w:type="dxa"/>
            <w:tcBorders>
              <w:top w:val="single" w:color="000000" w:sz="8" w:space="0"/>
              <w:left w:val="single" w:color="000000" w:sz="8" w:space="0"/>
              <w:bottom w:val="single" w:color="000000" w:sz="8" w:space="0"/>
              <w:right w:val="single" w:color="000000" w:sz="8" w:space="0"/>
            </w:tcBorders>
            <w:noWrap/>
            <w:vAlign w:val="center"/>
          </w:tcPr>
          <w:p w14:paraId="151D9252">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观察</w:t>
            </w:r>
          </w:p>
        </w:tc>
        <w:tc>
          <w:tcPr>
            <w:tcW w:w="1118" w:type="dxa"/>
            <w:tcBorders>
              <w:top w:val="single" w:color="000000" w:sz="8" w:space="0"/>
              <w:left w:val="single" w:color="000000" w:sz="8" w:space="0"/>
              <w:bottom w:val="single" w:color="000000" w:sz="8" w:space="0"/>
              <w:right w:val="single" w:color="000000" w:sz="8" w:space="0"/>
            </w:tcBorders>
            <w:noWrap/>
            <w:vAlign w:val="center"/>
          </w:tcPr>
          <w:p w14:paraId="0493E2BB">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全数</w:t>
            </w:r>
          </w:p>
        </w:tc>
      </w:tr>
      <w:tr w14:paraId="22E75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740" w:type="dxa"/>
            <w:vMerge w:val="continue"/>
            <w:tcBorders>
              <w:top w:val="single" w:color="000000" w:sz="8" w:space="0"/>
              <w:left w:val="single" w:color="000000" w:sz="8" w:space="0"/>
              <w:bottom w:val="single" w:color="000000" w:sz="8" w:space="0"/>
              <w:right w:val="single" w:color="000000" w:sz="8" w:space="0"/>
            </w:tcBorders>
            <w:noWrap w:val="0"/>
            <w:vAlign w:val="center"/>
          </w:tcPr>
          <w:p w14:paraId="05FB6426">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600" w:type="dxa"/>
            <w:tcBorders>
              <w:top w:val="single" w:color="000000" w:sz="8" w:space="0"/>
              <w:left w:val="single" w:color="000000" w:sz="8" w:space="0"/>
              <w:bottom w:val="single" w:color="000000" w:sz="8" w:space="0"/>
              <w:right w:val="single" w:color="000000" w:sz="8" w:space="0"/>
            </w:tcBorders>
            <w:noWrap/>
            <w:vAlign w:val="center"/>
          </w:tcPr>
          <w:p w14:paraId="3F1EED29">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350" w:type="dxa"/>
            <w:tcBorders>
              <w:top w:val="single" w:color="000000" w:sz="8" w:space="0"/>
              <w:left w:val="single" w:color="000000" w:sz="8" w:space="0"/>
              <w:bottom w:val="single" w:color="000000" w:sz="8" w:space="0"/>
              <w:right w:val="single" w:color="000000" w:sz="8" w:space="0"/>
            </w:tcBorders>
            <w:noWrap/>
            <w:vAlign w:val="center"/>
          </w:tcPr>
          <w:p w14:paraId="5C5E8479">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固定及铺设</w:t>
            </w:r>
          </w:p>
        </w:tc>
        <w:tc>
          <w:tcPr>
            <w:tcW w:w="3900" w:type="dxa"/>
            <w:gridSpan w:val="2"/>
            <w:tcBorders>
              <w:top w:val="single" w:color="000000" w:sz="8" w:space="0"/>
              <w:left w:val="single" w:color="000000" w:sz="8" w:space="0"/>
              <w:bottom w:val="single" w:color="000000" w:sz="8" w:space="0"/>
              <w:right w:val="single" w:color="000000" w:sz="8" w:space="0"/>
            </w:tcBorders>
            <w:noWrap w:val="0"/>
            <w:vAlign w:val="center"/>
          </w:tcPr>
          <w:p w14:paraId="694F18B1">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固定桩位置和间距符合要求，模袋铺设平整、松紧适当，固定牢固</w:t>
            </w:r>
          </w:p>
        </w:tc>
        <w:tc>
          <w:tcPr>
            <w:tcW w:w="1146" w:type="dxa"/>
            <w:tcBorders>
              <w:top w:val="single" w:color="000000" w:sz="8" w:space="0"/>
              <w:left w:val="single" w:color="000000" w:sz="8" w:space="0"/>
              <w:bottom w:val="single" w:color="000000" w:sz="8" w:space="0"/>
              <w:right w:val="single" w:color="000000" w:sz="8" w:space="0"/>
            </w:tcBorders>
            <w:noWrap w:val="0"/>
            <w:vAlign w:val="center"/>
          </w:tcPr>
          <w:p w14:paraId="3F63EF7D">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观察、</w:t>
            </w:r>
          </w:p>
          <w:p w14:paraId="322B4D33">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量测</w:t>
            </w:r>
          </w:p>
        </w:tc>
        <w:tc>
          <w:tcPr>
            <w:tcW w:w="1118" w:type="dxa"/>
            <w:tcBorders>
              <w:top w:val="single" w:color="000000" w:sz="8" w:space="0"/>
              <w:left w:val="single" w:color="000000" w:sz="8" w:space="0"/>
              <w:bottom w:val="single" w:color="000000" w:sz="8" w:space="0"/>
              <w:right w:val="single" w:color="000000" w:sz="8" w:space="0"/>
            </w:tcBorders>
            <w:noWrap/>
            <w:vAlign w:val="center"/>
          </w:tcPr>
          <w:p w14:paraId="3153BE36">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全数</w:t>
            </w:r>
          </w:p>
        </w:tc>
      </w:tr>
      <w:tr w14:paraId="36F0D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740" w:type="dxa"/>
            <w:vMerge w:val="restart"/>
            <w:tcBorders>
              <w:top w:val="single" w:color="000000" w:sz="8" w:space="0"/>
              <w:left w:val="single" w:color="000000" w:sz="8" w:space="0"/>
              <w:bottom w:val="single" w:color="000000" w:sz="8" w:space="0"/>
              <w:right w:val="single" w:color="000000" w:sz="8" w:space="0"/>
            </w:tcBorders>
            <w:noWrap w:val="0"/>
            <w:vAlign w:val="center"/>
          </w:tcPr>
          <w:p w14:paraId="0E36CAD9">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一般项目</w:t>
            </w:r>
          </w:p>
        </w:tc>
        <w:tc>
          <w:tcPr>
            <w:tcW w:w="600" w:type="dxa"/>
            <w:vMerge w:val="restart"/>
            <w:tcBorders>
              <w:top w:val="single" w:color="000000" w:sz="8" w:space="0"/>
              <w:left w:val="single" w:color="000000" w:sz="8" w:space="0"/>
              <w:bottom w:val="single" w:color="000000" w:sz="8" w:space="0"/>
              <w:right w:val="single" w:color="000000" w:sz="8" w:space="0"/>
            </w:tcBorders>
            <w:noWrap/>
            <w:vAlign w:val="center"/>
          </w:tcPr>
          <w:p w14:paraId="2D293A8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350" w:type="dxa"/>
            <w:vMerge w:val="restart"/>
            <w:tcBorders>
              <w:top w:val="single" w:color="000000" w:sz="8" w:space="0"/>
              <w:left w:val="single" w:color="000000" w:sz="8" w:space="0"/>
              <w:bottom w:val="single" w:color="000000" w:sz="8" w:space="0"/>
              <w:right w:val="single" w:color="000000" w:sz="8" w:space="0"/>
            </w:tcBorders>
            <w:noWrap/>
            <w:vAlign w:val="center"/>
          </w:tcPr>
          <w:p w14:paraId="721184C4">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袖口</w:t>
            </w:r>
          </w:p>
        </w:tc>
        <w:tc>
          <w:tcPr>
            <w:tcW w:w="1896" w:type="dxa"/>
            <w:tcBorders>
              <w:top w:val="single" w:color="000000" w:sz="8" w:space="0"/>
              <w:left w:val="single" w:color="000000" w:sz="8" w:space="0"/>
              <w:bottom w:val="single" w:color="000000" w:sz="8" w:space="0"/>
              <w:right w:val="single" w:color="000000" w:sz="8" w:space="0"/>
            </w:tcBorders>
            <w:noWrap/>
            <w:vAlign w:val="center"/>
          </w:tcPr>
          <w:p w14:paraId="6D006301">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直径</w:t>
            </w:r>
          </w:p>
        </w:tc>
        <w:tc>
          <w:tcPr>
            <w:tcW w:w="2004" w:type="dxa"/>
            <w:tcBorders>
              <w:top w:val="single" w:color="000000" w:sz="8" w:space="0"/>
              <w:left w:val="single" w:color="000000" w:sz="8" w:space="0"/>
              <w:bottom w:val="single" w:color="000000" w:sz="8" w:space="0"/>
              <w:right w:val="single" w:color="000000" w:sz="8" w:space="0"/>
            </w:tcBorders>
            <w:noWrap/>
            <w:vAlign w:val="center"/>
          </w:tcPr>
          <w:p w14:paraId="6CF5A3E1">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允许偏差士30mm</w:t>
            </w:r>
          </w:p>
        </w:tc>
        <w:tc>
          <w:tcPr>
            <w:tcW w:w="1146" w:type="dxa"/>
            <w:vMerge w:val="restart"/>
            <w:tcBorders>
              <w:top w:val="single" w:color="000000" w:sz="8" w:space="0"/>
              <w:left w:val="single" w:color="000000" w:sz="8" w:space="0"/>
              <w:bottom w:val="single" w:color="000000" w:sz="8" w:space="0"/>
              <w:right w:val="single" w:color="000000" w:sz="8" w:space="0"/>
            </w:tcBorders>
            <w:noWrap/>
            <w:vAlign w:val="center"/>
          </w:tcPr>
          <w:p w14:paraId="50E1045C">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量测</w:t>
            </w:r>
          </w:p>
        </w:tc>
        <w:tc>
          <w:tcPr>
            <w:tcW w:w="1118" w:type="dxa"/>
            <w:vMerge w:val="restart"/>
            <w:tcBorders>
              <w:top w:val="single" w:color="000000" w:sz="8" w:space="0"/>
              <w:left w:val="single" w:color="000000" w:sz="8" w:space="0"/>
              <w:bottom w:val="single" w:color="000000" w:sz="8" w:space="0"/>
              <w:right w:val="single" w:color="000000" w:sz="8" w:space="0"/>
            </w:tcBorders>
            <w:noWrap/>
            <w:vAlign w:val="center"/>
          </w:tcPr>
          <w:p w14:paraId="7526714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抽查10%</w:t>
            </w:r>
          </w:p>
        </w:tc>
      </w:tr>
      <w:tr w14:paraId="14DAD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740" w:type="dxa"/>
            <w:vMerge w:val="continue"/>
            <w:tcBorders>
              <w:top w:val="single" w:color="000000" w:sz="8" w:space="0"/>
              <w:left w:val="single" w:color="000000" w:sz="8" w:space="0"/>
              <w:bottom w:val="single" w:color="000000" w:sz="8" w:space="0"/>
              <w:right w:val="single" w:color="000000" w:sz="8" w:space="0"/>
            </w:tcBorders>
            <w:noWrap w:val="0"/>
            <w:vAlign w:val="center"/>
          </w:tcPr>
          <w:p w14:paraId="5FBFB8E6">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600" w:type="dxa"/>
            <w:vMerge w:val="continue"/>
            <w:tcBorders>
              <w:top w:val="single" w:color="000000" w:sz="8" w:space="0"/>
              <w:left w:val="single" w:color="000000" w:sz="8" w:space="0"/>
              <w:bottom w:val="single" w:color="000000" w:sz="8" w:space="0"/>
              <w:right w:val="single" w:color="000000" w:sz="8" w:space="0"/>
            </w:tcBorders>
            <w:noWrap/>
            <w:vAlign w:val="center"/>
          </w:tcPr>
          <w:p w14:paraId="4EAB770E">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1350" w:type="dxa"/>
            <w:vMerge w:val="continue"/>
            <w:tcBorders>
              <w:top w:val="single" w:color="000000" w:sz="8" w:space="0"/>
              <w:left w:val="single" w:color="000000" w:sz="8" w:space="0"/>
              <w:bottom w:val="single" w:color="000000" w:sz="8" w:space="0"/>
              <w:right w:val="single" w:color="000000" w:sz="8" w:space="0"/>
            </w:tcBorders>
            <w:noWrap/>
            <w:vAlign w:val="center"/>
          </w:tcPr>
          <w:p w14:paraId="5DDD347C">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1896" w:type="dxa"/>
            <w:tcBorders>
              <w:top w:val="single" w:color="000000" w:sz="8" w:space="0"/>
              <w:left w:val="single" w:color="000000" w:sz="8" w:space="0"/>
              <w:bottom w:val="single" w:color="000000" w:sz="8" w:space="0"/>
              <w:right w:val="single" w:color="000000" w:sz="8" w:space="0"/>
            </w:tcBorders>
            <w:noWrap/>
            <w:vAlign w:val="center"/>
          </w:tcPr>
          <w:p w14:paraId="029E181E">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间距</w:t>
            </w:r>
          </w:p>
        </w:tc>
        <w:tc>
          <w:tcPr>
            <w:tcW w:w="2004" w:type="dxa"/>
            <w:tcBorders>
              <w:top w:val="single" w:color="000000" w:sz="8" w:space="0"/>
              <w:left w:val="single" w:color="000000" w:sz="8" w:space="0"/>
              <w:bottom w:val="single" w:color="000000" w:sz="8" w:space="0"/>
              <w:right w:val="single" w:color="000000" w:sz="8" w:space="0"/>
            </w:tcBorders>
            <w:noWrap/>
            <w:vAlign w:val="center"/>
          </w:tcPr>
          <w:p w14:paraId="1A65C84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允许偏差+50mm</w:t>
            </w:r>
          </w:p>
        </w:tc>
        <w:tc>
          <w:tcPr>
            <w:tcW w:w="1146" w:type="dxa"/>
            <w:vMerge w:val="continue"/>
            <w:tcBorders>
              <w:top w:val="single" w:color="000000" w:sz="8" w:space="0"/>
              <w:left w:val="single" w:color="000000" w:sz="8" w:space="0"/>
              <w:bottom w:val="single" w:color="000000" w:sz="8" w:space="0"/>
              <w:right w:val="single" w:color="000000" w:sz="8" w:space="0"/>
            </w:tcBorders>
            <w:noWrap/>
            <w:vAlign w:val="center"/>
          </w:tcPr>
          <w:p w14:paraId="0A00B68D">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1118" w:type="dxa"/>
            <w:vMerge w:val="continue"/>
            <w:tcBorders>
              <w:top w:val="single" w:color="000000" w:sz="8" w:space="0"/>
              <w:left w:val="single" w:color="000000" w:sz="8" w:space="0"/>
              <w:bottom w:val="single" w:color="000000" w:sz="8" w:space="0"/>
              <w:right w:val="single" w:color="000000" w:sz="8" w:space="0"/>
            </w:tcBorders>
            <w:noWrap/>
            <w:vAlign w:val="center"/>
          </w:tcPr>
          <w:p w14:paraId="2A723EDB">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r>
      <w:tr w14:paraId="18723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40" w:type="dxa"/>
            <w:vMerge w:val="continue"/>
            <w:tcBorders>
              <w:top w:val="single" w:color="000000" w:sz="8" w:space="0"/>
              <w:left w:val="single" w:color="000000" w:sz="8" w:space="0"/>
              <w:bottom w:val="single" w:color="000000" w:sz="8" w:space="0"/>
              <w:right w:val="single" w:color="000000" w:sz="8" w:space="0"/>
            </w:tcBorders>
            <w:noWrap w:val="0"/>
            <w:vAlign w:val="center"/>
          </w:tcPr>
          <w:p w14:paraId="430CA941">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600" w:type="dxa"/>
            <w:vMerge w:val="continue"/>
            <w:tcBorders>
              <w:top w:val="single" w:color="000000" w:sz="8" w:space="0"/>
              <w:left w:val="single" w:color="000000" w:sz="8" w:space="0"/>
              <w:bottom w:val="single" w:color="000000" w:sz="8" w:space="0"/>
              <w:right w:val="single" w:color="000000" w:sz="8" w:space="0"/>
            </w:tcBorders>
            <w:noWrap/>
            <w:vAlign w:val="center"/>
          </w:tcPr>
          <w:p w14:paraId="293777B1">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1350" w:type="dxa"/>
            <w:vMerge w:val="continue"/>
            <w:tcBorders>
              <w:top w:val="single" w:color="000000" w:sz="8" w:space="0"/>
              <w:left w:val="single" w:color="000000" w:sz="8" w:space="0"/>
              <w:bottom w:val="single" w:color="000000" w:sz="8" w:space="0"/>
              <w:right w:val="single" w:color="000000" w:sz="8" w:space="0"/>
            </w:tcBorders>
            <w:noWrap/>
            <w:vAlign w:val="center"/>
          </w:tcPr>
          <w:p w14:paraId="62549F91">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1896" w:type="dxa"/>
            <w:tcBorders>
              <w:top w:val="single" w:color="000000" w:sz="8" w:space="0"/>
              <w:left w:val="single" w:color="000000" w:sz="8" w:space="0"/>
              <w:bottom w:val="single" w:color="000000" w:sz="8" w:space="0"/>
              <w:right w:val="single" w:color="000000" w:sz="8" w:space="0"/>
            </w:tcBorders>
            <w:noWrap/>
            <w:vAlign w:val="center"/>
          </w:tcPr>
          <w:p w14:paraId="091D88C3">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袖口长</w:t>
            </w:r>
          </w:p>
        </w:tc>
        <w:tc>
          <w:tcPr>
            <w:tcW w:w="2004" w:type="dxa"/>
            <w:tcBorders>
              <w:top w:val="single" w:color="000000" w:sz="8" w:space="0"/>
              <w:left w:val="single" w:color="000000" w:sz="8" w:space="0"/>
              <w:bottom w:val="single" w:color="000000" w:sz="8" w:space="0"/>
              <w:right w:val="single" w:color="000000" w:sz="8" w:space="0"/>
            </w:tcBorders>
            <w:noWrap/>
            <w:vAlign w:val="center"/>
          </w:tcPr>
          <w:p w14:paraId="494764AD">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允许偏差一30mm</w:t>
            </w:r>
          </w:p>
        </w:tc>
        <w:tc>
          <w:tcPr>
            <w:tcW w:w="1146" w:type="dxa"/>
            <w:vMerge w:val="continue"/>
            <w:tcBorders>
              <w:top w:val="single" w:color="000000" w:sz="8" w:space="0"/>
              <w:left w:val="single" w:color="000000" w:sz="8" w:space="0"/>
              <w:bottom w:val="single" w:color="000000" w:sz="8" w:space="0"/>
              <w:right w:val="single" w:color="000000" w:sz="8" w:space="0"/>
            </w:tcBorders>
            <w:noWrap/>
            <w:vAlign w:val="center"/>
          </w:tcPr>
          <w:p w14:paraId="6093AC70">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1118" w:type="dxa"/>
            <w:vMerge w:val="continue"/>
            <w:tcBorders>
              <w:top w:val="single" w:color="000000" w:sz="8" w:space="0"/>
              <w:left w:val="single" w:color="000000" w:sz="8" w:space="0"/>
              <w:bottom w:val="single" w:color="000000" w:sz="8" w:space="0"/>
              <w:right w:val="single" w:color="000000" w:sz="8" w:space="0"/>
            </w:tcBorders>
            <w:noWrap/>
            <w:vAlign w:val="center"/>
          </w:tcPr>
          <w:p w14:paraId="3A96106F">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r>
      <w:tr w14:paraId="7C918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740" w:type="dxa"/>
            <w:vMerge w:val="continue"/>
            <w:tcBorders>
              <w:top w:val="single" w:color="000000" w:sz="8" w:space="0"/>
              <w:left w:val="single" w:color="000000" w:sz="8" w:space="0"/>
              <w:bottom w:val="single" w:color="000000" w:sz="8" w:space="0"/>
              <w:right w:val="single" w:color="000000" w:sz="8" w:space="0"/>
            </w:tcBorders>
            <w:noWrap w:val="0"/>
            <w:vAlign w:val="center"/>
          </w:tcPr>
          <w:p w14:paraId="4105BD5E">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600" w:type="dxa"/>
            <w:tcBorders>
              <w:top w:val="single" w:color="000000" w:sz="8" w:space="0"/>
              <w:left w:val="single" w:color="000000" w:sz="8" w:space="0"/>
              <w:bottom w:val="single" w:color="000000" w:sz="8" w:space="0"/>
              <w:right w:val="single" w:color="000000" w:sz="8" w:space="0"/>
            </w:tcBorders>
            <w:noWrap/>
            <w:vAlign w:val="center"/>
          </w:tcPr>
          <w:p w14:paraId="53CE78F6">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350" w:type="dxa"/>
            <w:tcBorders>
              <w:top w:val="single" w:color="000000" w:sz="8" w:space="0"/>
              <w:left w:val="single" w:color="000000" w:sz="8" w:space="0"/>
              <w:bottom w:val="single" w:color="000000" w:sz="8" w:space="0"/>
              <w:right w:val="single" w:color="000000" w:sz="8" w:space="0"/>
            </w:tcBorders>
            <w:noWrap/>
            <w:vAlign w:val="center"/>
          </w:tcPr>
          <w:p w14:paraId="575B733B">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铺设边线</w:t>
            </w:r>
          </w:p>
        </w:tc>
        <w:tc>
          <w:tcPr>
            <w:tcW w:w="3900" w:type="dxa"/>
            <w:gridSpan w:val="2"/>
            <w:tcBorders>
              <w:top w:val="single" w:color="000000" w:sz="8" w:space="0"/>
              <w:left w:val="single" w:color="000000" w:sz="8" w:space="0"/>
              <w:bottom w:val="single" w:color="000000" w:sz="8" w:space="0"/>
              <w:right w:val="single" w:color="000000" w:sz="8" w:space="0"/>
            </w:tcBorders>
            <w:noWrap/>
            <w:vAlign w:val="center"/>
          </w:tcPr>
          <w:p w14:paraId="5950472C">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允许偏差士20mm</w:t>
            </w:r>
          </w:p>
        </w:tc>
        <w:tc>
          <w:tcPr>
            <w:tcW w:w="1146" w:type="dxa"/>
            <w:tcBorders>
              <w:top w:val="single" w:color="000000" w:sz="8" w:space="0"/>
              <w:left w:val="single" w:color="000000" w:sz="8" w:space="0"/>
              <w:bottom w:val="single" w:color="000000" w:sz="8" w:space="0"/>
              <w:right w:val="single" w:color="000000" w:sz="8" w:space="0"/>
            </w:tcBorders>
            <w:noWrap/>
            <w:vAlign w:val="center"/>
          </w:tcPr>
          <w:p w14:paraId="047C46B9">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量测</w:t>
            </w:r>
          </w:p>
        </w:tc>
        <w:tc>
          <w:tcPr>
            <w:tcW w:w="1118" w:type="dxa"/>
            <w:tcBorders>
              <w:top w:val="single" w:color="000000" w:sz="8" w:space="0"/>
              <w:left w:val="single" w:color="000000" w:sz="8" w:space="0"/>
              <w:bottom w:val="single" w:color="000000" w:sz="8" w:space="0"/>
              <w:right w:val="single" w:color="000000" w:sz="8" w:space="0"/>
            </w:tcBorders>
            <w:noWrap/>
            <w:vAlign w:val="center"/>
          </w:tcPr>
          <w:p w14:paraId="66E2D689">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全数</w:t>
            </w:r>
          </w:p>
        </w:tc>
      </w:tr>
      <w:tr w14:paraId="4C3FDF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740" w:type="dxa"/>
            <w:vMerge w:val="continue"/>
            <w:tcBorders>
              <w:top w:val="single" w:color="000000" w:sz="8" w:space="0"/>
              <w:left w:val="single" w:color="000000" w:sz="8" w:space="0"/>
              <w:bottom w:val="single" w:color="000000" w:sz="8" w:space="0"/>
              <w:right w:val="single" w:color="000000" w:sz="8" w:space="0"/>
            </w:tcBorders>
            <w:noWrap w:val="0"/>
            <w:vAlign w:val="center"/>
          </w:tcPr>
          <w:p w14:paraId="3449B3C0">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600" w:type="dxa"/>
            <w:tcBorders>
              <w:top w:val="single" w:color="000000" w:sz="8" w:space="0"/>
              <w:left w:val="single" w:color="000000" w:sz="8" w:space="0"/>
              <w:bottom w:val="single" w:color="000000" w:sz="8" w:space="0"/>
              <w:right w:val="single" w:color="000000" w:sz="8" w:space="0"/>
            </w:tcBorders>
            <w:noWrap/>
            <w:vAlign w:val="center"/>
          </w:tcPr>
          <w:p w14:paraId="71861E3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350" w:type="dxa"/>
            <w:tcBorders>
              <w:top w:val="single" w:color="000000" w:sz="8" w:space="0"/>
              <w:left w:val="single" w:color="000000" w:sz="8" w:space="0"/>
              <w:bottom w:val="single" w:color="000000" w:sz="8" w:space="0"/>
              <w:right w:val="single" w:color="000000" w:sz="8" w:space="0"/>
            </w:tcBorders>
            <w:noWrap w:val="0"/>
            <w:vAlign w:val="center"/>
          </w:tcPr>
          <w:p w14:paraId="0F141BD4">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下垫土工织物与模袋搭接宽度</w:t>
            </w:r>
          </w:p>
        </w:tc>
        <w:tc>
          <w:tcPr>
            <w:tcW w:w="3900" w:type="dxa"/>
            <w:gridSpan w:val="2"/>
            <w:tcBorders>
              <w:top w:val="single" w:color="000000" w:sz="8" w:space="0"/>
              <w:left w:val="single" w:color="000000" w:sz="8" w:space="0"/>
              <w:bottom w:val="single" w:color="000000" w:sz="8" w:space="0"/>
              <w:right w:val="single" w:color="000000" w:sz="8" w:space="0"/>
            </w:tcBorders>
            <w:noWrap/>
            <w:vAlign w:val="center"/>
          </w:tcPr>
          <w:p w14:paraId="3B1B19F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不小于设计值</w:t>
            </w:r>
          </w:p>
        </w:tc>
        <w:tc>
          <w:tcPr>
            <w:tcW w:w="1146" w:type="dxa"/>
            <w:tcBorders>
              <w:top w:val="single" w:color="000000" w:sz="8" w:space="0"/>
              <w:left w:val="single" w:color="000000" w:sz="8" w:space="0"/>
              <w:bottom w:val="single" w:color="000000" w:sz="8" w:space="0"/>
              <w:right w:val="single" w:color="000000" w:sz="8" w:space="0"/>
            </w:tcBorders>
            <w:noWrap/>
            <w:vAlign w:val="center"/>
          </w:tcPr>
          <w:p w14:paraId="77918E3C">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量测</w:t>
            </w:r>
          </w:p>
        </w:tc>
        <w:tc>
          <w:tcPr>
            <w:tcW w:w="1118" w:type="dxa"/>
            <w:tcBorders>
              <w:top w:val="single" w:color="000000" w:sz="8" w:space="0"/>
              <w:left w:val="single" w:color="000000" w:sz="8" w:space="0"/>
              <w:bottom w:val="single" w:color="000000" w:sz="8" w:space="0"/>
              <w:right w:val="single" w:color="000000" w:sz="8" w:space="0"/>
            </w:tcBorders>
            <w:noWrap/>
            <w:vAlign w:val="center"/>
          </w:tcPr>
          <w:p w14:paraId="277F4876">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全数</w:t>
            </w:r>
          </w:p>
        </w:tc>
      </w:tr>
    </w:tbl>
    <w:p w14:paraId="782EF8D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注：B横向模袋设计尺寸；L纵向模袋设计尺寸。</w:t>
      </w:r>
    </w:p>
    <w:p w14:paraId="27B223B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模袋混凝土充填</w:t>
      </w:r>
    </w:p>
    <w:p w14:paraId="756EAA2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（1）混凝土原材料和</w:t>
      </w:r>
      <w:r>
        <w:rPr>
          <w:rFonts w:hint="eastAsia" w:ascii="宋体" w:hAnsi="宋体" w:eastAsia="宋体" w:cs="宋体"/>
          <w:color w:val="auto"/>
          <w:sz w:val="24"/>
          <w:szCs w:val="24"/>
          <w:highlight w:val="none"/>
          <w:lang w:eastAsia="zh-CN"/>
        </w:rPr>
        <w:t>拌合</w:t>
      </w:r>
      <w:r>
        <w:rPr>
          <w:rFonts w:hint="eastAsia" w:ascii="宋体" w:hAnsi="宋体" w:eastAsia="宋体" w:cs="宋体"/>
          <w:color w:val="auto"/>
          <w:sz w:val="24"/>
          <w:szCs w:val="24"/>
          <w:highlight w:val="none"/>
        </w:rPr>
        <w:t>物质量检验应按 SL 677 执行。</w:t>
      </w:r>
    </w:p>
    <w:p w14:paraId="2385471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（2）模袋混凝土充填质量检验标准应满足表7.4.2的规定。</w:t>
      </w:r>
    </w:p>
    <w:tbl>
      <w:tblPr>
        <w:tblStyle w:val="2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92"/>
        <w:gridCol w:w="470"/>
        <w:gridCol w:w="1924"/>
        <w:gridCol w:w="1315"/>
        <w:gridCol w:w="1859"/>
        <w:gridCol w:w="1763"/>
        <w:gridCol w:w="1616"/>
      </w:tblGrid>
      <w:tr w14:paraId="52736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tblHeader/>
        </w:trPr>
        <w:tc>
          <w:tcPr>
            <w:tcW w:w="602" w:type="pct"/>
            <w:gridSpan w:val="2"/>
            <w:tcBorders>
              <w:top w:val="single" w:color="auto" w:sz="4" w:space="0"/>
              <w:left w:val="single" w:color="auto" w:sz="4" w:space="0"/>
              <w:bottom w:val="single" w:color="auto" w:sz="4" w:space="0"/>
              <w:right w:val="single" w:color="auto" w:sz="4" w:space="0"/>
            </w:tcBorders>
            <w:noWrap/>
            <w:vAlign w:val="center"/>
          </w:tcPr>
          <w:p w14:paraId="2D8D6223">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项次</w:t>
            </w:r>
          </w:p>
        </w:tc>
        <w:tc>
          <w:tcPr>
            <w:tcW w:w="998" w:type="pct"/>
            <w:tcBorders>
              <w:top w:val="single" w:color="auto" w:sz="4" w:space="0"/>
              <w:left w:val="single" w:color="auto" w:sz="4" w:space="0"/>
              <w:bottom w:val="single" w:color="auto" w:sz="4" w:space="0"/>
              <w:right w:val="single" w:color="auto" w:sz="4" w:space="0"/>
            </w:tcBorders>
            <w:noWrap/>
            <w:vAlign w:val="center"/>
          </w:tcPr>
          <w:p w14:paraId="454D522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检验项目</w:t>
            </w:r>
          </w:p>
        </w:tc>
        <w:tc>
          <w:tcPr>
            <w:tcW w:w="1646" w:type="pct"/>
            <w:gridSpan w:val="2"/>
            <w:tcBorders>
              <w:top w:val="single" w:color="auto" w:sz="4" w:space="0"/>
              <w:left w:val="single" w:color="auto" w:sz="4" w:space="0"/>
              <w:bottom w:val="single" w:color="auto" w:sz="4" w:space="0"/>
              <w:right w:val="single" w:color="auto" w:sz="4" w:space="0"/>
            </w:tcBorders>
            <w:noWrap/>
            <w:vAlign w:val="center"/>
          </w:tcPr>
          <w:p w14:paraId="6464F24D">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质量要求</w:t>
            </w:r>
          </w:p>
        </w:tc>
        <w:tc>
          <w:tcPr>
            <w:tcW w:w="914" w:type="pct"/>
            <w:tcBorders>
              <w:top w:val="single" w:color="auto" w:sz="4" w:space="0"/>
              <w:left w:val="single" w:color="auto" w:sz="4" w:space="0"/>
              <w:bottom w:val="single" w:color="auto" w:sz="4" w:space="0"/>
              <w:right w:val="single" w:color="auto" w:sz="4" w:space="0"/>
            </w:tcBorders>
            <w:noWrap/>
            <w:vAlign w:val="center"/>
          </w:tcPr>
          <w:p w14:paraId="7216CC1C">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检验方法</w:t>
            </w:r>
          </w:p>
        </w:tc>
        <w:tc>
          <w:tcPr>
            <w:tcW w:w="838" w:type="pct"/>
            <w:tcBorders>
              <w:top w:val="single" w:color="auto" w:sz="4" w:space="0"/>
              <w:left w:val="single" w:color="auto" w:sz="4" w:space="0"/>
              <w:bottom w:val="single" w:color="auto" w:sz="4" w:space="0"/>
              <w:right w:val="single" w:color="auto" w:sz="4" w:space="0"/>
            </w:tcBorders>
            <w:noWrap/>
            <w:vAlign w:val="center"/>
          </w:tcPr>
          <w:p w14:paraId="41E69492">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检验数量</w:t>
            </w:r>
          </w:p>
        </w:tc>
      </w:tr>
      <w:tr w14:paraId="68468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5" w:hRule="atLeast"/>
        </w:trPr>
        <w:tc>
          <w:tcPr>
            <w:tcW w:w="358" w:type="pct"/>
            <w:vMerge w:val="restart"/>
            <w:tcBorders>
              <w:top w:val="single" w:color="auto" w:sz="4" w:space="0"/>
              <w:left w:val="single" w:color="auto" w:sz="4" w:space="0"/>
              <w:bottom w:val="single" w:color="auto" w:sz="4" w:space="0"/>
              <w:right w:val="single" w:color="auto" w:sz="4" w:space="0"/>
            </w:tcBorders>
            <w:noWrap w:val="0"/>
            <w:vAlign w:val="center"/>
          </w:tcPr>
          <w:p w14:paraId="0B7F12F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主控</w:t>
            </w:r>
          </w:p>
          <w:p w14:paraId="1C13E674">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项目</w:t>
            </w:r>
          </w:p>
        </w:tc>
        <w:tc>
          <w:tcPr>
            <w:tcW w:w="244" w:type="pct"/>
            <w:tcBorders>
              <w:top w:val="single" w:color="auto" w:sz="4" w:space="0"/>
              <w:left w:val="single" w:color="auto" w:sz="4" w:space="0"/>
              <w:bottom w:val="single" w:color="auto" w:sz="4" w:space="0"/>
              <w:right w:val="single" w:color="auto" w:sz="4" w:space="0"/>
            </w:tcBorders>
            <w:noWrap/>
            <w:vAlign w:val="center"/>
          </w:tcPr>
          <w:p w14:paraId="32EDE4DD">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998" w:type="pct"/>
            <w:tcBorders>
              <w:top w:val="single" w:color="auto" w:sz="4" w:space="0"/>
              <w:left w:val="single" w:color="auto" w:sz="4" w:space="0"/>
              <w:bottom w:val="single" w:color="auto" w:sz="4" w:space="0"/>
              <w:right w:val="single" w:color="auto" w:sz="4" w:space="0"/>
            </w:tcBorders>
            <w:noWrap/>
            <w:vAlign w:val="center"/>
          </w:tcPr>
          <w:p w14:paraId="41A7A6A2">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充填混凝土</w:t>
            </w:r>
          </w:p>
        </w:tc>
        <w:tc>
          <w:tcPr>
            <w:tcW w:w="1646" w:type="pct"/>
            <w:gridSpan w:val="2"/>
            <w:tcBorders>
              <w:top w:val="single" w:color="auto" w:sz="4" w:space="0"/>
              <w:left w:val="single" w:color="auto" w:sz="4" w:space="0"/>
              <w:bottom w:val="single" w:color="auto" w:sz="4" w:space="0"/>
              <w:right w:val="single" w:color="auto" w:sz="4" w:space="0"/>
            </w:tcBorders>
            <w:noWrap/>
            <w:vAlign w:val="center"/>
          </w:tcPr>
          <w:p w14:paraId="63DF3F2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充填混凝土无</w:t>
            </w:r>
          </w:p>
          <w:p w14:paraId="3C706A6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不合格料</w:t>
            </w:r>
          </w:p>
        </w:tc>
        <w:tc>
          <w:tcPr>
            <w:tcW w:w="914" w:type="pct"/>
            <w:tcBorders>
              <w:top w:val="single" w:color="auto" w:sz="4" w:space="0"/>
              <w:left w:val="single" w:color="auto" w:sz="4" w:space="0"/>
              <w:bottom w:val="single" w:color="auto" w:sz="4" w:space="0"/>
              <w:right w:val="single" w:color="auto" w:sz="4" w:space="0"/>
            </w:tcBorders>
            <w:noWrap w:val="0"/>
            <w:vAlign w:val="center"/>
          </w:tcPr>
          <w:p w14:paraId="3FBC2F95">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观察、检查配比单、坍落度检查、试块制作</w:t>
            </w:r>
          </w:p>
        </w:tc>
        <w:tc>
          <w:tcPr>
            <w:tcW w:w="838" w:type="pct"/>
            <w:tcBorders>
              <w:top w:val="single" w:color="auto" w:sz="4" w:space="0"/>
              <w:left w:val="single" w:color="auto" w:sz="4" w:space="0"/>
              <w:bottom w:val="single" w:color="auto" w:sz="4" w:space="0"/>
              <w:right w:val="single" w:color="auto" w:sz="4" w:space="0"/>
            </w:tcBorders>
            <w:noWrap w:val="0"/>
            <w:vAlign w:val="center"/>
          </w:tcPr>
          <w:p w14:paraId="53AB3563">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每单元不少于1次3处/单元</w:t>
            </w:r>
          </w:p>
        </w:tc>
      </w:tr>
      <w:tr w14:paraId="5379F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8" w:type="pct"/>
            <w:vMerge w:val="continue"/>
            <w:tcBorders>
              <w:top w:val="single" w:color="auto" w:sz="4" w:space="0"/>
              <w:left w:val="single" w:color="auto" w:sz="4" w:space="0"/>
              <w:bottom w:val="single" w:color="auto" w:sz="4" w:space="0"/>
              <w:right w:val="single" w:color="auto" w:sz="4" w:space="0"/>
            </w:tcBorders>
            <w:noWrap w:val="0"/>
            <w:vAlign w:val="center"/>
          </w:tcPr>
          <w:p w14:paraId="4ECD4E55">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p>
        </w:tc>
        <w:tc>
          <w:tcPr>
            <w:tcW w:w="244" w:type="pct"/>
            <w:tcBorders>
              <w:top w:val="single" w:color="auto" w:sz="4" w:space="0"/>
              <w:left w:val="single" w:color="auto" w:sz="4" w:space="0"/>
              <w:bottom w:val="single" w:color="auto" w:sz="4" w:space="0"/>
              <w:right w:val="single" w:color="auto" w:sz="4" w:space="0"/>
            </w:tcBorders>
            <w:noWrap/>
            <w:vAlign w:val="center"/>
          </w:tcPr>
          <w:p w14:paraId="0F78A8FB">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998" w:type="pct"/>
            <w:tcBorders>
              <w:top w:val="single" w:color="auto" w:sz="4" w:space="0"/>
              <w:left w:val="single" w:color="auto" w:sz="4" w:space="0"/>
              <w:bottom w:val="single" w:color="auto" w:sz="4" w:space="0"/>
              <w:right w:val="single" w:color="auto" w:sz="4" w:space="0"/>
            </w:tcBorders>
            <w:noWrap/>
            <w:vAlign w:val="center"/>
          </w:tcPr>
          <w:p w14:paraId="0AF0F743">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充填次序</w:t>
            </w:r>
          </w:p>
        </w:tc>
        <w:tc>
          <w:tcPr>
            <w:tcW w:w="1646" w:type="pct"/>
            <w:gridSpan w:val="2"/>
            <w:tcBorders>
              <w:top w:val="single" w:color="auto" w:sz="4" w:space="0"/>
              <w:left w:val="single" w:color="auto" w:sz="4" w:space="0"/>
              <w:bottom w:val="single" w:color="auto" w:sz="4" w:space="0"/>
              <w:right w:val="single" w:color="auto" w:sz="4" w:space="0"/>
            </w:tcBorders>
            <w:noWrap/>
            <w:vAlign w:val="center"/>
          </w:tcPr>
          <w:p w14:paraId="3CA4F267">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符合本标准6.2.2规定</w:t>
            </w:r>
          </w:p>
        </w:tc>
        <w:tc>
          <w:tcPr>
            <w:tcW w:w="914" w:type="pct"/>
            <w:tcBorders>
              <w:top w:val="single" w:color="auto" w:sz="4" w:space="0"/>
              <w:left w:val="single" w:color="auto" w:sz="4" w:space="0"/>
              <w:bottom w:val="single" w:color="auto" w:sz="4" w:space="0"/>
              <w:right w:val="single" w:color="auto" w:sz="4" w:space="0"/>
            </w:tcBorders>
            <w:noWrap/>
            <w:vAlign w:val="center"/>
          </w:tcPr>
          <w:p w14:paraId="1EC5C72F">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观察</w:t>
            </w:r>
          </w:p>
        </w:tc>
        <w:tc>
          <w:tcPr>
            <w:tcW w:w="838" w:type="pct"/>
            <w:vMerge w:val="restart"/>
            <w:tcBorders>
              <w:top w:val="single" w:color="auto" w:sz="4" w:space="0"/>
              <w:left w:val="single" w:color="auto" w:sz="4" w:space="0"/>
              <w:bottom w:val="single" w:color="auto" w:sz="4" w:space="0"/>
              <w:right w:val="single" w:color="auto" w:sz="4" w:space="0"/>
            </w:tcBorders>
            <w:noWrap/>
            <w:vAlign w:val="center"/>
          </w:tcPr>
          <w:p w14:paraId="655D8031">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每单元不少于1次3处/单元</w:t>
            </w:r>
          </w:p>
        </w:tc>
      </w:tr>
      <w:tr w14:paraId="09190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358" w:type="pct"/>
            <w:vMerge w:val="continue"/>
            <w:tcBorders>
              <w:top w:val="single" w:color="auto" w:sz="4" w:space="0"/>
              <w:left w:val="single" w:color="auto" w:sz="4" w:space="0"/>
              <w:bottom w:val="single" w:color="auto" w:sz="4" w:space="0"/>
              <w:right w:val="single" w:color="auto" w:sz="4" w:space="0"/>
            </w:tcBorders>
            <w:noWrap w:val="0"/>
            <w:vAlign w:val="center"/>
          </w:tcPr>
          <w:p w14:paraId="3F9D12F6">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244" w:type="pct"/>
            <w:tcBorders>
              <w:top w:val="single" w:color="auto" w:sz="4" w:space="0"/>
              <w:left w:val="single" w:color="auto" w:sz="4" w:space="0"/>
              <w:bottom w:val="single" w:color="auto" w:sz="4" w:space="0"/>
              <w:right w:val="single" w:color="auto" w:sz="4" w:space="0"/>
            </w:tcBorders>
            <w:noWrap/>
            <w:vAlign w:val="center"/>
          </w:tcPr>
          <w:p w14:paraId="7ACD9344">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998" w:type="pct"/>
            <w:tcBorders>
              <w:top w:val="single" w:color="auto" w:sz="4" w:space="0"/>
              <w:left w:val="single" w:color="auto" w:sz="4" w:space="0"/>
              <w:bottom w:val="single" w:color="auto" w:sz="4" w:space="0"/>
              <w:right w:val="single" w:color="auto" w:sz="4" w:space="0"/>
            </w:tcBorders>
            <w:noWrap w:val="0"/>
            <w:vAlign w:val="center"/>
          </w:tcPr>
          <w:p w14:paraId="70DD278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充填速度和压力</w:t>
            </w:r>
          </w:p>
        </w:tc>
        <w:tc>
          <w:tcPr>
            <w:tcW w:w="1646" w:type="pct"/>
            <w:gridSpan w:val="2"/>
            <w:tcBorders>
              <w:top w:val="single" w:color="auto" w:sz="4" w:space="0"/>
              <w:left w:val="single" w:color="auto" w:sz="4" w:space="0"/>
              <w:bottom w:val="single" w:color="auto" w:sz="4" w:space="0"/>
              <w:right w:val="single" w:color="auto" w:sz="4" w:space="0"/>
            </w:tcBorders>
            <w:noWrap w:val="0"/>
            <w:vAlign w:val="center"/>
          </w:tcPr>
          <w:p w14:paraId="50BF0A46">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采用低流量充填，充填速度和压力符合要求</w:t>
            </w:r>
          </w:p>
        </w:tc>
        <w:tc>
          <w:tcPr>
            <w:tcW w:w="914" w:type="pct"/>
            <w:tcBorders>
              <w:top w:val="single" w:color="auto" w:sz="4" w:space="0"/>
              <w:left w:val="single" w:color="auto" w:sz="4" w:space="0"/>
              <w:bottom w:val="single" w:color="auto" w:sz="4" w:space="0"/>
              <w:right w:val="single" w:color="auto" w:sz="4" w:space="0"/>
            </w:tcBorders>
            <w:noWrap w:val="0"/>
            <w:vAlign w:val="center"/>
          </w:tcPr>
          <w:p w14:paraId="7CBA2D2D">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观察、量测、比对工艺试验参数</w:t>
            </w:r>
          </w:p>
        </w:tc>
        <w:tc>
          <w:tcPr>
            <w:tcW w:w="838" w:type="pct"/>
            <w:vMerge w:val="continue"/>
            <w:tcBorders>
              <w:top w:val="single" w:color="auto" w:sz="4" w:space="0"/>
              <w:left w:val="single" w:color="auto" w:sz="4" w:space="0"/>
              <w:bottom w:val="single" w:color="auto" w:sz="4" w:space="0"/>
              <w:right w:val="single" w:color="auto" w:sz="4" w:space="0"/>
            </w:tcBorders>
            <w:noWrap w:val="0"/>
            <w:vAlign w:val="center"/>
          </w:tcPr>
          <w:p w14:paraId="109C66DC">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27CE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58" w:type="pct"/>
            <w:vMerge w:val="continue"/>
            <w:tcBorders>
              <w:top w:val="single" w:color="auto" w:sz="4" w:space="0"/>
              <w:left w:val="single" w:color="auto" w:sz="4" w:space="0"/>
              <w:bottom w:val="single" w:color="auto" w:sz="4" w:space="0"/>
              <w:right w:val="single" w:color="auto" w:sz="4" w:space="0"/>
            </w:tcBorders>
            <w:noWrap w:val="0"/>
            <w:vAlign w:val="center"/>
          </w:tcPr>
          <w:p w14:paraId="63C0B9FA">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244" w:type="pct"/>
            <w:tcBorders>
              <w:top w:val="single" w:color="auto" w:sz="4" w:space="0"/>
              <w:left w:val="single" w:color="auto" w:sz="4" w:space="0"/>
              <w:bottom w:val="single" w:color="auto" w:sz="4" w:space="0"/>
              <w:right w:val="single" w:color="auto" w:sz="4" w:space="0"/>
            </w:tcBorders>
            <w:noWrap/>
            <w:vAlign w:val="center"/>
          </w:tcPr>
          <w:p w14:paraId="626553C4">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998" w:type="pct"/>
            <w:tcBorders>
              <w:top w:val="single" w:color="auto" w:sz="4" w:space="0"/>
              <w:left w:val="single" w:color="auto" w:sz="4" w:space="0"/>
              <w:bottom w:val="single" w:color="auto" w:sz="4" w:space="0"/>
              <w:right w:val="single" w:color="auto" w:sz="4" w:space="0"/>
            </w:tcBorders>
            <w:noWrap w:val="0"/>
            <w:vAlign w:val="center"/>
          </w:tcPr>
          <w:p w14:paraId="65DFB68B">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充填连续性要求</w:t>
            </w:r>
          </w:p>
        </w:tc>
        <w:tc>
          <w:tcPr>
            <w:tcW w:w="1646" w:type="pct"/>
            <w:gridSpan w:val="2"/>
            <w:tcBorders>
              <w:top w:val="single" w:color="auto" w:sz="4" w:space="0"/>
              <w:left w:val="single" w:color="auto" w:sz="4" w:space="0"/>
              <w:bottom w:val="single" w:color="auto" w:sz="4" w:space="0"/>
              <w:right w:val="single" w:color="auto" w:sz="4" w:space="0"/>
            </w:tcBorders>
            <w:noWrap w:val="0"/>
            <w:vAlign w:val="center"/>
          </w:tcPr>
          <w:p w14:paraId="1C8B8D39">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每幅模袋均一次性连续充填完成，或中断间歇符合要求</w:t>
            </w:r>
          </w:p>
        </w:tc>
        <w:tc>
          <w:tcPr>
            <w:tcW w:w="914" w:type="pct"/>
            <w:tcBorders>
              <w:top w:val="single" w:color="auto" w:sz="4" w:space="0"/>
              <w:left w:val="single" w:color="auto" w:sz="4" w:space="0"/>
              <w:bottom w:val="single" w:color="auto" w:sz="4" w:space="0"/>
              <w:right w:val="single" w:color="auto" w:sz="4" w:space="0"/>
            </w:tcBorders>
            <w:noWrap w:val="0"/>
            <w:vAlign w:val="center"/>
          </w:tcPr>
          <w:p w14:paraId="4755803A">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观察</w:t>
            </w:r>
          </w:p>
        </w:tc>
        <w:tc>
          <w:tcPr>
            <w:tcW w:w="838" w:type="pct"/>
            <w:vMerge w:val="continue"/>
            <w:tcBorders>
              <w:top w:val="single" w:color="auto" w:sz="4" w:space="0"/>
              <w:left w:val="single" w:color="auto" w:sz="4" w:space="0"/>
              <w:bottom w:val="single" w:color="auto" w:sz="4" w:space="0"/>
              <w:right w:val="single" w:color="auto" w:sz="4" w:space="0"/>
            </w:tcBorders>
            <w:noWrap/>
            <w:vAlign w:val="center"/>
          </w:tcPr>
          <w:p w14:paraId="0F8346A8">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00B2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8" w:type="pct"/>
            <w:vMerge w:val="continue"/>
            <w:tcBorders>
              <w:top w:val="single" w:color="auto" w:sz="4" w:space="0"/>
              <w:left w:val="single" w:color="auto" w:sz="4" w:space="0"/>
              <w:bottom w:val="single" w:color="auto" w:sz="4" w:space="0"/>
              <w:right w:val="single" w:color="auto" w:sz="4" w:space="0"/>
            </w:tcBorders>
            <w:noWrap w:val="0"/>
            <w:vAlign w:val="center"/>
          </w:tcPr>
          <w:p w14:paraId="29959DB5">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244" w:type="pct"/>
            <w:tcBorders>
              <w:top w:val="single" w:color="auto" w:sz="4" w:space="0"/>
              <w:left w:val="single" w:color="auto" w:sz="4" w:space="0"/>
              <w:bottom w:val="single" w:color="auto" w:sz="4" w:space="0"/>
              <w:right w:val="single" w:color="auto" w:sz="4" w:space="0"/>
            </w:tcBorders>
            <w:noWrap/>
            <w:vAlign w:val="center"/>
          </w:tcPr>
          <w:p w14:paraId="6094FE26">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998" w:type="pct"/>
            <w:tcBorders>
              <w:top w:val="single" w:color="auto" w:sz="4" w:space="0"/>
              <w:left w:val="single" w:color="auto" w:sz="4" w:space="0"/>
              <w:bottom w:val="single" w:color="auto" w:sz="4" w:space="0"/>
              <w:right w:val="single" w:color="auto" w:sz="4" w:space="0"/>
            </w:tcBorders>
            <w:noWrap/>
            <w:vAlign w:val="center"/>
          </w:tcPr>
          <w:p w14:paraId="154F6EE4">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厚度</w:t>
            </w:r>
          </w:p>
        </w:tc>
        <w:tc>
          <w:tcPr>
            <w:tcW w:w="1646" w:type="pct"/>
            <w:gridSpan w:val="2"/>
            <w:tcBorders>
              <w:top w:val="single" w:color="auto" w:sz="4" w:space="0"/>
              <w:left w:val="single" w:color="auto" w:sz="4" w:space="0"/>
              <w:bottom w:val="single" w:color="auto" w:sz="4" w:space="0"/>
              <w:right w:val="single" w:color="auto" w:sz="4" w:space="0"/>
            </w:tcBorders>
            <w:noWrap w:val="0"/>
            <w:vAlign w:val="center"/>
          </w:tcPr>
          <w:p w14:paraId="0F3F1807">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允许偏差不超过设计厚度的5%～+ 8%</w:t>
            </w:r>
          </w:p>
        </w:tc>
        <w:tc>
          <w:tcPr>
            <w:tcW w:w="914" w:type="pct"/>
            <w:tcBorders>
              <w:top w:val="single" w:color="auto" w:sz="4" w:space="0"/>
              <w:left w:val="single" w:color="auto" w:sz="4" w:space="0"/>
              <w:bottom w:val="single" w:color="auto" w:sz="4" w:space="0"/>
              <w:right w:val="single" w:color="auto" w:sz="4" w:space="0"/>
            </w:tcBorders>
            <w:noWrap w:val="0"/>
            <w:vAlign w:val="center"/>
          </w:tcPr>
          <w:p w14:paraId="7CCFCDC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扦插</w:t>
            </w:r>
          </w:p>
        </w:tc>
        <w:tc>
          <w:tcPr>
            <w:tcW w:w="838" w:type="pct"/>
            <w:vMerge w:val="continue"/>
            <w:tcBorders>
              <w:top w:val="single" w:color="auto" w:sz="4" w:space="0"/>
              <w:left w:val="single" w:color="auto" w:sz="4" w:space="0"/>
              <w:bottom w:val="single" w:color="auto" w:sz="4" w:space="0"/>
              <w:right w:val="single" w:color="auto" w:sz="4" w:space="0"/>
            </w:tcBorders>
            <w:noWrap/>
            <w:vAlign w:val="center"/>
          </w:tcPr>
          <w:p w14:paraId="3D95AF9D">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F5D0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8" w:type="pct"/>
            <w:vMerge w:val="restart"/>
            <w:tcBorders>
              <w:top w:val="single" w:color="auto" w:sz="4" w:space="0"/>
              <w:left w:val="single" w:color="auto" w:sz="4" w:space="0"/>
              <w:bottom w:val="single" w:color="auto" w:sz="4" w:space="0"/>
              <w:right w:val="single" w:color="auto" w:sz="4" w:space="0"/>
            </w:tcBorders>
            <w:noWrap w:val="0"/>
            <w:vAlign w:val="center"/>
          </w:tcPr>
          <w:p w14:paraId="7EFC8723">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一般</w:t>
            </w:r>
          </w:p>
          <w:p w14:paraId="2DF151E6">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项目</w:t>
            </w:r>
          </w:p>
        </w:tc>
        <w:tc>
          <w:tcPr>
            <w:tcW w:w="244" w:type="pct"/>
            <w:tcBorders>
              <w:top w:val="single" w:color="auto" w:sz="4" w:space="0"/>
              <w:left w:val="single" w:color="auto" w:sz="4" w:space="0"/>
              <w:bottom w:val="single" w:color="auto" w:sz="4" w:space="0"/>
              <w:right w:val="single" w:color="auto" w:sz="4" w:space="0"/>
            </w:tcBorders>
            <w:noWrap/>
            <w:vAlign w:val="center"/>
          </w:tcPr>
          <w:p w14:paraId="43C193A3">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998" w:type="pct"/>
            <w:tcBorders>
              <w:top w:val="single" w:color="auto" w:sz="4" w:space="0"/>
              <w:left w:val="single" w:color="auto" w:sz="4" w:space="0"/>
              <w:bottom w:val="single" w:color="auto" w:sz="4" w:space="0"/>
              <w:right w:val="single" w:color="auto" w:sz="4" w:space="0"/>
            </w:tcBorders>
            <w:noWrap/>
            <w:vAlign w:val="center"/>
          </w:tcPr>
          <w:p w14:paraId="1CA6DADC">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充填</w:t>
            </w:r>
          </w:p>
        </w:tc>
        <w:tc>
          <w:tcPr>
            <w:tcW w:w="1646" w:type="pct"/>
            <w:gridSpan w:val="2"/>
            <w:tcBorders>
              <w:top w:val="single" w:color="auto" w:sz="4" w:space="0"/>
              <w:left w:val="single" w:color="auto" w:sz="4" w:space="0"/>
              <w:bottom w:val="single" w:color="auto" w:sz="4" w:space="0"/>
              <w:right w:val="single" w:color="auto" w:sz="4" w:space="0"/>
            </w:tcBorders>
            <w:noWrap w:val="0"/>
            <w:vAlign w:val="center"/>
          </w:tcPr>
          <w:p w14:paraId="4E4320E7">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实际充填量符合本标准6.2.4款要求</w:t>
            </w:r>
          </w:p>
        </w:tc>
        <w:tc>
          <w:tcPr>
            <w:tcW w:w="914" w:type="pct"/>
            <w:tcBorders>
              <w:top w:val="single" w:color="auto" w:sz="4" w:space="0"/>
              <w:left w:val="single" w:color="auto" w:sz="4" w:space="0"/>
              <w:bottom w:val="single" w:color="auto" w:sz="4" w:space="0"/>
              <w:right w:val="single" w:color="auto" w:sz="4" w:space="0"/>
            </w:tcBorders>
            <w:noWrap w:val="0"/>
            <w:vAlign w:val="center"/>
          </w:tcPr>
          <w:p w14:paraId="2746F319">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检查</w:t>
            </w:r>
          </w:p>
        </w:tc>
        <w:tc>
          <w:tcPr>
            <w:tcW w:w="838" w:type="pct"/>
            <w:tcBorders>
              <w:top w:val="single" w:color="auto" w:sz="4" w:space="0"/>
              <w:left w:val="single" w:color="auto" w:sz="4" w:space="0"/>
              <w:bottom w:val="single" w:color="auto" w:sz="4" w:space="0"/>
              <w:right w:val="single" w:color="auto" w:sz="4" w:space="0"/>
            </w:tcBorders>
            <w:noWrap/>
            <w:vAlign w:val="center"/>
          </w:tcPr>
          <w:p w14:paraId="5CE3562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全数</w:t>
            </w:r>
          </w:p>
        </w:tc>
      </w:tr>
      <w:tr w14:paraId="43870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58" w:type="pct"/>
            <w:vMerge w:val="continue"/>
            <w:tcBorders>
              <w:top w:val="single" w:color="auto" w:sz="4" w:space="0"/>
              <w:left w:val="single" w:color="auto" w:sz="4" w:space="0"/>
              <w:bottom w:val="single" w:color="auto" w:sz="4" w:space="0"/>
              <w:right w:val="single" w:color="auto" w:sz="4" w:space="0"/>
            </w:tcBorders>
            <w:noWrap w:val="0"/>
            <w:vAlign w:val="center"/>
          </w:tcPr>
          <w:p w14:paraId="6703E11D">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244" w:type="pct"/>
            <w:tcBorders>
              <w:top w:val="single" w:color="auto" w:sz="4" w:space="0"/>
              <w:left w:val="single" w:color="auto" w:sz="4" w:space="0"/>
              <w:bottom w:val="single" w:color="auto" w:sz="4" w:space="0"/>
              <w:right w:val="single" w:color="auto" w:sz="4" w:space="0"/>
            </w:tcBorders>
            <w:noWrap/>
            <w:vAlign w:val="center"/>
          </w:tcPr>
          <w:p w14:paraId="4619E466">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998" w:type="pct"/>
            <w:tcBorders>
              <w:top w:val="single" w:color="auto" w:sz="4" w:space="0"/>
              <w:left w:val="single" w:color="auto" w:sz="4" w:space="0"/>
              <w:bottom w:val="single" w:color="auto" w:sz="4" w:space="0"/>
              <w:right w:val="single" w:color="auto" w:sz="4" w:space="0"/>
            </w:tcBorders>
            <w:noWrap w:val="0"/>
            <w:vAlign w:val="center"/>
          </w:tcPr>
          <w:p w14:paraId="526FF16B">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泵管与袖口的</w:t>
            </w:r>
          </w:p>
          <w:p w14:paraId="076D8C8D">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连接</w:t>
            </w:r>
          </w:p>
        </w:tc>
        <w:tc>
          <w:tcPr>
            <w:tcW w:w="1646" w:type="pct"/>
            <w:gridSpan w:val="2"/>
            <w:tcBorders>
              <w:top w:val="single" w:color="auto" w:sz="4" w:space="0"/>
              <w:left w:val="single" w:color="auto" w:sz="4" w:space="0"/>
              <w:bottom w:val="single" w:color="auto" w:sz="4" w:space="0"/>
              <w:right w:val="single" w:color="auto" w:sz="4" w:space="0"/>
            </w:tcBorders>
            <w:noWrap w:val="0"/>
            <w:vAlign w:val="center"/>
          </w:tcPr>
          <w:p w14:paraId="62B58D4A">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泵管接入和封扎方法符合要求</w:t>
            </w:r>
          </w:p>
        </w:tc>
        <w:tc>
          <w:tcPr>
            <w:tcW w:w="914" w:type="pct"/>
            <w:tcBorders>
              <w:top w:val="single" w:color="auto" w:sz="4" w:space="0"/>
              <w:left w:val="single" w:color="auto" w:sz="4" w:space="0"/>
              <w:bottom w:val="single" w:color="auto" w:sz="4" w:space="0"/>
              <w:right w:val="single" w:color="auto" w:sz="4" w:space="0"/>
            </w:tcBorders>
            <w:noWrap w:val="0"/>
            <w:vAlign w:val="center"/>
          </w:tcPr>
          <w:p w14:paraId="2971C05D">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观察、检查</w:t>
            </w:r>
          </w:p>
        </w:tc>
        <w:tc>
          <w:tcPr>
            <w:tcW w:w="838" w:type="pct"/>
            <w:tcBorders>
              <w:top w:val="single" w:color="auto" w:sz="4" w:space="0"/>
              <w:left w:val="single" w:color="auto" w:sz="4" w:space="0"/>
              <w:bottom w:val="single" w:color="auto" w:sz="4" w:space="0"/>
              <w:right w:val="single" w:color="auto" w:sz="4" w:space="0"/>
            </w:tcBorders>
            <w:noWrap/>
            <w:vAlign w:val="center"/>
          </w:tcPr>
          <w:p w14:paraId="24D8FB92">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抽查10%</w:t>
            </w:r>
          </w:p>
        </w:tc>
      </w:tr>
      <w:tr w14:paraId="0D76A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58" w:type="pct"/>
            <w:vMerge w:val="continue"/>
            <w:tcBorders>
              <w:top w:val="single" w:color="auto" w:sz="4" w:space="0"/>
              <w:left w:val="single" w:color="auto" w:sz="4" w:space="0"/>
              <w:bottom w:val="single" w:color="auto" w:sz="4" w:space="0"/>
              <w:right w:val="single" w:color="auto" w:sz="4" w:space="0"/>
            </w:tcBorders>
            <w:noWrap w:val="0"/>
            <w:vAlign w:val="center"/>
          </w:tcPr>
          <w:p w14:paraId="6C4A44E2">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244" w:type="pct"/>
            <w:vMerge w:val="restart"/>
            <w:tcBorders>
              <w:top w:val="single" w:color="auto" w:sz="4" w:space="0"/>
              <w:left w:val="single" w:color="auto" w:sz="4" w:space="0"/>
              <w:bottom w:val="single" w:color="auto" w:sz="4" w:space="0"/>
              <w:right w:val="single" w:color="auto" w:sz="4" w:space="0"/>
            </w:tcBorders>
            <w:noWrap/>
            <w:vAlign w:val="center"/>
          </w:tcPr>
          <w:p w14:paraId="50270E0D">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998" w:type="pct"/>
            <w:vMerge w:val="restart"/>
            <w:tcBorders>
              <w:top w:val="single" w:color="auto" w:sz="4" w:space="0"/>
              <w:left w:val="single" w:color="auto" w:sz="4" w:space="0"/>
              <w:bottom w:val="single" w:color="auto" w:sz="4" w:space="0"/>
              <w:right w:val="single" w:color="auto" w:sz="4" w:space="0"/>
            </w:tcBorders>
            <w:noWrap w:val="0"/>
            <w:vAlign w:val="center"/>
          </w:tcPr>
          <w:p w14:paraId="456ADBE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相邻块现场连接</w:t>
            </w:r>
          </w:p>
        </w:tc>
        <w:tc>
          <w:tcPr>
            <w:tcW w:w="681" w:type="pct"/>
            <w:tcBorders>
              <w:top w:val="single" w:color="auto" w:sz="4" w:space="0"/>
              <w:left w:val="single" w:color="auto" w:sz="4" w:space="0"/>
              <w:bottom w:val="single" w:color="auto" w:sz="4" w:space="0"/>
              <w:right w:val="single" w:color="auto" w:sz="4" w:space="0"/>
            </w:tcBorders>
            <w:noWrap/>
            <w:vAlign w:val="center"/>
          </w:tcPr>
          <w:p w14:paraId="62898F39">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搭接</w:t>
            </w:r>
          </w:p>
        </w:tc>
        <w:tc>
          <w:tcPr>
            <w:tcW w:w="964" w:type="pct"/>
            <w:tcBorders>
              <w:top w:val="single" w:color="auto" w:sz="4" w:space="0"/>
              <w:left w:val="single" w:color="auto" w:sz="4" w:space="0"/>
              <w:bottom w:val="single" w:color="auto" w:sz="4" w:space="0"/>
              <w:right w:val="single" w:color="auto" w:sz="4" w:space="0"/>
            </w:tcBorders>
            <w:noWrap/>
            <w:vAlign w:val="center"/>
          </w:tcPr>
          <w:p w14:paraId="47A10C07">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不小于设计值</w:t>
            </w:r>
          </w:p>
        </w:tc>
        <w:tc>
          <w:tcPr>
            <w:tcW w:w="914" w:type="pct"/>
            <w:vMerge w:val="restart"/>
            <w:tcBorders>
              <w:top w:val="single" w:color="auto" w:sz="4" w:space="0"/>
              <w:left w:val="single" w:color="auto" w:sz="4" w:space="0"/>
              <w:right w:val="single" w:color="auto" w:sz="4" w:space="0"/>
            </w:tcBorders>
            <w:noWrap/>
            <w:vAlign w:val="center"/>
          </w:tcPr>
          <w:p w14:paraId="7C8D905A">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量测</w:t>
            </w:r>
          </w:p>
        </w:tc>
        <w:tc>
          <w:tcPr>
            <w:tcW w:w="838" w:type="pct"/>
            <w:vMerge w:val="restart"/>
            <w:tcBorders>
              <w:top w:val="single" w:color="auto" w:sz="4" w:space="0"/>
              <w:left w:val="single" w:color="auto" w:sz="4" w:space="0"/>
              <w:bottom w:val="single" w:color="auto" w:sz="4" w:space="0"/>
              <w:right w:val="single" w:color="auto" w:sz="4" w:space="0"/>
            </w:tcBorders>
            <w:noWrap/>
            <w:vAlign w:val="center"/>
          </w:tcPr>
          <w:p w14:paraId="626D5F91">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逐缝检查， 每缝不少于3点</w:t>
            </w:r>
          </w:p>
        </w:tc>
      </w:tr>
      <w:tr w14:paraId="2A4B1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8" w:type="pct"/>
            <w:vMerge w:val="continue"/>
            <w:tcBorders>
              <w:top w:val="single" w:color="auto" w:sz="4" w:space="0"/>
              <w:left w:val="single" w:color="auto" w:sz="4" w:space="0"/>
              <w:bottom w:val="single" w:color="000000" w:sz="8" w:space="0"/>
              <w:right w:val="single" w:color="000000" w:sz="8" w:space="0"/>
            </w:tcBorders>
            <w:noWrap w:val="0"/>
            <w:vAlign w:val="center"/>
          </w:tcPr>
          <w:p w14:paraId="37D267D5">
            <w:pPr>
              <w:pageBreakBefore w:val="0"/>
              <w:kinsoku/>
              <w:wordWrap/>
              <w:overflowPunct/>
              <w:topLinePunct w:val="0"/>
              <w:autoSpaceDE/>
              <w:autoSpaceDN/>
              <w:bidi w:val="0"/>
              <w:spacing w:line="360" w:lineRule="auto"/>
              <w:jc w:val="left"/>
              <w:rPr>
                <w:rFonts w:hint="eastAsia" w:ascii="宋体" w:hAnsi="宋体" w:eastAsia="宋体" w:cs="宋体"/>
                <w:i w:val="0"/>
                <w:iCs w:val="0"/>
                <w:color w:val="auto"/>
                <w:sz w:val="24"/>
                <w:szCs w:val="24"/>
                <w:highlight w:val="none"/>
                <w:u w:val="none"/>
              </w:rPr>
            </w:pPr>
          </w:p>
        </w:tc>
        <w:tc>
          <w:tcPr>
            <w:tcW w:w="244" w:type="pct"/>
            <w:vMerge w:val="continue"/>
            <w:tcBorders>
              <w:top w:val="single" w:color="auto" w:sz="4" w:space="0"/>
              <w:left w:val="single" w:color="000000" w:sz="8" w:space="0"/>
              <w:bottom w:val="single" w:color="000000" w:sz="8" w:space="0"/>
              <w:right w:val="single" w:color="000000" w:sz="8" w:space="0"/>
            </w:tcBorders>
            <w:noWrap/>
            <w:vAlign w:val="center"/>
          </w:tcPr>
          <w:p w14:paraId="2374D307">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998" w:type="pct"/>
            <w:vMerge w:val="continue"/>
            <w:tcBorders>
              <w:top w:val="single" w:color="auto" w:sz="4" w:space="0"/>
              <w:left w:val="single" w:color="000000" w:sz="8" w:space="0"/>
              <w:bottom w:val="single" w:color="000000" w:sz="8" w:space="0"/>
              <w:right w:val="single" w:color="000000" w:sz="8" w:space="0"/>
            </w:tcBorders>
            <w:noWrap w:val="0"/>
            <w:vAlign w:val="center"/>
          </w:tcPr>
          <w:p w14:paraId="5507793E">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681" w:type="pct"/>
            <w:tcBorders>
              <w:top w:val="single" w:color="auto" w:sz="4" w:space="0"/>
              <w:left w:val="single" w:color="000000" w:sz="8" w:space="0"/>
              <w:bottom w:val="single" w:color="000000" w:sz="8" w:space="0"/>
              <w:right w:val="single" w:color="000000" w:sz="8" w:space="0"/>
            </w:tcBorders>
            <w:noWrap/>
            <w:vAlign w:val="center"/>
          </w:tcPr>
          <w:p w14:paraId="06627706">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缝接</w:t>
            </w:r>
          </w:p>
        </w:tc>
        <w:tc>
          <w:tcPr>
            <w:tcW w:w="964" w:type="pct"/>
            <w:tcBorders>
              <w:top w:val="single" w:color="auto" w:sz="4" w:space="0"/>
              <w:left w:val="single" w:color="000000" w:sz="8" w:space="0"/>
              <w:bottom w:val="single" w:color="000000" w:sz="8" w:space="0"/>
              <w:right w:val="single" w:color="000000" w:sz="8" w:space="0"/>
            </w:tcBorders>
            <w:noWrap/>
            <w:vAlign w:val="center"/>
          </w:tcPr>
          <w:p w14:paraId="51232389">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缝宽＜20mm</w:t>
            </w:r>
          </w:p>
        </w:tc>
        <w:tc>
          <w:tcPr>
            <w:tcW w:w="914" w:type="pct"/>
            <w:vMerge w:val="continue"/>
            <w:tcBorders>
              <w:left w:val="single" w:color="auto" w:sz="4" w:space="0"/>
              <w:bottom w:val="single" w:color="000000" w:sz="8" w:space="0"/>
              <w:right w:val="single" w:color="auto" w:sz="4" w:space="0"/>
            </w:tcBorders>
            <w:noWrap/>
            <w:vAlign w:val="center"/>
          </w:tcPr>
          <w:p w14:paraId="500C421E">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p>
        </w:tc>
        <w:tc>
          <w:tcPr>
            <w:tcW w:w="838" w:type="pct"/>
            <w:vMerge w:val="continue"/>
            <w:tcBorders>
              <w:top w:val="single" w:color="auto" w:sz="4" w:space="0"/>
              <w:left w:val="single" w:color="000000" w:sz="8" w:space="0"/>
              <w:bottom w:val="single" w:color="000000" w:sz="8" w:space="0"/>
              <w:right w:val="single" w:color="auto" w:sz="4" w:space="0"/>
            </w:tcBorders>
            <w:noWrap/>
            <w:vAlign w:val="center"/>
          </w:tcPr>
          <w:p w14:paraId="119A5ED7">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bl>
    <w:p w14:paraId="0269B20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p>
    <w:p w14:paraId="56505B2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（3）模袋混凝土厚度检验应在充填完成后立即进行。</w:t>
      </w:r>
    </w:p>
    <w:p w14:paraId="2E3BD85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模袋混凝土工程验收</w:t>
      </w:r>
    </w:p>
    <w:p w14:paraId="121EBF5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（1）模袋混凝土施工完成后，应检验其外观质量，当表面发生裂缝、隆起、鼓胀、沉陷、破损等质量问题时，应按缺陷处理程序及时处理。</w:t>
      </w:r>
    </w:p>
    <w:p w14:paraId="47C30A3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（2）模袋混凝土外观质量标准应满足表7.5.2的规定。</w:t>
      </w:r>
    </w:p>
    <w:tbl>
      <w:tblPr>
        <w:tblStyle w:val="27"/>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12"/>
        <w:gridCol w:w="514"/>
        <w:gridCol w:w="2417"/>
        <w:gridCol w:w="2857"/>
        <w:gridCol w:w="1660"/>
        <w:gridCol w:w="1272"/>
      </w:tblGrid>
      <w:tr w14:paraId="03972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40" w:type="pct"/>
            <w:gridSpan w:val="2"/>
            <w:tcBorders>
              <w:top w:val="single" w:color="000000" w:sz="8" w:space="0"/>
              <w:left w:val="single" w:color="000000" w:sz="8" w:space="0"/>
              <w:bottom w:val="single" w:color="000000" w:sz="8" w:space="0"/>
              <w:right w:val="single" w:color="000000" w:sz="8" w:space="0"/>
            </w:tcBorders>
            <w:noWrap/>
            <w:vAlign w:val="center"/>
          </w:tcPr>
          <w:p w14:paraId="0D617ADE">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项次</w:t>
            </w:r>
          </w:p>
        </w:tc>
        <w:tc>
          <w:tcPr>
            <w:tcW w:w="1254" w:type="pct"/>
            <w:tcBorders>
              <w:top w:val="single" w:color="000000" w:sz="8" w:space="0"/>
              <w:left w:val="single" w:color="000000" w:sz="8" w:space="0"/>
              <w:bottom w:val="single" w:color="000000" w:sz="8" w:space="0"/>
              <w:right w:val="single" w:color="000000" w:sz="8" w:space="0"/>
            </w:tcBorders>
            <w:noWrap/>
            <w:vAlign w:val="center"/>
          </w:tcPr>
          <w:p w14:paraId="2755717C">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检验项目</w:t>
            </w:r>
          </w:p>
        </w:tc>
        <w:tc>
          <w:tcPr>
            <w:tcW w:w="1482" w:type="pct"/>
            <w:tcBorders>
              <w:top w:val="single" w:color="000000" w:sz="8" w:space="0"/>
              <w:left w:val="single" w:color="000000" w:sz="8" w:space="0"/>
              <w:bottom w:val="single" w:color="000000" w:sz="8" w:space="0"/>
              <w:right w:val="single" w:color="000000" w:sz="8" w:space="0"/>
            </w:tcBorders>
            <w:noWrap/>
            <w:vAlign w:val="center"/>
          </w:tcPr>
          <w:p w14:paraId="502BCB01">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质量要求</w:t>
            </w:r>
          </w:p>
        </w:tc>
        <w:tc>
          <w:tcPr>
            <w:tcW w:w="861" w:type="pct"/>
            <w:tcBorders>
              <w:top w:val="single" w:color="000000" w:sz="8" w:space="0"/>
              <w:left w:val="single" w:color="000000" w:sz="8" w:space="0"/>
              <w:bottom w:val="single" w:color="000000" w:sz="8" w:space="0"/>
              <w:right w:val="single" w:color="000000" w:sz="8" w:space="0"/>
            </w:tcBorders>
            <w:noWrap/>
            <w:vAlign w:val="center"/>
          </w:tcPr>
          <w:p w14:paraId="4A1907C1">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检验方法</w:t>
            </w:r>
          </w:p>
        </w:tc>
        <w:tc>
          <w:tcPr>
            <w:tcW w:w="660" w:type="pct"/>
            <w:tcBorders>
              <w:top w:val="single" w:color="000000" w:sz="8" w:space="0"/>
              <w:left w:val="single" w:color="000000" w:sz="8" w:space="0"/>
              <w:bottom w:val="single" w:color="000000" w:sz="8" w:space="0"/>
              <w:right w:val="single" w:color="000000" w:sz="8" w:space="0"/>
            </w:tcBorders>
            <w:noWrap/>
            <w:vAlign w:val="center"/>
          </w:tcPr>
          <w:p w14:paraId="617FC2C1">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检验数量</w:t>
            </w:r>
          </w:p>
        </w:tc>
      </w:tr>
      <w:tr w14:paraId="6C44C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73" w:type="pct"/>
            <w:vMerge w:val="restart"/>
            <w:tcBorders>
              <w:top w:val="single" w:color="000000" w:sz="8" w:space="0"/>
              <w:left w:val="single" w:color="000000" w:sz="8" w:space="0"/>
              <w:right w:val="single" w:color="000000" w:sz="8" w:space="0"/>
            </w:tcBorders>
            <w:noWrap w:val="0"/>
            <w:vAlign w:val="center"/>
          </w:tcPr>
          <w:p w14:paraId="1596DB7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检查 项目</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3DBE46C3">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54" w:type="pct"/>
            <w:tcBorders>
              <w:top w:val="single" w:color="000000" w:sz="8" w:space="0"/>
              <w:left w:val="single" w:color="000000" w:sz="8" w:space="0"/>
              <w:bottom w:val="single" w:color="000000" w:sz="8" w:space="0"/>
              <w:right w:val="single" w:color="000000" w:sz="8" w:space="0"/>
            </w:tcBorders>
            <w:noWrap w:val="0"/>
            <w:vAlign w:val="center"/>
          </w:tcPr>
          <w:p w14:paraId="59A7EB5B">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隆起、沉陷、破损等</w:t>
            </w:r>
          </w:p>
        </w:tc>
        <w:tc>
          <w:tcPr>
            <w:tcW w:w="1482" w:type="pct"/>
            <w:tcBorders>
              <w:top w:val="single" w:color="000000" w:sz="8" w:space="0"/>
              <w:left w:val="single" w:color="000000" w:sz="8" w:space="0"/>
              <w:bottom w:val="single" w:color="000000" w:sz="8" w:space="0"/>
              <w:right w:val="single" w:color="000000" w:sz="8" w:space="0"/>
            </w:tcBorders>
            <w:noWrap/>
            <w:vAlign w:val="center"/>
          </w:tcPr>
          <w:p w14:paraId="6D512D26">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不允许</w:t>
            </w:r>
          </w:p>
        </w:tc>
        <w:tc>
          <w:tcPr>
            <w:tcW w:w="861" w:type="pct"/>
            <w:tcBorders>
              <w:top w:val="single" w:color="000000" w:sz="8" w:space="0"/>
              <w:left w:val="single" w:color="000000" w:sz="8" w:space="0"/>
              <w:bottom w:val="single" w:color="000000" w:sz="8" w:space="0"/>
              <w:right w:val="single" w:color="000000" w:sz="8" w:space="0"/>
            </w:tcBorders>
            <w:noWrap/>
            <w:vAlign w:val="center"/>
          </w:tcPr>
          <w:p w14:paraId="51A47E0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观察</w:t>
            </w:r>
          </w:p>
        </w:tc>
        <w:tc>
          <w:tcPr>
            <w:tcW w:w="660" w:type="pct"/>
            <w:tcBorders>
              <w:top w:val="single" w:color="000000" w:sz="8" w:space="0"/>
              <w:left w:val="single" w:color="000000" w:sz="8" w:space="0"/>
              <w:bottom w:val="single" w:color="000000" w:sz="8" w:space="0"/>
              <w:right w:val="single" w:color="000000" w:sz="8" w:space="0"/>
            </w:tcBorders>
            <w:noWrap/>
            <w:vAlign w:val="center"/>
          </w:tcPr>
          <w:p w14:paraId="46CA2915">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全数</w:t>
            </w:r>
          </w:p>
        </w:tc>
      </w:tr>
      <w:tr w14:paraId="0EE9C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473" w:type="pct"/>
            <w:vMerge w:val="continue"/>
            <w:tcBorders>
              <w:left w:val="single" w:color="000000" w:sz="8" w:space="0"/>
              <w:right w:val="single" w:color="000000" w:sz="8" w:space="0"/>
            </w:tcBorders>
            <w:noWrap w:val="0"/>
            <w:vAlign w:val="center"/>
          </w:tcPr>
          <w:p w14:paraId="7485F33E">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2A77287E">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254" w:type="pct"/>
            <w:tcBorders>
              <w:top w:val="single" w:color="000000" w:sz="8" w:space="0"/>
              <w:left w:val="single" w:color="000000" w:sz="8" w:space="0"/>
              <w:bottom w:val="single" w:color="000000" w:sz="8" w:space="0"/>
              <w:right w:val="single" w:color="000000" w:sz="8" w:space="0"/>
            </w:tcBorders>
            <w:noWrap/>
            <w:vAlign w:val="center"/>
          </w:tcPr>
          <w:p w14:paraId="1E89EBDA">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轮廓线</w:t>
            </w:r>
          </w:p>
        </w:tc>
        <w:tc>
          <w:tcPr>
            <w:tcW w:w="1482" w:type="pct"/>
            <w:tcBorders>
              <w:top w:val="single" w:color="000000" w:sz="8" w:space="0"/>
              <w:left w:val="single" w:color="000000" w:sz="8" w:space="0"/>
              <w:bottom w:val="single" w:color="000000" w:sz="8" w:space="0"/>
              <w:right w:val="single" w:color="000000" w:sz="8" w:space="0"/>
            </w:tcBorders>
            <w:noWrap w:val="0"/>
            <w:vAlign w:val="center"/>
          </w:tcPr>
          <w:p w14:paraId="71E39F03">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直线部分线型直顺，曲线 部分圆顺过渡，线形流畅</w:t>
            </w:r>
          </w:p>
        </w:tc>
        <w:tc>
          <w:tcPr>
            <w:tcW w:w="861" w:type="pct"/>
            <w:tcBorders>
              <w:top w:val="single" w:color="000000" w:sz="8" w:space="0"/>
              <w:left w:val="single" w:color="000000" w:sz="8" w:space="0"/>
              <w:bottom w:val="single" w:color="000000" w:sz="8" w:space="0"/>
              <w:right w:val="single" w:color="000000" w:sz="8" w:space="0"/>
            </w:tcBorders>
            <w:noWrap w:val="0"/>
            <w:vAlign w:val="center"/>
          </w:tcPr>
          <w:p w14:paraId="72E5AB6F">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15m拉线测量、</w:t>
            </w:r>
          </w:p>
          <w:p w14:paraId="0EA43AB5">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观察</w:t>
            </w:r>
          </w:p>
        </w:tc>
        <w:tc>
          <w:tcPr>
            <w:tcW w:w="660" w:type="pct"/>
            <w:tcBorders>
              <w:top w:val="single" w:color="000000" w:sz="8" w:space="0"/>
              <w:left w:val="single" w:color="000000" w:sz="8" w:space="0"/>
              <w:bottom w:val="single" w:color="000000" w:sz="8" w:space="0"/>
              <w:right w:val="single" w:color="000000" w:sz="8" w:space="0"/>
            </w:tcBorders>
            <w:noWrap/>
            <w:vAlign w:val="center"/>
          </w:tcPr>
          <w:p w14:paraId="6FCB8AD2">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全数</w:t>
            </w:r>
          </w:p>
        </w:tc>
      </w:tr>
      <w:tr w14:paraId="25545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0" w:hRule="atLeast"/>
        </w:trPr>
        <w:tc>
          <w:tcPr>
            <w:tcW w:w="473" w:type="pct"/>
            <w:vMerge w:val="continue"/>
            <w:tcBorders>
              <w:left w:val="single" w:color="000000" w:sz="8" w:space="0"/>
              <w:right w:val="single" w:color="000000" w:sz="8" w:space="0"/>
            </w:tcBorders>
            <w:noWrap w:val="0"/>
            <w:vAlign w:val="center"/>
          </w:tcPr>
          <w:p w14:paraId="7ABAEE8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7E034E2A">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254" w:type="pct"/>
            <w:tcBorders>
              <w:top w:val="single" w:color="000000" w:sz="8" w:space="0"/>
              <w:left w:val="single" w:color="000000" w:sz="8" w:space="0"/>
              <w:bottom w:val="single" w:color="000000" w:sz="8" w:space="0"/>
              <w:right w:val="single" w:color="000000" w:sz="8" w:space="0"/>
            </w:tcBorders>
            <w:noWrap/>
            <w:vAlign w:val="center"/>
          </w:tcPr>
          <w:p w14:paraId="61CABBCD">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表面饱满度</w:t>
            </w:r>
          </w:p>
        </w:tc>
        <w:tc>
          <w:tcPr>
            <w:tcW w:w="1482" w:type="pct"/>
            <w:tcBorders>
              <w:top w:val="single" w:color="000000" w:sz="8" w:space="0"/>
              <w:left w:val="single" w:color="000000" w:sz="8" w:space="0"/>
              <w:bottom w:val="single" w:color="000000" w:sz="8" w:space="0"/>
              <w:right w:val="single" w:color="000000" w:sz="8" w:space="0"/>
            </w:tcBorders>
            <w:noWrap w:val="0"/>
            <w:vAlign w:val="center"/>
          </w:tcPr>
          <w:p w14:paraId="746F29F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bottom"/>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袋体表面呈有规则凹凸状、未出现明显不饱满现象</w:t>
            </w:r>
          </w:p>
        </w:tc>
        <w:tc>
          <w:tcPr>
            <w:tcW w:w="861" w:type="pct"/>
            <w:tcBorders>
              <w:top w:val="single" w:color="000000" w:sz="8" w:space="0"/>
              <w:left w:val="single" w:color="000000" w:sz="8" w:space="0"/>
              <w:bottom w:val="single" w:color="000000" w:sz="8" w:space="0"/>
              <w:right w:val="single" w:color="000000" w:sz="8" w:space="0"/>
            </w:tcBorders>
            <w:noWrap/>
            <w:vAlign w:val="center"/>
          </w:tcPr>
          <w:p w14:paraId="7C053FC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观察</w:t>
            </w:r>
          </w:p>
        </w:tc>
        <w:tc>
          <w:tcPr>
            <w:tcW w:w="660" w:type="pct"/>
            <w:tcBorders>
              <w:top w:val="single" w:color="000000" w:sz="8" w:space="0"/>
              <w:left w:val="single" w:color="000000" w:sz="8" w:space="0"/>
              <w:bottom w:val="single" w:color="000000" w:sz="8" w:space="0"/>
              <w:right w:val="single" w:color="000000" w:sz="8" w:space="0"/>
            </w:tcBorders>
            <w:noWrap/>
            <w:vAlign w:val="center"/>
          </w:tcPr>
          <w:p w14:paraId="6F104AC2">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bottom"/>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全数</w:t>
            </w:r>
          </w:p>
        </w:tc>
      </w:tr>
      <w:tr w14:paraId="2B4C6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473" w:type="pct"/>
            <w:vMerge w:val="continue"/>
            <w:tcBorders>
              <w:left w:val="single" w:color="000000" w:sz="8" w:space="0"/>
              <w:bottom w:val="single" w:color="000000" w:sz="8" w:space="0"/>
              <w:right w:val="single" w:color="000000" w:sz="8" w:space="0"/>
            </w:tcBorders>
            <w:noWrap w:val="0"/>
            <w:vAlign w:val="center"/>
          </w:tcPr>
          <w:p w14:paraId="5F8F7254">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5A7CECD1">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254" w:type="pct"/>
            <w:tcBorders>
              <w:top w:val="single" w:color="000000" w:sz="8" w:space="0"/>
              <w:left w:val="single" w:color="000000" w:sz="8" w:space="0"/>
              <w:bottom w:val="single" w:color="000000" w:sz="8" w:space="0"/>
              <w:right w:val="single" w:color="000000" w:sz="8" w:space="0"/>
            </w:tcBorders>
            <w:noWrap/>
            <w:vAlign w:val="center"/>
          </w:tcPr>
          <w:p w14:paraId="0053761A">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表面洁净</w:t>
            </w:r>
          </w:p>
        </w:tc>
        <w:tc>
          <w:tcPr>
            <w:tcW w:w="1482" w:type="pct"/>
            <w:tcBorders>
              <w:top w:val="single" w:color="000000" w:sz="8" w:space="0"/>
              <w:left w:val="single" w:color="000000" w:sz="8" w:space="0"/>
              <w:bottom w:val="single" w:color="000000" w:sz="8" w:space="0"/>
              <w:right w:val="single" w:color="000000" w:sz="8" w:space="0"/>
            </w:tcBorders>
            <w:noWrap w:val="0"/>
            <w:vAlign w:val="center"/>
          </w:tcPr>
          <w:p w14:paraId="73F270D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水上部分袋体表面清洁， 无灰渣等附着物</w:t>
            </w:r>
          </w:p>
        </w:tc>
        <w:tc>
          <w:tcPr>
            <w:tcW w:w="861" w:type="pct"/>
            <w:tcBorders>
              <w:top w:val="single" w:color="000000" w:sz="8" w:space="0"/>
              <w:left w:val="single" w:color="000000" w:sz="8" w:space="0"/>
              <w:bottom w:val="single" w:color="000000" w:sz="8" w:space="0"/>
              <w:right w:val="single" w:color="000000" w:sz="8" w:space="0"/>
            </w:tcBorders>
            <w:noWrap/>
            <w:vAlign w:val="center"/>
          </w:tcPr>
          <w:p w14:paraId="2626AED7">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观察</w:t>
            </w:r>
          </w:p>
        </w:tc>
        <w:tc>
          <w:tcPr>
            <w:tcW w:w="660" w:type="pct"/>
            <w:tcBorders>
              <w:top w:val="single" w:color="000000" w:sz="8" w:space="0"/>
              <w:left w:val="single" w:color="000000" w:sz="8" w:space="0"/>
              <w:bottom w:val="single" w:color="000000" w:sz="8" w:space="0"/>
              <w:right w:val="single" w:color="000000" w:sz="8" w:space="0"/>
            </w:tcBorders>
            <w:noWrap/>
            <w:vAlign w:val="center"/>
          </w:tcPr>
          <w:p w14:paraId="5CB4D5A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全数</w:t>
            </w:r>
          </w:p>
        </w:tc>
      </w:tr>
    </w:tbl>
    <w:p w14:paraId="596A7E8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p>
    <w:p w14:paraId="1F7E0BB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（3）模袋混凝土单元工程验收应符合下列条件：</w:t>
      </w:r>
    </w:p>
    <w:p w14:paraId="397BC8BA">
      <w:pPr>
        <w:pageBreakBefore w:val="0"/>
        <w:kinsoku/>
        <w:wordWrap/>
        <w:overflowPunct/>
        <w:topLinePunct w:val="0"/>
        <w:autoSpaceDE/>
        <w:autoSpaceDN/>
        <w:bidi w:val="0"/>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 各工序全部完成，现场具备验收条件。</w:t>
      </w:r>
    </w:p>
    <w:p w14:paraId="2FB5326F">
      <w:pPr>
        <w:pageBreakBefore w:val="0"/>
        <w:kinsoku/>
        <w:wordWrap/>
        <w:overflowPunct/>
        <w:topLinePunct w:val="0"/>
        <w:autoSpaceDE/>
        <w:autoSpaceDN/>
        <w:bidi w:val="0"/>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 施工缺陷已处理完成。</w:t>
      </w:r>
    </w:p>
    <w:p w14:paraId="5702DEFA">
      <w:pPr>
        <w:pageBreakBefore w:val="0"/>
        <w:kinsoku/>
        <w:wordWrap/>
        <w:overflowPunct/>
        <w:topLinePunct w:val="0"/>
        <w:autoSpaceDE/>
        <w:autoSpaceDN/>
        <w:bidi w:val="0"/>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③各工序经验收全部合格。</w:t>
      </w:r>
    </w:p>
    <w:p w14:paraId="4BCCE04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（4）模袋混凝土单元工程验收应提供下列资料：</w:t>
      </w:r>
    </w:p>
    <w:p w14:paraId="19300D26">
      <w:pPr>
        <w:pageBreakBefore w:val="0"/>
        <w:kinsoku/>
        <w:wordWrap/>
        <w:overflowPunct/>
        <w:topLinePunct w:val="0"/>
        <w:autoSpaceDE/>
        <w:autoSpaceDN/>
        <w:bidi w:val="0"/>
        <w:spacing w:line="360" w:lineRule="auto"/>
        <w:ind w:firstLine="720" w:firstLineChars="3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①原材料、</w:t>
      </w:r>
      <w:r>
        <w:rPr>
          <w:rFonts w:hint="eastAsia" w:ascii="宋体" w:hAnsi="宋体" w:eastAsia="宋体" w:cs="宋体"/>
          <w:color w:val="auto"/>
          <w:sz w:val="24"/>
          <w:szCs w:val="24"/>
          <w:highlight w:val="none"/>
          <w:lang w:eastAsia="zh-CN"/>
        </w:rPr>
        <w:t>拌合</w:t>
      </w:r>
      <w:r>
        <w:rPr>
          <w:rFonts w:hint="eastAsia" w:ascii="宋体" w:hAnsi="宋体" w:eastAsia="宋体" w:cs="宋体"/>
          <w:color w:val="auto"/>
          <w:sz w:val="24"/>
          <w:szCs w:val="24"/>
          <w:highlight w:val="none"/>
        </w:rPr>
        <w:t>物质量证明材料及复试报告。</w:t>
      </w:r>
    </w:p>
    <w:p w14:paraId="4D20C6B1">
      <w:pPr>
        <w:pageBreakBefore w:val="0"/>
        <w:kinsoku/>
        <w:wordWrap/>
        <w:overflowPunct/>
        <w:topLinePunct w:val="0"/>
        <w:autoSpaceDE/>
        <w:autoSpaceDN/>
        <w:bidi w:val="0"/>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②模袋混凝土实体检验记录。</w:t>
      </w:r>
    </w:p>
    <w:p w14:paraId="6E05A335">
      <w:pPr>
        <w:pageBreakBefore w:val="0"/>
        <w:kinsoku/>
        <w:wordWrap/>
        <w:overflowPunct/>
        <w:topLinePunct w:val="0"/>
        <w:autoSpaceDE/>
        <w:autoSpaceDN/>
        <w:bidi w:val="0"/>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 各工序质量验收评定表。</w:t>
      </w:r>
    </w:p>
    <w:p w14:paraId="2250B14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（5）模袋混凝土分部、单位工程验收应符合 SL 223 的规定。</w:t>
      </w:r>
    </w:p>
    <w:p w14:paraId="16B183A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p>
    <w:p w14:paraId="6B291314">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649" w:name="_Toc399862186"/>
      <w:bookmarkStart w:id="1650" w:name="_Toc8521"/>
      <w:bookmarkStart w:id="1651" w:name="_Toc403642783"/>
      <w:r>
        <w:rPr>
          <w:rFonts w:hint="eastAsia" w:ascii="宋体" w:hAnsi="宋体" w:eastAsia="宋体" w:cs="宋体"/>
          <w:b/>
          <w:bCs/>
          <w:color w:val="auto"/>
          <w:kern w:val="2"/>
          <w:sz w:val="24"/>
          <w:szCs w:val="24"/>
          <w:highlight w:val="none"/>
          <w:lang w:val="en-US" w:eastAsia="zh-CN" w:bidi="ar-SA"/>
        </w:rPr>
        <w:t>8.5 普通混凝土（含钢筋混凝土）</w:t>
      </w:r>
      <w:bookmarkEnd w:id="1649"/>
      <w:bookmarkEnd w:id="1650"/>
      <w:bookmarkEnd w:id="1651"/>
    </w:p>
    <w:p w14:paraId="76AE271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52" w:name="_Toc7937"/>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 混凝土运输</w:t>
      </w:r>
      <w:bookmarkEnd w:id="1652"/>
    </w:p>
    <w:p w14:paraId="4C391B4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运输设备应能连续、均衡、快速及时地从拌和楼运至浇筑地点；其运输能力应与拌和、浇筑能力以及浇筑仓面的施工振捣措施相适应；应保证在混凝土运输过程中，不发生骨料分离、漏浆、严重泌水、过多的温度回升和坍落度损失。</w:t>
      </w:r>
    </w:p>
    <w:p w14:paraId="0CA9921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2．混凝土运输过程中，应尽量缩短运输时间及减少转运次数。因停滞过久形成混凝土初凝或失去塑性时，应作废料处理，严禁在运输途中及卸料时加水。</w:t>
      </w:r>
    </w:p>
    <w:p w14:paraId="4BCEE05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3．在高温或低温条件下运输混凝土时，应设置遮盖或保温设施。</w:t>
      </w:r>
    </w:p>
    <w:p w14:paraId="2910C87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4．混凝土浇筑的自由下落高度不应大于1.5m。超出时，应采取缓降措施。</w:t>
      </w:r>
    </w:p>
    <w:p w14:paraId="2653DF5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5．承包人采用泵送、汽车、搅拌车、倾翻车、皮带运输机、塔机、缆机</w:t>
      </w:r>
      <w:r>
        <w:rPr>
          <w:rFonts w:hint="eastAsia" w:ascii="宋体" w:hAnsi="宋体" w:eastAsia="宋体" w:cs="宋体"/>
          <w:color w:val="auto"/>
          <w:sz w:val="24"/>
          <w:szCs w:val="24"/>
          <w:highlight w:val="none"/>
          <w:lang w:eastAsia="zh-CN"/>
        </w:rPr>
        <w:t>或其他</w:t>
      </w:r>
      <w:r>
        <w:rPr>
          <w:rFonts w:hint="eastAsia" w:ascii="宋体" w:hAnsi="宋体" w:eastAsia="宋体" w:cs="宋体"/>
          <w:color w:val="auto"/>
          <w:sz w:val="24"/>
          <w:szCs w:val="24"/>
          <w:highlight w:val="none"/>
        </w:rPr>
        <w:t>吊罐等各种运输工具运输混凝土时，均应遵守DL/T5144--2001第7 .2节规范的有关规定。</w:t>
      </w:r>
    </w:p>
    <w:p w14:paraId="3186174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6．混凝土运输方式应报</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批准，若采用泵送方式，则应遵守下列规定：</w:t>
      </w:r>
    </w:p>
    <w:p w14:paraId="61D898A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（1）混凝土应加外加剂，并应符合泵送的要求，进泵的坍落度一般宜在8～14cm之间；坍落度的实际取值应由承包人和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根据运输距离、气候干燥程度作出确定。</w:t>
      </w:r>
    </w:p>
    <w:p w14:paraId="72F33BA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（2）最大骨料粒径应不大于导管管径的1/3，并不应有超径骨料进入混凝土泵。</w:t>
      </w:r>
    </w:p>
    <w:p w14:paraId="46A090B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（3）安装导管前，应彻底清除管内污物及水泥砂浆，并用压力水冲洗。安装后要注意检查，防止漏浆。在泵送混凝土之前，应先在导管内通过水泥砂浆。</w:t>
      </w:r>
    </w:p>
    <w:p w14:paraId="222F96C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（4）应保持泵送混凝土工作的连续性，如因故中断时，则应经常使混凝土泵转动，以免导管堵塞。在正常温度下，如间歇时间过久（超过45min），应将存留在导管内的混凝土排出，并加以清洗。</w:t>
      </w:r>
    </w:p>
    <w:p w14:paraId="495BF75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（5）当泵送混凝土工作告一段落后，应及时用压力水将导管冲洗干净。</w:t>
      </w:r>
    </w:p>
    <w:p w14:paraId="20893A3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53" w:name="_Toc1808"/>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 混凝土浇筑</w:t>
      </w:r>
      <w:bookmarkEnd w:id="1653"/>
    </w:p>
    <w:p w14:paraId="0B29D36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1．浇筑前准备</w:t>
      </w:r>
    </w:p>
    <w:p w14:paraId="3CDD30D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（1）任何部位混凝土浇筑前8h（隐蔽工程浇筑前12h），承包人应会同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对混凝土浇筑的准备工作进行检查，检查内容包括地基处理、浇筑面的清理以及模板、钢筋、插筋、冷却水管、灌浆管路、止水、观测仪器和其他预埋件等永久设施的埋设与安装等，是否符合本合同施工图纸要求；为混凝土浇筑所需的运输和装卸设施、浇筑仓面设施和混凝土温控措施等准备工作是否均已就绪。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检查合格后，方可进行混凝土浇筑。</w:t>
      </w:r>
    </w:p>
    <w:p w14:paraId="2AF1E85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按合同技术条款和施工图纸的要求，进行混凝土浇筑的工艺设计，其内容包括基础面混凝土浇筑方法、混凝土浇筑分层和铺料顺序、浇筑振捣方法、浇筑间歇时间、浇筑层厚度与施工缝处理等。混凝土浇筑工艺设计报告应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w:t>
      </w:r>
    </w:p>
    <w:p w14:paraId="519DBB6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（3）任何部位浇筑混凝土之前，承包人应将该部位的混凝土浇筑配料单提交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审核，经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批准后，方可进行混凝土浇筑。</w:t>
      </w:r>
    </w:p>
    <w:p w14:paraId="68513B9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2．基础面混凝土浇筑</w:t>
      </w:r>
    </w:p>
    <w:p w14:paraId="21A2955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（1）在软基建基面上浇筑混凝土，承包人应按DL/T5144-2001第7.3节的规定进行基础面清理。</w:t>
      </w:r>
    </w:p>
    <w:p w14:paraId="4E1FC91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（2）基础面应冲洗干净，排干积水；如遇有承压水，承包人应专门制定引排措施。</w:t>
      </w:r>
    </w:p>
    <w:p w14:paraId="677BA57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（3）软弱基础面，在立模、扎筋前应处理好地基的临时保护层；在软基上进行操作时，应避免破坏和扰动原状基础，必要时按施工图纸要求浇筑底板同标号砼封底。</w:t>
      </w:r>
    </w:p>
    <w:p w14:paraId="4F7D367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（4）清理后的基础面在混凝土浇筑前应保持清洁和湿润；基础面清理完毕，经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验收合格后，立即浇筑混凝土。</w:t>
      </w:r>
    </w:p>
    <w:p w14:paraId="2605F47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3．混凝土分层浇筑作业</w:t>
      </w:r>
    </w:p>
    <w:p w14:paraId="5AA70AF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（1）在基岩面或新老混凝土施工缝面浇筑第一层混凝土前，应铺水泥砂浆、小级配混凝土或同强度等级的富砂浆混凝土，以保证混凝土与基岩面或新老混凝土面结合良好。</w:t>
      </w:r>
    </w:p>
    <w:p w14:paraId="5B1A776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（2）承包人应根据</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批准的混凝土浇筑程序和分层分块进行施工。在竖井、廊道周边浇筑混凝土时，应使混凝土均匀上升；在斜面上浇筑混凝土时，应从最低处开始，并保持水平浇筑面均匀上升。</w:t>
      </w:r>
    </w:p>
    <w:p w14:paraId="048B01A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（3）浇筑混凝土时，严禁在仓内加水；混凝土和易性较差时，必须采取加强振捣措施；若仓内泌水应及时清除，严禁在模板上开孔赶水，带走灰浆。</w:t>
      </w:r>
    </w:p>
    <w:p w14:paraId="5FF0FE2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（4）挡墙部位的混凝土，应按GB50204-2002和DL/T5144-2001的规定进行施工。</w:t>
      </w:r>
    </w:p>
    <w:p w14:paraId="4145814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4．混凝土振捣</w:t>
      </w:r>
    </w:p>
    <w:p w14:paraId="6D2B935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（1）混凝土浇筑的振捣应按DL/T5144-2001第7.3.9条的规定执行。</w:t>
      </w:r>
    </w:p>
    <w:p w14:paraId="36EB5DD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（2）混凝土浇筑应先平仓后振捣，振捣时间以混凝土粗骨料不再显著下沉，并开始泛浆为准，应避免欠振或过振。</w:t>
      </w:r>
    </w:p>
    <w:p w14:paraId="515B4D2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（3）振捣设备的振捣</w:t>
      </w:r>
      <w:r>
        <w:rPr>
          <w:rFonts w:hint="eastAsia" w:ascii="宋体" w:hAnsi="宋体" w:eastAsia="宋体" w:cs="宋体"/>
          <w:color w:val="auto"/>
          <w:sz w:val="24"/>
          <w:szCs w:val="24"/>
          <w:highlight w:val="none"/>
          <w:lang w:eastAsia="zh-CN"/>
        </w:rPr>
        <w:t>能力</w:t>
      </w:r>
      <w:r>
        <w:rPr>
          <w:rFonts w:hint="eastAsia" w:ascii="宋体" w:hAnsi="宋体" w:eastAsia="宋体" w:cs="宋体"/>
          <w:color w:val="auto"/>
          <w:sz w:val="24"/>
          <w:szCs w:val="24"/>
          <w:highlight w:val="none"/>
        </w:rPr>
        <w:t>应与混凝土仓面面积浇筑循环时间相适应。</w:t>
      </w:r>
    </w:p>
    <w:p w14:paraId="55324A5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（4）采用手持式振捣器振捣时，应遵守DL/T5144-2001第7.3.9条的有关规定。</w:t>
      </w:r>
    </w:p>
    <w:p w14:paraId="68C814D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5．浇筑间歇时间</w:t>
      </w:r>
    </w:p>
    <w:p w14:paraId="7CD64C6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（1）混凝土浇筑应保持连续性，浇筑混凝土允许间歇时间应通过试验确定，或按DL/T5144-2001第7.3.11条有关规定执行，若超过允许间歇时间，应按工作缝处理。</w:t>
      </w:r>
    </w:p>
    <w:p w14:paraId="5896105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批准外，相邻块浇筑间歇时间不得小于 72 h。</w:t>
      </w:r>
    </w:p>
    <w:p w14:paraId="2849DAE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（3）如发生局部初凝而未超过允许面积，可采取在初凝部位铺设水泥砂浆或小级配混凝土的措施，但须经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同意后，才能继续浇筑。</w:t>
      </w:r>
    </w:p>
    <w:p w14:paraId="7B4F7BE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6．浇筑层厚度</w:t>
      </w:r>
    </w:p>
    <w:p w14:paraId="4EB29F4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承包人应在混凝土浇筑工艺设计中，根据搅拌、运输和浇筑的设备能力、振捣性能及气温等因素，详细确定混凝土浇筑层厚度。其浇筑层允许最大厚度应按DL/T5144-2001有关规定执行。</w:t>
      </w:r>
    </w:p>
    <w:p w14:paraId="578B18E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7．浇筑施工缝面处理</w:t>
      </w:r>
    </w:p>
    <w:p w14:paraId="6E43BFE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有防水要求的混凝土结构水平施工缝面应采取防渗施工措施，可采用在先期浇筑混凝土水平施工分层面上预留凸槽或采取预埋止水铁皮等措施。混凝土浇筑施工缝处理应按DL/T5144-2001第7.3.14条的规定执行。</w:t>
      </w:r>
    </w:p>
    <w:p w14:paraId="179CCD56">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54" w:name="_Toc24296"/>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.3 混凝土养护</w:t>
      </w:r>
      <w:bookmarkEnd w:id="1654"/>
    </w:p>
    <w:p w14:paraId="76A7A73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1．混凝土浇筑完毕后，应按规定时间及时进行混凝土养护，保持混凝土表面湿润；混凝土表面的养护要求应按DL/T5144-2001第7.5.2条的规定执行。</w:t>
      </w:r>
    </w:p>
    <w:p w14:paraId="727DF00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2．承包人应在混凝土浇筑前确定各种类型混凝土的养护时间，以及特殊部位的混凝土养护时间，以及根据需要确定采用喷雾、洒水或薄膜养护等措施，混凝土养护措施应提交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w:t>
      </w:r>
    </w:p>
    <w:p w14:paraId="78B6577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3．混凝土的养护时间应不少于28天，有特殊要求的部位还应适当延长。</w:t>
      </w:r>
    </w:p>
    <w:p w14:paraId="5D6DA66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4．采用薄膜养护时，在混凝土表面涂刷一层养护剂，形成保水薄膜，涂料应不影响混凝土质量；在狭窄地段施工时，使用薄膜养护液应注意防止工人中毒。采用薄膜养护的部位，必须报</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w:t>
      </w:r>
    </w:p>
    <w:p w14:paraId="4E550BCC">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55" w:name="_Toc30395"/>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混凝土面的修整</w:t>
      </w:r>
      <w:bookmarkEnd w:id="1655"/>
    </w:p>
    <w:p w14:paraId="7F7D86F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1．有模板的混凝土结构表面修整</w:t>
      </w:r>
    </w:p>
    <w:p w14:paraId="1DEF329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（1）有模板混凝土浇筑的成型偏差不得超过表9-3规定的数据。</w:t>
      </w:r>
    </w:p>
    <w:p w14:paraId="1FED522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（2）混凝土表面缺陷处理</w:t>
      </w:r>
    </w:p>
    <w:p w14:paraId="3660B39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1）混凝土表面蜂窝凹陷或</w:t>
      </w:r>
      <w:r>
        <w:rPr>
          <w:rFonts w:hint="eastAsia" w:ascii="宋体" w:hAnsi="宋体" w:eastAsia="宋体" w:cs="宋体"/>
          <w:color w:val="auto"/>
          <w:sz w:val="24"/>
          <w:szCs w:val="24"/>
          <w:highlight w:val="none"/>
          <w:lang w:eastAsia="zh-CN"/>
        </w:rPr>
        <w:t>其他损坏</w:t>
      </w:r>
      <w:r>
        <w:rPr>
          <w:rFonts w:hint="eastAsia" w:ascii="宋体" w:hAnsi="宋体" w:eastAsia="宋体" w:cs="宋体"/>
          <w:color w:val="auto"/>
          <w:sz w:val="24"/>
          <w:szCs w:val="24"/>
          <w:highlight w:val="none"/>
        </w:rPr>
        <w:t>的混凝土缺陷应按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指示进行修补，直到</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满意为止，并</w:t>
      </w:r>
      <w:r>
        <w:rPr>
          <w:rFonts w:hint="eastAsia" w:ascii="宋体" w:hAnsi="宋体" w:eastAsia="宋体" w:cs="宋体"/>
          <w:color w:val="auto"/>
          <w:sz w:val="24"/>
          <w:szCs w:val="24"/>
          <w:highlight w:val="none"/>
          <w:lang w:eastAsia="zh-CN"/>
        </w:rPr>
        <w:t>做好</w:t>
      </w:r>
      <w:r>
        <w:rPr>
          <w:rFonts w:hint="eastAsia" w:ascii="宋体" w:hAnsi="宋体" w:eastAsia="宋体" w:cs="宋体"/>
          <w:color w:val="auto"/>
          <w:sz w:val="24"/>
          <w:szCs w:val="24"/>
          <w:highlight w:val="none"/>
        </w:rPr>
        <w:t>详细记录。</w:t>
      </w:r>
    </w:p>
    <w:p w14:paraId="008F4F3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2）修补前必须用钢丝刷或加压水冲刷清除缺陷部分，或凿去薄弱的混凝土表面，用水冲洗干净，应采用比原混凝土强度等级高一级的砂浆、混凝土或</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填料填补缺陷处，并予抹平，修整部位应加强养护，确保修补材料牢固黏结，色泽一致，无明显痕迹。</w:t>
      </w:r>
    </w:p>
    <w:p w14:paraId="0510ADB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混凝土浇筑块成型后的偏差不得超过模板安装允许偏差的50％～100％，特殊部位（门槽等）应按施工图纸的规定。</w:t>
      </w:r>
    </w:p>
    <w:p w14:paraId="1AF5AE7C">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表8.5--3      混凝土结构表面的允许偏差</w:t>
      </w:r>
    </w:p>
    <w:tbl>
      <w:tblPr>
        <w:tblStyle w:val="27"/>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3929"/>
        <w:gridCol w:w="1865"/>
        <w:gridCol w:w="1865"/>
      </w:tblGrid>
      <w:tr w14:paraId="7E3DCD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041" w:type="dxa"/>
            <w:vMerge w:val="restart"/>
            <w:noWrap w:val="0"/>
            <w:vAlign w:val="center"/>
          </w:tcPr>
          <w:p w14:paraId="6555E861">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顺序</w:t>
            </w:r>
          </w:p>
        </w:tc>
        <w:tc>
          <w:tcPr>
            <w:tcW w:w="3929" w:type="dxa"/>
            <w:vMerge w:val="restart"/>
            <w:noWrap w:val="0"/>
            <w:vAlign w:val="center"/>
          </w:tcPr>
          <w:p w14:paraId="15FE5DC7">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    目</w:t>
            </w:r>
          </w:p>
        </w:tc>
        <w:tc>
          <w:tcPr>
            <w:tcW w:w="3730" w:type="dxa"/>
            <w:gridSpan w:val="2"/>
            <w:noWrap w:val="0"/>
            <w:vAlign w:val="center"/>
          </w:tcPr>
          <w:p w14:paraId="597F28B1">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砼结构的部位（mm）</w:t>
            </w:r>
          </w:p>
        </w:tc>
      </w:tr>
      <w:tr w14:paraId="4871B86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041" w:type="dxa"/>
            <w:vMerge w:val="continue"/>
            <w:noWrap w:val="0"/>
            <w:vAlign w:val="center"/>
          </w:tcPr>
          <w:p w14:paraId="57F61883">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p>
        </w:tc>
        <w:tc>
          <w:tcPr>
            <w:tcW w:w="3929" w:type="dxa"/>
            <w:vMerge w:val="continue"/>
            <w:noWrap w:val="0"/>
            <w:vAlign w:val="center"/>
          </w:tcPr>
          <w:p w14:paraId="4CA8A593">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p>
        </w:tc>
        <w:tc>
          <w:tcPr>
            <w:tcW w:w="1865" w:type="dxa"/>
            <w:noWrap w:val="0"/>
            <w:vAlign w:val="center"/>
          </w:tcPr>
          <w:p w14:paraId="160E2DCA">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外露表面</w:t>
            </w:r>
          </w:p>
        </w:tc>
        <w:tc>
          <w:tcPr>
            <w:tcW w:w="1865" w:type="dxa"/>
            <w:noWrap w:val="0"/>
            <w:vAlign w:val="center"/>
          </w:tcPr>
          <w:p w14:paraId="58C00B6E">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隐蔽内面</w:t>
            </w:r>
          </w:p>
        </w:tc>
      </w:tr>
      <w:tr w14:paraId="129830F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noWrap w:val="0"/>
            <w:vAlign w:val="center"/>
          </w:tcPr>
          <w:p w14:paraId="1B1BDB19">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p>
        </w:tc>
        <w:tc>
          <w:tcPr>
            <w:tcW w:w="3929" w:type="dxa"/>
            <w:noWrap w:val="0"/>
            <w:vAlign w:val="center"/>
          </w:tcPr>
          <w:p w14:paraId="602DFAB0">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模板平整度</w:t>
            </w:r>
          </w:p>
        </w:tc>
        <w:tc>
          <w:tcPr>
            <w:tcW w:w="1865" w:type="dxa"/>
            <w:noWrap w:val="0"/>
            <w:vAlign w:val="center"/>
          </w:tcPr>
          <w:p w14:paraId="15762B31">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p>
        </w:tc>
        <w:tc>
          <w:tcPr>
            <w:tcW w:w="1865" w:type="dxa"/>
            <w:noWrap w:val="0"/>
            <w:vAlign w:val="center"/>
          </w:tcPr>
          <w:p w14:paraId="26EAD8FA">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p>
        </w:tc>
      </w:tr>
      <w:tr w14:paraId="5E65B46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noWrap w:val="0"/>
            <w:vAlign w:val="center"/>
          </w:tcPr>
          <w:p w14:paraId="512A2B4D">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929" w:type="dxa"/>
            <w:noWrap w:val="0"/>
            <w:vAlign w:val="center"/>
          </w:tcPr>
          <w:p w14:paraId="0A181425">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相邻两面板高差</w:t>
            </w:r>
          </w:p>
        </w:tc>
        <w:tc>
          <w:tcPr>
            <w:tcW w:w="1865" w:type="dxa"/>
            <w:noWrap w:val="0"/>
            <w:vAlign w:val="center"/>
          </w:tcPr>
          <w:p w14:paraId="17293CAC">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865" w:type="dxa"/>
            <w:noWrap w:val="0"/>
            <w:vAlign w:val="center"/>
          </w:tcPr>
          <w:p w14:paraId="3979AEB7">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r>
      <w:tr w14:paraId="2E69C0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noWrap w:val="0"/>
            <w:vAlign w:val="center"/>
          </w:tcPr>
          <w:p w14:paraId="7554383E">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929" w:type="dxa"/>
            <w:noWrap w:val="0"/>
            <w:vAlign w:val="center"/>
          </w:tcPr>
          <w:p w14:paraId="17D9C0CF">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局部不平（用2m直尺检查）</w:t>
            </w:r>
          </w:p>
        </w:tc>
        <w:tc>
          <w:tcPr>
            <w:tcW w:w="1865" w:type="dxa"/>
            <w:noWrap w:val="0"/>
            <w:vAlign w:val="center"/>
          </w:tcPr>
          <w:p w14:paraId="76E14BB4">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865" w:type="dxa"/>
            <w:noWrap w:val="0"/>
            <w:vAlign w:val="center"/>
          </w:tcPr>
          <w:p w14:paraId="52FBE482">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r>
      <w:tr w14:paraId="14FCF6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noWrap w:val="0"/>
            <w:vAlign w:val="center"/>
          </w:tcPr>
          <w:p w14:paraId="3C543BED">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3929" w:type="dxa"/>
            <w:noWrap w:val="0"/>
            <w:vAlign w:val="center"/>
          </w:tcPr>
          <w:p w14:paraId="22DE7B65">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结构物边线与设计边线</w:t>
            </w:r>
          </w:p>
        </w:tc>
        <w:tc>
          <w:tcPr>
            <w:tcW w:w="1865" w:type="dxa"/>
            <w:noWrap w:val="0"/>
            <w:vAlign w:val="center"/>
          </w:tcPr>
          <w:p w14:paraId="5AF3AF19">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1865" w:type="dxa"/>
            <w:noWrap w:val="0"/>
            <w:vAlign w:val="center"/>
          </w:tcPr>
          <w:p w14:paraId="3B16D4F3">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r>
      <w:tr w14:paraId="0A579E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noWrap w:val="0"/>
            <w:vAlign w:val="center"/>
          </w:tcPr>
          <w:p w14:paraId="1E024787">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3929" w:type="dxa"/>
            <w:noWrap w:val="0"/>
            <w:vAlign w:val="center"/>
          </w:tcPr>
          <w:p w14:paraId="5CA02D91">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结构物水平截面内部尺寸</w:t>
            </w:r>
          </w:p>
        </w:tc>
        <w:tc>
          <w:tcPr>
            <w:tcW w:w="3730" w:type="dxa"/>
            <w:gridSpan w:val="2"/>
            <w:noWrap w:val="0"/>
            <w:vAlign w:val="center"/>
          </w:tcPr>
          <w:p w14:paraId="064703A8">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r>
      <w:tr w14:paraId="160BF99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noWrap w:val="0"/>
            <w:vAlign w:val="center"/>
          </w:tcPr>
          <w:p w14:paraId="2A869CC0">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3929" w:type="dxa"/>
            <w:noWrap w:val="0"/>
            <w:vAlign w:val="center"/>
          </w:tcPr>
          <w:p w14:paraId="671D9898">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承重模板标高</w:t>
            </w:r>
          </w:p>
        </w:tc>
        <w:tc>
          <w:tcPr>
            <w:tcW w:w="3730" w:type="dxa"/>
            <w:gridSpan w:val="2"/>
            <w:noWrap w:val="0"/>
            <w:vAlign w:val="center"/>
          </w:tcPr>
          <w:p w14:paraId="309EA5CE">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r>
      <w:tr w14:paraId="2D73D42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noWrap w:val="0"/>
            <w:vAlign w:val="center"/>
          </w:tcPr>
          <w:p w14:paraId="68DE32F8">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3929" w:type="dxa"/>
            <w:noWrap w:val="0"/>
            <w:vAlign w:val="center"/>
          </w:tcPr>
          <w:p w14:paraId="660F3484">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预留孔、洞尺寸及位置</w:t>
            </w:r>
          </w:p>
        </w:tc>
        <w:tc>
          <w:tcPr>
            <w:tcW w:w="3730" w:type="dxa"/>
            <w:gridSpan w:val="2"/>
            <w:noWrap w:val="0"/>
            <w:vAlign w:val="center"/>
          </w:tcPr>
          <w:p w14:paraId="7F1F4440">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r>
    </w:tbl>
    <w:p w14:paraId="2A42FE64">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p>
    <w:p w14:paraId="54BE3DA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2．非模板混凝土结构（护坦、护坡等）表面的修整</w:t>
      </w:r>
    </w:p>
    <w:p w14:paraId="385C77C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（1）无模混凝土表面的修整。承包人应根据无模混凝土表面结构特性，采用整平板修整、木模刀修整和钢制修平刀修整等不同施工方法和工艺进行表面修整，使表面平整、平顺。</w:t>
      </w:r>
    </w:p>
    <w:p w14:paraId="6434CBE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（2）无模混凝土表面的保湿。为避免新浇混凝土出现表面干缩裂缝，应及时采取混凝土表面喷雾，或加盖聚乙烯薄膜，</w:t>
      </w:r>
      <w:r>
        <w:rPr>
          <w:rFonts w:hint="eastAsia" w:ascii="宋体" w:hAnsi="宋体" w:eastAsia="宋体" w:cs="宋体"/>
          <w:color w:val="auto"/>
          <w:sz w:val="24"/>
          <w:szCs w:val="24"/>
          <w:highlight w:val="none"/>
          <w:lang w:eastAsia="zh-CN"/>
        </w:rPr>
        <w:t>或其他方法</w:t>
      </w:r>
      <w:r>
        <w:rPr>
          <w:rFonts w:hint="eastAsia" w:ascii="宋体" w:hAnsi="宋体" w:eastAsia="宋体" w:cs="宋体"/>
          <w:color w:val="auto"/>
          <w:sz w:val="24"/>
          <w:szCs w:val="24"/>
          <w:highlight w:val="none"/>
        </w:rPr>
        <w:t>，保持混凝土表面湿润和降低水分蒸发损失。喷雾时水分不应过量，要求雾滴直径达到40～80μm，以防止混凝土表面泛出水泥浆液，保湿应连续进行。</w:t>
      </w:r>
    </w:p>
    <w:p w14:paraId="6743340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3．预留孔混凝土</w:t>
      </w:r>
    </w:p>
    <w:p w14:paraId="43CF225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（1）承包人应按施工图纸要求，在混凝土建筑物中预留各种孔穴。承包人为施工方便或安装作业所需预留的孔穴，均应在完成预埋件埋设和安装作业后，由承包人负责采用混凝土或砂浆予以回填密实。</w:t>
      </w:r>
    </w:p>
    <w:p w14:paraId="4D9EC44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（2）除另有规定外，回填预留孔用的混凝土或砂浆，应与周围建筑物的材质相一致。</w:t>
      </w:r>
    </w:p>
    <w:p w14:paraId="57DBCAA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（3）预留孔在回填混凝土或砂浆之前，应先将预留孔壁凿毛，并清洗干净和保持湿润，以保证新老混凝土结合良好。</w:t>
      </w:r>
    </w:p>
    <w:p w14:paraId="3697362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（4）回填混凝土或砂浆过程中应仔细捣实，以保证埋件</w:t>
      </w:r>
      <w:r>
        <w:rPr>
          <w:rFonts w:hint="eastAsia" w:ascii="宋体" w:hAnsi="宋体" w:eastAsia="宋体" w:cs="宋体"/>
          <w:color w:val="auto"/>
          <w:sz w:val="24"/>
          <w:szCs w:val="24"/>
          <w:highlight w:val="none"/>
          <w:lang w:eastAsia="zh-CN"/>
        </w:rPr>
        <w:t>粘结</w:t>
      </w:r>
      <w:r>
        <w:rPr>
          <w:rFonts w:hint="eastAsia" w:ascii="宋体" w:hAnsi="宋体" w:eastAsia="宋体" w:cs="宋体"/>
          <w:color w:val="auto"/>
          <w:sz w:val="24"/>
          <w:szCs w:val="24"/>
          <w:highlight w:val="none"/>
        </w:rPr>
        <w:t>牢固，以及新老混凝土或砂浆充分</w:t>
      </w:r>
      <w:r>
        <w:rPr>
          <w:rFonts w:hint="eastAsia" w:ascii="宋体" w:hAnsi="宋体" w:eastAsia="宋体" w:cs="宋体"/>
          <w:color w:val="auto"/>
          <w:sz w:val="24"/>
          <w:szCs w:val="24"/>
          <w:highlight w:val="none"/>
          <w:lang w:eastAsia="zh-CN"/>
        </w:rPr>
        <w:t>粘结</w:t>
      </w:r>
      <w:r>
        <w:rPr>
          <w:rFonts w:hint="eastAsia" w:ascii="宋体" w:hAnsi="宋体" w:eastAsia="宋体" w:cs="宋体"/>
          <w:color w:val="auto"/>
          <w:sz w:val="24"/>
          <w:szCs w:val="24"/>
          <w:highlight w:val="none"/>
        </w:rPr>
        <w:t>，外露的回填混凝土或砂浆表面必须抹平，并进行养护和保护。</w:t>
      </w:r>
    </w:p>
    <w:p w14:paraId="7322093C">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56" w:name="_Toc209"/>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质量检查和验收</w:t>
      </w:r>
      <w:bookmarkEnd w:id="1656"/>
    </w:p>
    <w:p w14:paraId="0DA29D1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1．混凝土原材料的质量检验和验收</w:t>
      </w:r>
    </w:p>
    <w:p w14:paraId="328D1BE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，按本合同技术条款第9.2.1条的规定，对本工程施工所用的水泥等混凝土原材料进行检验，并按合同约定进行材料的入库验收，以及现场抽样检验和验收。入库验收和抽样检验的成果应提交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w:t>
      </w:r>
    </w:p>
    <w:p w14:paraId="3A6A426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（1）水泥检验</w:t>
      </w:r>
    </w:p>
    <w:p w14:paraId="553837E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批水泥均应有厂家的品质试验报告，承包人应按国家和行业的有关规定，对供货商提供的每批水泥进行取样检测，必要时还应进行化学成分分析。检测取样以200～400t同品种、同标号水泥为一个取样单位，不足200t时也应作为</w:t>
      </w:r>
      <w:r>
        <w:rPr>
          <w:rFonts w:hint="eastAsia" w:ascii="宋体" w:hAnsi="宋体" w:eastAsia="宋体" w:cs="宋体"/>
          <w:color w:val="auto"/>
          <w:sz w:val="24"/>
          <w:szCs w:val="24"/>
          <w:highlight w:val="none"/>
          <w:lang w:eastAsia="zh-CN"/>
        </w:rPr>
        <w:t>一个</w:t>
      </w:r>
      <w:r>
        <w:rPr>
          <w:rFonts w:hint="eastAsia" w:ascii="宋体" w:hAnsi="宋体" w:eastAsia="宋体" w:cs="宋体"/>
          <w:color w:val="auto"/>
          <w:sz w:val="24"/>
          <w:szCs w:val="24"/>
          <w:highlight w:val="none"/>
        </w:rPr>
        <w:t>取样单位。检测的项目应包括：水泥标号、凝结时间、体积安定性、稠度、细度、比重等试验，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认为有必要时，可要求进行水化热试验。</w:t>
      </w:r>
    </w:p>
    <w:p w14:paraId="0B05DAE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．混凝土工程建筑物的完工验收</w:t>
      </w:r>
    </w:p>
    <w:p w14:paraId="3AEC826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混凝土工程建筑物全部完工后，承包人可按本合同条款第52条的规定，向发包人申请完工验收，并按规定的内容向</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提交完工资料。</w:t>
      </w:r>
    </w:p>
    <w:p w14:paraId="0149BB9C">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657" w:name="_Toc280531394"/>
      <w:bookmarkStart w:id="1658" w:name="_Toc25363"/>
      <w:bookmarkStart w:id="1659" w:name="_Toc232309875"/>
      <w:bookmarkStart w:id="1660" w:name="_Toc224476759"/>
      <w:bookmarkStart w:id="1661" w:name="_Toc279938582"/>
      <w:bookmarkStart w:id="1662" w:name="_Toc247534778"/>
      <w:bookmarkStart w:id="1663" w:name="_Toc369765792"/>
      <w:bookmarkStart w:id="1664" w:name="_Toc237539943"/>
      <w:bookmarkStart w:id="1665" w:name="_Toc224475882"/>
      <w:bookmarkStart w:id="1666" w:name="_Toc237541429"/>
      <w:bookmarkStart w:id="1667" w:name="_Toc249517809"/>
      <w:r>
        <w:rPr>
          <w:rFonts w:hint="eastAsia" w:ascii="宋体" w:hAnsi="宋体" w:eastAsia="宋体" w:cs="宋体"/>
          <w:b/>
          <w:bCs/>
          <w:color w:val="auto"/>
          <w:kern w:val="2"/>
          <w:sz w:val="24"/>
          <w:szCs w:val="24"/>
          <w:highlight w:val="none"/>
          <w:lang w:val="en-US" w:eastAsia="zh-CN" w:bidi="ar-SA"/>
        </w:rPr>
        <w:t>9.1 钢筋</w:t>
      </w:r>
      <w:bookmarkEnd w:id="1657"/>
      <w:bookmarkEnd w:id="1658"/>
      <w:bookmarkEnd w:id="1659"/>
      <w:bookmarkEnd w:id="1660"/>
      <w:bookmarkEnd w:id="1661"/>
      <w:bookmarkEnd w:id="1662"/>
      <w:bookmarkEnd w:id="1663"/>
      <w:bookmarkEnd w:id="1664"/>
      <w:bookmarkEnd w:id="1665"/>
      <w:bookmarkEnd w:id="1666"/>
      <w:bookmarkEnd w:id="1667"/>
    </w:p>
    <w:p w14:paraId="10ADF82A">
      <w:pPr>
        <w:pStyle w:val="4"/>
        <w:pageBreakBefore w:val="0"/>
        <w:kinsoku/>
        <w:wordWrap/>
        <w:overflowPunct/>
        <w:topLinePunct w:val="0"/>
        <w:autoSpaceDE/>
        <w:autoSpaceDN/>
        <w:bidi w:val="0"/>
        <w:spacing w:line="360" w:lineRule="auto"/>
        <w:rPr>
          <w:rFonts w:hint="default" w:ascii="宋体" w:hAnsi="宋体" w:eastAsia="宋体" w:cs="宋体"/>
          <w:color w:val="auto"/>
          <w:sz w:val="24"/>
          <w:szCs w:val="24"/>
          <w:highlight w:val="none"/>
          <w:lang w:val="en-US" w:eastAsia="zh-CN"/>
        </w:rPr>
      </w:pPr>
      <w:bookmarkStart w:id="1668" w:name="_Toc368993600"/>
      <w:bookmarkStart w:id="1669" w:name="_Toc369165282"/>
      <w:bookmarkStart w:id="1670" w:name="_Toc368992114"/>
      <w:bookmarkStart w:id="1671" w:name="_Toc247534779"/>
      <w:bookmarkStart w:id="1672" w:name="_Toc237539944"/>
      <w:bookmarkStart w:id="1673" w:name="_Toc224552116"/>
      <w:bookmarkStart w:id="1674" w:name="_Toc237541430"/>
      <w:bookmarkStart w:id="1675" w:name="_Toc32363"/>
      <w:bookmarkStart w:id="1676" w:name="_Toc369166281"/>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 材料</w:t>
      </w:r>
      <w:bookmarkEnd w:id="1668"/>
      <w:bookmarkEnd w:id="1669"/>
      <w:bookmarkEnd w:id="1670"/>
      <w:bookmarkEnd w:id="1671"/>
      <w:bookmarkEnd w:id="1672"/>
      <w:bookmarkEnd w:id="1673"/>
      <w:bookmarkEnd w:id="1674"/>
      <w:bookmarkEnd w:id="1675"/>
      <w:bookmarkEnd w:id="1676"/>
    </w:p>
    <w:p w14:paraId="46764C2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1．混凝土结构用的钢筋应符合DL/T5169-2002的规定；其种类、钢号、直径等应符合SL/T191-1996的规定，并应满足本合同技术条款和施工图纸的要求。</w:t>
      </w:r>
    </w:p>
    <w:p w14:paraId="5967807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2．每批钢筋均应附有产品质量证明书及出厂检验单，每批钢筋进场入库前应由承包人会同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进行验点，并应将产品质量证明书及出厂检验单提交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w:t>
      </w:r>
    </w:p>
    <w:p w14:paraId="54485DE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3．每批钢筋使用前，应按DL/T5169-2002第4.2.2条的规定，分批进行钢筋的机械性能检测。检测合格者才准使用，检测记录应提交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w:t>
      </w:r>
    </w:p>
    <w:p w14:paraId="0D1D3DE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4．对钢号不明的钢筋，承包人应按DL/T5169-2002第4.2.3条的规定进行钢材化学成分和主要机械性能的检验，经检验合格，并报送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批准后，方可使用。</w:t>
      </w:r>
    </w:p>
    <w:p w14:paraId="61680588">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77" w:name="_Toc237541431"/>
      <w:bookmarkStart w:id="1678" w:name="_Toc368992115"/>
      <w:bookmarkStart w:id="1679" w:name="_Toc22855"/>
      <w:bookmarkStart w:id="1680" w:name="_Toc237539945"/>
      <w:bookmarkStart w:id="1681" w:name="_Toc368993601"/>
      <w:bookmarkStart w:id="1682" w:name="_Toc369166282"/>
      <w:bookmarkStart w:id="1683" w:name="_Toc369165283"/>
      <w:bookmarkStart w:id="1684" w:name="_Toc247534780"/>
      <w:bookmarkStart w:id="1685" w:name="_Toc224552117"/>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 钢筋的加工和安装</w:t>
      </w:r>
      <w:bookmarkEnd w:id="1677"/>
      <w:bookmarkEnd w:id="1678"/>
      <w:bookmarkEnd w:id="1679"/>
      <w:bookmarkEnd w:id="1680"/>
      <w:bookmarkEnd w:id="1681"/>
      <w:bookmarkEnd w:id="1682"/>
      <w:bookmarkEnd w:id="1683"/>
      <w:bookmarkEnd w:id="1684"/>
      <w:bookmarkEnd w:id="1685"/>
    </w:p>
    <w:p w14:paraId="1853CF9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1．钢筋表面应洁净无损伤，使用前应将钢筋表面的油漆污染和铁锈等清除干净，带有颗粒状或片状老锈的钢筋不得使用。</w:t>
      </w:r>
    </w:p>
    <w:p w14:paraId="3BA9A05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2．钢筋的端头和接头加工、钢筋的弯折加工及成品钢筋的存放，均按DL/T5169-2002的规定执行。</w:t>
      </w:r>
    </w:p>
    <w:p w14:paraId="338F381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3．钢筋的焊接应按DL/T5169-2002第6章的规定，以及本合同技术条款和施工图纸的要求执行。</w:t>
      </w:r>
    </w:p>
    <w:p w14:paraId="597A314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4．钢筋的气压焊接作业应按DL/T5169-2002第6.2.8条的规定执行。</w:t>
      </w:r>
    </w:p>
    <w:p w14:paraId="2E256B7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5．钢筋的安装和绑扎应按DL/T5169-2002第7章的规定要求执行。</w:t>
      </w:r>
    </w:p>
    <w:p w14:paraId="40899D0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p>
    <w:p w14:paraId="79395DA1">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86" w:name="_Toc368993603"/>
      <w:bookmarkStart w:id="1687" w:name="_Toc224552119"/>
      <w:bookmarkStart w:id="1688" w:name="_Toc247534782"/>
      <w:bookmarkStart w:id="1689" w:name="_Toc368992117"/>
      <w:bookmarkStart w:id="1690" w:name="_Toc369165285"/>
      <w:bookmarkStart w:id="1691" w:name="_Toc6209"/>
      <w:bookmarkStart w:id="1692" w:name="_Toc237539947"/>
      <w:bookmarkStart w:id="1693" w:name="_Toc369166284"/>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质量检查和检验</w:t>
      </w:r>
      <w:bookmarkEnd w:id="1686"/>
      <w:bookmarkEnd w:id="1687"/>
      <w:bookmarkEnd w:id="1688"/>
      <w:bookmarkEnd w:id="1689"/>
      <w:bookmarkEnd w:id="1690"/>
      <w:bookmarkEnd w:id="1691"/>
      <w:bookmarkEnd w:id="1692"/>
      <w:bookmarkEnd w:id="1693"/>
    </w:p>
    <w:p w14:paraId="6CF003B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1．钢筋的机械性能检验应遵守DL/T5169-2002第4.2.2条的规定。</w:t>
      </w:r>
    </w:p>
    <w:p w14:paraId="55B9564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2．钢筋的接头质量检验应按DL/T5169-2002第6.2节的要求进行，其中气压焊应符合DL/T5169-2002第6.2.8条的规定；机械连接应</w:t>
      </w:r>
      <w:r>
        <w:rPr>
          <w:rFonts w:hint="eastAsia" w:ascii="宋体" w:hAnsi="宋体" w:eastAsia="宋体" w:cs="宋体"/>
          <w:color w:val="auto"/>
          <w:sz w:val="24"/>
          <w:szCs w:val="24"/>
          <w:highlight w:val="none"/>
          <w:lang w:eastAsia="zh-CN"/>
        </w:rPr>
        <w:t>符合</w:t>
      </w:r>
      <w:r>
        <w:rPr>
          <w:rFonts w:hint="eastAsia" w:ascii="宋体" w:hAnsi="宋体" w:eastAsia="宋体" w:cs="宋体"/>
          <w:color w:val="auto"/>
          <w:sz w:val="24"/>
          <w:szCs w:val="24"/>
          <w:highlight w:val="none"/>
        </w:rPr>
        <w:t>DL/T5169-2002第6.2.9条规定。</w:t>
      </w:r>
    </w:p>
    <w:p w14:paraId="29FEBE7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3．钢筋架设完成后，应按本工程技术条款和施工图纸的要求进行检查和检验，并做好记录，安装好的钢筋，若因长期暴露而生锈，应进行现场除锈，对于锈蚀严重的钢筋应予以更换。</w:t>
      </w:r>
    </w:p>
    <w:p w14:paraId="7A894C5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4．在混凝土浇筑施工前，应检查现场钢筋的架立位置，如发现钢筋位置变动应及时校正，严禁在混凝土浇筑中擅自移动或割除钢筋。</w:t>
      </w:r>
    </w:p>
    <w:p w14:paraId="6DC590A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5．钢筋的安装和清理完成后，承包人应会同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在混凝土浇筑前进行检查和验收，并</w:t>
      </w:r>
      <w:r>
        <w:rPr>
          <w:rFonts w:hint="eastAsia" w:ascii="宋体" w:hAnsi="宋体" w:eastAsia="宋体" w:cs="宋体"/>
          <w:color w:val="auto"/>
          <w:sz w:val="24"/>
          <w:szCs w:val="24"/>
          <w:highlight w:val="none"/>
          <w:lang w:eastAsia="zh-CN"/>
        </w:rPr>
        <w:t>做好</w:t>
      </w:r>
      <w:r>
        <w:rPr>
          <w:rFonts w:hint="eastAsia" w:ascii="宋体" w:hAnsi="宋体" w:eastAsia="宋体" w:cs="宋体"/>
          <w:color w:val="auto"/>
          <w:sz w:val="24"/>
          <w:szCs w:val="24"/>
          <w:highlight w:val="none"/>
        </w:rPr>
        <w:t>记录，经</w:t>
      </w:r>
      <w:r>
        <w:rPr>
          <w:rFonts w:hint="eastAsia" w:ascii="宋体" w:hAnsi="宋体" w:eastAsia="宋体" w:cs="宋体"/>
          <w:color w:val="auto"/>
          <w:sz w:val="24"/>
          <w:szCs w:val="24"/>
          <w:highlight w:val="none"/>
          <w:lang w:eastAsia="zh-CN"/>
        </w:rPr>
        <w:t>发包人验证</w:t>
      </w:r>
      <w:r>
        <w:rPr>
          <w:rFonts w:hint="eastAsia" w:ascii="宋体" w:hAnsi="宋体" w:eastAsia="宋体" w:cs="宋体"/>
          <w:color w:val="auto"/>
          <w:sz w:val="24"/>
          <w:szCs w:val="24"/>
          <w:highlight w:val="none"/>
        </w:rPr>
        <w:t>后才能浇筑混凝土。</w:t>
      </w:r>
    </w:p>
    <w:p w14:paraId="354DE76B">
      <w:pPr>
        <w:pStyle w:val="2"/>
        <w:pageBreakBefore w:val="0"/>
        <w:tabs>
          <w:tab w:val="center" w:pos="4153"/>
        </w:tabs>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94" w:name="_Toc98147221"/>
      <w:bookmarkStart w:id="1695" w:name="_Toc237540230"/>
      <w:bookmarkStart w:id="1696" w:name="_Toc237541617"/>
      <w:bookmarkStart w:id="1697" w:name="_Toc16378"/>
      <w:bookmarkStart w:id="1698" w:name="_Toc247534974"/>
      <w:bookmarkStart w:id="1699" w:name="_Toc249517863"/>
      <w:bookmarkStart w:id="1700" w:name="_Toc260152111"/>
      <w:bookmarkStart w:id="1701" w:name="_Toc270573634"/>
      <w:r>
        <w:rPr>
          <w:rFonts w:hint="eastAsia" w:ascii="宋体" w:hAnsi="宋体" w:eastAsia="宋体" w:cs="宋体"/>
          <w:color w:val="auto"/>
          <w:sz w:val="24"/>
          <w:szCs w:val="24"/>
          <w:highlight w:val="none"/>
        </w:rPr>
        <w:t xml:space="preserve">10  </w:t>
      </w:r>
      <w:bookmarkEnd w:id="1694"/>
      <w:bookmarkEnd w:id="1695"/>
      <w:bookmarkEnd w:id="1696"/>
      <w:r>
        <w:rPr>
          <w:rFonts w:hint="eastAsia" w:ascii="宋体" w:hAnsi="宋体" w:eastAsia="宋体" w:cs="宋体"/>
          <w:color w:val="auto"/>
          <w:sz w:val="24"/>
          <w:szCs w:val="24"/>
          <w:highlight w:val="none"/>
        </w:rPr>
        <w:t>疏浚工程</w:t>
      </w:r>
      <w:bookmarkEnd w:id="1697"/>
      <w:bookmarkEnd w:id="1698"/>
      <w:bookmarkEnd w:id="1699"/>
      <w:bookmarkEnd w:id="1700"/>
      <w:bookmarkEnd w:id="1701"/>
    </w:p>
    <w:p w14:paraId="305CE758">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702" w:name="_Toc270573635"/>
      <w:bookmarkStart w:id="1703" w:name="_Toc247534975"/>
      <w:bookmarkStart w:id="1704" w:name="_Toc248287541"/>
      <w:bookmarkStart w:id="1705" w:name="_Toc249517864"/>
      <w:bookmarkStart w:id="1706" w:name="_Toc4516"/>
      <w:r>
        <w:rPr>
          <w:rFonts w:hint="eastAsia" w:ascii="宋体" w:hAnsi="宋体" w:eastAsia="宋体" w:cs="宋体"/>
          <w:b/>
          <w:bCs/>
          <w:color w:val="auto"/>
          <w:kern w:val="2"/>
          <w:sz w:val="24"/>
          <w:szCs w:val="24"/>
          <w:highlight w:val="none"/>
          <w:lang w:val="en-US" w:eastAsia="zh-CN" w:bidi="ar-SA"/>
        </w:rPr>
        <w:t>10.1一般规定</w:t>
      </w:r>
      <w:bookmarkEnd w:id="1702"/>
      <w:bookmarkEnd w:id="1703"/>
      <w:bookmarkEnd w:id="1704"/>
      <w:bookmarkEnd w:id="1705"/>
      <w:bookmarkEnd w:id="1706"/>
    </w:p>
    <w:p w14:paraId="74D3008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707" w:name="_Toc247534976"/>
      <w:bookmarkStart w:id="1708" w:name="_Toc237540232"/>
      <w:bookmarkStart w:id="1709" w:name="_Toc16951"/>
      <w:r>
        <w:rPr>
          <w:rFonts w:hint="eastAsia" w:ascii="宋体" w:hAnsi="宋体" w:eastAsia="宋体" w:cs="宋体"/>
          <w:color w:val="auto"/>
          <w:sz w:val="24"/>
          <w:szCs w:val="24"/>
          <w:highlight w:val="none"/>
        </w:rPr>
        <w:t>10.1.1应用范围</w:t>
      </w:r>
      <w:bookmarkEnd w:id="1707"/>
      <w:bookmarkEnd w:id="1708"/>
      <w:bookmarkEnd w:id="1709"/>
    </w:p>
    <w:p w14:paraId="5BA90AF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本章规定适用于本合同施工图纸所示的水下方工程，主要包括长引河疏浚、水下方拆除等。</w:t>
      </w:r>
    </w:p>
    <w:p w14:paraId="5001E5C7">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710" w:name="_Toc247534977"/>
      <w:bookmarkStart w:id="1711" w:name="_Toc14010"/>
      <w:bookmarkStart w:id="1712" w:name="_Toc237540233"/>
      <w:r>
        <w:rPr>
          <w:rFonts w:hint="eastAsia" w:ascii="宋体" w:hAnsi="宋体" w:eastAsia="宋体" w:cs="宋体"/>
          <w:color w:val="auto"/>
          <w:sz w:val="24"/>
          <w:szCs w:val="24"/>
          <w:highlight w:val="none"/>
        </w:rPr>
        <w:t>10.1.2 承包人的责任</w:t>
      </w:r>
      <w:bookmarkEnd w:id="1710"/>
      <w:bookmarkEnd w:id="1711"/>
      <w:bookmarkEnd w:id="1712"/>
    </w:p>
    <w:p w14:paraId="08B09B6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承包人应负责本合同疏浚工程的施工规划、设备配置和维修、疏浚施工</w:t>
      </w:r>
      <w:r>
        <w:rPr>
          <w:rFonts w:hint="eastAsia" w:ascii="宋体" w:hAnsi="宋体" w:eastAsia="宋体" w:cs="宋体"/>
          <w:color w:val="auto"/>
          <w:sz w:val="24"/>
          <w:szCs w:val="24"/>
          <w:highlight w:val="none"/>
          <w:lang w:eastAsia="zh-CN"/>
        </w:rPr>
        <w:t>，以及</w:t>
      </w:r>
      <w:r>
        <w:rPr>
          <w:rFonts w:hint="eastAsia" w:ascii="宋体" w:hAnsi="宋体" w:eastAsia="宋体" w:cs="宋体"/>
          <w:color w:val="auto"/>
          <w:sz w:val="24"/>
          <w:szCs w:val="24"/>
          <w:highlight w:val="none"/>
        </w:rPr>
        <w:t xml:space="preserve">质量检查和验收等的全部工作，并应负责提供为完成疏浚工程所需的人工、材料、设备和辅助设施。 </w:t>
      </w:r>
    </w:p>
    <w:p w14:paraId="3A883A5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承包人应按本合同技术条款、施工图纸和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的指示，对河道开挖断面进行实地放样校测。校测中发现与施工图纸不符时，应会同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共同进行复测，经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认可的复测成果应作为施工和计量支付的依据。</w:t>
      </w:r>
    </w:p>
    <w:p w14:paraId="5F727241">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713" w:name="_Toc237541619"/>
      <w:bookmarkStart w:id="1714" w:name="_Toc8619"/>
      <w:bookmarkStart w:id="1715" w:name="_Toc237540234"/>
      <w:bookmarkStart w:id="1716" w:name="_Toc247534978"/>
      <w:r>
        <w:rPr>
          <w:rFonts w:hint="eastAsia" w:ascii="宋体" w:hAnsi="宋体" w:eastAsia="宋体" w:cs="宋体"/>
          <w:color w:val="auto"/>
          <w:sz w:val="24"/>
          <w:szCs w:val="24"/>
          <w:highlight w:val="none"/>
        </w:rPr>
        <w:t>10.1.3 主要提交件</w:t>
      </w:r>
      <w:bookmarkEnd w:id="1713"/>
      <w:bookmarkEnd w:id="1714"/>
      <w:bookmarkEnd w:id="1715"/>
      <w:bookmarkEnd w:id="1716"/>
    </w:p>
    <w:p w14:paraId="1AD5299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施工措施计划 </w:t>
      </w:r>
    </w:p>
    <w:p w14:paraId="263688C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疏浚和吹填工程开工前 </w:t>
      </w: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 xml:space="preserve"> 天，承包人应按本合同技术条款、施工图纸和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指示，编制一份包括下列内容的施工措施计划，提交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 xml:space="preserve">审批。 </w:t>
      </w:r>
    </w:p>
    <w:p w14:paraId="1B693AC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（1）疏浚设备的配置；</w:t>
      </w:r>
    </w:p>
    <w:p w14:paraId="45C5BAC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）施工设备调遣计划；</w:t>
      </w:r>
    </w:p>
    <w:p w14:paraId="2660E8A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）施工方法及程序；</w:t>
      </w:r>
    </w:p>
    <w:p w14:paraId="014C45D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）边坡保护措施；</w:t>
      </w:r>
    </w:p>
    <w:p w14:paraId="4EDE5CC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）施工质量与安全保证措施；</w:t>
      </w:r>
    </w:p>
    <w:p w14:paraId="2A8C55A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）施工进度计划。</w:t>
      </w:r>
    </w:p>
    <w:p w14:paraId="003A0D1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疏浚放样资料  </w:t>
      </w:r>
    </w:p>
    <w:p w14:paraId="63E958D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在疏浚工程开工前 </w:t>
      </w: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 xml:space="preserve"> 天，承包人应将实地放样的疏浚断面资料提交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 xml:space="preserve">复核，经批准后，方可开工。 </w:t>
      </w:r>
    </w:p>
    <w:p w14:paraId="55A397D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717" w:name="_Toc237540235"/>
      <w:bookmarkStart w:id="1718" w:name="_Toc247534979"/>
      <w:bookmarkStart w:id="1719" w:name="_Toc13790"/>
      <w:r>
        <w:rPr>
          <w:rFonts w:hint="eastAsia" w:ascii="宋体" w:hAnsi="宋体" w:eastAsia="宋体" w:cs="宋体"/>
          <w:color w:val="auto"/>
          <w:sz w:val="24"/>
          <w:szCs w:val="24"/>
          <w:highlight w:val="none"/>
        </w:rPr>
        <w:t>10.1.4 引用标准和规程规范</w:t>
      </w:r>
      <w:bookmarkEnd w:id="1717"/>
      <w:bookmarkEnd w:id="1718"/>
      <w:bookmarkEnd w:id="1719"/>
    </w:p>
    <w:p w14:paraId="072B3FF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《水利水电工程施工质量检验与评定规程》SL176-2007；</w:t>
      </w:r>
    </w:p>
    <w:p w14:paraId="42623EC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《水利水电工程钻探规程》SL291-2003</w:t>
      </w:r>
    </w:p>
    <w:p w14:paraId="42AEB2B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《土工试验规程》SL237-1999； </w:t>
      </w:r>
    </w:p>
    <w:p w14:paraId="5AC723E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《水利水电工程施工测量规范》SL52-1993；</w:t>
      </w:r>
    </w:p>
    <w:p w14:paraId="3818DBF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《疏浚工程施工技术规范》SL17-1990；</w:t>
      </w:r>
    </w:p>
    <w:p w14:paraId="5F27442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 《疏浚与吹填工程质量检验标准》JTJ324-2006；</w:t>
      </w:r>
    </w:p>
    <w:p w14:paraId="6C32469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 《疏浚工程技术规范》（</w:t>
      </w:r>
      <w:r>
        <w:rPr>
          <w:rFonts w:hint="eastAsia" w:ascii="宋体" w:hAnsi="宋体" w:eastAsia="宋体" w:cs="宋体"/>
          <w:color w:val="auto"/>
          <w:sz w:val="24"/>
          <w:szCs w:val="24"/>
          <w:highlight w:val="none"/>
          <w:lang w:eastAsia="zh-CN"/>
        </w:rPr>
        <w:t>交通运输部</w:t>
      </w:r>
      <w:r>
        <w:rPr>
          <w:rFonts w:hint="eastAsia" w:ascii="宋体" w:hAnsi="宋体" w:eastAsia="宋体" w:cs="宋体"/>
          <w:color w:val="auto"/>
          <w:sz w:val="24"/>
          <w:szCs w:val="24"/>
          <w:highlight w:val="none"/>
        </w:rPr>
        <w:t>）JTJ319-1999；</w:t>
      </w:r>
    </w:p>
    <w:p w14:paraId="1647F3DE">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720" w:name="_Toc249517865"/>
      <w:bookmarkStart w:id="1721" w:name="_Toc247534980"/>
      <w:bookmarkStart w:id="1722" w:name="_Toc12004"/>
      <w:bookmarkStart w:id="1723" w:name="_Toc270573636"/>
      <w:r>
        <w:rPr>
          <w:rFonts w:hint="eastAsia" w:ascii="宋体" w:hAnsi="宋体" w:eastAsia="宋体" w:cs="宋体"/>
          <w:b/>
          <w:bCs/>
          <w:color w:val="auto"/>
          <w:kern w:val="2"/>
          <w:sz w:val="24"/>
          <w:szCs w:val="24"/>
          <w:highlight w:val="none"/>
          <w:lang w:val="en-US" w:eastAsia="zh-CN" w:bidi="ar-SA"/>
        </w:rPr>
        <w:t>10.2疏浚和吹填工程施工措施</w:t>
      </w:r>
      <w:bookmarkEnd w:id="1720"/>
      <w:bookmarkEnd w:id="1721"/>
      <w:bookmarkEnd w:id="1722"/>
      <w:bookmarkEnd w:id="1723"/>
    </w:p>
    <w:p w14:paraId="573CD77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724" w:name="_Toc237540237"/>
      <w:bookmarkStart w:id="1725" w:name="_Toc237541621"/>
      <w:bookmarkStart w:id="1726" w:name="_Toc247534981"/>
      <w:bookmarkStart w:id="1727" w:name="_Toc17633"/>
      <w:r>
        <w:rPr>
          <w:rFonts w:hint="eastAsia" w:ascii="宋体" w:hAnsi="宋体" w:eastAsia="宋体" w:cs="宋体"/>
          <w:color w:val="auto"/>
          <w:sz w:val="24"/>
          <w:szCs w:val="24"/>
          <w:highlight w:val="none"/>
        </w:rPr>
        <w:t>10.2.1</w:t>
      </w:r>
      <w:bookmarkEnd w:id="1724"/>
      <w:bookmarkEnd w:id="1725"/>
      <w:r>
        <w:rPr>
          <w:rFonts w:hint="eastAsia" w:ascii="宋体" w:hAnsi="宋体" w:eastAsia="宋体" w:cs="宋体"/>
          <w:color w:val="auto"/>
          <w:sz w:val="24"/>
          <w:szCs w:val="24"/>
          <w:highlight w:val="none"/>
        </w:rPr>
        <w:t>疏浚工程施工条件的调查</w:t>
      </w:r>
      <w:bookmarkEnd w:id="1726"/>
      <w:bookmarkEnd w:id="1727"/>
    </w:p>
    <w:p w14:paraId="66FC89B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承包人应在提交疏浚和吹填工程的施工措施计划前，对疏浚工程区的施工条件进行详细调查，并将调查资料提交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 xml:space="preserve">，调查的内容包括： </w:t>
      </w:r>
    </w:p>
    <w:p w14:paraId="1EE5DC7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船舶</w:t>
      </w:r>
      <w:r>
        <w:rPr>
          <w:rFonts w:hint="eastAsia" w:ascii="宋体" w:hAnsi="宋体" w:eastAsia="宋体" w:cs="宋体"/>
          <w:color w:val="auto"/>
          <w:sz w:val="24"/>
          <w:szCs w:val="24"/>
          <w:highlight w:val="none"/>
        </w:rPr>
        <w:t>组装、停靠、避风、度汛和维修等条件。</w:t>
      </w:r>
    </w:p>
    <w:p w14:paraId="6E4ED3D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航道、桥闸</w:t>
      </w:r>
      <w:r>
        <w:rPr>
          <w:rFonts w:hint="eastAsia" w:ascii="宋体" w:hAnsi="宋体" w:eastAsia="宋体" w:cs="宋体"/>
          <w:color w:val="auto"/>
          <w:sz w:val="24"/>
          <w:szCs w:val="24"/>
          <w:highlight w:val="none"/>
          <w:lang w:eastAsia="zh-CN"/>
        </w:rPr>
        <w:t>及其他</w:t>
      </w:r>
      <w:r>
        <w:rPr>
          <w:rFonts w:hint="eastAsia" w:ascii="宋体" w:hAnsi="宋体" w:eastAsia="宋体" w:cs="宋体"/>
          <w:color w:val="auto"/>
          <w:sz w:val="24"/>
          <w:szCs w:val="24"/>
          <w:highlight w:val="none"/>
        </w:rPr>
        <w:t>建筑的标准，以及通航对疏浚施工的影响。</w:t>
      </w:r>
    </w:p>
    <w:p w14:paraId="3805D18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施工作业区内有无过江电力及通讯线路和水底电缆管道、桥涵、闸坝、水下障碍物、水生植物、污染物、爆炸物等，查明这些设施和物体的具体细节及其所属管理单位。</w:t>
      </w:r>
    </w:p>
    <w:p w14:paraId="5F3DCC9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陆上排泥场的设置条件，及其对当地经济的影响。</w:t>
      </w:r>
    </w:p>
    <w:p w14:paraId="29A8E48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陆上排泥场泄水通道泄水对附近水域或设施可能产生的冲淤及污染影响。</w:t>
      </w:r>
    </w:p>
    <w:p w14:paraId="280D1316">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728" w:name="_Toc237541622"/>
      <w:bookmarkStart w:id="1729" w:name="_Toc237540238"/>
      <w:bookmarkStart w:id="1730" w:name="_Toc247534982"/>
      <w:bookmarkStart w:id="1731" w:name="_Toc23016"/>
      <w:r>
        <w:rPr>
          <w:rFonts w:hint="eastAsia" w:ascii="宋体" w:hAnsi="宋体" w:eastAsia="宋体" w:cs="宋体"/>
          <w:color w:val="auto"/>
          <w:sz w:val="24"/>
          <w:szCs w:val="24"/>
          <w:highlight w:val="none"/>
        </w:rPr>
        <w:t xml:space="preserve">10.2.2 </w:t>
      </w:r>
      <w:bookmarkEnd w:id="1728"/>
      <w:bookmarkEnd w:id="1729"/>
      <w:r>
        <w:rPr>
          <w:rFonts w:hint="eastAsia" w:ascii="宋体" w:hAnsi="宋体" w:eastAsia="宋体" w:cs="宋体"/>
          <w:color w:val="auto"/>
          <w:sz w:val="24"/>
          <w:szCs w:val="24"/>
          <w:highlight w:val="none"/>
        </w:rPr>
        <w:t>疏浚工程施工措施设计</w:t>
      </w:r>
      <w:bookmarkEnd w:id="1730"/>
      <w:bookmarkEnd w:id="1731"/>
    </w:p>
    <w:p w14:paraId="6A3ECD5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承包人应根据发包人提供的水文地质和工程设计资料，以及上述调查取得的施工条件资料，并按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批准的疏浚工程施工措施计划，进行疏浚工程区的场地布置，选定疏浚设备的容量、型号和数量以及辅助设备和设施。施工措施设计还应详细说明疏浚设备水上和陆上的调遣计划、调遣线路和安全措施。</w:t>
      </w:r>
    </w:p>
    <w:p w14:paraId="2A415DD7">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732" w:name="_Toc237541626"/>
      <w:bookmarkStart w:id="1733" w:name="_Toc237540253"/>
      <w:bookmarkStart w:id="1734" w:name="_Toc270573637"/>
      <w:bookmarkStart w:id="1735" w:name="_Toc247534983"/>
      <w:bookmarkStart w:id="1736" w:name="_Toc249517866"/>
      <w:bookmarkStart w:id="1737" w:name="_Toc18252"/>
      <w:r>
        <w:rPr>
          <w:rFonts w:hint="eastAsia" w:ascii="宋体" w:hAnsi="宋体" w:eastAsia="宋体" w:cs="宋体"/>
          <w:b/>
          <w:bCs/>
          <w:color w:val="auto"/>
          <w:kern w:val="2"/>
          <w:sz w:val="24"/>
          <w:szCs w:val="24"/>
          <w:highlight w:val="none"/>
          <w:lang w:val="en-US" w:eastAsia="zh-CN" w:bidi="ar-SA"/>
        </w:rPr>
        <w:t xml:space="preserve">10.3 </w:t>
      </w:r>
      <w:bookmarkEnd w:id="1732"/>
      <w:bookmarkEnd w:id="1733"/>
      <w:r>
        <w:rPr>
          <w:rFonts w:hint="eastAsia" w:ascii="宋体" w:hAnsi="宋体" w:eastAsia="宋体" w:cs="宋体"/>
          <w:b/>
          <w:bCs/>
          <w:color w:val="auto"/>
          <w:kern w:val="2"/>
          <w:sz w:val="24"/>
          <w:szCs w:val="24"/>
          <w:highlight w:val="none"/>
          <w:lang w:val="en-US" w:eastAsia="zh-CN" w:bidi="ar-SA"/>
        </w:rPr>
        <w:t>挖泥船疏浚</w:t>
      </w:r>
      <w:bookmarkEnd w:id="1734"/>
      <w:bookmarkEnd w:id="1735"/>
      <w:bookmarkEnd w:id="1736"/>
      <w:bookmarkEnd w:id="1737"/>
    </w:p>
    <w:p w14:paraId="6D0C1BDE">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738" w:name="_Toc9579"/>
      <w:bookmarkStart w:id="1739" w:name="_Toc247534984"/>
      <w:r>
        <w:rPr>
          <w:rFonts w:hint="eastAsia" w:ascii="宋体" w:hAnsi="宋体" w:eastAsia="宋体" w:cs="宋体"/>
          <w:color w:val="auto"/>
          <w:sz w:val="24"/>
          <w:szCs w:val="24"/>
          <w:highlight w:val="none"/>
        </w:rPr>
        <w:t>10.3.1 清淤设备</w:t>
      </w:r>
      <w:bookmarkEnd w:id="1738"/>
      <w:bookmarkEnd w:id="1739"/>
    </w:p>
    <w:p w14:paraId="054646E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承包人应按本合同要求配置为保证工程进度所需的全部施工设备。所有设备必须按计划进场，并应会同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进行检验和试运行。承包人应对其所用设备的正常运行和安全等负全部责任，当承包人所用设备影响工程进度和质量时，可要求承包人更换或增加设备。</w:t>
      </w:r>
    </w:p>
    <w:p w14:paraId="5F68BBF5">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740" w:name="_Toc21789"/>
      <w:bookmarkStart w:id="1741" w:name="_Toc247534985"/>
      <w:r>
        <w:rPr>
          <w:rFonts w:hint="eastAsia" w:ascii="宋体" w:hAnsi="宋体" w:eastAsia="宋体" w:cs="宋体"/>
          <w:color w:val="auto"/>
          <w:sz w:val="24"/>
          <w:szCs w:val="24"/>
          <w:highlight w:val="none"/>
        </w:rPr>
        <w:t>10.3.2 施工测量与标志设立</w:t>
      </w:r>
      <w:bookmarkEnd w:id="1740"/>
      <w:bookmarkEnd w:id="1741"/>
    </w:p>
    <w:p w14:paraId="3396404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（1）开挖前承包人应根据施工图纸进行实地放样，放样测站点的高程精度，不得低于五等水准测量的精度要求。放样点的点位误差不应超过以下值：开挖边线±0.5m，河道中心线±1.0m。</w:t>
      </w:r>
    </w:p>
    <w:p w14:paraId="4639FA9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（2）开挖前应在河道设计中心线、开口线、开挖起讫点设立清晰的标志。</w:t>
      </w:r>
    </w:p>
    <w:p w14:paraId="267BED54">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742" w:name="_Toc247534987"/>
      <w:bookmarkStart w:id="1743" w:name="_Toc16581"/>
      <w:r>
        <w:rPr>
          <w:rFonts w:hint="eastAsia" w:ascii="宋体" w:hAnsi="宋体" w:eastAsia="宋体" w:cs="宋体"/>
          <w:color w:val="auto"/>
          <w:sz w:val="24"/>
          <w:szCs w:val="24"/>
          <w:highlight w:val="none"/>
        </w:rPr>
        <w:t>10.3.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挖泥船施工</w:t>
      </w:r>
      <w:bookmarkEnd w:id="1742"/>
      <w:bookmarkEnd w:id="1743"/>
    </w:p>
    <w:p w14:paraId="4E3EA0A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（1）根据批准的施工措施计划所选定的船型开挖。</w:t>
      </w:r>
    </w:p>
    <w:p w14:paraId="31FBF28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（2）挖泥船开挖应按SL17-90第4.6.2条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第4.6.6条的规定执行。开挖时应根据泥层厚度和机械能力，进行分层开挖。一次切削厚度应通过试验确定。</w:t>
      </w:r>
    </w:p>
    <w:p w14:paraId="254623C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（3）由承包人选定的为进入施工区或任何</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目的而进行的</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开挖，应限定在</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批准的范围内，其费用包括在工程量清单的河道水下开挖工程量单价中。</w:t>
      </w:r>
    </w:p>
    <w:p w14:paraId="43C57C4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（4）疏浚土必须排放到施工图纸所示的排泥场或</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指定的地点。</w:t>
      </w:r>
    </w:p>
    <w:p w14:paraId="5CDF369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（5）为形成河道设计边坡，疏浚时一般采取下超上欠的阶梯开挖法，超欠面积比应控制在1~1.5范围内。避免出现边坡超挖或欠挖现象。</w:t>
      </w:r>
    </w:p>
    <w:p w14:paraId="771F9C9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（6）承包人在施工过程中应采取措施，严格控制回淤。在</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签发完工验收证书之前，河道开挖范围内的回淤一概由承包人负责清除。</w:t>
      </w:r>
    </w:p>
    <w:p w14:paraId="3F39F16F">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744" w:name="_Toc270573638"/>
      <w:bookmarkStart w:id="1745" w:name="_Toc2304"/>
      <w:bookmarkStart w:id="1746" w:name="_Toc247534992"/>
      <w:bookmarkStart w:id="1747" w:name="_Toc249517867"/>
      <w:r>
        <w:rPr>
          <w:rFonts w:hint="eastAsia" w:ascii="宋体" w:hAnsi="宋体" w:eastAsia="宋体" w:cs="宋体"/>
          <w:b/>
          <w:bCs/>
          <w:color w:val="auto"/>
          <w:kern w:val="2"/>
          <w:sz w:val="24"/>
          <w:szCs w:val="24"/>
          <w:highlight w:val="none"/>
          <w:lang w:val="en-US" w:eastAsia="zh-CN" w:bidi="ar-SA"/>
        </w:rPr>
        <w:t>10.4 检查和验收</w:t>
      </w:r>
      <w:bookmarkEnd w:id="1744"/>
      <w:bookmarkEnd w:id="1745"/>
      <w:bookmarkEnd w:id="1746"/>
      <w:bookmarkEnd w:id="1747"/>
    </w:p>
    <w:p w14:paraId="2B34335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引河疏浚过程中，承包人应会同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按施工图纸的要求，在指定的测量断面，定期测量河道的开挖深度和宽度，检测结果应达到SL17-90表7.4.1~7.4.2的规定。</w:t>
      </w:r>
    </w:p>
    <w:p w14:paraId="0102492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引河疏浚工程完工后，承包人应对挖槽进行全面的水深测量，对超过欠挖极限的欠挖部位进行返工处理，自检合格后，承包人应及时向</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申请进行工程验收。经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检查认为质量不合格时，应按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的指示进行返工，由此引起的工期延误和增加的费用由承包人承担。</w:t>
      </w:r>
    </w:p>
    <w:p w14:paraId="733ADE93">
      <w:pPr>
        <w:pageBreakBefore w:val="0"/>
        <w:kinsoku/>
        <w:wordWrap/>
        <w:overflowPunct/>
        <w:topLinePunct w:val="0"/>
        <w:autoSpaceDE/>
        <w:autoSpaceDN/>
        <w:bidi w:val="0"/>
        <w:snapToGrid w:val="0"/>
        <w:spacing w:line="360" w:lineRule="auto"/>
        <w:ind w:firstLine="420"/>
        <w:rPr>
          <w:rFonts w:hint="eastAsia" w:ascii="宋体" w:hAnsi="宋体" w:eastAsia="宋体" w:cs="宋体"/>
          <w:color w:val="auto"/>
          <w:kern w:val="2"/>
          <w:sz w:val="24"/>
          <w:szCs w:val="24"/>
          <w:highlight w:val="yellow"/>
        </w:rPr>
      </w:pPr>
      <w:r>
        <w:rPr>
          <w:rFonts w:hint="eastAsia" w:ascii="宋体" w:hAnsi="宋体" w:eastAsia="宋体" w:cs="宋体"/>
          <w:color w:val="auto"/>
          <w:sz w:val="24"/>
          <w:szCs w:val="24"/>
          <w:highlight w:val="yellow"/>
        </w:rPr>
        <w:br w:type="page"/>
      </w:r>
    </w:p>
    <w:p w14:paraId="62A8C4B5">
      <w:pPr>
        <w:pageBreakBefore w:val="0"/>
        <w:kinsoku/>
        <w:wordWrap/>
        <w:overflowPunct/>
        <w:topLinePunct w:val="0"/>
        <w:autoSpaceDE/>
        <w:autoSpaceDN/>
        <w:bidi w:val="0"/>
        <w:snapToGrid w:val="0"/>
        <w:spacing w:line="360" w:lineRule="auto"/>
        <w:ind w:firstLine="420"/>
        <w:rPr>
          <w:rFonts w:hint="eastAsia" w:ascii="宋体" w:hAnsi="宋体" w:eastAsia="宋体" w:cs="宋体"/>
          <w:color w:val="auto"/>
          <w:kern w:val="2"/>
          <w:sz w:val="24"/>
          <w:szCs w:val="24"/>
          <w:highlight w:val="yellow"/>
        </w:rPr>
      </w:pPr>
    </w:p>
    <w:p w14:paraId="0EDC5E11">
      <w:pPr>
        <w:pageBreakBefore w:val="0"/>
        <w:kinsoku/>
        <w:wordWrap/>
        <w:overflowPunct/>
        <w:topLinePunct w:val="0"/>
        <w:autoSpaceDE/>
        <w:autoSpaceDN/>
        <w:bidi w:val="0"/>
        <w:snapToGrid w:val="0"/>
        <w:spacing w:line="360" w:lineRule="auto"/>
        <w:ind w:firstLine="420"/>
        <w:rPr>
          <w:rFonts w:hint="eastAsia" w:ascii="宋体" w:hAnsi="宋体" w:eastAsia="宋体" w:cs="宋体"/>
          <w:color w:val="auto"/>
          <w:kern w:val="2"/>
          <w:sz w:val="24"/>
          <w:szCs w:val="24"/>
          <w:highlight w:val="yellow"/>
        </w:rPr>
      </w:pPr>
    </w:p>
    <w:p w14:paraId="6DE5F8C4">
      <w:pPr>
        <w:pageBreakBefore w:val="0"/>
        <w:kinsoku/>
        <w:wordWrap/>
        <w:overflowPunct/>
        <w:topLinePunct w:val="0"/>
        <w:autoSpaceDE/>
        <w:autoSpaceDN/>
        <w:bidi w:val="0"/>
        <w:snapToGrid w:val="0"/>
        <w:spacing w:line="360" w:lineRule="auto"/>
        <w:ind w:firstLine="420"/>
        <w:rPr>
          <w:rFonts w:hint="eastAsia" w:ascii="宋体" w:hAnsi="宋体" w:eastAsia="宋体" w:cs="宋体"/>
          <w:color w:val="auto"/>
          <w:kern w:val="2"/>
          <w:sz w:val="24"/>
          <w:szCs w:val="24"/>
          <w:highlight w:val="yellow"/>
        </w:rPr>
      </w:pPr>
    </w:p>
    <w:p w14:paraId="59625740">
      <w:pPr>
        <w:pageBreakBefore w:val="0"/>
        <w:kinsoku/>
        <w:wordWrap/>
        <w:overflowPunct/>
        <w:topLinePunct w:val="0"/>
        <w:autoSpaceDE/>
        <w:autoSpaceDN/>
        <w:bidi w:val="0"/>
        <w:snapToGrid w:val="0"/>
        <w:spacing w:line="360" w:lineRule="auto"/>
        <w:ind w:firstLine="420"/>
        <w:rPr>
          <w:rFonts w:hint="eastAsia" w:ascii="宋体" w:hAnsi="宋体" w:eastAsia="宋体" w:cs="宋体"/>
          <w:color w:val="auto"/>
          <w:kern w:val="2"/>
          <w:sz w:val="24"/>
          <w:szCs w:val="24"/>
          <w:highlight w:val="yellow"/>
        </w:rPr>
      </w:pPr>
    </w:p>
    <w:p w14:paraId="4EEC3E67">
      <w:pPr>
        <w:pageBreakBefore w:val="0"/>
        <w:kinsoku/>
        <w:wordWrap/>
        <w:overflowPunct/>
        <w:topLinePunct w:val="0"/>
        <w:autoSpaceDE/>
        <w:autoSpaceDN/>
        <w:bidi w:val="0"/>
        <w:snapToGrid w:val="0"/>
        <w:spacing w:line="360" w:lineRule="auto"/>
        <w:ind w:firstLine="420"/>
        <w:rPr>
          <w:rFonts w:hint="eastAsia" w:ascii="宋体" w:hAnsi="宋体" w:eastAsia="宋体" w:cs="宋体"/>
          <w:color w:val="auto"/>
          <w:kern w:val="2"/>
          <w:sz w:val="24"/>
          <w:szCs w:val="24"/>
          <w:highlight w:val="yellow"/>
        </w:rPr>
      </w:pPr>
    </w:p>
    <w:p w14:paraId="3256BA27">
      <w:pPr>
        <w:pageBreakBefore w:val="0"/>
        <w:kinsoku/>
        <w:wordWrap/>
        <w:overflowPunct/>
        <w:topLinePunct w:val="0"/>
        <w:autoSpaceDE/>
        <w:autoSpaceDN/>
        <w:bidi w:val="0"/>
        <w:snapToGrid w:val="0"/>
        <w:spacing w:line="360" w:lineRule="auto"/>
        <w:ind w:firstLine="420"/>
        <w:rPr>
          <w:rFonts w:hint="eastAsia" w:ascii="宋体" w:hAnsi="宋体" w:eastAsia="宋体" w:cs="宋体"/>
          <w:color w:val="auto"/>
          <w:kern w:val="2"/>
          <w:sz w:val="24"/>
          <w:szCs w:val="24"/>
          <w:highlight w:val="yellow"/>
        </w:rPr>
      </w:pPr>
    </w:p>
    <w:p w14:paraId="5690554D">
      <w:pPr>
        <w:pageBreakBefore w:val="0"/>
        <w:kinsoku/>
        <w:wordWrap/>
        <w:overflowPunct/>
        <w:topLinePunct w:val="0"/>
        <w:autoSpaceDE/>
        <w:autoSpaceDN/>
        <w:bidi w:val="0"/>
        <w:snapToGrid w:val="0"/>
        <w:spacing w:line="360" w:lineRule="auto"/>
        <w:ind w:firstLine="420"/>
        <w:rPr>
          <w:rFonts w:hint="eastAsia" w:ascii="宋体" w:hAnsi="宋体" w:eastAsia="宋体" w:cs="宋体"/>
          <w:color w:val="auto"/>
          <w:kern w:val="2"/>
          <w:sz w:val="24"/>
          <w:szCs w:val="24"/>
          <w:highlight w:val="yellow"/>
        </w:rPr>
      </w:pPr>
    </w:p>
    <w:p w14:paraId="3F6B4E16">
      <w:pPr>
        <w:pageBreakBefore w:val="0"/>
        <w:kinsoku/>
        <w:wordWrap/>
        <w:overflowPunct/>
        <w:topLinePunct w:val="0"/>
        <w:autoSpaceDE/>
        <w:autoSpaceDN/>
        <w:bidi w:val="0"/>
        <w:snapToGrid w:val="0"/>
        <w:spacing w:line="360" w:lineRule="auto"/>
        <w:ind w:firstLine="420"/>
        <w:rPr>
          <w:rFonts w:hint="eastAsia" w:ascii="宋体" w:hAnsi="宋体" w:eastAsia="宋体" w:cs="宋体"/>
          <w:color w:val="auto"/>
          <w:kern w:val="2"/>
          <w:sz w:val="24"/>
          <w:szCs w:val="24"/>
          <w:highlight w:val="yellow"/>
        </w:rPr>
      </w:pPr>
    </w:p>
    <w:p w14:paraId="7265AB7D">
      <w:pPr>
        <w:pageBreakBefore w:val="0"/>
        <w:kinsoku/>
        <w:wordWrap/>
        <w:overflowPunct/>
        <w:topLinePunct w:val="0"/>
        <w:autoSpaceDE/>
        <w:autoSpaceDN/>
        <w:bidi w:val="0"/>
        <w:snapToGrid w:val="0"/>
        <w:spacing w:line="360" w:lineRule="auto"/>
        <w:ind w:firstLine="420"/>
        <w:rPr>
          <w:rFonts w:hint="eastAsia" w:ascii="宋体" w:hAnsi="宋体" w:eastAsia="宋体" w:cs="宋体"/>
          <w:color w:val="auto"/>
          <w:kern w:val="2"/>
          <w:sz w:val="24"/>
          <w:szCs w:val="24"/>
          <w:highlight w:val="yellow"/>
        </w:rPr>
      </w:pPr>
    </w:p>
    <w:p w14:paraId="4D768F46">
      <w:pPr>
        <w:pageBreakBefore w:val="0"/>
        <w:kinsoku/>
        <w:wordWrap/>
        <w:overflowPunct/>
        <w:topLinePunct w:val="0"/>
        <w:autoSpaceDE/>
        <w:autoSpaceDN/>
        <w:bidi w:val="0"/>
        <w:snapToGrid w:val="0"/>
        <w:spacing w:line="360" w:lineRule="auto"/>
        <w:ind w:firstLine="420"/>
        <w:rPr>
          <w:rFonts w:hint="eastAsia" w:ascii="宋体" w:hAnsi="宋体" w:eastAsia="宋体" w:cs="宋体"/>
          <w:color w:val="auto"/>
          <w:kern w:val="2"/>
          <w:sz w:val="24"/>
          <w:szCs w:val="24"/>
          <w:highlight w:val="yellow"/>
        </w:rPr>
      </w:pPr>
    </w:p>
    <w:p w14:paraId="73D94176">
      <w:pPr>
        <w:pageBreakBefore w:val="0"/>
        <w:kinsoku/>
        <w:wordWrap/>
        <w:overflowPunct/>
        <w:topLinePunct w:val="0"/>
        <w:autoSpaceDE/>
        <w:autoSpaceDN/>
        <w:bidi w:val="0"/>
        <w:snapToGrid w:val="0"/>
        <w:spacing w:line="360" w:lineRule="auto"/>
        <w:ind w:firstLine="420"/>
        <w:rPr>
          <w:rFonts w:hint="eastAsia" w:ascii="宋体" w:hAnsi="宋体" w:eastAsia="宋体" w:cs="宋体"/>
          <w:color w:val="auto"/>
          <w:kern w:val="2"/>
          <w:sz w:val="24"/>
          <w:szCs w:val="24"/>
          <w:highlight w:val="none"/>
        </w:rPr>
      </w:pPr>
    </w:p>
    <w:bookmarkEnd w:id="57"/>
    <w:bookmarkEnd w:id="58"/>
    <w:bookmarkEnd w:id="59"/>
    <w:bookmarkEnd w:id="60"/>
    <w:p w14:paraId="6C1DE743">
      <w:pPr>
        <w:pageBreakBefore w:val="0"/>
        <w:widowControl w:val="0"/>
        <w:kinsoku/>
        <w:wordWrap/>
        <w:overflowPunct/>
        <w:topLinePunct w:val="0"/>
        <w:autoSpaceDE/>
        <w:autoSpaceDN/>
        <w:bidi w:val="0"/>
        <w:spacing w:line="360" w:lineRule="auto"/>
        <w:ind w:firstLine="482"/>
        <w:jc w:val="center"/>
        <w:rPr>
          <w:rFonts w:ascii="Times New Roman" w:hAnsi="Times New Roman" w:eastAsia="仿宋_GB2312" w:cs="Times New Roman"/>
          <w:b/>
          <w:bCs/>
          <w:color w:val="auto"/>
          <w:kern w:val="2"/>
          <w:sz w:val="24"/>
          <w:highlight w:val="none"/>
          <w:lang w:val="en-US" w:eastAsia="zh-CN" w:bidi="ar-SA"/>
        </w:rPr>
      </w:pPr>
      <w:r>
        <w:rPr>
          <w:rFonts w:hint="eastAsia" w:ascii="宋体" w:hAnsi="宋体" w:eastAsia="楷体_GB2312" w:cs="宋体"/>
          <w:b/>
          <w:bCs/>
          <w:color w:val="auto"/>
          <w:kern w:val="2"/>
          <w:sz w:val="28"/>
          <w:szCs w:val="21"/>
          <w:highlight w:val="none"/>
          <w:lang w:val="en-US" w:eastAsia="zh-CN" w:bidi="ar-SA"/>
        </w:rPr>
        <w:t>工程量清单</w:t>
      </w:r>
    </w:p>
    <w:p w14:paraId="76C033E7">
      <w:pPr>
        <w:pageBreakBefore w:val="0"/>
        <w:widowControl w:val="0"/>
        <w:kinsoku/>
        <w:wordWrap/>
        <w:overflowPunct/>
        <w:topLinePunct w:val="0"/>
        <w:autoSpaceDE/>
        <w:autoSpaceDN/>
        <w:bidi w:val="0"/>
        <w:spacing w:line="360" w:lineRule="auto"/>
        <w:ind w:firstLine="480"/>
        <w:jc w:val="center"/>
        <w:rPr>
          <w:rFonts w:ascii="Times New Roman" w:hAnsi="Times New Roman" w:eastAsia="仿宋_GB2312" w:cs="Times New Roman"/>
          <w:b/>
          <w:bCs/>
          <w:color w:val="auto"/>
          <w:kern w:val="2"/>
          <w:sz w:val="24"/>
          <w:highlight w:val="none"/>
          <w:lang w:val="en-US" w:eastAsia="zh-CN" w:bidi="ar-SA"/>
        </w:rPr>
      </w:pPr>
    </w:p>
    <w:p w14:paraId="16CA3BED">
      <w:pPr>
        <w:pageBreakBefore w:val="0"/>
        <w:widowControl w:val="0"/>
        <w:kinsoku/>
        <w:wordWrap/>
        <w:overflowPunct/>
        <w:topLinePunct w:val="0"/>
        <w:autoSpaceDE/>
        <w:autoSpaceDN/>
        <w:bidi w:val="0"/>
        <w:spacing w:line="360" w:lineRule="auto"/>
        <w:ind w:firstLine="480"/>
        <w:jc w:val="center"/>
        <w:rPr>
          <w:rFonts w:ascii="Times New Roman" w:hAnsi="Times New Roman" w:eastAsia="仿宋_GB2312" w:cs="Times New Roman"/>
          <w:b/>
          <w:bCs/>
          <w:color w:val="auto"/>
          <w:kern w:val="2"/>
          <w:sz w:val="24"/>
          <w:szCs w:val="24"/>
          <w:highlight w:val="none"/>
          <w:lang w:val="en-US" w:eastAsia="zh-CN" w:bidi="ar-SA"/>
        </w:rPr>
      </w:pPr>
    </w:p>
    <w:p w14:paraId="767E9E96">
      <w:pPr>
        <w:pageBreakBefore w:val="0"/>
        <w:tabs>
          <w:tab w:val="left" w:pos="180"/>
        </w:tabs>
        <w:kinsoku/>
        <w:wordWrap/>
        <w:overflowPunct/>
        <w:topLinePunct w:val="0"/>
        <w:autoSpaceDE/>
        <w:autoSpaceDN/>
        <w:bidi w:val="0"/>
        <w:spacing w:line="360" w:lineRule="auto"/>
        <w:ind w:firstLine="482"/>
        <w:jc w:val="center"/>
        <w:rPr>
          <w:rFonts w:hint="eastAsia" w:ascii="Times New Roman" w:hAnsi="宋体" w:eastAsia="宋体" w:cs="Times New Roman"/>
          <w:bCs/>
          <w:color w:val="auto"/>
          <w:sz w:val="24"/>
          <w:szCs w:val="24"/>
          <w:highlight w:val="none"/>
          <w:lang w:eastAsia="zh-CN"/>
        </w:rPr>
      </w:pPr>
      <w:r>
        <w:rPr>
          <w:rFonts w:hint="eastAsia" w:hAnsi="宋体" w:eastAsia="宋体" w:cs="Times New Roman"/>
          <w:bCs/>
          <w:color w:val="auto"/>
          <w:sz w:val="24"/>
          <w:szCs w:val="24"/>
          <w:highlight w:val="none"/>
          <w:lang w:eastAsia="zh-CN"/>
        </w:rPr>
        <w:t>五里窑闸上游清淤及护坡整治</w:t>
      </w:r>
    </w:p>
    <w:p w14:paraId="20A64879">
      <w:pPr>
        <w:pageBreakBefore w:val="0"/>
        <w:tabs>
          <w:tab w:val="left" w:pos="180"/>
        </w:tabs>
        <w:kinsoku/>
        <w:wordWrap/>
        <w:overflowPunct/>
        <w:topLinePunct w:val="0"/>
        <w:autoSpaceDE/>
        <w:autoSpaceDN/>
        <w:bidi w:val="0"/>
        <w:spacing w:line="360" w:lineRule="auto"/>
        <w:ind w:firstLine="482"/>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工  程  量  清  单</w:t>
      </w:r>
    </w:p>
    <w:p w14:paraId="6DAF289A">
      <w:pPr>
        <w:pageBreakBefore w:val="0"/>
        <w:tabs>
          <w:tab w:val="left" w:pos="180"/>
        </w:tabs>
        <w:kinsoku/>
        <w:wordWrap/>
        <w:overflowPunct/>
        <w:topLinePunct w:val="0"/>
        <w:autoSpaceDE/>
        <w:autoSpaceDN/>
        <w:bidi w:val="0"/>
        <w:spacing w:line="360" w:lineRule="auto"/>
        <w:ind w:firstLine="482"/>
        <w:jc w:val="left"/>
        <w:rPr>
          <w:rFonts w:hint="eastAsia" w:ascii="宋体" w:hAnsi="宋体" w:eastAsia="宋体" w:cs="宋体"/>
          <w:color w:val="auto"/>
          <w:sz w:val="24"/>
          <w:szCs w:val="24"/>
          <w:highlight w:val="none"/>
        </w:rPr>
      </w:pPr>
    </w:p>
    <w:p w14:paraId="183AC4BE">
      <w:pPr>
        <w:pageBreakBefore w:val="0"/>
        <w:tabs>
          <w:tab w:val="left" w:pos="180"/>
        </w:tabs>
        <w:kinsoku/>
        <w:wordWrap/>
        <w:overflowPunct/>
        <w:topLinePunct w:val="0"/>
        <w:autoSpaceDE/>
        <w:autoSpaceDN/>
        <w:bidi w:val="0"/>
        <w:spacing w:line="360" w:lineRule="auto"/>
        <w:ind w:firstLine="482"/>
        <w:jc w:val="left"/>
        <w:rPr>
          <w:rFonts w:hint="eastAsia" w:ascii="宋体" w:hAnsi="宋体" w:eastAsia="宋体" w:cs="宋体"/>
          <w:color w:val="auto"/>
          <w:sz w:val="24"/>
          <w:szCs w:val="24"/>
          <w:highlight w:val="none"/>
        </w:rPr>
      </w:pPr>
    </w:p>
    <w:p w14:paraId="2E7156B4">
      <w:pPr>
        <w:pageBreakBefore w:val="0"/>
        <w:tabs>
          <w:tab w:val="left" w:pos="180"/>
          <w:tab w:val="left" w:pos="6660"/>
          <w:tab w:val="left" w:pos="7020"/>
        </w:tabs>
        <w:kinsoku/>
        <w:wordWrap/>
        <w:overflowPunct/>
        <w:topLinePunct w:val="0"/>
        <w:autoSpaceDE/>
        <w:autoSpaceDN/>
        <w:bidi w:val="0"/>
        <w:spacing w:line="360" w:lineRule="auto"/>
        <w:ind w:firstLine="482"/>
        <w:rPr>
          <w:rFonts w:hint="eastAsia" w:ascii="宋体" w:hAnsi="宋体" w:eastAsia="宋体" w:cs="宋体"/>
          <w:color w:val="auto"/>
          <w:sz w:val="24"/>
          <w:szCs w:val="24"/>
          <w:highlight w:val="none"/>
        </w:rPr>
      </w:pPr>
    </w:p>
    <w:p w14:paraId="3CA959DE">
      <w:pPr>
        <w:pageBreakBefore w:val="0"/>
        <w:tabs>
          <w:tab w:val="left" w:pos="180"/>
          <w:tab w:val="left" w:pos="6660"/>
          <w:tab w:val="left" w:pos="7020"/>
        </w:tabs>
        <w:kinsoku/>
        <w:wordWrap/>
        <w:overflowPunct/>
        <w:topLinePunct w:val="0"/>
        <w:autoSpaceDE/>
        <w:autoSpaceDN/>
        <w:bidi w:val="0"/>
        <w:spacing w:line="360" w:lineRule="auto"/>
        <w:ind w:firstLine="482"/>
        <w:rPr>
          <w:rFonts w:hint="eastAsia" w:ascii="宋体" w:hAnsi="宋体" w:eastAsia="宋体" w:cs="宋体"/>
          <w:snapToGrid w:val="0"/>
          <w:color w:val="auto"/>
          <w:sz w:val="24"/>
          <w:szCs w:val="24"/>
          <w:highlight w:val="none"/>
        </w:rPr>
      </w:pPr>
    </w:p>
    <w:p w14:paraId="5D1F3E75">
      <w:pPr>
        <w:pageBreakBefore w:val="0"/>
        <w:tabs>
          <w:tab w:val="left" w:pos="180"/>
          <w:tab w:val="left" w:pos="6660"/>
          <w:tab w:val="left" w:pos="7020"/>
        </w:tabs>
        <w:kinsoku/>
        <w:wordWrap/>
        <w:overflowPunct/>
        <w:topLinePunct w:val="0"/>
        <w:autoSpaceDE/>
        <w:autoSpaceDN/>
        <w:bidi w:val="0"/>
        <w:spacing w:line="360" w:lineRule="auto"/>
        <w:ind w:firstLine="482"/>
        <w:rPr>
          <w:rFonts w:hint="eastAsia" w:ascii="宋体" w:hAnsi="宋体" w:eastAsia="宋体" w:cs="宋体"/>
          <w:snapToGrid w:val="0"/>
          <w:color w:val="auto"/>
          <w:sz w:val="24"/>
          <w:szCs w:val="24"/>
          <w:highlight w:val="none"/>
        </w:rPr>
      </w:pPr>
    </w:p>
    <w:p w14:paraId="034A4FED">
      <w:pPr>
        <w:pageBreakBefore w:val="0"/>
        <w:tabs>
          <w:tab w:val="left" w:pos="180"/>
          <w:tab w:val="left" w:pos="6660"/>
          <w:tab w:val="left" w:pos="7020"/>
        </w:tabs>
        <w:kinsoku/>
        <w:wordWrap/>
        <w:overflowPunct/>
        <w:topLinePunct w:val="0"/>
        <w:autoSpaceDE/>
        <w:autoSpaceDN/>
        <w:bidi w:val="0"/>
        <w:spacing w:line="360" w:lineRule="auto"/>
        <w:ind w:firstLine="720" w:firstLineChars="300"/>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供 应 商</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(单位签字盖章)</w:t>
      </w:r>
    </w:p>
    <w:p w14:paraId="34924E9E">
      <w:pPr>
        <w:pageBreakBefore w:val="0"/>
        <w:tabs>
          <w:tab w:val="left" w:pos="180"/>
        </w:tabs>
        <w:kinsoku/>
        <w:wordWrap/>
        <w:overflowPunct/>
        <w:topLinePunct w:val="0"/>
        <w:autoSpaceDE/>
        <w:autoSpaceDN/>
        <w:bidi w:val="0"/>
        <w:spacing w:line="360" w:lineRule="auto"/>
        <w:ind w:firstLine="1680" w:firstLineChars="700"/>
        <w:jc w:val="left"/>
        <w:rPr>
          <w:rFonts w:hint="eastAsia" w:ascii="宋体" w:hAnsi="宋体" w:eastAsia="宋体" w:cs="宋体"/>
          <w:snapToGrid w:val="0"/>
          <w:color w:val="auto"/>
          <w:sz w:val="24"/>
          <w:szCs w:val="24"/>
          <w:highlight w:val="none"/>
        </w:rPr>
      </w:pPr>
    </w:p>
    <w:p w14:paraId="2510C4D2">
      <w:pPr>
        <w:pageBreakBefore w:val="0"/>
        <w:tabs>
          <w:tab w:val="left" w:pos="180"/>
        </w:tabs>
        <w:kinsoku/>
        <w:wordWrap/>
        <w:overflowPunct/>
        <w:topLinePunct w:val="0"/>
        <w:autoSpaceDE/>
        <w:autoSpaceDN/>
        <w:bidi w:val="0"/>
        <w:spacing w:line="360" w:lineRule="auto"/>
        <w:ind w:firstLine="482"/>
        <w:jc w:val="left"/>
        <w:rPr>
          <w:rFonts w:hint="eastAsia" w:ascii="宋体" w:hAnsi="宋体" w:eastAsia="宋体" w:cs="宋体"/>
          <w:snapToGrid w:val="0"/>
          <w:color w:val="auto"/>
          <w:sz w:val="24"/>
          <w:szCs w:val="24"/>
          <w:highlight w:val="none"/>
        </w:rPr>
      </w:pPr>
    </w:p>
    <w:p w14:paraId="3D2F6EEB">
      <w:pPr>
        <w:pageBreakBefore w:val="0"/>
        <w:tabs>
          <w:tab w:val="left" w:pos="180"/>
          <w:tab w:val="left" w:pos="7020"/>
        </w:tabs>
        <w:kinsoku/>
        <w:wordWrap/>
        <w:overflowPunct/>
        <w:topLinePunct w:val="0"/>
        <w:autoSpaceDE/>
        <w:autoSpaceDN/>
        <w:bidi w:val="0"/>
        <w:spacing w:line="360" w:lineRule="auto"/>
        <w:ind w:firstLine="720" w:firstLineChars="300"/>
        <w:jc w:val="left"/>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法 定 代 表 人</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(签字盖章)</w:t>
      </w:r>
    </w:p>
    <w:p w14:paraId="7DFE6623">
      <w:pPr>
        <w:pageBreakBefore w:val="0"/>
        <w:tabs>
          <w:tab w:val="left" w:pos="180"/>
        </w:tabs>
        <w:kinsoku/>
        <w:wordWrap/>
        <w:overflowPunct/>
        <w:topLinePunct w:val="0"/>
        <w:autoSpaceDE/>
        <w:autoSpaceDN/>
        <w:bidi w:val="0"/>
        <w:spacing w:line="360" w:lineRule="auto"/>
        <w:ind w:firstLine="482"/>
        <w:jc w:val="left"/>
        <w:rPr>
          <w:rFonts w:hint="eastAsia" w:ascii="宋体" w:hAnsi="宋体" w:eastAsia="宋体" w:cs="宋体"/>
          <w:snapToGrid w:val="0"/>
          <w:color w:val="auto"/>
          <w:sz w:val="24"/>
          <w:szCs w:val="24"/>
          <w:highlight w:val="none"/>
        </w:rPr>
      </w:pPr>
    </w:p>
    <w:p w14:paraId="22D1DF75">
      <w:pPr>
        <w:pageBreakBefore w:val="0"/>
        <w:tabs>
          <w:tab w:val="left" w:pos="180"/>
        </w:tabs>
        <w:kinsoku/>
        <w:wordWrap/>
        <w:overflowPunct/>
        <w:topLinePunct w:val="0"/>
        <w:autoSpaceDE/>
        <w:autoSpaceDN/>
        <w:bidi w:val="0"/>
        <w:spacing w:line="360" w:lineRule="auto"/>
        <w:ind w:firstLine="482"/>
        <w:jc w:val="left"/>
        <w:rPr>
          <w:rFonts w:hint="eastAsia" w:ascii="宋体" w:hAnsi="宋体" w:eastAsia="宋体" w:cs="宋体"/>
          <w:snapToGrid w:val="0"/>
          <w:color w:val="auto"/>
          <w:sz w:val="24"/>
          <w:szCs w:val="24"/>
          <w:highlight w:val="none"/>
        </w:rPr>
      </w:pPr>
    </w:p>
    <w:p w14:paraId="48A323DB">
      <w:pPr>
        <w:pageBreakBefore w:val="0"/>
        <w:tabs>
          <w:tab w:val="left" w:pos="180"/>
        </w:tabs>
        <w:kinsoku/>
        <w:wordWrap/>
        <w:overflowPunct/>
        <w:topLinePunct w:val="0"/>
        <w:autoSpaceDE/>
        <w:autoSpaceDN/>
        <w:bidi w:val="0"/>
        <w:spacing w:line="360" w:lineRule="auto"/>
        <w:ind w:firstLine="482"/>
        <w:jc w:val="left"/>
        <w:rPr>
          <w:rFonts w:hint="eastAsia" w:ascii="宋体" w:hAnsi="宋体" w:eastAsia="宋体" w:cs="宋体"/>
          <w:snapToGrid w:val="0"/>
          <w:color w:val="auto"/>
          <w:sz w:val="24"/>
          <w:szCs w:val="24"/>
          <w:highlight w:val="none"/>
        </w:rPr>
      </w:pPr>
    </w:p>
    <w:p w14:paraId="04AE3958">
      <w:pPr>
        <w:pageBreakBefore w:val="0"/>
        <w:kinsoku/>
        <w:wordWrap/>
        <w:overflowPunct/>
        <w:topLinePunct w:val="0"/>
        <w:autoSpaceDE/>
        <w:autoSpaceDN/>
        <w:bidi w:val="0"/>
        <w:spacing w:line="360" w:lineRule="auto"/>
        <w:ind w:firstLine="720" w:firstLineChars="300"/>
        <w:rPr>
          <w:rFonts w:hint="eastAsia" w:ascii="宋体" w:hAnsi="宋体" w:eastAsia="宋体" w:cs="宋体"/>
          <w:color w:val="auto"/>
          <w:kern w:val="44"/>
          <w:sz w:val="24"/>
          <w:szCs w:val="24"/>
          <w:highlight w:val="none"/>
        </w:rPr>
      </w:pPr>
      <w:r>
        <w:rPr>
          <w:rFonts w:hint="eastAsia" w:ascii="宋体" w:hAnsi="宋体" w:eastAsia="宋体" w:cs="宋体"/>
          <w:snapToGrid w:val="0"/>
          <w:color w:val="auto"/>
          <w:sz w:val="24"/>
          <w:szCs w:val="24"/>
          <w:highlight w:val="none"/>
        </w:rPr>
        <w:t>编  制  时  间</w:t>
      </w:r>
      <w:r>
        <w:rPr>
          <w:rFonts w:hint="eastAsia" w:ascii="宋体" w:hAnsi="宋体" w:eastAsia="宋体" w:cs="宋体"/>
          <w:snapToGrid w:val="0"/>
          <w:color w:val="auto"/>
          <w:sz w:val="24"/>
          <w:szCs w:val="24"/>
          <w:highlight w:val="none"/>
          <w:lang w:eastAsia="zh-CN"/>
        </w:rPr>
        <w:t>：</w:t>
      </w:r>
    </w:p>
    <w:p w14:paraId="67289E29">
      <w:pPr>
        <w:keepNext/>
        <w:keepLines/>
        <w:pageBreakBefore w:val="0"/>
        <w:widowControl w:val="0"/>
        <w:kinsoku/>
        <w:wordWrap/>
        <w:overflowPunct/>
        <w:topLinePunct w:val="0"/>
        <w:autoSpaceDE/>
        <w:autoSpaceDN/>
        <w:bidi w:val="0"/>
        <w:spacing w:before="177" w:beforeLines="50" w:after="260" w:line="360" w:lineRule="auto"/>
        <w:ind w:firstLine="480"/>
        <w:jc w:val="center"/>
        <w:outlineLvl w:val="2"/>
        <w:rPr>
          <w:rFonts w:hint="eastAsia" w:ascii="宋体" w:hAnsi="宋体" w:eastAsia="楷体_GB2312" w:cs="宋体"/>
          <w:b/>
          <w:bCs/>
          <w:color w:val="auto"/>
          <w:kern w:val="2"/>
          <w:sz w:val="24"/>
          <w:szCs w:val="24"/>
          <w:highlight w:val="none"/>
          <w:lang w:val="en-US" w:eastAsia="zh-CN" w:bidi="ar-SA"/>
        </w:rPr>
      </w:pPr>
      <w:r>
        <w:rPr>
          <w:rFonts w:hint="eastAsia" w:ascii="宋体" w:hAnsi="宋体" w:eastAsia="楷体_GB2312" w:cs="宋体"/>
          <w:b/>
          <w:bCs w:val="0"/>
          <w:color w:val="auto"/>
          <w:kern w:val="2"/>
          <w:sz w:val="24"/>
          <w:szCs w:val="24"/>
          <w:highlight w:val="none"/>
          <w:lang w:val="en-US" w:eastAsia="zh-CN" w:bidi="ar-SA"/>
        </w:rPr>
        <w:br w:type="page"/>
      </w:r>
      <w:r>
        <w:rPr>
          <w:rFonts w:hint="eastAsia" w:ascii="宋体" w:hAnsi="宋体" w:eastAsia="楷体_GB2312" w:cs="宋体"/>
          <w:b/>
          <w:bCs/>
          <w:color w:val="auto"/>
          <w:kern w:val="2"/>
          <w:sz w:val="24"/>
          <w:szCs w:val="24"/>
          <w:highlight w:val="none"/>
          <w:lang w:val="en-US" w:eastAsia="zh-CN" w:bidi="ar-SA"/>
        </w:rPr>
        <w:t>工程量清单编制说明及投标报价要求</w:t>
      </w:r>
    </w:p>
    <w:p w14:paraId="0E230676">
      <w:pPr>
        <w:pageBreakBefore w:val="0"/>
        <w:kinsoku/>
        <w:wordWrap/>
        <w:overflowPunct/>
        <w:topLinePunct w:val="0"/>
        <w:autoSpaceDE/>
        <w:autoSpaceDN/>
        <w:bidi w:val="0"/>
        <w:spacing w:line="360" w:lineRule="auto"/>
        <w:ind w:firstLine="482"/>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工程名称：</w:t>
      </w:r>
      <w:r>
        <w:rPr>
          <w:rFonts w:hint="eastAsia" w:eastAsia="宋体" w:cs="Times New Roman"/>
          <w:color w:val="auto"/>
          <w:sz w:val="24"/>
          <w:szCs w:val="22"/>
          <w:highlight w:val="none"/>
          <w:lang w:eastAsia="zh-CN"/>
        </w:rPr>
        <w:t>五里窑闸上游清淤及护坡整治</w:t>
      </w:r>
    </w:p>
    <w:p w14:paraId="4563737F">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eastAsia="zh-CN"/>
        </w:rPr>
      </w:pPr>
      <w:r>
        <w:rPr>
          <w:rFonts w:hint="default" w:eastAsia="宋体" w:cs="Times New Roman"/>
          <w:color w:val="auto"/>
          <w:sz w:val="24"/>
          <w:szCs w:val="22"/>
          <w:highlight w:val="none"/>
          <w:lang w:val="en-US" w:eastAsia="zh-CN"/>
        </w:rPr>
        <w:t xml:space="preserve">1.1 </w:t>
      </w:r>
      <w:r>
        <w:rPr>
          <w:rFonts w:hint="eastAsia" w:eastAsia="宋体" w:cs="Times New Roman"/>
          <w:color w:val="auto"/>
          <w:sz w:val="24"/>
          <w:szCs w:val="22"/>
          <w:highlight w:val="none"/>
          <w:lang w:val="en-US" w:eastAsia="zh-CN"/>
        </w:rPr>
        <w:t xml:space="preserve">工程量清单应与招标文件中的投标人须知、通用合同条款、专用合同条款、技术标准和招标图纸等一起阅读和理解。 </w:t>
      </w:r>
    </w:p>
    <w:p w14:paraId="27EA3451">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eastAsia="zh-CN"/>
        </w:rPr>
      </w:pPr>
      <w:r>
        <w:rPr>
          <w:rFonts w:hint="eastAsia" w:eastAsia="宋体" w:cs="Times New Roman"/>
          <w:color w:val="auto"/>
          <w:sz w:val="24"/>
          <w:szCs w:val="22"/>
          <w:highlight w:val="none"/>
          <w:lang w:val="en-US" w:eastAsia="zh-CN"/>
        </w:rPr>
        <w:t xml:space="preserve">本工程量清单是根据招标文件中包括的、有合同约束力的图纸以及有关工程量清单的国 </w:t>
      </w:r>
    </w:p>
    <w:p w14:paraId="40CACE22">
      <w:pPr>
        <w:pageBreakBefore w:val="0"/>
        <w:kinsoku/>
        <w:wordWrap/>
        <w:overflowPunct/>
        <w:topLinePunct w:val="0"/>
        <w:autoSpaceDE/>
        <w:autoSpaceDN/>
        <w:bidi w:val="0"/>
        <w:spacing w:line="360" w:lineRule="auto"/>
        <w:jc w:val="left"/>
        <w:rPr>
          <w:rFonts w:hint="eastAsia" w:eastAsia="宋体" w:cs="Times New Roman"/>
          <w:color w:val="auto"/>
          <w:sz w:val="24"/>
          <w:szCs w:val="22"/>
          <w:highlight w:val="none"/>
          <w:lang w:eastAsia="zh-CN"/>
        </w:rPr>
      </w:pPr>
      <w:r>
        <w:rPr>
          <w:rFonts w:hint="eastAsia" w:eastAsia="宋体" w:cs="Times New Roman"/>
          <w:color w:val="auto"/>
          <w:sz w:val="24"/>
          <w:szCs w:val="22"/>
          <w:highlight w:val="none"/>
          <w:lang w:val="en-US" w:eastAsia="zh-CN"/>
        </w:rPr>
        <w:t xml:space="preserve">家标准、行业标准、合同条款中约定的清单工程量计算规则编制。计量采用中华人民共和国法定计量单位。 </w:t>
      </w:r>
    </w:p>
    <w:p w14:paraId="157891CD">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eastAsia="zh-CN"/>
        </w:rPr>
      </w:pPr>
      <w:r>
        <w:rPr>
          <w:rFonts w:hint="default" w:eastAsia="宋体" w:cs="Times New Roman"/>
          <w:color w:val="auto"/>
          <w:sz w:val="24"/>
          <w:szCs w:val="22"/>
          <w:highlight w:val="none"/>
          <w:lang w:val="en-US" w:eastAsia="zh-CN"/>
        </w:rPr>
        <w:t xml:space="preserve">1.2 </w:t>
      </w:r>
      <w:r>
        <w:rPr>
          <w:rFonts w:hint="eastAsia" w:eastAsia="宋体" w:cs="Times New Roman"/>
          <w:color w:val="auto"/>
          <w:sz w:val="24"/>
          <w:szCs w:val="22"/>
          <w:highlight w:val="none"/>
          <w:lang w:val="en-US" w:eastAsia="zh-CN"/>
        </w:rPr>
        <w:t xml:space="preserve">工程量清单中的工程量是根据招标设计图纸计算的估算工程量或设计的预计数量，仅作为投标报价的共同基础，不作为最终结算与支付的依据。最终结算工程量是承包人实际完成并符合技术标准规定，按施工图纸、合同规定的计量方法计算或按工程师指示完成并经认可的有效工程量。 </w:t>
      </w:r>
    </w:p>
    <w:p w14:paraId="78C5DBC3">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eastAsia="zh-CN"/>
        </w:rPr>
      </w:pPr>
      <w:r>
        <w:rPr>
          <w:rFonts w:hint="default" w:eastAsia="宋体" w:cs="Times New Roman"/>
          <w:color w:val="auto"/>
          <w:sz w:val="24"/>
          <w:szCs w:val="22"/>
          <w:highlight w:val="none"/>
          <w:lang w:val="en-US" w:eastAsia="zh-CN"/>
        </w:rPr>
        <w:t xml:space="preserve">1.3 </w:t>
      </w:r>
      <w:r>
        <w:rPr>
          <w:rFonts w:hint="eastAsia" w:eastAsia="宋体" w:cs="Times New Roman"/>
          <w:color w:val="auto"/>
          <w:sz w:val="24"/>
          <w:szCs w:val="22"/>
          <w:highlight w:val="none"/>
          <w:lang w:val="en-US" w:eastAsia="zh-CN"/>
        </w:rPr>
        <w:t xml:space="preserve">图纸中所列的工程数量表及数量汇总表仅是提供资料，不是工程量清单的外延。当图纸与工程量清单所列数量不一致时，以工程量清单所列数量作为报价的依据。 </w:t>
      </w:r>
    </w:p>
    <w:p w14:paraId="7394FB47">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eastAsia="zh-CN"/>
        </w:rPr>
      </w:pPr>
      <w:r>
        <w:rPr>
          <w:rFonts w:hint="default" w:eastAsia="宋体" w:cs="Times New Roman"/>
          <w:color w:val="auto"/>
          <w:sz w:val="24"/>
          <w:szCs w:val="22"/>
          <w:highlight w:val="none"/>
          <w:lang w:val="en-US" w:eastAsia="zh-CN"/>
        </w:rPr>
        <w:t xml:space="preserve">1.4 </w:t>
      </w:r>
      <w:r>
        <w:rPr>
          <w:rFonts w:hint="eastAsia" w:eastAsia="宋体" w:cs="Times New Roman"/>
          <w:color w:val="auto"/>
          <w:sz w:val="24"/>
          <w:szCs w:val="22"/>
          <w:highlight w:val="none"/>
          <w:lang w:val="en-US" w:eastAsia="zh-CN"/>
        </w:rPr>
        <w:t xml:space="preserve">本次工程施工范围的确定 </w:t>
      </w:r>
    </w:p>
    <w:p w14:paraId="2E1F8D3A">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val="en-US" w:eastAsia="zh-CN"/>
        </w:rPr>
      </w:pPr>
      <w:r>
        <w:rPr>
          <w:rFonts w:hint="eastAsia" w:eastAsia="宋体" w:cs="Times New Roman"/>
          <w:color w:val="auto"/>
          <w:sz w:val="24"/>
          <w:szCs w:val="22"/>
          <w:highlight w:val="none"/>
          <w:lang w:val="en-US" w:eastAsia="zh-CN"/>
        </w:rPr>
        <w:t xml:space="preserve">本次设计的主要内容为：护岸整理；河道清淤；护坡加固；坎墙砌筑；拦河索两岸固定墩浇筑；水政警示标牌增设。 </w:t>
      </w:r>
    </w:p>
    <w:p w14:paraId="63570D5F">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val="en-US" w:eastAsia="zh-CN"/>
        </w:rPr>
      </w:pPr>
      <w:r>
        <w:rPr>
          <w:rFonts w:hint="eastAsia" w:eastAsia="宋体" w:cs="Times New Roman"/>
          <w:color w:val="auto"/>
          <w:sz w:val="24"/>
          <w:szCs w:val="22"/>
          <w:highlight w:val="none"/>
          <w:lang w:val="en-US" w:eastAsia="zh-CN"/>
        </w:rPr>
        <w:t>1. 上游两岸堤顶场地整理：上闸首西南侧空地可作为工程的临时施工场地，该区域的尺寸为 814m</w:t>
      </w:r>
      <w:r>
        <w:rPr>
          <w:rFonts w:hint="eastAsia" w:eastAsia="宋体" w:cs="Times New Roman"/>
          <w:color w:val="auto"/>
          <w:sz w:val="24"/>
          <w:szCs w:val="22"/>
          <w:highlight w:val="none"/>
          <w:vertAlign w:val="superscript"/>
          <w:lang w:val="en-US" w:eastAsia="zh-CN"/>
        </w:rPr>
        <w:t>2</w:t>
      </w:r>
      <w:r>
        <w:rPr>
          <w:rFonts w:hint="eastAsia" w:eastAsia="宋体" w:cs="Times New Roman"/>
          <w:color w:val="auto"/>
          <w:sz w:val="24"/>
          <w:szCs w:val="22"/>
          <w:highlight w:val="none"/>
          <w:lang w:val="en-US" w:eastAsia="zh-CN"/>
        </w:rPr>
        <w:t xml:space="preserve">。 </w:t>
      </w:r>
    </w:p>
    <w:p w14:paraId="321A819E">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val="en-US" w:eastAsia="zh-CN"/>
        </w:rPr>
      </w:pPr>
      <w:r>
        <w:rPr>
          <w:rFonts w:hint="eastAsia" w:eastAsia="宋体" w:cs="Times New Roman"/>
          <w:color w:val="auto"/>
          <w:sz w:val="24"/>
          <w:szCs w:val="22"/>
          <w:highlight w:val="none"/>
          <w:lang w:val="en-US" w:eastAsia="zh-CN"/>
        </w:rPr>
        <w:t xml:space="preserve">2. 本次上游护坡的整治范围为：上闸首边线至河口外 85.00 米。其中右岸河道清淤及护坡加固为上闸首边线外 23.00米至河口外85.00 米，共计62.00米的范围；左岸河道清淤及护坡加固为上闸首边线外23.00 米至河口外85.00米，共计62.00米的范围。 </w:t>
      </w:r>
    </w:p>
    <w:p w14:paraId="56608A1E">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val="en-US" w:eastAsia="zh-CN"/>
        </w:rPr>
      </w:pPr>
      <w:r>
        <w:rPr>
          <w:rFonts w:hint="eastAsia" w:eastAsia="宋体" w:cs="Times New Roman"/>
          <w:color w:val="auto"/>
          <w:sz w:val="24"/>
          <w:szCs w:val="22"/>
          <w:highlight w:val="none"/>
          <w:lang w:val="en-US" w:eastAsia="zh-CN"/>
        </w:rPr>
        <w:t>3. 坎墙砌筑：连锁块护坡顶设置坎墙，墙宽0.48米，详细尺寸见图纸。</w:t>
      </w:r>
    </w:p>
    <w:p w14:paraId="3A6A3E8C">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val="en-US" w:eastAsia="zh-CN"/>
        </w:rPr>
      </w:pPr>
      <w:r>
        <w:rPr>
          <w:rFonts w:hint="eastAsia" w:eastAsia="宋体" w:cs="Times New Roman"/>
          <w:color w:val="auto"/>
          <w:sz w:val="24"/>
          <w:szCs w:val="22"/>
          <w:highlight w:val="none"/>
          <w:lang w:val="en-US" w:eastAsia="zh-CN"/>
        </w:rPr>
        <w:t>4. 拦河索两岸固定墩浇筑、水政警示标牌增设：细部尺寸详见图纸。</w:t>
      </w:r>
    </w:p>
    <w:p w14:paraId="014035D1">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val="en-US" w:eastAsia="zh-CN"/>
        </w:rPr>
      </w:pPr>
      <w:r>
        <w:rPr>
          <w:rFonts w:hint="eastAsia" w:eastAsia="宋体" w:cs="Times New Roman"/>
          <w:color w:val="auto"/>
          <w:sz w:val="24"/>
          <w:szCs w:val="22"/>
          <w:highlight w:val="none"/>
          <w:lang w:val="en-US" w:eastAsia="zh-CN"/>
        </w:rPr>
        <w:t xml:space="preserve">5. 上述建筑物的土方平衡统筹考量，运距由施工单位自行考虑。 </w:t>
      </w:r>
    </w:p>
    <w:p w14:paraId="031C9551">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val="en-US" w:eastAsia="zh-CN"/>
        </w:rPr>
      </w:pPr>
      <w:r>
        <w:rPr>
          <w:rFonts w:hint="eastAsia" w:eastAsia="宋体" w:cs="Times New Roman"/>
          <w:color w:val="auto"/>
          <w:sz w:val="24"/>
          <w:szCs w:val="22"/>
          <w:highlight w:val="none"/>
          <w:lang w:val="en-US" w:eastAsia="zh-CN"/>
        </w:rPr>
        <w:t xml:space="preserve">1.5 工程量清单中各项目的工作内容和要求应同时符合《水利工程工程量清单计价规范》（GB 50501-2007）和相关技术条款的规定等。 </w:t>
      </w:r>
    </w:p>
    <w:p w14:paraId="6C1B29AE">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eastAsia="zh-CN"/>
        </w:rPr>
      </w:pPr>
      <w:r>
        <w:rPr>
          <w:rFonts w:hint="eastAsia" w:eastAsia="宋体" w:cs="Times New Roman"/>
          <w:color w:val="auto"/>
          <w:sz w:val="24"/>
          <w:szCs w:val="22"/>
          <w:highlight w:val="none"/>
          <w:lang w:val="en-US" w:eastAsia="zh-CN"/>
        </w:rPr>
        <w:t xml:space="preserve">1.6 建筑物拆除后的废渣由承包人自行妥善处置，废渣处置的场地应遵循招标人或工程师要求，由承包人考虑和落实，相关工作应符合环保部门的要求，所有费用包含在拆除工程的投标报价中。拆除的设备、电缆等做好保护工作，需运送至发包人指定地点，财产属发包人所有。 </w:t>
      </w:r>
    </w:p>
    <w:p w14:paraId="553C0AF4">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eastAsia="zh-CN"/>
        </w:rPr>
      </w:pPr>
      <w:r>
        <w:rPr>
          <w:rFonts w:hint="default" w:eastAsia="宋体" w:cs="Times New Roman"/>
          <w:color w:val="auto"/>
          <w:sz w:val="24"/>
          <w:szCs w:val="22"/>
          <w:highlight w:val="none"/>
          <w:lang w:val="en-US" w:eastAsia="zh-CN"/>
        </w:rPr>
        <w:t xml:space="preserve">1.7 </w:t>
      </w:r>
      <w:r>
        <w:rPr>
          <w:rFonts w:hint="eastAsia" w:eastAsia="宋体" w:cs="Times New Roman"/>
          <w:color w:val="auto"/>
          <w:sz w:val="24"/>
          <w:szCs w:val="22"/>
          <w:highlight w:val="none"/>
          <w:lang w:val="en-US" w:eastAsia="zh-CN"/>
        </w:rPr>
        <w:t>安全文明措施费计费标准为建筑安装工程的 2.5%，其余未尽事宜可参见《省水利厅关于调整〈江苏省水利工程概（估）算，编制规定（2017 年修订版）〉安全文明措施费计费标准的通知》（苏水基〔2023〕8 号）。</w:t>
      </w:r>
    </w:p>
    <w:p w14:paraId="2A76A32B">
      <w:pPr>
        <w:pageBreakBefore w:val="0"/>
        <w:kinsoku/>
        <w:wordWrap/>
        <w:overflowPunct/>
        <w:topLinePunct w:val="0"/>
        <w:autoSpaceDE/>
        <w:autoSpaceDN/>
        <w:bidi w:val="0"/>
        <w:spacing w:line="360" w:lineRule="auto"/>
        <w:ind w:firstLine="482"/>
        <w:jc w:val="left"/>
        <w:rPr>
          <w:rFonts w:hint="eastAsia" w:eastAsia="宋体" w:cs="Times New Roman"/>
          <w:b/>
          <w:bCs/>
          <w:color w:val="auto"/>
          <w:sz w:val="24"/>
          <w:szCs w:val="22"/>
          <w:highlight w:val="none"/>
          <w:lang w:val="en-US" w:eastAsia="zh-CN"/>
        </w:rPr>
      </w:pPr>
      <w:r>
        <w:rPr>
          <w:rFonts w:hint="eastAsia" w:eastAsia="宋体" w:cs="Times New Roman"/>
          <w:b/>
          <w:bCs/>
          <w:color w:val="auto"/>
          <w:sz w:val="24"/>
          <w:szCs w:val="22"/>
          <w:highlight w:val="none"/>
          <w:lang w:val="en-US" w:eastAsia="zh-CN"/>
        </w:rPr>
        <w:t>另附工程量清单及图纸。</w:t>
      </w:r>
    </w:p>
    <w:p w14:paraId="336C962A">
      <w:pPr>
        <w:spacing w:line="360" w:lineRule="auto"/>
        <w:ind w:firstLine="482" w:firstLineChars="200"/>
        <w:rPr>
          <w:rFonts w:hint="eastAsia" w:ascii="宋体" w:hAnsi="宋体" w:eastAsia="宋体" w:cs="宋体"/>
          <w:b/>
          <w:bCs/>
          <w:color w:val="auto"/>
          <w:sz w:val="24"/>
          <w:szCs w:val="24"/>
          <w:highlight w:val="none"/>
        </w:rPr>
      </w:pPr>
    </w:p>
    <w:p w14:paraId="315578E8">
      <w:pPr>
        <w:rPr>
          <w:rFonts w:hint="eastAsia"/>
          <w:color w:val="auto"/>
          <w:highlight w:val="none"/>
          <w:lang w:val="en-US" w:eastAsia="zh-CN"/>
        </w:rPr>
      </w:pPr>
    </w:p>
    <w:p w14:paraId="3B5BB0DE">
      <w:pPr>
        <w:rPr>
          <w:rFonts w:hint="eastAsia"/>
          <w:color w:val="auto"/>
          <w:highlight w:val="none"/>
          <w:lang w:val="en-US" w:eastAsia="zh-CN"/>
        </w:rPr>
      </w:pPr>
      <w:r>
        <w:rPr>
          <w:rFonts w:hint="eastAsia" w:ascii="Times New Roman" w:eastAsia="楷体_GB2312"/>
          <w:color w:val="auto"/>
          <w:highlight w:val="none"/>
          <w:lang w:val="en-US" w:eastAsia="zh-CN"/>
        </w:rPr>
        <w:br w:type="page"/>
      </w:r>
    </w:p>
    <w:p w14:paraId="0BE42E6D">
      <w:pPr>
        <w:pStyle w:val="2"/>
        <w:keepNext/>
        <w:keepLines/>
        <w:pageBreakBefore w:val="0"/>
        <w:widowControl w:val="0"/>
        <w:kinsoku/>
        <w:wordWrap/>
        <w:overflowPunct/>
        <w:topLinePunct w:val="0"/>
        <w:autoSpaceDE/>
        <w:autoSpaceDN/>
        <w:bidi w:val="0"/>
        <w:adjustRightInd/>
        <w:snapToGrid/>
        <w:spacing w:line="360" w:lineRule="auto"/>
        <w:jc w:val="center"/>
        <w:textAlignment w:val="auto"/>
        <w:rPr>
          <w:color w:val="auto"/>
          <w:highlight w:val="none"/>
        </w:rPr>
      </w:pPr>
      <w:bookmarkStart w:id="1748" w:name="_Toc12554"/>
      <w:r>
        <w:rPr>
          <w:rFonts w:hint="eastAsia"/>
          <w:color w:val="auto"/>
          <w:highlight w:val="none"/>
          <w:lang w:val="en-US" w:eastAsia="zh-CN"/>
        </w:rPr>
        <w:t>第四章</w:t>
      </w:r>
      <w:r>
        <w:rPr>
          <w:color w:val="auto"/>
          <w:highlight w:val="none"/>
        </w:rPr>
        <w:t xml:space="preserve"> </w:t>
      </w:r>
      <w:r>
        <w:rPr>
          <w:rFonts w:hint="eastAsia"/>
          <w:color w:val="auto"/>
          <w:highlight w:val="none"/>
          <w:lang w:val="en-US" w:eastAsia="zh-CN"/>
        </w:rPr>
        <w:t xml:space="preserve"> </w:t>
      </w:r>
      <w:r>
        <w:rPr>
          <w:color w:val="auto"/>
          <w:highlight w:val="none"/>
        </w:rPr>
        <w:t>合同主要条款及格式</w:t>
      </w:r>
      <w:bookmarkEnd w:id="1748"/>
    </w:p>
    <w:p w14:paraId="74E6F5A3">
      <w:pPr>
        <w:spacing w:line="360" w:lineRule="auto"/>
        <w:rPr>
          <w:rFonts w:eastAsia="宋体"/>
          <w:bCs/>
          <w:color w:val="auto"/>
          <w:sz w:val="21"/>
          <w:szCs w:val="24"/>
          <w:highlight w:val="none"/>
        </w:rPr>
      </w:pPr>
      <w:r>
        <w:rPr>
          <w:rFonts w:eastAsia="宋体"/>
          <w:bCs/>
          <w:color w:val="auto"/>
          <w:sz w:val="24"/>
          <w:szCs w:val="24"/>
          <w:highlight w:val="none"/>
          <w:u w:val="single"/>
        </w:rPr>
        <w:t>以下为成交后签订本项目合同的通用条款，成交人不得提出实质性的修改，关于专用条款将由采购人与供应商结合本项目具体情况协商后签订</w:t>
      </w:r>
      <w:r>
        <w:rPr>
          <w:rFonts w:eastAsia="宋体"/>
          <w:bCs/>
          <w:color w:val="auto"/>
          <w:sz w:val="24"/>
          <w:szCs w:val="24"/>
          <w:highlight w:val="none"/>
        </w:rPr>
        <w:t>。</w:t>
      </w:r>
    </w:p>
    <w:p w14:paraId="2136B0DB">
      <w:pPr>
        <w:widowControl w:val="0"/>
        <w:jc w:val="center"/>
        <w:rPr>
          <w:rFonts w:ascii="Times New Roman" w:hAnsi="Times New Roman" w:eastAsia="仿宋_GB2312" w:cs="Times New Roman"/>
          <w:bCs/>
          <w:color w:val="auto"/>
          <w:kern w:val="2"/>
          <w:sz w:val="32"/>
          <w:szCs w:val="32"/>
          <w:highlight w:val="none"/>
          <w:lang w:val="en-US" w:eastAsia="zh-CN" w:bidi="ar-SA"/>
        </w:rPr>
      </w:pPr>
      <w:bookmarkStart w:id="1749" w:name="_Toc523141252"/>
      <w:r>
        <w:rPr>
          <w:rFonts w:ascii="Times New Roman" w:hAnsi="Times New Roman" w:eastAsia="华文中宋" w:cs="Times New Roman"/>
          <w:color w:val="auto"/>
          <w:kern w:val="2"/>
          <w:sz w:val="32"/>
          <w:szCs w:val="44"/>
          <w:highlight w:val="none"/>
          <w:lang w:val="en-US" w:eastAsia="zh-CN" w:bidi="ar-SA"/>
        </w:rPr>
        <w:t>第一部分 合同协议书</w:t>
      </w:r>
      <w:bookmarkEnd w:id="1749"/>
    </w:p>
    <w:p w14:paraId="2D05AEFA">
      <w:pPr>
        <w:spacing w:line="360" w:lineRule="auto"/>
        <w:ind w:firstLine="480"/>
        <w:rPr>
          <w:rFonts w:ascii="Times New Roman" w:hAnsi="Times New Roman" w:eastAsia="仿宋_GB2312" w:cs="Times New Roman"/>
          <w:b/>
          <w:color w:val="auto"/>
          <w:szCs w:val="30"/>
          <w:highlight w:val="none"/>
        </w:rPr>
      </w:pPr>
    </w:p>
    <w:p w14:paraId="1FB6B991">
      <w:pPr>
        <w:adjustRightInd w:val="0"/>
        <w:snapToGrid w:val="0"/>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发包人(全称)：</w:t>
      </w:r>
      <w:r>
        <w:rPr>
          <w:rFonts w:hint="eastAsia" w:ascii="宋体" w:hAnsi="宋体" w:eastAsia="宋体" w:cs="Times New Roman"/>
          <w:b/>
          <w:color w:val="auto"/>
          <w:sz w:val="24"/>
          <w:szCs w:val="24"/>
          <w:highlight w:val="none"/>
          <w:u w:val="single"/>
        </w:rPr>
        <w:t xml:space="preserve">                      </w:t>
      </w:r>
      <w:r>
        <w:rPr>
          <w:rFonts w:hint="eastAsia" w:ascii="宋体" w:hAnsi="宋体" w:eastAsia="宋体" w:cs="Times New Roman"/>
          <w:b/>
          <w:bCs/>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（以下简称甲方）</w:t>
      </w:r>
    </w:p>
    <w:p w14:paraId="2B4AC177">
      <w:pPr>
        <w:adjustRightInd w:val="0"/>
        <w:snapToGrid w:val="0"/>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承包人(全称)：</w:t>
      </w:r>
      <w:r>
        <w:rPr>
          <w:rFonts w:hint="eastAsia" w:ascii="宋体" w:hAnsi="宋体" w:eastAsia="宋体" w:cs="Times New Roman"/>
          <w:b/>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（以下简称乙方）</w:t>
      </w:r>
    </w:p>
    <w:p w14:paraId="6C104F2B">
      <w:pPr>
        <w:adjustRightInd w:val="0"/>
        <w:snapToGrid w:val="0"/>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根据《中华人民共和国民法典》及有关法律规定，遵循平等、自愿、公平和诚实信用的原则，双方就</w:t>
      </w:r>
      <w:r>
        <w:rPr>
          <w:rFonts w:hint="eastAsia" w:ascii="宋体" w:hAnsi="宋体" w:eastAsia="宋体" w:cs="Times New Roman"/>
          <w:b/>
          <w:color w:val="auto"/>
          <w:sz w:val="24"/>
          <w:szCs w:val="24"/>
          <w:highlight w:val="none"/>
          <w:u w:val="single"/>
        </w:rPr>
        <w:t xml:space="preserve">                    </w:t>
      </w:r>
      <w:r>
        <w:rPr>
          <w:rFonts w:hint="eastAsia" w:ascii="宋体" w:hAnsi="宋体" w:eastAsia="宋体" w:cs="Times New Roman"/>
          <w:color w:val="auto"/>
          <w:sz w:val="24"/>
          <w:szCs w:val="24"/>
          <w:highlight w:val="none"/>
        </w:rPr>
        <w:t>有关事项协商一致，共同达成如下协议：</w:t>
      </w:r>
    </w:p>
    <w:p w14:paraId="1AE87E53">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一、工程概况</w:t>
      </w:r>
    </w:p>
    <w:p w14:paraId="33D18F79">
      <w:pPr>
        <w:adjustRightInd w:val="0"/>
        <w:snapToGrid w:val="0"/>
        <w:ind w:firstLine="480" w:firstLineChars="200"/>
        <w:rPr>
          <w:rFonts w:hint="eastAsia" w:ascii="宋体" w:hAnsi="宋体" w:eastAsia="宋体" w:cs="Times New Roman"/>
          <w:b/>
          <w:color w:val="auto"/>
          <w:sz w:val="24"/>
          <w:szCs w:val="24"/>
          <w:highlight w:val="none"/>
          <w:u w:val="single"/>
        </w:rPr>
      </w:pPr>
      <w:r>
        <w:rPr>
          <w:rFonts w:hint="eastAsia" w:ascii="宋体" w:hAnsi="宋体" w:eastAsia="宋体" w:cs="Times New Roman"/>
          <w:bCs/>
          <w:color w:val="auto"/>
          <w:sz w:val="24"/>
          <w:szCs w:val="24"/>
          <w:highlight w:val="none"/>
        </w:rPr>
        <w:t>1. 工程名称</w:t>
      </w:r>
      <w:r>
        <w:rPr>
          <w:rFonts w:hint="eastAsia" w:ascii="宋体" w:hAnsi="宋体" w:eastAsia="宋体" w:cs="Times New Roman"/>
          <w:color w:val="auto"/>
          <w:sz w:val="24"/>
          <w:szCs w:val="24"/>
          <w:highlight w:val="none"/>
        </w:rPr>
        <w:t>：</w:t>
      </w:r>
      <w:r>
        <w:rPr>
          <w:rFonts w:hint="eastAsia" w:ascii="宋体" w:hAnsi="宋体" w:eastAsia="宋体" w:cs="Times New Roman"/>
          <w:b/>
          <w:color w:val="auto"/>
          <w:sz w:val="24"/>
          <w:szCs w:val="24"/>
          <w:highlight w:val="none"/>
          <w:u w:val="single"/>
        </w:rPr>
        <w:t xml:space="preserve"> </w:t>
      </w:r>
    </w:p>
    <w:p w14:paraId="1FD5C0AD">
      <w:pPr>
        <w:adjustRightInd w:val="0"/>
        <w:snapToGrid w:val="0"/>
        <w:ind w:firstLine="470" w:firstLineChars="196"/>
        <w:rPr>
          <w:rFonts w:hint="eastAsia" w:ascii="宋体" w:hAnsi="宋体" w:eastAsia="宋体" w:cs="Times New Roman"/>
          <w:b/>
          <w:color w:val="auto"/>
          <w:sz w:val="24"/>
          <w:szCs w:val="24"/>
          <w:highlight w:val="none"/>
          <w:u w:val="single"/>
        </w:rPr>
      </w:pPr>
      <w:r>
        <w:rPr>
          <w:rFonts w:hint="eastAsia" w:ascii="宋体" w:hAnsi="宋体" w:eastAsia="宋体" w:cs="Times New Roman"/>
          <w:bCs/>
          <w:color w:val="auto"/>
          <w:sz w:val="24"/>
          <w:szCs w:val="24"/>
          <w:highlight w:val="none"/>
        </w:rPr>
        <w:t>2. 工程地点：</w:t>
      </w:r>
      <w:r>
        <w:rPr>
          <w:rFonts w:hint="eastAsia" w:ascii="宋体" w:hAnsi="宋体" w:eastAsia="宋体" w:cs="Times New Roman"/>
          <w:b/>
          <w:color w:val="auto"/>
          <w:sz w:val="24"/>
          <w:szCs w:val="24"/>
          <w:highlight w:val="none"/>
          <w:u w:val="single"/>
        </w:rPr>
        <w:t xml:space="preserve"> </w:t>
      </w:r>
    </w:p>
    <w:p w14:paraId="5638F03E">
      <w:pPr>
        <w:adjustRightInd w:val="0"/>
        <w:snapToGrid w:val="0"/>
        <w:ind w:firstLine="470" w:firstLineChars="196"/>
        <w:rPr>
          <w:rFonts w:hint="eastAsia" w:ascii="宋体" w:hAnsi="宋体" w:eastAsia="宋体" w:cs="Times New Roman"/>
          <w:b/>
          <w:bCs/>
          <w:color w:val="auto"/>
          <w:sz w:val="24"/>
          <w:szCs w:val="24"/>
          <w:highlight w:val="none"/>
          <w:u w:val="single"/>
        </w:rPr>
      </w:pPr>
      <w:r>
        <w:rPr>
          <w:rFonts w:hint="eastAsia" w:ascii="宋体" w:hAnsi="宋体" w:eastAsia="宋体" w:cs="Times New Roman"/>
          <w:bCs/>
          <w:color w:val="auto"/>
          <w:sz w:val="24"/>
          <w:szCs w:val="24"/>
          <w:highlight w:val="none"/>
        </w:rPr>
        <w:t>3. 工程立项批准文号：</w:t>
      </w:r>
    </w:p>
    <w:p w14:paraId="06A8A6AF">
      <w:pPr>
        <w:adjustRightInd w:val="0"/>
        <w:snapToGrid w:val="0"/>
        <w:ind w:firstLine="470" w:firstLineChars="196"/>
        <w:rPr>
          <w:rFonts w:hint="eastAsia" w:ascii="宋体" w:hAnsi="宋体" w:eastAsia="宋体" w:cs="Times New Roman"/>
          <w:b/>
          <w:bCs/>
          <w:color w:val="auto"/>
          <w:sz w:val="24"/>
          <w:szCs w:val="24"/>
          <w:highlight w:val="none"/>
          <w:u w:val="single"/>
        </w:rPr>
      </w:pPr>
      <w:r>
        <w:rPr>
          <w:rFonts w:hint="eastAsia" w:ascii="宋体" w:hAnsi="宋体" w:eastAsia="宋体" w:cs="Times New Roman"/>
          <w:bCs/>
          <w:color w:val="auto"/>
          <w:sz w:val="24"/>
          <w:szCs w:val="24"/>
          <w:highlight w:val="none"/>
        </w:rPr>
        <w:t>4. 资金来源：</w:t>
      </w:r>
      <w:r>
        <w:rPr>
          <w:rFonts w:hint="eastAsia" w:ascii="宋体" w:hAnsi="宋体" w:eastAsia="宋体" w:cs="Times New Roman"/>
          <w:b/>
          <w:color w:val="auto"/>
          <w:sz w:val="24"/>
          <w:szCs w:val="24"/>
          <w:highlight w:val="none"/>
          <w:u w:val="single"/>
        </w:rPr>
        <w:t>财政资金</w:t>
      </w:r>
    </w:p>
    <w:p w14:paraId="5A3D52A4">
      <w:pPr>
        <w:adjustRightInd w:val="0"/>
        <w:snapToGrid w:val="0"/>
        <w:ind w:firstLine="480" w:firstLineChars="200"/>
        <w:rPr>
          <w:rFonts w:hint="eastAsia" w:ascii="宋体" w:hAnsi="宋体" w:eastAsia="宋体" w:cs="Times New Roman"/>
          <w:b/>
          <w:color w:val="auto"/>
          <w:sz w:val="24"/>
          <w:szCs w:val="24"/>
          <w:highlight w:val="none"/>
          <w:u w:val="single"/>
        </w:rPr>
      </w:pPr>
      <w:r>
        <w:rPr>
          <w:rFonts w:hint="eastAsia" w:ascii="宋体" w:hAnsi="宋体" w:eastAsia="宋体" w:cs="Times New Roman"/>
          <w:bCs/>
          <w:color w:val="auto"/>
          <w:sz w:val="24"/>
          <w:szCs w:val="24"/>
          <w:highlight w:val="none"/>
        </w:rPr>
        <w:t xml:space="preserve">5. </w:t>
      </w:r>
      <w:r>
        <w:rPr>
          <w:rFonts w:hint="eastAsia" w:ascii="宋体" w:hAnsi="宋体" w:eastAsia="宋体" w:cs="Times New Roman"/>
          <w:color w:val="auto"/>
          <w:sz w:val="24"/>
          <w:szCs w:val="24"/>
          <w:highlight w:val="none"/>
        </w:rPr>
        <w:t>工程内容</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b/>
          <w:color w:val="auto"/>
          <w:sz w:val="24"/>
          <w:szCs w:val="24"/>
          <w:highlight w:val="none"/>
          <w:u w:val="single"/>
        </w:rPr>
        <w:t>具体详见工程量清单。</w:t>
      </w:r>
    </w:p>
    <w:p w14:paraId="2F31B0B6">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群体工程应附《承包人承揽工程项目一览表》（附件1）。</w:t>
      </w:r>
    </w:p>
    <w:p w14:paraId="5BDC328A">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 工程承包范围：同工程内容  </w:t>
      </w:r>
    </w:p>
    <w:p w14:paraId="71EF9E9F">
      <w:pPr>
        <w:adjustRightInd w:val="0"/>
        <w:snapToGrid w:val="0"/>
        <w:ind w:firstLine="480" w:firstLineChars="200"/>
        <w:rPr>
          <w:rFonts w:hint="eastAsia" w:ascii="宋体" w:hAnsi="宋体" w:eastAsia="宋体" w:cs="Times New Roman"/>
          <w:bCs/>
          <w:color w:val="auto"/>
          <w:sz w:val="24"/>
          <w:szCs w:val="24"/>
          <w:highlight w:val="none"/>
        </w:rPr>
      </w:pPr>
      <w:bookmarkStart w:id="1750" w:name="_Toc11924167"/>
      <w:r>
        <w:rPr>
          <w:rFonts w:hint="eastAsia" w:ascii="宋体" w:hAnsi="宋体" w:eastAsia="宋体" w:cs="Times New Roman"/>
          <w:bCs/>
          <w:color w:val="auto"/>
          <w:sz w:val="24"/>
          <w:szCs w:val="24"/>
          <w:highlight w:val="none"/>
        </w:rPr>
        <w:t>二、合同工期</w:t>
      </w:r>
      <w:bookmarkEnd w:id="1750"/>
    </w:p>
    <w:p w14:paraId="58199BBB">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计划开工日期：20  年    月  日。</w:t>
      </w:r>
    </w:p>
    <w:p w14:paraId="5B975726">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计划竣工日期：20  年    月    日。</w:t>
      </w:r>
    </w:p>
    <w:p w14:paraId="06E2A6FA">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工期总日历天数：      天。工期总日历天数与根据前述计划开竣工日期计算的工期天数不一致的，以工期总日历天数为准。具体开工日期以发包人签发的书面开工通知为准。</w:t>
      </w:r>
    </w:p>
    <w:p w14:paraId="5AB0E7D3">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 </w:t>
      </w:r>
      <w:bookmarkStart w:id="1751" w:name="_Toc11924168"/>
      <w:r>
        <w:rPr>
          <w:rFonts w:hint="eastAsia" w:ascii="宋体" w:hAnsi="宋体" w:eastAsia="宋体" w:cs="Times New Roman"/>
          <w:bCs/>
          <w:color w:val="auto"/>
          <w:sz w:val="24"/>
          <w:szCs w:val="24"/>
          <w:highlight w:val="none"/>
        </w:rPr>
        <w:t>三、质量标准</w:t>
      </w:r>
      <w:bookmarkEnd w:id="1751"/>
    </w:p>
    <w:p w14:paraId="05432594">
      <w:pPr>
        <w:adjustRightInd w:val="0"/>
        <w:snapToGrid w:val="0"/>
        <w:ind w:firstLine="482"/>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工程质量标准：</w:t>
      </w:r>
      <w:r>
        <w:rPr>
          <w:rFonts w:hint="eastAsia" w:ascii="宋体" w:hAnsi="宋体" w:eastAsia="宋体" w:cs="Times New Roman"/>
          <w:color w:val="auto"/>
          <w:sz w:val="24"/>
          <w:szCs w:val="24"/>
          <w:highlight w:val="none"/>
          <w:u w:val="single"/>
        </w:rPr>
        <w:t xml:space="preserve">合格。 </w:t>
      </w:r>
    </w:p>
    <w:p w14:paraId="11FEFD71">
      <w:pPr>
        <w:adjustRightInd w:val="0"/>
        <w:snapToGrid w:val="0"/>
        <w:ind w:firstLine="482"/>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工程质保期：除国家规定最低</w:t>
      </w:r>
      <w:r>
        <w:rPr>
          <w:rFonts w:hint="eastAsia" w:ascii="宋体" w:hAnsi="宋体" w:eastAsia="宋体" w:cs="Times New Roman"/>
          <w:color w:val="auto"/>
          <w:sz w:val="24"/>
          <w:szCs w:val="24"/>
          <w:highlight w:val="none"/>
        </w:rPr>
        <w:t>保修年限</w:t>
      </w:r>
      <w:r>
        <w:rPr>
          <w:rFonts w:ascii="宋体" w:hAnsi="宋体" w:eastAsia="宋体" w:cs="Times New Roman"/>
          <w:color w:val="auto"/>
          <w:sz w:val="24"/>
          <w:szCs w:val="24"/>
          <w:highlight w:val="none"/>
        </w:rPr>
        <w:t>外，本工程质保期</w:t>
      </w:r>
      <w:r>
        <w:rPr>
          <w:rFonts w:hint="eastAsia" w:ascii="宋体" w:hAnsi="宋体" w:eastAsia="宋体" w:cs="Times New Roman"/>
          <w:b/>
          <w:bCs/>
          <w:color w:val="auto"/>
          <w:sz w:val="24"/>
          <w:szCs w:val="24"/>
          <w:highlight w:val="none"/>
          <w:u w:val="single"/>
        </w:rPr>
        <w:t>一</w:t>
      </w:r>
      <w:r>
        <w:rPr>
          <w:rFonts w:ascii="宋体" w:hAnsi="宋体" w:eastAsia="宋体" w:cs="Times New Roman"/>
          <w:b/>
          <w:bCs/>
          <w:color w:val="auto"/>
          <w:sz w:val="24"/>
          <w:szCs w:val="24"/>
          <w:highlight w:val="none"/>
          <w:u w:val="single"/>
        </w:rPr>
        <w:t>年</w:t>
      </w:r>
      <w:r>
        <w:rPr>
          <w:rFonts w:hint="eastAsia" w:ascii="宋体" w:hAnsi="宋体" w:eastAsia="宋体" w:cs="Times New Roman"/>
          <w:color w:val="auto"/>
          <w:sz w:val="24"/>
          <w:szCs w:val="24"/>
          <w:highlight w:val="none"/>
          <w:u w:val="single"/>
        </w:rPr>
        <w:t>，从工程完工验收合格之日起开始计算</w:t>
      </w:r>
      <w:r>
        <w:rPr>
          <w:rFonts w:ascii="宋体" w:hAnsi="宋体" w:eastAsia="宋体" w:cs="Times New Roman"/>
          <w:color w:val="auto"/>
          <w:sz w:val="24"/>
          <w:szCs w:val="24"/>
          <w:highlight w:val="none"/>
        </w:rPr>
        <w:t>。</w:t>
      </w:r>
      <w:bookmarkStart w:id="1752" w:name="_Toc11924169"/>
    </w:p>
    <w:p w14:paraId="4D2C732C">
      <w:pPr>
        <w:adjustRightInd w:val="0"/>
        <w:snapToGrid w:val="0"/>
        <w:ind w:firstLine="480"/>
        <w:rPr>
          <w:rFonts w:ascii="Times New Roman" w:hAnsi="Times New Roman" w:eastAsia="宋体" w:cs="Times New Roman"/>
          <w:color w:val="auto"/>
          <w:highlight w:val="none"/>
        </w:rPr>
      </w:pPr>
      <w:r>
        <w:rPr>
          <w:rFonts w:hint="eastAsia" w:ascii="宋体" w:hAnsi="宋体" w:eastAsia="宋体" w:cs="宋体"/>
          <w:color w:val="auto"/>
          <w:sz w:val="24"/>
          <w:szCs w:val="24"/>
          <w:highlight w:val="none"/>
        </w:rPr>
        <w:t>四、签约合同价与合同价格形式</w:t>
      </w:r>
      <w:bookmarkEnd w:id="1752"/>
      <w:r>
        <w:rPr>
          <w:rFonts w:hint="eastAsia" w:ascii="宋体" w:hAnsi="宋体" w:eastAsia="宋体" w:cs="宋体"/>
          <w:color w:val="auto"/>
          <w:sz w:val="24"/>
          <w:szCs w:val="24"/>
          <w:highlight w:val="none"/>
        </w:rPr>
        <w:tab/>
      </w:r>
    </w:p>
    <w:p w14:paraId="31A1754B">
      <w:pPr>
        <w:adjustRightInd w:val="0"/>
        <w:snapToGrid w:val="0"/>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签约合同价为：</w:t>
      </w:r>
    </w:p>
    <w:p w14:paraId="5BB7ACB2">
      <w:pPr>
        <w:adjustRightInd w:val="0"/>
        <w:snapToGrid w:val="0"/>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046A1CDE">
      <w:pPr>
        <w:adjustRightInd w:val="0"/>
        <w:snapToGrid w:val="0"/>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合同价格形式：</w:t>
      </w:r>
      <w:r>
        <w:rPr>
          <w:rFonts w:hint="eastAsia" w:ascii="宋体" w:hAnsi="宋体" w:eastAsia="宋体" w:cs="宋体"/>
          <w:color w:val="auto"/>
          <w:sz w:val="24"/>
          <w:szCs w:val="24"/>
          <w:highlight w:val="none"/>
          <w:u w:val="single"/>
        </w:rPr>
        <w:t></w:t>
      </w:r>
      <w:r>
        <w:rPr>
          <w:rFonts w:hint="eastAsia" w:ascii="宋体" w:hAnsi="宋体" w:eastAsia="宋体" w:cs="宋体"/>
          <w:b/>
          <w:color w:val="auto"/>
          <w:sz w:val="24"/>
          <w:szCs w:val="24"/>
          <w:highlight w:val="none"/>
          <w:u w:val="single"/>
        </w:rPr>
        <w:t>固定单价合同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D23BD91">
      <w:pPr>
        <w:adjustRightInd w:val="0"/>
        <w:snapToGrid w:val="0"/>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本工程最终按实际工作量结算，最终按审计结果结算。</w:t>
      </w:r>
    </w:p>
    <w:p w14:paraId="067F2692">
      <w:pPr>
        <w:ind w:firstLine="480" w:firstLineChars="200"/>
        <w:rPr>
          <w:rFonts w:hint="eastAsia" w:ascii="宋体" w:hAnsi="宋体" w:eastAsia="宋体" w:cs="Times New Roman"/>
          <w:b/>
          <w:bCs/>
          <w:color w:val="auto"/>
          <w:sz w:val="24"/>
          <w:szCs w:val="20"/>
          <w:highlight w:val="none"/>
          <w:u w:val="single"/>
          <w:lang w:eastAsia="zh-CN"/>
        </w:rPr>
      </w:pPr>
      <w:r>
        <w:rPr>
          <w:rFonts w:hint="eastAsia" w:ascii="宋体" w:hAnsi="宋体" w:eastAsia="宋体" w:cs="宋体"/>
          <w:color w:val="auto"/>
          <w:sz w:val="24"/>
          <w:szCs w:val="24"/>
          <w:highlight w:val="none"/>
        </w:rPr>
        <w:t>4. 付款方式：</w:t>
      </w:r>
      <w:r>
        <w:rPr>
          <w:rFonts w:hint="eastAsia" w:ascii="宋体" w:hAnsi="宋体" w:eastAsia="宋体" w:cs="宋体"/>
          <w:b/>
          <w:bCs/>
          <w:color w:val="auto"/>
          <w:sz w:val="24"/>
          <w:szCs w:val="24"/>
          <w:highlight w:val="none"/>
          <w:u w:val="single"/>
          <w:lang w:val="en-US" w:eastAsia="zh-CN"/>
        </w:rPr>
        <w:t>合同签订后，支付30%合同价预付款，护坡全部完成后，支付50%合同价工程款，工程验收合格后，承包人汇款结算价3%作为质量保修金至发包人指定账户，发包人支付至结算价的100%，承包人需同意接受项目延伸审计，以审计结论作为工程价款最终结算的依据，待保修期满后，经合同双方确认无保修范围内的质量问题则发包人支付余下的保修金给承包人</w:t>
      </w:r>
      <w:r>
        <w:rPr>
          <w:rFonts w:hint="eastAsia" w:ascii="宋体" w:hAnsi="宋体" w:eastAsia="宋体" w:cs="Times New Roman"/>
          <w:b/>
          <w:bCs/>
          <w:color w:val="auto"/>
          <w:sz w:val="24"/>
          <w:szCs w:val="20"/>
          <w:highlight w:val="none"/>
          <w:u w:val="single"/>
        </w:rPr>
        <w:t>。</w:t>
      </w:r>
      <w:bookmarkStart w:id="1753" w:name="_Toc11924170"/>
    </w:p>
    <w:p w14:paraId="0AE81264">
      <w:pPr>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五、项目经理</w:t>
      </w:r>
      <w:bookmarkEnd w:id="1753"/>
      <w:bookmarkStart w:id="1754" w:name="_Toc11924171"/>
    </w:p>
    <w:p w14:paraId="2466D145">
      <w:pPr>
        <w:ind w:firstLine="482" w:firstLineChars="200"/>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承包人项目经理：</w:t>
      </w:r>
      <w:r>
        <w:rPr>
          <w:rFonts w:hint="eastAsia" w:ascii="宋体" w:hAnsi="宋体" w:eastAsia="宋体" w:cs="Times New Roman"/>
          <w:b/>
          <w:bCs/>
          <w:color w:val="auto"/>
          <w:sz w:val="24"/>
          <w:szCs w:val="24"/>
          <w:highlight w:val="none"/>
          <w:u w:val="single"/>
        </w:rPr>
        <w:t xml:space="preserve">           </w:t>
      </w:r>
      <w:r>
        <w:rPr>
          <w:rFonts w:hint="eastAsia" w:ascii="宋体" w:hAnsi="宋体" w:eastAsia="宋体" w:cs="Times New Roman"/>
          <w:b/>
          <w:bCs/>
          <w:color w:val="auto"/>
          <w:sz w:val="24"/>
          <w:szCs w:val="24"/>
          <w:highlight w:val="none"/>
        </w:rPr>
        <w:t>。</w:t>
      </w:r>
      <w:bookmarkEnd w:id="1754"/>
    </w:p>
    <w:p w14:paraId="1965500D">
      <w:pPr>
        <w:ind w:firstLine="480" w:firstLineChars="200"/>
        <w:rPr>
          <w:rFonts w:hint="eastAsia" w:ascii="宋体" w:hAnsi="宋体" w:eastAsia="宋体" w:cs="Times New Roman"/>
          <w:color w:val="auto"/>
          <w:highlight w:val="none"/>
        </w:rPr>
      </w:pPr>
      <w:bookmarkStart w:id="1755" w:name="_Toc11924172"/>
      <w:r>
        <w:rPr>
          <w:rFonts w:hint="eastAsia" w:ascii="宋体" w:hAnsi="宋体" w:eastAsia="宋体" w:cs="Times New Roman"/>
          <w:color w:val="auto"/>
          <w:sz w:val="24"/>
          <w:szCs w:val="24"/>
          <w:highlight w:val="none"/>
        </w:rPr>
        <w:t>六、合同文件构成</w:t>
      </w:r>
      <w:bookmarkEnd w:id="1755"/>
    </w:p>
    <w:p w14:paraId="2B2DCAF2">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本协议书与下列文件一起构成合同文件：</w:t>
      </w:r>
    </w:p>
    <w:p w14:paraId="613DFE5C">
      <w:pPr>
        <w:autoSpaceDE w:val="0"/>
        <w:autoSpaceDN w:val="0"/>
        <w:adjustRightInd w:val="0"/>
        <w:snapToGrid w:val="0"/>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（1）中标通知书（成交通知书）；</w:t>
      </w:r>
    </w:p>
    <w:p w14:paraId="7A58E7A7">
      <w:pPr>
        <w:autoSpaceDE w:val="0"/>
        <w:autoSpaceDN w:val="0"/>
        <w:adjustRightInd w:val="0"/>
        <w:snapToGrid w:val="0"/>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（2）投标函及其附录； </w:t>
      </w:r>
    </w:p>
    <w:p w14:paraId="78932C26">
      <w:pPr>
        <w:autoSpaceDE w:val="0"/>
        <w:autoSpaceDN w:val="0"/>
        <w:adjustRightInd w:val="0"/>
        <w:snapToGrid w:val="0"/>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（3）专用合同条款及其附件；</w:t>
      </w:r>
    </w:p>
    <w:p w14:paraId="36D865C9">
      <w:pPr>
        <w:autoSpaceDE w:val="0"/>
        <w:autoSpaceDN w:val="0"/>
        <w:adjustRightInd w:val="0"/>
        <w:snapToGrid w:val="0"/>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（4）通用合同条款；</w:t>
      </w:r>
    </w:p>
    <w:p w14:paraId="6BE4DFD0">
      <w:pPr>
        <w:autoSpaceDE w:val="0"/>
        <w:autoSpaceDN w:val="0"/>
        <w:adjustRightInd w:val="0"/>
        <w:snapToGrid w:val="0"/>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（5）技术标准和要求；</w:t>
      </w:r>
    </w:p>
    <w:p w14:paraId="68C2A8C5">
      <w:pPr>
        <w:autoSpaceDE w:val="0"/>
        <w:autoSpaceDN w:val="0"/>
        <w:adjustRightInd w:val="0"/>
        <w:snapToGrid w:val="0"/>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（6）图纸；</w:t>
      </w:r>
    </w:p>
    <w:p w14:paraId="7246213A">
      <w:pPr>
        <w:autoSpaceDE w:val="0"/>
        <w:autoSpaceDN w:val="0"/>
        <w:adjustRightInd w:val="0"/>
        <w:snapToGrid w:val="0"/>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（7）已标价工程量清单或预算书；</w:t>
      </w:r>
    </w:p>
    <w:p w14:paraId="7AAB99D3">
      <w:pPr>
        <w:autoSpaceDE w:val="0"/>
        <w:autoSpaceDN w:val="0"/>
        <w:adjustRightInd w:val="0"/>
        <w:snapToGrid w:val="0"/>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（8）采购文件（磋商文件）</w:t>
      </w:r>
    </w:p>
    <w:p w14:paraId="53B539DA">
      <w:pPr>
        <w:autoSpaceDE w:val="0"/>
        <w:autoSpaceDN w:val="0"/>
        <w:adjustRightInd w:val="0"/>
        <w:snapToGrid w:val="0"/>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（9）投标文件（响应文件）</w:t>
      </w:r>
    </w:p>
    <w:p w14:paraId="2DC9DD59">
      <w:pPr>
        <w:autoSpaceDE w:val="0"/>
        <w:autoSpaceDN w:val="0"/>
        <w:adjustRightInd w:val="0"/>
        <w:snapToGrid w:val="0"/>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（10）其他合同文件。</w:t>
      </w:r>
    </w:p>
    <w:p w14:paraId="7C751A28">
      <w:pPr>
        <w:autoSpaceDE w:val="0"/>
        <w:autoSpaceDN w:val="0"/>
        <w:adjustRightInd w:val="0"/>
        <w:snapToGrid w:val="0"/>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在合同订立及履行过程中形成的与合同有关的文件均构成合同文件组成部分。</w:t>
      </w:r>
    </w:p>
    <w:p w14:paraId="2201ABC8">
      <w:pPr>
        <w:autoSpaceDE w:val="0"/>
        <w:autoSpaceDN w:val="0"/>
        <w:adjustRightInd w:val="0"/>
        <w:snapToGrid w:val="0"/>
        <w:ind w:firstLine="480" w:firstLineChars="200"/>
        <w:rPr>
          <w:rFonts w:hint="eastAsia"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上述各项合同文件包括合同当事人就该项合同文件所作出的补充和修改，属于同</w:t>
      </w:r>
      <w:r>
        <w:rPr>
          <w:rFonts w:hint="eastAsia" w:ascii="宋体" w:hAnsi="宋体" w:eastAsia="宋体" w:cs="Times New Roman"/>
          <w:color w:val="auto"/>
          <w:sz w:val="24"/>
          <w:szCs w:val="24"/>
          <w:highlight w:val="none"/>
          <w:lang w:eastAsia="zh-CN"/>
        </w:rPr>
        <w:t>一项</w:t>
      </w:r>
      <w:r>
        <w:rPr>
          <w:rFonts w:hint="eastAsia" w:ascii="宋体" w:hAnsi="宋体" w:eastAsia="宋体" w:cs="Times New Roman"/>
          <w:color w:val="auto"/>
          <w:sz w:val="24"/>
          <w:szCs w:val="24"/>
          <w:highlight w:val="none"/>
        </w:rPr>
        <w:t>内容的文件，应以最新签署的为准。专用合同条款及其附件须经合同当事人签字或盖章。</w:t>
      </w:r>
      <w:r>
        <w:rPr>
          <w:rFonts w:hint="eastAsia" w:ascii="宋体" w:hAnsi="宋体" w:eastAsia="宋体" w:cs="Times New Roman"/>
          <w:b/>
          <w:bCs/>
          <w:color w:val="auto"/>
          <w:sz w:val="24"/>
          <w:szCs w:val="24"/>
          <w:highlight w:val="none"/>
        </w:rPr>
        <w:t xml:space="preserve"> </w:t>
      </w:r>
    </w:p>
    <w:p w14:paraId="08E9328A">
      <w:pPr>
        <w:autoSpaceDE w:val="0"/>
        <w:autoSpaceDN w:val="0"/>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七、承诺</w:t>
      </w:r>
    </w:p>
    <w:p w14:paraId="3F514A4B">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 发包人承诺按照法律规定履行项目审批手续、筹集工程建设资金并按照合同约定的期限和方式支付合同价款。</w:t>
      </w:r>
    </w:p>
    <w:p w14:paraId="56E07894">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 承包人承诺按照法律规定及合同约定组织完成工程施工，确保工程质量和安全，不进行转包及违法分包，并在缺陷责任期及保修期内承担相应的工程维修责任。</w:t>
      </w:r>
    </w:p>
    <w:p w14:paraId="58B338BC">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3. 发包人和承包人通过</w:t>
      </w:r>
      <w:r>
        <w:rPr>
          <w:rFonts w:hint="eastAsia" w:ascii="宋体" w:hAnsi="宋体" w:eastAsia="宋体" w:cs="Times New Roman"/>
          <w:b/>
          <w:bCs/>
          <w:color w:val="auto"/>
          <w:sz w:val="24"/>
          <w:szCs w:val="24"/>
          <w:highlight w:val="none"/>
        </w:rPr>
        <w:t>竞争性磋商形式</w:t>
      </w:r>
      <w:r>
        <w:rPr>
          <w:rFonts w:hint="eastAsia" w:ascii="宋体" w:hAnsi="宋体" w:eastAsia="宋体" w:cs="Times New Roman"/>
          <w:bCs/>
          <w:color w:val="auto"/>
          <w:sz w:val="24"/>
          <w:szCs w:val="24"/>
          <w:highlight w:val="none"/>
        </w:rPr>
        <w:t>签订合同的，双方理解并承诺不再就同一工程另行签订与合同实质性内容相背离的协议。</w:t>
      </w:r>
    </w:p>
    <w:p w14:paraId="0BC3222F">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4. 承包人需无条件配合上级主管部门监督及延伸审计工作。</w:t>
      </w:r>
    </w:p>
    <w:p w14:paraId="49372635">
      <w:pPr>
        <w:adjustRightInd w:val="0"/>
        <w:snapToGrid w:val="0"/>
        <w:ind w:firstLine="482"/>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八、词语含义</w:t>
      </w:r>
    </w:p>
    <w:p w14:paraId="4A9BFE24">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本协议书中词语含义与第二部分通用合同条款中赋予的含义相同。</w:t>
      </w:r>
      <w:bookmarkStart w:id="1756" w:name="_Toc11924173"/>
    </w:p>
    <w:p w14:paraId="7A9A176B">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九、签订时间</w:t>
      </w:r>
      <w:bookmarkEnd w:id="1756"/>
    </w:p>
    <w:p w14:paraId="283BDBC7">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本合同于</w:t>
      </w:r>
      <w:r>
        <w:rPr>
          <w:rFonts w:hint="eastAsia" w:ascii="宋体" w:hAnsi="宋体" w:eastAsia="宋体" w:cs="Times New Roman"/>
          <w:bCs/>
          <w:color w:val="auto"/>
          <w:sz w:val="24"/>
          <w:szCs w:val="24"/>
          <w:highlight w:val="none"/>
          <w:u w:val="single"/>
        </w:rPr>
        <w:t xml:space="preserve">  20   </w:t>
      </w:r>
      <w:r>
        <w:rPr>
          <w:rFonts w:hint="eastAsia" w:ascii="宋体" w:hAnsi="宋体" w:eastAsia="宋体" w:cs="Times New Roman"/>
          <w:bCs/>
          <w:color w:val="auto"/>
          <w:sz w:val="24"/>
          <w:szCs w:val="24"/>
          <w:highlight w:val="none"/>
        </w:rPr>
        <w:t>年</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月</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日签订。</w:t>
      </w:r>
      <w:bookmarkStart w:id="1757" w:name="_Toc11924174"/>
    </w:p>
    <w:p w14:paraId="383D4D91">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十、签订地点</w:t>
      </w:r>
      <w:bookmarkEnd w:id="1757"/>
    </w:p>
    <w:p w14:paraId="561F29C2">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本合同在</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签订。</w:t>
      </w:r>
      <w:bookmarkStart w:id="1758" w:name="_Toc11924175"/>
    </w:p>
    <w:p w14:paraId="69BDF089">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十一、补充协议</w:t>
      </w:r>
      <w:bookmarkEnd w:id="1758"/>
    </w:p>
    <w:p w14:paraId="5A79C69A">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合同未尽事宜，合同当事人另行签订补充协议，补充协议是合同的组成部分。</w:t>
      </w:r>
      <w:bookmarkStart w:id="1759" w:name="_Toc11924176"/>
    </w:p>
    <w:p w14:paraId="0B3A1EBD">
      <w:pPr>
        <w:adjustRightInd w:val="0"/>
        <w:snapToGrid w:val="0"/>
        <w:ind w:firstLine="480" w:firstLineChars="200"/>
        <w:rPr>
          <w:rFonts w:hint="eastAsia" w:ascii="宋体" w:hAnsi="宋体" w:eastAsia="宋体" w:cs="Times New Roman"/>
          <w:b/>
          <w:bCs/>
          <w:color w:val="auto"/>
          <w:sz w:val="24"/>
          <w:szCs w:val="24"/>
          <w:highlight w:val="none"/>
        </w:rPr>
      </w:pPr>
      <w:r>
        <w:rPr>
          <w:rFonts w:hint="eastAsia" w:ascii="宋体" w:hAnsi="宋体" w:eastAsia="宋体" w:cs="Times New Roman"/>
          <w:color w:val="auto"/>
          <w:sz w:val="24"/>
          <w:szCs w:val="24"/>
          <w:highlight w:val="none"/>
        </w:rPr>
        <w:t>十二、合同生效</w:t>
      </w:r>
      <w:bookmarkEnd w:id="1759"/>
    </w:p>
    <w:p w14:paraId="1AAAE1C9">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本合同自</w:t>
      </w:r>
      <w:r>
        <w:rPr>
          <w:rFonts w:hint="eastAsia" w:ascii="宋体" w:hAnsi="宋体" w:eastAsia="宋体" w:cs="Times New Roman"/>
          <w:b/>
          <w:bCs/>
          <w:color w:val="auto"/>
          <w:sz w:val="24"/>
          <w:szCs w:val="24"/>
          <w:highlight w:val="none"/>
          <w:u w:val="single"/>
        </w:rPr>
        <w:t xml:space="preserve">   双方签字、盖章后</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生效。</w:t>
      </w:r>
      <w:bookmarkStart w:id="1760" w:name="_Toc11924177"/>
    </w:p>
    <w:p w14:paraId="77D95B59">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十三、合同份数</w:t>
      </w:r>
      <w:bookmarkEnd w:id="1760"/>
    </w:p>
    <w:p w14:paraId="26F6DCF3">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本合同一式</w:t>
      </w:r>
      <w:r>
        <w:rPr>
          <w:rFonts w:hint="eastAsia" w:ascii="宋体" w:hAnsi="宋体" w:eastAsia="宋体" w:cs="Times New Roman"/>
          <w:bCs/>
          <w:color w:val="auto"/>
          <w:sz w:val="24"/>
          <w:szCs w:val="24"/>
          <w:highlight w:val="none"/>
          <w:u w:val="single"/>
        </w:rPr>
        <w:t xml:space="preserve"> 陆 </w:t>
      </w:r>
      <w:r>
        <w:rPr>
          <w:rFonts w:hint="eastAsia" w:ascii="宋体" w:hAnsi="宋体" w:eastAsia="宋体" w:cs="Times New Roman"/>
          <w:bCs/>
          <w:color w:val="auto"/>
          <w:sz w:val="24"/>
          <w:szCs w:val="24"/>
          <w:highlight w:val="none"/>
        </w:rPr>
        <w:t>份，均具有同等法律效力，发包人执</w:t>
      </w:r>
      <w:r>
        <w:rPr>
          <w:rFonts w:hint="eastAsia" w:ascii="宋体" w:hAnsi="宋体" w:eastAsia="宋体" w:cs="Times New Roman"/>
          <w:bCs/>
          <w:color w:val="auto"/>
          <w:sz w:val="24"/>
          <w:szCs w:val="24"/>
          <w:highlight w:val="none"/>
          <w:u w:val="single"/>
        </w:rPr>
        <w:t xml:space="preserve"> 叁 </w:t>
      </w:r>
      <w:r>
        <w:rPr>
          <w:rFonts w:hint="eastAsia" w:ascii="宋体" w:hAnsi="宋体" w:eastAsia="宋体" w:cs="Times New Roman"/>
          <w:bCs/>
          <w:color w:val="auto"/>
          <w:sz w:val="24"/>
          <w:szCs w:val="24"/>
          <w:highlight w:val="none"/>
        </w:rPr>
        <w:t>份，承包人执</w:t>
      </w:r>
      <w:r>
        <w:rPr>
          <w:rFonts w:hint="eastAsia" w:ascii="宋体" w:hAnsi="宋体" w:eastAsia="宋体" w:cs="Times New Roman"/>
          <w:bCs/>
          <w:color w:val="auto"/>
          <w:sz w:val="24"/>
          <w:szCs w:val="24"/>
          <w:highlight w:val="none"/>
          <w:u w:val="single"/>
        </w:rPr>
        <w:t xml:space="preserve"> 叁 </w:t>
      </w:r>
      <w:r>
        <w:rPr>
          <w:rFonts w:hint="eastAsia" w:ascii="宋体" w:hAnsi="宋体" w:eastAsia="宋体" w:cs="Times New Roman"/>
          <w:bCs/>
          <w:color w:val="auto"/>
          <w:sz w:val="24"/>
          <w:szCs w:val="24"/>
          <w:highlight w:val="none"/>
        </w:rPr>
        <w:t>份。</w:t>
      </w:r>
    </w:p>
    <w:p w14:paraId="53923F64">
      <w:pPr>
        <w:ind w:firstLine="482"/>
        <w:rPr>
          <w:rFonts w:hint="eastAsia" w:ascii="宋体" w:hAnsi="宋体" w:eastAsia="宋体" w:cs="Times New Roman"/>
          <w:color w:val="auto"/>
          <w:sz w:val="24"/>
          <w:szCs w:val="24"/>
          <w:highlight w:val="none"/>
        </w:rPr>
      </w:pPr>
    </w:p>
    <w:p w14:paraId="64721999">
      <w:pPr>
        <w:ind w:firstLine="482"/>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发包人：  (公章)                        承包人：  (公章) </w:t>
      </w:r>
    </w:p>
    <w:p w14:paraId="6D34CB74">
      <w:pPr>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法定代表人或其委托代理人：              法定代表人或其委托代理人：</w:t>
      </w:r>
    </w:p>
    <w:p w14:paraId="45F57AD3">
      <w:pPr>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（签字）                               （签字）</w:t>
      </w:r>
    </w:p>
    <w:p w14:paraId="63877AE6">
      <w:pPr>
        <w:tabs>
          <w:tab w:val="left" w:pos="4410"/>
        </w:tabs>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组织机构代码：</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             组织机构代码：</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 </w:t>
      </w:r>
    </w:p>
    <w:p w14:paraId="79C63842">
      <w:pPr>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地  址：</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             地  址：</w:t>
      </w:r>
      <w:r>
        <w:rPr>
          <w:rFonts w:hint="eastAsia" w:ascii="宋体" w:hAnsi="宋体" w:eastAsia="宋体" w:cs="Times New Roman"/>
          <w:color w:val="auto"/>
          <w:sz w:val="24"/>
          <w:szCs w:val="24"/>
          <w:highlight w:val="none"/>
          <w:u w:val="single"/>
        </w:rPr>
        <w:t xml:space="preserve">        </w:t>
      </w:r>
    </w:p>
    <w:p w14:paraId="137F3F8F">
      <w:pPr>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邮政编码：</w:t>
      </w:r>
      <w:r>
        <w:rPr>
          <w:rFonts w:hint="eastAsia" w:ascii="宋体" w:hAnsi="宋体" w:eastAsia="宋体" w:cs="Times New Roman"/>
          <w:color w:val="auto"/>
          <w:sz w:val="24"/>
          <w:szCs w:val="24"/>
          <w:highlight w:val="none"/>
          <w:u w:val="single"/>
        </w:rPr>
        <w:t xml:space="preserve">      </w:t>
      </w:r>
      <w:r>
        <w:rPr>
          <w:rFonts w:hint="eastAsia" w:ascii="宋体" w:hAnsi="宋体" w:eastAsia="宋体" w:cs="Times New Roman"/>
          <w:color w:val="auto"/>
          <w:sz w:val="24"/>
          <w:szCs w:val="24"/>
          <w:highlight w:val="none"/>
        </w:rPr>
        <w:t xml:space="preserve">            邮政编码：</w:t>
      </w:r>
      <w:r>
        <w:rPr>
          <w:rFonts w:hint="eastAsia" w:ascii="宋体" w:hAnsi="宋体" w:eastAsia="宋体" w:cs="Times New Roman"/>
          <w:color w:val="auto"/>
          <w:sz w:val="24"/>
          <w:szCs w:val="24"/>
          <w:highlight w:val="none"/>
          <w:u w:val="single"/>
        </w:rPr>
        <w:t xml:space="preserve">   </w:t>
      </w:r>
    </w:p>
    <w:p w14:paraId="51316188">
      <w:pPr>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法定代表人：</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             法定代表人：</w:t>
      </w:r>
      <w:r>
        <w:rPr>
          <w:rFonts w:hint="eastAsia" w:ascii="宋体" w:hAnsi="宋体" w:eastAsia="宋体" w:cs="Times New Roman"/>
          <w:color w:val="auto"/>
          <w:sz w:val="24"/>
          <w:szCs w:val="24"/>
          <w:highlight w:val="none"/>
          <w:u w:val="single"/>
        </w:rPr>
        <w:t xml:space="preserve">             </w:t>
      </w:r>
    </w:p>
    <w:p w14:paraId="4156C341">
      <w:pPr>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委托代理人：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委托代理人：</w:t>
      </w:r>
      <w:r>
        <w:rPr>
          <w:rFonts w:hint="eastAsia" w:ascii="宋体" w:hAnsi="宋体" w:eastAsia="宋体" w:cs="Times New Roman"/>
          <w:color w:val="auto"/>
          <w:sz w:val="24"/>
          <w:szCs w:val="24"/>
          <w:highlight w:val="none"/>
          <w:u w:val="single"/>
        </w:rPr>
        <w:t xml:space="preserve">             </w:t>
      </w:r>
    </w:p>
    <w:p w14:paraId="3F10F682">
      <w:pPr>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电  话：</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电  话：</w:t>
      </w:r>
      <w:r>
        <w:rPr>
          <w:rFonts w:hint="eastAsia" w:ascii="宋体" w:hAnsi="宋体" w:eastAsia="宋体" w:cs="Times New Roman"/>
          <w:color w:val="auto"/>
          <w:sz w:val="24"/>
          <w:szCs w:val="24"/>
          <w:highlight w:val="none"/>
          <w:u w:val="single"/>
        </w:rPr>
        <w:t xml:space="preserve">     </w:t>
      </w:r>
    </w:p>
    <w:p w14:paraId="23A235ED">
      <w:pPr>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传  真：</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传  真：</w:t>
      </w:r>
      <w:r>
        <w:rPr>
          <w:rFonts w:hint="eastAsia" w:ascii="宋体" w:hAnsi="宋体" w:eastAsia="宋体" w:cs="Times New Roman"/>
          <w:color w:val="auto"/>
          <w:sz w:val="24"/>
          <w:szCs w:val="24"/>
          <w:highlight w:val="none"/>
          <w:u w:val="single"/>
        </w:rPr>
        <w:t xml:space="preserve">     </w:t>
      </w:r>
    </w:p>
    <w:p w14:paraId="14EEF23D">
      <w:pPr>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电子信箱：</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电子信箱：</w:t>
      </w:r>
      <w:r>
        <w:rPr>
          <w:rFonts w:hint="eastAsia" w:ascii="宋体" w:hAnsi="宋体" w:eastAsia="宋体" w:cs="Times New Roman"/>
          <w:color w:val="auto"/>
          <w:sz w:val="24"/>
          <w:szCs w:val="24"/>
          <w:highlight w:val="none"/>
          <w:u w:val="single"/>
        </w:rPr>
        <w:t xml:space="preserve">   </w:t>
      </w:r>
    </w:p>
    <w:p w14:paraId="4485590E">
      <w:pPr>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开户银行：</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开户银行：</w:t>
      </w:r>
      <w:r>
        <w:rPr>
          <w:rFonts w:hint="eastAsia" w:ascii="宋体" w:hAnsi="宋体" w:eastAsia="宋体" w:cs="Times New Roman"/>
          <w:color w:val="auto"/>
          <w:sz w:val="24"/>
          <w:szCs w:val="24"/>
          <w:highlight w:val="none"/>
          <w:u w:val="single"/>
        </w:rPr>
        <w:t xml:space="preserve">   </w:t>
      </w:r>
    </w:p>
    <w:p w14:paraId="5308D350">
      <w:pPr>
        <w:ind w:firstLine="482"/>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账  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账  号：</w:t>
      </w:r>
      <w:bookmarkStart w:id="1761" w:name="_Toc455491118"/>
      <w:r>
        <w:rPr>
          <w:rFonts w:hint="eastAsia" w:ascii="宋体" w:hAnsi="宋体" w:eastAsia="宋体" w:cs="Times New Roman"/>
          <w:color w:val="auto"/>
          <w:sz w:val="24"/>
          <w:szCs w:val="24"/>
          <w:highlight w:val="none"/>
          <w:u w:val="single"/>
        </w:rPr>
        <w:t xml:space="preserve">       </w:t>
      </w:r>
    </w:p>
    <w:p w14:paraId="6E55A525">
      <w:pPr>
        <w:spacing w:line="360" w:lineRule="auto"/>
        <w:ind w:firstLine="482"/>
        <w:rPr>
          <w:rFonts w:ascii="Times New Roman" w:hAnsi="Times New Roman" w:eastAsia="宋体" w:cs="Times New Roman"/>
          <w:color w:val="auto"/>
          <w:highlight w:val="none"/>
        </w:rPr>
      </w:pPr>
    </w:p>
    <w:p w14:paraId="51D9DE44">
      <w:pPr>
        <w:spacing w:line="360" w:lineRule="auto"/>
        <w:ind w:firstLine="482"/>
        <w:rPr>
          <w:rFonts w:ascii="Times New Roman" w:hAnsi="Times New Roman" w:eastAsia="宋体" w:cs="Times New Roman"/>
          <w:color w:val="auto"/>
          <w:highlight w:val="none"/>
        </w:rPr>
      </w:pPr>
    </w:p>
    <w:p w14:paraId="023CDE30">
      <w:pPr>
        <w:spacing w:line="360" w:lineRule="auto"/>
        <w:ind w:firstLine="643"/>
        <w:jc w:val="center"/>
        <w:rPr>
          <w:rFonts w:ascii="Times New Roman" w:hAnsi="Times New Roman" w:eastAsia="宋体" w:cs="Times New Roman"/>
          <w:b/>
          <w:bCs/>
          <w:color w:val="auto"/>
          <w:sz w:val="32"/>
          <w:szCs w:val="32"/>
          <w:highlight w:val="none"/>
        </w:rPr>
      </w:pPr>
    </w:p>
    <w:p w14:paraId="616F5ADB">
      <w:pPr>
        <w:spacing w:line="360" w:lineRule="auto"/>
        <w:ind w:firstLine="643"/>
        <w:jc w:val="center"/>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第二部分 通用合同条款</w:t>
      </w:r>
      <w:bookmarkEnd w:id="1761"/>
    </w:p>
    <w:p w14:paraId="6D6BA7B8">
      <w:pPr>
        <w:tabs>
          <w:tab w:val="left" w:pos="4410"/>
        </w:tabs>
        <w:adjustRightInd w:val="0"/>
        <w:snapToGrid w:val="0"/>
        <w:spacing w:line="360" w:lineRule="auto"/>
        <w:ind w:firstLine="482"/>
        <w:rPr>
          <w:rFonts w:ascii="Times New Roman" w:hAnsi="Times New Roman" w:eastAsia="宋体" w:cs="Times New Roman"/>
          <w:color w:val="auto"/>
          <w:highlight w:val="none"/>
        </w:rPr>
      </w:pPr>
    </w:p>
    <w:p w14:paraId="1DF5B678">
      <w:pPr>
        <w:tabs>
          <w:tab w:val="left" w:pos="4410"/>
        </w:tabs>
        <w:adjustRightInd w:val="0"/>
        <w:snapToGrid w:val="0"/>
        <w:spacing w:line="360" w:lineRule="auto"/>
        <w:ind w:firstLine="390" w:firstLineChars="150"/>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此部分采用《建设工程施工合同》范本（GF-2017-0201）中《第二部分  通用条款》。</w:t>
      </w:r>
    </w:p>
    <w:p w14:paraId="5FD786FB">
      <w:pPr>
        <w:keepNext/>
        <w:keepLines/>
        <w:widowControl w:val="0"/>
        <w:overflowPunct w:val="0"/>
        <w:spacing w:before="340" w:after="330" w:line="240" w:lineRule="auto"/>
        <w:ind w:firstLine="880"/>
        <w:jc w:val="center"/>
        <w:outlineLvl w:val="0"/>
        <w:rPr>
          <w:rFonts w:ascii="Times New Roman" w:hAnsi="Times New Roman" w:eastAsia="楷体_GB2312" w:cs="Times New Roman"/>
          <w:b/>
          <w:color w:val="auto"/>
          <w:kern w:val="44"/>
          <w:sz w:val="44"/>
          <w:highlight w:val="none"/>
          <w:lang w:val="en-US" w:eastAsia="zh-CN" w:bidi="ar-SA"/>
        </w:rPr>
      </w:pPr>
    </w:p>
    <w:p w14:paraId="319CE6CB">
      <w:pPr>
        <w:spacing w:before="340" w:after="320" w:line="576" w:lineRule="auto"/>
        <w:ind w:firstLine="602"/>
        <w:jc w:val="center"/>
        <w:rPr>
          <w:rFonts w:ascii="Calibri" w:hAnsi="Calibri" w:eastAsia="宋体" w:cs="Times New Roman"/>
          <w:b/>
          <w:color w:val="auto"/>
          <w:sz w:val="30"/>
          <w:szCs w:val="44"/>
          <w:highlight w:val="none"/>
        </w:rPr>
      </w:pPr>
      <w:r>
        <w:rPr>
          <w:rFonts w:ascii="Calibri" w:hAnsi="Calibri" w:eastAsia="宋体" w:cs="Times New Roman"/>
          <w:b/>
          <w:color w:val="auto"/>
          <w:sz w:val="30"/>
          <w:szCs w:val="44"/>
          <w:highlight w:val="none"/>
        </w:rPr>
        <w:t xml:space="preserve">第三部分 </w:t>
      </w:r>
      <w:r>
        <w:rPr>
          <w:rFonts w:hint="eastAsia" w:ascii="Calibri" w:hAnsi="Calibri" w:eastAsia="宋体" w:cs="Times New Roman"/>
          <w:b/>
          <w:color w:val="auto"/>
          <w:sz w:val="30"/>
          <w:szCs w:val="44"/>
          <w:highlight w:val="none"/>
        </w:rPr>
        <w:t>专用合同条款</w:t>
      </w:r>
    </w:p>
    <w:p w14:paraId="00491002">
      <w:pPr>
        <w:keepNext/>
        <w:keepLines/>
        <w:spacing w:before="120" w:after="120" w:line="360" w:lineRule="auto"/>
        <w:ind w:firstLine="562"/>
        <w:outlineLvl w:val="3"/>
        <w:rPr>
          <w:rFonts w:ascii="Calibri" w:hAnsi="Calibri" w:eastAsia="黑体" w:cs="Times New Roman"/>
          <w:color w:val="auto"/>
          <w:sz w:val="28"/>
          <w:highlight w:val="none"/>
        </w:rPr>
      </w:pPr>
      <w:r>
        <w:rPr>
          <w:rFonts w:ascii="Calibri" w:hAnsi="Calibri" w:eastAsia="黑体" w:cs="Times New Roman"/>
          <w:color w:val="auto"/>
          <w:sz w:val="28"/>
          <w:highlight w:val="none"/>
        </w:rPr>
        <w:t>1. 一般约定</w:t>
      </w:r>
    </w:p>
    <w:p w14:paraId="3F886790">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1.1 词语定义</w:t>
      </w:r>
    </w:p>
    <w:p w14:paraId="78224677">
      <w:pPr>
        <w:spacing w:line="360" w:lineRule="auto"/>
        <w:ind w:firstLine="480" w:firstLineChars="200"/>
        <w:rPr>
          <w:rFonts w:hint="eastAsia" w:ascii="宋体" w:hAnsi="宋体" w:eastAsia="宋体" w:cs="Times New Roman"/>
          <w:color w:val="auto"/>
          <w:kern w:val="0"/>
          <w:sz w:val="24"/>
          <w:szCs w:val="32"/>
          <w:highlight w:val="none"/>
        </w:rPr>
      </w:pPr>
      <w:r>
        <w:rPr>
          <w:rFonts w:ascii="宋体" w:hAnsi="宋体" w:eastAsia="宋体" w:cs="Times New Roman"/>
          <w:color w:val="auto"/>
          <w:kern w:val="0"/>
          <w:sz w:val="24"/>
          <w:szCs w:val="32"/>
          <w:highlight w:val="none"/>
        </w:rPr>
        <w:t>1.1.1合同</w:t>
      </w:r>
    </w:p>
    <w:p w14:paraId="09263EBD">
      <w:pPr>
        <w:spacing w:line="360" w:lineRule="auto"/>
        <w:ind w:firstLine="420" w:firstLineChars="200"/>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1.1.1.10其他合同文件包括：</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1）明确双方权利义务的纪要或承诺或协议等契约；（2）施工标准、规范等；（3）其他经双方同意视为本合同组成的有关文件</w:t>
      </w:r>
      <w:r>
        <w:rPr>
          <w:rFonts w:ascii="宋体" w:hAnsi="宋体" w:eastAsia="宋体" w:cs="Times New Roman"/>
          <w:color w:val="auto"/>
          <w:sz w:val="21"/>
          <w:szCs w:val="21"/>
          <w:highlight w:val="none"/>
        </w:rPr>
        <w:t>。</w:t>
      </w:r>
    </w:p>
    <w:p w14:paraId="692E7D0E">
      <w:pPr>
        <w:spacing w:line="360" w:lineRule="auto"/>
        <w:ind w:firstLine="480" w:firstLineChars="200"/>
        <w:rPr>
          <w:rFonts w:hint="eastAsia" w:ascii="宋体" w:hAnsi="宋体" w:eastAsia="宋体" w:cs="Times New Roman"/>
          <w:color w:val="auto"/>
          <w:kern w:val="0"/>
          <w:sz w:val="24"/>
          <w:szCs w:val="32"/>
          <w:highlight w:val="none"/>
        </w:rPr>
      </w:pPr>
      <w:r>
        <w:rPr>
          <w:rFonts w:ascii="宋体" w:hAnsi="宋体" w:eastAsia="宋体" w:cs="Times New Roman"/>
          <w:color w:val="auto"/>
          <w:kern w:val="0"/>
          <w:sz w:val="24"/>
          <w:szCs w:val="32"/>
          <w:highlight w:val="none"/>
        </w:rPr>
        <w:t>1.1.2 合同当事人及其他相关方</w:t>
      </w:r>
    </w:p>
    <w:p w14:paraId="5D669C7D">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1.1.2.</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 xml:space="preserve"> 设计人：</w:t>
      </w:r>
    </w:p>
    <w:p w14:paraId="34547449">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名    称</w:t>
      </w:r>
      <w:r>
        <w:rPr>
          <w:rFonts w:hint="eastAsia" w:ascii="宋体" w:hAnsi="宋体" w:eastAsia="宋体" w:cs="Times New Roman"/>
          <w:color w:val="auto"/>
          <w:sz w:val="21"/>
          <w:szCs w:val="21"/>
          <w:highlight w:val="none"/>
          <w:lang w:eastAsia="zh-CN"/>
        </w:rPr>
        <w:t>：</w:t>
      </w:r>
    </w:p>
    <w:p w14:paraId="3437586F">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资质类别和等级</w:t>
      </w:r>
      <w:r>
        <w:rPr>
          <w:rFonts w:hint="eastAsia" w:ascii="宋体" w:hAnsi="宋体" w:eastAsia="宋体" w:cs="Times New Roman"/>
          <w:color w:val="auto"/>
          <w:sz w:val="21"/>
          <w:szCs w:val="21"/>
          <w:highlight w:val="none"/>
          <w:lang w:eastAsia="zh-CN"/>
        </w:rPr>
        <w:t>：</w:t>
      </w:r>
    </w:p>
    <w:p w14:paraId="7DA5AB1C">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联系电话</w:t>
      </w:r>
      <w:r>
        <w:rPr>
          <w:rFonts w:hint="eastAsia" w:ascii="宋体" w:hAnsi="宋体" w:eastAsia="宋体" w:cs="Times New Roman"/>
          <w:color w:val="auto"/>
          <w:sz w:val="21"/>
          <w:szCs w:val="21"/>
          <w:highlight w:val="none"/>
          <w:lang w:eastAsia="zh-CN"/>
        </w:rPr>
        <w:t>：</w:t>
      </w:r>
    </w:p>
    <w:p w14:paraId="015A6751">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电子信箱</w:t>
      </w:r>
      <w:r>
        <w:rPr>
          <w:rFonts w:hint="eastAsia" w:ascii="宋体" w:hAnsi="宋体" w:eastAsia="宋体" w:cs="Times New Roman"/>
          <w:color w:val="auto"/>
          <w:sz w:val="21"/>
          <w:szCs w:val="21"/>
          <w:highlight w:val="none"/>
          <w:lang w:eastAsia="zh-CN"/>
        </w:rPr>
        <w:t>：</w:t>
      </w:r>
    </w:p>
    <w:p w14:paraId="31F608E7">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通信地址</w:t>
      </w:r>
      <w:r>
        <w:rPr>
          <w:rFonts w:hint="eastAsia" w:ascii="宋体" w:hAnsi="宋体" w:eastAsia="宋体" w:cs="Times New Roman"/>
          <w:color w:val="auto"/>
          <w:sz w:val="21"/>
          <w:szCs w:val="21"/>
          <w:highlight w:val="none"/>
          <w:lang w:eastAsia="zh-CN"/>
        </w:rPr>
        <w:t>：</w:t>
      </w:r>
    </w:p>
    <w:p w14:paraId="5E67EE55">
      <w:pPr>
        <w:spacing w:line="360" w:lineRule="auto"/>
        <w:ind w:firstLine="480" w:firstLineChars="200"/>
        <w:rPr>
          <w:rFonts w:hint="eastAsia" w:ascii="宋体" w:hAnsi="宋体" w:eastAsia="宋体" w:cs="Times New Roman"/>
          <w:color w:val="auto"/>
          <w:kern w:val="0"/>
          <w:sz w:val="24"/>
          <w:szCs w:val="32"/>
          <w:highlight w:val="none"/>
        </w:rPr>
      </w:pPr>
      <w:r>
        <w:rPr>
          <w:rFonts w:ascii="宋体" w:hAnsi="宋体" w:eastAsia="宋体" w:cs="Times New Roman"/>
          <w:color w:val="auto"/>
          <w:kern w:val="0"/>
          <w:sz w:val="24"/>
          <w:szCs w:val="32"/>
          <w:highlight w:val="none"/>
        </w:rPr>
        <w:t>1.1.3 工程和设备</w:t>
      </w:r>
    </w:p>
    <w:p w14:paraId="5A3B32D7">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1.1.3.</w:t>
      </w:r>
      <w:r>
        <w:rPr>
          <w:rFonts w:hint="eastAsia" w:ascii="宋体" w:hAnsi="宋体" w:eastAsia="宋体" w:cs="Times New Roman"/>
          <w:color w:val="auto"/>
          <w:sz w:val="21"/>
          <w:szCs w:val="21"/>
          <w:highlight w:val="none"/>
        </w:rPr>
        <w:t>1</w:t>
      </w:r>
      <w:r>
        <w:rPr>
          <w:rFonts w:ascii="宋体" w:hAnsi="宋体" w:eastAsia="宋体" w:cs="Times New Roman"/>
          <w:color w:val="auto"/>
          <w:sz w:val="21"/>
          <w:szCs w:val="21"/>
          <w:highlight w:val="none"/>
        </w:rPr>
        <w:t xml:space="preserve"> 作为施工现场组成部分的其他场所：</w:t>
      </w:r>
      <w:r>
        <w:rPr>
          <w:rFonts w:hint="eastAsia" w:ascii="宋体" w:hAnsi="宋体" w:eastAsia="宋体" w:cs="Times New Roman"/>
          <w:bCs/>
          <w:color w:val="auto"/>
          <w:sz w:val="21"/>
          <w:szCs w:val="21"/>
          <w:highlight w:val="none"/>
          <w:u w:val="single"/>
        </w:rPr>
        <w:t>具体由发包人和承包人根据现场条件确定</w:t>
      </w:r>
      <w:r>
        <w:rPr>
          <w:rFonts w:ascii="宋体" w:hAnsi="宋体" w:eastAsia="宋体" w:cs="Times New Roman"/>
          <w:color w:val="auto"/>
          <w:sz w:val="21"/>
          <w:szCs w:val="21"/>
          <w:highlight w:val="none"/>
        </w:rPr>
        <w:t>。</w:t>
      </w:r>
    </w:p>
    <w:p w14:paraId="45B09D6D">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1.1.3.</w:t>
      </w:r>
      <w:r>
        <w:rPr>
          <w:rFonts w:hint="eastAsia" w:ascii="宋体" w:hAnsi="宋体" w:eastAsia="宋体" w:cs="Times New Roman"/>
          <w:color w:val="auto"/>
          <w:kern w:val="0"/>
          <w:sz w:val="21"/>
          <w:szCs w:val="21"/>
          <w:highlight w:val="none"/>
        </w:rPr>
        <w:t>2</w:t>
      </w:r>
      <w:r>
        <w:rPr>
          <w:rFonts w:ascii="宋体" w:hAnsi="宋体" w:eastAsia="宋体" w:cs="Times New Roman"/>
          <w:color w:val="auto"/>
          <w:kern w:val="0"/>
          <w:sz w:val="21"/>
          <w:szCs w:val="21"/>
          <w:highlight w:val="none"/>
        </w:rPr>
        <w:t xml:space="preserve"> 永久占地包括：</w:t>
      </w:r>
      <w:r>
        <w:rPr>
          <w:rFonts w:hint="eastAsia" w:ascii="宋体" w:hAnsi="宋体" w:eastAsia="宋体" w:cs="Times New Roman"/>
          <w:bCs/>
          <w:color w:val="auto"/>
          <w:sz w:val="21"/>
          <w:szCs w:val="21"/>
          <w:highlight w:val="none"/>
          <w:u w:val="single"/>
        </w:rPr>
        <w:t>施工区域</w:t>
      </w:r>
      <w:r>
        <w:rPr>
          <w:rFonts w:ascii="宋体" w:hAnsi="宋体" w:eastAsia="宋体" w:cs="Times New Roman"/>
          <w:color w:val="auto"/>
          <w:kern w:val="0"/>
          <w:sz w:val="21"/>
          <w:szCs w:val="21"/>
          <w:highlight w:val="none"/>
        </w:rPr>
        <w:t>。</w:t>
      </w:r>
    </w:p>
    <w:p w14:paraId="74D32096">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kern w:val="0"/>
          <w:sz w:val="21"/>
          <w:szCs w:val="21"/>
          <w:highlight w:val="none"/>
        </w:rPr>
        <w:t>1.1.3.</w:t>
      </w:r>
      <w:r>
        <w:rPr>
          <w:rFonts w:hint="eastAsia" w:ascii="宋体" w:hAnsi="宋体" w:eastAsia="宋体" w:cs="Times New Roman"/>
          <w:color w:val="auto"/>
          <w:kern w:val="0"/>
          <w:sz w:val="21"/>
          <w:szCs w:val="21"/>
          <w:highlight w:val="none"/>
        </w:rPr>
        <w:t>3</w:t>
      </w:r>
      <w:r>
        <w:rPr>
          <w:rFonts w:ascii="宋体" w:hAnsi="宋体" w:eastAsia="宋体" w:cs="Times New Roman"/>
          <w:color w:val="auto"/>
          <w:kern w:val="0"/>
          <w:sz w:val="21"/>
          <w:szCs w:val="21"/>
          <w:highlight w:val="none"/>
        </w:rPr>
        <w:t xml:space="preserve"> 临时占地包括：</w:t>
      </w:r>
      <w:r>
        <w:rPr>
          <w:rFonts w:hint="eastAsia" w:ascii="宋体" w:hAnsi="宋体" w:eastAsia="宋体" w:cs="Times New Roman"/>
          <w:bCs/>
          <w:color w:val="auto"/>
          <w:sz w:val="21"/>
          <w:szCs w:val="21"/>
          <w:highlight w:val="none"/>
          <w:u w:val="single"/>
        </w:rPr>
        <w:t>无</w:t>
      </w:r>
      <w:r>
        <w:rPr>
          <w:rFonts w:ascii="宋体" w:hAnsi="宋体" w:eastAsia="宋体" w:cs="Times New Roman"/>
          <w:color w:val="auto"/>
          <w:kern w:val="0"/>
          <w:sz w:val="21"/>
          <w:szCs w:val="21"/>
          <w:highlight w:val="none"/>
        </w:rPr>
        <w:t>。</w:t>
      </w:r>
    </w:p>
    <w:p w14:paraId="075FA603">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 xml:space="preserve">1.3法律 </w:t>
      </w:r>
    </w:p>
    <w:p w14:paraId="2DA2C6FB">
      <w:pPr>
        <w:autoSpaceDE w:val="0"/>
        <w:autoSpaceDN w:val="0"/>
        <w:adjustRightInd w:val="0"/>
        <w:spacing w:line="360" w:lineRule="auto"/>
        <w:ind w:left="738" w:leftChars="284" w:firstLine="422"/>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适用于合同的其他规范性文件：</w:t>
      </w:r>
      <w:r>
        <w:rPr>
          <w:rFonts w:hint="eastAsia" w:ascii="宋体" w:hAnsi="宋体" w:eastAsia="宋体" w:cs="Times New Roman"/>
          <w:bCs/>
          <w:color w:val="auto"/>
          <w:sz w:val="21"/>
          <w:szCs w:val="21"/>
          <w:highlight w:val="none"/>
          <w:u w:val="single"/>
        </w:rPr>
        <w:t>江苏省、</w:t>
      </w:r>
      <w:r>
        <w:rPr>
          <w:rFonts w:hint="eastAsia" w:ascii="宋体" w:hAnsi="宋体" w:eastAsia="宋体" w:cs="Times New Roman"/>
          <w:bCs/>
          <w:color w:val="auto"/>
          <w:sz w:val="21"/>
          <w:szCs w:val="21"/>
          <w:highlight w:val="none"/>
          <w:u w:val="single"/>
          <w:lang w:val="en-US" w:eastAsia="zh-CN"/>
        </w:rPr>
        <w:t>工程所在地</w:t>
      </w:r>
      <w:r>
        <w:rPr>
          <w:rFonts w:hint="eastAsia" w:ascii="宋体" w:hAnsi="宋体" w:eastAsia="宋体" w:cs="Times New Roman"/>
          <w:bCs/>
          <w:color w:val="auto"/>
          <w:sz w:val="21"/>
          <w:szCs w:val="21"/>
          <w:highlight w:val="none"/>
          <w:u w:val="single"/>
        </w:rPr>
        <w:t>现行的规范性文件</w:t>
      </w:r>
      <w:r>
        <w:rPr>
          <w:rFonts w:ascii="宋体" w:hAnsi="宋体" w:eastAsia="宋体" w:cs="Times New Roman"/>
          <w:color w:val="auto"/>
          <w:sz w:val="21"/>
          <w:szCs w:val="21"/>
          <w:highlight w:val="none"/>
        </w:rPr>
        <w:t>。</w:t>
      </w:r>
    </w:p>
    <w:p w14:paraId="16CA60DF">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1.4 标准和规范</w:t>
      </w:r>
    </w:p>
    <w:p w14:paraId="758989C6">
      <w:pPr>
        <w:spacing w:line="360" w:lineRule="auto"/>
        <w:ind w:firstLine="480" w:firstLineChars="200"/>
        <w:rPr>
          <w:rFonts w:hint="eastAsia" w:ascii="宋体" w:hAnsi="宋体" w:eastAsia="宋体" w:cs="Times New Roman"/>
          <w:color w:val="auto"/>
          <w:kern w:val="0"/>
          <w:sz w:val="24"/>
          <w:szCs w:val="32"/>
          <w:highlight w:val="none"/>
        </w:rPr>
      </w:pPr>
      <w:r>
        <w:rPr>
          <w:rFonts w:ascii="宋体" w:hAnsi="宋体" w:eastAsia="宋体" w:cs="Times New Roman"/>
          <w:color w:val="auto"/>
          <w:kern w:val="0"/>
          <w:sz w:val="24"/>
          <w:szCs w:val="32"/>
          <w:highlight w:val="none"/>
        </w:rPr>
        <w:t>1.4.1适用于工程的标准规范包括：</w:t>
      </w:r>
      <w:r>
        <w:rPr>
          <w:rFonts w:hint="eastAsia" w:ascii="宋体" w:hAnsi="宋体" w:eastAsia="宋体" w:cs="Times New Roman"/>
          <w:bCs/>
          <w:color w:val="auto"/>
          <w:sz w:val="21"/>
          <w:szCs w:val="21"/>
          <w:highlight w:val="none"/>
          <w:u w:val="single"/>
        </w:rPr>
        <w:t>国家部委颁发的有关施工、验收的标准、规范，以及江苏省、</w:t>
      </w:r>
      <w:r>
        <w:rPr>
          <w:rFonts w:hint="eastAsia" w:ascii="宋体" w:hAnsi="宋体" w:eastAsia="宋体" w:cs="Times New Roman"/>
          <w:bCs/>
          <w:color w:val="auto"/>
          <w:sz w:val="21"/>
          <w:szCs w:val="21"/>
          <w:highlight w:val="none"/>
          <w:u w:val="single"/>
          <w:lang w:val="en-US" w:eastAsia="zh-CN"/>
        </w:rPr>
        <w:t>工程所在地</w:t>
      </w:r>
      <w:r>
        <w:rPr>
          <w:rFonts w:hint="eastAsia" w:ascii="宋体" w:hAnsi="宋体" w:eastAsia="宋体" w:cs="Times New Roman"/>
          <w:bCs/>
          <w:color w:val="auto"/>
          <w:sz w:val="21"/>
          <w:szCs w:val="21"/>
          <w:highlight w:val="none"/>
          <w:u w:val="single"/>
        </w:rPr>
        <w:t>建设、消防、节能以及环保等相关主管部门颁布的文件</w:t>
      </w:r>
      <w:r>
        <w:rPr>
          <w:rFonts w:ascii="宋体" w:hAnsi="宋体" w:eastAsia="宋体" w:cs="Times New Roman"/>
          <w:color w:val="auto"/>
          <w:kern w:val="0"/>
          <w:sz w:val="24"/>
          <w:szCs w:val="32"/>
          <w:highlight w:val="none"/>
        </w:rPr>
        <w:t>。</w:t>
      </w:r>
    </w:p>
    <w:p w14:paraId="7D3BEEDB">
      <w:pPr>
        <w:spacing w:line="360" w:lineRule="auto"/>
        <w:ind w:firstLine="480" w:firstLineChars="200"/>
        <w:rPr>
          <w:rFonts w:hint="eastAsia" w:ascii="宋体" w:hAnsi="宋体" w:eastAsia="宋体" w:cs="Times New Roman"/>
          <w:color w:val="auto"/>
          <w:kern w:val="0"/>
          <w:sz w:val="24"/>
          <w:szCs w:val="32"/>
          <w:highlight w:val="none"/>
        </w:rPr>
      </w:pPr>
      <w:r>
        <w:rPr>
          <w:rFonts w:ascii="宋体" w:hAnsi="宋体" w:eastAsia="宋体" w:cs="Times New Roman"/>
          <w:color w:val="auto"/>
          <w:kern w:val="0"/>
          <w:sz w:val="24"/>
          <w:szCs w:val="32"/>
          <w:highlight w:val="none"/>
        </w:rPr>
        <w:t>1.4.2 发包人提供国外标准、规范的名称：</w:t>
      </w:r>
      <w:r>
        <w:rPr>
          <w:rFonts w:hint="eastAsia" w:ascii="宋体" w:hAnsi="宋体" w:eastAsia="宋体" w:cs="Times New Roman"/>
          <w:bCs/>
          <w:color w:val="auto"/>
          <w:sz w:val="21"/>
          <w:szCs w:val="21"/>
          <w:highlight w:val="none"/>
          <w:u w:val="single"/>
        </w:rPr>
        <w:t>无</w:t>
      </w:r>
      <w:r>
        <w:rPr>
          <w:rFonts w:ascii="宋体" w:hAnsi="宋体" w:eastAsia="宋体" w:cs="Times New Roman"/>
          <w:color w:val="auto"/>
          <w:kern w:val="0"/>
          <w:sz w:val="24"/>
          <w:szCs w:val="32"/>
          <w:highlight w:val="none"/>
        </w:rPr>
        <w:t>；</w:t>
      </w:r>
    </w:p>
    <w:p w14:paraId="6F2C78FA">
      <w:pPr>
        <w:spacing w:line="360" w:lineRule="auto"/>
        <w:ind w:firstLine="420" w:firstLineChars="200"/>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发包人提供国外标准、规范的份数：</w:t>
      </w:r>
      <w:r>
        <w:rPr>
          <w:rFonts w:hint="eastAsia" w:ascii="宋体" w:hAnsi="宋体" w:eastAsia="宋体" w:cs="Times New Roman"/>
          <w:bCs/>
          <w:color w:val="auto"/>
          <w:sz w:val="21"/>
          <w:szCs w:val="21"/>
          <w:highlight w:val="none"/>
          <w:u w:val="single"/>
        </w:rPr>
        <w:t>无</w:t>
      </w:r>
      <w:r>
        <w:rPr>
          <w:rFonts w:ascii="宋体" w:hAnsi="宋体" w:eastAsia="宋体" w:cs="Times New Roman"/>
          <w:color w:val="auto"/>
          <w:kern w:val="0"/>
          <w:sz w:val="21"/>
          <w:szCs w:val="21"/>
          <w:highlight w:val="none"/>
        </w:rPr>
        <w:t>；</w:t>
      </w:r>
    </w:p>
    <w:p w14:paraId="784DB0F8">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kern w:val="0"/>
          <w:sz w:val="21"/>
          <w:szCs w:val="21"/>
          <w:highlight w:val="none"/>
        </w:rPr>
        <w:t>发包人提供国外标准、规范的名称：</w:t>
      </w:r>
      <w:r>
        <w:rPr>
          <w:rFonts w:hint="eastAsia" w:ascii="宋体" w:hAnsi="宋体" w:eastAsia="宋体" w:cs="Times New Roman"/>
          <w:bCs/>
          <w:color w:val="auto"/>
          <w:sz w:val="21"/>
          <w:szCs w:val="21"/>
          <w:highlight w:val="none"/>
          <w:u w:val="single"/>
        </w:rPr>
        <w:t>无</w:t>
      </w:r>
      <w:r>
        <w:rPr>
          <w:rFonts w:ascii="宋体" w:hAnsi="宋体" w:eastAsia="宋体" w:cs="Times New Roman"/>
          <w:color w:val="auto"/>
          <w:kern w:val="0"/>
          <w:sz w:val="21"/>
          <w:szCs w:val="21"/>
          <w:highlight w:val="none"/>
        </w:rPr>
        <w:t>。</w:t>
      </w:r>
    </w:p>
    <w:p w14:paraId="4091CCB6">
      <w:pPr>
        <w:spacing w:line="360" w:lineRule="auto"/>
        <w:ind w:firstLine="480" w:firstLineChars="200"/>
        <w:rPr>
          <w:rFonts w:hint="eastAsia" w:ascii="宋体" w:hAnsi="宋体" w:eastAsia="宋体" w:cs="Times New Roman"/>
          <w:color w:val="auto"/>
          <w:kern w:val="0"/>
          <w:sz w:val="24"/>
          <w:szCs w:val="32"/>
          <w:highlight w:val="none"/>
        </w:rPr>
      </w:pPr>
      <w:r>
        <w:rPr>
          <w:rFonts w:ascii="宋体" w:hAnsi="宋体" w:eastAsia="宋体" w:cs="Times New Roman"/>
          <w:color w:val="auto"/>
          <w:kern w:val="0"/>
          <w:sz w:val="24"/>
          <w:szCs w:val="32"/>
          <w:highlight w:val="none"/>
        </w:rPr>
        <w:t>1.4.3发包人对工程的技术标准和功能要求的特殊要求：</w:t>
      </w:r>
      <w:r>
        <w:rPr>
          <w:rFonts w:hint="eastAsia" w:ascii="宋体" w:hAnsi="宋体" w:eastAsia="宋体" w:cs="Times New Roman"/>
          <w:bCs/>
          <w:color w:val="auto"/>
          <w:sz w:val="21"/>
          <w:szCs w:val="21"/>
          <w:highlight w:val="none"/>
          <w:u w:val="single"/>
        </w:rPr>
        <w:t>无</w:t>
      </w:r>
      <w:r>
        <w:rPr>
          <w:rFonts w:ascii="宋体" w:hAnsi="宋体" w:eastAsia="宋体" w:cs="Times New Roman"/>
          <w:color w:val="auto"/>
          <w:kern w:val="0"/>
          <w:sz w:val="24"/>
          <w:szCs w:val="32"/>
          <w:highlight w:val="none"/>
        </w:rPr>
        <w:t>。</w:t>
      </w:r>
    </w:p>
    <w:p w14:paraId="662AD2D3">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1.5 合同文件的优先顺序</w:t>
      </w:r>
    </w:p>
    <w:p w14:paraId="1C72C93A">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合同文件组成及优先顺序为：</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1）本合同协议书；（2）中标通知书；（3）本合同专用条款；（4）明确双方权利义务的纪要或承诺或协议等契约；（5）</w:t>
      </w:r>
      <w:r>
        <w:rPr>
          <w:rFonts w:hint="eastAsia" w:ascii="宋体" w:hAnsi="宋体" w:eastAsia="宋体" w:cs="Times New Roman"/>
          <w:bCs/>
          <w:color w:val="auto"/>
          <w:sz w:val="21"/>
          <w:szCs w:val="21"/>
          <w:highlight w:val="none"/>
          <w:u w:val="single"/>
        </w:rPr>
        <w:t>采购文件</w:t>
      </w:r>
      <w:r>
        <w:rPr>
          <w:rFonts w:ascii="宋体" w:hAnsi="宋体" w:eastAsia="宋体" w:cs="Times New Roman"/>
          <w:bCs/>
          <w:color w:val="auto"/>
          <w:sz w:val="21"/>
          <w:szCs w:val="21"/>
          <w:highlight w:val="none"/>
          <w:u w:val="single"/>
        </w:rPr>
        <w:t>及其附件；（6）本合同通用条款；（7）标准、规范及有关技术文件、技术要求；（8）设计文件以及地勘报告（包括施工图纸、图审意见等）；（9）投标文件、工程报价单或预算书；（10）当对同一问题，国家</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江苏省、</w:t>
      </w:r>
      <w:r>
        <w:rPr>
          <w:rFonts w:hint="eastAsia" w:ascii="宋体" w:hAnsi="宋体" w:eastAsia="宋体" w:cs="Times New Roman"/>
          <w:bCs/>
          <w:color w:val="auto"/>
          <w:sz w:val="21"/>
          <w:szCs w:val="21"/>
          <w:highlight w:val="none"/>
          <w:u w:val="single"/>
          <w:lang w:val="en-US" w:eastAsia="zh-CN"/>
        </w:rPr>
        <w:t>工程所在地</w:t>
      </w:r>
      <w:r>
        <w:rPr>
          <w:rFonts w:ascii="宋体" w:hAnsi="宋体" w:eastAsia="宋体" w:cs="Times New Roman"/>
          <w:bCs/>
          <w:color w:val="auto"/>
          <w:sz w:val="21"/>
          <w:szCs w:val="21"/>
          <w:highlight w:val="none"/>
          <w:u w:val="single"/>
        </w:rPr>
        <w:t>颁布的标准和规范</w:t>
      </w:r>
      <w:r>
        <w:rPr>
          <w:rFonts w:hint="eastAsia" w:ascii="宋体" w:hAnsi="宋体" w:eastAsia="宋体" w:cs="Times New Roman"/>
          <w:bCs/>
          <w:color w:val="auto"/>
          <w:sz w:val="21"/>
          <w:szCs w:val="21"/>
          <w:highlight w:val="none"/>
          <w:u w:val="single"/>
        </w:rPr>
        <w:t>与采购文件</w:t>
      </w:r>
      <w:r>
        <w:rPr>
          <w:rFonts w:ascii="宋体" w:hAnsi="宋体" w:eastAsia="宋体" w:cs="Times New Roman"/>
          <w:bCs/>
          <w:color w:val="auto"/>
          <w:sz w:val="21"/>
          <w:szCs w:val="21"/>
          <w:highlight w:val="none"/>
          <w:u w:val="single"/>
        </w:rPr>
        <w:t>要求不一致时，以国家</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江苏省、</w:t>
      </w:r>
      <w:r>
        <w:rPr>
          <w:rFonts w:hint="eastAsia" w:ascii="宋体" w:hAnsi="宋体" w:eastAsia="宋体" w:cs="Times New Roman"/>
          <w:bCs/>
          <w:color w:val="auto"/>
          <w:sz w:val="21"/>
          <w:szCs w:val="21"/>
          <w:highlight w:val="none"/>
          <w:u w:val="single"/>
          <w:lang w:val="en-US" w:eastAsia="zh-CN"/>
        </w:rPr>
        <w:t>工程所在地</w:t>
      </w:r>
      <w:r>
        <w:rPr>
          <w:rFonts w:ascii="宋体" w:hAnsi="宋体" w:eastAsia="宋体" w:cs="Times New Roman"/>
          <w:bCs/>
          <w:color w:val="auto"/>
          <w:sz w:val="21"/>
          <w:szCs w:val="21"/>
          <w:highlight w:val="none"/>
          <w:u w:val="single"/>
        </w:rPr>
        <w:t>的标准、规范、规定</w:t>
      </w:r>
      <w:r>
        <w:rPr>
          <w:rFonts w:hint="eastAsia" w:ascii="宋体" w:hAnsi="宋体" w:eastAsia="宋体" w:cs="Times New Roman"/>
          <w:bCs/>
          <w:color w:val="auto"/>
          <w:sz w:val="21"/>
          <w:szCs w:val="21"/>
          <w:highlight w:val="none"/>
          <w:u w:val="single"/>
        </w:rPr>
        <w:t>与采购文件</w:t>
      </w:r>
      <w:r>
        <w:rPr>
          <w:rFonts w:ascii="宋体" w:hAnsi="宋体" w:eastAsia="宋体" w:cs="Times New Roman"/>
          <w:bCs/>
          <w:color w:val="auto"/>
          <w:sz w:val="21"/>
          <w:szCs w:val="21"/>
          <w:highlight w:val="none"/>
          <w:u w:val="single"/>
        </w:rPr>
        <w:t>要求的严格者为准；(11)其他经双方同意视为本合同组成的有关文件</w:t>
      </w:r>
      <w:r>
        <w:rPr>
          <w:rFonts w:ascii="宋体" w:hAnsi="宋体" w:eastAsia="宋体" w:cs="Times New Roman"/>
          <w:color w:val="auto"/>
          <w:sz w:val="21"/>
          <w:szCs w:val="21"/>
          <w:highlight w:val="none"/>
        </w:rPr>
        <w:t>。</w:t>
      </w:r>
    </w:p>
    <w:p w14:paraId="4B57A120">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1.6 图纸和承包人文件</w:t>
      </w:r>
      <w:r>
        <w:rPr>
          <w:rFonts w:ascii="Calibri" w:hAnsi="Calibri" w:eastAsia="黑体" w:cs="Times New Roman"/>
          <w:color w:val="auto"/>
          <w:sz w:val="24"/>
          <w:szCs w:val="24"/>
          <w:highlight w:val="none"/>
        </w:rPr>
        <w:tab/>
      </w:r>
    </w:p>
    <w:p w14:paraId="31E1B541">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1.6.1 图纸的提供</w:t>
      </w:r>
      <w:r>
        <w:rPr>
          <w:rFonts w:hint="eastAsia" w:ascii="宋体" w:hAnsi="宋体" w:eastAsia="宋体" w:cs="Times New Roman"/>
          <w:color w:val="auto"/>
          <w:sz w:val="21"/>
          <w:szCs w:val="21"/>
          <w:highlight w:val="none"/>
        </w:rPr>
        <w:t>（如有）</w:t>
      </w:r>
    </w:p>
    <w:p w14:paraId="6EE287A7">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发包人向承包人提供图纸的期限：</w:t>
      </w:r>
      <w:r>
        <w:rPr>
          <w:rFonts w:hint="eastAsia" w:ascii="宋体" w:hAnsi="宋体" w:eastAsia="宋体" w:cs="Times New Roman"/>
          <w:bCs/>
          <w:color w:val="auto"/>
          <w:sz w:val="21"/>
          <w:szCs w:val="21"/>
          <w:highlight w:val="none"/>
          <w:u w:val="single"/>
        </w:rPr>
        <w:t>开工前7日</w:t>
      </w:r>
      <w:r>
        <w:rPr>
          <w:rFonts w:ascii="宋体" w:hAnsi="宋体" w:eastAsia="宋体" w:cs="Times New Roman"/>
          <w:color w:val="auto"/>
          <w:sz w:val="21"/>
          <w:szCs w:val="21"/>
          <w:highlight w:val="none"/>
        </w:rPr>
        <w:t>；</w:t>
      </w:r>
    </w:p>
    <w:p w14:paraId="6B801D2F">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发包人向承包人提供图纸的数量：</w:t>
      </w:r>
      <w:r>
        <w:rPr>
          <w:rFonts w:hint="eastAsia" w:ascii="宋体" w:hAnsi="宋体" w:eastAsia="宋体" w:cs="Times New Roman"/>
          <w:color w:val="auto"/>
          <w:sz w:val="21"/>
          <w:szCs w:val="21"/>
          <w:highlight w:val="none"/>
        </w:rPr>
        <w:t>贰</w:t>
      </w:r>
      <w:r>
        <w:rPr>
          <w:rFonts w:hint="eastAsia" w:ascii="宋体" w:hAnsi="宋体" w:eastAsia="宋体" w:cs="Times New Roman"/>
          <w:bCs/>
          <w:color w:val="auto"/>
          <w:sz w:val="21"/>
          <w:szCs w:val="21"/>
          <w:highlight w:val="none"/>
          <w:u w:val="single"/>
        </w:rPr>
        <w:t>套</w:t>
      </w:r>
      <w:r>
        <w:rPr>
          <w:rFonts w:ascii="宋体" w:hAnsi="宋体" w:eastAsia="宋体" w:cs="Times New Roman"/>
          <w:color w:val="auto"/>
          <w:sz w:val="21"/>
          <w:szCs w:val="21"/>
          <w:highlight w:val="none"/>
        </w:rPr>
        <w:t>；</w:t>
      </w:r>
    </w:p>
    <w:p w14:paraId="017334AB">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发包人向承包人提供图纸的内容：</w:t>
      </w:r>
      <w:r>
        <w:rPr>
          <w:rFonts w:hint="eastAsia" w:ascii="宋体" w:hAnsi="宋体" w:eastAsia="宋体" w:cs="Times New Roman"/>
          <w:bCs/>
          <w:color w:val="auto"/>
          <w:sz w:val="21"/>
          <w:szCs w:val="21"/>
          <w:highlight w:val="none"/>
          <w:u w:val="single"/>
        </w:rPr>
        <w:t>与本次维修相关的内容</w:t>
      </w:r>
      <w:r>
        <w:rPr>
          <w:rFonts w:ascii="宋体" w:hAnsi="宋体" w:eastAsia="宋体" w:cs="Times New Roman"/>
          <w:color w:val="auto"/>
          <w:sz w:val="21"/>
          <w:szCs w:val="21"/>
          <w:highlight w:val="none"/>
        </w:rPr>
        <w:t>。</w:t>
      </w:r>
    </w:p>
    <w:p w14:paraId="0B1A3638">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1.6.</w:t>
      </w:r>
      <w:r>
        <w:rPr>
          <w:rFonts w:hint="eastAsia" w:ascii="宋体" w:hAnsi="宋体" w:eastAsia="宋体" w:cs="Times New Roman"/>
          <w:color w:val="auto"/>
          <w:sz w:val="21"/>
          <w:szCs w:val="21"/>
          <w:highlight w:val="none"/>
        </w:rPr>
        <w:t>2</w:t>
      </w:r>
      <w:r>
        <w:rPr>
          <w:rFonts w:ascii="宋体" w:hAnsi="宋体" w:eastAsia="宋体" w:cs="Times New Roman"/>
          <w:color w:val="auto"/>
          <w:sz w:val="21"/>
          <w:szCs w:val="21"/>
          <w:highlight w:val="none"/>
        </w:rPr>
        <w:t xml:space="preserve"> 承包人文件</w:t>
      </w:r>
    </w:p>
    <w:p w14:paraId="1318C51D">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需要由承包人提供的文件，包括：</w:t>
      </w:r>
      <w:r>
        <w:rPr>
          <w:rFonts w:hint="eastAsia" w:ascii="宋体" w:hAnsi="宋体" w:eastAsia="宋体" w:cs="Times New Roman"/>
          <w:bCs/>
          <w:color w:val="auto"/>
          <w:sz w:val="21"/>
          <w:szCs w:val="21"/>
          <w:highlight w:val="none"/>
          <w:u w:val="single"/>
        </w:rPr>
        <w:t>施工组织设计和进度计划等</w:t>
      </w:r>
      <w:r>
        <w:rPr>
          <w:rFonts w:ascii="宋体" w:hAnsi="宋体" w:eastAsia="宋体" w:cs="Times New Roman"/>
          <w:color w:val="auto"/>
          <w:sz w:val="21"/>
          <w:szCs w:val="21"/>
          <w:highlight w:val="none"/>
        </w:rPr>
        <w:t>；</w:t>
      </w:r>
    </w:p>
    <w:p w14:paraId="2FA8297A">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承包人提供的文件的期限为：</w:t>
      </w:r>
      <w:r>
        <w:rPr>
          <w:rFonts w:hint="eastAsia" w:ascii="宋体" w:hAnsi="宋体" w:eastAsia="宋体" w:cs="Times New Roman"/>
          <w:bCs/>
          <w:color w:val="auto"/>
          <w:sz w:val="21"/>
          <w:szCs w:val="21"/>
          <w:highlight w:val="none"/>
          <w:u w:val="single"/>
        </w:rPr>
        <w:t>开工前</w:t>
      </w:r>
      <w:r>
        <w:rPr>
          <w:rFonts w:ascii="宋体" w:hAnsi="宋体" w:eastAsia="宋体" w:cs="Times New Roman"/>
          <w:bCs/>
          <w:color w:val="auto"/>
          <w:sz w:val="21"/>
          <w:szCs w:val="21"/>
          <w:highlight w:val="none"/>
          <w:u w:val="single"/>
        </w:rPr>
        <w:t>7天</w:t>
      </w:r>
      <w:r>
        <w:rPr>
          <w:rFonts w:ascii="宋体" w:hAnsi="宋体" w:eastAsia="宋体" w:cs="Times New Roman"/>
          <w:color w:val="auto"/>
          <w:sz w:val="21"/>
          <w:szCs w:val="21"/>
          <w:highlight w:val="none"/>
        </w:rPr>
        <w:t>；</w:t>
      </w:r>
    </w:p>
    <w:p w14:paraId="5E4E7C93">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承包人提供的文件的数量为：</w:t>
      </w:r>
      <w:r>
        <w:rPr>
          <w:rFonts w:hint="eastAsia" w:ascii="宋体" w:hAnsi="宋体" w:eastAsia="宋体" w:cs="Times New Roman"/>
          <w:bCs/>
          <w:color w:val="auto"/>
          <w:sz w:val="21"/>
          <w:szCs w:val="21"/>
          <w:highlight w:val="none"/>
          <w:u w:val="single"/>
        </w:rPr>
        <w:t>伍份纸质档文件以及电子档文件</w:t>
      </w:r>
      <w:r>
        <w:rPr>
          <w:rFonts w:ascii="宋体" w:hAnsi="宋体" w:eastAsia="宋体" w:cs="Times New Roman"/>
          <w:color w:val="auto"/>
          <w:sz w:val="21"/>
          <w:szCs w:val="21"/>
          <w:highlight w:val="none"/>
        </w:rPr>
        <w:t>；</w:t>
      </w:r>
    </w:p>
    <w:p w14:paraId="67F9A7E4">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承包人提供的文件的形式为：</w:t>
      </w:r>
      <w:r>
        <w:rPr>
          <w:rFonts w:hint="eastAsia" w:ascii="宋体" w:hAnsi="宋体" w:eastAsia="宋体" w:cs="Times New Roman"/>
          <w:bCs/>
          <w:color w:val="auto"/>
          <w:sz w:val="21"/>
          <w:szCs w:val="21"/>
          <w:highlight w:val="none"/>
          <w:u w:val="single"/>
        </w:rPr>
        <w:t>书面形式（包括纸质档和电子档文件）</w:t>
      </w:r>
      <w:r>
        <w:rPr>
          <w:rFonts w:ascii="宋体" w:hAnsi="宋体" w:eastAsia="宋体" w:cs="Times New Roman"/>
          <w:color w:val="auto"/>
          <w:sz w:val="21"/>
          <w:szCs w:val="21"/>
          <w:highlight w:val="none"/>
        </w:rPr>
        <w:t>；</w:t>
      </w:r>
    </w:p>
    <w:p w14:paraId="3E668D75">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w:t>
      </w:r>
      <w:r>
        <w:rPr>
          <w:rFonts w:hint="eastAsia" w:ascii="宋体" w:hAnsi="宋体" w:eastAsia="宋体" w:cs="Times New Roman"/>
          <w:color w:val="auto"/>
          <w:sz w:val="21"/>
          <w:szCs w:val="21"/>
          <w:highlight w:val="none"/>
        </w:rPr>
        <w:t>审批</w:t>
      </w:r>
      <w:r>
        <w:rPr>
          <w:rFonts w:ascii="宋体" w:hAnsi="宋体" w:eastAsia="宋体" w:cs="Times New Roman"/>
          <w:color w:val="auto"/>
          <w:sz w:val="21"/>
          <w:szCs w:val="21"/>
          <w:highlight w:val="none"/>
        </w:rPr>
        <w:t>承包人文件的期限：</w:t>
      </w:r>
      <w:r>
        <w:rPr>
          <w:rFonts w:hint="eastAsia" w:ascii="宋体" w:hAnsi="宋体" w:eastAsia="宋体" w:cs="Times New Roman"/>
          <w:bCs/>
          <w:color w:val="auto"/>
          <w:sz w:val="21"/>
          <w:szCs w:val="21"/>
          <w:highlight w:val="none"/>
          <w:u w:val="single"/>
        </w:rPr>
        <w:t>收到承包人提交文件后</w:t>
      </w:r>
      <w:r>
        <w:rPr>
          <w:rFonts w:ascii="宋体" w:hAnsi="宋体" w:eastAsia="宋体" w:cs="Times New Roman"/>
          <w:bCs/>
          <w:color w:val="auto"/>
          <w:sz w:val="21"/>
          <w:szCs w:val="21"/>
          <w:highlight w:val="none"/>
          <w:u w:val="single"/>
        </w:rPr>
        <w:t>7天内</w:t>
      </w:r>
      <w:r>
        <w:rPr>
          <w:rFonts w:ascii="宋体" w:hAnsi="宋体" w:eastAsia="宋体" w:cs="Times New Roman"/>
          <w:color w:val="auto"/>
          <w:sz w:val="21"/>
          <w:szCs w:val="21"/>
          <w:highlight w:val="none"/>
        </w:rPr>
        <w:t>。</w:t>
      </w:r>
    </w:p>
    <w:p w14:paraId="66861074">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1.6.</w:t>
      </w:r>
      <w:r>
        <w:rPr>
          <w:rFonts w:hint="eastAsia" w:ascii="宋体" w:hAnsi="宋体" w:eastAsia="宋体" w:cs="Times New Roman"/>
          <w:color w:val="auto"/>
          <w:sz w:val="21"/>
          <w:szCs w:val="21"/>
          <w:highlight w:val="none"/>
        </w:rPr>
        <w:t>3</w:t>
      </w:r>
      <w:r>
        <w:rPr>
          <w:rFonts w:ascii="宋体" w:hAnsi="宋体" w:eastAsia="宋体" w:cs="Times New Roman"/>
          <w:color w:val="auto"/>
          <w:sz w:val="21"/>
          <w:szCs w:val="21"/>
          <w:highlight w:val="none"/>
        </w:rPr>
        <w:t xml:space="preserve"> 现场图纸准备</w:t>
      </w:r>
    </w:p>
    <w:p w14:paraId="21638BD9">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关于现场图纸准备的约定：</w:t>
      </w:r>
      <w:r>
        <w:rPr>
          <w:rFonts w:hint="eastAsia" w:ascii="宋体" w:hAnsi="宋体" w:eastAsia="宋体" w:cs="Times New Roman"/>
          <w:bCs/>
          <w:color w:val="auto"/>
          <w:sz w:val="21"/>
          <w:szCs w:val="21"/>
          <w:highlight w:val="none"/>
          <w:u w:val="single"/>
        </w:rPr>
        <w:t>由发包人提供</w:t>
      </w:r>
      <w:r>
        <w:rPr>
          <w:rFonts w:ascii="宋体" w:hAnsi="宋体" w:eastAsia="宋体" w:cs="Times New Roman"/>
          <w:color w:val="auto"/>
          <w:sz w:val="21"/>
          <w:szCs w:val="21"/>
          <w:highlight w:val="none"/>
        </w:rPr>
        <w:t>。</w:t>
      </w:r>
    </w:p>
    <w:p w14:paraId="559FB72A">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1.7 联络</w:t>
      </w:r>
    </w:p>
    <w:p w14:paraId="20BBF6F1">
      <w:pPr>
        <w:spacing w:line="360" w:lineRule="auto"/>
        <w:ind w:firstLine="420" w:firstLineChars="200"/>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1.7.1发包人和承包人应当在</w:t>
      </w:r>
      <w:r>
        <w:rPr>
          <w:rFonts w:ascii="宋体" w:hAnsi="宋体" w:eastAsia="宋体" w:cs="Times New Roman"/>
          <w:bCs/>
          <w:color w:val="auto"/>
          <w:sz w:val="21"/>
          <w:szCs w:val="21"/>
          <w:highlight w:val="none"/>
          <w:u w:val="single"/>
        </w:rPr>
        <w:t>3</w:t>
      </w:r>
      <w:r>
        <w:rPr>
          <w:rFonts w:ascii="宋体" w:hAnsi="宋体" w:eastAsia="宋体" w:cs="Times New Roman"/>
          <w:color w:val="auto"/>
          <w:kern w:val="0"/>
          <w:sz w:val="21"/>
          <w:szCs w:val="21"/>
          <w:highlight w:val="none"/>
        </w:rPr>
        <w:t>天内将与合同有关的通知、批准、证明、证书、指示、指令、要求、请求、同意、意见、确定和决定等书面函件送达对方当事人</w:t>
      </w:r>
      <w:r>
        <w:rPr>
          <w:rFonts w:hint="eastAsia" w:ascii="宋体" w:hAnsi="宋体" w:eastAsia="宋体" w:cs="Times New Roman"/>
          <w:color w:val="auto"/>
          <w:kern w:val="0"/>
          <w:sz w:val="21"/>
          <w:szCs w:val="21"/>
          <w:highlight w:val="none"/>
        </w:rPr>
        <w:t>。</w:t>
      </w:r>
    </w:p>
    <w:p w14:paraId="4665052B">
      <w:pPr>
        <w:spacing w:line="360" w:lineRule="auto"/>
        <w:ind w:firstLine="420" w:firstLineChars="200"/>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1.7.2 发包人接收文件的地点</w:t>
      </w:r>
      <w:r>
        <w:rPr>
          <w:rFonts w:hint="eastAsia" w:ascii="宋体" w:hAnsi="宋体" w:eastAsia="宋体" w:cs="Times New Roman"/>
          <w:color w:val="auto"/>
          <w:kern w:val="0"/>
          <w:sz w:val="21"/>
          <w:szCs w:val="21"/>
          <w:highlight w:val="none"/>
          <w:lang w:eastAsia="zh-CN"/>
        </w:rPr>
        <w:t>：</w:t>
      </w:r>
    </w:p>
    <w:p w14:paraId="70C3159D">
      <w:pPr>
        <w:spacing w:line="360" w:lineRule="auto"/>
        <w:ind w:firstLine="420" w:firstLineChars="200"/>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发包人指定的接收人为：</w:t>
      </w:r>
      <w:r>
        <w:rPr>
          <w:rFonts w:hint="eastAsia" w:ascii="宋体" w:hAnsi="宋体" w:eastAsia="宋体" w:cs="Times New Roman"/>
          <w:bCs/>
          <w:color w:val="auto"/>
          <w:sz w:val="21"/>
          <w:szCs w:val="21"/>
          <w:highlight w:val="none"/>
          <w:u w:val="single"/>
        </w:rPr>
        <w:t>甲方代表</w:t>
      </w:r>
      <w:r>
        <w:rPr>
          <w:rFonts w:ascii="宋体" w:hAnsi="宋体" w:eastAsia="宋体" w:cs="Times New Roman"/>
          <w:color w:val="auto"/>
          <w:kern w:val="0"/>
          <w:sz w:val="21"/>
          <w:szCs w:val="21"/>
          <w:highlight w:val="none"/>
        </w:rPr>
        <w:t>。</w:t>
      </w:r>
    </w:p>
    <w:p w14:paraId="5350E738">
      <w:pPr>
        <w:spacing w:line="360" w:lineRule="auto"/>
        <w:ind w:firstLine="420" w:firstLineChars="200"/>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承包人接收文件的地点：</w:t>
      </w:r>
      <w:r>
        <w:rPr>
          <w:rFonts w:hint="eastAsia" w:ascii="宋体" w:hAnsi="宋体" w:eastAsia="宋体" w:cs="Times New Roman"/>
          <w:bCs/>
          <w:color w:val="auto"/>
          <w:sz w:val="21"/>
          <w:szCs w:val="21"/>
          <w:highlight w:val="none"/>
          <w:u w:val="single"/>
        </w:rPr>
        <w:t>工地承包人项目部</w:t>
      </w:r>
      <w:r>
        <w:rPr>
          <w:rFonts w:ascii="宋体" w:hAnsi="宋体" w:eastAsia="宋体" w:cs="Times New Roman"/>
          <w:color w:val="auto"/>
          <w:kern w:val="0"/>
          <w:sz w:val="21"/>
          <w:szCs w:val="21"/>
          <w:highlight w:val="none"/>
        </w:rPr>
        <w:t>；</w:t>
      </w:r>
      <w:r>
        <w:rPr>
          <w:rFonts w:hint="eastAsia" w:ascii="宋体" w:hAnsi="宋体" w:eastAsia="宋体" w:cs="Times New Roman"/>
          <w:color w:val="auto"/>
          <w:kern w:val="0"/>
          <w:sz w:val="21"/>
          <w:szCs w:val="21"/>
          <w:highlight w:val="none"/>
        </w:rPr>
        <w:t>（如有）</w:t>
      </w:r>
    </w:p>
    <w:p w14:paraId="3DCF9FD5">
      <w:pPr>
        <w:spacing w:line="360" w:lineRule="auto"/>
        <w:ind w:firstLine="420" w:firstLineChars="200"/>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承包人指定的接收人为：</w:t>
      </w:r>
      <w:r>
        <w:rPr>
          <w:rFonts w:hint="eastAsia" w:ascii="宋体" w:hAnsi="宋体" w:eastAsia="宋体" w:cs="Times New Roman"/>
          <w:bCs/>
          <w:color w:val="auto"/>
          <w:sz w:val="21"/>
          <w:szCs w:val="21"/>
          <w:highlight w:val="none"/>
          <w:u w:val="single"/>
        </w:rPr>
        <w:t>投标项目负责人（项目经理）</w:t>
      </w:r>
      <w:r>
        <w:rPr>
          <w:rFonts w:ascii="宋体" w:hAnsi="宋体" w:eastAsia="宋体" w:cs="Times New Roman"/>
          <w:color w:val="auto"/>
          <w:kern w:val="0"/>
          <w:sz w:val="21"/>
          <w:szCs w:val="21"/>
          <w:highlight w:val="none"/>
        </w:rPr>
        <w:t>。</w:t>
      </w:r>
    </w:p>
    <w:p w14:paraId="11E8028D">
      <w:pPr>
        <w:spacing w:line="360" w:lineRule="auto"/>
        <w:ind w:firstLine="420" w:firstLineChars="200"/>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监理人接收文件的地点：</w:t>
      </w:r>
      <w:r>
        <w:rPr>
          <w:rFonts w:hint="eastAsia" w:ascii="宋体" w:hAnsi="宋体" w:eastAsia="宋体" w:cs="Times New Roman"/>
          <w:bCs/>
          <w:color w:val="auto"/>
          <w:sz w:val="21"/>
          <w:szCs w:val="21"/>
          <w:highlight w:val="none"/>
          <w:u w:val="single"/>
        </w:rPr>
        <w:t>工地监理项目部</w:t>
      </w:r>
      <w:r>
        <w:rPr>
          <w:rFonts w:ascii="宋体" w:hAnsi="宋体" w:eastAsia="宋体" w:cs="Times New Roman"/>
          <w:color w:val="auto"/>
          <w:kern w:val="0"/>
          <w:sz w:val="21"/>
          <w:szCs w:val="21"/>
          <w:highlight w:val="none"/>
        </w:rPr>
        <w:t>；</w:t>
      </w:r>
      <w:r>
        <w:rPr>
          <w:rFonts w:hint="eastAsia" w:ascii="宋体" w:hAnsi="宋体" w:eastAsia="宋体" w:cs="Times New Roman"/>
          <w:color w:val="auto"/>
          <w:kern w:val="0"/>
          <w:sz w:val="21"/>
          <w:szCs w:val="21"/>
          <w:highlight w:val="none"/>
        </w:rPr>
        <w:t>（如有）</w:t>
      </w:r>
    </w:p>
    <w:p w14:paraId="73EA8C79">
      <w:pPr>
        <w:spacing w:line="360" w:lineRule="auto"/>
        <w:ind w:firstLine="420" w:firstLineChars="200"/>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监理人指定的接收人为：</w:t>
      </w:r>
      <w:r>
        <w:rPr>
          <w:rFonts w:hint="eastAsia" w:ascii="宋体" w:hAnsi="宋体" w:eastAsia="宋体" w:cs="Times New Roman"/>
          <w:bCs/>
          <w:color w:val="auto"/>
          <w:sz w:val="21"/>
          <w:szCs w:val="21"/>
          <w:highlight w:val="none"/>
          <w:u w:val="single"/>
        </w:rPr>
        <w:t>总监</w:t>
      </w:r>
      <w:r>
        <w:rPr>
          <w:rFonts w:ascii="宋体" w:hAnsi="宋体" w:eastAsia="宋体" w:cs="Times New Roman"/>
          <w:color w:val="auto"/>
          <w:kern w:val="0"/>
          <w:sz w:val="21"/>
          <w:szCs w:val="21"/>
          <w:highlight w:val="none"/>
        </w:rPr>
        <w:t>。</w:t>
      </w:r>
      <w:r>
        <w:rPr>
          <w:rFonts w:hint="eastAsia" w:ascii="宋体" w:hAnsi="宋体" w:eastAsia="宋体" w:cs="Times New Roman"/>
          <w:color w:val="auto"/>
          <w:kern w:val="0"/>
          <w:sz w:val="21"/>
          <w:szCs w:val="21"/>
          <w:highlight w:val="none"/>
        </w:rPr>
        <w:t>（如有）</w:t>
      </w:r>
    </w:p>
    <w:p w14:paraId="7D428F63">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rPr>
        <w:t>8</w:t>
      </w:r>
      <w:r>
        <w:rPr>
          <w:rFonts w:ascii="Calibri" w:hAnsi="Calibri" w:eastAsia="黑体" w:cs="Times New Roman"/>
          <w:color w:val="auto"/>
          <w:sz w:val="24"/>
          <w:szCs w:val="24"/>
          <w:highlight w:val="none"/>
        </w:rPr>
        <w:t xml:space="preserve"> 交通运输</w:t>
      </w:r>
    </w:p>
    <w:p w14:paraId="2C18C12F">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rPr>
        <w:t>8</w:t>
      </w:r>
      <w:r>
        <w:rPr>
          <w:rFonts w:ascii="宋体" w:hAnsi="宋体" w:eastAsia="宋体" w:cs="Times New Roman"/>
          <w:color w:val="auto"/>
          <w:sz w:val="21"/>
          <w:szCs w:val="21"/>
          <w:highlight w:val="none"/>
        </w:rPr>
        <w:t>.1 出入现场的权利</w:t>
      </w:r>
    </w:p>
    <w:p w14:paraId="366BEA36">
      <w:pPr>
        <w:spacing w:line="360" w:lineRule="auto"/>
        <w:ind w:left="738" w:leftChars="284" w:firstLine="422"/>
        <w:rPr>
          <w:rFonts w:hint="eastAsia" w:ascii="宋体" w:hAnsi="宋体" w:eastAsia="宋体" w:cs="Times New Roman"/>
          <w:bCs/>
          <w:color w:val="auto"/>
          <w:sz w:val="21"/>
          <w:szCs w:val="21"/>
          <w:highlight w:val="none"/>
          <w:u w:val="single"/>
        </w:rPr>
      </w:pPr>
      <w:r>
        <w:rPr>
          <w:rFonts w:ascii="宋体" w:hAnsi="宋体" w:eastAsia="宋体" w:cs="Times New Roman"/>
          <w:color w:val="auto"/>
          <w:sz w:val="21"/>
          <w:szCs w:val="21"/>
          <w:highlight w:val="none"/>
        </w:rPr>
        <w:t>关于出入现场的权利的约定：</w:t>
      </w:r>
      <w:r>
        <w:rPr>
          <w:rFonts w:hint="eastAsia" w:ascii="宋体" w:hAnsi="宋体" w:eastAsia="宋体" w:cs="Times New Roman"/>
          <w:bCs/>
          <w:color w:val="auto"/>
          <w:sz w:val="21"/>
          <w:szCs w:val="21"/>
          <w:highlight w:val="none"/>
          <w:u w:val="single"/>
        </w:rPr>
        <w:t>除本项目参建单位相关人员外，其他人员未经许可不得进入施</w:t>
      </w:r>
    </w:p>
    <w:p w14:paraId="51476FFD">
      <w:pPr>
        <w:spacing w:line="360" w:lineRule="auto"/>
        <w:ind w:firstLine="422"/>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工现场，承包人应安排专人做好保卫工作，费用含在投标报价中</w:t>
      </w:r>
      <w:r>
        <w:rPr>
          <w:rFonts w:ascii="宋体" w:hAnsi="宋体" w:eastAsia="宋体" w:cs="Times New Roman"/>
          <w:color w:val="auto"/>
          <w:sz w:val="21"/>
          <w:szCs w:val="21"/>
          <w:highlight w:val="none"/>
        </w:rPr>
        <w:t>。</w:t>
      </w:r>
    </w:p>
    <w:p w14:paraId="02A4214A">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rPr>
        <w:t>8</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2</w:t>
      </w:r>
      <w:r>
        <w:rPr>
          <w:rFonts w:ascii="宋体" w:hAnsi="宋体" w:eastAsia="宋体" w:cs="Times New Roman"/>
          <w:color w:val="auto"/>
          <w:sz w:val="21"/>
          <w:szCs w:val="21"/>
          <w:highlight w:val="none"/>
        </w:rPr>
        <w:t xml:space="preserve"> 场内交通</w:t>
      </w:r>
    </w:p>
    <w:p w14:paraId="268088A8">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关于场外交通和场内交通的边界的约定：</w:t>
      </w:r>
      <w:r>
        <w:rPr>
          <w:rFonts w:hint="eastAsia" w:ascii="宋体" w:hAnsi="宋体" w:eastAsia="宋体" w:cs="Times New Roman"/>
          <w:bCs/>
          <w:color w:val="auto"/>
          <w:sz w:val="21"/>
          <w:szCs w:val="21"/>
          <w:highlight w:val="none"/>
          <w:u w:val="single"/>
        </w:rPr>
        <w:t>以</w:t>
      </w:r>
      <w:r>
        <w:rPr>
          <w:rFonts w:hint="eastAsia" w:ascii="宋体" w:hAnsi="宋体" w:eastAsia="宋体" w:cs="Times New Roman"/>
          <w:bCs/>
          <w:color w:val="auto"/>
          <w:sz w:val="21"/>
          <w:szCs w:val="21"/>
          <w:highlight w:val="none"/>
          <w:u w:val="single"/>
          <w:lang w:eastAsia="zh-CN"/>
        </w:rPr>
        <w:t>上</w:t>
      </w:r>
      <w:r>
        <w:rPr>
          <w:rFonts w:hint="eastAsia" w:ascii="宋体" w:hAnsi="宋体" w:eastAsia="宋体" w:cs="Times New Roman"/>
          <w:bCs/>
          <w:color w:val="auto"/>
          <w:sz w:val="21"/>
          <w:szCs w:val="21"/>
          <w:highlight w:val="none"/>
          <w:u w:val="single"/>
        </w:rPr>
        <w:t>游导流堰入口范围为界，以内为场内交通，以外为场外交通</w:t>
      </w:r>
      <w:r>
        <w:rPr>
          <w:rFonts w:ascii="宋体" w:hAnsi="宋体" w:eastAsia="宋体" w:cs="Times New Roman"/>
          <w:color w:val="auto"/>
          <w:sz w:val="21"/>
          <w:szCs w:val="21"/>
          <w:highlight w:val="none"/>
        </w:rPr>
        <w:t>。</w:t>
      </w:r>
    </w:p>
    <w:p w14:paraId="0D33C2E6">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关于发包人向承包人免费提供满足工程施工需要的场内道路和交通设施的约定：</w:t>
      </w:r>
    </w:p>
    <w:p w14:paraId="1A198B45">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bCs/>
          <w:color w:val="auto"/>
          <w:sz w:val="21"/>
          <w:szCs w:val="21"/>
          <w:highlight w:val="none"/>
          <w:u w:val="single"/>
        </w:rPr>
        <w:t>承包人如使用外部道路，自行办理相关手续；如使用发包人内部道路，需提前报备且经发包人同意后使用。发包人提供现场已有道路、围墙以及大门等设施，不再提供现场已有条件外的其他设施，如承包人施工期间损坏现有设施，应予以恢复或承担恢复的相关费用</w:t>
      </w:r>
      <w:r>
        <w:rPr>
          <w:rFonts w:ascii="宋体" w:hAnsi="宋体" w:eastAsia="宋体" w:cs="Times New Roman"/>
          <w:color w:val="auto"/>
          <w:sz w:val="21"/>
          <w:szCs w:val="21"/>
          <w:highlight w:val="none"/>
        </w:rPr>
        <w:t xml:space="preserve">。  </w:t>
      </w:r>
    </w:p>
    <w:p w14:paraId="4D6F2CBC">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rPr>
        <w:t>9</w:t>
      </w:r>
      <w:r>
        <w:rPr>
          <w:rFonts w:ascii="Calibri" w:hAnsi="Calibri" w:eastAsia="黑体" w:cs="Times New Roman"/>
          <w:color w:val="auto"/>
          <w:sz w:val="24"/>
          <w:szCs w:val="24"/>
          <w:highlight w:val="none"/>
        </w:rPr>
        <w:t xml:space="preserve"> 知识产权</w:t>
      </w:r>
      <w:r>
        <w:rPr>
          <w:rFonts w:hint="eastAsia" w:ascii="Calibri" w:hAnsi="Calibri" w:eastAsia="黑体" w:cs="Times New Roman"/>
          <w:color w:val="auto"/>
          <w:sz w:val="24"/>
          <w:szCs w:val="24"/>
          <w:highlight w:val="none"/>
        </w:rPr>
        <w:t>（如有）</w:t>
      </w:r>
    </w:p>
    <w:p w14:paraId="30C8083F">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rPr>
        <w:t>9</w:t>
      </w:r>
      <w:r>
        <w:rPr>
          <w:rFonts w:ascii="宋体" w:hAnsi="宋体" w:eastAsia="宋体" w:cs="Times New Roman"/>
          <w:color w:val="auto"/>
          <w:sz w:val="21"/>
          <w:szCs w:val="21"/>
          <w:highlight w:val="none"/>
        </w:rPr>
        <w:t>.1关于发包人提供给承包人的图纸、发包人为实施工程自行编制或委托编制的技术规范以及反映发包人关于合同要求或其他类似性质的文件的著作权的归属：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Times New Roman"/>
          <w:bCs/>
          <w:color w:val="auto"/>
          <w:sz w:val="21"/>
          <w:szCs w:val="21"/>
          <w:highlight w:val="none"/>
          <w:u w:val="single"/>
        </w:rPr>
        <w:t>发包人或按发包人与第三方签订的有关协议执行</w:t>
      </w:r>
      <w:r>
        <w:rPr>
          <w:rFonts w:ascii="宋体" w:hAnsi="宋体" w:eastAsia="宋体" w:cs="Times New Roman"/>
          <w:color w:val="auto"/>
          <w:sz w:val="21"/>
          <w:szCs w:val="21"/>
          <w:highlight w:val="none"/>
        </w:rPr>
        <w:t>。</w:t>
      </w:r>
    </w:p>
    <w:p w14:paraId="595578E4">
      <w:pPr>
        <w:spacing w:line="360" w:lineRule="auto"/>
        <w:ind w:firstLine="420" w:firstLineChars="20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1.9.2</w:t>
      </w:r>
      <w:r>
        <w:rPr>
          <w:rFonts w:ascii="宋体" w:hAnsi="宋体" w:eastAsia="宋体" w:cs="Times New Roman"/>
          <w:color w:val="auto"/>
          <w:sz w:val="21"/>
          <w:szCs w:val="21"/>
          <w:highlight w:val="none"/>
        </w:rPr>
        <w:t>关于发包人提供的上述文件的使用限制的要求：</w:t>
      </w:r>
      <w:r>
        <w:rPr>
          <w:rFonts w:hint="eastAsia" w:ascii="宋体" w:hAnsi="宋体" w:eastAsia="宋体" w:cs="Times New Roman"/>
          <w:bCs/>
          <w:color w:val="auto"/>
          <w:sz w:val="21"/>
          <w:szCs w:val="21"/>
          <w:highlight w:val="none"/>
          <w:u w:val="single"/>
        </w:rPr>
        <w:t>仅限用于本项目</w:t>
      </w:r>
      <w:r>
        <w:rPr>
          <w:rFonts w:ascii="宋体" w:hAnsi="宋体" w:eastAsia="宋体" w:cs="Times New Roman"/>
          <w:color w:val="auto"/>
          <w:sz w:val="21"/>
          <w:szCs w:val="21"/>
          <w:highlight w:val="none"/>
        </w:rPr>
        <w:t>。</w:t>
      </w:r>
    </w:p>
    <w:p w14:paraId="5C02B896">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rPr>
        <w:t>9</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3</w:t>
      </w:r>
      <w:r>
        <w:rPr>
          <w:rFonts w:ascii="宋体" w:hAnsi="宋体" w:eastAsia="宋体" w:cs="Times New Roman"/>
          <w:color w:val="auto"/>
          <w:sz w:val="21"/>
          <w:szCs w:val="21"/>
          <w:highlight w:val="none"/>
        </w:rPr>
        <w:t xml:space="preserve"> 关于承包人为实施工程所编制文件的著作权的归属：</w:t>
      </w:r>
      <w:r>
        <w:rPr>
          <w:rFonts w:hint="eastAsia" w:ascii="宋体" w:hAnsi="宋体" w:eastAsia="宋体" w:cs="Times New Roman"/>
          <w:bCs/>
          <w:color w:val="auto"/>
          <w:sz w:val="21"/>
          <w:szCs w:val="21"/>
          <w:highlight w:val="none"/>
          <w:u w:val="single"/>
        </w:rPr>
        <w:t>除署名权以外的著作权属于发包人</w:t>
      </w:r>
      <w:r>
        <w:rPr>
          <w:rFonts w:ascii="宋体" w:hAnsi="宋体" w:eastAsia="宋体" w:cs="Times New Roman"/>
          <w:color w:val="auto"/>
          <w:sz w:val="21"/>
          <w:szCs w:val="21"/>
          <w:highlight w:val="none"/>
        </w:rPr>
        <w:t>。</w:t>
      </w:r>
    </w:p>
    <w:p w14:paraId="4F54C4A9">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关于承包人提供的上述文件的使用限制的要求：</w:t>
      </w:r>
      <w:r>
        <w:rPr>
          <w:rFonts w:hint="eastAsia" w:ascii="宋体" w:hAnsi="宋体" w:eastAsia="宋体" w:cs="Times New Roman"/>
          <w:bCs/>
          <w:color w:val="auto"/>
          <w:sz w:val="21"/>
          <w:szCs w:val="21"/>
          <w:highlight w:val="none"/>
          <w:u w:val="single"/>
        </w:rPr>
        <w:t>仅限用于本项目</w:t>
      </w:r>
      <w:r>
        <w:rPr>
          <w:rFonts w:ascii="宋体" w:hAnsi="宋体" w:eastAsia="宋体" w:cs="Times New Roman"/>
          <w:color w:val="auto"/>
          <w:sz w:val="21"/>
          <w:szCs w:val="21"/>
          <w:highlight w:val="none"/>
        </w:rPr>
        <w:t>。</w:t>
      </w:r>
    </w:p>
    <w:p w14:paraId="3368DD9F">
      <w:pPr>
        <w:spacing w:line="360" w:lineRule="auto"/>
        <w:ind w:firstLine="420" w:firstLineChars="200"/>
        <w:rPr>
          <w:rFonts w:hint="eastAsia" w:ascii="宋体" w:hAnsi="宋体" w:eastAsia="宋体" w:cs="Times New Roman"/>
          <w:color w:val="auto"/>
          <w:kern w:val="0"/>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rPr>
        <w:t>9</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4</w:t>
      </w:r>
      <w:r>
        <w:rPr>
          <w:rFonts w:ascii="宋体" w:hAnsi="宋体" w:eastAsia="宋体" w:cs="Times New Roman"/>
          <w:color w:val="auto"/>
          <w:sz w:val="21"/>
          <w:szCs w:val="21"/>
          <w:highlight w:val="none"/>
        </w:rPr>
        <w:t xml:space="preserve"> 承包人在施工过程中所采用的专利、专有技术、技术秘密的使用费的承担方式：</w:t>
      </w:r>
      <w:r>
        <w:rPr>
          <w:rFonts w:hint="eastAsia" w:ascii="宋体" w:hAnsi="宋体" w:eastAsia="宋体" w:cs="Times New Roman"/>
          <w:bCs/>
          <w:color w:val="auto"/>
          <w:sz w:val="21"/>
          <w:szCs w:val="21"/>
          <w:highlight w:val="none"/>
          <w:u w:val="single"/>
        </w:rPr>
        <w:t>已含在合同价款中，由承包人承担</w:t>
      </w:r>
      <w:r>
        <w:rPr>
          <w:rFonts w:ascii="宋体" w:hAnsi="宋体" w:eastAsia="宋体" w:cs="Times New Roman"/>
          <w:color w:val="auto"/>
          <w:kern w:val="0"/>
          <w:sz w:val="21"/>
          <w:szCs w:val="21"/>
          <w:highlight w:val="none"/>
        </w:rPr>
        <w:t>。</w:t>
      </w:r>
    </w:p>
    <w:p w14:paraId="64142CA0">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1.1</w:t>
      </w:r>
      <w:r>
        <w:rPr>
          <w:rFonts w:hint="eastAsia" w:ascii="Calibri" w:hAnsi="Calibri" w:eastAsia="黑体" w:cs="Times New Roman"/>
          <w:color w:val="auto"/>
          <w:sz w:val="24"/>
          <w:szCs w:val="24"/>
          <w:highlight w:val="none"/>
        </w:rPr>
        <w:t>0</w:t>
      </w:r>
      <w:r>
        <w:rPr>
          <w:rFonts w:ascii="Calibri" w:hAnsi="Calibri" w:eastAsia="黑体" w:cs="Times New Roman"/>
          <w:color w:val="auto"/>
          <w:sz w:val="24"/>
          <w:szCs w:val="24"/>
          <w:highlight w:val="none"/>
        </w:rPr>
        <w:t>工程量清单错误的修正</w:t>
      </w:r>
    </w:p>
    <w:p w14:paraId="52E3A671">
      <w:pPr>
        <w:spacing w:line="360" w:lineRule="auto"/>
        <w:ind w:firstLine="420" w:firstLineChars="20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出现工程量清单错误时，是否调整合同价格：</w:t>
      </w:r>
      <w:r>
        <w:rPr>
          <w:rFonts w:hint="eastAsia" w:ascii="宋体" w:hAnsi="宋体" w:eastAsia="宋体" w:cs="Times New Roman"/>
          <w:bCs/>
          <w:color w:val="auto"/>
          <w:sz w:val="21"/>
          <w:szCs w:val="21"/>
          <w:highlight w:val="none"/>
          <w:u w:val="single"/>
        </w:rPr>
        <w:t>按现行清单计价规范相应条款执行</w:t>
      </w:r>
      <w:r>
        <w:rPr>
          <w:rFonts w:ascii="宋体" w:hAnsi="宋体" w:eastAsia="宋体" w:cs="Times New Roman"/>
          <w:color w:val="auto"/>
          <w:kern w:val="0"/>
          <w:sz w:val="21"/>
          <w:szCs w:val="21"/>
          <w:highlight w:val="none"/>
        </w:rPr>
        <w:t>。</w:t>
      </w:r>
    </w:p>
    <w:p w14:paraId="1604E165">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允许调整合同价格的工程量偏差范围：</w:t>
      </w:r>
      <w:r>
        <w:rPr>
          <w:rFonts w:ascii="宋体" w:hAnsi="宋体" w:eastAsia="宋体" w:cs="Times New Roman"/>
          <w:bCs/>
          <w:color w:val="auto"/>
          <w:sz w:val="21"/>
          <w:szCs w:val="21"/>
          <w:highlight w:val="none"/>
          <w:u w:val="single"/>
        </w:rPr>
        <w:t>/</w:t>
      </w:r>
      <w:r>
        <w:rPr>
          <w:rFonts w:ascii="宋体" w:hAnsi="宋体" w:eastAsia="宋体" w:cs="Times New Roman"/>
          <w:color w:val="auto"/>
          <w:kern w:val="0"/>
          <w:sz w:val="21"/>
          <w:szCs w:val="21"/>
          <w:highlight w:val="none"/>
        </w:rPr>
        <w:t>。</w:t>
      </w:r>
    </w:p>
    <w:p w14:paraId="13D499CF">
      <w:pPr>
        <w:keepNext/>
        <w:keepLines/>
        <w:spacing w:before="120" w:after="120" w:line="360" w:lineRule="auto"/>
        <w:ind w:firstLine="562"/>
        <w:outlineLvl w:val="3"/>
        <w:rPr>
          <w:rFonts w:ascii="Calibri" w:hAnsi="Calibri" w:eastAsia="黑体" w:cs="Times New Roman"/>
          <w:color w:val="auto"/>
          <w:sz w:val="28"/>
          <w:highlight w:val="none"/>
        </w:rPr>
      </w:pPr>
      <w:r>
        <w:rPr>
          <w:rFonts w:ascii="Calibri" w:hAnsi="Calibri" w:eastAsia="黑体" w:cs="Times New Roman"/>
          <w:color w:val="auto"/>
          <w:sz w:val="28"/>
          <w:highlight w:val="none"/>
        </w:rPr>
        <w:t>2. 发包人</w:t>
      </w:r>
    </w:p>
    <w:p w14:paraId="578076DE">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2.</w:t>
      </w:r>
      <w:r>
        <w:rPr>
          <w:rFonts w:hint="eastAsia" w:ascii="Calibri" w:hAnsi="Calibri" w:eastAsia="黑体" w:cs="Times New Roman"/>
          <w:color w:val="auto"/>
          <w:sz w:val="24"/>
          <w:szCs w:val="24"/>
          <w:highlight w:val="none"/>
        </w:rPr>
        <w:t>1</w:t>
      </w:r>
      <w:r>
        <w:rPr>
          <w:rFonts w:ascii="Calibri" w:hAnsi="Calibri" w:eastAsia="黑体" w:cs="Times New Roman"/>
          <w:color w:val="auto"/>
          <w:sz w:val="24"/>
          <w:szCs w:val="24"/>
          <w:highlight w:val="none"/>
        </w:rPr>
        <w:t xml:space="preserve"> 发包人代表</w:t>
      </w:r>
    </w:p>
    <w:p w14:paraId="151E8359">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发包人代表：</w:t>
      </w:r>
    </w:p>
    <w:p w14:paraId="65497C06">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姓    名</w:t>
      </w:r>
      <w:r>
        <w:rPr>
          <w:rFonts w:hint="eastAsia" w:ascii="宋体" w:hAnsi="宋体" w:eastAsia="宋体" w:cs="Times New Roman"/>
          <w:color w:val="auto"/>
          <w:sz w:val="21"/>
          <w:szCs w:val="21"/>
          <w:highlight w:val="none"/>
          <w:lang w:eastAsia="zh-CN"/>
        </w:rPr>
        <w:t>：</w:t>
      </w:r>
    </w:p>
    <w:p w14:paraId="245CFC8F">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身份证号</w:t>
      </w:r>
      <w:r>
        <w:rPr>
          <w:rFonts w:hint="eastAsia" w:ascii="宋体" w:hAnsi="宋体" w:eastAsia="宋体" w:cs="Times New Roman"/>
          <w:color w:val="auto"/>
          <w:sz w:val="21"/>
          <w:szCs w:val="21"/>
          <w:highlight w:val="none"/>
          <w:lang w:eastAsia="zh-CN"/>
        </w:rPr>
        <w:t>：</w:t>
      </w:r>
    </w:p>
    <w:p w14:paraId="385EC83D">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职    务</w:t>
      </w:r>
      <w:r>
        <w:rPr>
          <w:rFonts w:hint="eastAsia" w:ascii="宋体" w:hAnsi="宋体" w:eastAsia="宋体" w:cs="Times New Roman"/>
          <w:color w:val="auto"/>
          <w:sz w:val="21"/>
          <w:szCs w:val="21"/>
          <w:highlight w:val="none"/>
          <w:lang w:eastAsia="zh-CN"/>
        </w:rPr>
        <w:t>：</w:t>
      </w:r>
    </w:p>
    <w:p w14:paraId="5B7C3EAA">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联系电话</w:t>
      </w:r>
      <w:r>
        <w:rPr>
          <w:rFonts w:hint="eastAsia" w:ascii="宋体" w:hAnsi="宋体" w:eastAsia="宋体" w:cs="Times New Roman"/>
          <w:color w:val="auto"/>
          <w:sz w:val="21"/>
          <w:szCs w:val="21"/>
          <w:highlight w:val="none"/>
          <w:lang w:eastAsia="zh-CN"/>
        </w:rPr>
        <w:t>：</w:t>
      </w:r>
    </w:p>
    <w:p w14:paraId="0B70FC1B">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电子信箱</w:t>
      </w:r>
      <w:r>
        <w:rPr>
          <w:rFonts w:hint="eastAsia" w:ascii="宋体" w:hAnsi="宋体" w:eastAsia="宋体" w:cs="Times New Roman"/>
          <w:color w:val="auto"/>
          <w:sz w:val="21"/>
          <w:szCs w:val="21"/>
          <w:highlight w:val="none"/>
          <w:lang w:eastAsia="zh-CN"/>
        </w:rPr>
        <w:t>：</w:t>
      </w:r>
    </w:p>
    <w:p w14:paraId="5BE3AAC2">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通信地址</w:t>
      </w:r>
      <w:r>
        <w:rPr>
          <w:rFonts w:hint="eastAsia" w:ascii="宋体" w:hAnsi="宋体" w:eastAsia="宋体" w:cs="Times New Roman"/>
          <w:color w:val="auto"/>
          <w:sz w:val="21"/>
          <w:szCs w:val="21"/>
          <w:highlight w:val="none"/>
          <w:lang w:eastAsia="zh-CN"/>
        </w:rPr>
        <w:t>：</w:t>
      </w:r>
    </w:p>
    <w:p w14:paraId="62CABCE6">
      <w:pPr>
        <w:spacing w:line="360" w:lineRule="auto"/>
        <w:ind w:firstLine="420" w:firstLineChars="200"/>
        <w:rPr>
          <w:rFonts w:hint="eastAsia" w:ascii="宋体" w:hAnsi="宋体" w:eastAsia="宋体" w:cs="Times New Roman"/>
          <w:b/>
          <w:color w:val="auto"/>
          <w:sz w:val="21"/>
          <w:szCs w:val="21"/>
          <w:highlight w:val="none"/>
        </w:rPr>
      </w:pPr>
      <w:r>
        <w:rPr>
          <w:rFonts w:ascii="宋体" w:hAnsi="宋体" w:eastAsia="宋体" w:cs="Times New Roman"/>
          <w:color w:val="auto"/>
          <w:sz w:val="21"/>
          <w:szCs w:val="21"/>
          <w:highlight w:val="none"/>
        </w:rPr>
        <w:t>发包人对发包人代表的授权范围如下：</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1）行使发包人代表的权利，包括组织施工现场发包人的工作及代表发包人行使本合同授予发包人的相关权力。（2）本合同实施过程中，所有应由承包人负责又需发包人派驻代表审批或确认的事情均不能免除或减轻承包人应负的合同责任。（3）发包人权利及相关约定：①对于承包人在施工阶段一切违背本合同文件条款和国家有关规定的行为，发包人有权就有关事项书面发出通知。如承包人在接获发包人要求纠正的书面通知后十天内仍未遵照执行时，则发包人有权直接</w:t>
      </w:r>
      <w:r>
        <w:rPr>
          <w:rFonts w:hint="eastAsia" w:ascii="宋体" w:hAnsi="宋体" w:eastAsia="宋体" w:cs="Times New Roman"/>
          <w:bCs/>
          <w:color w:val="auto"/>
          <w:sz w:val="21"/>
          <w:szCs w:val="21"/>
          <w:highlight w:val="none"/>
          <w:u w:val="single"/>
          <w:lang w:eastAsia="zh-CN"/>
        </w:rPr>
        <w:t>召请</w:t>
      </w:r>
      <w:r>
        <w:rPr>
          <w:rFonts w:ascii="宋体" w:hAnsi="宋体" w:eastAsia="宋体" w:cs="Times New Roman"/>
          <w:bCs/>
          <w:color w:val="auto"/>
          <w:sz w:val="21"/>
          <w:szCs w:val="21"/>
          <w:highlight w:val="none"/>
          <w:u w:val="single"/>
        </w:rPr>
        <w:t>其他承包人执行该书面通知所需的任何工作，由此招请而产生的费用和发包人的相关损失，</w:t>
      </w:r>
      <w:r>
        <w:rPr>
          <w:rFonts w:hint="eastAsia" w:ascii="宋体" w:hAnsi="宋体" w:eastAsia="宋体" w:cs="Times New Roman"/>
          <w:bCs/>
          <w:color w:val="auto"/>
          <w:sz w:val="21"/>
          <w:szCs w:val="21"/>
          <w:highlight w:val="none"/>
          <w:u w:val="single"/>
        </w:rPr>
        <w:t>发包人可作为债务向承包人索还或在根据本合同文件内应付或届期应付承包人的款项内扣除，支付执行者。②发包人可以书面形式通知承包人要求其暂停履行合同规定的全部或部分义务，通知应说明暂停履行的义务、有效日期和理由，承包人应就此暂停履行其义务（除照管工程所需的部分外）直到发包人签发恢复履行的书面通知。③发包人的通知应以书面形式发出。任何口述通知不应立即生效，承包人应在接获通知后</w:t>
      </w:r>
      <w:r>
        <w:rPr>
          <w:rFonts w:ascii="宋体" w:hAnsi="宋体" w:eastAsia="宋体" w:cs="Times New Roman"/>
          <w:bCs/>
          <w:color w:val="auto"/>
          <w:sz w:val="21"/>
          <w:szCs w:val="21"/>
          <w:highlight w:val="none"/>
          <w:u w:val="single"/>
        </w:rPr>
        <w:t>3天内向发包人书面（加盖公章）请求确认</w:t>
      </w:r>
      <w:r>
        <w:rPr>
          <w:rFonts w:ascii="宋体" w:hAnsi="宋体" w:eastAsia="宋体" w:cs="Times New Roman"/>
          <w:color w:val="auto"/>
          <w:sz w:val="21"/>
          <w:szCs w:val="21"/>
          <w:highlight w:val="none"/>
        </w:rPr>
        <w:t>。</w:t>
      </w:r>
    </w:p>
    <w:p w14:paraId="041FCCDC">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2.</w:t>
      </w:r>
      <w:r>
        <w:rPr>
          <w:rFonts w:hint="eastAsia" w:ascii="Calibri" w:hAnsi="Calibri" w:eastAsia="黑体" w:cs="Times New Roman"/>
          <w:color w:val="auto"/>
          <w:sz w:val="24"/>
          <w:szCs w:val="24"/>
          <w:highlight w:val="none"/>
        </w:rPr>
        <w:t>2</w:t>
      </w:r>
      <w:r>
        <w:rPr>
          <w:rFonts w:ascii="Calibri" w:hAnsi="Calibri" w:eastAsia="黑体" w:cs="Times New Roman"/>
          <w:color w:val="auto"/>
          <w:sz w:val="24"/>
          <w:szCs w:val="24"/>
          <w:highlight w:val="none"/>
        </w:rPr>
        <w:t xml:space="preserve"> 施工现场、施工条件和基础资料的提供</w:t>
      </w:r>
    </w:p>
    <w:p w14:paraId="7865AEF6">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2.</w:t>
      </w:r>
      <w:r>
        <w:rPr>
          <w:rFonts w:hint="eastAsia" w:ascii="宋体" w:hAnsi="宋体" w:eastAsia="宋体" w:cs="Times New Roman"/>
          <w:color w:val="auto"/>
          <w:sz w:val="21"/>
          <w:szCs w:val="21"/>
          <w:highlight w:val="none"/>
        </w:rPr>
        <w:t>2</w:t>
      </w:r>
      <w:r>
        <w:rPr>
          <w:rFonts w:ascii="宋体" w:hAnsi="宋体" w:eastAsia="宋体" w:cs="Times New Roman"/>
          <w:color w:val="auto"/>
          <w:sz w:val="21"/>
          <w:szCs w:val="21"/>
          <w:highlight w:val="none"/>
        </w:rPr>
        <w:t>.1 提供施工现场</w:t>
      </w:r>
    </w:p>
    <w:p w14:paraId="07F71660">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关于发包人移交施工现场的期限要求：</w:t>
      </w:r>
      <w:r>
        <w:rPr>
          <w:rFonts w:hint="eastAsia" w:ascii="宋体" w:hAnsi="宋体" w:eastAsia="宋体" w:cs="Times New Roman"/>
          <w:bCs/>
          <w:color w:val="auto"/>
          <w:sz w:val="21"/>
          <w:szCs w:val="21"/>
          <w:highlight w:val="none"/>
          <w:u w:val="single"/>
        </w:rPr>
        <w:t>开工前</w:t>
      </w:r>
      <w:r>
        <w:rPr>
          <w:rFonts w:ascii="宋体" w:hAnsi="宋体" w:eastAsia="宋体" w:cs="Times New Roman"/>
          <w:bCs/>
          <w:color w:val="auto"/>
          <w:sz w:val="21"/>
          <w:szCs w:val="21"/>
          <w:highlight w:val="none"/>
          <w:u w:val="single"/>
        </w:rPr>
        <w:t>7天</w:t>
      </w:r>
      <w:r>
        <w:rPr>
          <w:rFonts w:ascii="宋体" w:hAnsi="宋体" w:eastAsia="宋体" w:cs="Times New Roman"/>
          <w:color w:val="auto"/>
          <w:sz w:val="21"/>
          <w:szCs w:val="21"/>
          <w:highlight w:val="none"/>
        </w:rPr>
        <w:t>。</w:t>
      </w:r>
    </w:p>
    <w:p w14:paraId="72B40E27">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2.</w:t>
      </w:r>
      <w:r>
        <w:rPr>
          <w:rFonts w:hint="eastAsia" w:ascii="宋体" w:hAnsi="宋体" w:eastAsia="宋体" w:cs="Times New Roman"/>
          <w:color w:val="auto"/>
          <w:sz w:val="21"/>
          <w:szCs w:val="21"/>
          <w:highlight w:val="none"/>
        </w:rPr>
        <w:t>2</w:t>
      </w:r>
      <w:r>
        <w:rPr>
          <w:rFonts w:ascii="宋体" w:hAnsi="宋体" w:eastAsia="宋体" w:cs="Times New Roman"/>
          <w:color w:val="auto"/>
          <w:sz w:val="21"/>
          <w:szCs w:val="21"/>
          <w:highlight w:val="none"/>
        </w:rPr>
        <w:t>.2 提供施工条件</w:t>
      </w:r>
    </w:p>
    <w:p w14:paraId="615F2EB8">
      <w:pPr>
        <w:spacing w:line="360" w:lineRule="auto"/>
        <w:ind w:firstLine="420" w:firstLineChars="200"/>
        <w:rPr>
          <w:rFonts w:hint="eastAsia"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关于发包人应负责提供施工</w:t>
      </w:r>
      <w:r>
        <w:rPr>
          <w:rFonts w:hint="eastAsia" w:ascii="宋体" w:hAnsi="宋体" w:eastAsia="宋体" w:cs="Times New Roman"/>
          <w:color w:val="auto"/>
          <w:sz w:val="21"/>
          <w:szCs w:val="21"/>
          <w:highlight w:val="none"/>
        </w:rPr>
        <w:t>所需要的条件，</w:t>
      </w:r>
      <w:r>
        <w:rPr>
          <w:rFonts w:ascii="宋体" w:hAnsi="宋体" w:eastAsia="宋体" w:cs="Times New Roman"/>
          <w:color w:val="auto"/>
          <w:sz w:val="21"/>
          <w:szCs w:val="21"/>
          <w:highlight w:val="none"/>
        </w:rPr>
        <w:t>包括：</w:t>
      </w:r>
      <w:r>
        <w:rPr>
          <w:rFonts w:hint="eastAsia" w:ascii="宋体" w:hAnsi="宋体" w:eastAsia="宋体" w:cs="Times New Roman"/>
          <w:bCs/>
          <w:color w:val="auto"/>
          <w:sz w:val="21"/>
          <w:szCs w:val="21"/>
          <w:highlight w:val="none"/>
          <w:u w:val="single"/>
        </w:rPr>
        <w:t>承包人在投标前已经到工地勘察并充分了解工地位置、邻近建筑物、道路、储存空间、起卸限制及任何其他足以影响投标报价之情况。中标后，承包人不得因以不了解现场情况或误解工地情况提出费用或工期索赔</w:t>
      </w:r>
      <w:r>
        <w:rPr>
          <w:rFonts w:ascii="宋体" w:hAnsi="宋体" w:eastAsia="宋体" w:cs="Times New Roman"/>
          <w:color w:val="auto"/>
          <w:sz w:val="21"/>
          <w:szCs w:val="21"/>
          <w:highlight w:val="none"/>
        </w:rPr>
        <w:t>。</w:t>
      </w:r>
    </w:p>
    <w:p w14:paraId="0D98A911">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2.</w:t>
      </w:r>
      <w:r>
        <w:rPr>
          <w:rFonts w:hint="eastAsia" w:ascii="Calibri" w:hAnsi="Calibri" w:eastAsia="黑体" w:cs="Times New Roman"/>
          <w:color w:val="auto"/>
          <w:sz w:val="24"/>
          <w:szCs w:val="24"/>
          <w:highlight w:val="none"/>
        </w:rPr>
        <w:t>3</w:t>
      </w:r>
      <w:r>
        <w:rPr>
          <w:rFonts w:ascii="Calibri" w:hAnsi="Calibri" w:eastAsia="黑体" w:cs="Times New Roman"/>
          <w:color w:val="auto"/>
          <w:sz w:val="24"/>
          <w:szCs w:val="24"/>
          <w:highlight w:val="none"/>
        </w:rPr>
        <w:t xml:space="preserve"> 资金来源证明及支付担保</w:t>
      </w:r>
    </w:p>
    <w:p w14:paraId="79ED6453">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发包人提供资金来源证明的期限要求：</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64DDC107">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发包人是否提供支付担保：</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0A19463F">
      <w:pPr>
        <w:spacing w:line="360" w:lineRule="auto"/>
        <w:ind w:firstLine="420" w:firstLineChars="200"/>
        <w:rPr>
          <w:rFonts w:hint="eastAsia"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发包人提供支付担保的形式：</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52CB604B">
      <w:pPr>
        <w:keepNext/>
        <w:keepLines/>
        <w:spacing w:before="120" w:after="120" w:line="360" w:lineRule="auto"/>
        <w:ind w:firstLine="562"/>
        <w:outlineLvl w:val="3"/>
        <w:rPr>
          <w:rFonts w:ascii="Calibri" w:hAnsi="Calibri" w:eastAsia="黑体" w:cs="Times New Roman"/>
          <w:color w:val="auto"/>
          <w:sz w:val="28"/>
          <w:highlight w:val="none"/>
        </w:rPr>
      </w:pPr>
      <w:r>
        <w:rPr>
          <w:rFonts w:ascii="Calibri" w:hAnsi="Calibri" w:eastAsia="黑体" w:cs="Times New Roman"/>
          <w:color w:val="auto"/>
          <w:sz w:val="28"/>
          <w:highlight w:val="none"/>
        </w:rPr>
        <w:t>3. 承包人</w:t>
      </w:r>
    </w:p>
    <w:p w14:paraId="3C85BEE7">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3.1 承包人的一般义务</w:t>
      </w:r>
    </w:p>
    <w:p w14:paraId="25C4607A">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kern w:val="0"/>
          <w:sz w:val="21"/>
          <w:szCs w:val="21"/>
          <w:highlight w:val="none"/>
        </w:rPr>
        <w:t>3.1.1</w:t>
      </w:r>
      <w:r>
        <w:rPr>
          <w:rFonts w:ascii="宋体" w:hAnsi="宋体" w:eastAsia="宋体" w:cs="Times New Roman"/>
          <w:color w:val="auto"/>
          <w:sz w:val="21"/>
          <w:szCs w:val="21"/>
          <w:highlight w:val="none"/>
        </w:rPr>
        <w:t>承包人提交的竣工资料的内容：</w:t>
      </w:r>
      <w:r>
        <w:rPr>
          <w:rFonts w:hint="eastAsia" w:ascii="宋体" w:hAnsi="宋体" w:eastAsia="宋体" w:cs="Times New Roman"/>
          <w:bCs/>
          <w:color w:val="auto"/>
          <w:sz w:val="21"/>
          <w:szCs w:val="21"/>
          <w:highlight w:val="none"/>
          <w:u w:val="single"/>
        </w:rPr>
        <w:t>按照建设主管部门相关文件要求</w:t>
      </w:r>
      <w:r>
        <w:rPr>
          <w:rFonts w:ascii="宋体" w:hAnsi="宋体" w:eastAsia="宋体" w:cs="Times New Roman"/>
          <w:color w:val="auto"/>
          <w:sz w:val="21"/>
          <w:szCs w:val="21"/>
          <w:highlight w:val="none"/>
        </w:rPr>
        <w:t>。</w:t>
      </w:r>
    </w:p>
    <w:p w14:paraId="585624A2">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承包人需要提交的竣工资料套数：</w:t>
      </w:r>
      <w:r>
        <w:rPr>
          <w:rFonts w:hint="eastAsia" w:ascii="宋体" w:hAnsi="宋体" w:eastAsia="宋体" w:cs="Times New Roman"/>
          <w:bCs/>
          <w:color w:val="auto"/>
          <w:sz w:val="21"/>
          <w:szCs w:val="21"/>
          <w:highlight w:val="none"/>
          <w:u w:val="single"/>
        </w:rPr>
        <w:t>叁套</w:t>
      </w:r>
      <w:r>
        <w:rPr>
          <w:rFonts w:ascii="宋体" w:hAnsi="宋体" w:eastAsia="宋体" w:cs="Times New Roman"/>
          <w:color w:val="auto"/>
          <w:sz w:val="21"/>
          <w:szCs w:val="21"/>
          <w:highlight w:val="none"/>
        </w:rPr>
        <w:t>。</w:t>
      </w:r>
    </w:p>
    <w:p w14:paraId="62F0EF86">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承包人提交的竣工资料的费用承担：</w:t>
      </w:r>
      <w:r>
        <w:rPr>
          <w:rFonts w:hint="eastAsia" w:ascii="宋体" w:hAnsi="宋体" w:eastAsia="宋体" w:cs="Times New Roman"/>
          <w:bCs/>
          <w:color w:val="auto"/>
          <w:sz w:val="21"/>
          <w:szCs w:val="21"/>
          <w:highlight w:val="none"/>
          <w:u w:val="single"/>
        </w:rPr>
        <w:t>由承包人承担</w:t>
      </w:r>
      <w:r>
        <w:rPr>
          <w:rFonts w:ascii="宋体" w:hAnsi="宋体" w:eastAsia="宋体" w:cs="Times New Roman"/>
          <w:color w:val="auto"/>
          <w:sz w:val="21"/>
          <w:szCs w:val="21"/>
          <w:highlight w:val="none"/>
        </w:rPr>
        <w:t>。</w:t>
      </w:r>
    </w:p>
    <w:p w14:paraId="57A5A160">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承包人提交的竣工资料移交时间：</w:t>
      </w:r>
      <w:r>
        <w:rPr>
          <w:rFonts w:hint="eastAsia" w:ascii="宋体" w:hAnsi="宋体" w:eastAsia="宋体" w:cs="Times New Roman"/>
          <w:bCs/>
          <w:color w:val="auto"/>
          <w:sz w:val="21"/>
          <w:szCs w:val="21"/>
          <w:highlight w:val="none"/>
          <w:u w:val="single"/>
        </w:rPr>
        <w:t>竣工验收合格后</w:t>
      </w:r>
      <w:r>
        <w:rPr>
          <w:rFonts w:ascii="宋体" w:hAnsi="宋体" w:eastAsia="宋体" w:cs="Times New Roman"/>
          <w:bCs/>
          <w:color w:val="auto"/>
          <w:sz w:val="21"/>
          <w:szCs w:val="21"/>
          <w:highlight w:val="none"/>
          <w:u w:val="single"/>
        </w:rPr>
        <w:t>28日内</w:t>
      </w:r>
      <w:r>
        <w:rPr>
          <w:rFonts w:ascii="宋体" w:hAnsi="宋体" w:eastAsia="宋体" w:cs="Times New Roman"/>
          <w:color w:val="auto"/>
          <w:sz w:val="21"/>
          <w:szCs w:val="21"/>
          <w:highlight w:val="none"/>
        </w:rPr>
        <w:t>。</w:t>
      </w:r>
    </w:p>
    <w:p w14:paraId="74A87FAB">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承包人提交的竣工资料形式要求：</w:t>
      </w:r>
      <w:r>
        <w:rPr>
          <w:rFonts w:hint="eastAsia" w:ascii="宋体" w:hAnsi="宋体" w:eastAsia="宋体" w:cs="Times New Roman"/>
          <w:bCs/>
          <w:color w:val="auto"/>
          <w:sz w:val="21"/>
          <w:szCs w:val="21"/>
          <w:highlight w:val="none"/>
          <w:u w:val="single"/>
        </w:rPr>
        <w:t>书面形式（胶装成册）</w:t>
      </w:r>
      <w:r>
        <w:rPr>
          <w:rFonts w:ascii="宋体" w:hAnsi="宋体" w:eastAsia="宋体" w:cs="Times New Roman"/>
          <w:color w:val="auto"/>
          <w:sz w:val="21"/>
          <w:szCs w:val="21"/>
          <w:highlight w:val="none"/>
        </w:rPr>
        <w:t>。</w:t>
      </w:r>
    </w:p>
    <w:p w14:paraId="5CB1C1B7">
      <w:pPr>
        <w:spacing w:line="360" w:lineRule="auto"/>
        <w:ind w:firstLine="420" w:firstLineChars="200"/>
        <w:rPr>
          <w:rFonts w:hint="eastAsia" w:ascii="宋体" w:hAnsi="宋体" w:eastAsia="宋体" w:cs="Times New Roman"/>
          <w:strike/>
          <w:color w:val="auto"/>
          <w:sz w:val="21"/>
          <w:szCs w:val="21"/>
          <w:highlight w:val="none"/>
        </w:rPr>
      </w:pPr>
      <w:r>
        <w:rPr>
          <w:rFonts w:hint="eastAsia" w:ascii="宋体" w:hAnsi="宋体" w:eastAsia="宋体" w:cs="Times New Roman"/>
          <w:color w:val="auto"/>
          <w:kern w:val="0"/>
          <w:sz w:val="21"/>
          <w:szCs w:val="21"/>
          <w:highlight w:val="none"/>
        </w:rPr>
        <w:t>3.1.2</w:t>
      </w:r>
      <w:r>
        <w:rPr>
          <w:rFonts w:ascii="宋体" w:hAnsi="宋体" w:eastAsia="宋体" w:cs="Times New Roman"/>
          <w:color w:val="auto"/>
          <w:kern w:val="0"/>
          <w:sz w:val="21"/>
          <w:szCs w:val="21"/>
          <w:highlight w:val="none"/>
        </w:rPr>
        <w:t>承包人应履行的其他义务：</w:t>
      </w:r>
      <w:r>
        <w:rPr>
          <w:rFonts w:hint="eastAsia" w:ascii="宋体" w:hAnsi="宋体" w:eastAsia="宋体" w:cs="Times New Roman"/>
          <w:bCs/>
          <w:color w:val="auto"/>
          <w:sz w:val="21"/>
          <w:szCs w:val="21"/>
          <w:highlight w:val="none"/>
          <w:u w:val="single"/>
        </w:rPr>
        <w:t>⑴</w:t>
      </w:r>
      <w:r>
        <w:rPr>
          <w:rFonts w:ascii="宋体" w:hAnsi="宋体" w:eastAsia="宋体" w:cs="Times New Roman"/>
          <w:bCs/>
          <w:color w:val="auto"/>
          <w:sz w:val="21"/>
          <w:szCs w:val="21"/>
          <w:highlight w:val="none"/>
          <w:u w:val="single"/>
        </w:rPr>
        <w:t>承担发包人上级领导检查、视察工地所需的现场准备工作；配合质监、安监单位的现场检查，并承担由此引起的相关费用。发包人需要时，可能对施工做出某些限制和配合要求</w:t>
      </w:r>
      <w:r>
        <w:rPr>
          <w:rFonts w:hint="eastAsia" w:ascii="宋体" w:hAnsi="宋体" w:eastAsia="宋体" w:cs="Times New Roman"/>
          <w:bCs/>
          <w:color w:val="auto"/>
          <w:sz w:val="21"/>
          <w:szCs w:val="21"/>
          <w:highlight w:val="none"/>
          <w:u w:val="single"/>
        </w:rPr>
        <w:t>，承包人应按照要求做出必要的配合，并承担有可能因此而引起工效降低需增加的费用。</w:t>
      </w:r>
      <w:r>
        <w:rPr>
          <w:rFonts w:ascii="宋体" w:hAnsi="宋体" w:eastAsia="宋体" w:cs="Times New Roman"/>
          <w:bCs/>
          <w:color w:val="auto"/>
          <w:sz w:val="21"/>
          <w:szCs w:val="21"/>
          <w:highlight w:val="none"/>
          <w:u w:val="single"/>
        </w:rPr>
        <w:t>⑵</w:t>
      </w:r>
      <w:r>
        <w:rPr>
          <w:rFonts w:hint="eastAsia" w:ascii="宋体" w:hAnsi="宋体" w:eastAsia="宋体" w:cs="Times New Roman"/>
          <w:bCs/>
          <w:color w:val="auto"/>
          <w:sz w:val="21"/>
          <w:szCs w:val="21"/>
          <w:highlight w:val="none"/>
          <w:u w:val="single"/>
        </w:rPr>
        <w:t>承包人必须遵守江苏省及</w:t>
      </w:r>
      <w:r>
        <w:rPr>
          <w:rFonts w:hint="eastAsia" w:ascii="宋体" w:hAnsi="宋体" w:eastAsia="宋体" w:cs="Times New Roman"/>
          <w:bCs/>
          <w:color w:val="auto"/>
          <w:sz w:val="21"/>
          <w:szCs w:val="21"/>
          <w:highlight w:val="none"/>
          <w:u w:val="single"/>
          <w:lang w:val="en-US" w:eastAsia="zh-CN"/>
        </w:rPr>
        <w:t>工程所在地</w:t>
      </w:r>
      <w:r>
        <w:rPr>
          <w:rFonts w:hint="eastAsia" w:ascii="宋体" w:hAnsi="宋体" w:eastAsia="宋体" w:cs="Times New Roman"/>
          <w:bCs/>
          <w:color w:val="auto"/>
          <w:sz w:val="21"/>
          <w:szCs w:val="21"/>
          <w:highlight w:val="none"/>
          <w:u w:val="single"/>
        </w:rPr>
        <w:t>行业主管部门的相关规定，服从行业主管部门的管理，凡</w:t>
      </w:r>
      <w:r>
        <w:rPr>
          <w:rFonts w:hint="eastAsia" w:ascii="宋体" w:hAnsi="宋体" w:eastAsia="宋体" w:cs="Times New Roman"/>
          <w:bCs/>
          <w:color w:val="auto"/>
          <w:sz w:val="21"/>
          <w:szCs w:val="21"/>
          <w:highlight w:val="none"/>
          <w:u w:val="single"/>
          <w:lang w:eastAsia="zh-CN"/>
        </w:rPr>
        <w:t>涉及</w:t>
      </w:r>
      <w:r>
        <w:rPr>
          <w:rFonts w:hint="eastAsia" w:ascii="宋体" w:hAnsi="宋体" w:eastAsia="宋体" w:cs="Times New Roman"/>
          <w:bCs/>
          <w:color w:val="auto"/>
          <w:sz w:val="21"/>
          <w:szCs w:val="21"/>
          <w:highlight w:val="none"/>
          <w:u w:val="single"/>
        </w:rPr>
        <w:t>承包人的安全监督、质量监督、施工备案、车辆准运等有关证、照，均由承包人自行办理，发包人给予配合，发生的费用全部由承包人承担，包括但不限于外地施工单位施工备案费用、排污管理费、噪声管理费、垃圾管理费等。⑶</w:t>
      </w:r>
      <w:r>
        <w:rPr>
          <w:rFonts w:hint="eastAsia" w:ascii="宋体" w:hAnsi="宋体" w:eastAsia="宋体" w:cs="Times New Roman"/>
          <w:bCs/>
          <w:color w:val="auto"/>
          <w:sz w:val="21"/>
          <w:szCs w:val="21"/>
          <w:highlight w:val="none"/>
          <w:u w:val="single"/>
          <w:lang w:eastAsia="zh-CN"/>
        </w:rPr>
        <w:t>涉及</w:t>
      </w:r>
      <w:r>
        <w:rPr>
          <w:rFonts w:hint="eastAsia" w:ascii="宋体" w:hAnsi="宋体" w:eastAsia="宋体" w:cs="Times New Roman"/>
          <w:bCs/>
          <w:color w:val="auto"/>
          <w:sz w:val="21"/>
          <w:szCs w:val="21"/>
          <w:highlight w:val="none"/>
          <w:u w:val="single"/>
        </w:rPr>
        <w:t>的所有交通、环卫、市容、施工噪声及劳务用工管理等各项应办手续及费用，均由承包方自行办理和承担。承包人不得因此而影响工程工期，否则仍须承担违约责任。若因此而产生相应的行政处罚，概由承包人承担。⑷承包人所报价格应包含其自身分包引起的各项增加的或额外的费用。⑸承包人加强工程施工车辆的管理，施工车辆不得无故堵塞道路交通，不得沿途抛洒弃土，并根据发包人的要求，安排人员在主要路口疏导车辆、行人交通，其费用由承包人负责。⑹本合同承包人必须负责施工现场临时用水、用电工作</w:t>
      </w:r>
      <w:r>
        <w:rPr>
          <w:rFonts w:ascii="宋体" w:hAnsi="宋体" w:eastAsia="宋体" w:cs="Times New Roman"/>
          <w:bCs/>
          <w:color w:val="auto"/>
          <w:sz w:val="21"/>
          <w:szCs w:val="21"/>
          <w:highlight w:val="none"/>
          <w:u w:val="single"/>
        </w:rPr>
        <w:t>(发包人指定施工用水用电接入点，承包人布管接线并挂表计量)，并接受发包人统一管理，以及全力</w:t>
      </w:r>
      <w:r>
        <w:rPr>
          <w:rFonts w:hint="eastAsia" w:ascii="宋体" w:hAnsi="宋体" w:eastAsia="宋体" w:cs="Times New Roman"/>
          <w:bCs/>
          <w:color w:val="auto"/>
          <w:sz w:val="21"/>
          <w:szCs w:val="21"/>
          <w:highlight w:val="none"/>
          <w:u w:val="single"/>
        </w:rPr>
        <w:t>配合其他专业承包工程施工单位进行施工，确保双方能按照合同规定的工期完成工程，否则造成的损失由承包人承担。⑺施工场地清洁卫生的要求：承包人负责工地现场自身施工产生的建筑垃圾和生活垃圾清运工作外；以及本工程全区域的卫生管理与检查。按建设行政主管部门有关规定执行，文明施工，保证工完场清。①设置、维修和管理临时排污系统；②每天保持施工道路的畅通与清洁，负责保养及维修进入工地施工区域道路，费用由承包人承担；③收集和处理所有施工现场和生活区域内的所有垃圾，直到竣工交付为止；④承包人应按发包人要求，按规定做好场内布置各项标识、标牌、便于检查、视察或参观；⑤若因承包人现场清洁卫生工作不好，导致投诉（经调查属实的）或新闻媒体曝光，承包人需承担由此产生的一切后果和费用；另发包人可以要求承包人支付1</w:t>
      </w:r>
      <w:r>
        <w:rPr>
          <w:rFonts w:ascii="宋体" w:hAnsi="宋体" w:eastAsia="宋体" w:cs="Times New Roman"/>
          <w:bCs/>
          <w:color w:val="auto"/>
          <w:sz w:val="21"/>
          <w:szCs w:val="21"/>
          <w:highlight w:val="none"/>
          <w:u w:val="single"/>
        </w:rPr>
        <w:t>万元/次的违约金。</w:t>
      </w:r>
      <w:r>
        <w:rPr>
          <w:rFonts w:hint="eastAsia" w:ascii="宋体" w:hAnsi="宋体" w:eastAsia="宋体" w:cs="Times New Roman"/>
          <w:bCs/>
          <w:color w:val="auto"/>
          <w:sz w:val="21"/>
          <w:szCs w:val="21"/>
          <w:highlight w:val="none"/>
          <w:u w:val="single"/>
        </w:rPr>
        <w:t>⑻</w:t>
      </w:r>
      <w:r>
        <w:rPr>
          <w:rFonts w:ascii="宋体" w:hAnsi="宋体" w:eastAsia="宋体" w:cs="Times New Roman"/>
          <w:bCs/>
          <w:color w:val="auto"/>
          <w:sz w:val="21"/>
          <w:szCs w:val="21"/>
          <w:highlight w:val="none"/>
          <w:u w:val="single"/>
        </w:rPr>
        <w:t>在现场施工中，承包人应负责自身施工区域与公共区域的安全设施的搭设与维修管理工作，以及为安全检查所进行的管理、协调、配合工作等。承包人可以使用由发包人修建的道路，承包</w:t>
      </w:r>
      <w:r>
        <w:rPr>
          <w:rFonts w:hint="eastAsia" w:ascii="宋体" w:hAnsi="宋体" w:eastAsia="宋体" w:cs="Times New Roman"/>
          <w:bCs/>
          <w:color w:val="auto"/>
          <w:sz w:val="21"/>
          <w:szCs w:val="21"/>
          <w:highlight w:val="none"/>
          <w:u w:val="single"/>
        </w:rPr>
        <w:t>人提供发包人办公用房及必要的办公桌椅。</w:t>
      </w:r>
      <w:r>
        <w:rPr>
          <w:rFonts w:ascii="宋体" w:hAnsi="宋体" w:eastAsia="宋体" w:cs="Times New Roman"/>
          <w:bCs/>
          <w:color w:val="auto"/>
          <w:sz w:val="21"/>
          <w:szCs w:val="21"/>
          <w:highlight w:val="none"/>
          <w:u w:val="single"/>
        </w:rPr>
        <w:t>⑼</w:t>
      </w:r>
      <w:r>
        <w:rPr>
          <w:rFonts w:hint="eastAsia" w:ascii="宋体" w:hAnsi="宋体" w:eastAsia="宋体" w:cs="Times New Roman"/>
          <w:bCs/>
          <w:color w:val="auto"/>
          <w:sz w:val="21"/>
          <w:szCs w:val="21"/>
          <w:highlight w:val="none"/>
          <w:u w:val="single"/>
        </w:rPr>
        <w:t>承包人负责管理施工现场内先期建成的设施，施工期间如因承包人管理不力造成先期建成的设施被盗或损坏，均由承包人负责，整修被盗或损坏设施的费用由承包人支付。负责发包人供应的材料设备的保管，同时还应负责由发包人转交给承包人施工、安装的设备、材料等的安全保卫工作，因承包人保管不善造成的遗失、被盗、损坏均由承包人承担赔偿责任。⑽承包人应当服从发包人的现场管理和协调工作，合理调动资源，确保工期、质量目标的实现。⑾承包人必须在规定的时间之内执行发包人现场代表</w:t>
      </w:r>
      <w:r>
        <w:rPr>
          <w:rFonts w:hint="eastAsia" w:ascii="宋体" w:hAnsi="宋体" w:eastAsia="宋体" w:cs="Times New Roman"/>
          <w:bCs/>
          <w:color w:val="auto"/>
          <w:sz w:val="21"/>
          <w:szCs w:val="21"/>
          <w:highlight w:val="none"/>
          <w:u w:val="single"/>
          <w:lang w:eastAsia="zh-CN"/>
        </w:rPr>
        <w:t>获得</w:t>
      </w:r>
      <w:r>
        <w:rPr>
          <w:rFonts w:hint="eastAsia" w:ascii="宋体" w:hAnsi="宋体" w:eastAsia="宋体" w:cs="Times New Roman"/>
          <w:bCs/>
          <w:color w:val="auto"/>
          <w:sz w:val="21"/>
          <w:szCs w:val="21"/>
          <w:highlight w:val="none"/>
          <w:u w:val="single"/>
        </w:rPr>
        <w:t>本合同授权而发出的合理的书面指令。若承包人没有在规定时间之内执行指令，而在收到发包人催促执行的书面通知后</w:t>
      </w:r>
      <w:r>
        <w:rPr>
          <w:rFonts w:ascii="宋体" w:hAnsi="宋体" w:eastAsia="宋体" w:cs="Times New Roman"/>
          <w:bCs/>
          <w:color w:val="auto"/>
          <w:sz w:val="21"/>
          <w:szCs w:val="21"/>
          <w:highlight w:val="none"/>
          <w:u w:val="single"/>
        </w:rPr>
        <w:t>7日之内，承包人仍未执行，发包人可另聘和指派他人执行该指示所要求的工作。其他承包人完成此项工作的相关费用从本合同应付或</w:t>
      </w:r>
      <w:r>
        <w:rPr>
          <w:rFonts w:hint="eastAsia" w:ascii="宋体" w:hAnsi="宋体" w:eastAsia="宋体" w:cs="Times New Roman"/>
          <w:bCs/>
          <w:color w:val="auto"/>
          <w:sz w:val="21"/>
          <w:szCs w:val="21"/>
          <w:highlight w:val="none"/>
          <w:u w:val="single"/>
          <w:lang w:eastAsia="zh-CN"/>
        </w:rPr>
        <w:t>将</w:t>
      </w:r>
      <w:r>
        <w:rPr>
          <w:rFonts w:ascii="宋体" w:hAnsi="宋体" w:eastAsia="宋体" w:cs="Times New Roman"/>
          <w:bCs/>
          <w:color w:val="auto"/>
          <w:sz w:val="21"/>
          <w:szCs w:val="21"/>
          <w:highlight w:val="none"/>
          <w:u w:val="single"/>
        </w:rPr>
        <w:t>付给承包人的款项中扣除而无须承包人认可，由此造成发包人额外损失或间接损失的，作为债务向承包人追讨。</w:t>
      </w:r>
      <w:r>
        <w:rPr>
          <w:rFonts w:hint="eastAsia" w:ascii="宋体" w:hAnsi="宋体" w:eastAsia="宋体" w:cs="Times New Roman"/>
          <w:bCs/>
          <w:color w:val="auto"/>
          <w:sz w:val="21"/>
          <w:szCs w:val="21"/>
          <w:highlight w:val="none"/>
          <w:u w:val="single"/>
        </w:rPr>
        <w:t>⑿</w:t>
      </w:r>
      <w:r>
        <w:rPr>
          <w:rFonts w:ascii="宋体" w:hAnsi="宋体" w:eastAsia="宋体" w:cs="Times New Roman"/>
          <w:bCs/>
          <w:color w:val="auto"/>
          <w:sz w:val="21"/>
          <w:szCs w:val="21"/>
          <w:highlight w:val="none"/>
          <w:u w:val="single"/>
        </w:rPr>
        <w:t>承包人必须签收</w:t>
      </w:r>
      <w:r>
        <w:rPr>
          <w:rFonts w:hint="eastAsia" w:ascii="宋体" w:hAnsi="宋体" w:eastAsia="宋体" w:cs="Times New Roman"/>
          <w:bCs/>
          <w:color w:val="auto"/>
          <w:sz w:val="21"/>
          <w:szCs w:val="21"/>
          <w:highlight w:val="none"/>
          <w:u w:val="single"/>
          <w:lang w:val="en-US" w:eastAsia="zh-CN"/>
        </w:rPr>
        <w:t>发包人</w:t>
      </w:r>
      <w:r>
        <w:rPr>
          <w:rFonts w:ascii="宋体" w:hAnsi="宋体" w:eastAsia="宋体" w:cs="Times New Roman"/>
          <w:bCs/>
          <w:color w:val="auto"/>
          <w:sz w:val="21"/>
          <w:szCs w:val="21"/>
          <w:highlight w:val="none"/>
          <w:u w:val="single"/>
        </w:rPr>
        <w:t>发出的书面资料，如有异议必须在收文之日起3日内书面回复，否则视同认可。⒀对承包人因违约应支付的违约金</w:t>
      </w:r>
      <w:r>
        <w:rPr>
          <w:rFonts w:hint="eastAsia" w:ascii="宋体" w:hAnsi="宋体" w:eastAsia="宋体" w:cs="Times New Roman"/>
          <w:bCs/>
          <w:color w:val="auto"/>
          <w:sz w:val="21"/>
          <w:szCs w:val="21"/>
          <w:highlight w:val="none"/>
          <w:u w:val="single"/>
        </w:rPr>
        <w:t>，发包人有权从当期节点付款时扣除。</w:t>
      </w:r>
    </w:p>
    <w:p w14:paraId="1D6BBB1A">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3.2 项目负责人</w:t>
      </w:r>
    </w:p>
    <w:p w14:paraId="7E431C19">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3.2.1 项目负责人：</w:t>
      </w:r>
    </w:p>
    <w:p w14:paraId="1328A482">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姓    名</w:t>
      </w:r>
      <w:r>
        <w:rPr>
          <w:rFonts w:hint="eastAsia" w:ascii="宋体" w:hAnsi="宋体" w:eastAsia="宋体" w:cs="Times New Roman"/>
          <w:color w:val="auto"/>
          <w:sz w:val="21"/>
          <w:szCs w:val="21"/>
          <w:highlight w:val="none"/>
          <w:lang w:eastAsia="zh-CN"/>
        </w:rPr>
        <w:t>：</w:t>
      </w:r>
    </w:p>
    <w:p w14:paraId="420705B2">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身份证号</w:t>
      </w:r>
      <w:r>
        <w:rPr>
          <w:rFonts w:hint="eastAsia" w:ascii="宋体" w:hAnsi="宋体" w:eastAsia="宋体" w:cs="Times New Roman"/>
          <w:color w:val="auto"/>
          <w:sz w:val="21"/>
          <w:szCs w:val="21"/>
          <w:highlight w:val="none"/>
          <w:lang w:eastAsia="zh-CN"/>
        </w:rPr>
        <w:t>：</w:t>
      </w:r>
    </w:p>
    <w:p w14:paraId="7EB9AC38">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建造师执业资格等级</w:t>
      </w:r>
      <w:r>
        <w:rPr>
          <w:rFonts w:hint="eastAsia" w:ascii="宋体" w:hAnsi="宋体" w:eastAsia="宋体" w:cs="Times New Roman"/>
          <w:color w:val="auto"/>
          <w:sz w:val="21"/>
          <w:szCs w:val="21"/>
          <w:highlight w:val="none"/>
          <w:lang w:eastAsia="zh-CN"/>
        </w:rPr>
        <w:t>：</w:t>
      </w:r>
    </w:p>
    <w:p w14:paraId="0F140314">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建造师注册证书号</w:t>
      </w:r>
      <w:r>
        <w:rPr>
          <w:rFonts w:hint="eastAsia" w:ascii="宋体" w:hAnsi="宋体" w:eastAsia="宋体" w:cs="Times New Roman"/>
          <w:color w:val="auto"/>
          <w:sz w:val="21"/>
          <w:szCs w:val="21"/>
          <w:highlight w:val="none"/>
          <w:lang w:eastAsia="zh-CN"/>
        </w:rPr>
        <w:t>：</w:t>
      </w:r>
    </w:p>
    <w:p w14:paraId="5DA6BD95">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建造师执业印章号</w:t>
      </w:r>
      <w:r>
        <w:rPr>
          <w:rFonts w:hint="eastAsia" w:ascii="宋体" w:hAnsi="宋体" w:eastAsia="宋体" w:cs="Times New Roman"/>
          <w:color w:val="auto"/>
          <w:sz w:val="21"/>
          <w:szCs w:val="21"/>
          <w:highlight w:val="none"/>
          <w:lang w:eastAsia="zh-CN"/>
        </w:rPr>
        <w:t>：</w:t>
      </w:r>
    </w:p>
    <w:p w14:paraId="09B0761C">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安全生产考核合格证书号</w:t>
      </w:r>
      <w:r>
        <w:rPr>
          <w:rFonts w:hint="eastAsia" w:ascii="宋体" w:hAnsi="宋体" w:eastAsia="宋体" w:cs="Times New Roman"/>
          <w:color w:val="auto"/>
          <w:sz w:val="21"/>
          <w:szCs w:val="21"/>
          <w:highlight w:val="none"/>
          <w:lang w:eastAsia="zh-CN"/>
        </w:rPr>
        <w:t>：</w:t>
      </w:r>
    </w:p>
    <w:p w14:paraId="7B9D516C">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联系电话</w:t>
      </w:r>
      <w:r>
        <w:rPr>
          <w:rFonts w:hint="eastAsia" w:ascii="宋体" w:hAnsi="宋体" w:eastAsia="宋体" w:cs="Times New Roman"/>
          <w:color w:val="auto"/>
          <w:sz w:val="21"/>
          <w:szCs w:val="21"/>
          <w:highlight w:val="none"/>
          <w:lang w:eastAsia="zh-CN"/>
        </w:rPr>
        <w:t>：</w:t>
      </w:r>
    </w:p>
    <w:p w14:paraId="7FC5C679">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电子信箱</w:t>
      </w:r>
      <w:r>
        <w:rPr>
          <w:rFonts w:hint="eastAsia" w:ascii="宋体" w:hAnsi="宋体" w:eastAsia="宋体" w:cs="Times New Roman"/>
          <w:color w:val="auto"/>
          <w:sz w:val="21"/>
          <w:szCs w:val="21"/>
          <w:highlight w:val="none"/>
          <w:lang w:eastAsia="zh-CN"/>
        </w:rPr>
        <w:t>：</w:t>
      </w:r>
    </w:p>
    <w:p w14:paraId="215A70E5">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通信地址</w:t>
      </w:r>
      <w:r>
        <w:rPr>
          <w:rFonts w:hint="eastAsia" w:ascii="宋体" w:hAnsi="宋体" w:eastAsia="宋体" w:cs="Times New Roman"/>
          <w:color w:val="auto"/>
          <w:sz w:val="21"/>
          <w:szCs w:val="21"/>
          <w:highlight w:val="none"/>
          <w:lang w:eastAsia="zh-CN"/>
        </w:rPr>
        <w:t>：</w:t>
      </w:r>
    </w:p>
    <w:p w14:paraId="64391775">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承包人对项目负责人的授权范围如下：</w:t>
      </w:r>
      <w:r>
        <w:rPr>
          <w:rFonts w:hint="eastAsia" w:ascii="宋体" w:hAnsi="宋体" w:eastAsia="宋体" w:cs="Times New Roman"/>
          <w:bCs/>
          <w:color w:val="auto"/>
          <w:sz w:val="21"/>
          <w:szCs w:val="21"/>
          <w:highlight w:val="none"/>
          <w:u w:val="single"/>
        </w:rPr>
        <w:t>组织与协调现场施工管理工作，履行承包人的权利与义务，且该项目经理必须是投标书中明确的项目经理</w:t>
      </w:r>
      <w:r>
        <w:rPr>
          <w:rFonts w:ascii="宋体" w:hAnsi="宋体" w:eastAsia="宋体" w:cs="Times New Roman"/>
          <w:color w:val="auto"/>
          <w:sz w:val="21"/>
          <w:szCs w:val="21"/>
          <w:highlight w:val="none"/>
        </w:rPr>
        <w:t>。</w:t>
      </w:r>
    </w:p>
    <w:p w14:paraId="2BBDFBCC">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关于项目负责人每月在施工现场的时间要求：</w:t>
      </w:r>
      <w:r>
        <w:rPr>
          <w:rFonts w:hint="eastAsia" w:ascii="宋体" w:hAnsi="宋体" w:eastAsia="宋体" w:cs="Times New Roman"/>
          <w:bCs/>
          <w:color w:val="auto"/>
          <w:sz w:val="21"/>
          <w:szCs w:val="21"/>
          <w:highlight w:val="none"/>
          <w:u w:val="single"/>
        </w:rPr>
        <w:t>项目经理必须常驻施工现场，要求其本人每周不少于</w:t>
      </w:r>
      <w:r>
        <w:rPr>
          <w:rFonts w:ascii="宋体" w:hAnsi="宋体" w:eastAsia="宋体" w:cs="Times New Roman"/>
          <w:bCs/>
          <w:color w:val="auto"/>
          <w:sz w:val="21"/>
          <w:szCs w:val="21"/>
          <w:highlight w:val="none"/>
          <w:u w:val="single"/>
        </w:rPr>
        <w:t>5日、每天不少于8小时在本工程现场工作，项目经理必须参加每周召开的工程例会，有事必须请假。如项目经理有特殊原因不能保证上述在岗时间的，需征得发包人书面同意后，授权项目副经理全权处理现场事务，且满足上述在岗时间</w:t>
      </w:r>
      <w:r>
        <w:rPr>
          <w:rFonts w:ascii="宋体" w:hAnsi="宋体" w:eastAsia="宋体" w:cs="Times New Roman"/>
          <w:color w:val="auto"/>
          <w:sz w:val="21"/>
          <w:szCs w:val="21"/>
          <w:highlight w:val="none"/>
        </w:rPr>
        <w:t>。</w:t>
      </w:r>
    </w:p>
    <w:p w14:paraId="69B4D907">
      <w:pPr>
        <w:spacing w:line="360" w:lineRule="auto"/>
        <w:ind w:firstLine="420" w:firstLineChars="200"/>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承包人未提交劳动合同，以及没有为项目负责人缴纳社会保险证明的违约责任：</w:t>
      </w:r>
      <w:r>
        <w:rPr>
          <w:rFonts w:hint="eastAsia" w:ascii="宋体" w:hAnsi="宋体" w:eastAsia="宋体" w:cs="Times New Roman"/>
          <w:bCs/>
          <w:color w:val="auto"/>
          <w:sz w:val="21"/>
          <w:szCs w:val="21"/>
          <w:highlight w:val="none"/>
          <w:u w:val="single"/>
        </w:rPr>
        <w:t>按照通用条款执行</w:t>
      </w:r>
      <w:r>
        <w:rPr>
          <w:rFonts w:ascii="宋体" w:hAnsi="宋体" w:eastAsia="宋体" w:cs="Times New Roman"/>
          <w:color w:val="auto"/>
          <w:sz w:val="21"/>
          <w:szCs w:val="21"/>
          <w:highlight w:val="none"/>
        </w:rPr>
        <w:t>。</w:t>
      </w:r>
    </w:p>
    <w:p w14:paraId="2922DA14">
      <w:pPr>
        <w:spacing w:line="360" w:lineRule="auto"/>
        <w:ind w:firstLine="420" w:firstLineChars="200"/>
        <w:rPr>
          <w:rFonts w:hint="eastAsia" w:ascii="宋体" w:hAnsi="宋体" w:eastAsia="宋体" w:cs="Times New Roman"/>
          <w:color w:val="auto"/>
          <w:sz w:val="21"/>
          <w:szCs w:val="21"/>
          <w:highlight w:val="none"/>
          <w:u w:val="single"/>
        </w:rPr>
      </w:pPr>
      <w:r>
        <w:rPr>
          <w:rFonts w:ascii="宋体" w:hAnsi="宋体" w:eastAsia="宋体" w:cs="Times New Roman"/>
          <w:color w:val="auto"/>
          <w:kern w:val="0"/>
          <w:sz w:val="21"/>
          <w:szCs w:val="21"/>
          <w:highlight w:val="none"/>
        </w:rPr>
        <w:t>项目负责人未经批准，擅自离开施工现场的违约责任：</w:t>
      </w:r>
      <w:r>
        <w:rPr>
          <w:rFonts w:hint="eastAsia" w:ascii="宋体" w:hAnsi="宋体" w:eastAsia="宋体" w:cs="Times New Roman"/>
          <w:bCs/>
          <w:color w:val="auto"/>
          <w:sz w:val="21"/>
          <w:szCs w:val="21"/>
          <w:highlight w:val="none"/>
          <w:u w:val="single"/>
        </w:rPr>
        <w:t>如项目经理未经发包人批准擅自离开施工现场，每缺席一日或缺席一次例会则向发包人支付违约金</w:t>
      </w:r>
      <w:r>
        <w:rPr>
          <w:rFonts w:ascii="宋体" w:hAnsi="宋体" w:eastAsia="宋体" w:cs="Times New Roman"/>
          <w:bCs/>
          <w:color w:val="auto"/>
          <w:sz w:val="21"/>
          <w:szCs w:val="21"/>
          <w:highlight w:val="none"/>
          <w:u w:val="single"/>
        </w:rPr>
        <w:t>1000元整，如一周如</w:t>
      </w:r>
      <w:r>
        <w:rPr>
          <w:rFonts w:hint="eastAsia" w:ascii="宋体" w:hAnsi="宋体" w:eastAsia="宋体" w:cs="Times New Roman"/>
          <w:bCs/>
          <w:color w:val="auto"/>
          <w:sz w:val="21"/>
          <w:szCs w:val="21"/>
          <w:highlight w:val="none"/>
          <w:u w:val="single"/>
          <w:lang w:eastAsia="zh-CN"/>
        </w:rPr>
        <w:t>有两个</w:t>
      </w:r>
      <w:r>
        <w:rPr>
          <w:rFonts w:ascii="宋体" w:hAnsi="宋体" w:eastAsia="宋体" w:cs="Times New Roman"/>
          <w:bCs/>
          <w:color w:val="auto"/>
          <w:sz w:val="21"/>
          <w:szCs w:val="21"/>
          <w:highlight w:val="none"/>
          <w:u w:val="single"/>
        </w:rPr>
        <w:t>工作日或二个月累计10天不在现场或二个月缺席例会三次，为严重违约，发包人有权解除合同，将承包人清退出场，并报建设主管部门备案，解除合同的同时不免除承包人应当承担的上述违约责任</w:t>
      </w:r>
      <w:r>
        <w:rPr>
          <w:rFonts w:ascii="宋体" w:hAnsi="宋体" w:eastAsia="宋体" w:cs="Times New Roman"/>
          <w:color w:val="auto"/>
          <w:sz w:val="21"/>
          <w:szCs w:val="21"/>
          <w:highlight w:val="none"/>
        </w:rPr>
        <w:t>。</w:t>
      </w:r>
    </w:p>
    <w:p w14:paraId="1E20CECD">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3.2.</w:t>
      </w:r>
      <w:r>
        <w:rPr>
          <w:rFonts w:hint="eastAsia" w:ascii="宋体" w:hAnsi="宋体" w:eastAsia="宋体" w:cs="Times New Roman"/>
          <w:color w:val="auto"/>
          <w:sz w:val="21"/>
          <w:szCs w:val="21"/>
          <w:highlight w:val="none"/>
        </w:rPr>
        <w:t>2</w:t>
      </w:r>
      <w:r>
        <w:rPr>
          <w:rFonts w:ascii="宋体" w:hAnsi="宋体" w:eastAsia="宋体" w:cs="Times New Roman"/>
          <w:color w:val="auto"/>
          <w:sz w:val="21"/>
          <w:szCs w:val="21"/>
          <w:highlight w:val="none"/>
        </w:rPr>
        <w:t xml:space="preserve"> 承包人擅自更换项目负责人的违约责任：</w:t>
      </w:r>
      <w:r>
        <w:rPr>
          <w:rFonts w:hint="eastAsia" w:ascii="宋体" w:hAnsi="宋体" w:eastAsia="宋体" w:cs="Times New Roman"/>
          <w:bCs/>
          <w:color w:val="auto"/>
          <w:sz w:val="21"/>
          <w:szCs w:val="21"/>
          <w:highlight w:val="none"/>
          <w:u w:val="single"/>
        </w:rPr>
        <w:t>中标的项目经理不得擅自更换，如有特殊原因确需更换，承包人应向发包人提出书面申请，发包人同意后方可更换，否则将追究承包人违约责任，同时承包人支付违约金2</w:t>
      </w:r>
      <w:r>
        <w:rPr>
          <w:rFonts w:ascii="宋体" w:hAnsi="宋体" w:eastAsia="宋体" w:cs="Times New Roman"/>
          <w:bCs/>
          <w:color w:val="auto"/>
          <w:sz w:val="21"/>
          <w:szCs w:val="21"/>
          <w:highlight w:val="none"/>
          <w:u w:val="single"/>
        </w:rPr>
        <w:t>万元整（从当期进度款中扣除）。项目经理变更还必须符合江苏省、</w:t>
      </w:r>
      <w:r>
        <w:rPr>
          <w:rFonts w:hint="eastAsia" w:ascii="宋体" w:hAnsi="宋体" w:eastAsia="宋体" w:cs="Times New Roman"/>
          <w:bCs/>
          <w:color w:val="auto"/>
          <w:sz w:val="21"/>
          <w:szCs w:val="21"/>
          <w:highlight w:val="none"/>
          <w:u w:val="single"/>
          <w:lang w:val="en-US" w:eastAsia="zh-CN"/>
        </w:rPr>
        <w:t>工程所在地</w:t>
      </w:r>
      <w:r>
        <w:rPr>
          <w:rFonts w:ascii="宋体" w:hAnsi="宋体" w:eastAsia="宋体" w:cs="Times New Roman"/>
          <w:bCs/>
          <w:color w:val="auto"/>
          <w:sz w:val="21"/>
          <w:szCs w:val="21"/>
          <w:highlight w:val="none"/>
          <w:u w:val="single"/>
        </w:rPr>
        <w:t>的相关规定并办理相关手续报发包人</w:t>
      </w:r>
      <w:r>
        <w:rPr>
          <w:rFonts w:ascii="宋体" w:hAnsi="宋体" w:eastAsia="宋体" w:cs="Times New Roman"/>
          <w:color w:val="auto"/>
          <w:sz w:val="21"/>
          <w:szCs w:val="21"/>
          <w:highlight w:val="none"/>
        </w:rPr>
        <w:t>。</w:t>
      </w:r>
    </w:p>
    <w:p w14:paraId="428849B7">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3.2.</w:t>
      </w:r>
      <w:r>
        <w:rPr>
          <w:rFonts w:hint="eastAsia" w:ascii="宋体" w:hAnsi="宋体" w:eastAsia="宋体" w:cs="Times New Roman"/>
          <w:color w:val="auto"/>
          <w:sz w:val="21"/>
          <w:szCs w:val="21"/>
          <w:highlight w:val="none"/>
        </w:rPr>
        <w:t>3</w:t>
      </w:r>
      <w:r>
        <w:rPr>
          <w:rFonts w:ascii="宋体" w:hAnsi="宋体" w:eastAsia="宋体" w:cs="Times New Roman"/>
          <w:color w:val="auto"/>
          <w:sz w:val="21"/>
          <w:szCs w:val="21"/>
          <w:highlight w:val="none"/>
        </w:rPr>
        <w:t xml:space="preserve"> 承包人无正当理由拒绝更换项目负责人的违约责任：</w:t>
      </w:r>
      <w:r>
        <w:rPr>
          <w:rFonts w:hint="eastAsia" w:ascii="宋体" w:hAnsi="宋体" w:eastAsia="宋体" w:cs="Times New Roman"/>
          <w:bCs/>
          <w:color w:val="auto"/>
          <w:sz w:val="21"/>
          <w:szCs w:val="21"/>
          <w:highlight w:val="none"/>
          <w:u w:val="single"/>
        </w:rPr>
        <w:t>发包人将给予1</w:t>
      </w:r>
      <w:r>
        <w:rPr>
          <w:rFonts w:ascii="宋体" w:hAnsi="宋体" w:eastAsia="宋体" w:cs="Times New Roman"/>
          <w:bCs/>
          <w:color w:val="auto"/>
          <w:sz w:val="21"/>
          <w:szCs w:val="21"/>
          <w:highlight w:val="none"/>
          <w:u w:val="single"/>
        </w:rPr>
        <w:t>万元整的经济处罚（从当期进度款中扣除），且发包人有权终止本合同，追究承包人的违约责任（包括承担发包人的直接损失和间接损失），并报建设主管部门备案</w:t>
      </w:r>
      <w:r>
        <w:rPr>
          <w:rFonts w:ascii="宋体" w:hAnsi="宋体" w:eastAsia="宋体" w:cs="Times New Roman"/>
          <w:color w:val="auto"/>
          <w:sz w:val="21"/>
          <w:szCs w:val="21"/>
          <w:highlight w:val="none"/>
        </w:rPr>
        <w:t>。</w:t>
      </w:r>
    </w:p>
    <w:p w14:paraId="3C410CCD">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3.3 承包人人员</w:t>
      </w:r>
    </w:p>
    <w:p w14:paraId="1A294320">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3.3.1 承包人提交项目管理机构及施工现场管理人员安排报告的期限：</w:t>
      </w:r>
      <w:r>
        <w:rPr>
          <w:rFonts w:hint="eastAsia" w:ascii="宋体" w:hAnsi="宋体" w:eastAsia="宋体" w:cs="Times New Roman"/>
          <w:bCs/>
          <w:color w:val="auto"/>
          <w:sz w:val="21"/>
          <w:szCs w:val="21"/>
          <w:highlight w:val="none"/>
          <w:u w:val="single"/>
        </w:rPr>
        <w:t>接到开工通知</w:t>
      </w:r>
      <w:r>
        <w:rPr>
          <w:rFonts w:ascii="宋体" w:hAnsi="宋体" w:eastAsia="宋体" w:cs="Times New Roman"/>
          <w:bCs/>
          <w:color w:val="auto"/>
          <w:sz w:val="21"/>
          <w:szCs w:val="21"/>
          <w:highlight w:val="none"/>
          <w:u w:val="single"/>
        </w:rPr>
        <w:t>7天内</w:t>
      </w:r>
      <w:r>
        <w:rPr>
          <w:rFonts w:ascii="宋体" w:hAnsi="宋体" w:eastAsia="宋体" w:cs="Times New Roman"/>
          <w:color w:val="auto"/>
          <w:sz w:val="21"/>
          <w:szCs w:val="21"/>
          <w:highlight w:val="none"/>
        </w:rPr>
        <w:t>。</w:t>
      </w:r>
    </w:p>
    <w:p w14:paraId="334B85FD">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3.3.</w:t>
      </w:r>
      <w:r>
        <w:rPr>
          <w:rFonts w:hint="eastAsia" w:ascii="宋体" w:hAnsi="宋体" w:eastAsia="宋体" w:cs="Times New Roman"/>
          <w:color w:val="auto"/>
          <w:sz w:val="21"/>
          <w:szCs w:val="21"/>
          <w:highlight w:val="none"/>
        </w:rPr>
        <w:t>2</w:t>
      </w:r>
      <w:r>
        <w:rPr>
          <w:rFonts w:ascii="宋体" w:hAnsi="宋体" w:eastAsia="宋体" w:cs="Times New Roman"/>
          <w:color w:val="auto"/>
          <w:sz w:val="21"/>
          <w:szCs w:val="21"/>
          <w:highlight w:val="none"/>
        </w:rPr>
        <w:t xml:space="preserve"> 承包人无正当理由拒绝撤换主要施工管理人员的违约责任：</w:t>
      </w:r>
      <w:r>
        <w:rPr>
          <w:rFonts w:hint="eastAsia" w:ascii="宋体" w:hAnsi="宋体" w:eastAsia="宋体" w:cs="Times New Roman"/>
          <w:bCs/>
          <w:color w:val="auto"/>
          <w:sz w:val="21"/>
          <w:szCs w:val="21"/>
          <w:highlight w:val="none"/>
          <w:u w:val="single"/>
        </w:rPr>
        <w:t>承包人按照每人次</w:t>
      </w:r>
      <w:r>
        <w:rPr>
          <w:rFonts w:ascii="宋体" w:hAnsi="宋体" w:eastAsia="宋体" w:cs="Times New Roman"/>
          <w:bCs/>
          <w:color w:val="auto"/>
          <w:sz w:val="21"/>
          <w:szCs w:val="21"/>
          <w:highlight w:val="none"/>
          <w:u w:val="single"/>
        </w:rPr>
        <w:t>5000元向发包人支付违约金（从当期进度款扣除）</w:t>
      </w:r>
      <w:r>
        <w:rPr>
          <w:rFonts w:ascii="宋体" w:hAnsi="宋体" w:eastAsia="宋体" w:cs="Times New Roman"/>
          <w:color w:val="auto"/>
          <w:sz w:val="21"/>
          <w:szCs w:val="21"/>
          <w:highlight w:val="none"/>
        </w:rPr>
        <w:t>。</w:t>
      </w:r>
    </w:p>
    <w:p w14:paraId="22EBDF63">
      <w:pPr>
        <w:spacing w:line="360" w:lineRule="auto"/>
        <w:ind w:firstLine="420" w:firstLineChars="200"/>
        <w:rPr>
          <w:rFonts w:hint="eastAsia"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3.3.</w:t>
      </w:r>
      <w:r>
        <w:rPr>
          <w:rFonts w:hint="eastAsia" w:ascii="宋体" w:hAnsi="宋体" w:eastAsia="宋体" w:cs="Times New Roman"/>
          <w:color w:val="auto"/>
          <w:sz w:val="21"/>
          <w:szCs w:val="21"/>
          <w:highlight w:val="none"/>
        </w:rPr>
        <w:t>3</w:t>
      </w:r>
      <w:r>
        <w:rPr>
          <w:rFonts w:ascii="宋体" w:hAnsi="宋体" w:eastAsia="宋体" w:cs="Times New Roman"/>
          <w:color w:val="auto"/>
          <w:sz w:val="21"/>
          <w:szCs w:val="21"/>
          <w:highlight w:val="none"/>
        </w:rPr>
        <w:t xml:space="preserve"> 承包人主要施工管理人员离开施工现场的批准要求：</w:t>
      </w:r>
      <w:r>
        <w:rPr>
          <w:rFonts w:hint="eastAsia" w:ascii="宋体" w:hAnsi="宋体" w:eastAsia="宋体" w:cs="Times New Roman"/>
          <w:bCs/>
          <w:color w:val="auto"/>
          <w:sz w:val="21"/>
          <w:szCs w:val="21"/>
          <w:highlight w:val="none"/>
          <w:u w:val="single"/>
        </w:rPr>
        <w:t>经发包人批准方可离开现场</w:t>
      </w:r>
      <w:r>
        <w:rPr>
          <w:rFonts w:ascii="宋体" w:hAnsi="宋体" w:eastAsia="宋体" w:cs="Times New Roman"/>
          <w:color w:val="auto"/>
          <w:sz w:val="21"/>
          <w:szCs w:val="21"/>
          <w:highlight w:val="none"/>
        </w:rPr>
        <w:t>。</w:t>
      </w:r>
    </w:p>
    <w:p w14:paraId="08A1B069">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3.3.</w:t>
      </w:r>
      <w:r>
        <w:rPr>
          <w:rFonts w:hint="eastAsia" w:ascii="宋体" w:hAnsi="宋体" w:eastAsia="宋体" w:cs="Times New Roman"/>
          <w:color w:val="auto"/>
          <w:sz w:val="21"/>
          <w:szCs w:val="21"/>
          <w:highlight w:val="none"/>
        </w:rPr>
        <w:t>4</w:t>
      </w:r>
      <w:r>
        <w:rPr>
          <w:rFonts w:ascii="宋体" w:hAnsi="宋体" w:eastAsia="宋体" w:cs="Times New Roman"/>
          <w:color w:val="auto"/>
          <w:sz w:val="21"/>
          <w:szCs w:val="21"/>
          <w:highlight w:val="none"/>
        </w:rPr>
        <w:t>承包人擅自更换主要施工管理人员的违约责任：</w:t>
      </w:r>
      <w:r>
        <w:rPr>
          <w:rFonts w:hint="eastAsia" w:ascii="宋体" w:hAnsi="宋体" w:eastAsia="宋体" w:cs="Times New Roman"/>
          <w:bCs/>
          <w:color w:val="auto"/>
          <w:sz w:val="21"/>
          <w:szCs w:val="21"/>
          <w:highlight w:val="none"/>
          <w:u w:val="single"/>
        </w:rPr>
        <w:t>投标文件中约定的施工管理人员不得擅自更换，如有特殊原因确需更换，承包人应向发包人提出书面申请，发包人同意后方可更换，否则将追究承包人违约责任，违约金为每人次0.5</w:t>
      </w:r>
      <w:r>
        <w:rPr>
          <w:rFonts w:ascii="宋体" w:hAnsi="宋体" w:eastAsia="宋体" w:cs="Times New Roman"/>
          <w:bCs/>
          <w:color w:val="auto"/>
          <w:sz w:val="21"/>
          <w:szCs w:val="21"/>
          <w:highlight w:val="none"/>
          <w:u w:val="single"/>
        </w:rPr>
        <w:t>万元（从当期进度款中扣除）</w:t>
      </w:r>
      <w:r>
        <w:rPr>
          <w:rFonts w:ascii="宋体" w:hAnsi="宋体" w:eastAsia="宋体" w:cs="Times New Roman"/>
          <w:color w:val="auto"/>
          <w:sz w:val="21"/>
          <w:szCs w:val="21"/>
          <w:highlight w:val="none"/>
        </w:rPr>
        <w:t>。</w:t>
      </w:r>
    </w:p>
    <w:p w14:paraId="107EB37C">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承包人主要施工管理人员擅自离开施工现场的违约责任：</w:t>
      </w:r>
      <w:r>
        <w:rPr>
          <w:rFonts w:hint="eastAsia" w:ascii="宋体" w:hAnsi="宋体" w:eastAsia="宋体" w:cs="Times New Roman"/>
          <w:bCs/>
          <w:color w:val="auto"/>
          <w:sz w:val="21"/>
          <w:szCs w:val="21"/>
          <w:highlight w:val="none"/>
          <w:u w:val="single"/>
        </w:rPr>
        <w:t>如承包人主要施工管理人员未经发包人批准擅自离开施工现场，每缺勤一天承担违约金</w:t>
      </w:r>
      <w:r>
        <w:rPr>
          <w:rFonts w:ascii="宋体" w:hAnsi="宋体" w:eastAsia="宋体" w:cs="Times New Roman"/>
          <w:bCs/>
          <w:color w:val="auto"/>
          <w:sz w:val="21"/>
          <w:szCs w:val="21"/>
          <w:highlight w:val="none"/>
          <w:u w:val="single"/>
        </w:rPr>
        <w:t>500元/人次</w:t>
      </w:r>
      <w:r>
        <w:rPr>
          <w:rFonts w:ascii="宋体" w:hAnsi="宋体" w:eastAsia="宋体" w:cs="Times New Roman"/>
          <w:color w:val="auto"/>
          <w:sz w:val="21"/>
          <w:szCs w:val="21"/>
          <w:highlight w:val="none"/>
        </w:rPr>
        <w:t>。</w:t>
      </w:r>
    </w:p>
    <w:p w14:paraId="186ABEB3">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3.5 分包</w:t>
      </w:r>
    </w:p>
    <w:p w14:paraId="64425B46">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3.5.1 分包的一般约定</w:t>
      </w:r>
    </w:p>
    <w:p w14:paraId="002F59D9">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禁止分包的工程包括：</w:t>
      </w:r>
      <w:r>
        <w:rPr>
          <w:rFonts w:hint="eastAsia" w:ascii="宋体" w:hAnsi="宋体" w:eastAsia="宋体" w:cs="Times New Roman"/>
          <w:bCs/>
          <w:color w:val="auto"/>
          <w:sz w:val="21"/>
          <w:szCs w:val="21"/>
          <w:highlight w:val="none"/>
          <w:u w:val="single"/>
        </w:rPr>
        <w:t>按通用条款规定</w:t>
      </w:r>
      <w:r>
        <w:rPr>
          <w:rFonts w:ascii="宋体" w:hAnsi="宋体" w:eastAsia="宋体" w:cs="Times New Roman"/>
          <w:color w:val="auto"/>
          <w:sz w:val="21"/>
          <w:szCs w:val="21"/>
          <w:highlight w:val="none"/>
        </w:rPr>
        <w:t>。</w:t>
      </w:r>
    </w:p>
    <w:p w14:paraId="7202A9C1">
      <w:pPr>
        <w:spacing w:line="360" w:lineRule="auto"/>
        <w:ind w:firstLine="420" w:firstLineChars="200"/>
        <w:jc w:val="left"/>
        <w:rPr>
          <w:rFonts w:hint="eastAsia"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主体结构、关键性工作的范围：</w:t>
      </w:r>
      <w:r>
        <w:rPr>
          <w:rFonts w:hint="eastAsia" w:ascii="宋体" w:hAnsi="宋体" w:eastAsia="宋体" w:cs="Times New Roman"/>
          <w:bCs/>
          <w:color w:val="auto"/>
          <w:sz w:val="21"/>
          <w:szCs w:val="21"/>
          <w:highlight w:val="none"/>
          <w:u w:val="single"/>
        </w:rPr>
        <w:t>按通用条款规定</w:t>
      </w:r>
      <w:r>
        <w:rPr>
          <w:rFonts w:ascii="宋体" w:hAnsi="宋体" w:eastAsia="宋体" w:cs="Times New Roman"/>
          <w:color w:val="auto"/>
          <w:sz w:val="21"/>
          <w:szCs w:val="21"/>
          <w:highlight w:val="none"/>
        </w:rPr>
        <w:t>。</w:t>
      </w:r>
    </w:p>
    <w:p w14:paraId="6799A271">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3.5.2分包的确定</w:t>
      </w:r>
    </w:p>
    <w:p w14:paraId="67E55603">
      <w:pPr>
        <w:spacing w:line="360" w:lineRule="auto"/>
        <w:ind w:firstLine="420" w:firstLineChars="200"/>
        <w:rPr>
          <w:rFonts w:hint="eastAsia"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允许分包的专业工程包括：</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w:t>
      </w:r>
    </w:p>
    <w:p w14:paraId="78BB6AAE">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其他关于分包的约定：</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w:t>
      </w:r>
    </w:p>
    <w:p w14:paraId="765803F4">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3.5.</w:t>
      </w:r>
      <w:r>
        <w:rPr>
          <w:rFonts w:hint="eastAsia" w:ascii="宋体" w:hAnsi="宋体" w:eastAsia="宋体" w:cs="Times New Roman"/>
          <w:color w:val="auto"/>
          <w:sz w:val="21"/>
          <w:szCs w:val="21"/>
          <w:highlight w:val="none"/>
        </w:rPr>
        <w:t>3</w:t>
      </w:r>
      <w:r>
        <w:rPr>
          <w:rFonts w:ascii="宋体" w:hAnsi="宋体" w:eastAsia="宋体" w:cs="Times New Roman"/>
          <w:color w:val="auto"/>
          <w:sz w:val="21"/>
          <w:szCs w:val="21"/>
          <w:highlight w:val="none"/>
        </w:rPr>
        <w:t xml:space="preserve"> 分包合同价款</w:t>
      </w:r>
    </w:p>
    <w:p w14:paraId="3B21B0D9">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关于分包合同价款支付的约定：</w:t>
      </w:r>
      <w:r>
        <w:rPr>
          <w:rFonts w:hint="eastAsia" w:ascii="宋体" w:hAnsi="宋体" w:eastAsia="宋体" w:cs="Times New Roman"/>
          <w:bCs/>
          <w:color w:val="auto"/>
          <w:sz w:val="21"/>
          <w:szCs w:val="21"/>
          <w:highlight w:val="none"/>
          <w:u w:val="single"/>
        </w:rPr>
        <w:t>按通用条款规定</w:t>
      </w:r>
      <w:r>
        <w:rPr>
          <w:rFonts w:ascii="宋体" w:hAnsi="宋体" w:eastAsia="宋体" w:cs="Times New Roman"/>
          <w:color w:val="auto"/>
          <w:sz w:val="21"/>
          <w:szCs w:val="21"/>
          <w:highlight w:val="none"/>
        </w:rPr>
        <w:t>。</w:t>
      </w:r>
    </w:p>
    <w:p w14:paraId="45479A0D">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3.6 工程照管与成品、半成品保护</w:t>
      </w:r>
    </w:p>
    <w:p w14:paraId="407D588F">
      <w:pPr>
        <w:spacing w:before="120" w:after="120" w:line="360" w:lineRule="auto"/>
        <w:ind w:firstLine="420" w:firstLineChars="200"/>
        <w:rPr>
          <w:rFonts w:hint="eastAsia" w:ascii="宋体" w:hAnsi="宋体" w:eastAsia="宋体" w:cs="Times New Roman"/>
          <w:color w:val="auto"/>
          <w:kern w:val="0"/>
          <w:sz w:val="21"/>
          <w:szCs w:val="21"/>
          <w:highlight w:val="none"/>
          <w:u w:val="single"/>
        </w:rPr>
      </w:pPr>
      <w:r>
        <w:rPr>
          <w:rFonts w:ascii="宋体" w:hAnsi="宋体" w:eastAsia="宋体" w:cs="Times New Roman"/>
          <w:color w:val="auto"/>
          <w:kern w:val="0"/>
          <w:sz w:val="21"/>
          <w:szCs w:val="21"/>
          <w:highlight w:val="none"/>
        </w:rPr>
        <w:t>承包人负责照管工程及工程相关的材料、工程设备的起始时间：</w:t>
      </w:r>
      <w:r>
        <w:rPr>
          <w:rFonts w:hint="eastAsia" w:ascii="宋体" w:hAnsi="宋体" w:eastAsia="宋体" w:cs="Times New Roman"/>
          <w:bCs/>
          <w:color w:val="auto"/>
          <w:sz w:val="21"/>
          <w:szCs w:val="21"/>
          <w:highlight w:val="none"/>
          <w:u w:val="single"/>
        </w:rPr>
        <w:t>竣工交付前由承包人负责，由此产生的相关费用由承包人承担，发包人要求采取特殊保护措施所发生的费用由发包人承担</w:t>
      </w:r>
      <w:r>
        <w:rPr>
          <w:rFonts w:ascii="宋体" w:hAnsi="宋体" w:eastAsia="宋体" w:cs="Times New Roman"/>
          <w:color w:val="auto"/>
          <w:kern w:val="0"/>
          <w:sz w:val="21"/>
          <w:szCs w:val="21"/>
          <w:highlight w:val="none"/>
        </w:rPr>
        <w:t>。</w:t>
      </w:r>
    </w:p>
    <w:p w14:paraId="48A7B16D">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3.7 履约担保</w:t>
      </w:r>
      <w:r>
        <w:rPr>
          <w:rFonts w:hint="eastAsia" w:ascii="Calibri" w:hAnsi="Calibri" w:eastAsia="黑体" w:cs="Times New Roman"/>
          <w:color w:val="auto"/>
          <w:sz w:val="24"/>
          <w:szCs w:val="24"/>
          <w:highlight w:val="none"/>
        </w:rPr>
        <w:t>（本项目不适用）</w:t>
      </w:r>
    </w:p>
    <w:p w14:paraId="3BBB5803">
      <w:pPr>
        <w:keepNext/>
        <w:keepLines/>
        <w:spacing w:before="120" w:after="120" w:line="360" w:lineRule="auto"/>
        <w:ind w:firstLine="562"/>
        <w:outlineLvl w:val="3"/>
        <w:rPr>
          <w:rFonts w:ascii="Calibri" w:hAnsi="Calibri" w:eastAsia="黑体" w:cs="Times New Roman"/>
          <w:color w:val="auto"/>
          <w:sz w:val="28"/>
          <w:highlight w:val="none"/>
        </w:rPr>
      </w:pPr>
      <w:r>
        <w:rPr>
          <w:rFonts w:hint="eastAsia" w:ascii="Calibri" w:hAnsi="Calibri" w:eastAsia="黑体" w:cs="Times New Roman"/>
          <w:color w:val="auto"/>
          <w:sz w:val="28"/>
          <w:highlight w:val="none"/>
          <w:lang w:val="en-US" w:eastAsia="zh-CN"/>
        </w:rPr>
        <w:t>4</w:t>
      </w:r>
      <w:r>
        <w:rPr>
          <w:rFonts w:ascii="Calibri" w:hAnsi="Calibri" w:eastAsia="黑体" w:cs="Times New Roman"/>
          <w:color w:val="auto"/>
          <w:sz w:val="28"/>
          <w:highlight w:val="none"/>
        </w:rPr>
        <w:t>. 工程质量</w:t>
      </w:r>
    </w:p>
    <w:p w14:paraId="4AD48A39">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4</w:t>
      </w:r>
      <w:r>
        <w:rPr>
          <w:rFonts w:ascii="Calibri" w:hAnsi="Calibri" w:eastAsia="黑体" w:cs="Times New Roman"/>
          <w:color w:val="auto"/>
          <w:sz w:val="24"/>
          <w:szCs w:val="24"/>
          <w:highlight w:val="none"/>
        </w:rPr>
        <w:t>.1 质量要求</w:t>
      </w:r>
    </w:p>
    <w:p w14:paraId="0BD926D3">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color w:val="auto"/>
          <w:sz w:val="21"/>
          <w:szCs w:val="21"/>
          <w:highlight w:val="none"/>
          <w:lang w:val="en-US" w:eastAsia="zh-CN"/>
        </w:rPr>
        <w:t>4</w:t>
      </w:r>
      <w:r>
        <w:rPr>
          <w:rFonts w:ascii="宋体" w:hAnsi="宋体" w:eastAsia="宋体" w:cs="Times New Roman"/>
          <w:color w:val="auto"/>
          <w:sz w:val="21"/>
          <w:szCs w:val="21"/>
          <w:highlight w:val="none"/>
        </w:rPr>
        <w:t>.1.1 特殊质量标准和要求：</w:t>
      </w:r>
      <w:r>
        <w:rPr>
          <w:rFonts w:hint="eastAsia" w:ascii="宋体" w:hAnsi="宋体" w:eastAsia="宋体" w:cs="Times New Roman"/>
          <w:bCs/>
          <w:color w:val="auto"/>
          <w:sz w:val="21"/>
          <w:szCs w:val="21"/>
          <w:highlight w:val="none"/>
          <w:u w:val="single"/>
        </w:rPr>
        <w:t>工程质量符合国家现行维修工程相关质量标准</w:t>
      </w:r>
      <w:r>
        <w:rPr>
          <w:rFonts w:ascii="宋体" w:hAnsi="宋体" w:eastAsia="宋体" w:cs="Times New Roman"/>
          <w:bCs/>
          <w:color w:val="auto"/>
          <w:sz w:val="21"/>
          <w:szCs w:val="21"/>
          <w:highlight w:val="none"/>
          <w:u w:val="single"/>
        </w:rPr>
        <w:t>，并达到投标承诺的质量标准等级</w:t>
      </w:r>
      <w:r>
        <w:rPr>
          <w:rFonts w:ascii="宋体" w:hAnsi="宋体" w:eastAsia="宋体" w:cs="Times New Roman"/>
          <w:color w:val="auto"/>
          <w:sz w:val="21"/>
          <w:szCs w:val="21"/>
          <w:highlight w:val="none"/>
        </w:rPr>
        <w:t>。</w:t>
      </w:r>
    </w:p>
    <w:p w14:paraId="7C4B8DF7">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关于工程奖项的约定：</w:t>
      </w:r>
      <w:r>
        <w:rPr>
          <w:rFonts w:hint="eastAsia" w:ascii="宋体" w:hAnsi="宋体" w:eastAsia="宋体" w:cs="Times New Roman"/>
          <w:bCs/>
          <w:color w:val="auto"/>
          <w:sz w:val="21"/>
          <w:szCs w:val="21"/>
          <w:highlight w:val="none"/>
          <w:u w:val="single"/>
        </w:rPr>
        <w:t>本工程不设优质工程奖</w:t>
      </w:r>
      <w:r>
        <w:rPr>
          <w:rFonts w:ascii="宋体" w:hAnsi="宋体" w:eastAsia="宋体" w:cs="Times New Roman"/>
          <w:color w:val="auto"/>
          <w:sz w:val="21"/>
          <w:szCs w:val="21"/>
          <w:highlight w:val="none"/>
        </w:rPr>
        <w:t>。</w:t>
      </w:r>
    </w:p>
    <w:p w14:paraId="305AF08B">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4</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2</w:t>
      </w:r>
      <w:r>
        <w:rPr>
          <w:rFonts w:ascii="Calibri" w:hAnsi="Calibri" w:eastAsia="黑体" w:cs="Times New Roman"/>
          <w:color w:val="auto"/>
          <w:sz w:val="24"/>
          <w:szCs w:val="24"/>
          <w:highlight w:val="none"/>
        </w:rPr>
        <w:t xml:space="preserve"> 隐蔽工程检查</w:t>
      </w:r>
    </w:p>
    <w:p w14:paraId="4A47EBF5">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4</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2</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1</w:t>
      </w:r>
      <w:r>
        <w:rPr>
          <w:rFonts w:ascii="宋体" w:hAnsi="宋体" w:eastAsia="宋体" w:cs="Times New Roman"/>
          <w:color w:val="auto"/>
          <w:sz w:val="21"/>
          <w:szCs w:val="21"/>
          <w:highlight w:val="none"/>
        </w:rPr>
        <w:t>承包人提前通知</w:t>
      </w:r>
      <w:r>
        <w:rPr>
          <w:rFonts w:hint="eastAsia" w:ascii="宋体" w:hAnsi="宋体" w:eastAsia="宋体" w:cs="Times New Roman"/>
          <w:color w:val="auto"/>
          <w:sz w:val="21"/>
          <w:szCs w:val="21"/>
          <w:highlight w:val="none"/>
          <w:lang w:eastAsia="zh-CN"/>
        </w:rPr>
        <w:t>发包人</w:t>
      </w:r>
      <w:r>
        <w:rPr>
          <w:rFonts w:ascii="宋体" w:hAnsi="宋体" w:eastAsia="宋体" w:cs="Times New Roman"/>
          <w:color w:val="auto"/>
          <w:sz w:val="21"/>
          <w:szCs w:val="21"/>
          <w:highlight w:val="none"/>
        </w:rPr>
        <w:t>隐蔽工程检查的期限的约定：</w:t>
      </w:r>
      <w:r>
        <w:rPr>
          <w:rFonts w:hint="eastAsia" w:ascii="宋体" w:hAnsi="宋体" w:eastAsia="宋体" w:cs="Times New Roman"/>
          <w:bCs/>
          <w:color w:val="auto"/>
          <w:sz w:val="21"/>
          <w:szCs w:val="21"/>
          <w:highlight w:val="none"/>
          <w:u w:val="single"/>
        </w:rPr>
        <w:t>工程具备隐蔽条件或达到中间验收部位，承包人进行自检，并在隐蔽或中间验收前</w:t>
      </w:r>
      <w:r>
        <w:rPr>
          <w:rFonts w:ascii="宋体" w:hAnsi="宋体" w:eastAsia="宋体" w:cs="Times New Roman"/>
          <w:bCs/>
          <w:color w:val="auto"/>
          <w:sz w:val="21"/>
          <w:szCs w:val="21"/>
          <w:highlight w:val="none"/>
          <w:u w:val="single"/>
        </w:rPr>
        <w:t>48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w:t>
      </w:r>
      <w:r>
        <w:rPr>
          <w:rFonts w:ascii="宋体" w:hAnsi="宋体" w:eastAsia="宋体" w:cs="Times New Roman"/>
          <w:color w:val="auto"/>
          <w:sz w:val="21"/>
          <w:szCs w:val="21"/>
          <w:highlight w:val="none"/>
        </w:rPr>
        <w:t>。</w:t>
      </w:r>
    </w:p>
    <w:p w14:paraId="6D670F0E">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发包人</w:t>
      </w:r>
      <w:r>
        <w:rPr>
          <w:rFonts w:ascii="宋体" w:hAnsi="宋体" w:eastAsia="宋体" w:cs="Times New Roman"/>
          <w:color w:val="auto"/>
          <w:sz w:val="21"/>
          <w:szCs w:val="21"/>
          <w:highlight w:val="none"/>
        </w:rPr>
        <w:t>不能按时进行检查时，应提前</w:t>
      </w:r>
      <w:r>
        <w:rPr>
          <w:rFonts w:ascii="宋体" w:hAnsi="宋体" w:eastAsia="宋体" w:cs="Times New Roman"/>
          <w:bCs/>
          <w:color w:val="auto"/>
          <w:sz w:val="21"/>
          <w:szCs w:val="21"/>
          <w:highlight w:val="none"/>
          <w:u w:val="single"/>
        </w:rPr>
        <w:t>24</w:t>
      </w:r>
      <w:r>
        <w:rPr>
          <w:rFonts w:ascii="宋体" w:hAnsi="宋体" w:eastAsia="宋体" w:cs="Times New Roman"/>
          <w:color w:val="auto"/>
          <w:sz w:val="21"/>
          <w:szCs w:val="21"/>
          <w:highlight w:val="none"/>
        </w:rPr>
        <w:t>小时提交书面延期要求。</w:t>
      </w:r>
    </w:p>
    <w:p w14:paraId="1B30B66C">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关于延期最长不得超过：</w:t>
      </w:r>
      <w:r>
        <w:rPr>
          <w:rFonts w:ascii="宋体" w:hAnsi="宋体" w:eastAsia="宋体" w:cs="Times New Roman"/>
          <w:bCs/>
          <w:color w:val="auto"/>
          <w:sz w:val="21"/>
          <w:szCs w:val="21"/>
          <w:highlight w:val="none"/>
          <w:u w:val="single"/>
        </w:rPr>
        <w:t>48</w:t>
      </w:r>
      <w:r>
        <w:rPr>
          <w:rFonts w:ascii="宋体" w:hAnsi="宋体" w:eastAsia="宋体" w:cs="Times New Roman"/>
          <w:color w:val="auto"/>
          <w:sz w:val="21"/>
          <w:szCs w:val="21"/>
          <w:highlight w:val="none"/>
        </w:rPr>
        <w:t>小时。</w:t>
      </w:r>
    </w:p>
    <w:p w14:paraId="2E4CBD04">
      <w:pPr>
        <w:keepNext/>
        <w:keepLines/>
        <w:spacing w:before="120" w:after="120" w:line="360" w:lineRule="auto"/>
        <w:ind w:firstLine="562"/>
        <w:outlineLvl w:val="3"/>
        <w:rPr>
          <w:rFonts w:ascii="Calibri" w:hAnsi="Calibri" w:eastAsia="黑体" w:cs="Times New Roman"/>
          <w:color w:val="auto"/>
          <w:sz w:val="28"/>
          <w:highlight w:val="none"/>
        </w:rPr>
      </w:pPr>
      <w:r>
        <w:rPr>
          <w:rFonts w:hint="eastAsia" w:ascii="Calibri" w:hAnsi="Calibri" w:eastAsia="黑体" w:cs="Times New Roman"/>
          <w:color w:val="auto"/>
          <w:sz w:val="28"/>
          <w:highlight w:val="none"/>
          <w:lang w:val="en-US" w:eastAsia="zh-CN"/>
        </w:rPr>
        <w:t>5</w:t>
      </w:r>
      <w:r>
        <w:rPr>
          <w:rFonts w:ascii="Calibri" w:hAnsi="Calibri" w:eastAsia="黑体" w:cs="Times New Roman"/>
          <w:color w:val="auto"/>
          <w:sz w:val="28"/>
          <w:highlight w:val="none"/>
        </w:rPr>
        <w:t>. 安全文明施工与环境保护</w:t>
      </w:r>
    </w:p>
    <w:p w14:paraId="589AD7EB">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5</w:t>
      </w:r>
      <w:r>
        <w:rPr>
          <w:rFonts w:ascii="Calibri" w:hAnsi="Calibri" w:eastAsia="黑体" w:cs="Times New Roman"/>
          <w:color w:val="auto"/>
          <w:sz w:val="24"/>
          <w:szCs w:val="24"/>
          <w:highlight w:val="none"/>
        </w:rPr>
        <w:t>.1安全文明施工</w:t>
      </w:r>
    </w:p>
    <w:p w14:paraId="43E2336B">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5</w:t>
      </w:r>
      <w:r>
        <w:rPr>
          <w:rFonts w:ascii="宋体" w:hAnsi="宋体" w:eastAsia="宋体" w:cs="Times New Roman"/>
          <w:color w:val="auto"/>
          <w:sz w:val="21"/>
          <w:szCs w:val="21"/>
          <w:highlight w:val="none"/>
        </w:rPr>
        <w:t>.1.1 项目安全生产的达标目标及相应事项的约定：</w:t>
      </w:r>
      <w:r>
        <w:rPr>
          <w:rFonts w:hint="eastAsia" w:ascii="宋体" w:hAnsi="宋体" w:eastAsia="宋体" w:cs="Times New Roman"/>
          <w:bCs/>
          <w:color w:val="auto"/>
          <w:sz w:val="21"/>
          <w:szCs w:val="21"/>
          <w:highlight w:val="none"/>
          <w:u w:val="single"/>
        </w:rPr>
        <w:t>承包人在现场的安全管理、教育和安全事故责任由承包人负责，费用含在安全文明施工费中。承包人负责施工现场的安全及第三方的人身财产安全</w:t>
      </w:r>
      <w:r>
        <w:rPr>
          <w:rFonts w:ascii="宋体" w:hAnsi="宋体" w:eastAsia="宋体" w:cs="Times New Roman"/>
          <w:color w:val="auto"/>
          <w:sz w:val="21"/>
          <w:szCs w:val="21"/>
          <w:highlight w:val="none"/>
        </w:rPr>
        <w:t>。</w:t>
      </w:r>
    </w:p>
    <w:p w14:paraId="79556E6F">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5</w:t>
      </w: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rPr>
        <w:t>2</w:t>
      </w:r>
      <w:r>
        <w:rPr>
          <w:rFonts w:ascii="宋体" w:hAnsi="宋体" w:eastAsia="宋体" w:cs="Times New Roman"/>
          <w:color w:val="auto"/>
          <w:sz w:val="21"/>
          <w:szCs w:val="21"/>
          <w:highlight w:val="none"/>
        </w:rPr>
        <w:t xml:space="preserve"> 关于治安保卫的特别约定：</w:t>
      </w:r>
      <w:r>
        <w:rPr>
          <w:rFonts w:hint="eastAsia" w:ascii="宋体" w:hAnsi="宋体" w:eastAsia="宋体" w:cs="Times New Roman"/>
          <w:bCs/>
          <w:color w:val="auto"/>
          <w:sz w:val="21"/>
          <w:szCs w:val="21"/>
          <w:highlight w:val="none"/>
          <w:u w:val="single"/>
        </w:rPr>
        <w:t>承担施工安全保卫工作及非夜间施工照明的责任和要求，具体如下：①根据发包人批准的施工方案，</w:t>
      </w:r>
      <w:r>
        <w:rPr>
          <w:rFonts w:ascii="宋体" w:hAnsi="宋体" w:eastAsia="宋体" w:cs="Times New Roman"/>
          <w:bCs/>
          <w:color w:val="auto"/>
          <w:sz w:val="21"/>
          <w:szCs w:val="21"/>
          <w:highlight w:val="none"/>
          <w:u w:val="single"/>
        </w:rPr>
        <w:t>禁止非本工程施工、管理人员、车辆进入现场；②为保护本工程免遭损坏，或为现场附近和过往人群的安全与方便，在确有必要的时候和地方，或当有关主管部门要求时，承包人应自费提供照明、警卫、</w:t>
      </w:r>
      <w:r>
        <w:rPr>
          <w:rFonts w:hint="eastAsia" w:ascii="宋体" w:hAnsi="宋体" w:eastAsia="宋体" w:cs="Times New Roman"/>
          <w:bCs/>
          <w:color w:val="auto"/>
          <w:sz w:val="21"/>
          <w:szCs w:val="21"/>
          <w:highlight w:val="none"/>
          <w:u w:val="single"/>
          <w:lang w:eastAsia="zh-CN"/>
        </w:rPr>
        <w:t>护栏</w:t>
      </w:r>
      <w:r>
        <w:rPr>
          <w:rFonts w:ascii="宋体" w:hAnsi="宋体" w:eastAsia="宋体" w:cs="Times New Roman"/>
          <w:bCs/>
          <w:color w:val="auto"/>
          <w:sz w:val="21"/>
          <w:szCs w:val="21"/>
          <w:highlight w:val="none"/>
          <w:u w:val="single"/>
        </w:rPr>
        <w:t>、警告标志等安全防护措施。③在实施和完成本工程过程中，承包人应承担非夜间施工照明和照明设施的维护责任；④承包人必须承担上述工作所需的所有费用。⑤如承包人未履行上述约定及通</w:t>
      </w:r>
      <w:r>
        <w:rPr>
          <w:rFonts w:hint="eastAsia" w:ascii="宋体" w:hAnsi="宋体" w:eastAsia="宋体" w:cs="Times New Roman"/>
          <w:bCs/>
          <w:color w:val="auto"/>
          <w:sz w:val="21"/>
          <w:szCs w:val="21"/>
          <w:highlight w:val="none"/>
          <w:u w:val="single"/>
        </w:rPr>
        <w:t>用条款相关义务造成工程、财产和人身伤害，由承包人承担责任、赔偿损失及支付发生的费用。⑥因承包人自身原因造成的人身、财产安全事故，均由承包人自行承担相关责任及费用赔偿，与发包人无关。在施工期间，每发生一起重伤事故，承包人除接受政府相关部门处罚、承担处理事故费用外，承包人还将赔偿发包人违约金1</w:t>
      </w:r>
      <w:r>
        <w:rPr>
          <w:rFonts w:ascii="宋体" w:hAnsi="宋体" w:eastAsia="宋体" w:cs="Times New Roman"/>
          <w:bCs/>
          <w:color w:val="auto"/>
          <w:sz w:val="21"/>
          <w:szCs w:val="21"/>
          <w:highlight w:val="none"/>
          <w:u w:val="single"/>
        </w:rPr>
        <w:t>万元(直接从工程进度款中扣除)；每发生一起人身伤亡事故，承包人除接受政府相关部门处罚、承担处理事故费用外，承包人还将赔偿发包人违约金</w:t>
      </w:r>
      <w:r>
        <w:rPr>
          <w:rFonts w:hint="eastAsia" w:ascii="宋体" w:hAnsi="宋体" w:eastAsia="宋体" w:cs="Times New Roman"/>
          <w:bCs/>
          <w:color w:val="auto"/>
          <w:sz w:val="21"/>
          <w:szCs w:val="21"/>
          <w:highlight w:val="none"/>
          <w:u w:val="single"/>
        </w:rPr>
        <w:t>1</w:t>
      </w:r>
      <w:r>
        <w:rPr>
          <w:rFonts w:ascii="宋体" w:hAnsi="宋体" w:eastAsia="宋体" w:cs="Times New Roman"/>
          <w:bCs/>
          <w:color w:val="auto"/>
          <w:sz w:val="21"/>
          <w:szCs w:val="21"/>
          <w:highlight w:val="none"/>
          <w:u w:val="single"/>
        </w:rPr>
        <w:t>万元(直接从工程进度款中扣除)；每发生一起重大质量安全事故，承包人除接受政府相关部门处</w:t>
      </w:r>
      <w:r>
        <w:rPr>
          <w:rFonts w:hint="eastAsia" w:ascii="宋体" w:hAnsi="宋体" w:eastAsia="宋体" w:cs="Times New Roman"/>
          <w:bCs/>
          <w:color w:val="auto"/>
          <w:sz w:val="21"/>
          <w:szCs w:val="21"/>
          <w:highlight w:val="none"/>
          <w:u w:val="single"/>
        </w:rPr>
        <w:t>罚、承担处理事故费用外，承包人还将赔偿发包人违约金2</w:t>
      </w:r>
      <w:r>
        <w:rPr>
          <w:rFonts w:ascii="宋体" w:hAnsi="宋体" w:eastAsia="宋体" w:cs="Times New Roman"/>
          <w:bCs/>
          <w:color w:val="auto"/>
          <w:sz w:val="21"/>
          <w:szCs w:val="21"/>
          <w:highlight w:val="none"/>
          <w:u w:val="single"/>
        </w:rPr>
        <w:t>万元(直接从工程进度款中扣除)</w:t>
      </w:r>
      <w:r>
        <w:rPr>
          <w:rFonts w:ascii="宋体" w:hAnsi="宋体" w:eastAsia="宋体" w:cs="Times New Roman"/>
          <w:color w:val="auto"/>
          <w:sz w:val="21"/>
          <w:szCs w:val="21"/>
          <w:highlight w:val="none"/>
        </w:rPr>
        <w:t>。</w:t>
      </w:r>
    </w:p>
    <w:p w14:paraId="123298F8">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关于编制施工场地治安管理计划的约定：</w:t>
      </w:r>
      <w:r>
        <w:rPr>
          <w:rFonts w:hint="eastAsia" w:ascii="宋体" w:hAnsi="宋体" w:eastAsia="宋体" w:cs="Times New Roman"/>
          <w:bCs/>
          <w:color w:val="auto"/>
          <w:sz w:val="21"/>
          <w:szCs w:val="21"/>
          <w:highlight w:val="none"/>
          <w:u w:val="single"/>
        </w:rPr>
        <w:t>由承包人负责施工现场内治安保卫工作，包括：（</w:t>
      </w:r>
      <w:r>
        <w:rPr>
          <w:rFonts w:ascii="宋体" w:hAnsi="宋体" w:eastAsia="宋体" w:cs="Times New Roman"/>
          <w:bCs/>
          <w:color w:val="auto"/>
          <w:sz w:val="21"/>
          <w:szCs w:val="21"/>
          <w:highlight w:val="none"/>
          <w:u w:val="single"/>
        </w:rPr>
        <w:t>1）对</w:t>
      </w:r>
      <w:r>
        <w:rPr>
          <w:rFonts w:hint="eastAsia" w:ascii="宋体" w:hAnsi="宋体" w:eastAsia="宋体" w:cs="Times New Roman"/>
          <w:bCs/>
          <w:color w:val="auto"/>
          <w:sz w:val="21"/>
          <w:szCs w:val="21"/>
          <w:highlight w:val="none"/>
          <w:u w:val="single"/>
          <w:lang w:eastAsia="zh-CN"/>
        </w:rPr>
        <w:t>进入</w:t>
      </w:r>
      <w:r>
        <w:rPr>
          <w:rFonts w:ascii="宋体" w:hAnsi="宋体" w:eastAsia="宋体" w:cs="Times New Roman"/>
          <w:bCs/>
          <w:color w:val="auto"/>
          <w:sz w:val="21"/>
          <w:szCs w:val="21"/>
          <w:highlight w:val="none"/>
          <w:u w:val="single"/>
        </w:rPr>
        <w:t>施工现场的参建单位相关人员的管理；（2）配合公安、交警等部门的管理；（3）承担治安管理工作相关费用</w:t>
      </w:r>
      <w:r>
        <w:rPr>
          <w:rFonts w:ascii="宋体" w:hAnsi="宋体" w:eastAsia="宋体" w:cs="Times New Roman"/>
          <w:color w:val="auto"/>
          <w:sz w:val="21"/>
          <w:szCs w:val="21"/>
          <w:highlight w:val="none"/>
        </w:rPr>
        <w:t>。</w:t>
      </w:r>
    </w:p>
    <w:p w14:paraId="3961996F">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5</w:t>
      </w:r>
      <w:r>
        <w:rPr>
          <w:rFonts w:hint="eastAsia" w:ascii="宋体" w:hAnsi="宋体" w:eastAsia="宋体" w:cs="Times New Roman"/>
          <w:color w:val="auto"/>
          <w:sz w:val="21"/>
          <w:szCs w:val="21"/>
          <w:highlight w:val="none"/>
        </w:rPr>
        <w:t>.1.3 文明施工</w:t>
      </w:r>
    </w:p>
    <w:p w14:paraId="174AECD1">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合同当事人对文明施工的要求：</w:t>
      </w:r>
      <w:r>
        <w:rPr>
          <w:rFonts w:hint="eastAsia" w:ascii="宋体" w:hAnsi="宋体" w:eastAsia="宋体" w:cs="Times New Roman"/>
          <w:bCs/>
          <w:color w:val="auto"/>
          <w:sz w:val="21"/>
          <w:szCs w:val="21"/>
          <w:highlight w:val="none"/>
          <w:u w:val="single"/>
        </w:rPr>
        <w:t>本工程不创建市级文明工地。施工场地符合</w:t>
      </w:r>
      <w:r>
        <w:rPr>
          <w:rFonts w:hint="eastAsia" w:ascii="宋体" w:hAnsi="宋体" w:eastAsia="宋体" w:cs="Times New Roman"/>
          <w:bCs/>
          <w:color w:val="auto"/>
          <w:sz w:val="21"/>
          <w:szCs w:val="21"/>
          <w:highlight w:val="none"/>
          <w:u w:val="single"/>
          <w:lang w:val="en-US" w:eastAsia="zh-CN"/>
        </w:rPr>
        <w:t>工程所在地</w:t>
      </w:r>
      <w:r>
        <w:rPr>
          <w:rFonts w:hint="eastAsia" w:ascii="宋体" w:hAnsi="宋体" w:eastAsia="宋体" w:cs="Times New Roman"/>
          <w:bCs/>
          <w:color w:val="auto"/>
          <w:sz w:val="21"/>
          <w:szCs w:val="21"/>
          <w:highlight w:val="none"/>
          <w:u w:val="single"/>
        </w:rPr>
        <w:t>有关主管部门规定的标准化施工现场和文明工地要求，同时应满足市政、市容等相关主管部门的有关规定，承包人违反规定造成的损失和罚款由承包人负责</w:t>
      </w:r>
      <w:r>
        <w:rPr>
          <w:rFonts w:hint="eastAsia" w:ascii="宋体" w:hAnsi="宋体" w:eastAsia="宋体" w:cs="Times New Roman"/>
          <w:color w:val="auto"/>
          <w:sz w:val="21"/>
          <w:szCs w:val="21"/>
          <w:highlight w:val="none"/>
        </w:rPr>
        <w:t>。</w:t>
      </w:r>
    </w:p>
    <w:p w14:paraId="23168FFA">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5</w:t>
      </w: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rPr>
        <w:t>4</w:t>
      </w:r>
      <w:r>
        <w:rPr>
          <w:rFonts w:ascii="宋体" w:hAnsi="宋体" w:eastAsia="宋体" w:cs="Times New Roman"/>
          <w:color w:val="auto"/>
          <w:sz w:val="21"/>
          <w:szCs w:val="21"/>
          <w:highlight w:val="none"/>
        </w:rPr>
        <w:t xml:space="preserve"> 关于安全文明施工费支付比例和支付期限的约定：</w:t>
      </w:r>
      <w:r>
        <w:rPr>
          <w:rFonts w:hint="eastAsia" w:ascii="宋体" w:hAnsi="宋体" w:eastAsia="宋体" w:cs="Times New Roman"/>
          <w:bCs/>
          <w:color w:val="auto"/>
          <w:sz w:val="21"/>
          <w:szCs w:val="21"/>
          <w:highlight w:val="none"/>
          <w:u w:val="single"/>
        </w:rPr>
        <w:t>预付款和工程进度款已包含安全文明施工费，承包人对安全文明施工费应专款专用，不得挪作他用，否则发包人有权停止支付工程款并要求承包人限期整改到位</w:t>
      </w:r>
      <w:r>
        <w:rPr>
          <w:rFonts w:ascii="宋体" w:hAnsi="宋体" w:eastAsia="宋体" w:cs="Times New Roman"/>
          <w:color w:val="auto"/>
          <w:sz w:val="21"/>
          <w:szCs w:val="21"/>
          <w:highlight w:val="none"/>
        </w:rPr>
        <w:t>。</w:t>
      </w:r>
    </w:p>
    <w:p w14:paraId="1B574E80">
      <w:pPr>
        <w:keepNext/>
        <w:keepLines/>
        <w:spacing w:before="120" w:after="120" w:line="360" w:lineRule="auto"/>
        <w:ind w:firstLine="562"/>
        <w:outlineLvl w:val="3"/>
        <w:rPr>
          <w:rFonts w:ascii="Calibri" w:hAnsi="Calibri" w:eastAsia="黑体" w:cs="Times New Roman"/>
          <w:color w:val="auto"/>
          <w:sz w:val="28"/>
          <w:highlight w:val="none"/>
        </w:rPr>
      </w:pPr>
      <w:r>
        <w:rPr>
          <w:rFonts w:hint="eastAsia" w:ascii="Calibri" w:hAnsi="Calibri" w:eastAsia="黑体" w:cs="Times New Roman"/>
          <w:color w:val="auto"/>
          <w:sz w:val="28"/>
          <w:highlight w:val="none"/>
          <w:lang w:val="en-US" w:eastAsia="zh-CN"/>
        </w:rPr>
        <w:t>6</w:t>
      </w:r>
      <w:r>
        <w:rPr>
          <w:rFonts w:ascii="Calibri" w:hAnsi="Calibri" w:eastAsia="黑体" w:cs="Times New Roman"/>
          <w:color w:val="auto"/>
          <w:sz w:val="28"/>
          <w:highlight w:val="none"/>
        </w:rPr>
        <w:t>. 工期和进度</w:t>
      </w:r>
    </w:p>
    <w:p w14:paraId="6A58E4DB">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6</w:t>
      </w:r>
      <w:r>
        <w:rPr>
          <w:rFonts w:ascii="Calibri" w:hAnsi="Calibri" w:eastAsia="黑体" w:cs="Times New Roman"/>
          <w:color w:val="auto"/>
          <w:sz w:val="24"/>
          <w:szCs w:val="24"/>
          <w:highlight w:val="none"/>
        </w:rPr>
        <w:t>.1 施工组织设计</w:t>
      </w:r>
    </w:p>
    <w:p w14:paraId="62D29574">
      <w:pPr>
        <w:autoSpaceDE w:val="0"/>
        <w:autoSpaceDN w:val="0"/>
        <w:adjustRightInd w:val="0"/>
        <w:spacing w:line="360" w:lineRule="auto"/>
        <w:ind w:firstLine="420" w:firstLineChars="200"/>
        <w:jc w:val="left"/>
        <w:rPr>
          <w:rFonts w:hint="eastAsia" w:ascii="宋体" w:hAnsi="宋体" w:eastAsia="宋体" w:cs="Times New Roman"/>
          <w:color w:val="auto"/>
          <w:kern w:val="0"/>
          <w:sz w:val="21"/>
          <w:szCs w:val="21"/>
          <w:highlight w:val="none"/>
        </w:rPr>
      </w:pPr>
      <w:r>
        <w:rPr>
          <w:rFonts w:hint="eastAsia" w:ascii="宋体" w:hAnsi="宋体" w:eastAsia="宋体" w:cs="Times New Roman"/>
          <w:color w:val="auto"/>
          <w:sz w:val="21"/>
          <w:szCs w:val="21"/>
          <w:highlight w:val="none"/>
          <w:lang w:val="en-US" w:eastAsia="zh-CN"/>
        </w:rPr>
        <w:t>6</w:t>
      </w: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rPr>
        <w:t>1 合</w:t>
      </w:r>
      <w:r>
        <w:rPr>
          <w:rFonts w:hint="eastAsia" w:ascii="宋体" w:hAnsi="宋体" w:eastAsia="宋体" w:cs="Times New Roman"/>
          <w:color w:val="auto"/>
          <w:kern w:val="0"/>
          <w:sz w:val="21"/>
          <w:szCs w:val="21"/>
          <w:highlight w:val="none"/>
        </w:rPr>
        <w:t>同当事人约定的</w:t>
      </w:r>
      <w:r>
        <w:rPr>
          <w:rFonts w:ascii="宋体" w:hAnsi="宋体" w:eastAsia="宋体" w:cs="Times New Roman"/>
          <w:color w:val="auto"/>
          <w:kern w:val="0"/>
          <w:sz w:val="21"/>
          <w:szCs w:val="21"/>
          <w:highlight w:val="none"/>
        </w:rPr>
        <w:t>施工组织设计</w:t>
      </w:r>
      <w:r>
        <w:rPr>
          <w:rFonts w:hint="eastAsia" w:ascii="宋体" w:hAnsi="宋体" w:eastAsia="宋体" w:cs="Times New Roman"/>
          <w:color w:val="auto"/>
          <w:kern w:val="0"/>
          <w:sz w:val="21"/>
          <w:szCs w:val="21"/>
          <w:highlight w:val="none"/>
        </w:rPr>
        <w:t>应包括的其他内容</w:t>
      </w:r>
      <w:r>
        <w:rPr>
          <w:rFonts w:ascii="宋体" w:hAnsi="宋体" w:eastAsia="宋体" w:cs="Times New Roman"/>
          <w:color w:val="auto"/>
          <w:kern w:val="0"/>
          <w:sz w:val="21"/>
          <w:szCs w:val="21"/>
          <w:highlight w:val="none"/>
        </w:rPr>
        <w:t>：</w:t>
      </w:r>
      <w:r>
        <w:rPr>
          <w:rFonts w:hint="eastAsia" w:ascii="宋体" w:hAnsi="宋体" w:eastAsia="宋体" w:cs="Times New Roman"/>
          <w:bCs/>
          <w:color w:val="auto"/>
          <w:sz w:val="21"/>
          <w:szCs w:val="21"/>
          <w:highlight w:val="none"/>
          <w:u w:val="single"/>
        </w:rPr>
        <w:t>施工进度计划，施工平面布置图、现场项目部组成、施工现场全方位智能监控布置，施工劳务安排、施工机械安排等。因承包人在投标前已自行踏勘现场并获得相关技术图纸，作为有经验的承包商已经充分考虑到现场实际情况及施工过程中可能出现的难点，中标后承包人提供的施工组织设计及施工方案不得作为增加合同价款的依据</w:t>
      </w:r>
      <w:r>
        <w:rPr>
          <w:rFonts w:ascii="宋体" w:hAnsi="宋体" w:eastAsia="宋体" w:cs="Times New Roman"/>
          <w:color w:val="auto"/>
          <w:sz w:val="21"/>
          <w:szCs w:val="21"/>
          <w:highlight w:val="none"/>
        </w:rPr>
        <w:t>。</w:t>
      </w:r>
    </w:p>
    <w:p w14:paraId="3F2E0BEB">
      <w:pPr>
        <w:autoSpaceDE w:val="0"/>
        <w:autoSpaceDN w:val="0"/>
        <w:adjustRightInd w:val="0"/>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sz w:val="21"/>
          <w:szCs w:val="21"/>
          <w:highlight w:val="none"/>
        </w:rPr>
        <w:t xml:space="preserve">7.1.2 </w:t>
      </w:r>
      <w:r>
        <w:rPr>
          <w:rFonts w:ascii="宋体" w:hAnsi="宋体" w:eastAsia="宋体" w:cs="Times New Roman"/>
          <w:color w:val="auto"/>
          <w:kern w:val="0"/>
          <w:sz w:val="21"/>
          <w:szCs w:val="21"/>
          <w:highlight w:val="none"/>
        </w:rPr>
        <w:t>施工组织设计的提交和修改</w:t>
      </w:r>
    </w:p>
    <w:p w14:paraId="2588B413">
      <w:pPr>
        <w:autoSpaceDE w:val="0"/>
        <w:autoSpaceDN w:val="0"/>
        <w:adjustRightInd w:val="0"/>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kern w:val="0"/>
          <w:sz w:val="21"/>
          <w:szCs w:val="21"/>
          <w:highlight w:val="none"/>
        </w:rPr>
        <w:t>承包人提交详细施工组织设计的期限的约定：</w:t>
      </w:r>
      <w:r>
        <w:rPr>
          <w:rFonts w:hint="eastAsia" w:ascii="宋体" w:hAnsi="宋体" w:eastAsia="宋体" w:cs="Times New Roman"/>
          <w:bCs/>
          <w:color w:val="auto"/>
          <w:sz w:val="21"/>
          <w:szCs w:val="21"/>
          <w:highlight w:val="none"/>
          <w:u w:val="single"/>
        </w:rPr>
        <w:t>承包人于开工前</w:t>
      </w:r>
      <w:r>
        <w:rPr>
          <w:rFonts w:ascii="宋体" w:hAnsi="宋体" w:eastAsia="宋体" w:cs="Times New Roman"/>
          <w:bCs/>
          <w:color w:val="auto"/>
          <w:sz w:val="21"/>
          <w:szCs w:val="21"/>
          <w:highlight w:val="none"/>
          <w:u w:val="single"/>
        </w:rPr>
        <w:t>7日提交施工组织设计，在各专项工程施工至少提前7日提交专项施工方案，有特殊要求的于施工前3日内上报施工方案。每月5日报本月的施工进度计划，每周五报周进度计划</w:t>
      </w:r>
      <w:r>
        <w:rPr>
          <w:rFonts w:ascii="宋体" w:hAnsi="宋体" w:eastAsia="宋体" w:cs="Times New Roman"/>
          <w:color w:val="auto"/>
          <w:sz w:val="21"/>
          <w:szCs w:val="21"/>
          <w:highlight w:val="none"/>
        </w:rPr>
        <w:t>。</w:t>
      </w:r>
    </w:p>
    <w:p w14:paraId="6291C18E">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发包人在收到</w:t>
      </w:r>
      <w:r>
        <w:rPr>
          <w:rFonts w:hint="eastAsia" w:ascii="宋体" w:hAnsi="宋体" w:eastAsia="宋体" w:cs="Times New Roman"/>
          <w:color w:val="auto"/>
          <w:sz w:val="21"/>
          <w:szCs w:val="21"/>
          <w:highlight w:val="none"/>
        </w:rPr>
        <w:t>详细的施工组织设计</w:t>
      </w:r>
      <w:r>
        <w:rPr>
          <w:rFonts w:ascii="宋体" w:hAnsi="宋体" w:eastAsia="宋体" w:cs="Times New Roman"/>
          <w:color w:val="auto"/>
          <w:sz w:val="21"/>
          <w:szCs w:val="21"/>
          <w:highlight w:val="none"/>
        </w:rPr>
        <w:t>后确认或提出修改意见的期限：</w:t>
      </w:r>
      <w:r>
        <w:rPr>
          <w:rFonts w:ascii="宋体" w:hAnsi="宋体" w:eastAsia="宋体" w:cs="Times New Roman"/>
          <w:bCs/>
          <w:color w:val="auto"/>
          <w:sz w:val="21"/>
          <w:szCs w:val="21"/>
          <w:highlight w:val="none"/>
          <w:u w:val="single"/>
        </w:rPr>
        <w:t>7日内</w:t>
      </w:r>
      <w:r>
        <w:rPr>
          <w:rFonts w:ascii="宋体" w:hAnsi="宋体" w:eastAsia="宋体" w:cs="Times New Roman"/>
          <w:color w:val="auto"/>
          <w:sz w:val="21"/>
          <w:szCs w:val="21"/>
          <w:highlight w:val="none"/>
        </w:rPr>
        <w:t>。</w:t>
      </w:r>
    </w:p>
    <w:p w14:paraId="09827894">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6</w:t>
      </w:r>
      <w:r>
        <w:rPr>
          <w:rFonts w:ascii="Calibri" w:hAnsi="Calibri" w:eastAsia="黑体" w:cs="Times New Roman"/>
          <w:color w:val="auto"/>
          <w:sz w:val="24"/>
          <w:szCs w:val="24"/>
          <w:highlight w:val="none"/>
        </w:rPr>
        <w:t>.2 施工进度计划</w:t>
      </w:r>
    </w:p>
    <w:p w14:paraId="63F2DE31">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6</w:t>
      </w:r>
      <w:r>
        <w:rPr>
          <w:rFonts w:ascii="宋体" w:hAnsi="宋体" w:eastAsia="宋体" w:cs="Times New Roman"/>
          <w:color w:val="auto"/>
          <w:sz w:val="21"/>
          <w:szCs w:val="21"/>
          <w:highlight w:val="none"/>
        </w:rPr>
        <w:t>.2.</w:t>
      </w:r>
      <w:r>
        <w:rPr>
          <w:rFonts w:hint="eastAsia" w:ascii="宋体" w:hAnsi="宋体" w:eastAsia="宋体" w:cs="Times New Roman"/>
          <w:color w:val="auto"/>
          <w:sz w:val="21"/>
          <w:szCs w:val="21"/>
          <w:highlight w:val="none"/>
        </w:rPr>
        <w:t>1</w:t>
      </w:r>
      <w:r>
        <w:rPr>
          <w:rFonts w:ascii="宋体" w:hAnsi="宋体" w:eastAsia="宋体" w:cs="Times New Roman"/>
          <w:color w:val="auto"/>
          <w:sz w:val="21"/>
          <w:szCs w:val="21"/>
          <w:highlight w:val="none"/>
        </w:rPr>
        <w:t xml:space="preserve"> 施工进度计划的修订</w:t>
      </w:r>
    </w:p>
    <w:p w14:paraId="0E839C11">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发包人在收到修订的施工进度计划后确认或提出修改意见的期限：</w:t>
      </w:r>
      <w:r>
        <w:rPr>
          <w:rFonts w:ascii="宋体" w:hAnsi="宋体" w:eastAsia="宋体" w:cs="Times New Roman"/>
          <w:bCs/>
          <w:color w:val="auto"/>
          <w:sz w:val="21"/>
          <w:szCs w:val="21"/>
          <w:highlight w:val="none"/>
          <w:u w:val="single"/>
        </w:rPr>
        <w:t>7日内</w:t>
      </w:r>
      <w:r>
        <w:rPr>
          <w:rFonts w:ascii="宋体" w:hAnsi="宋体" w:eastAsia="宋体" w:cs="Times New Roman"/>
          <w:color w:val="auto"/>
          <w:sz w:val="21"/>
          <w:szCs w:val="21"/>
          <w:highlight w:val="none"/>
        </w:rPr>
        <w:t>。</w:t>
      </w:r>
    </w:p>
    <w:p w14:paraId="19DF3B80">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6</w:t>
      </w:r>
      <w:r>
        <w:rPr>
          <w:rFonts w:ascii="Calibri" w:hAnsi="Calibri" w:eastAsia="黑体" w:cs="Times New Roman"/>
          <w:color w:val="auto"/>
          <w:sz w:val="24"/>
          <w:szCs w:val="24"/>
          <w:highlight w:val="none"/>
        </w:rPr>
        <w:t>.3 开工</w:t>
      </w:r>
    </w:p>
    <w:p w14:paraId="7D548BA2">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6</w:t>
      </w:r>
      <w:r>
        <w:rPr>
          <w:rFonts w:ascii="宋体" w:hAnsi="宋体" w:eastAsia="宋体" w:cs="Times New Roman"/>
          <w:color w:val="auto"/>
          <w:sz w:val="21"/>
          <w:szCs w:val="21"/>
          <w:highlight w:val="none"/>
        </w:rPr>
        <w:t>.3.1 开工准备</w:t>
      </w:r>
    </w:p>
    <w:p w14:paraId="213DD948">
      <w:pPr>
        <w:spacing w:line="360" w:lineRule="auto"/>
        <w:ind w:firstLine="422"/>
        <w:jc w:val="left"/>
        <w:rPr>
          <w:rFonts w:hint="eastAsia"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关于承包人提交</w:t>
      </w:r>
      <w:r>
        <w:rPr>
          <w:rFonts w:ascii="宋体" w:hAnsi="宋体" w:eastAsia="宋体" w:cs="Times New Roman"/>
          <w:color w:val="auto"/>
          <w:kern w:val="0"/>
          <w:sz w:val="21"/>
          <w:szCs w:val="21"/>
          <w:highlight w:val="none"/>
        </w:rPr>
        <w:t>工程开工报审表的期限：</w:t>
      </w:r>
      <w:r>
        <w:rPr>
          <w:rFonts w:hint="eastAsia" w:ascii="宋体" w:hAnsi="宋体" w:eastAsia="宋体" w:cs="Times New Roman"/>
          <w:bCs/>
          <w:color w:val="auto"/>
          <w:sz w:val="21"/>
          <w:szCs w:val="21"/>
          <w:highlight w:val="none"/>
          <w:u w:val="single"/>
        </w:rPr>
        <w:t>接到开工令后</w:t>
      </w:r>
      <w:r>
        <w:rPr>
          <w:rFonts w:ascii="宋体" w:hAnsi="宋体" w:eastAsia="宋体" w:cs="Times New Roman"/>
          <w:bCs/>
          <w:color w:val="auto"/>
          <w:sz w:val="21"/>
          <w:szCs w:val="21"/>
          <w:highlight w:val="none"/>
          <w:u w:val="single"/>
        </w:rPr>
        <w:t>3日内</w:t>
      </w:r>
      <w:r>
        <w:rPr>
          <w:rFonts w:ascii="宋体" w:hAnsi="宋体" w:eastAsia="宋体" w:cs="Times New Roman"/>
          <w:color w:val="auto"/>
          <w:sz w:val="21"/>
          <w:szCs w:val="21"/>
          <w:highlight w:val="none"/>
        </w:rPr>
        <w:t>。</w:t>
      </w:r>
    </w:p>
    <w:p w14:paraId="717608CF">
      <w:pPr>
        <w:spacing w:line="360" w:lineRule="auto"/>
        <w:ind w:firstLine="422"/>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关于发包人应完成的其他开工准备工作及期限：</w:t>
      </w:r>
      <w:r>
        <w:rPr>
          <w:rFonts w:hint="eastAsia" w:ascii="宋体" w:hAnsi="宋体" w:eastAsia="宋体" w:cs="Times New Roman"/>
          <w:bCs/>
          <w:color w:val="auto"/>
          <w:sz w:val="21"/>
          <w:szCs w:val="21"/>
          <w:highlight w:val="none"/>
          <w:u w:val="single"/>
        </w:rPr>
        <w:t>开工前</w:t>
      </w:r>
      <w:r>
        <w:rPr>
          <w:rFonts w:ascii="宋体" w:hAnsi="宋体" w:eastAsia="宋体" w:cs="Times New Roman"/>
          <w:bCs/>
          <w:color w:val="auto"/>
          <w:sz w:val="21"/>
          <w:szCs w:val="21"/>
          <w:highlight w:val="none"/>
          <w:u w:val="single"/>
        </w:rPr>
        <w:t>7日</w:t>
      </w:r>
      <w:r>
        <w:rPr>
          <w:rFonts w:ascii="宋体" w:hAnsi="宋体" w:eastAsia="宋体" w:cs="Times New Roman"/>
          <w:color w:val="auto"/>
          <w:sz w:val="21"/>
          <w:szCs w:val="21"/>
          <w:highlight w:val="none"/>
        </w:rPr>
        <w:t>。</w:t>
      </w:r>
    </w:p>
    <w:p w14:paraId="2773B341">
      <w:pPr>
        <w:spacing w:line="360" w:lineRule="auto"/>
        <w:ind w:firstLine="422"/>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关于承包人应完成的其他开工准备工作及期限：</w:t>
      </w:r>
      <w:r>
        <w:rPr>
          <w:rFonts w:hint="eastAsia" w:ascii="宋体" w:hAnsi="宋体" w:eastAsia="宋体" w:cs="Times New Roman"/>
          <w:bCs/>
          <w:color w:val="auto"/>
          <w:sz w:val="21"/>
          <w:szCs w:val="21"/>
          <w:highlight w:val="none"/>
          <w:u w:val="single"/>
        </w:rPr>
        <w:t>开工前</w:t>
      </w:r>
      <w:r>
        <w:rPr>
          <w:rFonts w:ascii="宋体" w:hAnsi="宋体" w:eastAsia="宋体" w:cs="Times New Roman"/>
          <w:bCs/>
          <w:color w:val="auto"/>
          <w:sz w:val="21"/>
          <w:szCs w:val="21"/>
          <w:highlight w:val="none"/>
          <w:u w:val="single"/>
        </w:rPr>
        <w:t>7日</w:t>
      </w:r>
      <w:r>
        <w:rPr>
          <w:rFonts w:ascii="宋体" w:hAnsi="宋体" w:eastAsia="宋体" w:cs="Times New Roman"/>
          <w:color w:val="auto"/>
          <w:sz w:val="21"/>
          <w:szCs w:val="21"/>
          <w:highlight w:val="none"/>
        </w:rPr>
        <w:t>。</w:t>
      </w:r>
    </w:p>
    <w:p w14:paraId="0A4A5DEB">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6</w:t>
      </w:r>
      <w:r>
        <w:rPr>
          <w:rFonts w:ascii="宋体" w:hAnsi="宋体" w:eastAsia="宋体" w:cs="Times New Roman"/>
          <w:color w:val="auto"/>
          <w:sz w:val="21"/>
          <w:szCs w:val="21"/>
          <w:highlight w:val="none"/>
        </w:rPr>
        <w:t>.3.2开工通知</w:t>
      </w:r>
    </w:p>
    <w:p w14:paraId="4F19B884">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因发包人原因造成</w:t>
      </w:r>
      <w:r>
        <w:rPr>
          <w:rFonts w:hint="eastAsia" w:ascii="宋体" w:hAnsi="宋体" w:eastAsia="宋体" w:cs="Times New Roman"/>
          <w:color w:val="auto"/>
          <w:sz w:val="21"/>
          <w:szCs w:val="21"/>
          <w:highlight w:val="none"/>
          <w:lang w:eastAsia="zh-CN"/>
        </w:rPr>
        <w:t>发包人</w:t>
      </w:r>
      <w:r>
        <w:rPr>
          <w:rFonts w:ascii="宋体" w:hAnsi="宋体" w:eastAsia="宋体" w:cs="Times New Roman"/>
          <w:color w:val="auto"/>
          <w:sz w:val="21"/>
          <w:szCs w:val="21"/>
          <w:highlight w:val="none"/>
        </w:rPr>
        <w:t>未能在计划开工日期之日起</w:t>
      </w:r>
      <w:r>
        <w:rPr>
          <w:rFonts w:ascii="宋体" w:hAnsi="宋体" w:eastAsia="宋体" w:cs="Times New Roman"/>
          <w:bCs/>
          <w:color w:val="auto"/>
          <w:sz w:val="21"/>
          <w:szCs w:val="21"/>
          <w:highlight w:val="none"/>
          <w:u w:val="single"/>
        </w:rPr>
        <w:t>90</w:t>
      </w:r>
      <w:r>
        <w:rPr>
          <w:rFonts w:ascii="宋体" w:hAnsi="宋体" w:eastAsia="宋体" w:cs="Times New Roman"/>
          <w:color w:val="auto"/>
          <w:sz w:val="21"/>
          <w:szCs w:val="21"/>
          <w:highlight w:val="none"/>
        </w:rPr>
        <w:t>天内发出开工通知的，承包人有权提出价格调整要求，或者解除合同。</w:t>
      </w:r>
    </w:p>
    <w:p w14:paraId="6AA86CF5">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6</w:t>
      </w:r>
      <w:r>
        <w:rPr>
          <w:rFonts w:ascii="Calibri" w:hAnsi="Calibri" w:eastAsia="黑体" w:cs="Times New Roman"/>
          <w:color w:val="auto"/>
          <w:sz w:val="24"/>
          <w:szCs w:val="24"/>
          <w:highlight w:val="none"/>
        </w:rPr>
        <w:t>.4 测量放线</w:t>
      </w:r>
    </w:p>
    <w:p w14:paraId="6BA20A77">
      <w:pPr>
        <w:spacing w:line="360" w:lineRule="auto"/>
        <w:ind w:firstLine="420" w:firstLineChars="200"/>
        <w:jc w:val="lef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lang w:val="en-US" w:eastAsia="zh-CN"/>
        </w:rPr>
        <w:t>6</w:t>
      </w:r>
      <w:r>
        <w:rPr>
          <w:rFonts w:ascii="宋体" w:hAnsi="宋体" w:eastAsia="宋体" w:cs="Times New Roman"/>
          <w:color w:val="auto"/>
          <w:sz w:val="21"/>
          <w:szCs w:val="21"/>
          <w:highlight w:val="none"/>
        </w:rPr>
        <w:t>.4.1发包人通过</w:t>
      </w:r>
      <w:r>
        <w:rPr>
          <w:rFonts w:hint="eastAsia" w:ascii="宋体" w:hAnsi="宋体" w:eastAsia="宋体" w:cs="Times New Roman"/>
          <w:color w:val="auto"/>
          <w:sz w:val="21"/>
          <w:szCs w:val="21"/>
          <w:highlight w:val="none"/>
          <w:lang w:eastAsia="zh-CN"/>
        </w:rPr>
        <w:t>发包人</w:t>
      </w:r>
      <w:r>
        <w:rPr>
          <w:rFonts w:ascii="宋体" w:hAnsi="宋体" w:eastAsia="宋体" w:cs="Times New Roman"/>
          <w:color w:val="auto"/>
          <w:sz w:val="21"/>
          <w:szCs w:val="21"/>
          <w:highlight w:val="none"/>
        </w:rPr>
        <w:t>向承包人提供测量基准点、基准线和水准点及其书面资料的期限：</w:t>
      </w:r>
      <w:r>
        <w:rPr>
          <w:rFonts w:hint="eastAsia" w:ascii="宋体" w:hAnsi="宋体" w:eastAsia="宋体" w:cs="Times New Roman"/>
          <w:bCs/>
          <w:color w:val="auto"/>
          <w:sz w:val="21"/>
          <w:szCs w:val="21"/>
          <w:highlight w:val="none"/>
          <w:u w:val="single"/>
        </w:rPr>
        <w:t>正式开工前由发包人、承包人现场交验，并以书面形式提供给承包人。水准点、</w:t>
      </w:r>
      <w:r>
        <w:rPr>
          <w:rFonts w:hint="eastAsia" w:ascii="宋体" w:hAnsi="宋体" w:eastAsia="宋体" w:cs="Times New Roman"/>
          <w:bCs/>
          <w:color w:val="auto"/>
          <w:sz w:val="21"/>
          <w:szCs w:val="21"/>
          <w:highlight w:val="none"/>
          <w:u w:val="single"/>
          <w:lang w:eastAsia="zh-CN"/>
        </w:rPr>
        <w:t>坐标</w:t>
      </w:r>
      <w:r>
        <w:rPr>
          <w:rFonts w:hint="eastAsia" w:ascii="宋体" w:hAnsi="宋体" w:eastAsia="宋体" w:cs="Times New Roman"/>
          <w:bCs/>
          <w:color w:val="auto"/>
          <w:sz w:val="21"/>
          <w:szCs w:val="21"/>
          <w:highlight w:val="none"/>
          <w:u w:val="single"/>
        </w:rPr>
        <w:t>控制点交验完毕，即由承包人自费负责保护，此后由于破坏或失准带来的重新测量、放点费用及由此造成的其他损失均由承包人承担</w:t>
      </w:r>
      <w:r>
        <w:rPr>
          <w:rFonts w:ascii="宋体" w:hAnsi="宋体" w:eastAsia="宋体" w:cs="Times New Roman"/>
          <w:color w:val="auto"/>
          <w:sz w:val="21"/>
          <w:szCs w:val="21"/>
          <w:highlight w:val="none"/>
        </w:rPr>
        <w:t>。</w:t>
      </w:r>
    </w:p>
    <w:p w14:paraId="473618B7">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6</w:t>
      </w:r>
      <w:r>
        <w:rPr>
          <w:rFonts w:ascii="Calibri" w:hAnsi="Calibri" w:eastAsia="黑体" w:cs="Times New Roman"/>
          <w:color w:val="auto"/>
          <w:sz w:val="24"/>
          <w:szCs w:val="24"/>
          <w:highlight w:val="none"/>
        </w:rPr>
        <w:t>.5 工期延误</w:t>
      </w:r>
    </w:p>
    <w:p w14:paraId="3E89F87C">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6</w:t>
      </w:r>
      <w:r>
        <w:rPr>
          <w:rFonts w:ascii="宋体" w:hAnsi="宋体" w:eastAsia="宋体" w:cs="Times New Roman"/>
          <w:color w:val="auto"/>
          <w:sz w:val="21"/>
          <w:szCs w:val="21"/>
          <w:highlight w:val="none"/>
        </w:rPr>
        <w:t>.5.1 因发包人原因导致工期延误</w:t>
      </w:r>
    </w:p>
    <w:p w14:paraId="7E1FEAAC">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（7）因发包人原因导致工期延误的其他情形：</w:t>
      </w:r>
      <w:r>
        <w:rPr>
          <w:rFonts w:hint="eastAsia" w:ascii="宋体" w:hAnsi="宋体" w:eastAsia="宋体" w:cs="Times New Roman"/>
          <w:bCs/>
          <w:color w:val="auto"/>
          <w:sz w:val="21"/>
          <w:szCs w:val="21"/>
          <w:highlight w:val="none"/>
          <w:u w:val="single"/>
        </w:rPr>
        <w:t>①发包人未能及时提供设计变更修改图；②一周内因发包人原因停水、停电、停气造成停工累计超过</w:t>
      </w:r>
      <w:r>
        <w:rPr>
          <w:rFonts w:ascii="宋体" w:hAnsi="宋体" w:eastAsia="宋体" w:cs="Times New Roman"/>
          <w:bCs/>
          <w:color w:val="auto"/>
          <w:sz w:val="21"/>
          <w:szCs w:val="21"/>
          <w:highlight w:val="none"/>
          <w:u w:val="single"/>
        </w:rPr>
        <w:t>8小时。③不可抗力；④其余按本合同《通用条款》执行。由于发包人原因延误工期的，工期相应顺延，但无费用索赔</w:t>
      </w:r>
      <w:r>
        <w:rPr>
          <w:rFonts w:ascii="宋体" w:hAnsi="宋体" w:eastAsia="宋体" w:cs="Times New Roman"/>
          <w:color w:val="auto"/>
          <w:sz w:val="21"/>
          <w:szCs w:val="21"/>
          <w:highlight w:val="none"/>
        </w:rPr>
        <w:t>。</w:t>
      </w:r>
    </w:p>
    <w:p w14:paraId="0F2BA14D">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6</w:t>
      </w:r>
      <w:r>
        <w:rPr>
          <w:rFonts w:ascii="宋体" w:hAnsi="宋体" w:eastAsia="宋体" w:cs="Times New Roman"/>
          <w:color w:val="auto"/>
          <w:sz w:val="21"/>
          <w:szCs w:val="21"/>
          <w:highlight w:val="none"/>
        </w:rPr>
        <w:t>.5.2 因承包人原因导致工期延误</w:t>
      </w:r>
    </w:p>
    <w:p w14:paraId="6199CD08">
      <w:pPr>
        <w:spacing w:line="360" w:lineRule="auto"/>
        <w:ind w:firstLine="420" w:firstLineChars="200"/>
        <w:jc w:val="left"/>
        <w:rPr>
          <w:rFonts w:hint="eastAsia"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因承包人原因造成工期延误，逾期竣工违约金的计算方法为：</w:t>
      </w:r>
      <w:r>
        <w:rPr>
          <w:rFonts w:hint="eastAsia" w:ascii="宋体" w:hAnsi="宋体" w:eastAsia="宋体" w:cs="Times New Roman"/>
          <w:bCs/>
          <w:color w:val="auto"/>
          <w:sz w:val="21"/>
          <w:szCs w:val="21"/>
          <w:highlight w:val="none"/>
          <w:u w:val="single"/>
        </w:rPr>
        <w:t>3</w:t>
      </w:r>
      <w:r>
        <w:rPr>
          <w:rFonts w:ascii="宋体" w:hAnsi="宋体" w:eastAsia="宋体" w:cs="Times New Roman"/>
          <w:bCs/>
          <w:color w:val="auto"/>
          <w:sz w:val="21"/>
          <w:szCs w:val="21"/>
          <w:highlight w:val="none"/>
          <w:u w:val="single"/>
        </w:rPr>
        <w:t>000元/天</w:t>
      </w:r>
      <w:r>
        <w:rPr>
          <w:rFonts w:ascii="宋体" w:hAnsi="宋体" w:eastAsia="宋体" w:cs="Times New Roman"/>
          <w:color w:val="auto"/>
          <w:sz w:val="21"/>
          <w:szCs w:val="21"/>
          <w:highlight w:val="none"/>
        </w:rPr>
        <w:t>。</w:t>
      </w:r>
    </w:p>
    <w:p w14:paraId="777DCFD3">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因承包人原因造成工期延误，逾期竣工违约金的上限：</w:t>
      </w:r>
      <w:r>
        <w:rPr>
          <w:rFonts w:hint="eastAsia" w:ascii="宋体" w:hAnsi="宋体" w:eastAsia="宋体" w:cs="Times New Roman"/>
          <w:bCs/>
          <w:color w:val="auto"/>
          <w:sz w:val="21"/>
          <w:szCs w:val="21"/>
          <w:highlight w:val="none"/>
          <w:u w:val="single"/>
        </w:rPr>
        <w:t>合同价款的</w:t>
      </w:r>
      <w:r>
        <w:rPr>
          <w:rFonts w:ascii="宋体" w:hAnsi="宋体" w:eastAsia="宋体" w:cs="Times New Roman"/>
          <w:bCs/>
          <w:color w:val="auto"/>
          <w:sz w:val="21"/>
          <w:szCs w:val="21"/>
          <w:highlight w:val="none"/>
          <w:u w:val="single"/>
        </w:rPr>
        <w:t>2%</w:t>
      </w:r>
      <w:r>
        <w:rPr>
          <w:rFonts w:ascii="宋体" w:hAnsi="宋体" w:eastAsia="宋体" w:cs="Times New Roman"/>
          <w:color w:val="auto"/>
          <w:sz w:val="21"/>
          <w:szCs w:val="21"/>
          <w:highlight w:val="none"/>
        </w:rPr>
        <w:t>。</w:t>
      </w:r>
    </w:p>
    <w:p w14:paraId="56E9FB69">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6</w:t>
      </w:r>
      <w:r>
        <w:rPr>
          <w:rFonts w:ascii="Calibri" w:hAnsi="Calibri" w:eastAsia="黑体" w:cs="Times New Roman"/>
          <w:color w:val="auto"/>
          <w:sz w:val="24"/>
          <w:szCs w:val="24"/>
          <w:highlight w:val="none"/>
        </w:rPr>
        <w:t>.6 不利物质条件</w:t>
      </w:r>
    </w:p>
    <w:p w14:paraId="6BEE689D">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不利物质条件的其他情形和有关约定：</w:t>
      </w:r>
      <w:r>
        <w:rPr>
          <w:rFonts w:ascii="宋体" w:hAnsi="宋体" w:eastAsia="宋体" w:cs="Times New Roman"/>
          <w:bCs/>
          <w:color w:val="auto"/>
          <w:sz w:val="21"/>
          <w:szCs w:val="21"/>
          <w:highlight w:val="none"/>
          <w:u w:val="single"/>
        </w:rPr>
        <w:t xml:space="preserve"> 按本合同《通用条款》执行</w:t>
      </w:r>
      <w:r>
        <w:rPr>
          <w:rFonts w:ascii="宋体" w:hAnsi="宋体" w:eastAsia="宋体" w:cs="Times New Roman"/>
          <w:color w:val="auto"/>
          <w:sz w:val="21"/>
          <w:szCs w:val="21"/>
          <w:highlight w:val="none"/>
        </w:rPr>
        <w:t>。</w:t>
      </w:r>
    </w:p>
    <w:p w14:paraId="0C028D49">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6</w:t>
      </w:r>
      <w:r>
        <w:rPr>
          <w:rFonts w:ascii="Calibri" w:hAnsi="Calibri" w:eastAsia="黑体" w:cs="Times New Roman"/>
          <w:color w:val="auto"/>
          <w:sz w:val="24"/>
          <w:szCs w:val="24"/>
          <w:highlight w:val="none"/>
        </w:rPr>
        <w:t>.7异常恶劣的气候条件</w:t>
      </w:r>
    </w:p>
    <w:p w14:paraId="02D9A15A">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发包人和承包人同意以下情形视为异常恶劣的气候条件：</w:t>
      </w:r>
    </w:p>
    <w:p w14:paraId="197455AD">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ascii="宋体" w:hAnsi="宋体" w:eastAsia="宋体" w:cs="Times New Roman"/>
          <w:bCs/>
          <w:color w:val="auto"/>
          <w:sz w:val="21"/>
          <w:szCs w:val="21"/>
          <w:highlight w:val="none"/>
          <w:u w:val="single"/>
        </w:rPr>
        <w:t>11级以上大风</w:t>
      </w:r>
      <w:r>
        <w:rPr>
          <w:rFonts w:ascii="宋体" w:hAnsi="宋体" w:eastAsia="宋体" w:cs="Times New Roman"/>
          <w:color w:val="auto"/>
          <w:sz w:val="21"/>
          <w:szCs w:val="21"/>
          <w:highlight w:val="none"/>
        </w:rPr>
        <w:t>；</w:t>
      </w:r>
    </w:p>
    <w:p w14:paraId="211B4A94">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（2）</w:t>
      </w:r>
      <w:r>
        <w:rPr>
          <w:rFonts w:ascii="宋体" w:hAnsi="宋体" w:eastAsia="宋体" w:cs="Times New Roman"/>
          <w:bCs/>
          <w:color w:val="auto"/>
          <w:sz w:val="21"/>
          <w:szCs w:val="21"/>
          <w:highlight w:val="none"/>
          <w:u w:val="single"/>
        </w:rPr>
        <w:t>24小时降雨量超过150mm；当地气象部门认定的50年一遇的雨、洪灾</w:t>
      </w:r>
      <w:r>
        <w:rPr>
          <w:rFonts w:ascii="宋体" w:hAnsi="宋体" w:eastAsia="宋体" w:cs="Times New Roman"/>
          <w:color w:val="auto"/>
          <w:sz w:val="21"/>
          <w:szCs w:val="21"/>
          <w:highlight w:val="none"/>
        </w:rPr>
        <w:t>；</w:t>
      </w:r>
    </w:p>
    <w:p w14:paraId="57067784">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（3）</w:t>
      </w:r>
      <w:r>
        <w:rPr>
          <w:rFonts w:hint="eastAsia" w:ascii="宋体" w:hAnsi="宋体" w:eastAsia="宋体" w:cs="Times New Roman"/>
          <w:bCs/>
          <w:color w:val="auto"/>
          <w:sz w:val="21"/>
          <w:szCs w:val="21"/>
          <w:highlight w:val="none"/>
          <w:u w:val="single"/>
        </w:rPr>
        <w:t>六级及以上地震；非发包人、承包人责任造成的爆炸、火灾</w:t>
      </w:r>
      <w:r>
        <w:rPr>
          <w:rFonts w:ascii="宋体" w:hAnsi="宋体" w:eastAsia="宋体" w:cs="Times New Roman"/>
          <w:color w:val="auto"/>
          <w:sz w:val="21"/>
          <w:szCs w:val="21"/>
          <w:highlight w:val="none"/>
        </w:rPr>
        <w:t>。</w:t>
      </w:r>
    </w:p>
    <w:p w14:paraId="32D09719">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6</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8</w:t>
      </w:r>
      <w:r>
        <w:rPr>
          <w:rFonts w:ascii="Calibri" w:hAnsi="Calibri" w:eastAsia="黑体" w:cs="Times New Roman"/>
          <w:color w:val="auto"/>
          <w:sz w:val="24"/>
          <w:szCs w:val="24"/>
          <w:highlight w:val="none"/>
        </w:rPr>
        <w:t xml:space="preserve"> 提前竣工的奖励</w:t>
      </w:r>
    </w:p>
    <w:p w14:paraId="1700B22D">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6</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8</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1</w:t>
      </w:r>
      <w:r>
        <w:rPr>
          <w:rFonts w:ascii="宋体" w:hAnsi="宋体" w:eastAsia="宋体" w:cs="Times New Roman"/>
          <w:color w:val="auto"/>
          <w:sz w:val="21"/>
          <w:szCs w:val="21"/>
          <w:highlight w:val="none"/>
        </w:rPr>
        <w:t>提前竣工的奖励：</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w:t>
      </w:r>
    </w:p>
    <w:p w14:paraId="39FC8E84">
      <w:pPr>
        <w:keepNext/>
        <w:keepLines/>
        <w:spacing w:before="120" w:after="120" w:line="360" w:lineRule="auto"/>
        <w:ind w:firstLine="562"/>
        <w:outlineLvl w:val="3"/>
        <w:rPr>
          <w:rFonts w:ascii="Calibri" w:hAnsi="Calibri" w:eastAsia="黑体" w:cs="Times New Roman"/>
          <w:color w:val="auto"/>
          <w:sz w:val="28"/>
          <w:highlight w:val="none"/>
        </w:rPr>
      </w:pPr>
      <w:r>
        <w:rPr>
          <w:rFonts w:hint="eastAsia" w:ascii="Calibri" w:hAnsi="Calibri" w:eastAsia="黑体" w:cs="Times New Roman"/>
          <w:color w:val="auto"/>
          <w:sz w:val="28"/>
          <w:highlight w:val="none"/>
          <w:lang w:val="en-US" w:eastAsia="zh-CN"/>
        </w:rPr>
        <w:t>7</w:t>
      </w:r>
      <w:r>
        <w:rPr>
          <w:rFonts w:ascii="Calibri" w:hAnsi="Calibri" w:eastAsia="黑体" w:cs="Times New Roman"/>
          <w:color w:val="auto"/>
          <w:sz w:val="28"/>
          <w:highlight w:val="none"/>
        </w:rPr>
        <w:t>. 材料与设备</w:t>
      </w:r>
    </w:p>
    <w:p w14:paraId="459CED70">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7</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1</w:t>
      </w:r>
      <w:r>
        <w:rPr>
          <w:rFonts w:ascii="Calibri" w:hAnsi="Calibri" w:eastAsia="黑体" w:cs="Times New Roman"/>
          <w:color w:val="auto"/>
          <w:sz w:val="24"/>
          <w:szCs w:val="24"/>
          <w:highlight w:val="none"/>
        </w:rPr>
        <w:t>材料与工程设备的保管与使用</w:t>
      </w:r>
    </w:p>
    <w:p w14:paraId="095EE846">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7</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1</w:t>
      </w:r>
      <w:r>
        <w:rPr>
          <w:rFonts w:ascii="宋体" w:hAnsi="宋体" w:eastAsia="宋体" w:cs="Times New Roman"/>
          <w:color w:val="auto"/>
          <w:sz w:val="21"/>
          <w:szCs w:val="21"/>
          <w:highlight w:val="none"/>
        </w:rPr>
        <w:t>.1发包人供应的材料设备的保管费用的承担：</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w:t>
      </w:r>
    </w:p>
    <w:p w14:paraId="79FFD2C5">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7</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2</w:t>
      </w:r>
      <w:r>
        <w:rPr>
          <w:rFonts w:ascii="Calibri" w:hAnsi="Calibri" w:eastAsia="黑体" w:cs="Times New Roman"/>
          <w:color w:val="auto"/>
          <w:sz w:val="24"/>
          <w:szCs w:val="24"/>
          <w:highlight w:val="none"/>
        </w:rPr>
        <w:t xml:space="preserve"> 样品</w:t>
      </w:r>
    </w:p>
    <w:p w14:paraId="57D06A4D">
      <w:pPr>
        <w:autoSpaceDE w:val="0"/>
        <w:autoSpaceDN w:val="0"/>
        <w:adjustRightInd w:val="0"/>
        <w:spacing w:line="360" w:lineRule="auto"/>
        <w:ind w:firstLine="420" w:firstLineChars="200"/>
        <w:jc w:val="left"/>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lang w:val="en-US" w:eastAsia="zh-CN"/>
        </w:rPr>
        <w:t>7</w:t>
      </w:r>
      <w:r>
        <w:rPr>
          <w:rFonts w:ascii="宋体" w:hAnsi="宋体" w:eastAsia="宋体" w:cs="Times New Roman"/>
          <w:color w:val="auto"/>
          <w:kern w:val="0"/>
          <w:sz w:val="21"/>
          <w:szCs w:val="21"/>
          <w:highlight w:val="none"/>
        </w:rPr>
        <w:t>8.</w:t>
      </w:r>
      <w:r>
        <w:rPr>
          <w:rFonts w:hint="eastAsia" w:ascii="宋体" w:hAnsi="宋体" w:eastAsia="宋体" w:cs="Times New Roman"/>
          <w:color w:val="auto"/>
          <w:kern w:val="0"/>
          <w:sz w:val="21"/>
          <w:szCs w:val="21"/>
          <w:highlight w:val="none"/>
        </w:rPr>
        <w:t>2</w:t>
      </w:r>
      <w:r>
        <w:rPr>
          <w:rFonts w:ascii="宋体" w:hAnsi="宋体" w:eastAsia="宋体" w:cs="Times New Roman"/>
          <w:color w:val="auto"/>
          <w:kern w:val="0"/>
          <w:sz w:val="21"/>
          <w:szCs w:val="21"/>
          <w:highlight w:val="none"/>
        </w:rPr>
        <w:t>.1样品的报送</w:t>
      </w:r>
      <w:r>
        <w:rPr>
          <w:rFonts w:hint="eastAsia" w:ascii="宋体" w:hAnsi="宋体" w:eastAsia="宋体" w:cs="Times New Roman"/>
          <w:color w:val="auto"/>
          <w:kern w:val="0"/>
          <w:sz w:val="21"/>
          <w:szCs w:val="21"/>
          <w:highlight w:val="none"/>
        </w:rPr>
        <w:t>与封存</w:t>
      </w:r>
    </w:p>
    <w:p w14:paraId="0336C0E1">
      <w:pPr>
        <w:autoSpaceDE w:val="0"/>
        <w:autoSpaceDN w:val="0"/>
        <w:adjustRightInd w:val="0"/>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kern w:val="0"/>
          <w:sz w:val="21"/>
          <w:szCs w:val="21"/>
          <w:highlight w:val="none"/>
        </w:rPr>
        <w:t>需要承包人报送样品的材料或工程设备，样品的种类、名称、规格、数量要求：</w:t>
      </w:r>
      <w:r>
        <w:rPr>
          <w:rFonts w:hint="eastAsia" w:ascii="宋体" w:hAnsi="宋体" w:eastAsia="宋体" w:cs="Times New Roman"/>
          <w:bCs/>
          <w:color w:val="auto"/>
          <w:sz w:val="21"/>
          <w:szCs w:val="21"/>
          <w:highlight w:val="none"/>
          <w:u w:val="single"/>
        </w:rPr>
        <w:t>用于本工程之任何材料，在使用前必须得到发包人和发包人认可或批准，必须符合有关规范、设计图纸、采购文件规定的质量要求，并提供产品合格证明、</w:t>
      </w:r>
      <w:r>
        <w:rPr>
          <w:rFonts w:hint="eastAsia" w:ascii="宋体" w:hAnsi="宋体" w:eastAsia="宋体" w:cs="Times New Roman"/>
          <w:bCs/>
          <w:color w:val="auto"/>
          <w:sz w:val="21"/>
          <w:szCs w:val="21"/>
          <w:highlight w:val="none"/>
          <w:u w:val="single"/>
          <w:lang w:eastAsia="zh-CN"/>
        </w:rPr>
        <w:t>质量</w:t>
      </w:r>
      <w:r>
        <w:rPr>
          <w:rFonts w:hint="eastAsia" w:ascii="宋体" w:hAnsi="宋体" w:eastAsia="宋体" w:cs="Times New Roman"/>
          <w:bCs/>
          <w:color w:val="auto"/>
          <w:sz w:val="21"/>
          <w:szCs w:val="21"/>
          <w:highlight w:val="none"/>
          <w:u w:val="single"/>
        </w:rPr>
        <w:t>保证书，承包人不得擅自更改采购文件中约定的主要材料规格和质量等级。在施工前，承包人须提供各有关物料之样品作发包人认可之用。发包人对任何样品之认可或批准，并不能解除承包人按合同须履行之责任及义务</w:t>
      </w:r>
      <w:r>
        <w:rPr>
          <w:rFonts w:ascii="宋体" w:hAnsi="宋体" w:eastAsia="宋体" w:cs="Times New Roman"/>
          <w:color w:val="auto"/>
          <w:sz w:val="21"/>
          <w:szCs w:val="21"/>
          <w:highlight w:val="none"/>
        </w:rPr>
        <w:t>。</w:t>
      </w:r>
    </w:p>
    <w:p w14:paraId="5E22A112">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7</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3</w:t>
      </w:r>
      <w:r>
        <w:rPr>
          <w:rFonts w:ascii="Calibri" w:hAnsi="Calibri" w:eastAsia="黑体" w:cs="Times New Roman"/>
          <w:color w:val="auto"/>
          <w:sz w:val="24"/>
          <w:szCs w:val="24"/>
          <w:highlight w:val="none"/>
        </w:rPr>
        <w:t xml:space="preserve"> 施工设备和临时设施</w:t>
      </w:r>
    </w:p>
    <w:p w14:paraId="76A15003">
      <w:pPr>
        <w:autoSpaceDE w:val="0"/>
        <w:autoSpaceDN w:val="0"/>
        <w:adjustRightInd w:val="0"/>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7</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3</w:t>
      </w:r>
      <w:r>
        <w:rPr>
          <w:rFonts w:ascii="宋体" w:hAnsi="宋体" w:eastAsia="宋体" w:cs="Times New Roman"/>
          <w:color w:val="auto"/>
          <w:sz w:val="21"/>
          <w:szCs w:val="21"/>
          <w:highlight w:val="none"/>
        </w:rPr>
        <w:t>.1 承包人提供的施工设备和临时设施</w:t>
      </w:r>
    </w:p>
    <w:p w14:paraId="404A5130">
      <w:pPr>
        <w:autoSpaceDE w:val="0"/>
        <w:autoSpaceDN w:val="0"/>
        <w:adjustRightInd w:val="0"/>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关于修建临时设施费用承担的约定：</w:t>
      </w:r>
      <w:r>
        <w:rPr>
          <w:rFonts w:hint="eastAsia" w:ascii="宋体" w:hAnsi="宋体" w:eastAsia="宋体" w:cs="Times New Roman"/>
          <w:bCs/>
          <w:color w:val="auto"/>
          <w:sz w:val="21"/>
          <w:szCs w:val="21"/>
          <w:highlight w:val="none"/>
          <w:u w:val="single"/>
        </w:rPr>
        <w:t>修建临时设施费用均由承包人承担，工程竣工后一周内负责将临时设施全部拆除并清运出场。建筑物周边及场内道路等设施如有损坏，承包人应负责修复。本项目建筑及生活垃圾由承包人在竣工验收后一周内全部运至校外合法垃圾场，费用含在投标报价中</w:t>
      </w:r>
      <w:r>
        <w:rPr>
          <w:rFonts w:ascii="宋体" w:hAnsi="宋体" w:eastAsia="宋体" w:cs="Times New Roman"/>
          <w:color w:val="auto"/>
          <w:sz w:val="21"/>
          <w:szCs w:val="21"/>
          <w:highlight w:val="none"/>
        </w:rPr>
        <w:t>。</w:t>
      </w:r>
    </w:p>
    <w:p w14:paraId="44B6F640">
      <w:pPr>
        <w:keepNext/>
        <w:keepLines/>
        <w:spacing w:before="120" w:after="120" w:line="360" w:lineRule="auto"/>
        <w:ind w:firstLine="562"/>
        <w:outlineLvl w:val="3"/>
        <w:rPr>
          <w:rFonts w:ascii="Calibri" w:hAnsi="Calibri" w:eastAsia="黑体" w:cs="Times New Roman"/>
          <w:color w:val="auto"/>
          <w:sz w:val="28"/>
          <w:highlight w:val="none"/>
        </w:rPr>
      </w:pPr>
      <w:r>
        <w:rPr>
          <w:rFonts w:hint="eastAsia" w:ascii="Calibri" w:hAnsi="Calibri" w:eastAsia="黑体" w:cs="Times New Roman"/>
          <w:color w:val="auto"/>
          <w:sz w:val="28"/>
          <w:highlight w:val="none"/>
          <w:lang w:val="en-US" w:eastAsia="zh-CN"/>
        </w:rPr>
        <w:t>8</w:t>
      </w:r>
      <w:r>
        <w:rPr>
          <w:rFonts w:ascii="Calibri" w:hAnsi="Calibri" w:eastAsia="黑体" w:cs="Times New Roman"/>
          <w:color w:val="auto"/>
          <w:sz w:val="28"/>
          <w:highlight w:val="none"/>
        </w:rPr>
        <w:t>. 试验与检验</w:t>
      </w:r>
    </w:p>
    <w:p w14:paraId="7A9C1B62">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8</w:t>
      </w:r>
      <w:r>
        <w:rPr>
          <w:rFonts w:ascii="Calibri" w:hAnsi="Calibri" w:eastAsia="黑体" w:cs="Times New Roman"/>
          <w:color w:val="auto"/>
          <w:sz w:val="24"/>
          <w:szCs w:val="24"/>
          <w:highlight w:val="none"/>
        </w:rPr>
        <w:t>.1试验设备与试验人员</w:t>
      </w:r>
    </w:p>
    <w:p w14:paraId="7D21E44A">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8</w:t>
      </w: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rPr>
        <w:t>1</w:t>
      </w:r>
      <w:r>
        <w:rPr>
          <w:rFonts w:ascii="宋体" w:hAnsi="宋体" w:eastAsia="宋体" w:cs="Times New Roman"/>
          <w:color w:val="auto"/>
          <w:sz w:val="21"/>
          <w:szCs w:val="21"/>
          <w:highlight w:val="none"/>
        </w:rPr>
        <w:t xml:space="preserve"> 试验设备</w:t>
      </w:r>
    </w:p>
    <w:p w14:paraId="74DC9FF7">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施工现场需要配置的试验场所：</w:t>
      </w:r>
      <w:r>
        <w:rPr>
          <w:rFonts w:hint="eastAsia" w:ascii="宋体" w:hAnsi="宋体" w:eastAsia="宋体" w:cs="Times New Roman"/>
          <w:bCs/>
          <w:color w:val="auto"/>
          <w:sz w:val="21"/>
          <w:szCs w:val="21"/>
          <w:highlight w:val="none"/>
          <w:u w:val="single"/>
        </w:rPr>
        <w:t>按通用条款规定</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 xml:space="preserve"> </w:t>
      </w:r>
    </w:p>
    <w:p w14:paraId="060354C4">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施工现场需要配备的试验设备：</w:t>
      </w:r>
      <w:r>
        <w:rPr>
          <w:rFonts w:hint="eastAsia" w:ascii="宋体" w:hAnsi="宋体" w:eastAsia="宋体" w:cs="Times New Roman"/>
          <w:bCs/>
          <w:color w:val="auto"/>
          <w:sz w:val="21"/>
          <w:szCs w:val="21"/>
          <w:highlight w:val="none"/>
          <w:u w:val="single"/>
        </w:rPr>
        <w:t>按通用条款规定</w:t>
      </w:r>
      <w:r>
        <w:rPr>
          <w:rFonts w:ascii="宋体" w:hAnsi="宋体" w:eastAsia="宋体" w:cs="Times New Roman"/>
          <w:color w:val="auto"/>
          <w:sz w:val="21"/>
          <w:szCs w:val="21"/>
          <w:highlight w:val="none"/>
        </w:rPr>
        <w:t>。</w:t>
      </w:r>
    </w:p>
    <w:p w14:paraId="38DC599D">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施工现场需要具备的其他试验条件：</w:t>
      </w:r>
      <w:r>
        <w:rPr>
          <w:rFonts w:hint="eastAsia" w:ascii="宋体" w:hAnsi="宋体" w:eastAsia="宋体" w:cs="Times New Roman"/>
          <w:bCs/>
          <w:color w:val="auto"/>
          <w:sz w:val="21"/>
          <w:szCs w:val="21"/>
          <w:highlight w:val="none"/>
          <w:u w:val="single"/>
        </w:rPr>
        <w:t>按通用条款规定</w:t>
      </w:r>
      <w:r>
        <w:rPr>
          <w:rFonts w:ascii="宋体" w:hAnsi="宋体" w:eastAsia="宋体" w:cs="Times New Roman"/>
          <w:color w:val="auto"/>
          <w:sz w:val="21"/>
          <w:szCs w:val="21"/>
          <w:highlight w:val="none"/>
        </w:rPr>
        <w:t>。</w:t>
      </w:r>
    </w:p>
    <w:p w14:paraId="38B3DD76">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8</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2</w:t>
      </w:r>
      <w:r>
        <w:rPr>
          <w:rFonts w:ascii="Calibri" w:hAnsi="Calibri" w:eastAsia="黑体" w:cs="Times New Roman"/>
          <w:color w:val="auto"/>
          <w:sz w:val="24"/>
          <w:szCs w:val="24"/>
          <w:highlight w:val="none"/>
        </w:rPr>
        <w:t xml:space="preserve"> 现场工艺试验</w:t>
      </w:r>
      <w:r>
        <w:rPr>
          <w:rFonts w:hint="eastAsia" w:ascii="Calibri" w:hAnsi="Calibri" w:eastAsia="黑体" w:cs="Times New Roman"/>
          <w:color w:val="auto"/>
          <w:sz w:val="24"/>
          <w:szCs w:val="24"/>
          <w:highlight w:val="none"/>
        </w:rPr>
        <w:t xml:space="preserve"> </w:t>
      </w:r>
    </w:p>
    <w:p w14:paraId="1413A96F">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现场工艺试验的有关约定：</w:t>
      </w:r>
      <w:r>
        <w:rPr>
          <w:rFonts w:hint="eastAsia" w:ascii="宋体" w:hAnsi="宋体" w:eastAsia="宋体" w:cs="Times New Roman"/>
          <w:bCs/>
          <w:color w:val="auto"/>
          <w:sz w:val="21"/>
          <w:szCs w:val="21"/>
          <w:highlight w:val="none"/>
          <w:u w:val="single"/>
        </w:rPr>
        <w:t>按通用条款规定</w:t>
      </w:r>
      <w:r>
        <w:rPr>
          <w:rFonts w:ascii="宋体" w:hAnsi="宋体" w:eastAsia="宋体" w:cs="Times New Roman"/>
          <w:color w:val="auto"/>
          <w:sz w:val="21"/>
          <w:szCs w:val="21"/>
          <w:highlight w:val="none"/>
        </w:rPr>
        <w:t>。</w:t>
      </w:r>
    </w:p>
    <w:p w14:paraId="2D20FE7A">
      <w:pPr>
        <w:keepNext/>
        <w:keepLines/>
        <w:spacing w:before="120" w:after="120" w:line="360" w:lineRule="auto"/>
        <w:ind w:firstLine="562"/>
        <w:outlineLvl w:val="3"/>
        <w:rPr>
          <w:rFonts w:ascii="Calibri" w:hAnsi="Calibri" w:eastAsia="黑体" w:cs="Times New Roman"/>
          <w:color w:val="auto"/>
          <w:sz w:val="28"/>
          <w:highlight w:val="none"/>
        </w:rPr>
      </w:pPr>
      <w:r>
        <w:rPr>
          <w:rFonts w:hint="eastAsia" w:ascii="Calibri" w:hAnsi="Calibri" w:eastAsia="黑体" w:cs="Times New Roman"/>
          <w:color w:val="auto"/>
          <w:sz w:val="28"/>
          <w:highlight w:val="none"/>
          <w:lang w:val="en-US" w:eastAsia="zh-CN"/>
        </w:rPr>
        <w:t>9</w:t>
      </w:r>
      <w:r>
        <w:rPr>
          <w:rFonts w:ascii="Calibri" w:hAnsi="Calibri" w:eastAsia="黑体" w:cs="Times New Roman"/>
          <w:color w:val="auto"/>
          <w:sz w:val="28"/>
          <w:highlight w:val="none"/>
        </w:rPr>
        <w:t>. 变更</w:t>
      </w:r>
    </w:p>
    <w:p w14:paraId="57C240CA">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9</w:t>
      </w:r>
      <w:r>
        <w:rPr>
          <w:rFonts w:ascii="Calibri" w:hAnsi="Calibri" w:eastAsia="黑体" w:cs="Times New Roman"/>
          <w:color w:val="auto"/>
          <w:sz w:val="24"/>
          <w:szCs w:val="24"/>
          <w:highlight w:val="none"/>
        </w:rPr>
        <w:t>.1变更的范围</w:t>
      </w:r>
    </w:p>
    <w:p w14:paraId="4FB9C164">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color w:val="auto"/>
          <w:sz w:val="21"/>
          <w:szCs w:val="21"/>
          <w:highlight w:val="none"/>
        </w:rPr>
        <w:t>关于变更的范围的约定：</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1）施工中发包人需对原工程</w:t>
      </w:r>
      <w:r>
        <w:rPr>
          <w:rFonts w:hint="eastAsia" w:ascii="宋体" w:hAnsi="宋体" w:eastAsia="宋体" w:cs="Times New Roman"/>
          <w:bCs/>
          <w:color w:val="auto"/>
          <w:sz w:val="21"/>
          <w:szCs w:val="21"/>
          <w:highlight w:val="none"/>
          <w:u w:val="single"/>
        </w:rPr>
        <w:t>进行</w:t>
      </w:r>
      <w:r>
        <w:rPr>
          <w:rFonts w:ascii="宋体" w:hAnsi="宋体" w:eastAsia="宋体" w:cs="Times New Roman"/>
          <w:bCs/>
          <w:color w:val="auto"/>
          <w:sz w:val="21"/>
          <w:szCs w:val="21"/>
          <w:highlight w:val="none"/>
          <w:u w:val="single"/>
        </w:rPr>
        <w:t>设计变更，应提前</w:t>
      </w:r>
      <w:r>
        <w:rPr>
          <w:rFonts w:hint="eastAsia" w:ascii="宋体" w:hAnsi="宋体" w:eastAsia="宋体" w:cs="Times New Roman"/>
          <w:bCs/>
          <w:color w:val="auto"/>
          <w:sz w:val="21"/>
          <w:szCs w:val="21"/>
          <w:highlight w:val="none"/>
          <w:u w:val="single"/>
        </w:rPr>
        <w:t>7</w:t>
      </w:r>
      <w:r>
        <w:rPr>
          <w:rFonts w:ascii="宋体" w:hAnsi="宋体" w:eastAsia="宋体" w:cs="Times New Roman"/>
          <w:bCs/>
          <w:color w:val="auto"/>
          <w:sz w:val="21"/>
          <w:szCs w:val="21"/>
          <w:highlight w:val="none"/>
          <w:u w:val="single"/>
        </w:rPr>
        <w:t>天以书面形式向承包人发出变更通知。变更超过原设计标准或批准的建设规模需要重新报批或重新审图时，发包人应报规划管理部门和其他相关部门重新审</w:t>
      </w:r>
      <w:r>
        <w:rPr>
          <w:rFonts w:hint="eastAsia" w:ascii="宋体" w:hAnsi="宋体" w:eastAsia="宋体" w:cs="Times New Roman"/>
          <w:bCs/>
          <w:color w:val="auto"/>
          <w:sz w:val="21"/>
          <w:szCs w:val="21"/>
          <w:highlight w:val="none"/>
          <w:u w:val="single"/>
          <w:lang w:eastAsia="zh-CN"/>
        </w:rPr>
        <w:t>查批</w:t>
      </w:r>
      <w:r>
        <w:rPr>
          <w:rFonts w:ascii="宋体" w:hAnsi="宋体" w:eastAsia="宋体" w:cs="Times New Roman"/>
          <w:bCs/>
          <w:color w:val="auto"/>
          <w:sz w:val="21"/>
          <w:szCs w:val="21"/>
          <w:highlight w:val="none"/>
          <w:u w:val="single"/>
        </w:rPr>
        <w:t>准，并由原设计单位提供变更的相应图纸及说明。</w:t>
      </w:r>
    </w:p>
    <w:p w14:paraId="66540829">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p>
    <w:p w14:paraId="36697A84">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2）承包人不得对原设计</w:t>
      </w:r>
      <w:r>
        <w:rPr>
          <w:rFonts w:hint="eastAsia" w:ascii="宋体" w:hAnsi="宋体" w:eastAsia="宋体" w:cs="Times New Roman"/>
          <w:bCs/>
          <w:color w:val="auto"/>
          <w:sz w:val="21"/>
          <w:szCs w:val="21"/>
          <w:highlight w:val="none"/>
          <w:u w:val="single"/>
        </w:rPr>
        <w:t>擅自</w:t>
      </w:r>
      <w:r>
        <w:rPr>
          <w:rFonts w:ascii="宋体" w:hAnsi="宋体" w:eastAsia="宋体" w:cs="Times New Roman"/>
          <w:bCs/>
          <w:color w:val="auto"/>
          <w:sz w:val="21"/>
          <w:szCs w:val="21"/>
          <w:highlight w:val="none"/>
          <w:u w:val="single"/>
        </w:rPr>
        <w:t>进行变更，由此造成</w:t>
      </w:r>
      <w:r>
        <w:rPr>
          <w:rFonts w:hint="eastAsia" w:ascii="宋体" w:hAnsi="宋体" w:eastAsia="宋体" w:cs="Times New Roman"/>
          <w:bCs/>
          <w:color w:val="auto"/>
          <w:sz w:val="21"/>
          <w:szCs w:val="21"/>
          <w:highlight w:val="none"/>
          <w:u w:val="single"/>
        </w:rPr>
        <w:t>的</w:t>
      </w:r>
      <w:r>
        <w:rPr>
          <w:rFonts w:ascii="宋体" w:hAnsi="宋体" w:eastAsia="宋体" w:cs="Times New Roman"/>
          <w:bCs/>
          <w:color w:val="auto"/>
          <w:sz w:val="21"/>
          <w:szCs w:val="21"/>
          <w:highlight w:val="none"/>
          <w:u w:val="single"/>
        </w:rPr>
        <w:t>经济损失及工期延后由承包人</w:t>
      </w:r>
      <w:r>
        <w:rPr>
          <w:rFonts w:hint="eastAsia" w:ascii="宋体" w:hAnsi="宋体" w:eastAsia="宋体" w:cs="Times New Roman"/>
          <w:bCs/>
          <w:color w:val="auto"/>
          <w:sz w:val="21"/>
          <w:szCs w:val="21"/>
          <w:highlight w:val="none"/>
          <w:u w:val="single"/>
        </w:rPr>
        <w:t>自行</w:t>
      </w:r>
      <w:r>
        <w:rPr>
          <w:rFonts w:ascii="宋体" w:hAnsi="宋体" w:eastAsia="宋体" w:cs="Times New Roman"/>
          <w:bCs/>
          <w:color w:val="auto"/>
          <w:sz w:val="21"/>
          <w:szCs w:val="21"/>
          <w:highlight w:val="none"/>
          <w:u w:val="single"/>
        </w:rPr>
        <w:t>承担，并赔偿发包人有关损失。</w:t>
      </w:r>
    </w:p>
    <w:p w14:paraId="61CA0352">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3）承包人在施工中提出合理化建议及</w:t>
      </w:r>
      <w:r>
        <w:rPr>
          <w:rFonts w:hint="eastAsia" w:ascii="宋体" w:hAnsi="宋体" w:eastAsia="宋体" w:cs="Times New Roman"/>
          <w:bCs/>
          <w:color w:val="auto"/>
          <w:sz w:val="21"/>
          <w:szCs w:val="21"/>
          <w:highlight w:val="none"/>
          <w:u w:val="single"/>
          <w:lang w:eastAsia="zh-CN"/>
        </w:rPr>
        <w:t>涉及</w:t>
      </w:r>
      <w:r>
        <w:rPr>
          <w:rFonts w:ascii="宋体" w:hAnsi="宋体" w:eastAsia="宋体" w:cs="Times New Roman"/>
          <w:bCs/>
          <w:color w:val="auto"/>
          <w:sz w:val="21"/>
          <w:szCs w:val="21"/>
          <w:highlight w:val="none"/>
          <w:u w:val="single"/>
        </w:rPr>
        <w:t>对设计图纸或施工组织设计的更改及对材料、设备的</w:t>
      </w:r>
      <w:r>
        <w:rPr>
          <w:rFonts w:hint="eastAsia" w:ascii="宋体" w:hAnsi="宋体" w:eastAsia="宋体" w:cs="Times New Roman"/>
          <w:bCs/>
          <w:color w:val="auto"/>
          <w:sz w:val="21"/>
          <w:szCs w:val="21"/>
          <w:highlight w:val="none"/>
          <w:u w:val="single"/>
          <w:lang w:eastAsia="zh-CN"/>
        </w:rPr>
        <w:t>更换</w:t>
      </w:r>
      <w:r>
        <w:rPr>
          <w:rFonts w:ascii="宋体" w:hAnsi="宋体" w:eastAsia="宋体" w:cs="Times New Roman"/>
          <w:bCs/>
          <w:color w:val="auto"/>
          <w:sz w:val="21"/>
          <w:szCs w:val="21"/>
          <w:highlight w:val="none"/>
          <w:u w:val="single"/>
        </w:rPr>
        <w:t>，须经设计单位</w:t>
      </w:r>
      <w:r>
        <w:rPr>
          <w:rFonts w:hint="eastAsia" w:ascii="宋体" w:hAnsi="宋体" w:eastAsia="宋体" w:cs="Times New Roman"/>
          <w:bCs/>
          <w:color w:val="auto"/>
          <w:sz w:val="21"/>
          <w:szCs w:val="21"/>
          <w:highlight w:val="none"/>
          <w:u w:val="single"/>
          <w:lang w:eastAsia="zh-CN"/>
        </w:rPr>
        <w:t>、</w:t>
      </w:r>
      <w:r>
        <w:rPr>
          <w:rFonts w:ascii="宋体" w:hAnsi="宋体" w:eastAsia="宋体" w:cs="Times New Roman"/>
          <w:bCs/>
          <w:color w:val="auto"/>
          <w:sz w:val="21"/>
          <w:szCs w:val="21"/>
          <w:highlight w:val="none"/>
          <w:u w:val="single"/>
        </w:rPr>
        <w:t>发包人书面同意。未经同意擅自更改</w:t>
      </w:r>
      <w:r>
        <w:rPr>
          <w:rFonts w:hint="eastAsia" w:ascii="宋体" w:hAnsi="宋体" w:eastAsia="宋体" w:cs="Times New Roman"/>
          <w:bCs/>
          <w:color w:val="auto"/>
          <w:sz w:val="21"/>
          <w:szCs w:val="21"/>
          <w:highlight w:val="none"/>
          <w:u w:val="single"/>
        </w:rPr>
        <w:t>的</w:t>
      </w:r>
      <w:r>
        <w:rPr>
          <w:rFonts w:ascii="宋体" w:hAnsi="宋体" w:eastAsia="宋体" w:cs="Times New Roman"/>
          <w:bCs/>
          <w:color w:val="auto"/>
          <w:sz w:val="21"/>
          <w:szCs w:val="21"/>
          <w:highlight w:val="none"/>
          <w:u w:val="single"/>
        </w:rPr>
        <w:t>，承包人承担由此发生</w:t>
      </w:r>
      <w:r>
        <w:rPr>
          <w:rFonts w:hint="eastAsia" w:ascii="宋体" w:hAnsi="宋体" w:eastAsia="宋体" w:cs="Times New Roman"/>
          <w:bCs/>
          <w:color w:val="auto"/>
          <w:sz w:val="21"/>
          <w:szCs w:val="21"/>
          <w:highlight w:val="none"/>
          <w:u w:val="single"/>
        </w:rPr>
        <w:t>的</w:t>
      </w:r>
      <w:r>
        <w:rPr>
          <w:rFonts w:ascii="宋体" w:hAnsi="宋体" w:eastAsia="宋体" w:cs="Times New Roman"/>
          <w:bCs/>
          <w:color w:val="auto"/>
          <w:sz w:val="21"/>
          <w:szCs w:val="21"/>
          <w:highlight w:val="none"/>
          <w:u w:val="single"/>
        </w:rPr>
        <w:t>费用，并赔偿发包人有关损失，工期不得延后。</w:t>
      </w:r>
    </w:p>
    <w:p w14:paraId="60BB5488">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发包人采用承包人合理化建议，所发生的费用和获得的收益，发包人、承包人另行约定分担或分享。</w:t>
      </w:r>
    </w:p>
    <w:p w14:paraId="4D4617E0">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4）合同履行中发包人要求变更工程质量标准及发生其他实质性变更，由双方协商解决。</w:t>
      </w:r>
    </w:p>
    <w:p w14:paraId="31F1F7E0">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5）发包人保</w:t>
      </w:r>
      <w:r>
        <w:rPr>
          <w:rFonts w:hint="eastAsia" w:ascii="宋体" w:hAnsi="宋体" w:eastAsia="宋体" w:cs="Times New Roman"/>
          <w:bCs/>
          <w:color w:val="auto"/>
          <w:sz w:val="21"/>
          <w:szCs w:val="21"/>
          <w:highlight w:val="none"/>
          <w:u w:val="single"/>
        </w:rPr>
        <w:t>留变更或调整工程量的权力，承包人不得拒绝变更，更不得以变更为由提出不合理的要求。</w:t>
      </w:r>
    </w:p>
    <w:p w14:paraId="705028B8">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6）承包人必须按发包人要求完成变更工作，否则发包人有权交由第三方承包人完成，并按第三方承包人报价的双倍作为违约金扣减承包人的合同价款。</w:t>
      </w:r>
    </w:p>
    <w:p w14:paraId="73F95F6B">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7）因设计变更导致工期的顺延以发包人审核、批准为准。</w:t>
      </w:r>
    </w:p>
    <w:p w14:paraId="4592A504">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8）设计单位出具的设计变更必须得到发包人的批准。承包人不得直接从设计单位取得设计变更，或者以贿赂等不正当手段影响本工程的设计师进行变更。否则，由此增加的工程费用由承包人承担，工期不予顺延</w:t>
      </w:r>
      <w:r>
        <w:rPr>
          <w:rFonts w:ascii="宋体" w:hAnsi="宋体" w:eastAsia="宋体" w:cs="Times New Roman"/>
          <w:color w:val="auto"/>
          <w:sz w:val="21"/>
          <w:szCs w:val="21"/>
          <w:highlight w:val="none"/>
        </w:rPr>
        <w:t>。</w:t>
      </w:r>
    </w:p>
    <w:p w14:paraId="0C48DA22">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9</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2</w:t>
      </w:r>
      <w:r>
        <w:rPr>
          <w:rFonts w:ascii="Calibri" w:hAnsi="Calibri" w:eastAsia="黑体" w:cs="Times New Roman"/>
          <w:color w:val="auto"/>
          <w:sz w:val="24"/>
          <w:szCs w:val="24"/>
          <w:highlight w:val="none"/>
        </w:rPr>
        <w:t xml:space="preserve"> 变更估价</w:t>
      </w:r>
    </w:p>
    <w:p w14:paraId="4DAAEF6B">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9</w:t>
      </w:r>
      <w:r>
        <w:rPr>
          <w:rFonts w:hint="eastAsia" w:ascii="宋体" w:hAnsi="宋体" w:eastAsia="宋体" w:cs="Times New Roman"/>
          <w:color w:val="auto"/>
          <w:sz w:val="21"/>
          <w:szCs w:val="21"/>
          <w:highlight w:val="none"/>
        </w:rPr>
        <w:t>.2.1 变更估价原则</w:t>
      </w:r>
    </w:p>
    <w:p w14:paraId="33E43F5C">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color w:val="auto"/>
          <w:sz w:val="21"/>
          <w:szCs w:val="21"/>
          <w:highlight w:val="none"/>
        </w:rPr>
        <w:t>关于变更估价的约定</w:t>
      </w:r>
      <w:r>
        <w:rPr>
          <w:rFonts w:hint="eastAsia" w:ascii="宋体" w:hAnsi="宋体" w:eastAsia="宋体" w:cs="Times New Roman"/>
          <w:color w:val="auto"/>
          <w:sz w:val="21"/>
          <w:szCs w:val="21"/>
          <w:highlight w:val="none"/>
          <w:lang w:eastAsia="zh-CN"/>
        </w:rPr>
        <w:t>：</w:t>
      </w:r>
      <w:r>
        <w:rPr>
          <w:rFonts w:ascii="宋体" w:hAnsi="宋体" w:eastAsia="宋体" w:cs="Times New Roman"/>
          <w:bCs/>
          <w:color w:val="auto"/>
          <w:sz w:val="21"/>
          <w:szCs w:val="21"/>
          <w:highlight w:val="none"/>
          <w:u w:val="single"/>
        </w:rPr>
        <w:t xml:space="preserve"> </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1）已标价工程量清单中有适用于变更工程的子目，采用该子目的单价。</w:t>
      </w:r>
    </w:p>
    <w:p w14:paraId="56CCDC31">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2）已标价工程量清单中无适用于变更工程的子目，但有类似子目，可在合理范围内参照类似子目的单价，由</w:t>
      </w:r>
      <w:r>
        <w:rPr>
          <w:rFonts w:hint="eastAsia" w:ascii="宋体" w:hAnsi="宋体" w:eastAsia="宋体" w:cs="Times New Roman"/>
          <w:bCs/>
          <w:color w:val="auto"/>
          <w:sz w:val="21"/>
          <w:szCs w:val="21"/>
          <w:highlight w:val="none"/>
          <w:u w:val="single"/>
        </w:rPr>
        <w:t>跟踪审计</w:t>
      </w:r>
      <w:r>
        <w:rPr>
          <w:rFonts w:ascii="宋体" w:hAnsi="宋体" w:eastAsia="宋体" w:cs="Times New Roman"/>
          <w:bCs/>
          <w:color w:val="auto"/>
          <w:sz w:val="21"/>
          <w:szCs w:val="21"/>
          <w:highlight w:val="none"/>
          <w:u w:val="single"/>
        </w:rPr>
        <w:t>核定综合单价报发包人批准或者由发包人与承包人商定。</w:t>
      </w:r>
    </w:p>
    <w:p w14:paraId="0EE15CD2">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上述“与投标报价中项目类似的”新增项目，指与投标分部分项工程量清单项目编码一至九位完全相同的新增的分部分项工程。</w:t>
      </w:r>
    </w:p>
    <w:p w14:paraId="7DED3D05">
      <w:pPr>
        <w:spacing w:line="360" w:lineRule="auto"/>
        <w:ind w:firstLine="420" w:firstLineChars="200"/>
        <w:jc w:val="left"/>
        <w:rPr>
          <w:rFonts w:hint="eastAsia" w:ascii="宋体" w:hAnsi="宋体" w:eastAsia="宋体" w:cs="Times New Roman"/>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3）已标价工程量清单中无适用或类似子目的单价，由承包人编制变更综合单价，经跟踪审计核定综合单价，并报发包人批准后作为结算依据。计价原则：（1）</w:t>
      </w:r>
      <w:r>
        <w:rPr>
          <w:rFonts w:hint="eastAsia" w:ascii="宋体" w:hAnsi="宋体" w:eastAsia="宋体" w:cs="Times New Roman"/>
          <w:bCs/>
          <w:color w:val="auto"/>
          <w:sz w:val="21"/>
          <w:szCs w:val="21"/>
          <w:highlight w:val="none"/>
          <w:u w:val="single"/>
        </w:rPr>
        <w:t>《水利工程工程量清单计价规范》GB50501- 2007</w:t>
      </w:r>
      <w:r>
        <w:rPr>
          <w:rFonts w:ascii="宋体" w:hAnsi="宋体" w:eastAsia="宋体" w:cs="Times New Roman"/>
          <w:bCs/>
          <w:color w:val="auto"/>
          <w:sz w:val="21"/>
          <w:szCs w:val="21"/>
          <w:highlight w:val="none"/>
          <w:u w:val="single"/>
        </w:rPr>
        <w:t>、省市建设行政主管部门颁布的</w:t>
      </w:r>
      <w:r>
        <w:rPr>
          <w:rFonts w:hint="eastAsia" w:ascii="宋体" w:hAnsi="宋体" w:eastAsia="宋体" w:cs="Times New Roman"/>
          <w:bCs/>
          <w:color w:val="auto"/>
          <w:sz w:val="21"/>
          <w:szCs w:val="21"/>
          <w:highlight w:val="none"/>
          <w:u w:val="single"/>
        </w:rPr>
        <w:t>与</w:t>
      </w:r>
      <w:r>
        <w:rPr>
          <w:rFonts w:ascii="宋体" w:hAnsi="宋体" w:eastAsia="宋体" w:cs="Times New Roman"/>
          <w:bCs/>
          <w:color w:val="auto"/>
          <w:sz w:val="21"/>
          <w:szCs w:val="21"/>
          <w:highlight w:val="none"/>
          <w:u w:val="single"/>
        </w:rPr>
        <w:t>工程造价</w:t>
      </w:r>
      <w:r>
        <w:rPr>
          <w:rFonts w:hint="eastAsia" w:ascii="宋体" w:hAnsi="宋体" w:eastAsia="宋体" w:cs="Times New Roman"/>
          <w:bCs/>
          <w:color w:val="auto"/>
          <w:sz w:val="21"/>
          <w:szCs w:val="21"/>
          <w:highlight w:val="none"/>
          <w:u w:val="single"/>
        </w:rPr>
        <w:t>相关的</w:t>
      </w:r>
      <w:r>
        <w:rPr>
          <w:rFonts w:ascii="宋体" w:hAnsi="宋体" w:eastAsia="宋体" w:cs="Times New Roman"/>
          <w:bCs/>
          <w:color w:val="auto"/>
          <w:sz w:val="21"/>
          <w:szCs w:val="21"/>
          <w:highlight w:val="none"/>
          <w:u w:val="single"/>
        </w:rPr>
        <w:t>规范性文件和规定；（2）材料价格按照同期建设主管部门颁布的指导价格执行，缺项部分参照市场价：（3）取费标准（包括人工单价、</w:t>
      </w:r>
      <w:r>
        <w:rPr>
          <w:rFonts w:hint="eastAsia" w:ascii="宋体" w:hAnsi="宋体" w:eastAsia="宋体" w:cs="Times New Roman"/>
          <w:bCs/>
          <w:color w:val="auto"/>
          <w:sz w:val="21"/>
          <w:szCs w:val="21"/>
          <w:highlight w:val="none"/>
          <w:u w:val="single"/>
        </w:rPr>
        <w:t>材料单价</w:t>
      </w:r>
      <w:r>
        <w:rPr>
          <w:rFonts w:ascii="宋体" w:hAnsi="宋体" w:eastAsia="宋体" w:cs="Times New Roman"/>
          <w:bCs/>
          <w:color w:val="auto"/>
          <w:sz w:val="21"/>
          <w:szCs w:val="21"/>
          <w:highlight w:val="none"/>
          <w:u w:val="single"/>
        </w:rPr>
        <w:t>、利润等）执行原投标报价水平（单价或费率）。新增子目的综合单价及材料单价由承包人提出，经</w:t>
      </w:r>
      <w:r>
        <w:rPr>
          <w:rFonts w:hint="eastAsia" w:ascii="宋体" w:hAnsi="宋体" w:eastAsia="宋体" w:cs="Times New Roman"/>
          <w:bCs/>
          <w:color w:val="auto"/>
          <w:sz w:val="21"/>
          <w:szCs w:val="21"/>
          <w:highlight w:val="none"/>
          <w:u w:val="single"/>
        </w:rPr>
        <w:t>跟踪审计</w:t>
      </w:r>
      <w:r>
        <w:rPr>
          <w:rFonts w:ascii="宋体" w:hAnsi="宋体" w:eastAsia="宋体" w:cs="Times New Roman"/>
          <w:bCs/>
          <w:color w:val="auto"/>
          <w:sz w:val="21"/>
          <w:szCs w:val="21"/>
          <w:highlight w:val="none"/>
          <w:u w:val="single"/>
        </w:rPr>
        <w:t>审核后，报发包人批准作为最终结算依据；（4）措施项目费调整按清单计价规</w:t>
      </w:r>
      <w:r>
        <w:rPr>
          <w:rFonts w:hint="eastAsia" w:ascii="宋体" w:hAnsi="宋体" w:eastAsia="宋体" w:cs="Times New Roman"/>
          <w:bCs/>
          <w:color w:val="auto"/>
          <w:sz w:val="21"/>
          <w:szCs w:val="21"/>
          <w:highlight w:val="none"/>
          <w:u w:val="single"/>
        </w:rPr>
        <w:t>范执行</w:t>
      </w:r>
      <w:r>
        <w:rPr>
          <w:rFonts w:ascii="宋体" w:hAnsi="宋体" w:eastAsia="宋体" w:cs="Times New Roman"/>
          <w:color w:val="auto"/>
          <w:sz w:val="21"/>
          <w:szCs w:val="21"/>
          <w:highlight w:val="none"/>
        </w:rPr>
        <w:t>。</w:t>
      </w:r>
    </w:p>
    <w:p w14:paraId="21DBF96A">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9</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3</w:t>
      </w:r>
      <w:r>
        <w:rPr>
          <w:rFonts w:ascii="Calibri" w:hAnsi="Calibri" w:eastAsia="黑体" w:cs="Times New Roman"/>
          <w:color w:val="auto"/>
          <w:sz w:val="24"/>
          <w:szCs w:val="24"/>
          <w:highlight w:val="none"/>
        </w:rPr>
        <w:t>承包人的合理化建议</w:t>
      </w:r>
    </w:p>
    <w:p w14:paraId="2FA377F3">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发包人</w:t>
      </w:r>
      <w:r>
        <w:rPr>
          <w:rFonts w:ascii="宋体" w:hAnsi="宋体" w:eastAsia="宋体" w:cs="Times New Roman"/>
          <w:color w:val="auto"/>
          <w:sz w:val="21"/>
          <w:szCs w:val="21"/>
          <w:highlight w:val="none"/>
        </w:rPr>
        <w:t>审查承包人合理化建议的期限：</w:t>
      </w:r>
      <w:r>
        <w:rPr>
          <w:rFonts w:hint="eastAsia" w:ascii="宋体" w:hAnsi="宋体" w:eastAsia="宋体" w:cs="Times New Roman"/>
          <w:bCs/>
          <w:color w:val="auto"/>
          <w:sz w:val="21"/>
          <w:szCs w:val="21"/>
          <w:highlight w:val="none"/>
          <w:u w:val="single"/>
        </w:rPr>
        <w:t>按通用条款规定</w:t>
      </w:r>
      <w:r>
        <w:rPr>
          <w:rFonts w:ascii="宋体" w:hAnsi="宋体" w:eastAsia="宋体" w:cs="Times New Roman"/>
          <w:color w:val="auto"/>
          <w:sz w:val="21"/>
          <w:szCs w:val="21"/>
          <w:highlight w:val="none"/>
        </w:rPr>
        <w:t>。</w:t>
      </w:r>
    </w:p>
    <w:p w14:paraId="42A67C3A">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发包人审批承包人合理化建议的期限：</w:t>
      </w:r>
      <w:r>
        <w:rPr>
          <w:rFonts w:hint="eastAsia" w:ascii="宋体" w:hAnsi="宋体" w:eastAsia="宋体" w:cs="Times New Roman"/>
          <w:bCs/>
          <w:color w:val="auto"/>
          <w:sz w:val="21"/>
          <w:szCs w:val="21"/>
          <w:highlight w:val="none"/>
          <w:u w:val="single"/>
        </w:rPr>
        <w:t>按通用条款规定</w:t>
      </w:r>
      <w:r>
        <w:rPr>
          <w:rFonts w:ascii="宋体" w:hAnsi="宋体" w:eastAsia="宋体" w:cs="Times New Roman"/>
          <w:color w:val="auto"/>
          <w:sz w:val="21"/>
          <w:szCs w:val="21"/>
          <w:highlight w:val="none"/>
        </w:rPr>
        <w:t>。</w:t>
      </w:r>
    </w:p>
    <w:p w14:paraId="1550D9A6">
      <w:pPr>
        <w:spacing w:line="360" w:lineRule="auto"/>
        <w:ind w:firstLine="420" w:firstLineChars="200"/>
        <w:jc w:val="left"/>
        <w:rPr>
          <w:rFonts w:hint="eastAsia"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承包人提出的合理化建议降低了合同价格或者提高了工程经济效益的奖励的方法和金额为：</w:t>
      </w:r>
      <w:r>
        <w:rPr>
          <w:rFonts w:hint="eastAsia" w:ascii="宋体" w:hAnsi="宋体" w:eastAsia="宋体" w:cs="Times New Roman"/>
          <w:bCs/>
          <w:color w:val="auto"/>
          <w:sz w:val="21"/>
          <w:szCs w:val="21"/>
          <w:highlight w:val="none"/>
          <w:u w:val="single"/>
        </w:rPr>
        <w:t>无</w:t>
      </w:r>
      <w:r>
        <w:rPr>
          <w:rFonts w:ascii="宋体" w:hAnsi="宋体" w:eastAsia="宋体" w:cs="Times New Roman"/>
          <w:color w:val="auto"/>
          <w:sz w:val="21"/>
          <w:szCs w:val="21"/>
          <w:highlight w:val="none"/>
        </w:rPr>
        <w:t>。</w:t>
      </w:r>
    </w:p>
    <w:p w14:paraId="31192FAF">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9</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4</w:t>
      </w:r>
      <w:r>
        <w:rPr>
          <w:rFonts w:ascii="Calibri" w:hAnsi="Calibri" w:eastAsia="黑体" w:cs="Times New Roman"/>
          <w:color w:val="auto"/>
          <w:sz w:val="24"/>
          <w:szCs w:val="24"/>
          <w:highlight w:val="none"/>
        </w:rPr>
        <w:t xml:space="preserve"> 暂估价</w:t>
      </w:r>
      <w:r>
        <w:rPr>
          <w:rFonts w:hint="eastAsia" w:ascii="Calibri" w:hAnsi="Calibri" w:eastAsia="黑体" w:cs="Times New Roman"/>
          <w:color w:val="auto"/>
          <w:sz w:val="24"/>
          <w:szCs w:val="24"/>
          <w:highlight w:val="none"/>
        </w:rPr>
        <w:t>（如有）</w:t>
      </w:r>
    </w:p>
    <w:p w14:paraId="0EE929FB">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kern w:val="0"/>
          <w:sz w:val="21"/>
          <w:szCs w:val="21"/>
          <w:highlight w:val="none"/>
        </w:rPr>
        <w:t>暂估价材料和工程设备的明细详见附件</w:t>
      </w:r>
      <w:r>
        <w:rPr>
          <w:rFonts w:hint="eastAsia" w:ascii="宋体" w:hAnsi="宋体" w:eastAsia="宋体" w:cs="Times New Roman"/>
          <w:color w:val="auto"/>
          <w:kern w:val="0"/>
          <w:sz w:val="21"/>
          <w:szCs w:val="21"/>
          <w:highlight w:val="none"/>
        </w:rPr>
        <w:t>11：《</w:t>
      </w:r>
      <w:r>
        <w:rPr>
          <w:rFonts w:ascii="宋体" w:hAnsi="宋体" w:eastAsia="宋体" w:cs="Times New Roman"/>
          <w:color w:val="auto"/>
          <w:sz w:val="21"/>
          <w:szCs w:val="21"/>
          <w:highlight w:val="none"/>
        </w:rPr>
        <w:t>暂估价一览表</w:t>
      </w:r>
      <w:r>
        <w:rPr>
          <w:rFonts w:hint="eastAsia" w:ascii="宋体" w:hAnsi="宋体" w:eastAsia="宋体" w:cs="Times New Roman"/>
          <w:color w:val="auto"/>
          <w:sz w:val="21"/>
          <w:szCs w:val="21"/>
          <w:highlight w:val="none"/>
        </w:rPr>
        <w:t>》</w:t>
      </w:r>
      <w:r>
        <w:rPr>
          <w:rFonts w:hint="eastAsia" w:ascii="宋体" w:hAnsi="宋体" w:eastAsia="宋体" w:cs="Times New Roman"/>
          <w:color w:val="auto"/>
          <w:kern w:val="0"/>
          <w:sz w:val="21"/>
          <w:szCs w:val="21"/>
          <w:highlight w:val="none"/>
        </w:rPr>
        <w:t>。</w:t>
      </w:r>
    </w:p>
    <w:p w14:paraId="71F155C8">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9</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4</w:t>
      </w:r>
      <w:r>
        <w:rPr>
          <w:rFonts w:ascii="宋体" w:hAnsi="宋体" w:eastAsia="宋体" w:cs="Times New Roman"/>
          <w:color w:val="auto"/>
          <w:sz w:val="21"/>
          <w:szCs w:val="21"/>
          <w:highlight w:val="none"/>
        </w:rPr>
        <w:t>.1 依法必须招标的暂估价项目</w:t>
      </w:r>
    </w:p>
    <w:p w14:paraId="1F2185C8">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对于依法必须招标的暂估价项目的确认和批准采取第</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种方式确定。</w:t>
      </w:r>
    </w:p>
    <w:p w14:paraId="2E4CDD69">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9</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4</w:t>
      </w:r>
      <w:r>
        <w:rPr>
          <w:rFonts w:ascii="宋体" w:hAnsi="宋体" w:eastAsia="宋体" w:cs="Times New Roman"/>
          <w:color w:val="auto"/>
          <w:sz w:val="21"/>
          <w:szCs w:val="21"/>
          <w:highlight w:val="none"/>
        </w:rPr>
        <w:t>.2 不属于依法必须招标的暂估价项目</w:t>
      </w:r>
    </w:p>
    <w:p w14:paraId="1ACD0204">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对于不属于依法必须招标的暂估价项目的确认和批准采取第</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种方式确定。</w:t>
      </w:r>
    </w:p>
    <w:p w14:paraId="7B98342D">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sz w:val="21"/>
          <w:szCs w:val="21"/>
          <w:highlight w:val="none"/>
        </w:rPr>
        <w:t>第3种方式：</w:t>
      </w:r>
      <w:r>
        <w:rPr>
          <w:rFonts w:ascii="宋体" w:hAnsi="宋体" w:eastAsia="宋体" w:cs="Times New Roman"/>
          <w:color w:val="auto"/>
          <w:kern w:val="0"/>
          <w:sz w:val="21"/>
          <w:szCs w:val="21"/>
          <w:highlight w:val="none"/>
        </w:rPr>
        <w:t>承包人直接实施的暂估价项目</w:t>
      </w:r>
    </w:p>
    <w:p w14:paraId="62024892">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承包人直接实施的暂估价项目的约定：</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w:t>
      </w:r>
    </w:p>
    <w:p w14:paraId="1475FFF2">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9</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5</w:t>
      </w:r>
      <w:r>
        <w:rPr>
          <w:rFonts w:ascii="Calibri" w:hAnsi="Calibri" w:eastAsia="黑体" w:cs="Times New Roman"/>
          <w:color w:val="auto"/>
          <w:sz w:val="24"/>
          <w:szCs w:val="24"/>
          <w:highlight w:val="none"/>
        </w:rPr>
        <w:t xml:space="preserve"> 暂列金额</w:t>
      </w:r>
      <w:r>
        <w:rPr>
          <w:rFonts w:hint="eastAsia" w:ascii="Calibri" w:hAnsi="Calibri" w:eastAsia="黑体" w:cs="Times New Roman"/>
          <w:color w:val="auto"/>
          <w:sz w:val="24"/>
          <w:szCs w:val="24"/>
          <w:highlight w:val="none"/>
        </w:rPr>
        <w:t>（如有）</w:t>
      </w:r>
    </w:p>
    <w:p w14:paraId="08A64026">
      <w:pPr>
        <w:autoSpaceDE w:val="0"/>
        <w:autoSpaceDN w:val="0"/>
        <w:adjustRightInd w:val="0"/>
        <w:spacing w:line="360" w:lineRule="auto"/>
        <w:ind w:firstLine="420" w:firstLineChars="200"/>
        <w:jc w:val="left"/>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合同当事人关于暂列金额使用的约定：</w:t>
      </w:r>
      <w:r>
        <w:rPr>
          <w:rFonts w:hint="eastAsia" w:ascii="宋体" w:hAnsi="宋体" w:eastAsia="宋体" w:cs="Times New Roman"/>
          <w:bCs/>
          <w:color w:val="auto"/>
          <w:sz w:val="21"/>
          <w:szCs w:val="21"/>
          <w:highlight w:val="none"/>
          <w:u w:val="single"/>
        </w:rPr>
        <w:t>暂列</w:t>
      </w:r>
      <w:r>
        <w:rPr>
          <w:rFonts w:hint="eastAsia" w:ascii="宋体" w:hAnsi="宋体" w:eastAsia="宋体" w:cs="Times New Roman"/>
          <w:bCs/>
          <w:color w:val="auto"/>
          <w:sz w:val="21"/>
          <w:szCs w:val="21"/>
          <w:highlight w:val="none"/>
          <w:u w:val="single"/>
          <w:lang w:eastAsia="zh-CN"/>
        </w:rPr>
        <w:t>金额</w:t>
      </w:r>
      <w:r>
        <w:rPr>
          <w:rFonts w:hint="eastAsia" w:ascii="宋体" w:hAnsi="宋体" w:eastAsia="宋体" w:cs="Times New Roman"/>
          <w:bCs/>
          <w:color w:val="auto"/>
          <w:sz w:val="21"/>
          <w:szCs w:val="21"/>
          <w:highlight w:val="none"/>
          <w:u w:val="single"/>
        </w:rPr>
        <w:t>使用权归发包人所有，若施工期间没有发生额外费用的支出，则从竣工结算款中扣除</w:t>
      </w:r>
      <w:r>
        <w:rPr>
          <w:rFonts w:hint="eastAsia" w:ascii="宋体" w:hAnsi="宋体" w:eastAsia="宋体" w:cs="Times New Roman"/>
          <w:color w:val="auto"/>
          <w:kern w:val="0"/>
          <w:sz w:val="21"/>
          <w:szCs w:val="21"/>
          <w:highlight w:val="none"/>
        </w:rPr>
        <w:t>。</w:t>
      </w:r>
    </w:p>
    <w:p w14:paraId="527B76CC">
      <w:pPr>
        <w:keepNext/>
        <w:keepLines/>
        <w:spacing w:before="120" w:after="120" w:line="360" w:lineRule="auto"/>
        <w:ind w:firstLine="562"/>
        <w:outlineLvl w:val="3"/>
        <w:rPr>
          <w:rFonts w:ascii="Calibri" w:hAnsi="Calibri" w:eastAsia="黑体" w:cs="Times New Roman"/>
          <w:color w:val="auto"/>
          <w:sz w:val="28"/>
          <w:highlight w:val="none"/>
        </w:rPr>
      </w:pPr>
      <w:r>
        <w:rPr>
          <w:rFonts w:ascii="Calibri" w:hAnsi="Calibri" w:eastAsia="黑体" w:cs="Times New Roman"/>
          <w:color w:val="auto"/>
          <w:sz w:val="28"/>
          <w:highlight w:val="none"/>
        </w:rPr>
        <w:t>1</w:t>
      </w:r>
      <w:r>
        <w:rPr>
          <w:rFonts w:hint="eastAsia" w:ascii="Calibri" w:hAnsi="Calibri" w:eastAsia="黑体" w:cs="Times New Roman"/>
          <w:color w:val="auto"/>
          <w:sz w:val="28"/>
          <w:highlight w:val="none"/>
          <w:lang w:val="en-US" w:eastAsia="zh-CN"/>
        </w:rPr>
        <w:t>0</w:t>
      </w:r>
      <w:r>
        <w:rPr>
          <w:rFonts w:ascii="Calibri" w:hAnsi="Calibri" w:eastAsia="黑体" w:cs="Times New Roman"/>
          <w:color w:val="auto"/>
          <w:sz w:val="28"/>
          <w:highlight w:val="none"/>
        </w:rPr>
        <w:t>. 价格调整</w:t>
      </w:r>
    </w:p>
    <w:p w14:paraId="68AE7702">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0</w:t>
      </w:r>
      <w:r>
        <w:rPr>
          <w:rFonts w:ascii="Calibri" w:hAnsi="Calibri" w:eastAsia="黑体" w:cs="Times New Roman"/>
          <w:color w:val="auto"/>
          <w:sz w:val="24"/>
          <w:szCs w:val="24"/>
          <w:highlight w:val="none"/>
        </w:rPr>
        <w:t>.1 市场价格波动引起的调整</w:t>
      </w:r>
    </w:p>
    <w:p w14:paraId="00724E3A">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kern w:val="0"/>
          <w:sz w:val="21"/>
          <w:szCs w:val="21"/>
          <w:highlight w:val="none"/>
        </w:rPr>
        <w:t>市场价格波动是否调整合同价格的约定：</w:t>
      </w:r>
    </w:p>
    <w:p w14:paraId="50BC7D71">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因市场价格波动调整合同价格，采用以下第</w:t>
      </w:r>
      <w:r>
        <w:rPr>
          <w:rFonts w:ascii="宋体" w:hAnsi="宋体" w:eastAsia="宋体" w:cs="Times New Roman"/>
          <w:bCs/>
          <w:color w:val="auto"/>
          <w:sz w:val="21"/>
          <w:szCs w:val="21"/>
          <w:highlight w:val="none"/>
          <w:u w:val="single"/>
        </w:rPr>
        <w:t>3</w:t>
      </w:r>
      <w:r>
        <w:rPr>
          <w:rFonts w:ascii="宋体" w:hAnsi="宋体" w:eastAsia="宋体" w:cs="Times New Roman"/>
          <w:color w:val="auto"/>
          <w:sz w:val="21"/>
          <w:szCs w:val="21"/>
          <w:highlight w:val="none"/>
        </w:rPr>
        <w:t>种方式对合同价格进行调整：</w:t>
      </w:r>
    </w:p>
    <w:p w14:paraId="772BCF9A">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第1种方式：采用价格指数</w:t>
      </w:r>
      <w:r>
        <w:rPr>
          <w:rFonts w:hint="eastAsia" w:ascii="宋体" w:hAnsi="宋体" w:eastAsia="宋体" w:cs="Times New Roman"/>
          <w:color w:val="auto"/>
          <w:sz w:val="21"/>
          <w:szCs w:val="21"/>
          <w:highlight w:val="none"/>
        </w:rPr>
        <w:t>进行价格</w:t>
      </w:r>
      <w:r>
        <w:rPr>
          <w:rFonts w:ascii="宋体" w:hAnsi="宋体" w:eastAsia="宋体" w:cs="Times New Roman"/>
          <w:color w:val="auto"/>
          <w:sz w:val="21"/>
          <w:szCs w:val="21"/>
          <w:highlight w:val="none"/>
        </w:rPr>
        <w:t>调整。</w:t>
      </w:r>
    </w:p>
    <w:p w14:paraId="45850B2C">
      <w:pPr>
        <w:spacing w:line="360" w:lineRule="auto"/>
        <w:ind w:firstLine="420" w:firstLineChars="200"/>
        <w:jc w:val="left"/>
        <w:rPr>
          <w:rFonts w:hint="eastAsia"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关于各可调因子、定值和变值权重，以及基本价格指数及其来源的约定：</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 xml:space="preserve">；  </w:t>
      </w:r>
    </w:p>
    <w:p w14:paraId="3094FC1A">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第2种方式：采用造价信息</w:t>
      </w:r>
      <w:r>
        <w:rPr>
          <w:rFonts w:hint="eastAsia" w:ascii="宋体" w:hAnsi="宋体" w:eastAsia="宋体" w:cs="Times New Roman"/>
          <w:color w:val="auto"/>
          <w:sz w:val="21"/>
          <w:szCs w:val="21"/>
          <w:highlight w:val="none"/>
        </w:rPr>
        <w:t>进行价格</w:t>
      </w:r>
      <w:r>
        <w:rPr>
          <w:rFonts w:ascii="宋体" w:hAnsi="宋体" w:eastAsia="宋体" w:cs="Times New Roman"/>
          <w:color w:val="auto"/>
          <w:sz w:val="21"/>
          <w:szCs w:val="21"/>
          <w:highlight w:val="none"/>
        </w:rPr>
        <w:t>调整。</w:t>
      </w:r>
    </w:p>
    <w:p w14:paraId="5166992D">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关于基准价格的约定：</w:t>
      </w:r>
      <w:r>
        <w:rPr>
          <w:rFonts w:hint="eastAsia" w:ascii="宋体" w:hAnsi="宋体" w:eastAsia="宋体" w:cs="Times New Roman"/>
          <w:bCs/>
          <w:color w:val="auto"/>
          <w:sz w:val="21"/>
          <w:szCs w:val="21"/>
          <w:highlight w:val="none"/>
          <w:u w:val="single"/>
        </w:rPr>
        <w:t>合同基准日（投标截止日向前推算</w:t>
      </w:r>
      <w:r>
        <w:rPr>
          <w:rFonts w:ascii="宋体" w:hAnsi="宋体" w:eastAsia="宋体" w:cs="Times New Roman"/>
          <w:bCs/>
          <w:color w:val="auto"/>
          <w:sz w:val="21"/>
          <w:szCs w:val="21"/>
          <w:highlight w:val="none"/>
          <w:u w:val="single"/>
        </w:rPr>
        <w:t>28天）当期《</w:t>
      </w:r>
      <w:r>
        <w:rPr>
          <w:rFonts w:hint="eastAsia" w:ascii="宋体" w:hAnsi="宋体" w:eastAsia="宋体" w:cs="Times New Roman"/>
          <w:bCs/>
          <w:color w:val="auto"/>
          <w:sz w:val="21"/>
          <w:szCs w:val="21"/>
          <w:highlight w:val="none"/>
          <w:u w:val="single"/>
          <w:lang w:val="en-US" w:eastAsia="zh-CN"/>
        </w:rPr>
        <w:t>工程所在地</w:t>
      </w:r>
      <w:r>
        <w:rPr>
          <w:rFonts w:ascii="宋体" w:hAnsi="宋体" w:eastAsia="宋体" w:cs="Times New Roman"/>
          <w:bCs/>
          <w:color w:val="auto"/>
          <w:sz w:val="21"/>
          <w:szCs w:val="21"/>
          <w:highlight w:val="none"/>
          <w:u w:val="single"/>
        </w:rPr>
        <w:t>工程造价信息》发布的指导价。调价范围仅限：钢材、水泥、商品砼</w:t>
      </w:r>
      <w:r>
        <w:rPr>
          <w:rFonts w:ascii="宋体" w:hAnsi="宋体" w:eastAsia="宋体" w:cs="Times New Roman"/>
          <w:color w:val="auto"/>
          <w:sz w:val="21"/>
          <w:szCs w:val="21"/>
          <w:highlight w:val="none"/>
        </w:rPr>
        <w:t>。</w:t>
      </w:r>
    </w:p>
    <w:p w14:paraId="6CF3F5E8">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专用合同条款</w:t>
      </w:r>
      <w:r>
        <w:rPr>
          <w:rFonts w:hint="eastAsia" w:ascii="宋体" w:hAnsi="宋体" w:eastAsia="宋体" w:cs="宋体"/>
          <w:color w:val="auto"/>
          <w:sz w:val="21"/>
          <w:szCs w:val="21"/>
          <w:highlight w:val="none"/>
        </w:rPr>
        <w:t>①</w:t>
      </w:r>
      <w:r>
        <w:rPr>
          <w:rFonts w:ascii="宋体" w:hAnsi="宋体" w:eastAsia="宋体" w:cs="Times New Roman"/>
          <w:color w:val="auto"/>
          <w:sz w:val="21"/>
          <w:szCs w:val="21"/>
          <w:highlight w:val="none"/>
        </w:rPr>
        <w:t>承包人在已标价工程量清单或预算书中载明的材料单价低于基准价格的：专用合同条款合同履行期间材料单价涨幅以基准价格为基础超过</w:t>
      </w:r>
      <w:r>
        <w:rPr>
          <w:rFonts w:ascii="宋体" w:hAnsi="宋体" w:eastAsia="宋体" w:cs="Times New Roman"/>
          <w:bCs/>
          <w:color w:val="auto"/>
          <w:sz w:val="21"/>
          <w:szCs w:val="21"/>
          <w:highlight w:val="none"/>
          <w:u w:val="single"/>
        </w:rPr>
        <w:t>5</w:t>
      </w:r>
      <w:r>
        <w:rPr>
          <w:rFonts w:ascii="宋体" w:hAnsi="宋体" w:eastAsia="宋体" w:cs="Times New Roman"/>
          <w:color w:val="auto"/>
          <w:sz w:val="21"/>
          <w:szCs w:val="21"/>
          <w:highlight w:val="none"/>
        </w:rPr>
        <w:t>%时，或材料单价跌幅以已标价工程量清单或预算书中载</w:t>
      </w:r>
      <w:r>
        <w:rPr>
          <w:rFonts w:hint="eastAsia" w:ascii="宋体" w:hAnsi="宋体" w:eastAsia="宋体" w:cs="Times New Roman"/>
          <w:color w:val="auto"/>
          <w:sz w:val="21"/>
          <w:szCs w:val="21"/>
          <w:highlight w:val="none"/>
          <w:lang w:eastAsia="zh-CN"/>
        </w:rPr>
        <w:t>明的</w:t>
      </w:r>
      <w:r>
        <w:rPr>
          <w:rFonts w:ascii="宋体" w:hAnsi="宋体" w:eastAsia="宋体" w:cs="Times New Roman"/>
          <w:color w:val="auto"/>
          <w:sz w:val="21"/>
          <w:szCs w:val="21"/>
          <w:highlight w:val="none"/>
        </w:rPr>
        <w:t>材料单价为基础超过</w:t>
      </w:r>
      <w:r>
        <w:rPr>
          <w:rFonts w:ascii="宋体" w:hAnsi="宋体" w:eastAsia="宋体" w:cs="Times New Roman"/>
          <w:bCs/>
          <w:color w:val="auto"/>
          <w:sz w:val="21"/>
          <w:szCs w:val="21"/>
          <w:highlight w:val="none"/>
          <w:u w:val="single"/>
        </w:rPr>
        <w:t>5</w:t>
      </w:r>
      <w:r>
        <w:rPr>
          <w:rFonts w:ascii="宋体" w:hAnsi="宋体" w:eastAsia="宋体" w:cs="Times New Roman"/>
          <w:color w:val="auto"/>
          <w:sz w:val="21"/>
          <w:szCs w:val="21"/>
          <w:highlight w:val="none"/>
        </w:rPr>
        <w:t>%时，其超过部分据实调整。</w:t>
      </w:r>
    </w:p>
    <w:p w14:paraId="7F11B0B4">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②</w:t>
      </w:r>
      <w:r>
        <w:rPr>
          <w:rFonts w:ascii="宋体" w:hAnsi="宋体" w:eastAsia="宋体" w:cs="Times New Roman"/>
          <w:color w:val="auto"/>
          <w:sz w:val="21"/>
          <w:szCs w:val="21"/>
          <w:highlight w:val="none"/>
        </w:rPr>
        <w:t>承包人在已标价工程量清单或预算书中载明的材料单价高于基准价格的：专用合同条款合同履行期间材料单价跌幅以基准价格为基础超过</w:t>
      </w:r>
      <w:r>
        <w:rPr>
          <w:rFonts w:ascii="宋体" w:hAnsi="宋体" w:eastAsia="宋体" w:cs="Times New Roman"/>
          <w:bCs/>
          <w:color w:val="auto"/>
          <w:sz w:val="21"/>
          <w:szCs w:val="21"/>
          <w:highlight w:val="none"/>
          <w:u w:val="single"/>
        </w:rPr>
        <w:t>5</w:t>
      </w:r>
      <w:r>
        <w:rPr>
          <w:rFonts w:ascii="宋体" w:hAnsi="宋体" w:eastAsia="宋体" w:cs="Times New Roman"/>
          <w:color w:val="auto"/>
          <w:sz w:val="21"/>
          <w:szCs w:val="21"/>
          <w:highlight w:val="none"/>
        </w:rPr>
        <w:t>%时，材料单价涨幅以已标价工程量清单或预算书中载</w:t>
      </w:r>
      <w:r>
        <w:rPr>
          <w:rFonts w:hint="eastAsia" w:ascii="宋体" w:hAnsi="宋体" w:eastAsia="宋体" w:cs="Times New Roman"/>
          <w:color w:val="auto"/>
          <w:sz w:val="21"/>
          <w:szCs w:val="21"/>
          <w:highlight w:val="none"/>
          <w:lang w:eastAsia="zh-CN"/>
        </w:rPr>
        <w:t>明的</w:t>
      </w:r>
      <w:r>
        <w:rPr>
          <w:rFonts w:ascii="宋体" w:hAnsi="宋体" w:eastAsia="宋体" w:cs="Times New Roman"/>
          <w:color w:val="auto"/>
          <w:sz w:val="21"/>
          <w:szCs w:val="21"/>
          <w:highlight w:val="none"/>
        </w:rPr>
        <w:t>材料单价为基础超过</w:t>
      </w:r>
      <w:r>
        <w:rPr>
          <w:rFonts w:ascii="宋体" w:hAnsi="宋体" w:eastAsia="宋体" w:cs="Times New Roman"/>
          <w:bCs/>
          <w:color w:val="auto"/>
          <w:sz w:val="21"/>
          <w:szCs w:val="21"/>
          <w:highlight w:val="none"/>
          <w:u w:val="single"/>
        </w:rPr>
        <w:t>5</w:t>
      </w:r>
      <w:r>
        <w:rPr>
          <w:rFonts w:ascii="宋体" w:hAnsi="宋体" w:eastAsia="宋体" w:cs="Times New Roman"/>
          <w:color w:val="auto"/>
          <w:sz w:val="21"/>
          <w:szCs w:val="21"/>
          <w:highlight w:val="none"/>
        </w:rPr>
        <w:t>%时，其超过部分据实调整。</w:t>
      </w:r>
    </w:p>
    <w:p w14:paraId="7CF01340">
      <w:pPr>
        <w:spacing w:line="360" w:lineRule="auto"/>
        <w:ind w:firstLine="422"/>
        <w:jc w:val="left"/>
        <w:rPr>
          <w:rFonts w:hint="eastAsia"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③</w:t>
      </w:r>
      <w:r>
        <w:rPr>
          <w:rFonts w:ascii="宋体" w:hAnsi="宋体" w:eastAsia="宋体" w:cs="Times New Roman"/>
          <w:color w:val="auto"/>
          <w:sz w:val="21"/>
          <w:szCs w:val="21"/>
          <w:highlight w:val="none"/>
        </w:rPr>
        <w:t>承包人在已标价工程量清单或预算书中载明的材料单价等于基准单价的：专用合同条款合同履行期间材料单价涨跌幅以基准单价为基础超过±</w:t>
      </w:r>
      <w:r>
        <w:rPr>
          <w:rFonts w:ascii="宋体" w:hAnsi="宋体" w:eastAsia="宋体" w:cs="Times New Roman"/>
          <w:bCs/>
          <w:color w:val="auto"/>
          <w:sz w:val="21"/>
          <w:szCs w:val="21"/>
          <w:highlight w:val="none"/>
          <w:u w:val="single"/>
        </w:rPr>
        <w:t>5</w:t>
      </w:r>
      <w:r>
        <w:rPr>
          <w:rFonts w:ascii="宋体" w:hAnsi="宋体" w:eastAsia="宋体" w:cs="Times New Roman"/>
          <w:color w:val="auto"/>
          <w:sz w:val="21"/>
          <w:szCs w:val="21"/>
          <w:highlight w:val="none"/>
        </w:rPr>
        <w:t>%时，其超过部分据实调整。</w:t>
      </w:r>
    </w:p>
    <w:p w14:paraId="5D5D4D57">
      <w:pPr>
        <w:spacing w:line="360" w:lineRule="auto"/>
        <w:ind w:firstLine="422"/>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第3种方式：其他价格调整方式：</w:t>
      </w:r>
      <w:r>
        <w:rPr>
          <w:rFonts w:hint="eastAsia" w:ascii="宋体" w:hAnsi="宋体" w:eastAsia="宋体" w:cs="Times New Roman"/>
          <w:bCs/>
          <w:color w:val="auto"/>
          <w:sz w:val="21"/>
          <w:szCs w:val="21"/>
          <w:highlight w:val="none"/>
          <w:u w:val="single"/>
        </w:rPr>
        <w:t>综合单价在合同履行期间不做调整，工程量按实结算</w:t>
      </w:r>
      <w:r>
        <w:rPr>
          <w:rFonts w:ascii="宋体" w:hAnsi="宋体" w:eastAsia="宋体" w:cs="Times New Roman"/>
          <w:color w:val="auto"/>
          <w:sz w:val="21"/>
          <w:szCs w:val="21"/>
          <w:highlight w:val="none"/>
        </w:rPr>
        <w:t>。</w:t>
      </w:r>
    </w:p>
    <w:p w14:paraId="641B8850">
      <w:pPr>
        <w:keepNext/>
        <w:keepLines/>
        <w:spacing w:before="120" w:after="120" w:line="360" w:lineRule="auto"/>
        <w:ind w:firstLine="562"/>
        <w:outlineLvl w:val="3"/>
        <w:rPr>
          <w:rFonts w:ascii="Calibri" w:hAnsi="Calibri" w:eastAsia="黑体" w:cs="Times New Roman"/>
          <w:color w:val="auto"/>
          <w:sz w:val="28"/>
          <w:highlight w:val="none"/>
        </w:rPr>
      </w:pPr>
      <w:r>
        <w:rPr>
          <w:rFonts w:ascii="Calibri" w:hAnsi="Calibri" w:eastAsia="黑体" w:cs="Times New Roman"/>
          <w:color w:val="auto"/>
          <w:sz w:val="28"/>
          <w:highlight w:val="none"/>
        </w:rPr>
        <w:t>1</w:t>
      </w:r>
      <w:r>
        <w:rPr>
          <w:rFonts w:hint="eastAsia" w:ascii="Calibri" w:hAnsi="Calibri" w:eastAsia="黑体" w:cs="Times New Roman"/>
          <w:color w:val="auto"/>
          <w:sz w:val="28"/>
          <w:highlight w:val="none"/>
          <w:lang w:val="en-US" w:eastAsia="zh-CN"/>
        </w:rPr>
        <w:t>1</w:t>
      </w:r>
      <w:r>
        <w:rPr>
          <w:rFonts w:ascii="Calibri" w:hAnsi="Calibri" w:eastAsia="黑体" w:cs="Times New Roman"/>
          <w:color w:val="auto"/>
          <w:sz w:val="28"/>
          <w:highlight w:val="none"/>
        </w:rPr>
        <w:t>. 合同价格、计量与支付</w:t>
      </w:r>
    </w:p>
    <w:p w14:paraId="2FA430D9">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1</w:t>
      </w:r>
      <w:r>
        <w:rPr>
          <w:rFonts w:ascii="Calibri" w:hAnsi="Calibri" w:eastAsia="黑体" w:cs="Times New Roman"/>
          <w:color w:val="auto"/>
          <w:sz w:val="24"/>
          <w:szCs w:val="24"/>
          <w:highlight w:val="none"/>
        </w:rPr>
        <w:t>.1 合同价格形式</w:t>
      </w:r>
    </w:p>
    <w:p w14:paraId="678DB91B">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rPr>
        <w:t>．</w:t>
      </w:r>
      <w:r>
        <w:rPr>
          <w:rFonts w:ascii="宋体" w:hAnsi="宋体" w:eastAsia="宋体" w:cs="Times New Roman"/>
          <w:color w:val="auto"/>
          <w:sz w:val="21"/>
          <w:szCs w:val="21"/>
          <w:highlight w:val="none"/>
        </w:rPr>
        <w:t>单价合同。</w:t>
      </w:r>
    </w:p>
    <w:p w14:paraId="10389AAF">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color w:val="auto"/>
          <w:sz w:val="21"/>
          <w:szCs w:val="21"/>
          <w:highlight w:val="none"/>
        </w:rPr>
        <w:t>综合单价包含的风险范围：</w:t>
      </w:r>
      <w:r>
        <w:rPr>
          <w:rFonts w:ascii="宋体" w:hAnsi="宋体" w:eastAsia="宋体" w:cs="Times New Roman"/>
          <w:bCs/>
          <w:color w:val="auto"/>
          <w:sz w:val="21"/>
          <w:szCs w:val="21"/>
          <w:highlight w:val="none"/>
          <w:u w:val="single"/>
        </w:rPr>
        <w:t>(1)各类人工费、机械台班、建材的市场价格波动风险；</w:t>
      </w:r>
    </w:p>
    <w:p w14:paraId="7C2DAAC5">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bCs/>
          <w:color w:val="auto"/>
          <w:sz w:val="21"/>
          <w:szCs w:val="21"/>
          <w:highlight w:val="none"/>
          <w:u w:val="single"/>
        </w:rPr>
        <w:t>(2)工程量发生变更时，相同子目综合单价不予调整的风险；</w:t>
      </w:r>
    </w:p>
    <w:p w14:paraId="1E61B034">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bCs/>
          <w:color w:val="auto"/>
          <w:sz w:val="21"/>
          <w:szCs w:val="21"/>
          <w:highlight w:val="none"/>
          <w:u w:val="single"/>
        </w:rPr>
        <w:t>(3)因承包人自身施工管理等原因造成工期、误工费用增加的风险；</w:t>
      </w:r>
    </w:p>
    <w:p w14:paraId="1D9C9503">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bCs/>
          <w:color w:val="auto"/>
          <w:sz w:val="21"/>
          <w:szCs w:val="21"/>
          <w:highlight w:val="none"/>
          <w:u w:val="single"/>
        </w:rPr>
        <w:t>(4)作为有丰富经验的承包商应该可以预见到的风险；</w:t>
      </w:r>
    </w:p>
    <w:p w14:paraId="480A2A17">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bCs/>
          <w:color w:val="auto"/>
          <w:sz w:val="21"/>
          <w:szCs w:val="21"/>
          <w:highlight w:val="none"/>
          <w:u w:val="single"/>
        </w:rPr>
        <w:t>(5)</w:t>
      </w:r>
      <w:r>
        <w:rPr>
          <w:rFonts w:hint="eastAsia" w:ascii="宋体" w:hAnsi="宋体" w:eastAsia="宋体" w:cs="Times New Roman"/>
          <w:bCs/>
          <w:color w:val="auto"/>
          <w:sz w:val="21"/>
          <w:szCs w:val="21"/>
          <w:highlight w:val="none"/>
          <w:u w:val="single"/>
        </w:rPr>
        <w:t>采购文件</w:t>
      </w:r>
      <w:r>
        <w:rPr>
          <w:rFonts w:ascii="宋体" w:hAnsi="宋体" w:eastAsia="宋体" w:cs="Times New Roman"/>
          <w:bCs/>
          <w:color w:val="auto"/>
          <w:sz w:val="21"/>
          <w:szCs w:val="21"/>
          <w:highlight w:val="none"/>
          <w:u w:val="single"/>
        </w:rPr>
        <w:t>中明示和暗示的风险费用</w:t>
      </w:r>
      <w:r>
        <w:rPr>
          <w:rFonts w:hint="eastAsia" w:ascii="宋体" w:hAnsi="宋体" w:eastAsia="宋体" w:cs="Times New Roman"/>
          <w:bCs/>
          <w:color w:val="auto"/>
          <w:sz w:val="21"/>
          <w:szCs w:val="21"/>
          <w:highlight w:val="none"/>
          <w:u w:val="single"/>
        </w:rPr>
        <w:t>；</w:t>
      </w:r>
    </w:p>
    <w:p w14:paraId="3A3297E2">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bCs/>
          <w:color w:val="auto"/>
          <w:sz w:val="21"/>
          <w:szCs w:val="21"/>
          <w:highlight w:val="none"/>
          <w:u w:val="single"/>
        </w:rPr>
        <w:t>(6)施工组织设计的各项技术、安全措施；</w:t>
      </w:r>
    </w:p>
    <w:p w14:paraId="00BEC0AB">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bCs/>
          <w:color w:val="auto"/>
          <w:sz w:val="21"/>
          <w:szCs w:val="21"/>
          <w:highlight w:val="none"/>
          <w:u w:val="single"/>
        </w:rPr>
        <w:t>(7)施工期间的各类政策性调整；</w:t>
      </w:r>
    </w:p>
    <w:p w14:paraId="40E8ACD7">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风险费用的计算方法：</w:t>
      </w:r>
      <w:r>
        <w:rPr>
          <w:rFonts w:hint="eastAsia" w:ascii="宋体" w:hAnsi="宋体" w:eastAsia="宋体" w:cs="Times New Roman"/>
          <w:bCs/>
          <w:color w:val="auto"/>
          <w:sz w:val="21"/>
          <w:szCs w:val="21"/>
          <w:highlight w:val="none"/>
          <w:u w:val="single"/>
        </w:rPr>
        <w:t>承包人在投标报价时已经知晓上述风险范围，已经考虑相应的风险费用并计入报价</w:t>
      </w:r>
      <w:r>
        <w:rPr>
          <w:rFonts w:ascii="宋体" w:hAnsi="宋体" w:eastAsia="宋体" w:cs="Times New Roman"/>
          <w:color w:val="auto"/>
          <w:sz w:val="21"/>
          <w:szCs w:val="21"/>
          <w:highlight w:val="none"/>
        </w:rPr>
        <w:t>。</w:t>
      </w:r>
    </w:p>
    <w:p w14:paraId="21EADB3D">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color w:val="auto"/>
          <w:sz w:val="21"/>
          <w:szCs w:val="21"/>
          <w:highlight w:val="none"/>
        </w:rPr>
        <w:t>风险范围以外合同价格的调整方法：</w:t>
      </w:r>
      <w:r>
        <w:rPr>
          <w:rFonts w:hint="eastAsia" w:ascii="宋体" w:hAnsi="宋体" w:eastAsia="宋体" w:cs="Times New Roman"/>
          <w:bCs/>
          <w:color w:val="auto"/>
          <w:sz w:val="21"/>
          <w:szCs w:val="21"/>
          <w:highlight w:val="none"/>
          <w:u w:val="single"/>
        </w:rPr>
        <w:t>▲调整因素：</w:t>
      </w:r>
    </w:p>
    <w:p w14:paraId="1CC8C3DC">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bCs/>
          <w:color w:val="auto"/>
          <w:sz w:val="21"/>
          <w:szCs w:val="21"/>
          <w:highlight w:val="none"/>
          <w:u w:val="single"/>
        </w:rPr>
        <w:t>(1)发包人批准的由设计院出具的设计变更及图纸会审记录；</w:t>
      </w:r>
    </w:p>
    <w:p w14:paraId="267741C3">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⑵跟踪审计认可、发包人批准的工程签证；</w:t>
      </w:r>
    </w:p>
    <w:p w14:paraId="612A5161">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⑶采购人提供的工程量清单中数量与招标图纸之间的差异；</w:t>
      </w:r>
    </w:p>
    <w:p w14:paraId="1EFB2C0C">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⑷施工合同条款约定其他可以调整的因素。</w:t>
      </w:r>
    </w:p>
    <w:p w14:paraId="5057CE56">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▲调整时间：</w:t>
      </w:r>
    </w:p>
    <w:p w14:paraId="3B83ABCF">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如发生风险范围以外合同价款调整因素，承包人应在5个工作日内申报，报</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、跟踪审计计量、审核确认，最终须经发包人批准。</w:t>
      </w:r>
    </w:p>
    <w:p w14:paraId="5597AEE6">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▲调整方法：</w:t>
      </w:r>
    </w:p>
    <w:p w14:paraId="7859C315">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⑴设计变更、工程签证的调整办法见专用条款第</w:t>
      </w:r>
      <w:r>
        <w:rPr>
          <w:rFonts w:ascii="宋体" w:hAnsi="宋体" w:eastAsia="宋体" w:cs="Times New Roman"/>
          <w:bCs/>
          <w:color w:val="auto"/>
          <w:sz w:val="21"/>
          <w:szCs w:val="21"/>
          <w:highlight w:val="none"/>
          <w:u w:val="single"/>
        </w:rPr>
        <w:t>10.4条。</w:t>
      </w:r>
    </w:p>
    <w:p w14:paraId="4899402C">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⑵</w:t>
      </w:r>
      <w:r>
        <w:rPr>
          <w:rFonts w:ascii="宋体" w:hAnsi="宋体" w:eastAsia="宋体" w:cs="Times New Roman"/>
          <w:bCs/>
          <w:color w:val="auto"/>
          <w:sz w:val="21"/>
          <w:szCs w:val="21"/>
          <w:highlight w:val="none"/>
          <w:u w:val="single"/>
        </w:rPr>
        <w:t>其他说明事项</w:t>
      </w:r>
    </w:p>
    <w:p w14:paraId="621EBFFD">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①按现行规定以及质监部门要求对土建及水电安装材料的送样检测、复试等相关费用均由承包人承担，送检前需报发包人确认。</w:t>
      </w:r>
    </w:p>
    <w:p w14:paraId="2E48AD0E">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甲供材送样检测、复试费用由发包人供货商承担，但材料进场后由承包人负责保管、二次搬运，并协助发包人验收，保管、二次搬运等费用由承包人承担，结算时不增加相关费用。</w:t>
      </w:r>
    </w:p>
    <w:p w14:paraId="3E4E1FFD">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所有乙供材的采购保管费、运输费、卸力费、二次搬运费等均由承包人承担。</w:t>
      </w:r>
    </w:p>
    <w:p w14:paraId="327D7F92">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②措施项目清单调整按照清单规范执行，中标后承包人提交施工方案报发包人审批，但是不涉及相关费用的调整。</w:t>
      </w:r>
    </w:p>
    <w:p w14:paraId="3F2938DC">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2</w:t>
      </w:r>
      <w:r>
        <w:rPr>
          <w:rFonts w:hint="eastAsia" w:ascii="宋体" w:hAnsi="宋体" w:eastAsia="宋体" w:cs="Times New Roman"/>
          <w:color w:val="auto"/>
          <w:sz w:val="21"/>
          <w:szCs w:val="21"/>
          <w:highlight w:val="none"/>
        </w:rPr>
        <w:t xml:space="preserve">. </w:t>
      </w:r>
      <w:r>
        <w:rPr>
          <w:rFonts w:ascii="宋体" w:hAnsi="宋体" w:eastAsia="宋体" w:cs="Times New Roman"/>
          <w:color w:val="auto"/>
          <w:sz w:val="21"/>
          <w:szCs w:val="21"/>
          <w:highlight w:val="none"/>
        </w:rPr>
        <w:t>总价合同。</w:t>
      </w:r>
    </w:p>
    <w:p w14:paraId="144DDED0">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总价包含的风险范围：</w:t>
      </w:r>
      <w:r>
        <w:rPr>
          <w:rFonts w:hint="eastAsia" w:ascii="宋体" w:hAnsi="宋体" w:eastAsia="宋体" w:cs="Times New Roman"/>
          <w:bCs/>
          <w:color w:val="auto"/>
          <w:sz w:val="21"/>
          <w:szCs w:val="21"/>
          <w:highlight w:val="none"/>
          <w:u w:val="single"/>
        </w:rPr>
        <w:t>不采用</w:t>
      </w:r>
      <w:r>
        <w:rPr>
          <w:rFonts w:ascii="宋体" w:hAnsi="宋体" w:eastAsia="宋体" w:cs="Times New Roman"/>
          <w:color w:val="auto"/>
          <w:sz w:val="21"/>
          <w:szCs w:val="21"/>
          <w:highlight w:val="none"/>
        </w:rPr>
        <w:t>。</w:t>
      </w:r>
    </w:p>
    <w:p w14:paraId="6DEF0894">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风险费用的计算方法：</w:t>
      </w:r>
      <w:r>
        <w:rPr>
          <w:rFonts w:hint="eastAsia" w:ascii="宋体" w:hAnsi="宋体" w:eastAsia="宋体" w:cs="Times New Roman"/>
          <w:bCs/>
          <w:color w:val="auto"/>
          <w:sz w:val="21"/>
          <w:szCs w:val="21"/>
          <w:highlight w:val="none"/>
          <w:u w:val="single"/>
        </w:rPr>
        <w:t>不采用</w:t>
      </w:r>
      <w:r>
        <w:rPr>
          <w:rFonts w:ascii="宋体" w:hAnsi="宋体" w:eastAsia="宋体" w:cs="Times New Roman"/>
          <w:color w:val="auto"/>
          <w:sz w:val="21"/>
          <w:szCs w:val="21"/>
          <w:highlight w:val="none"/>
        </w:rPr>
        <w:t>。</w:t>
      </w:r>
    </w:p>
    <w:p w14:paraId="677FC4E8">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风险范围以外合同价格的调整方法：</w:t>
      </w:r>
      <w:r>
        <w:rPr>
          <w:rFonts w:hint="eastAsia" w:ascii="宋体" w:hAnsi="宋体" w:eastAsia="宋体" w:cs="Times New Roman"/>
          <w:bCs/>
          <w:color w:val="auto"/>
          <w:sz w:val="21"/>
          <w:szCs w:val="21"/>
          <w:highlight w:val="none"/>
          <w:u w:val="single"/>
        </w:rPr>
        <w:t>不采用</w:t>
      </w:r>
      <w:r>
        <w:rPr>
          <w:rFonts w:ascii="宋体" w:hAnsi="宋体" w:eastAsia="宋体" w:cs="Times New Roman"/>
          <w:color w:val="auto"/>
          <w:sz w:val="21"/>
          <w:szCs w:val="21"/>
          <w:highlight w:val="none"/>
        </w:rPr>
        <w:t>。</w:t>
      </w:r>
    </w:p>
    <w:p w14:paraId="77CCDD08">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3</w:t>
      </w:r>
      <w:r>
        <w:rPr>
          <w:rFonts w:hint="eastAsia" w:ascii="宋体" w:hAnsi="宋体" w:eastAsia="宋体" w:cs="Times New Roman"/>
          <w:color w:val="auto"/>
          <w:sz w:val="21"/>
          <w:szCs w:val="21"/>
          <w:highlight w:val="none"/>
        </w:rPr>
        <w:t xml:space="preserve">． </w:t>
      </w:r>
      <w:r>
        <w:rPr>
          <w:rFonts w:ascii="宋体" w:hAnsi="宋体" w:eastAsia="宋体" w:cs="Times New Roman"/>
          <w:color w:val="auto"/>
          <w:sz w:val="21"/>
          <w:szCs w:val="21"/>
          <w:highlight w:val="none"/>
        </w:rPr>
        <w:t>其他价格方式：</w:t>
      </w:r>
      <w:r>
        <w:rPr>
          <w:rFonts w:hint="eastAsia" w:ascii="宋体" w:hAnsi="宋体" w:eastAsia="宋体" w:cs="Times New Roman"/>
          <w:bCs/>
          <w:color w:val="auto"/>
          <w:sz w:val="21"/>
          <w:szCs w:val="21"/>
          <w:highlight w:val="none"/>
          <w:u w:val="single"/>
        </w:rPr>
        <w:t>不采用</w:t>
      </w:r>
      <w:r>
        <w:rPr>
          <w:rFonts w:ascii="宋体" w:hAnsi="宋体" w:eastAsia="宋体" w:cs="Times New Roman"/>
          <w:color w:val="auto"/>
          <w:sz w:val="21"/>
          <w:szCs w:val="21"/>
          <w:highlight w:val="none"/>
        </w:rPr>
        <w:t>。</w:t>
      </w:r>
    </w:p>
    <w:p w14:paraId="4197AF04">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1</w:t>
      </w:r>
      <w:r>
        <w:rPr>
          <w:rFonts w:ascii="Calibri" w:hAnsi="Calibri" w:eastAsia="黑体" w:cs="Times New Roman"/>
          <w:color w:val="auto"/>
          <w:sz w:val="24"/>
          <w:szCs w:val="24"/>
          <w:highlight w:val="none"/>
        </w:rPr>
        <w:t>.2 预付款</w:t>
      </w:r>
    </w:p>
    <w:p w14:paraId="1A43EAFE">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.2.1 预付款的支付</w:t>
      </w:r>
    </w:p>
    <w:p w14:paraId="5C672EAA">
      <w:pPr>
        <w:spacing w:line="360" w:lineRule="auto"/>
        <w:ind w:firstLine="420" w:firstLineChars="200"/>
        <w:jc w:val="left"/>
        <w:rPr>
          <w:rFonts w:hint="eastAsia"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预付款支付比例或金额：</w:t>
      </w:r>
      <w:r>
        <w:rPr>
          <w:rFonts w:hint="eastAsia" w:ascii="宋体" w:hAnsi="宋体" w:eastAsia="宋体" w:cs="Times New Roman"/>
          <w:b/>
          <w:color w:val="auto"/>
          <w:sz w:val="21"/>
          <w:szCs w:val="21"/>
          <w:highlight w:val="none"/>
          <w:u w:val="single"/>
          <w:lang w:val="en-US" w:eastAsia="zh-CN"/>
        </w:rPr>
        <w:t>合同价30%</w:t>
      </w:r>
      <w:r>
        <w:rPr>
          <w:rFonts w:hint="eastAsia" w:ascii="宋体" w:hAnsi="宋体" w:eastAsia="宋体" w:cs="Times New Roman"/>
          <w:color w:val="auto"/>
          <w:sz w:val="21"/>
          <w:szCs w:val="21"/>
          <w:highlight w:val="none"/>
          <w:u w:val="single"/>
        </w:rPr>
        <w:t>。</w:t>
      </w:r>
    </w:p>
    <w:p w14:paraId="749852F4">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预付款支付期限：</w:t>
      </w:r>
      <w:r>
        <w:rPr>
          <w:rFonts w:hint="eastAsia" w:ascii="宋体" w:hAnsi="宋体" w:eastAsia="宋体" w:cs="Times New Roman"/>
          <w:bCs/>
          <w:color w:val="auto"/>
          <w:sz w:val="21"/>
          <w:szCs w:val="21"/>
          <w:highlight w:val="none"/>
          <w:u w:val="single"/>
        </w:rPr>
        <w:t>双方签订施工合同且承包人提供正规有效等额的保函后</w:t>
      </w:r>
      <w:r>
        <w:rPr>
          <w:rFonts w:ascii="宋体" w:hAnsi="宋体" w:eastAsia="宋体" w:cs="Times New Roman"/>
          <w:color w:val="auto"/>
          <w:sz w:val="21"/>
          <w:szCs w:val="21"/>
          <w:highlight w:val="none"/>
        </w:rPr>
        <w:t>。</w:t>
      </w:r>
    </w:p>
    <w:p w14:paraId="52A70924">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预付款扣回的方式：</w:t>
      </w:r>
      <w:r>
        <w:rPr>
          <w:rFonts w:hint="eastAsia" w:ascii="宋体" w:hAnsi="宋体" w:eastAsia="宋体" w:cs="Times New Roman"/>
          <w:bCs/>
          <w:color w:val="auto"/>
          <w:sz w:val="21"/>
          <w:szCs w:val="21"/>
          <w:highlight w:val="none"/>
          <w:u w:val="single"/>
        </w:rPr>
        <w:t>抵充工程款，不扣回</w:t>
      </w:r>
      <w:r>
        <w:rPr>
          <w:rFonts w:ascii="宋体" w:hAnsi="宋体" w:eastAsia="宋体" w:cs="Times New Roman"/>
          <w:color w:val="auto"/>
          <w:sz w:val="21"/>
          <w:szCs w:val="21"/>
          <w:highlight w:val="none"/>
        </w:rPr>
        <w:t>。</w:t>
      </w:r>
    </w:p>
    <w:p w14:paraId="76EF5639">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.2.2 预付款担保</w:t>
      </w:r>
    </w:p>
    <w:p w14:paraId="7EF46E9B">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承包人提交预付款担保的期限：</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w:t>
      </w:r>
    </w:p>
    <w:p w14:paraId="4ED9ABEF">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预付款担保的形式为：</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w:t>
      </w:r>
    </w:p>
    <w:p w14:paraId="35D945F2">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1</w:t>
      </w:r>
      <w:r>
        <w:rPr>
          <w:rFonts w:ascii="Calibri" w:hAnsi="Calibri" w:eastAsia="黑体" w:cs="Times New Roman"/>
          <w:color w:val="auto"/>
          <w:sz w:val="24"/>
          <w:szCs w:val="24"/>
          <w:highlight w:val="none"/>
        </w:rPr>
        <w:t>.3 计量</w:t>
      </w:r>
    </w:p>
    <w:p w14:paraId="18CD2FB3">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.3.1 计量原则</w:t>
      </w:r>
    </w:p>
    <w:p w14:paraId="7C7BD40F">
      <w:pPr>
        <w:adjustRightInd w:val="0"/>
        <w:snapToGrid w:val="0"/>
        <w:spacing w:line="360" w:lineRule="auto"/>
        <w:ind w:firstLine="420" w:firstLineChars="200"/>
        <w:rPr>
          <w:rFonts w:hint="eastAsia" w:ascii="宋体" w:hAnsi="宋体" w:eastAsia="宋体" w:cs="Times New Roman"/>
          <w:bCs/>
          <w:color w:val="auto"/>
          <w:sz w:val="21"/>
          <w:szCs w:val="21"/>
          <w:highlight w:val="none"/>
          <w:u w:val="single"/>
        </w:rPr>
      </w:pPr>
      <w:r>
        <w:rPr>
          <w:rFonts w:ascii="宋体" w:hAnsi="宋体" w:eastAsia="宋体" w:cs="Times New Roman"/>
          <w:color w:val="auto"/>
          <w:sz w:val="21"/>
          <w:szCs w:val="21"/>
          <w:highlight w:val="none"/>
        </w:rPr>
        <w:t>工程量计算规则：</w:t>
      </w:r>
      <w:r>
        <w:rPr>
          <w:rFonts w:hint="eastAsia" w:ascii="宋体" w:hAnsi="宋体" w:eastAsia="宋体" w:cs="Times New Roman"/>
          <w:bCs/>
          <w:color w:val="auto"/>
          <w:sz w:val="21"/>
          <w:szCs w:val="21"/>
          <w:highlight w:val="none"/>
          <w:u w:val="single"/>
        </w:rPr>
        <w:t>除合同、采购文件、工程量清单有特殊约定外，按照《水利工程工程量清单计价规范》GB50501- 2007。</w:t>
      </w:r>
      <w:r>
        <w:rPr>
          <w:rFonts w:ascii="宋体" w:hAnsi="宋体" w:eastAsia="宋体" w:cs="Times New Roman"/>
          <w:bCs/>
          <w:color w:val="auto"/>
          <w:sz w:val="21"/>
          <w:szCs w:val="21"/>
          <w:highlight w:val="none"/>
          <w:u w:val="single"/>
        </w:rPr>
        <w:t>《江苏水利工程招标投标文件工程量清单格式》（苏水基</w:t>
      </w:r>
      <w:r>
        <w:rPr>
          <w:rFonts w:hint="eastAsia" w:ascii="宋体" w:hAnsi="宋体" w:eastAsia="宋体" w:cs="Times New Roman"/>
          <w:bCs/>
          <w:color w:val="auto"/>
          <w:sz w:val="21"/>
          <w:szCs w:val="21"/>
          <w:highlight w:val="none"/>
          <w:u w:val="single"/>
          <w:lang w:eastAsia="zh-CN"/>
        </w:rPr>
        <w:t>〔2011〕21号</w:t>
      </w:r>
      <w:r>
        <w:rPr>
          <w:rFonts w:ascii="宋体" w:hAnsi="宋体" w:eastAsia="宋体" w:cs="Times New Roman"/>
          <w:bCs/>
          <w:color w:val="auto"/>
          <w:sz w:val="21"/>
          <w:szCs w:val="21"/>
          <w:highlight w:val="none"/>
          <w:u w:val="single"/>
        </w:rPr>
        <w:t>）</w:t>
      </w:r>
      <w:r>
        <w:rPr>
          <w:rFonts w:hint="eastAsia" w:ascii="宋体" w:hAnsi="宋体" w:eastAsia="宋体" w:cs="Times New Roman"/>
          <w:bCs/>
          <w:color w:val="auto"/>
          <w:sz w:val="21"/>
          <w:szCs w:val="21"/>
          <w:highlight w:val="none"/>
          <w:u w:val="single"/>
        </w:rPr>
        <w:t>。《江苏省水利工程预算定额建筑工程、安装工程动态基价表（2019年含税版）》以及</w:t>
      </w:r>
      <w:r>
        <w:rPr>
          <w:rFonts w:ascii="宋体" w:hAnsi="宋体" w:eastAsia="宋体" w:cs="Times New Roman"/>
          <w:bCs/>
          <w:color w:val="auto"/>
          <w:sz w:val="21"/>
          <w:szCs w:val="21"/>
          <w:highlight w:val="none"/>
          <w:u w:val="single"/>
        </w:rPr>
        <w:t>省市建设行政主管部门颁布的</w:t>
      </w:r>
      <w:r>
        <w:rPr>
          <w:rFonts w:hint="eastAsia" w:ascii="宋体" w:hAnsi="宋体" w:eastAsia="宋体" w:cs="Times New Roman"/>
          <w:bCs/>
          <w:color w:val="auto"/>
          <w:sz w:val="21"/>
          <w:szCs w:val="21"/>
          <w:highlight w:val="none"/>
          <w:u w:val="single"/>
        </w:rPr>
        <w:t>与</w:t>
      </w:r>
      <w:r>
        <w:rPr>
          <w:rFonts w:ascii="宋体" w:hAnsi="宋体" w:eastAsia="宋体" w:cs="Times New Roman"/>
          <w:bCs/>
          <w:color w:val="auto"/>
          <w:sz w:val="21"/>
          <w:szCs w:val="21"/>
          <w:highlight w:val="none"/>
          <w:u w:val="single"/>
        </w:rPr>
        <w:t>工程造价</w:t>
      </w:r>
      <w:r>
        <w:rPr>
          <w:rFonts w:hint="eastAsia" w:ascii="宋体" w:hAnsi="宋体" w:eastAsia="宋体" w:cs="Times New Roman"/>
          <w:bCs/>
          <w:color w:val="auto"/>
          <w:sz w:val="21"/>
          <w:szCs w:val="21"/>
          <w:highlight w:val="none"/>
          <w:u w:val="single"/>
        </w:rPr>
        <w:t>相关的</w:t>
      </w:r>
      <w:r>
        <w:rPr>
          <w:rFonts w:ascii="宋体" w:hAnsi="宋体" w:eastAsia="宋体" w:cs="Times New Roman"/>
          <w:bCs/>
          <w:color w:val="auto"/>
          <w:sz w:val="21"/>
          <w:szCs w:val="21"/>
          <w:highlight w:val="none"/>
          <w:u w:val="single"/>
        </w:rPr>
        <w:t>规范性文件</w:t>
      </w:r>
      <w:r>
        <w:rPr>
          <w:rFonts w:ascii="宋体" w:hAnsi="宋体" w:eastAsia="宋体" w:cs="Times New Roman"/>
          <w:color w:val="auto"/>
          <w:sz w:val="21"/>
          <w:szCs w:val="21"/>
          <w:highlight w:val="none"/>
        </w:rPr>
        <w:t>。</w:t>
      </w:r>
    </w:p>
    <w:p w14:paraId="5C5CD8A7">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.3.2 计量周期</w:t>
      </w:r>
    </w:p>
    <w:p w14:paraId="23B9D4C0">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关于计量周期的约定：</w:t>
      </w:r>
      <w:r>
        <w:rPr>
          <w:rFonts w:hint="eastAsia" w:ascii="宋体" w:hAnsi="宋体" w:eastAsia="宋体" w:cs="Times New Roman"/>
          <w:bCs/>
          <w:color w:val="auto"/>
          <w:sz w:val="21"/>
          <w:szCs w:val="21"/>
          <w:highlight w:val="none"/>
          <w:u w:val="single"/>
        </w:rPr>
        <w:t>每月</w:t>
      </w:r>
      <w:r>
        <w:rPr>
          <w:rFonts w:ascii="宋体" w:hAnsi="宋体" w:eastAsia="宋体" w:cs="Times New Roman"/>
          <w:bCs/>
          <w:color w:val="auto"/>
          <w:sz w:val="21"/>
          <w:szCs w:val="21"/>
          <w:highlight w:val="none"/>
          <w:u w:val="single"/>
        </w:rPr>
        <w:t>5日前承包人向发包人、跟踪审计提交上月已完工程量报告，其他按通用条款执行</w:t>
      </w:r>
      <w:r>
        <w:rPr>
          <w:rFonts w:ascii="宋体" w:hAnsi="宋体" w:eastAsia="宋体" w:cs="Times New Roman"/>
          <w:color w:val="auto"/>
          <w:sz w:val="21"/>
          <w:szCs w:val="21"/>
          <w:highlight w:val="none"/>
        </w:rPr>
        <w:t>。</w:t>
      </w:r>
    </w:p>
    <w:p w14:paraId="43D3B520">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.3.3 单价合同的计量</w:t>
      </w:r>
    </w:p>
    <w:p w14:paraId="1B18D361">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color w:val="auto"/>
          <w:sz w:val="21"/>
          <w:szCs w:val="21"/>
          <w:highlight w:val="none"/>
        </w:rPr>
        <w:t>关于单价合同计量的约定：</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1）计量的范围与要求</w:t>
      </w:r>
    </w:p>
    <w:p w14:paraId="130DE6AC">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①只能对工程量清单、变更工程、计日工等合同规定支付的项目计量，此范围以外的不得进行计量；</w:t>
      </w:r>
    </w:p>
    <w:p w14:paraId="5AD7BE17">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②计量必须严格按合同规定的方法、范围、内容、单位进行；</w:t>
      </w:r>
    </w:p>
    <w:p w14:paraId="3F861A66">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③工程质量未经检验或检验不合格的，不得计量；因承包人原因造成返工的工程量不予计量；</w:t>
      </w:r>
    </w:p>
    <w:p w14:paraId="138CA8DB">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④无论一般的和当地的习惯如何，除合同中另有规定，工程的计量应以净值为准。因此，属于承包人超出设计图纸范围的工程量不予计量；</w:t>
      </w:r>
    </w:p>
    <w:p w14:paraId="308F0D4D">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⑤按合同</w:t>
      </w:r>
      <w:r>
        <w:rPr>
          <w:rFonts w:ascii="宋体" w:hAnsi="宋体" w:eastAsia="宋体" w:cs="Times New Roman"/>
          <w:bCs/>
          <w:color w:val="auto"/>
          <w:sz w:val="21"/>
          <w:szCs w:val="21"/>
          <w:highlight w:val="none"/>
          <w:u w:val="single"/>
        </w:rPr>
        <w:t>5.3[ 隐蔽工程检查]、13.1[分部分项工程验收]条款的约定需计量的中间部位、隐蔽工程、拆除工程。</w:t>
      </w:r>
    </w:p>
    <w:p w14:paraId="3FE9F3EF">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2）单价合同的计量</w:t>
      </w:r>
      <w:r>
        <w:rPr>
          <w:rFonts w:hint="eastAsia" w:ascii="宋体" w:hAnsi="宋体" w:eastAsia="宋体" w:cs="Times New Roman"/>
          <w:bCs/>
          <w:color w:val="auto"/>
          <w:sz w:val="21"/>
          <w:szCs w:val="21"/>
          <w:highlight w:val="none"/>
          <w:u w:val="single"/>
        </w:rPr>
        <w:t>方法</w:t>
      </w:r>
    </w:p>
    <w:p w14:paraId="17FA861F">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①已标价工程量清单中的单价子目工程量为估算工程量。结算工程量是以竣工结算审计结论为准的承包人实际完成的，并按合同约定的计量方法进行计量的工程量</w:t>
      </w:r>
      <w:r>
        <w:rPr>
          <w:rFonts w:ascii="宋体" w:hAnsi="宋体" w:eastAsia="宋体" w:cs="Times New Roman"/>
          <w:bCs/>
          <w:color w:val="auto"/>
          <w:sz w:val="21"/>
          <w:szCs w:val="21"/>
          <w:highlight w:val="none"/>
          <w:u w:val="single"/>
        </w:rPr>
        <w:t xml:space="preserve"> 。</w:t>
      </w:r>
    </w:p>
    <w:p w14:paraId="2104797C">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②承包人对已完成的工程进行计量，向</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提交进度付款申请单、已完成工程量报表和有关计量资料。</w:t>
      </w:r>
    </w:p>
    <w:p w14:paraId="1F6626D0">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③</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对承包人提交的工程量报表进行复核，以确定实际完成的估算工程量。对数量有异议的，可要求承包人按合同条款约定进行共同复核和抽样复测。承包人应协助</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进行复核并按</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要求提供补充计量资料。承包人未按</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要求参加复核，</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复核或修正的工程量视为承包人实际完成的估算工程量。</w:t>
      </w:r>
    </w:p>
    <w:p w14:paraId="7ADA7108">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④</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认为有必要时，可通知承包人共同进行联合测量、计量，承包人应遵照执行。</w:t>
      </w:r>
    </w:p>
    <w:p w14:paraId="3243CE6B">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⑤承包人完成工程量清单中每个子目的工程量后，</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应要求承包人派员共同对每个子目的历次计量报表进行汇总，以核实最终结算工程量。</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可要求承包人提供补充计量资料，以确定最后一次进度付款的准确工程量。承包人未按</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要求派员参加的，</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最终核实的工程量视为承包人完成该子目的估算工程量。</w:t>
      </w:r>
    </w:p>
    <w:p w14:paraId="76D206A7">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⑥</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应在收到承包人提交的工程量报表后的</w:t>
      </w:r>
      <w:r>
        <w:rPr>
          <w:rFonts w:ascii="宋体" w:hAnsi="宋体" w:eastAsia="宋体" w:cs="Times New Roman"/>
          <w:bCs/>
          <w:color w:val="auto"/>
          <w:sz w:val="21"/>
          <w:szCs w:val="21"/>
          <w:highlight w:val="none"/>
          <w:u w:val="single"/>
        </w:rPr>
        <w:t>7天内进行复核，</w:t>
      </w:r>
      <w:r>
        <w:rPr>
          <w:rFonts w:hint="eastAsia" w:ascii="宋体" w:hAnsi="宋体" w:eastAsia="宋体" w:cs="Times New Roman"/>
          <w:bCs/>
          <w:color w:val="auto"/>
          <w:sz w:val="21"/>
          <w:szCs w:val="21"/>
          <w:highlight w:val="none"/>
          <w:u w:val="single"/>
          <w:lang w:eastAsia="zh-CN"/>
        </w:rPr>
        <w:t>发包人</w:t>
      </w:r>
      <w:r>
        <w:rPr>
          <w:rFonts w:ascii="宋体" w:hAnsi="宋体" w:eastAsia="宋体" w:cs="Times New Roman"/>
          <w:bCs/>
          <w:color w:val="auto"/>
          <w:sz w:val="21"/>
          <w:szCs w:val="21"/>
          <w:highlight w:val="none"/>
          <w:u w:val="single"/>
        </w:rPr>
        <w:t>未在约定时间内复核的，承包人提交的工程量报表中的工程量视为</w:t>
      </w:r>
      <w:r>
        <w:rPr>
          <w:rFonts w:hint="eastAsia" w:ascii="宋体" w:hAnsi="宋体" w:eastAsia="宋体" w:cs="Times New Roman"/>
          <w:bCs/>
          <w:color w:val="auto"/>
          <w:sz w:val="21"/>
          <w:szCs w:val="21"/>
          <w:highlight w:val="none"/>
          <w:u w:val="single"/>
        </w:rPr>
        <w:t>承包人实际完成的估算工程量，据此计算工程进度款。</w:t>
      </w:r>
    </w:p>
    <w:p w14:paraId="6A48AA63">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⑦承包人未在已标价工程量清单中填入单价或总额价的工程子目，将被认为其已包含在本合同的其他子目的单价和总额价中，发包人将不另行支付。</w:t>
      </w:r>
    </w:p>
    <w:p w14:paraId="09968175">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⑧</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、发包人所确认的工程量只是支付进度款的依据，不能作为竣工结算时承包人实际完成的工程量的依据，结算工程量以竣工结算的审计结论为准</w:t>
      </w:r>
      <w:r>
        <w:rPr>
          <w:rFonts w:ascii="宋体" w:hAnsi="宋体" w:eastAsia="宋体" w:cs="Times New Roman"/>
          <w:color w:val="auto"/>
          <w:sz w:val="21"/>
          <w:szCs w:val="21"/>
          <w:highlight w:val="none"/>
        </w:rPr>
        <w:t>。</w:t>
      </w:r>
    </w:p>
    <w:p w14:paraId="6C7F60AB">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.3.4 总价合同的计量</w:t>
      </w:r>
    </w:p>
    <w:p w14:paraId="2FA5408A">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关于总价合同计量的约定：</w:t>
      </w:r>
      <w:r>
        <w:rPr>
          <w:rFonts w:hint="eastAsia" w:ascii="宋体" w:hAnsi="宋体" w:eastAsia="宋体" w:cs="Times New Roman"/>
          <w:bCs/>
          <w:color w:val="auto"/>
          <w:sz w:val="21"/>
          <w:szCs w:val="21"/>
          <w:highlight w:val="none"/>
          <w:u w:val="single"/>
        </w:rPr>
        <w:t>不采用</w:t>
      </w:r>
      <w:r>
        <w:rPr>
          <w:rFonts w:ascii="宋体" w:hAnsi="宋体" w:eastAsia="宋体" w:cs="Times New Roman"/>
          <w:color w:val="auto"/>
          <w:sz w:val="21"/>
          <w:szCs w:val="21"/>
          <w:highlight w:val="none"/>
        </w:rPr>
        <w:t>。</w:t>
      </w:r>
    </w:p>
    <w:p w14:paraId="3CD76283">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.3.5总价合同采用支付分解表计量支付的，是否适用第</w:t>
      </w:r>
      <w:r>
        <w:rPr>
          <w:rFonts w:ascii="宋体" w:hAnsi="宋体" w:eastAsia="宋体" w:cs="Times New Roman"/>
          <w:color w:val="auto"/>
          <w:kern w:val="0"/>
          <w:sz w:val="21"/>
          <w:szCs w:val="21"/>
          <w:highlight w:val="none"/>
        </w:rPr>
        <w:t xml:space="preserve">12.3.4 </w:t>
      </w:r>
      <w:r>
        <w:rPr>
          <w:rFonts w:ascii="宋体" w:hAnsi="宋体" w:eastAsia="宋体" w:cs="Times New Roman"/>
          <w:color w:val="auto"/>
          <w:sz w:val="21"/>
          <w:szCs w:val="21"/>
          <w:highlight w:val="none"/>
        </w:rPr>
        <w:t>项</w:t>
      </w: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总价合同的计量</w:t>
      </w:r>
      <w:r>
        <w:rPr>
          <w:rFonts w:hint="eastAsia" w:ascii="宋体" w:hAnsi="宋体" w:eastAsia="宋体" w:cs="Times New Roman"/>
          <w:color w:val="auto"/>
          <w:kern w:val="0"/>
          <w:sz w:val="21"/>
          <w:szCs w:val="21"/>
          <w:highlight w:val="none"/>
        </w:rPr>
        <w:t>〕</w:t>
      </w:r>
      <w:r>
        <w:rPr>
          <w:rFonts w:ascii="宋体" w:hAnsi="宋体" w:eastAsia="宋体" w:cs="Times New Roman"/>
          <w:color w:val="auto"/>
          <w:sz w:val="21"/>
          <w:szCs w:val="21"/>
          <w:highlight w:val="none"/>
        </w:rPr>
        <w:t>约定</w:t>
      </w:r>
      <w:r>
        <w:rPr>
          <w:rFonts w:hint="eastAsia" w:ascii="宋体" w:hAnsi="宋体" w:eastAsia="宋体" w:cs="Times New Roman"/>
          <w:color w:val="auto"/>
          <w:sz w:val="21"/>
          <w:szCs w:val="21"/>
          <w:highlight w:val="none"/>
        </w:rPr>
        <w:t>进行计量：</w:t>
      </w:r>
      <w:r>
        <w:rPr>
          <w:rFonts w:hint="eastAsia" w:ascii="宋体" w:hAnsi="宋体" w:eastAsia="宋体" w:cs="Times New Roman"/>
          <w:bCs/>
          <w:color w:val="auto"/>
          <w:sz w:val="21"/>
          <w:szCs w:val="21"/>
          <w:highlight w:val="none"/>
          <w:u w:val="single"/>
        </w:rPr>
        <w:t>不采用</w:t>
      </w:r>
      <w:r>
        <w:rPr>
          <w:rFonts w:ascii="宋体" w:hAnsi="宋体" w:eastAsia="宋体" w:cs="Times New Roman"/>
          <w:color w:val="auto"/>
          <w:sz w:val="21"/>
          <w:szCs w:val="21"/>
          <w:highlight w:val="none"/>
        </w:rPr>
        <w:t>。</w:t>
      </w:r>
    </w:p>
    <w:p w14:paraId="7D5FF4B5">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.3.6 其他价格形式合同的计量</w:t>
      </w:r>
    </w:p>
    <w:p w14:paraId="5D724F76">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其他价格形式的计量方式和程序：</w:t>
      </w:r>
      <w:r>
        <w:rPr>
          <w:rFonts w:hint="eastAsia" w:ascii="宋体" w:hAnsi="宋体" w:eastAsia="宋体" w:cs="Times New Roman"/>
          <w:bCs/>
          <w:color w:val="auto"/>
          <w:sz w:val="21"/>
          <w:szCs w:val="21"/>
          <w:highlight w:val="none"/>
          <w:u w:val="single"/>
        </w:rPr>
        <w:t>不采用</w:t>
      </w:r>
      <w:r>
        <w:rPr>
          <w:rFonts w:ascii="宋体" w:hAnsi="宋体" w:eastAsia="宋体" w:cs="Times New Roman"/>
          <w:color w:val="auto"/>
          <w:sz w:val="21"/>
          <w:szCs w:val="21"/>
          <w:highlight w:val="none"/>
        </w:rPr>
        <w:t>。</w:t>
      </w:r>
    </w:p>
    <w:p w14:paraId="20F660B6">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1</w:t>
      </w:r>
      <w:r>
        <w:rPr>
          <w:rFonts w:ascii="Calibri" w:hAnsi="Calibri" w:eastAsia="黑体" w:cs="Times New Roman"/>
          <w:color w:val="auto"/>
          <w:sz w:val="24"/>
          <w:szCs w:val="24"/>
          <w:highlight w:val="none"/>
        </w:rPr>
        <w:t>.4 工程进度款支付</w:t>
      </w:r>
      <w:r>
        <w:rPr>
          <w:rFonts w:hint="eastAsia" w:ascii="Calibri" w:hAnsi="Calibri" w:eastAsia="黑体" w:cs="Times New Roman"/>
          <w:color w:val="auto"/>
          <w:sz w:val="24"/>
          <w:szCs w:val="24"/>
          <w:highlight w:val="none"/>
        </w:rPr>
        <w:t>（如有）</w:t>
      </w:r>
    </w:p>
    <w:p w14:paraId="69531B6A">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.4.1 付款周期</w:t>
      </w:r>
    </w:p>
    <w:p w14:paraId="54C6CAD4">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color w:val="auto"/>
          <w:sz w:val="21"/>
          <w:szCs w:val="21"/>
          <w:highlight w:val="none"/>
        </w:rPr>
        <w:t>关于付款周期的约定：</w:t>
      </w:r>
      <w:r>
        <w:rPr>
          <w:rFonts w:hint="eastAsia" w:ascii="宋体" w:hAnsi="宋体" w:eastAsia="宋体" w:cs="Times New Roman"/>
          <w:bCs/>
          <w:color w:val="auto"/>
          <w:sz w:val="21"/>
          <w:szCs w:val="21"/>
          <w:highlight w:val="none"/>
          <w:u w:val="single"/>
        </w:rPr>
        <w:t>双方约定本工程按照以下工程款</w:t>
      </w:r>
      <w:r>
        <w:rPr>
          <w:rFonts w:ascii="宋体" w:hAnsi="宋体" w:eastAsia="宋体" w:cs="Times New Roman"/>
          <w:bCs/>
          <w:color w:val="auto"/>
          <w:sz w:val="21"/>
          <w:szCs w:val="21"/>
          <w:highlight w:val="none"/>
          <w:u w:val="single"/>
        </w:rPr>
        <w:t>(进度款)支付的方式和时间执行：</w:t>
      </w:r>
    </w:p>
    <w:p w14:paraId="3F596043">
      <w:pPr>
        <w:spacing w:line="360" w:lineRule="auto"/>
        <w:ind w:firstLine="422" w:firstLineChars="200"/>
        <w:jc w:val="left"/>
        <w:rPr>
          <w:rFonts w:hint="eastAsia" w:ascii="宋体" w:hAnsi="宋体" w:eastAsia="宋体" w:cs="Times New Roman"/>
          <w:b/>
          <w:strike/>
          <w:color w:val="auto"/>
          <w:sz w:val="21"/>
          <w:szCs w:val="21"/>
          <w:highlight w:val="none"/>
          <w:u w:val="single"/>
        </w:rPr>
      </w:pPr>
      <w:r>
        <w:rPr>
          <w:rFonts w:hint="eastAsia" w:ascii="宋体" w:hAnsi="宋体" w:eastAsia="宋体" w:cs="Times New Roman"/>
          <w:b/>
          <w:color w:val="auto"/>
          <w:sz w:val="21"/>
          <w:szCs w:val="21"/>
          <w:highlight w:val="none"/>
          <w:u w:val="single"/>
        </w:rPr>
        <w:t>工程按实际完成工程量支付，</w:t>
      </w:r>
      <w:r>
        <w:rPr>
          <w:rFonts w:hint="eastAsia" w:ascii="宋体" w:hAnsi="宋体" w:eastAsia="宋体" w:cs="Times New Roman"/>
          <w:b/>
          <w:color w:val="auto"/>
          <w:sz w:val="21"/>
          <w:szCs w:val="21"/>
          <w:highlight w:val="none"/>
          <w:u w:val="single"/>
          <w:lang w:val="en-US" w:eastAsia="zh-CN"/>
        </w:rPr>
        <w:t>护坡完成后</w:t>
      </w:r>
      <w:r>
        <w:rPr>
          <w:rFonts w:hint="eastAsia" w:ascii="宋体" w:hAnsi="宋体" w:eastAsia="宋体" w:cs="Times New Roman"/>
          <w:b/>
          <w:color w:val="auto"/>
          <w:sz w:val="21"/>
          <w:szCs w:val="21"/>
          <w:highlight w:val="none"/>
          <w:u w:val="single"/>
        </w:rPr>
        <w:t>，可向发包人提交合同价的50%付款申请，经发包人检查合格后支付。工程施工结束验收合格后，承包人汇款结算价3%作为质量保修金至发包人指定账户，发包人支付至结算价的100%，</w:t>
      </w:r>
      <w:r>
        <w:rPr>
          <w:rFonts w:ascii="宋体" w:hAnsi="宋体" w:eastAsia="宋体" w:cs="Times New Roman"/>
          <w:b/>
          <w:color w:val="auto"/>
          <w:sz w:val="21"/>
          <w:szCs w:val="21"/>
          <w:highlight w:val="none"/>
          <w:u w:val="single"/>
        </w:rPr>
        <w:t>供应商须同意接受项目延伸审计</w:t>
      </w:r>
      <w:r>
        <w:rPr>
          <w:rFonts w:hint="eastAsia" w:ascii="宋体" w:hAnsi="宋体" w:eastAsia="宋体" w:cs="Times New Roman"/>
          <w:b/>
          <w:color w:val="auto"/>
          <w:sz w:val="21"/>
          <w:szCs w:val="21"/>
          <w:highlight w:val="none"/>
          <w:u w:val="single"/>
          <w:lang w:eastAsia="zh-CN"/>
        </w:rPr>
        <w:t>，</w:t>
      </w:r>
      <w:r>
        <w:rPr>
          <w:rFonts w:ascii="宋体" w:hAnsi="宋体" w:eastAsia="宋体" w:cs="Times New Roman"/>
          <w:b/>
          <w:color w:val="auto"/>
          <w:sz w:val="21"/>
          <w:szCs w:val="21"/>
          <w:highlight w:val="none"/>
          <w:u w:val="single"/>
        </w:rPr>
        <w:t>以审计结论作为工程价款最终结算的依据，</w:t>
      </w:r>
      <w:r>
        <w:rPr>
          <w:rFonts w:hint="eastAsia" w:ascii="宋体" w:hAnsi="宋体" w:eastAsia="宋体" w:cs="Times New Roman"/>
          <w:b/>
          <w:color w:val="auto"/>
          <w:sz w:val="21"/>
          <w:szCs w:val="21"/>
          <w:highlight w:val="none"/>
          <w:u w:val="single"/>
        </w:rPr>
        <w:t>审计结束后，发包人支付剩余款项 (承包人需提供审计价3%的质量保证金及全额发票），约定的缺陷责任期(工程质量保修期)满，退还</w:t>
      </w:r>
      <w:r>
        <w:rPr>
          <w:rFonts w:ascii="宋体" w:hAnsi="宋体" w:eastAsia="宋体" w:cs="Times New Roman"/>
          <w:b/>
          <w:color w:val="auto"/>
          <w:sz w:val="21"/>
          <w:szCs w:val="21"/>
          <w:highlight w:val="none"/>
          <w:u w:val="single"/>
        </w:rPr>
        <w:t>3</w:t>
      </w:r>
      <w:r>
        <w:rPr>
          <w:rFonts w:hint="eastAsia" w:ascii="宋体" w:hAnsi="宋体" w:eastAsia="宋体" w:cs="Times New Roman"/>
          <w:b/>
          <w:color w:val="auto"/>
          <w:sz w:val="21"/>
          <w:szCs w:val="21"/>
          <w:highlight w:val="none"/>
          <w:u w:val="single"/>
        </w:rPr>
        <w:t>%质量保证金</w:t>
      </w:r>
      <w:r>
        <w:rPr>
          <w:rFonts w:ascii="宋体" w:hAnsi="宋体" w:eastAsia="宋体" w:cs="Times New Roman"/>
          <w:b/>
          <w:color w:val="auto"/>
          <w:sz w:val="21"/>
          <w:szCs w:val="21"/>
          <w:highlight w:val="none"/>
          <w:u w:val="single"/>
        </w:rPr>
        <w:t>。</w:t>
      </w:r>
    </w:p>
    <w:p w14:paraId="4362AC8C">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.4.2 进度付款申请单的编制</w:t>
      </w:r>
    </w:p>
    <w:p w14:paraId="5C4288FB">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关于进度付款申请单编制的约定：</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59E95B4D">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.4.3 进度付款申请单的提交</w:t>
      </w:r>
    </w:p>
    <w:p w14:paraId="7917571C">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（1）单价合同进度付款申请单提交的约定</w:t>
      </w:r>
      <w:r>
        <w:rPr>
          <w:rFonts w:hint="eastAsia" w:ascii="宋体" w:hAnsi="宋体" w:eastAsia="宋体" w:cs="Times New Roman"/>
          <w:color w:val="auto"/>
          <w:sz w:val="21"/>
          <w:szCs w:val="21"/>
          <w:highlight w:val="none"/>
        </w:rPr>
        <w:t>：</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222DA51E">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（2）总价合同进度付款申请单提交的约定</w:t>
      </w:r>
      <w:r>
        <w:rPr>
          <w:rFonts w:hint="eastAsia" w:ascii="宋体" w:hAnsi="宋体" w:eastAsia="宋体" w:cs="Times New Roman"/>
          <w:color w:val="auto"/>
          <w:sz w:val="21"/>
          <w:szCs w:val="21"/>
          <w:highlight w:val="none"/>
        </w:rPr>
        <w:t>：</w:t>
      </w:r>
      <w:r>
        <w:rPr>
          <w:rFonts w:hint="eastAsia" w:ascii="宋体" w:hAnsi="宋体" w:eastAsia="宋体" w:cs="Times New Roman"/>
          <w:bCs/>
          <w:color w:val="auto"/>
          <w:sz w:val="21"/>
          <w:szCs w:val="21"/>
          <w:highlight w:val="none"/>
          <w:u w:val="single"/>
        </w:rPr>
        <w:t>不采用</w:t>
      </w:r>
      <w:r>
        <w:rPr>
          <w:rFonts w:ascii="宋体" w:hAnsi="宋体" w:eastAsia="宋体" w:cs="Times New Roman"/>
          <w:color w:val="auto"/>
          <w:sz w:val="21"/>
          <w:szCs w:val="21"/>
          <w:highlight w:val="none"/>
        </w:rPr>
        <w:t>。</w:t>
      </w:r>
    </w:p>
    <w:p w14:paraId="57EA9F90">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（3）其他价格形式合同进度付款申请单提交的约定：</w:t>
      </w:r>
      <w:r>
        <w:rPr>
          <w:rFonts w:hint="eastAsia" w:ascii="宋体" w:hAnsi="宋体" w:eastAsia="宋体" w:cs="Times New Roman"/>
          <w:bCs/>
          <w:color w:val="auto"/>
          <w:sz w:val="21"/>
          <w:szCs w:val="21"/>
          <w:highlight w:val="none"/>
          <w:u w:val="single"/>
        </w:rPr>
        <w:t>不采用</w:t>
      </w:r>
      <w:r>
        <w:rPr>
          <w:rFonts w:ascii="宋体" w:hAnsi="宋体" w:eastAsia="宋体" w:cs="Times New Roman"/>
          <w:color w:val="auto"/>
          <w:sz w:val="21"/>
          <w:szCs w:val="21"/>
          <w:highlight w:val="none"/>
        </w:rPr>
        <w:t>。</w:t>
      </w:r>
    </w:p>
    <w:p w14:paraId="67F2CD1A">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.4.4 进度款审核和支付</w:t>
      </w:r>
    </w:p>
    <w:p w14:paraId="7D316302">
      <w:pPr>
        <w:spacing w:line="360" w:lineRule="auto"/>
        <w:ind w:firstLine="420" w:firstLineChars="200"/>
        <w:jc w:val="left"/>
        <w:rPr>
          <w:rFonts w:hint="eastAsia"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eastAsia="zh-CN"/>
        </w:rPr>
        <w:t>发包人</w:t>
      </w:r>
      <w:r>
        <w:rPr>
          <w:rFonts w:ascii="宋体" w:hAnsi="宋体" w:eastAsia="宋体" w:cs="Times New Roman"/>
          <w:color w:val="auto"/>
          <w:sz w:val="21"/>
          <w:szCs w:val="21"/>
          <w:highlight w:val="none"/>
        </w:rPr>
        <w:t>审查并报送发包人的期限：</w:t>
      </w:r>
      <w:r>
        <w:rPr>
          <w:rFonts w:ascii="宋体" w:hAnsi="宋体" w:eastAsia="宋体" w:cs="Times New Roman"/>
          <w:bCs/>
          <w:color w:val="auto"/>
          <w:sz w:val="21"/>
          <w:szCs w:val="21"/>
          <w:highlight w:val="none"/>
          <w:u w:val="single"/>
        </w:rPr>
        <w:t>7天内</w:t>
      </w:r>
      <w:r>
        <w:rPr>
          <w:rFonts w:ascii="宋体" w:hAnsi="宋体" w:eastAsia="宋体" w:cs="Times New Roman"/>
          <w:color w:val="auto"/>
          <w:sz w:val="21"/>
          <w:szCs w:val="21"/>
          <w:highlight w:val="none"/>
        </w:rPr>
        <w:t>。</w:t>
      </w:r>
    </w:p>
    <w:p w14:paraId="79879273">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发包人完成审批并签发进度款支付证书的期限：</w:t>
      </w:r>
      <w:r>
        <w:rPr>
          <w:rFonts w:hint="eastAsia" w:ascii="宋体" w:hAnsi="宋体" w:eastAsia="宋体" w:cs="Times New Roman"/>
          <w:bCs/>
          <w:color w:val="auto"/>
          <w:sz w:val="21"/>
          <w:szCs w:val="21"/>
          <w:highlight w:val="none"/>
          <w:u w:val="single"/>
          <w:lang w:eastAsia="zh-CN"/>
        </w:rPr>
        <w:t>5</w:t>
      </w:r>
      <w:r>
        <w:rPr>
          <w:rFonts w:ascii="宋体" w:hAnsi="宋体" w:eastAsia="宋体" w:cs="Times New Roman"/>
          <w:bCs/>
          <w:color w:val="auto"/>
          <w:sz w:val="21"/>
          <w:szCs w:val="21"/>
          <w:highlight w:val="none"/>
          <w:u w:val="single"/>
        </w:rPr>
        <w:t>天内</w:t>
      </w:r>
      <w:r>
        <w:rPr>
          <w:rFonts w:ascii="宋体" w:hAnsi="宋体" w:eastAsia="宋体" w:cs="Times New Roman"/>
          <w:color w:val="auto"/>
          <w:sz w:val="21"/>
          <w:szCs w:val="21"/>
          <w:highlight w:val="none"/>
        </w:rPr>
        <w:t>。</w:t>
      </w:r>
    </w:p>
    <w:p w14:paraId="1DFC58F3">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（2）发包人支付进度款的期限：</w:t>
      </w:r>
      <w:r>
        <w:rPr>
          <w:rFonts w:ascii="宋体" w:hAnsi="宋体" w:eastAsia="宋体" w:cs="Times New Roman"/>
          <w:bCs/>
          <w:color w:val="auto"/>
          <w:sz w:val="21"/>
          <w:szCs w:val="21"/>
          <w:highlight w:val="none"/>
          <w:u w:val="single"/>
        </w:rPr>
        <w:t>14天内</w:t>
      </w:r>
      <w:r>
        <w:rPr>
          <w:rFonts w:ascii="宋体" w:hAnsi="宋体" w:eastAsia="宋体" w:cs="Times New Roman"/>
          <w:color w:val="auto"/>
          <w:sz w:val="21"/>
          <w:szCs w:val="21"/>
          <w:highlight w:val="none"/>
        </w:rPr>
        <w:t>。</w:t>
      </w:r>
    </w:p>
    <w:p w14:paraId="20208205">
      <w:pPr>
        <w:spacing w:line="360" w:lineRule="auto"/>
        <w:ind w:firstLine="525" w:firstLineChars="25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发包人逾期支付进度款的违约金的计算方式：</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104821D3">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.4.</w:t>
      </w:r>
      <w:r>
        <w:rPr>
          <w:rFonts w:hint="eastAsia" w:ascii="宋体" w:hAnsi="宋体" w:eastAsia="宋体" w:cs="Times New Roman"/>
          <w:color w:val="auto"/>
          <w:sz w:val="21"/>
          <w:szCs w:val="21"/>
          <w:highlight w:val="none"/>
        </w:rPr>
        <w:t>5</w:t>
      </w:r>
      <w:r>
        <w:rPr>
          <w:rFonts w:ascii="宋体" w:hAnsi="宋体" w:eastAsia="宋体" w:cs="Times New Roman"/>
          <w:color w:val="auto"/>
          <w:sz w:val="21"/>
          <w:szCs w:val="21"/>
          <w:highlight w:val="none"/>
        </w:rPr>
        <w:t xml:space="preserve"> 支付分解表的编制</w:t>
      </w:r>
    </w:p>
    <w:p w14:paraId="52B0500F">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w:t>
      </w:r>
      <w:r>
        <w:rPr>
          <w:rFonts w:ascii="宋体" w:hAnsi="宋体" w:eastAsia="宋体" w:cs="Times New Roman"/>
          <w:color w:val="auto"/>
          <w:sz w:val="21"/>
          <w:szCs w:val="21"/>
          <w:highlight w:val="none"/>
        </w:rPr>
        <w:t>总价合同支付分解表的编制与审批：</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29F5959A">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w:t>
      </w:r>
      <w:r>
        <w:rPr>
          <w:rFonts w:ascii="宋体" w:hAnsi="宋体" w:eastAsia="宋体" w:cs="Times New Roman"/>
          <w:color w:val="auto"/>
          <w:sz w:val="21"/>
          <w:szCs w:val="21"/>
          <w:highlight w:val="none"/>
        </w:rPr>
        <w:t>单价合同的总价项目支付分解表的编制与审批：</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0A4A08EE">
      <w:pPr>
        <w:keepNext/>
        <w:keepLines/>
        <w:spacing w:before="120" w:after="120" w:line="360" w:lineRule="auto"/>
        <w:ind w:firstLine="562"/>
        <w:outlineLvl w:val="3"/>
        <w:rPr>
          <w:rFonts w:ascii="Calibri" w:hAnsi="Calibri" w:eastAsia="黑体" w:cs="Times New Roman"/>
          <w:color w:val="auto"/>
          <w:sz w:val="28"/>
          <w:highlight w:val="none"/>
        </w:rPr>
      </w:pPr>
      <w:r>
        <w:rPr>
          <w:rFonts w:ascii="Calibri" w:hAnsi="Calibri" w:eastAsia="黑体" w:cs="Times New Roman"/>
          <w:color w:val="auto"/>
          <w:sz w:val="28"/>
          <w:highlight w:val="none"/>
        </w:rPr>
        <w:t>1</w:t>
      </w:r>
      <w:r>
        <w:rPr>
          <w:rFonts w:hint="eastAsia" w:ascii="Calibri" w:hAnsi="Calibri" w:eastAsia="黑体" w:cs="Times New Roman"/>
          <w:color w:val="auto"/>
          <w:sz w:val="28"/>
          <w:highlight w:val="none"/>
          <w:lang w:val="en-US" w:eastAsia="zh-CN"/>
        </w:rPr>
        <w:t>2</w:t>
      </w:r>
      <w:r>
        <w:rPr>
          <w:rFonts w:ascii="Calibri" w:hAnsi="Calibri" w:eastAsia="黑体" w:cs="Times New Roman"/>
          <w:color w:val="auto"/>
          <w:sz w:val="28"/>
          <w:highlight w:val="none"/>
        </w:rPr>
        <w:t>.</w:t>
      </w:r>
      <w:r>
        <w:rPr>
          <w:rFonts w:hint="eastAsia" w:ascii="Calibri" w:hAnsi="Calibri" w:eastAsia="黑体" w:cs="Times New Roman"/>
          <w:color w:val="auto"/>
          <w:sz w:val="28"/>
          <w:highlight w:val="none"/>
        </w:rPr>
        <w:t xml:space="preserve"> </w:t>
      </w:r>
      <w:r>
        <w:rPr>
          <w:rFonts w:ascii="Calibri" w:hAnsi="Calibri" w:eastAsia="黑体" w:cs="Times New Roman"/>
          <w:color w:val="auto"/>
          <w:sz w:val="28"/>
          <w:highlight w:val="none"/>
        </w:rPr>
        <w:t>验收</w:t>
      </w:r>
    </w:p>
    <w:p w14:paraId="23C5E1BC">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2</w:t>
      </w:r>
      <w:r>
        <w:rPr>
          <w:rFonts w:ascii="Calibri" w:hAnsi="Calibri" w:eastAsia="黑体" w:cs="Times New Roman"/>
          <w:color w:val="auto"/>
          <w:sz w:val="24"/>
          <w:szCs w:val="24"/>
          <w:highlight w:val="none"/>
        </w:rPr>
        <w:t>.1 分部分项工程验收</w:t>
      </w:r>
    </w:p>
    <w:p w14:paraId="7CE1FFA2">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2</w:t>
      </w: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eastAsia="zh-CN"/>
        </w:rPr>
        <w:t>发包人</w:t>
      </w:r>
      <w:r>
        <w:rPr>
          <w:rFonts w:ascii="宋体" w:hAnsi="宋体" w:eastAsia="宋体" w:cs="Times New Roman"/>
          <w:color w:val="auto"/>
          <w:sz w:val="21"/>
          <w:szCs w:val="21"/>
          <w:highlight w:val="none"/>
        </w:rPr>
        <w:t>不能按时进行验收时，应提前</w:t>
      </w:r>
      <w:r>
        <w:rPr>
          <w:rFonts w:ascii="宋体" w:hAnsi="宋体" w:eastAsia="宋体" w:cs="Times New Roman"/>
          <w:bCs/>
          <w:color w:val="auto"/>
          <w:sz w:val="21"/>
          <w:szCs w:val="21"/>
          <w:highlight w:val="none"/>
          <w:u w:val="single"/>
        </w:rPr>
        <w:t>24</w:t>
      </w:r>
      <w:r>
        <w:rPr>
          <w:rFonts w:ascii="宋体" w:hAnsi="宋体" w:eastAsia="宋体" w:cs="Times New Roman"/>
          <w:color w:val="auto"/>
          <w:sz w:val="21"/>
          <w:szCs w:val="21"/>
          <w:highlight w:val="none"/>
        </w:rPr>
        <w:t>小时提交书面延期要求。</w:t>
      </w:r>
    </w:p>
    <w:p w14:paraId="17F61352">
      <w:pPr>
        <w:spacing w:line="360" w:lineRule="auto"/>
        <w:ind w:firstLine="420" w:firstLineChars="200"/>
        <w:jc w:val="left"/>
        <w:rPr>
          <w:rFonts w:hint="eastAsia" w:ascii="宋体" w:hAnsi="宋体" w:eastAsia="宋体" w:cs="Times New Roman"/>
          <w:b/>
          <w:color w:val="auto"/>
          <w:sz w:val="21"/>
          <w:szCs w:val="21"/>
          <w:highlight w:val="none"/>
        </w:rPr>
      </w:pPr>
      <w:r>
        <w:rPr>
          <w:rFonts w:ascii="宋体" w:hAnsi="宋体" w:eastAsia="宋体" w:cs="Times New Roman"/>
          <w:color w:val="auto"/>
          <w:sz w:val="21"/>
          <w:szCs w:val="21"/>
          <w:highlight w:val="none"/>
        </w:rPr>
        <w:t>关于延期最长不得超过：</w:t>
      </w:r>
      <w:r>
        <w:rPr>
          <w:rFonts w:ascii="宋体" w:hAnsi="宋体" w:eastAsia="宋体" w:cs="Times New Roman"/>
          <w:bCs/>
          <w:color w:val="auto"/>
          <w:sz w:val="21"/>
          <w:szCs w:val="21"/>
          <w:highlight w:val="none"/>
          <w:u w:val="single"/>
        </w:rPr>
        <w:t>48</w:t>
      </w:r>
      <w:r>
        <w:rPr>
          <w:rFonts w:ascii="宋体" w:hAnsi="宋体" w:eastAsia="宋体" w:cs="Times New Roman"/>
          <w:color w:val="auto"/>
          <w:sz w:val="21"/>
          <w:szCs w:val="21"/>
          <w:highlight w:val="none"/>
        </w:rPr>
        <w:t>小时。</w:t>
      </w:r>
    </w:p>
    <w:p w14:paraId="01592CF3">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2</w:t>
      </w:r>
      <w:r>
        <w:rPr>
          <w:rFonts w:ascii="Calibri" w:hAnsi="Calibri" w:eastAsia="黑体" w:cs="Times New Roman"/>
          <w:color w:val="auto"/>
          <w:sz w:val="24"/>
          <w:szCs w:val="24"/>
          <w:highlight w:val="none"/>
        </w:rPr>
        <w:t>.2 竣工验收</w:t>
      </w:r>
    </w:p>
    <w:p w14:paraId="60C14587">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2</w:t>
      </w:r>
      <w:r>
        <w:rPr>
          <w:rFonts w:ascii="宋体" w:hAnsi="宋体" w:eastAsia="宋体" w:cs="Times New Roman"/>
          <w:color w:val="auto"/>
          <w:sz w:val="21"/>
          <w:szCs w:val="21"/>
          <w:highlight w:val="none"/>
        </w:rPr>
        <w:t>.2.</w:t>
      </w:r>
      <w:r>
        <w:rPr>
          <w:rFonts w:hint="eastAsia" w:ascii="宋体" w:hAnsi="宋体" w:eastAsia="宋体" w:cs="Times New Roman"/>
          <w:color w:val="auto"/>
          <w:sz w:val="21"/>
          <w:szCs w:val="21"/>
          <w:highlight w:val="none"/>
        </w:rPr>
        <w:t>1</w:t>
      </w:r>
      <w:r>
        <w:rPr>
          <w:rFonts w:ascii="宋体" w:hAnsi="宋体" w:eastAsia="宋体" w:cs="Times New Roman"/>
          <w:color w:val="auto"/>
          <w:sz w:val="21"/>
          <w:szCs w:val="21"/>
          <w:highlight w:val="none"/>
        </w:rPr>
        <w:t>竣工验收程序</w:t>
      </w:r>
    </w:p>
    <w:p w14:paraId="2445DD2C">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color w:val="auto"/>
          <w:kern w:val="0"/>
          <w:sz w:val="21"/>
          <w:szCs w:val="21"/>
          <w:highlight w:val="none"/>
        </w:rPr>
        <w:t>关于竣工验收程序的约定：</w:t>
      </w:r>
      <w:r>
        <w:rPr>
          <w:rFonts w:hint="eastAsia" w:ascii="宋体" w:hAnsi="宋体" w:eastAsia="宋体" w:cs="Times New Roman"/>
          <w:bCs/>
          <w:color w:val="auto"/>
          <w:sz w:val="21"/>
          <w:szCs w:val="21"/>
          <w:highlight w:val="none"/>
          <w:u w:val="single"/>
        </w:rPr>
        <w:t>按通用条款执行，并符合下列要求：</w:t>
      </w:r>
    </w:p>
    <w:p w14:paraId="3FC4CE62">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bCs/>
          <w:color w:val="auto"/>
          <w:sz w:val="21"/>
          <w:szCs w:val="21"/>
          <w:highlight w:val="none"/>
          <w:u w:val="single"/>
        </w:rPr>
        <w:t>1</w:t>
      </w:r>
      <w:r>
        <w:rPr>
          <w:rFonts w:hint="eastAsia" w:ascii="宋体" w:hAnsi="宋体" w:eastAsia="宋体" w:cs="Times New Roman"/>
          <w:bCs/>
          <w:color w:val="auto"/>
          <w:sz w:val="21"/>
          <w:szCs w:val="21"/>
          <w:highlight w:val="none"/>
          <w:u w:val="single"/>
        </w:rPr>
        <w:t xml:space="preserve">. </w:t>
      </w:r>
      <w:r>
        <w:rPr>
          <w:rFonts w:ascii="宋体" w:hAnsi="宋体" w:eastAsia="宋体" w:cs="Times New Roman"/>
          <w:bCs/>
          <w:color w:val="auto"/>
          <w:sz w:val="21"/>
          <w:szCs w:val="21"/>
          <w:highlight w:val="none"/>
          <w:u w:val="single"/>
        </w:rPr>
        <w:t>竣工验收按照承包人自评、设计单位认可、发包人验收的流程进行。工程完工后，承包人通过自检认为达到竣工验收条件时，应按国家关于工程竣工有关规定，向发包人提供完整的竣工档案资料、竣工验收报告等满足竣工验收的资料。</w:t>
      </w:r>
    </w:p>
    <w:p w14:paraId="2EEF4C07">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bCs/>
          <w:color w:val="auto"/>
          <w:sz w:val="21"/>
          <w:szCs w:val="21"/>
          <w:highlight w:val="none"/>
          <w:u w:val="single"/>
        </w:rPr>
        <w:t>2</w:t>
      </w:r>
      <w:r>
        <w:rPr>
          <w:rFonts w:hint="eastAsia" w:ascii="宋体" w:hAnsi="宋体" w:eastAsia="宋体" w:cs="Times New Roman"/>
          <w:bCs/>
          <w:color w:val="auto"/>
          <w:sz w:val="21"/>
          <w:szCs w:val="21"/>
          <w:highlight w:val="none"/>
          <w:u w:val="single"/>
        </w:rPr>
        <w:t xml:space="preserve">. </w:t>
      </w:r>
      <w:r>
        <w:rPr>
          <w:rFonts w:ascii="宋体" w:hAnsi="宋体" w:eastAsia="宋体" w:cs="Times New Roman"/>
          <w:bCs/>
          <w:color w:val="auto"/>
          <w:sz w:val="21"/>
          <w:szCs w:val="21"/>
          <w:highlight w:val="none"/>
          <w:u w:val="single"/>
        </w:rPr>
        <w:t>发包人收到上述资料后15个工作日内组织有关部门进行全面验收。若承包人提供的验收资料不全或不符合规定要求，则验收顺延，责任由承包人承担。发包人组织验收后，在一周内给予批准或提出修改意见。若初次验收未通过，承包人应按发包人所提修改意见进行整改并承担整改费</w:t>
      </w:r>
      <w:r>
        <w:rPr>
          <w:rFonts w:hint="eastAsia" w:ascii="宋体" w:hAnsi="宋体" w:eastAsia="宋体" w:cs="Times New Roman"/>
          <w:bCs/>
          <w:color w:val="auto"/>
          <w:sz w:val="21"/>
          <w:szCs w:val="21"/>
          <w:highlight w:val="none"/>
          <w:u w:val="single"/>
        </w:rPr>
        <w:t>用，完成后再次申报。</w:t>
      </w:r>
    </w:p>
    <w:p w14:paraId="65B2F1C2">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bCs/>
          <w:color w:val="auto"/>
          <w:sz w:val="21"/>
          <w:szCs w:val="21"/>
          <w:highlight w:val="none"/>
          <w:u w:val="single"/>
        </w:rPr>
        <w:t>3</w:t>
      </w:r>
      <w:r>
        <w:rPr>
          <w:rFonts w:hint="eastAsia" w:ascii="宋体" w:hAnsi="宋体" w:eastAsia="宋体" w:cs="Times New Roman"/>
          <w:bCs/>
          <w:color w:val="auto"/>
          <w:sz w:val="21"/>
          <w:szCs w:val="21"/>
          <w:highlight w:val="none"/>
          <w:u w:val="single"/>
        </w:rPr>
        <w:t xml:space="preserve">. </w:t>
      </w:r>
      <w:r>
        <w:rPr>
          <w:rFonts w:ascii="宋体" w:hAnsi="宋体" w:eastAsia="宋体" w:cs="Times New Roman"/>
          <w:bCs/>
          <w:color w:val="auto"/>
          <w:sz w:val="21"/>
          <w:szCs w:val="21"/>
          <w:highlight w:val="none"/>
          <w:u w:val="single"/>
        </w:rPr>
        <w:t>承包人提供竣工图的约定：</w:t>
      </w:r>
      <w:r>
        <w:rPr>
          <w:rFonts w:hint="eastAsia" w:ascii="宋体" w:hAnsi="宋体" w:eastAsia="宋体" w:cs="Times New Roman"/>
          <w:bCs/>
          <w:color w:val="auto"/>
          <w:sz w:val="21"/>
          <w:szCs w:val="21"/>
          <w:highlight w:val="none"/>
          <w:u w:val="single"/>
        </w:rPr>
        <w:t>工程竣工验收合格之日起30日内提供能够反映各类变更和工程实际情况的竣工图叁套，包含电子稿</w:t>
      </w:r>
      <w:r>
        <w:rPr>
          <w:rFonts w:ascii="宋体" w:hAnsi="宋体" w:eastAsia="宋体" w:cs="Times New Roman"/>
          <w:bCs/>
          <w:color w:val="auto"/>
          <w:sz w:val="21"/>
          <w:szCs w:val="21"/>
          <w:highlight w:val="none"/>
          <w:u w:val="single"/>
        </w:rPr>
        <w:t>。</w:t>
      </w:r>
    </w:p>
    <w:p w14:paraId="419918A1">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bCs/>
          <w:color w:val="auto"/>
          <w:sz w:val="21"/>
          <w:szCs w:val="21"/>
          <w:highlight w:val="none"/>
          <w:u w:val="single"/>
        </w:rPr>
        <w:t>4</w:t>
      </w:r>
      <w:r>
        <w:rPr>
          <w:rFonts w:hint="eastAsia" w:ascii="宋体" w:hAnsi="宋体" w:eastAsia="宋体" w:cs="Times New Roman"/>
          <w:bCs/>
          <w:color w:val="auto"/>
          <w:sz w:val="21"/>
          <w:szCs w:val="21"/>
          <w:highlight w:val="none"/>
          <w:u w:val="single"/>
        </w:rPr>
        <w:t xml:space="preserve">. </w:t>
      </w:r>
      <w:r>
        <w:rPr>
          <w:rFonts w:ascii="宋体" w:hAnsi="宋体" w:eastAsia="宋体" w:cs="Times New Roman"/>
          <w:bCs/>
          <w:color w:val="auto"/>
          <w:sz w:val="21"/>
          <w:szCs w:val="21"/>
          <w:highlight w:val="none"/>
          <w:u w:val="single"/>
        </w:rPr>
        <w:t>竣工交付使用的过程必须符合下列要求：</w:t>
      </w:r>
    </w:p>
    <w:p w14:paraId="0018B8D8">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仿宋" w:hAnsi="仿宋" w:eastAsia="仿宋" w:cs="Times New Roman"/>
          <w:bCs/>
          <w:color w:val="auto"/>
          <w:sz w:val="21"/>
          <w:szCs w:val="21"/>
          <w:highlight w:val="none"/>
          <w:u w:val="single"/>
        </w:rPr>
        <w:t>①</w:t>
      </w:r>
      <w:r>
        <w:rPr>
          <w:rFonts w:ascii="宋体" w:hAnsi="宋体" w:eastAsia="宋体" w:cs="Times New Roman"/>
          <w:bCs/>
          <w:color w:val="auto"/>
          <w:sz w:val="21"/>
          <w:szCs w:val="21"/>
          <w:highlight w:val="none"/>
          <w:u w:val="single"/>
        </w:rPr>
        <w:t>完成设计图和施工合同规定的工作内容，达到国家规定的竣工验收条件。工程质量应符合国家现行的有关法律、法规、技术标准、设计文件及合同规定的要求。</w:t>
      </w:r>
    </w:p>
    <w:p w14:paraId="107458F6">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仿宋" w:hAnsi="仿宋" w:eastAsia="仿宋" w:cs="Times New Roman"/>
          <w:bCs/>
          <w:color w:val="auto"/>
          <w:sz w:val="21"/>
          <w:szCs w:val="21"/>
          <w:highlight w:val="none"/>
          <w:u w:val="single"/>
        </w:rPr>
        <w:t>②</w:t>
      </w:r>
      <w:r>
        <w:rPr>
          <w:rFonts w:ascii="宋体" w:hAnsi="宋体" w:eastAsia="宋体" w:cs="Times New Roman"/>
          <w:bCs/>
          <w:color w:val="auto"/>
          <w:sz w:val="21"/>
          <w:szCs w:val="21"/>
          <w:highlight w:val="none"/>
          <w:u w:val="single"/>
        </w:rPr>
        <w:t>工程所用的设备和主材料、构配件具有产品质量</w:t>
      </w:r>
      <w:r>
        <w:rPr>
          <w:rFonts w:hint="eastAsia" w:ascii="宋体" w:hAnsi="宋体" w:eastAsia="宋体" w:cs="Times New Roman"/>
          <w:bCs/>
          <w:color w:val="auto"/>
          <w:sz w:val="21"/>
          <w:szCs w:val="21"/>
          <w:highlight w:val="none"/>
          <w:u w:val="single"/>
          <w:lang w:eastAsia="zh-CN"/>
        </w:rPr>
        <w:t>出厂</w:t>
      </w:r>
      <w:r>
        <w:rPr>
          <w:rFonts w:ascii="宋体" w:hAnsi="宋体" w:eastAsia="宋体" w:cs="Times New Roman"/>
          <w:bCs/>
          <w:color w:val="auto"/>
          <w:sz w:val="21"/>
          <w:szCs w:val="21"/>
          <w:highlight w:val="none"/>
          <w:u w:val="single"/>
        </w:rPr>
        <w:t>检验</w:t>
      </w:r>
      <w:r>
        <w:rPr>
          <w:rFonts w:hint="eastAsia" w:ascii="宋体" w:hAnsi="宋体" w:eastAsia="宋体" w:cs="Times New Roman"/>
          <w:bCs/>
          <w:color w:val="auto"/>
          <w:sz w:val="21"/>
          <w:szCs w:val="21"/>
          <w:highlight w:val="none"/>
          <w:u w:val="single"/>
        </w:rPr>
        <w:t>合格证明、技术标准、必要的进场试验报告，并达到相应的验收标准。</w:t>
      </w:r>
    </w:p>
    <w:p w14:paraId="378452D9">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仿宋" w:hAnsi="仿宋" w:eastAsia="仿宋" w:cs="Times New Roman"/>
          <w:bCs/>
          <w:color w:val="auto"/>
          <w:sz w:val="21"/>
          <w:szCs w:val="21"/>
          <w:highlight w:val="none"/>
          <w:u w:val="single"/>
        </w:rPr>
        <w:t>③</w:t>
      </w:r>
      <w:r>
        <w:rPr>
          <w:rFonts w:ascii="宋体" w:hAnsi="宋体" w:eastAsia="宋体" w:cs="Times New Roman"/>
          <w:bCs/>
          <w:color w:val="auto"/>
          <w:sz w:val="21"/>
          <w:szCs w:val="21"/>
          <w:highlight w:val="none"/>
          <w:u w:val="single"/>
        </w:rPr>
        <w:t>具有完整的工程技术档案和</w:t>
      </w:r>
      <w:r>
        <w:rPr>
          <w:rFonts w:hint="eastAsia" w:ascii="宋体" w:hAnsi="宋体" w:eastAsia="宋体" w:cs="Times New Roman"/>
          <w:bCs/>
          <w:color w:val="auto"/>
          <w:sz w:val="21"/>
          <w:szCs w:val="21"/>
          <w:highlight w:val="none"/>
          <w:u w:val="single"/>
        </w:rPr>
        <w:t>竣工图</w:t>
      </w:r>
      <w:r>
        <w:rPr>
          <w:rFonts w:ascii="宋体" w:hAnsi="宋体" w:eastAsia="宋体" w:cs="Times New Roman"/>
          <w:bCs/>
          <w:color w:val="auto"/>
          <w:sz w:val="21"/>
          <w:szCs w:val="21"/>
          <w:highlight w:val="none"/>
          <w:u w:val="single"/>
        </w:rPr>
        <w:t>，已办理工程竣工交付使用的有关手续。</w:t>
      </w:r>
    </w:p>
    <w:p w14:paraId="52610CEA">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④</w:t>
      </w:r>
      <w:r>
        <w:rPr>
          <w:rFonts w:ascii="宋体" w:hAnsi="宋体" w:eastAsia="宋体" w:cs="Times New Roman"/>
          <w:bCs/>
          <w:color w:val="auto"/>
          <w:sz w:val="21"/>
          <w:szCs w:val="21"/>
          <w:highlight w:val="none"/>
          <w:u w:val="single"/>
        </w:rPr>
        <w:t>已签署工程保修书。</w:t>
      </w:r>
    </w:p>
    <w:p w14:paraId="7652A9AD">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⑤</w:t>
      </w:r>
      <w:r>
        <w:rPr>
          <w:rFonts w:ascii="宋体" w:hAnsi="宋体" w:eastAsia="宋体" w:cs="Times New Roman"/>
          <w:bCs/>
          <w:color w:val="auto"/>
          <w:sz w:val="21"/>
          <w:szCs w:val="21"/>
          <w:highlight w:val="none"/>
          <w:u w:val="single"/>
        </w:rPr>
        <w:t>工程竣工验收一次性通过，承包人送交竣工验收报告的日期为实际竣工日期。工程首次验收</w:t>
      </w:r>
      <w:r>
        <w:rPr>
          <w:rFonts w:hint="eastAsia" w:ascii="宋体" w:hAnsi="宋体" w:eastAsia="宋体" w:cs="Times New Roman"/>
          <w:bCs/>
          <w:color w:val="auto"/>
          <w:sz w:val="21"/>
          <w:szCs w:val="21"/>
          <w:highlight w:val="none"/>
          <w:u w:val="single"/>
        </w:rPr>
        <w:t>未通过</w:t>
      </w:r>
      <w:r>
        <w:rPr>
          <w:rFonts w:ascii="宋体" w:hAnsi="宋体" w:eastAsia="宋体" w:cs="Times New Roman"/>
          <w:bCs/>
          <w:color w:val="auto"/>
          <w:sz w:val="21"/>
          <w:szCs w:val="21"/>
          <w:highlight w:val="none"/>
          <w:u w:val="single"/>
        </w:rPr>
        <w:t>，实际竣工日期为承包人整改后</w:t>
      </w:r>
      <w:r>
        <w:rPr>
          <w:rFonts w:hint="eastAsia" w:ascii="宋体" w:hAnsi="宋体" w:eastAsia="宋体" w:cs="Times New Roman"/>
          <w:bCs/>
          <w:color w:val="auto"/>
          <w:sz w:val="21"/>
          <w:szCs w:val="21"/>
          <w:highlight w:val="none"/>
          <w:u w:val="single"/>
        </w:rPr>
        <w:t>再次验收合格之日</w:t>
      </w:r>
      <w:r>
        <w:rPr>
          <w:rFonts w:ascii="宋体" w:hAnsi="宋体" w:eastAsia="宋体" w:cs="Times New Roman"/>
          <w:bCs/>
          <w:color w:val="auto"/>
          <w:sz w:val="21"/>
          <w:szCs w:val="21"/>
          <w:highlight w:val="none"/>
          <w:u w:val="single"/>
        </w:rPr>
        <w:t>。</w:t>
      </w:r>
    </w:p>
    <w:p w14:paraId="1DFC1A3B">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发包人不按照本项约定组织竣工验收、颁发工程接收证书的违约金的计算方法：</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1081934A">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2</w:t>
      </w:r>
      <w:r>
        <w:rPr>
          <w:rFonts w:ascii="宋体" w:hAnsi="宋体" w:eastAsia="宋体" w:cs="Times New Roman"/>
          <w:color w:val="auto"/>
          <w:sz w:val="21"/>
          <w:szCs w:val="21"/>
          <w:highlight w:val="none"/>
        </w:rPr>
        <w:t>.2.</w:t>
      </w:r>
      <w:r>
        <w:rPr>
          <w:rFonts w:hint="eastAsia" w:ascii="宋体" w:hAnsi="宋体" w:eastAsia="宋体" w:cs="Times New Roman"/>
          <w:color w:val="auto"/>
          <w:sz w:val="21"/>
          <w:szCs w:val="21"/>
          <w:highlight w:val="none"/>
        </w:rPr>
        <w:t>2</w:t>
      </w:r>
      <w:r>
        <w:rPr>
          <w:rFonts w:ascii="宋体" w:hAnsi="宋体" w:eastAsia="宋体" w:cs="Times New Roman"/>
          <w:color w:val="auto"/>
          <w:sz w:val="21"/>
          <w:szCs w:val="21"/>
          <w:highlight w:val="none"/>
        </w:rPr>
        <w:t>移交、接收全部与部分工程</w:t>
      </w:r>
    </w:p>
    <w:p w14:paraId="48B695B9">
      <w:pPr>
        <w:spacing w:line="360" w:lineRule="auto"/>
        <w:ind w:firstLine="420" w:firstLineChars="200"/>
        <w:jc w:val="left"/>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承包人向发包人移交工程的期限：</w:t>
      </w:r>
      <w:r>
        <w:rPr>
          <w:rFonts w:hint="eastAsia" w:ascii="宋体" w:hAnsi="宋体" w:eastAsia="宋体" w:cs="Times New Roman"/>
          <w:bCs/>
          <w:color w:val="auto"/>
          <w:sz w:val="21"/>
          <w:szCs w:val="21"/>
          <w:highlight w:val="none"/>
          <w:u w:val="single"/>
        </w:rPr>
        <w:t>按照发包人要求，或竣工验收合格后</w:t>
      </w:r>
      <w:r>
        <w:rPr>
          <w:rFonts w:ascii="宋体" w:hAnsi="宋体" w:eastAsia="宋体" w:cs="Times New Roman"/>
          <w:bCs/>
          <w:color w:val="auto"/>
          <w:sz w:val="21"/>
          <w:szCs w:val="21"/>
          <w:highlight w:val="none"/>
          <w:u w:val="single"/>
        </w:rPr>
        <w:t>28天内</w:t>
      </w:r>
      <w:r>
        <w:rPr>
          <w:rFonts w:hint="eastAsia" w:ascii="宋体" w:hAnsi="宋体" w:eastAsia="宋体" w:cs="Times New Roman"/>
          <w:color w:val="auto"/>
          <w:sz w:val="21"/>
          <w:szCs w:val="21"/>
          <w:highlight w:val="none"/>
        </w:rPr>
        <w:t>。</w:t>
      </w:r>
    </w:p>
    <w:p w14:paraId="503CB5CD">
      <w:pPr>
        <w:spacing w:line="360" w:lineRule="auto"/>
        <w:ind w:firstLine="420" w:firstLineChars="200"/>
        <w:jc w:val="left"/>
        <w:rPr>
          <w:rFonts w:hint="eastAsia" w:ascii="宋体" w:hAnsi="宋体" w:eastAsia="宋体" w:cs="Times New Roman"/>
          <w:color w:val="auto"/>
          <w:sz w:val="21"/>
          <w:szCs w:val="21"/>
          <w:highlight w:val="none"/>
          <w:u w:val="single"/>
        </w:rPr>
      </w:pPr>
      <w:r>
        <w:rPr>
          <w:rFonts w:ascii="宋体" w:hAnsi="宋体" w:eastAsia="宋体" w:cs="Times New Roman"/>
          <w:color w:val="auto"/>
          <w:kern w:val="0"/>
          <w:sz w:val="21"/>
          <w:szCs w:val="21"/>
          <w:highlight w:val="none"/>
        </w:rPr>
        <w:t>发包人未按本合同约定接收全部或部分工程的，违约金的计算方法为：</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37CD0FCB">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承包人未按时移交工程的，违约金的计算方法为：</w:t>
      </w:r>
      <w:r>
        <w:rPr>
          <w:rFonts w:hint="eastAsia" w:ascii="宋体" w:hAnsi="宋体" w:eastAsia="宋体" w:cs="Times New Roman"/>
          <w:bCs/>
          <w:color w:val="auto"/>
          <w:sz w:val="21"/>
          <w:szCs w:val="21"/>
          <w:highlight w:val="none"/>
          <w:u w:val="single"/>
        </w:rPr>
        <w:t>按</w:t>
      </w:r>
      <w:r>
        <w:rPr>
          <w:rFonts w:ascii="宋体" w:hAnsi="宋体" w:eastAsia="宋体" w:cs="Times New Roman"/>
          <w:bCs/>
          <w:color w:val="auto"/>
          <w:sz w:val="21"/>
          <w:szCs w:val="21"/>
          <w:highlight w:val="none"/>
          <w:u w:val="single"/>
        </w:rPr>
        <w:t>2000元/天支付违约金</w:t>
      </w:r>
      <w:r>
        <w:rPr>
          <w:rFonts w:ascii="宋体" w:hAnsi="宋体" w:eastAsia="宋体" w:cs="Times New Roman"/>
          <w:color w:val="auto"/>
          <w:sz w:val="21"/>
          <w:szCs w:val="21"/>
          <w:highlight w:val="none"/>
        </w:rPr>
        <w:t>。</w:t>
      </w:r>
    </w:p>
    <w:p w14:paraId="130CDBBC">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2</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lang w:val="en-US" w:eastAsia="zh-CN"/>
        </w:rPr>
        <w:t>3</w:t>
      </w:r>
      <w:r>
        <w:rPr>
          <w:rFonts w:ascii="Calibri" w:hAnsi="Calibri" w:eastAsia="黑体" w:cs="Times New Roman"/>
          <w:color w:val="auto"/>
          <w:sz w:val="24"/>
          <w:szCs w:val="24"/>
          <w:highlight w:val="none"/>
        </w:rPr>
        <w:t xml:space="preserve"> 竣工退场</w:t>
      </w:r>
    </w:p>
    <w:p w14:paraId="0C777044">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1</w:t>
      </w:r>
      <w:r>
        <w:rPr>
          <w:rFonts w:hint="eastAsia" w:ascii="宋体" w:hAnsi="宋体" w:eastAsia="宋体" w:cs="Times New Roman"/>
          <w:color w:val="auto"/>
          <w:kern w:val="0"/>
          <w:sz w:val="21"/>
          <w:szCs w:val="21"/>
          <w:highlight w:val="none"/>
          <w:lang w:val="en-US" w:eastAsia="zh-CN"/>
        </w:rPr>
        <w:t>2</w:t>
      </w:r>
      <w:r>
        <w:rPr>
          <w:rFonts w:ascii="宋体" w:hAnsi="宋体" w:eastAsia="宋体" w:cs="Times New Roman"/>
          <w:color w:val="auto"/>
          <w:kern w:val="0"/>
          <w:sz w:val="21"/>
          <w:szCs w:val="21"/>
          <w:highlight w:val="none"/>
        </w:rPr>
        <w:t>.</w:t>
      </w:r>
      <w:r>
        <w:rPr>
          <w:rFonts w:hint="eastAsia" w:ascii="宋体" w:hAnsi="宋体" w:eastAsia="宋体" w:cs="Times New Roman"/>
          <w:color w:val="auto"/>
          <w:kern w:val="0"/>
          <w:sz w:val="21"/>
          <w:szCs w:val="21"/>
          <w:highlight w:val="none"/>
        </w:rPr>
        <w:t>4</w:t>
      </w:r>
      <w:r>
        <w:rPr>
          <w:rFonts w:ascii="宋体" w:hAnsi="宋体" w:eastAsia="宋体" w:cs="Times New Roman"/>
          <w:color w:val="auto"/>
          <w:kern w:val="0"/>
          <w:sz w:val="21"/>
          <w:szCs w:val="21"/>
          <w:highlight w:val="none"/>
        </w:rPr>
        <w:t>.1 竣工退场</w:t>
      </w:r>
    </w:p>
    <w:p w14:paraId="3C74DAFC">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承包人完成竣工退场的期限：</w:t>
      </w:r>
      <w:r>
        <w:rPr>
          <w:rFonts w:hint="eastAsia" w:ascii="宋体" w:hAnsi="宋体" w:eastAsia="宋体" w:cs="Times New Roman"/>
          <w:bCs/>
          <w:color w:val="auto"/>
          <w:sz w:val="21"/>
          <w:szCs w:val="21"/>
          <w:highlight w:val="none"/>
          <w:u w:val="single"/>
        </w:rPr>
        <w:t>发包人颁发工程接收证书后</w:t>
      </w:r>
      <w:r>
        <w:rPr>
          <w:rFonts w:ascii="宋体" w:hAnsi="宋体" w:eastAsia="宋体" w:cs="Times New Roman"/>
          <w:bCs/>
          <w:color w:val="auto"/>
          <w:sz w:val="21"/>
          <w:szCs w:val="21"/>
          <w:highlight w:val="none"/>
          <w:u w:val="single"/>
        </w:rPr>
        <w:t>30天内</w:t>
      </w:r>
      <w:r>
        <w:rPr>
          <w:rFonts w:ascii="宋体" w:hAnsi="宋体" w:eastAsia="宋体" w:cs="Times New Roman"/>
          <w:color w:val="auto"/>
          <w:kern w:val="0"/>
          <w:sz w:val="21"/>
          <w:szCs w:val="21"/>
          <w:highlight w:val="none"/>
        </w:rPr>
        <w:t>。</w:t>
      </w:r>
    </w:p>
    <w:p w14:paraId="21EF7106">
      <w:pPr>
        <w:keepNext/>
        <w:keepLines/>
        <w:spacing w:before="120" w:after="120" w:line="360" w:lineRule="auto"/>
        <w:ind w:firstLine="562"/>
        <w:outlineLvl w:val="3"/>
        <w:rPr>
          <w:rFonts w:ascii="Calibri" w:hAnsi="Calibri" w:eastAsia="黑体" w:cs="Times New Roman"/>
          <w:color w:val="auto"/>
          <w:sz w:val="28"/>
          <w:highlight w:val="none"/>
        </w:rPr>
      </w:pPr>
      <w:r>
        <w:rPr>
          <w:rFonts w:ascii="Calibri" w:hAnsi="Calibri" w:eastAsia="黑体" w:cs="Times New Roman"/>
          <w:color w:val="auto"/>
          <w:sz w:val="28"/>
          <w:highlight w:val="none"/>
        </w:rPr>
        <w:t>1</w:t>
      </w:r>
      <w:r>
        <w:rPr>
          <w:rFonts w:hint="eastAsia" w:ascii="Calibri" w:hAnsi="Calibri" w:eastAsia="黑体" w:cs="Times New Roman"/>
          <w:color w:val="auto"/>
          <w:sz w:val="28"/>
          <w:highlight w:val="none"/>
          <w:lang w:val="en-US" w:eastAsia="zh-CN"/>
        </w:rPr>
        <w:t>3</w:t>
      </w:r>
      <w:r>
        <w:rPr>
          <w:rFonts w:ascii="Calibri" w:hAnsi="Calibri" w:eastAsia="黑体" w:cs="Times New Roman"/>
          <w:color w:val="auto"/>
          <w:sz w:val="28"/>
          <w:highlight w:val="none"/>
        </w:rPr>
        <w:t>. 竣工结算</w:t>
      </w:r>
    </w:p>
    <w:p w14:paraId="7369A76F">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3</w:t>
      </w:r>
      <w:r>
        <w:rPr>
          <w:rFonts w:ascii="Calibri" w:hAnsi="Calibri" w:eastAsia="黑体" w:cs="Times New Roman"/>
          <w:color w:val="auto"/>
          <w:sz w:val="24"/>
          <w:szCs w:val="24"/>
          <w:highlight w:val="none"/>
        </w:rPr>
        <w:t>.1 竣工付款申请</w:t>
      </w:r>
    </w:p>
    <w:p w14:paraId="11D31475">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承包人提交竣工付款申请单的期限：</w:t>
      </w:r>
      <w:r>
        <w:rPr>
          <w:rFonts w:hint="eastAsia" w:ascii="宋体" w:hAnsi="宋体" w:eastAsia="宋体" w:cs="Times New Roman"/>
          <w:bCs/>
          <w:color w:val="auto"/>
          <w:sz w:val="21"/>
          <w:szCs w:val="21"/>
          <w:highlight w:val="none"/>
          <w:u w:val="single"/>
        </w:rPr>
        <w:t>竣工验收合格且承包人向发包人移交工程后</w:t>
      </w:r>
      <w:r>
        <w:rPr>
          <w:rFonts w:ascii="宋体" w:hAnsi="宋体" w:eastAsia="宋体" w:cs="Times New Roman"/>
          <w:bCs/>
          <w:color w:val="auto"/>
          <w:sz w:val="21"/>
          <w:szCs w:val="21"/>
          <w:highlight w:val="none"/>
          <w:u w:val="single"/>
        </w:rPr>
        <w:t>28天内</w:t>
      </w:r>
      <w:r>
        <w:rPr>
          <w:rFonts w:ascii="宋体" w:hAnsi="宋体" w:eastAsia="宋体" w:cs="Times New Roman"/>
          <w:color w:val="auto"/>
          <w:sz w:val="21"/>
          <w:szCs w:val="21"/>
          <w:highlight w:val="none"/>
        </w:rPr>
        <w:t>。</w:t>
      </w:r>
    </w:p>
    <w:p w14:paraId="5BB6C81D">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color w:val="auto"/>
          <w:sz w:val="21"/>
          <w:szCs w:val="21"/>
          <w:highlight w:val="none"/>
        </w:rPr>
        <w:t>竣工付款申请单应包括的内容：</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1）竣工结算书原件、工程量计算书。</w:t>
      </w:r>
    </w:p>
    <w:p w14:paraId="3A1C92D0">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2）施工合同</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中标通知书复印件。</w:t>
      </w:r>
    </w:p>
    <w:p w14:paraId="3BE0468E">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3）</w:t>
      </w:r>
      <w:r>
        <w:rPr>
          <w:rFonts w:hint="eastAsia" w:ascii="宋体" w:hAnsi="宋体" w:eastAsia="宋体" w:cs="Times New Roman"/>
          <w:bCs/>
          <w:color w:val="auto"/>
          <w:sz w:val="21"/>
          <w:szCs w:val="21"/>
          <w:highlight w:val="none"/>
          <w:u w:val="single"/>
        </w:rPr>
        <w:t>采购文件</w:t>
      </w:r>
      <w:r>
        <w:rPr>
          <w:rFonts w:ascii="宋体" w:hAnsi="宋体" w:eastAsia="宋体" w:cs="Times New Roman"/>
          <w:bCs/>
          <w:color w:val="auto"/>
          <w:sz w:val="21"/>
          <w:szCs w:val="21"/>
          <w:highlight w:val="none"/>
          <w:u w:val="single"/>
        </w:rPr>
        <w:t>、招标答疑、投标文件。</w:t>
      </w:r>
    </w:p>
    <w:p w14:paraId="2705105D">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4）竣工图纸；</w:t>
      </w:r>
    </w:p>
    <w:p w14:paraId="37911A3B">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5）竣工资料原件（包括开竣工报告、分部分项工程验收记录以及材料检测等资料，经</w:t>
      </w:r>
      <w:r>
        <w:rPr>
          <w:rFonts w:hint="eastAsia" w:ascii="宋体" w:hAnsi="宋体" w:eastAsia="宋体" w:cs="Times New Roman"/>
          <w:bCs/>
          <w:color w:val="auto"/>
          <w:sz w:val="21"/>
          <w:szCs w:val="21"/>
          <w:highlight w:val="none"/>
          <w:u w:val="single"/>
          <w:lang w:val="en-US" w:eastAsia="zh-CN"/>
        </w:rPr>
        <w:t>发包人</w:t>
      </w:r>
      <w:r>
        <w:rPr>
          <w:rFonts w:ascii="宋体" w:hAnsi="宋体" w:eastAsia="宋体" w:cs="Times New Roman"/>
          <w:bCs/>
          <w:color w:val="auto"/>
          <w:sz w:val="21"/>
          <w:szCs w:val="21"/>
          <w:highlight w:val="none"/>
          <w:u w:val="single"/>
        </w:rPr>
        <w:t>核查装订成册，拟报档案管存档的资料）；</w:t>
      </w:r>
    </w:p>
    <w:p w14:paraId="1FAE7F47">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6）设计变更、工程签证、图纸会审、会议纪要等结算资料；</w:t>
      </w:r>
    </w:p>
    <w:p w14:paraId="3CE69137">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7）电子文件（包括投标报价、竣工结算书、施工图纸等）；</w:t>
      </w:r>
    </w:p>
    <w:p w14:paraId="7FE1F743">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8）甲供材料结算单、水电费结算单（如有）</w:t>
      </w:r>
      <w:r>
        <w:rPr>
          <w:rFonts w:ascii="宋体" w:hAnsi="宋体" w:eastAsia="宋体" w:cs="Times New Roman"/>
          <w:color w:val="auto"/>
          <w:sz w:val="21"/>
          <w:szCs w:val="21"/>
          <w:highlight w:val="none"/>
        </w:rPr>
        <w:t>。</w:t>
      </w:r>
    </w:p>
    <w:p w14:paraId="5D18AC4D">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3</w:t>
      </w:r>
      <w:r>
        <w:rPr>
          <w:rFonts w:ascii="Calibri" w:hAnsi="Calibri" w:eastAsia="黑体" w:cs="Times New Roman"/>
          <w:color w:val="auto"/>
          <w:sz w:val="24"/>
          <w:szCs w:val="24"/>
          <w:highlight w:val="none"/>
        </w:rPr>
        <w:t>.2 竣工结算审核</w:t>
      </w:r>
    </w:p>
    <w:p w14:paraId="69079831">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w:t>
      </w:r>
      <w:r>
        <w:rPr>
          <w:rFonts w:hint="eastAsia" w:ascii="宋体" w:hAnsi="宋体" w:eastAsia="宋体" w:cs="Times New Roman"/>
          <w:color w:val="auto"/>
          <w:sz w:val="21"/>
          <w:szCs w:val="21"/>
          <w:highlight w:val="none"/>
        </w:rPr>
        <w:t>审批</w:t>
      </w:r>
      <w:r>
        <w:rPr>
          <w:rFonts w:ascii="宋体" w:hAnsi="宋体" w:eastAsia="宋体" w:cs="Times New Roman"/>
          <w:color w:val="auto"/>
          <w:sz w:val="21"/>
          <w:szCs w:val="21"/>
          <w:highlight w:val="none"/>
        </w:rPr>
        <w:t>竣工付款申请单的期限：</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42DDCA4A">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发包人完成竣工付款的期限：</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57D56D7B">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关于竣工付款证书异议部分复核的方式和程序：</w:t>
      </w:r>
      <w:r>
        <w:rPr>
          <w:rFonts w:hint="eastAsia" w:ascii="宋体" w:hAnsi="宋体" w:eastAsia="宋体" w:cs="Times New Roman"/>
          <w:bCs/>
          <w:color w:val="auto"/>
          <w:sz w:val="21"/>
          <w:szCs w:val="21"/>
          <w:highlight w:val="none"/>
          <w:u w:val="single"/>
        </w:rPr>
        <w:t>经发包人指定机构审核，</w:t>
      </w:r>
      <w:r>
        <w:rPr>
          <w:rFonts w:ascii="宋体" w:hAnsi="宋体" w:eastAsia="宋体" w:cs="Times New Roman"/>
          <w:bCs/>
          <w:color w:val="auto"/>
          <w:sz w:val="21"/>
          <w:szCs w:val="21"/>
          <w:highlight w:val="none"/>
          <w:u w:val="single"/>
        </w:rPr>
        <w:t>若核减率低于</w:t>
      </w:r>
      <w:r>
        <w:rPr>
          <w:rFonts w:hint="eastAsia" w:ascii="宋体" w:hAnsi="宋体" w:eastAsia="宋体" w:cs="Times New Roman"/>
          <w:bCs/>
          <w:color w:val="auto"/>
          <w:sz w:val="21"/>
          <w:szCs w:val="21"/>
          <w:highlight w:val="none"/>
          <w:u w:val="single"/>
        </w:rPr>
        <w:t>8</w:t>
      </w:r>
      <w:r>
        <w:rPr>
          <w:rFonts w:ascii="宋体" w:hAnsi="宋体" w:eastAsia="宋体" w:cs="Times New Roman"/>
          <w:bCs/>
          <w:color w:val="auto"/>
          <w:sz w:val="21"/>
          <w:szCs w:val="21"/>
          <w:highlight w:val="none"/>
          <w:u w:val="single"/>
        </w:rPr>
        <w:t>%（不含</w:t>
      </w:r>
      <w:r>
        <w:rPr>
          <w:rFonts w:hint="eastAsia" w:ascii="宋体" w:hAnsi="宋体" w:eastAsia="宋体" w:cs="Times New Roman"/>
          <w:bCs/>
          <w:color w:val="auto"/>
          <w:sz w:val="21"/>
          <w:szCs w:val="21"/>
          <w:highlight w:val="none"/>
          <w:u w:val="single"/>
        </w:rPr>
        <w:t>8</w:t>
      </w:r>
      <w:r>
        <w:rPr>
          <w:rFonts w:ascii="宋体" w:hAnsi="宋体" w:eastAsia="宋体" w:cs="Times New Roman"/>
          <w:bCs/>
          <w:color w:val="auto"/>
          <w:sz w:val="21"/>
          <w:szCs w:val="21"/>
          <w:highlight w:val="none"/>
          <w:u w:val="single"/>
        </w:rPr>
        <w:t>%）时，全额审计费由发包人支付</w:t>
      </w:r>
      <w:r>
        <w:rPr>
          <w:rFonts w:hint="eastAsia" w:ascii="宋体" w:hAnsi="宋体" w:eastAsia="宋体" w:cs="Times New Roman"/>
          <w:bCs/>
          <w:color w:val="auto"/>
          <w:sz w:val="21"/>
          <w:szCs w:val="21"/>
          <w:highlight w:val="none"/>
          <w:u w:val="single"/>
        </w:rPr>
        <w:t>；若核减率超过8</w:t>
      </w:r>
      <w:r>
        <w:rPr>
          <w:rFonts w:ascii="宋体" w:hAnsi="宋体" w:eastAsia="宋体" w:cs="Times New Roman"/>
          <w:bCs/>
          <w:color w:val="auto"/>
          <w:sz w:val="21"/>
          <w:szCs w:val="21"/>
          <w:highlight w:val="none"/>
          <w:u w:val="single"/>
        </w:rPr>
        <w:t>%（含</w:t>
      </w:r>
      <w:r>
        <w:rPr>
          <w:rFonts w:hint="eastAsia" w:ascii="宋体" w:hAnsi="宋体" w:eastAsia="宋体" w:cs="Times New Roman"/>
          <w:bCs/>
          <w:color w:val="auto"/>
          <w:sz w:val="21"/>
          <w:szCs w:val="21"/>
          <w:highlight w:val="none"/>
          <w:u w:val="single"/>
        </w:rPr>
        <w:t>8</w:t>
      </w:r>
      <w:r>
        <w:rPr>
          <w:rFonts w:ascii="宋体" w:hAnsi="宋体" w:eastAsia="宋体" w:cs="Times New Roman"/>
          <w:bCs/>
          <w:color w:val="auto"/>
          <w:sz w:val="21"/>
          <w:szCs w:val="21"/>
          <w:highlight w:val="none"/>
          <w:u w:val="single"/>
        </w:rPr>
        <w:t>%）时，</w:t>
      </w:r>
      <w:r>
        <w:rPr>
          <w:rFonts w:hint="eastAsia" w:ascii="宋体" w:hAnsi="宋体" w:eastAsia="宋体" w:cs="Times New Roman"/>
          <w:bCs/>
          <w:color w:val="auto"/>
          <w:sz w:val="21"/>
          <w:szCs w:val="21"/>
          <w:highlight w:val="none"/>
          <w:u w:val="single"/>
        </w:rPr>
        <w:t>超出8%部分</w:t>
      </w:r>
      <w:r>
        <w:rPr>
          <w:rFonts w:ascii="宋体" w:hAnsi="宋体" w:eastAsia="宋体" w:cs="Times New Roman"/>
          <w:bCs/>
          <w:color w:val="auto"/>
          <w:sz w:val="21"/>
          <w:szCs w:val="21"/>
          <w:highlight w:val="none"/>
          <w:u w:val="single"/>
        </w:rPr>
        <w:t>审计费由承包人支付</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核减率按最终核定额与施工单位送审额之间的差额除以施工单位送审额计算</w:t>
      </w:r>
      <w:r>
        <w:rPr>
          <w:rFonts w:ascii="宋体" w:hAnsi="宋体" w:eastAsia="宋体" w:cs="Times New Roman"/>
          <w:color w:val="auto"/>
          <w:sz w:val="21"/>
          <w:szCs w:val="21"/>
          <w:highlight w:val="none"/>
        </w:rPr>
        <w:t>。</w:t>
      </w:r>
    </w:p>
    <w:p w14:paraId="5E9CD15E">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3</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3</w:t>
      </w:r>
      <w:r>
        <w:rPr>
          <w:rFonts w:ascii="Calibri" w:hAnsi="Calibri" w:eastAsia="黑体" w:cs="Times New Roman"/>
          <w:color w:val="auto"/>
          <w:sz w:val="24"/>
          <w:szCs w:val="24"/>
          <w:highlight w:val="none"/>
        </w:rPr>
        <w:t xml:space="preserve"> 最终结清</w:t>
      </w:r>
    </w:p>
    <w:p w14:paraId="2A7A0835">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1</w:t>
      </w:r>
      <w:r>
        <w:rPr>
          <w:rFonts w:hint="eastAsia" w:ascii="宋体" w:hAnsi="宋体" w:eastAsia="宋体" w:cs="Times New Roman"/>
          <w:color w:val="auto"/>
          <w:kern w:val="0"/>
          <w:sz w:val="21"/>
          <w:szCs w:val="21"/>
          <w:highlight w:val="none"/>
          <w:lang w:val="en-US" w:eastAsia="zh-CN"/>
        </w:rPr>
        <w:t>3</w:t>
      </w:r>
      <w:r>
        <w:rPr>
          <w:rFonts w:ascii="宋体" w:hAnsi="宋体" w:eastAsia="宋体" w:cs="Times New Roman"/>
          <w:color w:val="auto"/>
          <w:kern w:val="0"/>
          <w:sz w:val="21"/>
          <w:szCs w:val="21"/>
          <w:highlight w:val="none"/>
        </w:rPr>
        <w:t>.</w:t>
      </w:r>
      <w:r>
        <w:rPr>
          <w:rFonts w:hint="eastAsia" w:ascii="宋体" w:hAnsi="宋体" w:eastAsia="宋体" w:cs="Times New Roman"/>
          <w:color w:val="auto"/>
          <w:kern w:val="0"/>
          <w:sz w:val="21"/>
          <w:szCs w:val="21"/>
          <w:highlight w:val="none"/>
        </w:rPr>
        <w:t>3</w:t>
      </w:r>
      <w:r>
        <w:rPr>
          <w:rFonts w:ascii="宋体" w:hAnsi="宋体" w:eastAsia="宋体" w:cs="Times New Roman"/>
          <w:color w:val="auto"/>
          <w:kern w:val="0"/>
          <w:sz w:val="21"/>
          <w:szCs w:val="21"/>
          <w:highlight w:val="none"/>
        </w:rPr>
        <w:t>.1 最终结清申请单</w:t>
      </w:r>
    </w:p>
    <w:p w14:paraId="3075ADC6">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承包人提交最终结清申请单的份数：</w:t>
      </w:r>
      <w:r>
        <w:rPr>
          <w:rFonts w:ascii="宋体" w:hAnsi="宋体" w:eastAsia="宋体" w:cs="Times New Roman"/>
          <w:bCs/>
          <w:color w:val="auto"/>
          <w:sz w:val="21"/>
          <w:szCs w:val="21"/>
          <w:highlight w:val="none"/>
          <w:u w:val="single"/>
        </w:rPr>
        <w:t>3</w:t>
      </w:r>
      <w:r>
        <w:rPr>
          <w:rFonts w:ascii="宋体" w:hAnsi="宋体" w:eastAsia="宋体" w:cs="Times New Roman"/>
          <w:color w:val="auto"/>
          <w:sz w:val="21"/>
          <w:szCs w:val="21"/>
          <w:highlight w:val="none"/>
        </w:rPr>
        <w:t>。</w:t>
      </w:r>
    </w:p>
    <w:p w14:paraId="4346393A">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kern w:val="0"/>
          <w:sz w:val="21"/>
          <w:szCs w:val="21"/>
          <w:highlight w:val="none"/>
        </w:rPr>
        <w:t>承包人提交最终结算申请单的期限：</w:t>
      </w:r>
      <w:r>
        <w:rPr>
          <w:rFonts w:hint="eastAsia" w:ascii="宋体" w:hAnsi="宋体" w:eastAsia="宋体" w:cs="Times New Roman"/>
          <w:bCs/>
          <w:color w:val="auto"/>
          <w:sz w:val="21"/>
          <w:szCs w:val="21"/>
          <w:highlight w:val="none"/>
          <w:u w:val="single"/>
        </w:rPr>
        <w:t>质量缺陷期满后</w:t>
      </w:r>
      <w:r>
        <w:rPr>
          <w:rFonts w:ascii="宋体" w:hAnsi="宋体" w:eastAsia="宋体" w:cs="Times New Roman"/>
          <w:bCs/>
          <w:color w:val="auto"/>
          <w:sz w:val="21"/>
          <w:szCs w:val="21"/>
          <w:highlight w:val="none"/>
          <w:u w:val="single"/>
        </w:rPr>
        <w:t>56天内</w:t>
      </w:r>
      <w:r>
        <w:rPr>
          <w:rFonts w:ascii="宋体" w:hAnsi="宋体" w:eastAsia="宋体" w:cs="Times New Roman"/>
          <w:color w:val="auto"/>
          <w:sz w:val="21"/>
          <w:szCs w:val="21"/>
          <w:highlight w:val="none"/>
        </w:rPr>
        <w:t xml:space="preserve">。 </w:t>
      </w:r>
    </w:p>
    <w:p w14:paraId="2E996C98">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3</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3</w:t>
      </w:r>
      <w:r>
        <w:rPr>
          <w:rFonts w:ascii="宋体" w:hAnsi="宋体" w:eastAsia="宋体" w:cs="Times New Roman"/>
          <w:color w:val="auto"/>
          <w:sz w:val="21"/>
          <w:szCs w:val="21"/>
          <w:highlight w:val="none"/>
        </w:rPr>
        <w:t>.2 最终结清证书和支付</w:t>
      </w:r>
    </w:p>
    <w:p w14:paraId="197FE98E">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（1）发包人完成最终结清申请单的</w:t>
      </w:r>
      <w:r>
        <w:rPr>
          <w:rFonts w:hint="eastAsia" w:ascii="宋体" w:hAnsi="宋体" w:eastAsia="宋体" w:cs="Times New Roman"/>
          <w:color w:val="auto"/>
          <w:sz w:val="21"/>
          <w:szCs w:val="21"/>
          <w:highlight w:val="none"/>
        </w:rPr>
        <w:t>审批</w:t>
      </w:r>
      <w:r>
        <w:rPr>
          <w:rFonts w:ascii="宋体" w:hAnsi="宋体" w:eastAsia="宋体" w:cs="Times New Roman"/>
          <w:color w:val="auto"/>
          <w:sz w:val="21"/>
          <w:szCs w:val="21"/>
          <w:highlight w:val="none"/>
        </w:rPr>
        <w:t>并颁发最终结清证书的期限：</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78D286F5">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（2）发包人完成支付的期限：</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46C943A3">
      <w:pPr>
        <w:keepNext/>
        <w:keepLines/>
        <w:spacing w:before="120" w:after="120" w:line="360" w:lineRule="auto"/>
        <w:ind w:firstLine="562"/>
        <w:outlineLvl w:val="3"/>
        <w:rPr>
          <w:rFonts w:ascii="Calibri" w:hAnsi="Calibri" w:eastAsia="黑体" w:cs="Times New Roman"/>
          <w:color w:val="auto"/>
          <w:sz w:val="28"/>
          <w:highlight w:val="none"/>
        </w:rPr>
      </w:pPr>
      <w:r>
        <w:rPr>
          <w:rFonts w:ascii="Calibri" w:hAnsi="Calibri" w:eastAsia="黑体" w:cs="Times New Roman"/>
          <w:color w:val="auto"/>
          <w:sz w:val="28"/>
          <w:highlight w:val="none"/>
        </w:rPr>
        <w:t>1</w:t>
      </w:r>
      <w:r>
        <w:rPr>
          <w:rFonts w:hint="eastAsia" w:ascii="Calibri" w:hAnsi="Calibri" w:eastAsia="黑体" w:cs="Times New Roman"/>
          <w:color w:val="auto"/>
          <w:sz w:val="28"/>
          <w:highlight w:val="none"/>
          <w:lang w:val="en-US" w:eastAsia="zh-CN"/>
        </w:rPr>
        <w:t>4</w:t>
      </w:r>
      <w:r>
        <w:rPr>
          <w:rFonts w:ascii="Calibri" w:hAnsi="Calibri" w:eastAsia="黑体" w:cs="Times New Roman"/>
          <w:color w:val="auto"/>
          <w:sz w:val="28"/>
          <w:highlight w:val="none"/>
        </w:rPr>
        <w:t>. 缺陷责任期与保修</w:t>
      </w:r>
    </w:p>
    <w:p w14:paraId="1EDFD1A2">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4</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1</w:t>
      </w:r>
      <w:r>
        <w:rPr>
          <w:rFonts w:ascii="Calibri" w:hAnsi="Calibri" w:eastAsia="黑体" w:cs="Times New Roman"/>
          <w:color w:val="auto"/>
          <w:sz w:val="24"/>
          <w:szCs w:val="24"/>
          <w:highlight w:val="none"/>
        </w:rPr>
        <w:t>缺陷责任期</w:t>
      </w:r>
    </w:p>
    <w:p w14:paraId="397933C5">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缺陷责任期的具体期限：</w:t>
      </w:r>
      <w:r>
        <w:rPr>
          <w:rFonts w:hint="eastAsia" w:ascii="宋体" w:hAnsi="宋体" w:eastAsia="宋体" w:cs="Times New Roman"/>
          <w:bCs/>
          <w:color w:val="auto"/>
          <w:sz w:val="21"/>
          <w:szCs w:val="21"/>
          <w:highlight w:val="none"/>
          <w:u w:val="single"/>
        </w:rPr>
        <w:t>缺陷责任期自实际竣工日期起12</w:t>
      </w:r>
      <w:r>
        <w:rPr>
          <w:rFonts w:ascii="宋体" w:hAnsi="宋体" w:eastAsia="宋体" w:cs="Times New Roman"/>
          <w:bCs/>
          <w:color w:val="auto"/>
          <w:sz w:val="21"/>
          <w:szCs w:val="21"/>
          <w:highlight w:val="none"/>
          <w:u w:val="single"/>
        </w:rPr>
        <w:t>个月</w:t>
      </w:r>
      <w:r>
        <w:rPr>
          <w:rFonts w:ascii="宋体" w:hAnsi="宋体" w:eastAsia="宋体" w:cs="Times New Roman"/>
          <w:color w:val="auto"/>
          <w:sz w:val="21"/>
          <w:szCs w:val="21"/>
          <w:highlight w:val="none"/>
        </w:rPr>
        <w:t>。</w:t>
      </w:r>
    </w:p>
    <w:p w14:paraId="331B4ED2">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4</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2</w:t>
      </w:r>
      <w:r>
        <w:rPr>
          <w:rFonts w:ascii="Calibri" w:hAnsi="Calibri" w:eastAsia="黑体" w:cs="Times New Roman"/>
          <w:color w:val="auto"/>
          <w:sz w:val="24"/>
          <w:szCs w:val="24"/>
          <w:highlight w:val="none"/>
        </w:rPr>
        <w:t xml:space="preserve"> 质量保证金</w:t>
      </w:r>
    </w:p>
    <w:p w14:paraId="33A174DB">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关于是否扣留质量保证金的约定：</w:t>
      </w:r>
      <w:r>
        <w:rPr>
          <w:rFonts w:hint="eastAsia" w:ascii="宋体" w:hAnsi="宋体" w:eastAsia="宋体" w:cs="Times New Roman"/>
          <w:bCs/>
          <w:color w:val="auto"/>
          <w:sz w:val="21"/>
          <w:szCs w:val="21"/>
          <w:highlight w:val="none"/>
          <w:u w:val="single"/>
        </w:rPr>
        <w:t>是</w:t>
      </w:r>
      <w:r>
        <w:rPr>
          <w:rFonts w:ascii="宋体" w:hAnsi="宋体" w:eastAsia="宋体" w:cs="Times New Roman"/>
          <w:color w:val="auto"/>
          <w:sz w:val="21"/>
          <w:szCs w:val="21"/>
          <w:highlight w:val="none"/>
        </w:rPr>
        <w:t>。</w:t>
      </w:r>
    </w:p>
    <w:p w14:paraId="6A62B3B0">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4</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2</w:t>
      </w:r>
      <w:r>
        <w:rPr>
          <w:rFonts w:ascii="宋体" w:hAnsi="宋体" w:eastAsia="宋体" w:cs="Times New Roman"/>
          <w:color w:val="auto"/>
          <w:sz w:val="21"/>
          <w:szCs w:val="21"/>
          <w:highlight w:val="none"/>
        </w:rPr>
        <w:t xml:space="preserve">.1 </w:t>
      </w:r>
      <w:r>
        <w:rPr>
          <w:rFonts w:hint="eastAsia" w:ascii="宋体" w:hAnsi="宋体" w:eastAsia="宋体" w:cs="Times New Roman"/>
          <w:color w:val="auto"/>
          <w:sz w:val="21"/>
          <w:szCs w:val="21"/>
          <w:highlight w:val="none"/>
        </w:rPr>
        <w:t>承包人提供</w:t>
      </w:r>
      <w:r>
        <w:rPr>
          <w:rFonts w:ascii="宋体" w:hAnsi="宋体" w:eastAsia="宋体" w:cs="Times New Roman"/>
          <w:color w:val="auto"/>
          <w:sz w:val="21"/>
          <w:szCs w:val="21"/>
          <w:highlight w:val="none"/>
        </w:rPr>
        <w:t>质量保证金的</w:t>
      </w:r>
      <w:r>
        <w:rPr>
          <w:rFonts w:hint="eastAsia" w:ascii="宋体" w:hAnsi="宋体" w:eastAsia="宋体" w:cs="Times New Roman"/>
          <w:color w:val="auto"/>
          <w:sz w:val="21"/>
          <w:szCs w:val="21"/>
          <w:highlight w:val="none"/>
        </w:rPr>
        <w:t>方</w:t>
      </w:r>
      <w:r>
        <w:rPr>
          <w:rFonts w:ascii="宋体" w:hAnsi="宋体" w:eastAsia="宋体" w:cs="Times New Roman"/>
          <w:color w:val="auto"/>
          <w:sz w:val="21"/>
          <w:szCs w:val="21"/>
          <w:highlight w:val="none"/>
        </w:rPr>
        <w:t>式</w:t>
      </w:r>
    </w:p>
    <w:p w14:paraId="6A6C8B2E">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质量保证金采用以下第</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3）</w:t>
      </w:r>
      <w:r>
        <w:rPr>
          <w:rFonts w:ascii="宋体" w:hAnsi="宋体" w:eastAsia="宋体" w:cs="Times New Roman"/>
          <w:color w:val="auto"/>
          <w:sz w:val="21"/>
          <w:szCs w:val="21"/>
          <w:highlight w:val="none"/>
        </w:rPr>
        <w:t>种方式：</w:t>
      </w:r>
    </w:p>
    <w:p w14:paraId="247C9412">
      <w:pPr>
        <w:autoSpaceDE w:val="0"/>
        <w:autoSpaceDN w:val="0"/>
        <w:adjustRightInd w:val="0"/>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（1）质量保证金保函，保证金额为：</w:t>
      </w:r>
      <w:r>
        <w:rPr>
          <w:rFonts w:ascii="宋体" w:hAnsi="宋体" w:eastAsia="宋体" w:cs="Times New Roman"/>
          <w:bCs/>
          <w:color w:val="auto"/>
          <w:sz w:val="21"/>
          <w:szCs w:val="21"/>
          <w:highlight w:val="none"/>
          <w:u w:val="single"/>
        </w:rPr>
        <w:t>/</w:t>
      </w:r>
      <w:r>
        <w:rPr>
          <w:rFonts w:ascii="宋体" w:hAnsi="宋体" w:eastAsia="宋体" w:cs="Times New Roman"/>
          <w:color w:val="auto"/>
          <w:kern w:val="0"/>
          <w:sz w:val="21"/>
          <w:szCs w:val="21"/>
          <w:highlight w:val="none"/>
        </w:rPr>
        <w:t xml:space="preserve">； </w:t>
      </w:r>
    </w:p>
    <w:p w14:paraId="3093A061">
      <w:pPr>
        <w:autoSpaceDE w:val="0"/>
        <w:autoSpaceDN w:val="0"/>
        <w:adjustRightInd w:val="0"/>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（2）</w:t>
      </w:r>
      <w:r>
        <w:rPr>
          <w:rFonts w:ascii="宋体" w:hAnsi="宋体" w:eastAsia="宋体" w:cs="Times New Roman"/>
          <w:bCs/>
          <w:color w:val="auto"/>
          <w:sz w:val="21"/>
          <w:szCs w:val="21"/>
          <w:highlight w:val="none"/>
          <w:u w:val="single"/>
        </w:rPr>
        <w:t>3</w:t>
      </w:r>
      <w:r>
        <w:rPr>
          <w:rFonts w:ascii="宋体" w:hAnsi="宋体" w:eastAsia="宋体" w:cs="Times New Roman"/>
          <w:color w:val="auto"/>
          <w:kern w:val="0"/>
          <w:sz w:val="21"/>
          <w:szCs w:val="21"/>
          <w:highlight w:val="none"/>
        </w:rPr>
        <w:t>%的工程款；</w:t>
      </w:r>
    </w:p>
    <w:p w14:paraId="5058CBCC">
      <w:pPr>
        <w:autoSpaceDE w:val="0"/>
        <w:autoSpaceDN w:val="0"/>
        <w:adjustRightInd w:val="0"/>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（3）其他</w:t>
      </w:r>
      <w:r>
        <w:rPr>
          <w:rFonts w:hint="eastAsia" w:ascii="宋体" w:hAnsi="宋体" w:eastAsia="宋体" w:cs="Times New Roman"/>
          <w:color w:val="auto"/>
          <w:kern w:val="0"/>
          <w:sz w:val="21"/>
          <w:szCs w:val="21"/>
          <w:highlight w:val="none"/>
        </w:rPr>
        <w:t>方</w:t>
      </w:r>
      <w:r>
        <w:rPr>
          <w:rFonts w:ascii="宋体" w:hAnsi="宋体" w:eastAsia="宋体" w:cs="Times New Roman"/>
          <w:color w:val="auto"/>
          <w:kern w:val="0"/>
          <w:sz w:val="21"/>
          <w:szCs w:val="21"/>
          <w:highlight w:val="none"/>
        </w:rPr>
        <w:t>式</w:t>
      </w:r>
      <w:r>
        <w:rPr>
          <w:rFonts w:hint="eastAsia" w:ascii="宋体" w:hAnsi="宋体" w:eastAsia="宋体" w:cs="Times New Roman"/>
          <w:color w:val="auto"/>
          <w:kern w:val="0"/>
          <w:sz w:val="21"/>
          <w:szCs w:val="21"/>
          <w:highlight w:val="none"/>
          <w:lang w:eastAsia="zh-CN"/>
        </w:rPr>
        <w:t>：</w:t>
      </w:r>
      <w:r>
        <w:rPr>
          <w:rFonts w:ascii="宋体" w:hAnsi="宋体" w:eastAsia="宋体" w:cs="Times New Roman"/>
          <w:bCs/>
          <w:color w:val="auto"/>
          <w:sz w:val="21"/>
          <w:szCs w:val="21"/>
          <w:highlight w:val="none"/>
          <w:u w:val="single"/>
        </w:rPr>
        <w:t xml:space="preserve"> </w:t>
      </w:r>
      <w:r>
        <w:rPr>
          <w:rFonts w:hint="eastAsia" w:ascii="宋体" w:hAnsi="宋体" w:eastAsia="宋体" w:cs="Times New Roman"/>
          <w:bCs/>
          <w:color w:val="auto"/>
          <w:sz w:val="21"/>
          <w:szCs w:val="21"/>
          <w:highlight w:val="none"/>
          <w:u w:val="single"/>
        </w:rPr>
        <w:t>质保金为工程结算审定总价的</w:t>
      </w:r>
      <w:r>
        <w:rPr>
          <w:rFonts w:ascii="宋体" w:hAnsi="宋体" w:eastAsia="宋体" w:cs="Times New Roman"/>
          <w:bCs/>
          <w:color w:val="auto"/>
          <w:sz w:val="21"/>
          <w:szCs w:val="21"/>
          <w:highlight w:val="none"/>
          <w:u w:val="single"/>
        </w:rPr>
        <w:t>3%</w:t>
      </w:r>
      <w:r>
        <w:rPr>
          <w:rFonts w:ascii="宋体" w:hAnsi="宋体" w:eastAsia="宋体" w:cs="Times New Roman"/>
          <w:color w:val="auto"/>
          <w:kern w:val="0"/>
          <w:sz w:val="21"/>
          <w:szCs w:val="21"/>
          <w:highlight w:val="none"/>
        </w:rPr>
        <w:t>。</w:t>
      </w:r>
    </w:p>
    <w:p w14:paraId="677BAF6A">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4</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2</w:t>
      </w:r>
      <w:r>
        <w:rPr>
          <w:rFonts w:ascii="宋体" w:hAnsi="宋体" w:eastAsia="宋体" w:cs="Times New Roman"/>
          <w:color w:val="auto"/>
          <w:sz w:val="21"/>
          <w:szCs w:val="21"/>
          <w:highlight w:val="none"/>
        </w:rPr>
        <w:t xml:space="preserve">.2 质量保证金的扣留 </w:t>
      </w:r>
    </w:p>
    <w:p w14:paraId="3C38FF8D">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质量保证金的扣留采取以下第</w:t>
      </w:r>
      <w:r>
        <w:rPr>
          <w:rFonts w:hint="eastAsia" w:ascii="宋体" w:hAnsi="宋体" w:eastAsia="宋体" w:cs="Times New Roman"/>
          <w:bCs/>
          <w:color w:val="auto"/>
          <w:sz w:val="21"/>
          <w:szCs w:val="21"/>
          <w:highlight w:val="none"/>
          <w:u w:val="single"/>
          <w:lang w:val="en-US" w:eastAsia="zh-CN"/>
        </w:rPr>
        <w:t>3</w:t>
      </w:r>
      <w:r>
        <w:rPr>
          <w:rFonts w:ascii="宋体" w:hAnsi="宋体" w:eastAsia="宋体" w:cs="Times New Roman"/>
          <w:color w:val="auto"/>
          <w:sz w:val="21"/>
          <w:szCs w:val="21"/>
          <w:highlight w:val="none"/>
        </w:rPr>
        <w:t>种方式：</w:t>
      </w:r>
    </w:p>
    <w:p w14:paraId="151A203E">
      <w:pPr>
        <w:autoSpaceDE w:val="0"/>
        <w:autoSpaceDN w:val="0"/>
        <w:adjustRightInd w:val="0"/>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（1）在支付工程进度款时逐次扣留，在此情形下，质量保证金的计算基数不包括预付款的支付、扣回以及价格调整的金额；</w:t>
      </w:r>
    </w:p>
    <w:p w14:paraId="2AC850E9">
      <w:pPr>
        <w:autoSpaceDE w:val="0"/>
        <w:autoSpaceDN w:val="0"/>
        <w:adjustRightInd w:val="0"/>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（2）工程竣工结算时一次性扣留质量保证金；</w:t>
      </w:r>
    </w:p>
    <w:p w14:paraId="5FF46B9B">
      <w:pPr>
        <w:autoSpaceDE w:val="0"/>
        <w:autoSpaceDN w:val="0"/>
        <w:adjustRightInd w:val="0"/>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（3）其他扣留方式</w:t>
      </w:r>
      <w:r>
        <w:rPr>
          <w:rFonts w:hint="eastAsia" w:ascii="宋体" w:hAnsi="宋体" w:eastAsia="宋体" w:cs="Times New Roman"/>
          <w:color w:val="auto"/>
          <w:kern w:val="0"/>
          <w:sz w:val="21"/>
          <w:szCs w:val="21"/>
          <w:highlight w:val="none"/>
          <w:lang w:eastAsia="zh-CN"/>
        </w:rPr>
        <w:t>：</w:t>
      </w:r>
      <w:r>
        <w:rPr>
          <w:rFonts w:hint="eastAsia" w:ascii="宋体" w:hAnsi="宋体" w:eastAsia="宋体" w:cs="Times New Roman"/>
          <w:bCs/>
          <w:color w:val="auto"/>
          <w:sz w:val="21"/>
          <w:szCs w:val="21"/>
          <w:highlight w:val="none"/>
          <w:u w:val="single"/>
        </w:rPr>
        <w:t>承包人汇款至发包人指定账户</w:t>
      </w:r>
      <w:r>
        <w:rPr>
          <w:rFonts w:ascii="宋体" w:hAnsi="宋体" w:eastAsia="宋体" w:cs="Times New Roman"/>
          <w:color w:val="auto"/>
          <w:kern w:val="0"/>
          <w:sz w:val="21"/>
          <w:szCs w:val="21"/>
          <w:highlight w:val="none"/>
        </w:rPr>
        <w:t>。</w:t>
      </w:r>
    </w:p>
    <w:p w14:paraId="464256F8">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关于质量保证金的补充约定</w:t>
      </w:r>
      <w:r>
        <w:rPr>
          <w:rFonts w:hint="eastAsia" w:ascii="宋体" w:hAnsi="宋体" w:eastAsia="宋体" w:cs="Times New Roman"/>
          <w:color w:val="auto"/>
          <w:sz w:val="21"/>
          <w:szCs w:val="21"/>
          <w:highlight w:val="none"/>
          <w:lang w:eastAsia="zh-CN"/>
        </w:rPr>
        <w:t>：</w:t>
      </w:r>
      <w:r>
        <w:rPr>
          <w:rFonts w:ascii="宋体" w:hAnsi="宋体" w:eastAsia="宋体" w:cs="Times New Roman"/>
          <w:bCs/>
          <w:color w:val="auto"/>
          <w:sz w:val="21"/>
          <w:szCs w:val="21"/>
          <w:highlight w:val="none"/>
          <w:u w:val="single"/>
        </w:rPr>
        <w:t xml:space="preserve"> /</w:t>
      </w:r>
      <w:r>
        <w:rPr>
          <w:rFonts w:ascii="宋体" w:hAnsi="宋体" w:eastAsia="宋体" w:cs="Times New Roman"/>
          <w:color w:val="auto"/>
          <w:kern w:val="0"/>
          <w:sz w:val="21"/>
          <w:szCs w:val="21"/>
          <w:highlight w:val="none"/>
        </w:rPr>
        <w:t>。</w:t>
      </w:r>
    </w:p>
    <w:p w14:paraId="49974F2A">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4</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3</w:t>
      </w:r>
      <w:r>
        <w:rPr>
          <w:rFonts w:ascii="Calibri" w:hAnsi="Calibri" w:eastAsia="黑体" w:cs="Times New Roman"/>
          <w:color w:val="auto"/>
          <w:sz w:val="24"/>
          <w:szCs w:val="24"/>
          <w:highlight w:val="none"/>
        </w:rPr>
        <w:t>保修</w:t>
      </w:r>
    </w:p>
    <w:p w14:paraId="7E9ACE74">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4</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3</w:t>
      </w:r>
      <w:r>
        <w:rPr>
          <w:rFonts w:ascii="宋体" w:hAnsi="宋体" w:eastAsia="宋体" w:cs="Times New Roman"/>
          <w:color w:val="auto"/>
          <w:sz w:val="21"/>
          <w:szCs w:val="21"/>
          <w:highlight w:val="none"/>
        </w:rPr>
        <w:t>.1 保修责任</w:t>
      </w:r>
    </w:p>
    <w:p w14:paraId="308E7AD9">
      <w:pPr>
        <w:spacing w:line="360" w:lineRule="auto"/>
        <w:ind w:firstLine="409" w:firstLineChars="195"/>
        <w:jc w:val="left"/>
        <w:rPr>
          <w:rFonts w:hint="eastAsia" w:ascii="宋体" w:hAnsi="宋体" w:eastAsia="宋体" w:cs="Times New Roman"/>
          <w:color w:val="auto"/>
          <w:kern w:val="0"/>
          <w:sz w:val="21"/>
          <w:szCs w:val="21"/>
          <w:highlight w:val="none"/>
        </w:rPr>
      </w:pPr>
      <w:r>
        <w:rPr>
          <w:rFonts w:ascii="宋体" w:hAnsi="宋体" w:eastAsia="宋体" w:cs="Times New Roman"/>
          <w:color w:val="auto"/>
          <w:sz w:val="21"/>
          <w:szCs w:val="21"/>
          <w:highlight w:val="none"/>
        </w:rPr>
        <w:t>工程保修期为：</w:t>
      </w:r>
      <w:r>
        <w:rPr>
          <w:rFonts w:hint="eastAsia" w:ascii="宋体" w:hAnsi="宋体" w:eastAsia="宋体" w:cs="Times New Roman"/>
          <w:bCs/>
          <w:color w:val="auto"/>
          <w:sz w:val="21"/>
          <w:szCs w:val="21"/>
          <w:highlight w:val="none"/>
          <w:u w:val="single"/>
        </w:rPr>
        <w:t>按附件</w:t>
      </w:r>
      <w:r>
        <w:rPr>
          <w:rFonts w:ascii="宋体" w:hAnsi="宋体" w:eastAsia="宋体" w:cs="Times New Roman"/>
          <w:bCs/>
          <w:color w:val="auto"/>
          <w:sz w:val="21"/>
          <w:szCs w:val="21"/>
          <w:highlight w:val="none"/>
          <w:u w:val="single"/>
        </w:rPr>
        <w:t>《工程质量保修书》约定执行</w:t>
      </w:r>
      <w:r>
        <w:rPr>
          <w:rFonts w:ascii="宋体" w:hAnsi="宋体" w:eastAsia="宋体" w:cs="Times New Roman"/>
          <w:color w:val="auto"/>
          <w:kern w:val="0"/>
          <w:sz w:val="21"/>
          <w:szCs w:val="21"/>
          <w:highlight w:val="none"/>
        </w:rPr>
        <w:t>。</w:t>
      </w:r>
    </w:p>
    <w:p w14:paraId="4E19F84F">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4</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3</w:t>
      </w:r>
      <w:r>
        <w:rPr>
          <w:rFonts w:ascii="宋体" w:hAnsi="宋体" w:eastAsia="宋体" w:cs="Times New Roman"/>
          <w:color w:val="auto"/>
          <w:sz w:val="21"/>
          <w:szCs w:val="21"/>
          <w:highlight w:val="none"/>
        </w:rPr>
        <w:t>.3 修复通知</w:t>
      </w:r>
    </w:p>
    <w:p w14:paraId="017D5400">
      <w:pPr>
        <w:spacing w:line="360" w:lineRule="auto"/>
        <w:ind w:firstLine="409" w:firstLineChars="195"/>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承包人收到保修通知并到达工程现场的合理时间：</w:t>
      </w:r>
      <w:r>
        <w:rPr>
          <w:rFonts w:ascii="宋体" w:hAnsi="宋体" w:eastAsia="宋体" w:cs="Times New Roman"/>
          <w:bCs/>
          <w:color w:val="auto"/>
          <w:sz w:val="21"/>
          <w:szCs w:val="21"/>
          <w:highlight w:val="none"/>
          <w:u w:val="single"/>
        </w:rPr>
        <w:t>48小时内</w:t>
      </w:r>
      <w:r>
        <w:rPr>
          <w:rFonts w:ascii="宋体" w:hAnsi="宋体" w:eastAsia="宋体" w:cs="Times New Roman"/>
          <w:color w:val="auto"/>
          <w:kern w:val="0"/>
          <w:sz w:val="21"/>
          <w:szCs w:val="21"/>
          <w:highlight w:val="none"/>
        </w:rPr>
        <w:t>。</w:t>
      </w:r>
    </w:p>
    <w:p w14:paraId="57E9F994">
      <w:pPr>
        <w:keepNext/>
        <w:keepLines/>
        <w:spacing w:before="120" w:after="120" w:line="360" w:lineRule="auto"/>
        <w:ind w:firstLine="562"/>
        <w:outlineLvl w:val="3"/>
        <w:rPr>
          <w:rFonts w:ascii="Calibri" w:hAnsi="Calibri" w:eastAsia="黑体" w:cs="Times New Roman"/>
          <w:color w:val="auto"/>
          <w:sz w:val="28"/>
          <w:highlight w:val="none"/>
        </w:rPr>
      </w:pPr>
      <w:r>
        <w:rPr>
          <w:rFonts w:ascii="Calibri" w:hAnsi="Calibri" w:eastAsia="黑体" w:cs="Times New Roman"/>
          <w:color w:val="auto"/>
          <w:sz w:val="28"/>
          <w:highlight w:val="none"/>
        </w:rPr>
        <w:t>1</w:t>
      </w:r>
      <w:r>
        <w:rPr>
          <w:rFonts w:hint="eastAsia" w:ascii="Calibri" w:hAnsi="Calibri" w:eastAsia="黑体" w:cs="Times New Roman"/>
          <w:color w:val="auto"/>
          <w:sz w:val="28"/>
          <w:highlight w:val="none"/>
          <w:lang w:val="en-US" w:eastAsia="zh-CN"/>
        </w:rPr>
        <w:t>5</w:t>
      </w:r>
      <w:r>
        <w:rPr>
          <w:rFonts w:ascii="Calibri" w:hAnsi="Calibri" w:eastAsia="黑体" w:cs="Times New Roman"/>
          <w:color w:val="auto"/>
          <w:sz w:val="28"/>
          <w:highlight w:val="none"/>
        </w:rPr>
        <w:t>. 违约</w:t>
      </w:r>
    </w:p>
    <w:p w14:paraId="7F1031AF">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5</w:t>
      </w:r>
      <w:r>
        <w:rPr>
          <w:rFonts w:ascii="Calibri" w:hAnsi="Calibri" w:eastAsia="黑体" w:cs="Times New Roman"/>
          <w:color w:val="auto"/>
          <w:sz w:val="24"/>
          <w:szCs w:val="24"/>
          <w:highlight w:val="none"/>
        </w:rPr>
        <w:t>.1 发包人违约</w:t>
      </w:r>
    </w:p>
    <w:p w14:paraId="21952144">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5</w:t>
      </w:r>
      <w:r>
        <w:rPr>
          <w:rFonts w:ascii="宋体" w:hAnsi="宋体" w:eastAsia="宋体" w:cs="Times New Roman"/>
          <w:color w:val="auto"/>
          <w:sz w:val="21"/>
          <w:szCs w:val="21"/>
          <w:highlight w:val="none"/>
        </w:rPr>
        <w:t>.1.1发包人违约的情形</w:t>
      </w:r>
    </w:p>
    <w:p w14:paraId="31A8BD00">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发包人违约的其他情形：</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kern w:val="0"/>
          <w:sz w:val="21"/>
          <w:szCs w:val="21"/>
          <w:highlight w:val="none"/>
        </w:rPr>
        <w:t>。</w:t>
      </w:r>
    </w:p>
    <w:p w14:paraId="0D6AD8CB">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5</w:t>
      </w:r>
      <w:r>
        <w:rPr>
          <w:rFonts w:ascii="宋体" w:hAnsi="宋体" w:eastAsia="宋体" w:cs="Times New Roman"/>
          <w:color w:val="auto"/>
          <w:sz w:val="21"/>
          <w:szCs w:val="21"/>
          <w:highlight w:val="none"/>
        </w:rPr>
        <w:t>.1.2 发包人违约的责任</w:t>
      </w:r>
    </w:p>
    <w:p w14:paraId="6D5D3CBA">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发包人违约责任的承担方式和计算方法：</w:t>
      </w:r>
    </w:p>
    <w:p w14:paraId="3670AFD8">
      <w:pPr>
        <w:spacing w:line="360" w:lineRule="auto"/>
        <w:ind w:firstLine="420" w:firstLineChars="200"/>
        <w:jc w:val="left"/>
        <w:rPr>
          <w:rFonts w:ascii="Calibri" w:hAnsi="Calibri" w:eastAsia="仿宋_GB2312" w:cs="Times New Roman"/>
          <w:color w:val="auto"/>
          <w:kern w:val="0"/>
          <w:sz w:val="21"/>
          <w:szCs w:val="21"/>
          <w:highlight w:val="none"/>
          <w:u w:val="single"/>
        </w:rPr>
      </w:pPr>
      <w:r>
        <w:rPr>
          <w:rFonts w:ascii="宋体" w:hAnsi="宋体" w:eastAsia="宋体" w:cs="Times New Roman"/>
          <w:color w:val="auto"/>
          <w:kern w:val="0"/>
          <w:sz w:val="21"/>
          <w:szCs w:val="21"/>
          <w:highlight w:val="none"/>
        </w:rPr>
        <w:t>（1）因发包人原因未能在计划开工日期前7天内下达开工通知的违约责任：</w:t>
      </w:r>
      <w:r>
        <w:rPr>
          <w:rFonts w:hint="eastAsia" w:ascii="宋体" w:hAnsi="宋体" w:eastAsia="宋体" w:cs="Times New Roman"/>
          <w:bCs/>
          <w:color w:val="auto"/>
          <w:sz w:val="21"/>
          <w:szCs w:val="21"/>
          <w:highlight w:val="none"/>
          <w:u w:val="single"/>
        </w:rPr>
        <w:t>顺延工期，费用不索赔</w:t>
      </w:r>
      <w:r>
        <w:rPr>
          <w:rFonts w:ascii="宋体" w:hAnsi="宋体" w:eastAsia="宋体" w:cs="Times New Roman"/>
          <w:color w:val="auto"/>
          <w:kern w:val="0"/>
          <w:sz w:val="21"/>
          <w:szCs w:val="21"/>
          <w:highlight w:val="none"/>
        </w:rPr>
        <w:t>。</w:t>
      </w:r>
    </w:p>
    <w:p w14:paraId="4C8EB6C4">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（2）因发包人原因未能按合同约定支付合同价款的违约责任：</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kern w:val="0"/>
          <w:sz w:val="21"/>
          <w:szCs w:val="21"/>
          <w:highlight w:val="none"/>
        </w:rPr>
        <w:t>。</w:t>
      </w:r>
    </w:p>
    <w:p w14:paraId="3358E2CD">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（3）发包人违反第10.1款</w:t>
      </w: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变更的范围</w:t>
      </w: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第（2）项约定，自行实施被取消的工作或转由他人实施的违约责任：</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kern w:val="0"/>
          <w:sz w:val="21"/>
          <w:szCs w:val="21"/>
          <w:highlight w:val="none"/>
        </w:rPr>
        <w:t>。</w:t>
      </w:r>
    </w:p>
    <w:p w14:paraId="0478C5D1">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（4）发包人提供的材料、工程设备的规格、数量或质量不符合合同约定，或因发包</w:t>
      </w:r>
      <w:r>
        <w:rPr>
          <w:rFonts w:hint="eastAsia" w:ascii="宋体" w:hAnsi="宋体" w:eastAsia="宋体" w:cs="Times New Roman"/>
          <w:color w:val="auto"/>
          <w:kern w:val="0"/>
          <w:sz w:val="21"/>
          <w:szCs w:val="21"/>
          <w:highlight w:val="none"/>
          <w:lang w:eastAsia="zh-CN"/>
        </w:rPr>
        <w:t>人的</w:t>
      </w:r>
      <w:r>
        <w:rPr>
          <w:rFonts w:ascii="宋体" w:hAnsi="宋体" w:eastAsia="宋体" w:cs="Times New Roman"/>
          <w:color w:val="auto"/>
          <w:kern w:val="0"/>
          <w:sz w:val="21"/>
          <w:szCs w:val="21"/>
          <w:highlight w:val="none"/>
        </w:rPr>
        <w:t>原因导致交货日期延误或交货地点变更等情况的违约责任：</w:t>
      </w:r>
      <w:r>
        <w:rPr>
          <w:rFonts w:hint="eastAsia" w:ascii="宋体" w:hAnsi="宋体" w:eastAsia="宋体" w:cs="Times New Roman"/>
          <w:bCs/>
          <w:color w:val="auto"/>
          <w:sz w:val="21"/>
          <w:szCs w:val="21"/>
          <w:highlight w:val="none"/>
          <w:u w:val="single"/>
        </w:rPr>
        <w:t>顺延工期，费用不索赔</w:t>
      </w:r>
      <w:r>
        <w:rPr>
          <w:rFonts w:ascii="宋体" w:hAnsi="宋体" w:eastAsia="宋体" w:cs="Times New Roman"/>
          <w:color w:val="auto"/>
          <w:kern w:val="0"/>
          <w:sz w:val="21"/>
          <w:szCs w:val="21"/>
          <w:highlight w:val="none"/>
        </w:rPr>
        <w:t>。</w:t>
      </w:r>
    </w:p>
    <w:p w14:paraId="35AC6945">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（5）因发包人违反合同约定造成暂停施工的违约责任：</w:t>
      </w:r>
      <w:r>
        <w:rPr>
          <w:rFonts w:hint="eastAsia" w:ascii="宋体" w:hAnsi="宋体" w:eastAsia="宋体" w:cs="Times New Roman"/>
          <w:bCs/>
          <w:color w:val="auto"/>
          <w:sz w:val="21"/>
          <w:szCs w:val="21"/>
          <w:highlight w:val="none"/>
          <w:u w:val="single"/>
        </w:rPr>
        <w:t>顺延工期，费用不索赔</w:t>
      </w:r>
      <w:r>
        <w:rPr>
          <w:rFonts w:ascii="宋体" w:hAnsi="宋体" w:eastAsia="宋体" w:cs="Times New Roman"/>
          <w:color w:val="auto"/>
          <w:kern w:val="0"/>
          <w:sz w:val="21"/>
          <w:szCs w:val="21"/>
          <w:highlight w:val="none"/>
        </w:rPr>
        <w:t>。</w:t>
      </w:r>
    </w:p>
    <w:p w14:paraId="5F75C368">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（6）发包人无正当理由没有在约定期限内发出复工指示，导致承包人无法复工的违约责任：</w:t>
      </w:r>
      <w:r>
        <w:rPr>
          <w:rFonts w:hint="eastAsia" w:ascii="宋体" w:hAnsi="宋体" w:eastAsia="宋体" w:cs="Times New Roman"/>
          <w:bCs/>
          <w:color w:val="auto"/>
          <w:sz w:val="21"/>
          <w:szCs w:val="21"/>
          <w:highlight w:val="none"/>
          <w:u w:val="single"/>
        </w:rPr>
        <w:t>顺延工期，费用不索赔</w:t>
      </w:r>
      <w:r>
        <w:rPr>
          <w:rFonts w:ascii="宋体" w:hAnsi="宋体" w:eastAsia="宋体" w:cs="Times New Roman"/>
          <w:color w:val="auto"/>
          <w:kern w:val="0"/>
          <w:sz w:val="21"/>
          <w:szCs w:val="21"/>
          <w:highlight w:val="none"/>
        </w:rPr>
        <w:t>。</w:t>
      </w:r>
    </w:p>
    <w:p w14:paraId="12F70DF5">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（7）</w:t>
      </w:r>
      <w:r>
        <w:rPr>
          <w:rFonts w:hint="eastAsia" w:ascii="宋体" w:hAnsi="宋体" w:eastAsia="宋体" w:cs="Times New Roman"/>
          <w:color w:val="auto"/>
          <w:kern w:val="0"/>
          <w:sz w:val="21"/>
          <w:szCs w:val="21"/>
          <w:highlight w:val="none"/>
        </w:rPr>
        <w:t>其他：</w:t>
      </w:r>
      <w:r>
        <w:rPr>
          <w:rFonts w:ascii="宋体" w:hAnsi="宋体" w:eastAsia="宋体" w:cs="Times New Roman"/>
          <w:bCs/>
          <w:color w:val="auto"/>
          <w:sz w:val="21"/>
          <w:szCs w:val="21"/>
          <w:highlight w:val="none"/>
          <w:u w:val="single"/>
        </w:rPr>
        <w:t>/</w:t>
      </w:r>
      <w:r>
        <w:rPr>
          <w:rFonts w:ascii="宋体" w:hAnsi="宋体" w:eastAsia="宋体" w:cs="Times New Roman"/>
          <w:color w:val="auto"/>
          <w:kern w:val="0"/>
          <w:sz w:val="21"/>
          <w:szCs w:val="21"/>
          <w:highlight w:val="none"/>
        </w:rPr>
        <w:t>。</w:t>
      </w:r>
    </w:p>
    <w:p w14:paraId="19BF6B9C">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5</w:t>
      </w:r>
      <w:r>
        <w:rPr>
          <w:rFonts w:ascii="宋体" w:hAnsi="宋体" w:eastAsia="宋体" w:cs="Times New Roman"/>
          <w:color w:val="auto"/>
          <w:sz w:val="21"/>
          <w:szCs w:val="21"/>
          <w:highlight w:val="none"/>
        </w:rPr>
        <w:t>.1.3 因发包人违约解除合同</w:t>
      </w:r>
    </w:p>
    <w:p w14:paraId="4105A8DD">
      <w:pPr>
        <w:autoSpaceDE w:val="0"/>
        <w:autoSpaceDN w:val="0"/>
        <w:adjustRightInd w:val="0"/>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承包人按16.1.1项</w:t>
      </w: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发包人违约的情形</w:t>
      </w: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约定暂停施工满</w:t>
      </w:r>
      <w:r>
        <w:rPr>
          <w:rFonts w:ascii="宋体" w:hAnsi="宋体" w:eastAsia="宋体" w:cs="Times New Roman"/>
          <w:bCs/>
          <w:color w:val="auto"/>
          <w:sz w:val="21"/>
          <w:szCs w:val="21"/>
          <w:highlight w:val="none"/>
          <w:u w:val="single"/>
        </w:rPr>
        <w:t>56</w:t>
      </w:r>
      <w:r>
        <w:rPr>
          <w:rFonts w:ascii="宋体" w:hAnsi="宋体" w:eastAsia="宋体" w:cs="Times New Roman"/>
          <w:color w:val="auto"/>
          <w:kern w:val="0"/>
          <w:sz w:val="21"/>
          <w:szCs w:val="21"/>
          <w:highlight w:val="none"/>
        </w:rPr>
        <w:t>天后发包人仍不纠正其违约行为并致使合同目的不能实现的，承包人有权解除合同。</w:t>
      </w:r>
    </w:p>
    <w:p w14:paraId="059829AD">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5</w:t>
      </w:r>
      <w:r>
        <w:rPr>
          <w:rFonts w:ascii="Calibri" w:hAnsi="Calibri" w:eastAsia="黑体" w:cs="Times New Roman"/>
          <w:color w:val="auto"/>
          <w:sz w:val="24"/>
          <w:szCs w:val="24"/>
          <w:highlight w:val="none"/>
        </w:rPr>
        <w:t>.2 承包人违约</w:t>
      </w:r>
    </w:p>
    <w:p w14:paraId="65190532">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1</w:t>
      </w:r>
      <w:r>
        <w:rPr>
          <w:rFonts w:hint="eastAsia" w:ascii="宋体" w:hAnsi="宋体" w:eastAsia="宋体" w:cs="Times New Roman"/>
          <w:color w:val="auto"/>
          <w:kern w:val="0"/>
          <w:sz w:val="21"/>
          <w:szCs w:val="21"/>
          <w:highlight w:val="none"/>
          <w:lang w:val="en-US" w:eastAsia="zh-CN"/>
        </w:rPr>
        <w:t>5</w:t>
      </w:r>
      <w:r>
        <w:rPr>
          <w:rFonts w:ascii="宋体" w:hAnsi="宋体" w:eastAsia="宋体" w:cs="Times New Roman"/>
          <w:color w:val="auto"/>
          <w:kern w:val="0"/>
          <w:sz w:val="21"/>
          <w:szCs w:val="21"/>
          <w:highlight w:val="none"/>
        </w:rPr>
        <w:t>.2.1 承包人违约的情形</w:t>
      </w:r>
    </w:p>
    <w:p w14:paraId="210FB06C">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color w:val="auto"/>
          <w:kern w:val="0"/>
          <w:sz w:val="21"/>
          <w:szCs w:val="21"/>
          <w:highlight w:val="none"/>
        </w:rPr>
        <w:t>承包人违约的其他情形：</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1）若发现承包人有违反施工图纸及相应技术规范或偷工减料的行为，发包人有权对承包人处以每次</w:t>
      </w:r>
      <w:r>
        <w:rPr>
          <w:rFonts w:hint="eastAsia" w:ascii="宋体" w:hAnsi="宋体" w:eastAsia="宋体" w:cs="Times New Roman"/>
          <w:bCs/>
          <w:color w:val="auto"/>
          <w:sz w:val="21"/>
          <w:szCs w:val="21"/>
          <w:highlight w:val="none"/>
          <w:u w:val="single"/>
        </w:rPr>
        <w:t>1</w:t>
      </w:r>
      <w:r>
        <w:rPr>
          <w:rFonts w:ascii="宋体" w:hAnsi="宋体" w:eastAsia="宋体" w:cs="Times New Roman"/>
          <w:bCs/>
          <w:color w:val="auto"/>
          <w:sz w:val="21"/>
          <w:szCs w:val="21"/>
          <w:highlight w:val="none"/>
          <w:u w:val="single"/>
        </w:rPr>
        <w:t>万元以下的罚款，承包人需无条件返工至设计图纸及相关现行规范要求；</w:t>
      </w:r>
    </w:p>
    <w:p w14:paraId="274A2F92">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bCs/>
          <w:color w:val="auto"/>
          <w:sz w:val="21"/>
          <w:szCs w:val="21"/>
          <w:highlight w:val="none"/>
          <w:u w:val="single"/>
        </w:rPr>
        <w:t>（2）若承包人延误提交竣工结算申请单，承包人按照1000元/天支付违约金；</w:t>
      </w:r>
    </w:p>
    <w:p w14:paraId="348E194B">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 xml:space="preserve">3）合同工期按承包人投标文件中的自报工期，如承包人原因延误工期，承包人应承担违约责任并向发包人支付赔偿费，赔偿费支付办法按合同工期延误一天赔偿 </w:t>
      </w:r>
      <w:r>
        <w:rPr>
          <w:rFonts w:hint="eastAsia" w:ascii="宋体" w:hAnsi="宋体" w:eastAsia="宋体" w:cs="Times New Roman"/>
          <w:bCs/>
          <w:color w:val="auto"/>
          <w:sz w:val="21"/>
          <w:szCs w:val="21"/>
          <w:highlight w:val="none"/>
          <w:u w:val="single"/>
        </w:rPr>
        <w:t>5</w:t>
      </w:r>
      <w:r>
        <w:rPr>
          <w:rFonts w:ascii="宋体" w:hAnsi="宋体" w:eastAsia="宋体" w:cs="Times New Roman"/>
          <w:bCs/>
          <w:color w:val="auto"/>
          <w:sz w:val="21"/>
          <w:szCs w:val="21"/>
          <w:highlight w:val="none"/>
          <w:u w:val="single"/>
        </w:rPr>
        <w:t>000元，并以合同总价的2%为限，支付赔偿费不能解除承包人应完成本工程的责任以及合同规定的其他相关责任；</w:t>
      </w:r>
    </w:p>
    <w:p w14:paraId="5178A7CC">
      <w:pPr>
        <w:spacing w:line="360" w:lineRule="auto"/>
        <w:ind w:firstLine="420" w:firstLineChars="200"/>
        <w:jc w:val="left"/>
        <w:rPr>
          <w:rFonts w:hint="eastAsia" w:ascii="宋体" w:hAnsi="宋体" w:eastAsia="宋体" w:cs="Times New Roman"/>
          <w:color w:val="auto"/>
          <w:kern w:val="0"/>
          <w:sz w:val="21"/>
          <w:szCs w:val="21"/>
          <w:highlight w:val="non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4）若工程首次</w:t>
      </w:r>
      <w:r>
        <w:rPr>
          <w:rFonts w:hint="eastAsia" w:ascii="宋体" w:hAnsi="宋体" w:eastAsia="宋体" w:cs="Times New Roman"/>
          <w:bCs/>
          <w:color w:val="auto"/>
          <w:sz w:val="21"/>
          <w:szCs w:val="21"/>
          <w:highlight w:val="none"/>
          <w:u w:val="single"/>
        </w:rPr>
        <w:t>竣工验收未通过，承包人必须按照发包人要求及相关规范、标准整改到位并承担合同总价的</w:t>
      </w:r>
      <w:r>
        <w:rPr>
          <w:rFonts w:ascii="宋体" w:hAnsi="宋体" w:eastAsia="宋体" w:cs="Times New Roman"/>
          <w:bCs/>
          <w:color w:val="auto"/>
          <w:sz w:val="21"/>
          <w:szCs w:val="21"/>
          <w:highlight w:val="none"/>
          <w:u w:val="single"/>
        </w:rPr>
        <w:t>0.1%的罚款，从工程竣工结算款中直接扣除</w:t>
      </w:r>
      <w:r>
        <w:rPr>
          <w:rFonts w:ascii="宋体" w:hAnsi="宋体" w:eastAsia="宋体" w:cs="Times New Roman"/>
          <w:color w:val="auto"/>
          <w:kern w:val="0"/>
          <w:sz w:val="21"/>
          <w:szCs w:val="21"/>
          <w:highlight w:val="none"/>
        </w:rPr>
        <w:t>。</w:t>
      </w:r>
    </w:p>
    <w:p w14:paraId="07A2F32F">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1</w:t>
      </w:r>
      <w:r>
        <w:rPr>
          <w:rFonts w:hint="eastAsia" w:ascii="宋体" w:hAnsi="宋体" w:eastAsia="宋体" w:cs="Times New Roman"/>
          <w:color w:val="auto"/>
          <w:kern w:val="0"/>
          <w:sz w:val="21"/>
          <w:szCs w:val="21"/>
          <w:highlight w:val="none"/>
          <w:lang w:val="en-US" w:eastAsia="zh-CN"/>
        </w:rPr>
        <w:t>5</w:t>
      </w:r>
      <w:r>
        <w:rPr>
          <w:rFonts w:ascii="宋体" w:hAnsi="宋体" w:eastAsia="宋体" w:cs="Times New Roman"/>
          <w:color w:val="auto"/>
          <w:kern w:val="0"/>
          <w:sz w:val="21"/>
          <w:szCs w:val="21"/>
          <w:highlight w:val="none"/>
        </w:rPr>
        <w:t>.2.2承包人违约的责任</w:t>
      </w:r>
    </w:p>
    <w:p w14:paraId="2431AB22">
      <w:pPr>
        <w:spacing w:line="360" w:lineRule="auto"/>
        <w:ind w:firstLine="420" w:firstLineChars="200"/>
        <w:jc w:val="left"/>
        <w:rPr>
          <w:rFonts w:ascii="Calibri" w:hAnsi="Calibri" w:eastAsia="仿宋_GB2312" w:cs="Times New Roman"/>
          <w:color w:val="auto"/>
          <w:kern w:val="0"/>
          <w:sz w:val="21"/>
          <w:szCs w:val="21"/>
          <w:highlight w:val="none"/>
          <w:u w:val="single"/>
        </w:rPr>
      </w:pPr>
      <w:r>
        <w:rPr>
          <w:rFonts w:ascii="宋体" w:hAnsi="宋体" w:eastAsia="宋体" w:cs="Times New Roman"/>
          <w:color w:val="auto"/>
          <w:kern w:val="0"/>
          <w:sz w:val="21"/>
          <w:szCs w:val="21"/>
          <w:highlight w:val="none"/>
        </w:rPr>
        <w:t>承包人违约责任的承担方式和计算方法：</w:t>
      </w:r>
      <w:r>
        <w:rPr>
          <w:rFonts w:hint="eastAsia" w:ascii="宋体" w:hAnsi="宋体" w:eastAsia="宋体" w:cs="Times New Roman"/>
          <w:bCs/>
          <w:color w:val="auto"/>
          <w:sz w:val="21"/>
          <w:szCs w:val="21"/>
          <w:highlight w:val="none"/>
          <w:u w:val="single"/>
        </w:rPr>
        <w:t>承包人承担因其违约行为给发包人造成的实际损失和延误的工期</w:t>
      </w:r>
      <w:r>
        <w:rPr>
          <w:rFonts w:ascii="宋体" w:hAnsi="宋体" w:eastAsia="宋体" w:cs="Times New Roman"/>
          <w:color w:val="auto"/>
          <w:kern w:val="0"/>
          <w:sz w:val="21"/>
          <w:szCs w:val="21"/>
          <w:highlight w:val="none"/>
        </w:rPr>
        <w:t>。</w:t>
      </w:r>
      <w:r>
        <w:rPr>
          <w:rFonts w:ascii="宋体" w:hAnsi="宋体" w:eastAsia="宋体" w:cs="Times New Roman"/>
          <w:color w:val="auto"/>
          <w:sz w:val="21"/>
          <w:szCs w:val="21"/>
          <w:highlight w:val="none"/>
        </w:rPr>
        <w:t xml:space="preserve">    </w:t>
      </w:r>
    </w:p>
    <w:p w14:paraId="0B23D860">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5</w:t>
      </w:r>
      <w:r>
        <w:rPr>
          <w:rFonts w:ascii="宋体" w:hAnsi="宋体" w:eastAsia="宋体" w:cs="Times New Roman"/>
          <w:color w:val="auto"/>
          <w:sz w:val="21"/>
          <w:szCs w:val="21"/>
          <w:highlight w:val="none"/>
        </w:rPr>
        <w:t>.2.3 因承包人违约解除合同</w:t>
      </w:r>
    </w:p>
    <w:p w14:paraId="7EFDCCB5">
      <w:pPr>
        <w:spacing w:before="120" w:after="120" w:line="360" w:lineRule="auto"/>
        <w:ind w:firstLine="420" w:firstLineChars="200"/>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关于承包人违约解除合同的特别约定：</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kern w:val="0"/>
          <w:sz w:val="21"/>
          <w:szCs w:val="21"/>
          <w:highlight w:val="none"/>
        </w:rPr>
        <w:t>。</w:t>
      </w:r>
    </w:p>
    <w:p w14:paraId="6BC57225">
      <w:pPr>
        <w:spacing w:before="120" w:after="120" w:line="360" w:lineRule="auto"/>
        <w:ind w:firstLine="420" w:firstLineChars="200"/>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发包人</w:t>
      </w:r>
      <w:r>
        <w:rPr>
          <w:rFonts w:hint="eastAsia" w:ascii="宋体" w:hAnsi="宋体" w:eastAsia="宋体" w:cs="Times New Roman"/>
          <w:color w:val="auto"/>
          <w:kern w:val="0"/>
          <w:sz w:val="21"/>
          <w:szCs w:val="21"/>
          <w:highlight w:val="none"/>
        </w:rPr>
        <w:t>继续</w:t>
      </w:r>
      <w:r>
        <w:rPr>
          <w:rFonts w:ascii="宋体" w:hAnsi="宋体" w:eastAsia="宋体" w:cs="Times New Roman"/>
          <w:color w:val="auto"/>
          <w:kern w:val="0"/>
          <w:sz w:val="21"/>
          <w:szCs w:val="21"/>
          <w:highlight w:val="none"/>
        </w:rPr>
        <w:t>使用承包人在施工现场的材料、设备、临时工程、承包人文件和由承包人或以其名义编制的其他文件</w:t>
      </w:r>
      <w:r>
        <w:rPr>
          <w:rFonts w:hint="eastAsia" w:ascii="宋体" w:hAnsi="宋体" w:eastAsia="宋体" w:cs="Times New Roman"/>
          <w:color w:val="auto"/>
          <w:kern w:val="0"/>
          <w:sz w:val="21"/>
          <w:szCs w:val="21"/>
          <w:highlight w:val="none"/>
        </w:rPr>
        <w:t>的费用承担方式</w:t>
      </w:r>
      <w:r>
        <w:rPr>
          <w:rFonts w:ascii="宋体" w:hAnsi="宋体" w:eastAsia="宋体" w:cs="Times New Roman"/>
          <w:color w:val="auto"/>
          <w:kern w:val="0"/>
          <w:sz w:val="21"/>
          <w:szCs w:val="21"/>
          <w:highlight w:val="none"/>
        </w:rPr>
        <w:t>：</w:t>
      </w:r>
      <w:r>
        <w:rPr>
          <w:rFonts w:hint="eastAsia" w:ascii="宋体" w:hAnsi="宋体" w:eastAsia="宋体" w:cs="Times New Roman"/>
          <w:bCs/>
          <w:color w:val="auto"/>
          <w:sz w:val="21"/>
          <w:szCs w:val="21"/>
          <w:highlight w:val="none"/>
          <w:u w:val="single"/>
        </w:rPr>
        <w:t>按通用条款执行</w:t>
      </w:r>
      <w:r>
        <w:rPr>
          <w:rFonts w:hint="eastAsia" w:ascii="宋体" w:hAnsi="宋体" w:eastAsia="宋体" w:cs="Times New Roman"/>
          <w:color w:val="auto"/>
          <w:kern w:val="0"/>
          <w:sz w:val="21"/>
          <w:szCs w:val="21"/>
          <w:highlight w:val="none"/>
        </w:rPr>
        <w:t>。</w:t>
      </w:r>
    </w:p>
    <w:p w14:paraId="47EBACE5">
      <w:pPr>
        <w:keepNext/>
        <w:keepLines/>
        <w:spacing w:before="120" w:after="120" w:line="360" w:lineRule="auto"/>
        <w:ind w:firstLine="562"/>
        <w:outlineLvl w:val="3"/>
        <w:rPr>
          <w:rFonts w:ascii="Calibri" w:hAnsi="Calibri" w:eastAsia="黑体" w:cs="Times New Roman"/>
          <w:color w:val="auto"/>
          <w:sz w:val="28"/>
          <w:highlight w:val="none"/>
        </w:rPr>
      </w:pPr>
      <w:r>
        <w:rPr>
          <w:rFonts w:ascii="Calibri" w:hAnsi="Calibri" w:eastAsia="黑体" w:cs="Times New Roman"/>
          <w:color w:val="auto"/>
          <w:sz w:val="28"/>
          <w:highlight w:val="none"/>
        </w:rPr>
        <w:t>1</w:t>
      </w:r>
      <w:r>
        <w:rPr>
          <w:rFonts w:hint="eastAsia" w:ascii="Calibri" w:hAnsi="Calibri" w:eastAsia="黑体" w:cs="Times New Roman"/>
          <w:color w:val="auto"/>
          <w:sz w:val="28"/>
          <w:highlight w:val="none"/>
          <w:lang w:val="en-US" w:eastAsia="zh-CN"/>
        </w:rPr>
        <w:t>6</w:t>
      </w:r>
      <w:r>
        <w:rPr>
          <w:rFonts w:ascii="Calibri" w:hAnsi="Calibri" w:eastAsia="黑体" w:cs="Times New Roman"/>
          <w:color w:val="auto"/>
          <w:sz w:val="28"/>
          <w:highlight w:val="none"/>
        </w:rPr>
        <w:t xml:space="preserve">. 不可抗力 </w:t>
      </w:r>
    </w:p>
    <w:p w14:paraId="12E83B66">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6</w:t>
      </w:r>
      <w:r>
        <w:rPr>
          <w:rFonts w:ascii="Calibri" w:hAnsi="Calibri" w:eastAsia="黑体" w:cs="Times New Roman"/>
          <w:color w:val="auto"/>
          <w:sz w:val="24"/>
          <w:szCs w:val="24"/>
          <w:highlight w:val="none"/>
        </w:rPr>
        <w:t>.1 不可抗力的确认</w:t>
      </w:r>
    </w:p>
    <w:p w14:paraId="174D2844">
      <w:pPr>
        <w:spacing w:line="360" w:lineRule="auto"/>
        <w:ind w:firstLine="420" w:firstLineChars="200"/>
        <w:jc w:val="left"/>
        <w:rPr>
          <w:rFonts w:hint="eastAsia" w:ascii="宋体" w:hAnsi="宋体" w:eastAsia="宋体" w:cs="Times New Roman"/>
          <w:color w:val="auto"/>
          <w:kern w:val="0"/>
          <w:sz w:val="21"/>
          <w:szCs w:val="21"/>
          <w:highlight w:val="none"/>
          <w:u w:val="single"/>
        </w:rPr>
      </w:pPr>
      <w:r>
        <w:rPr>
          <w:rFonts w:ascii="宋体" w:hAnsi="宋体" w:eastAsia="宋体" w:cs="Times New Roman"/>
          <w:color w:val="auto"/>
          <w:sz w:val="21"/>
          <w:szCs w:val="21"/>
          <w:highlight w:val="none"/>
        </w:rPr>
        <w:t>除通用合同条款约定的不可抗力事件之外，视为不可抗力的其他情形：</w:t>
      </w:r>
      <w:r>
        <w:rPr>
          <w:rFonts w:hint="eastAsia" w:ascii="宋体" w:hAnsi="宋体" w:eastAsia="宋体" w:cs="Times New Roman"/>
          <w:bCs/>
          <w:color w:val="auto"/>
          <w:sz w:val="21"/>
          <w:szCs w:val="21"/>
          <w:highlight w:val="none"/>
          <w:u w:val="single"/>
        </w:rPr>
        <w:t>空中飞行物体坠落或其他非发包人、承包人责任造成的爆炸、火灾，以及当地气象部门认定的</w:t>
      </w:r>
      <w:r>
        <w:rPr>
          <w:rFonts w:ascii="宋体" w:hAnsi="宋体" w:eastAsia="宋体" w:cs="Times New Roman"/>
          <w:bCs/>
          <w:color w:val="auto"/>
          <w:sz w:val="21"/>
          <w:szCs w:val="21"/>
          <w:highlight w:val="none"/>
          <w:u w:val="single"/>
        </w:rPr>
        <w:t>50年一遇风、雨、雪、洪</w:t>
      </w:r>
      <w:r>
        <w:rPr>
          <w:rFonts w:hint="eastAsia" w:ascii="宋体" w:hAnsi="宋体" w:eastAsia="宋体" w:cs="Times New Roman"/>
          <w:bCs/>
          <w:color w:val="auto"/>
          <w:sz w:val="21"/>
          <w:szCs w:val="21"/>
          <w:highlight w:val="none"/>
          <w:u w:val="single"/>
        </w:rPr>
        <w:t>水</w:t>
      </w:r>
      <w:r>
        <w:rPr>
          <w:rFonts w:ascii="宋体" w:hAnsi="宋体" w:eastAsia="宋体" w:cs="Times New Roman"/>
          <w:bCs/>
          <w:color w:val="auto"/>
          <w:sz w:val="21"/>
          <w:szCs w:val="21"/>
          <w:highlight w:val="none"/>
          <w:u w:val="single"/>
        </w:rPr>
        <w:t>、</w:t>
      </w:r>
      <w:r>
        <w:rPr>
          <w:rFonts w:hint="eastAsia" w:ascii="宋体" w:hAnsi="宋体" w:eastAsia="宋体" w:cs="Times New Roman"/>
          <w:bCs/>
          <w:color w:val="auto"/>
          <w:sz w:val="21"/>
          <w:szCs w:val="21"/>
          <w:highlight w:val="none"/>
          <w:u w:val="single"/>
        </w:rPr>
        <w:t>地</w:t>
      </w:r>
      <w:r>
        <w:rPr>
          <w:rFonts w:ascii="宋体" w:hAnsi="宋体" w:eastAsia="宋体" w:cs="Times New Roman"/>
          <w:bCs/>
          <w:color w:val="auto"/>
          <w:sz w:val="21"/>
          <w:szCs w:val="21"/>
          <w:highlight w:val="none"/>
          <w:u w:val="single"/>
        </w:rPr>
        <w:t>震等自然灾害</w:t>
      </w:r>
      <w:r>
        <w:rPr>
          <w:rFonts w:ascii="宋体" w:hAnsi="宋体" w:eastAsia="宋体" w:cs="Times New Roman"/>
          <w:color w:val="auto"/>
          <w:kern w:val="0"/>
          <w:sz w:val="21"/>
          <w:szCs w:val="21"/>
          <w:highlight w:val="none"/>
        </w:rPr>
        <w:t>。</w:t>
      </w:r>
    </w:p>
    <w:p w14:paraId="00CFE369">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6</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2</w:t>
      </w:r>
      <w:r>
        <w:rPr>
          <w:rFonts w:ascii="Calibri" w:hAnsi="Calibri" w:eastAsia="黑体" w:cs="Times New Roman"/>
          <w:color w:val="auto"/>
          <w:sz w:val="24"/>
          <w:szCs w:val="24"/>
          <w:highlight w:val="none"/>
        </w:rPr>
        <w:t xml:space="preserve"> 因不可抗力解除合同</w:t>
      </w:r>
    </w:p>
    <w:p w14:paraId="6FB0C730">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合同解除后，发包人应在商定或确定发包人应支付款项后</w:t>
      </w:r>
      <w:r>
        <w:rPr>
          <w:rFonts w:ascii="宋体" w:hAnsi="宋体" w:eastAsia="宋体" w:cs="Times New Roman"/>
          <w:bCs/>
          <w:color w:val="auto"/>
          <w:sz w:val="21"/>
          <w:szCs w:val="21"/>
          <w:highlight w:val="none"/>
          <w:u w:val="single"/>
        </w:rPr>
        <w:t>28</w:t>
      </w:r>
      <w:r>
        <w:rPr>
          <w:rFonts w:ascii="宋体" w:hAnsi="宋体" w:eastAsia="宋体" w:cs="Times New Roman"/>
          <w:color w:val="auto"/>
          <w:sz w:val="21"/>
          <w:szCs w:val="21"/>
          <w:highlight w:val="none"/>
        </w:rPr>
        <w:t>天内完成款项的支付。</w:t>
      </w:r>
    </w:p>
    <w:p w14:paraId="28DCEE66">
      <w:pPr>
        <w:keepNext/>
        <w:keepLines/>
        <w:spacing w:before="120" w:after="120" w:line="360" w:lineRule="auto"/>
        <w:ind w:firstLine="562"/>
        <w:outlineLvl w:val="3"/>
        <w:rPr>
          <w:rFonts w:ascii="Calibri" w:hAnsi="Calibri" w:eastAsia="黑体" w:cs="Times New Roman"/>
          <w:color w:val="auto"/>
          <w:sz w:val="28"/>
          <w:highlight w:val="none"/>
        </w:rPr>
      </w:pPr>
      <w:r>
        <w:rPr>
          <w:rFonts w:ascii="Calibri" w:hAnsi="Calibri" w:eastAsia="黑体" w:cs="Times New Roman"/>
          <w:color w:val="auto"/>
          <w:sz w:val="28"/>
          <w:highlight w:val="none"/>
        </w:rPr>
        <w:t>1</w:t>
      </w:r>
      <w:r>
        <w:rPr>
          <w:rFonts w:hint="eastAsia" w:ascii="Calibri" w:hAnsi="Calibri" w:eastAsia="黑体" w:cs="Times New Roman"/>
          <w:color w:val="auto"/>
          <w:sz w:val="28"/>
          <w:highlight w:val="none"/>
          <w:lang w:val="en-US" w:eastAsia="zh-CN"/>
        </w:rPr>
        <w:t>7</w:t>
      </w:r>
      <w:r>
        <w:rPr>
          <w:rFonts w:ascii="Calibri" w:hAnsi="Calibri" w:eastAsia="黑体" w:cs="Times New Roman"/>
          <w:color w:val="auto"/>
          <w:sz w:val="28"/>
          <w:highlight w:val="none"/>
        </w:rPr>
        <w:t>. 保险</w:t>
      </w:r>
    </w:p>
    <w:p w14:paraId="12B24CED">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7</w:t>
      </w:r>
      <w:r>
        <w:rPr>
          <w:rFonts w:ascii="Calibri" w:hAnsi="Calibri" w:eastAsia="黑体" w:cs="Times New Roman"/>
          <w:color w:val="auto"/>
          <w:sz w:val="24"/>
          <w:szCs w:val="24"/>
          <w:highlight w:val="none"/>
        </w:rPr>
        <w:t>.1 工程保险</w:t>
      </w:r>
    </w:p>
    <w:p w14:paraId="0BA61AF1">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关于工程保险的特别约定：</w:t>
      </w:r>
      <w:r>
        <w:rPr>
          <w:rFonts w:hint="eastAsia" w:ascii="宋体" w:hAnsi="宋体" w:eastAsia="宋体" w:cs="Times New Roman"/>
          <w:bCs/>
          <w:color w:val="auto"/>
          <w:sz w:val="21"/>
          <w:szCs w:val="21"/>
          <w:highlight w:val="none"/>
          <w:u w:val="single"/>
        </w:rPr>
        <w:t>由承包人办理工程一切险和第三者责任险，并承担相应保费</w:t>
      </w:r>
      <w:r>
        <w:rPr>
          <w:rFonts w:ascii="宋体" w:hAnsi="宋体" w:eastAsia="宋体" w:cs="Times New Roman"/>
          <w:color w:val="auto"/>
          <w:kern w:val="0"/>
          <w:sz w:val="21"/>
          <w:szCs w:val="21"/>
          <w:highlight w:val="none"/>
        </w:rPr>
        <w:t>。</w:t>
      </w:r>
    </w:p>
    <w:p w14:paraId="06934495">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7</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2</w:t>
      </w:r>
      <w:r>
        <w:rPr>
          <w:rFonts w:ascii="Calibri" w:hAnsi="Calibri" w:eastAsia="黑体" w:cs="Times New Roman"/>
          <w:color w:val="auto"/>
          <w:sz w:val="24"/>
          <w:szCs w:val="24"/>
          <w:highlight w:val="none"/>
        </w:rPr>
        <w:t xml:space="preserve"> 其他保险</w:t>
      </w:r>
    </w:p>
    <w:p w14:paraId="4605E75D">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color w:val="auto"/>
          <w:sz w:val="21"/>
          <w:szCs w:val="21"/>
          <w:highlight w:val="none"/>
        </w:rPr>
        <w:t>关于其他保险的约定：</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1）承包人须依法对其应投保的人身、财产（包括但不限于对本工程施工作业人员的生命财产和施工机械设备）办理保险，并支付保险费用。</w:t>
      </w:r>
    </w:p>
    <w:p w14:paraId="2A919FDB">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p>
    <w:p w14:paraId="37F4DB4A">
      <w:pPr>
        <w:spacing w:line="360" w:lineRule="auto"/>
        <w:ind w:firstLine="420" w:firstLineChars="200"/>
        <w:jc w:val="left"/>
        <w:rPr>
          <w:rFonts w:hint="eastAsia" w:ascii="宋体" w:hAnsi="宋体" w:eastAsia="宋体" w:cs="Times New Roman"/>
          <w:color w:val="auto"/>
          <w:kern w:val="0"/>
          <w:sz w:val="21"/>
          <w:szCs w:val="21"/>
          <w:highlight w:val="non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3）承包人须对本工程进行期间发生的</w:t>
      </w:r>
      <w:r>
        <w:rPr>
          <w:rFonts w:hint="eastAsia" w:ascii="宋体" w:hAnsi="宋体" w:eastAsia="宋体" w:cs="Times New Roman"/>
          <w:bCs/>
          <w:color w:val="auto"/>
          <w:sz w:val="21"/>
          <w:szCs w:val="21"/>
          <w:highlight w:val="none"/>
          <w:u w:val="single"/>
        </w:rPr>
        <w:t>与本工程有关的</w:t>
      </w:r>
      <w:r>
        <w:rPr>
          <w:rFonts w:ascii="宋体" w:hAnsi="宋体" w:eastAsia="宋体" w:cs="Times New Roman"/>
          <w:bCs/>
          <w:color w:val="auto"/>
          <w:sz w:val="21"/>
          <w:szCs w:val="21"/>
          <w:highlight w:val="none"/>
          <w:u w:val="single"/>
        </w:rPr>
        <w:t>人身伤亡及财产损坏负费用、损失、索偿或诉讼等法律责任，并保障发包人免负该等责任，除非有关</w:t>
      </w:r>
      <w:r>
        <w:rPr>
          <w:rFonts w:hint="eastAsia" w:ascii="宋体" w:hAnsi="宋体" w:eastAsia="宋体" w:cs="Times New Roman"/>
          <w:bCs/>
          <w:color w:val="auto"/>
          <w:sz w:val="21"/>
          <w:szCs w:val="21"/>
          <w:highlight w:val="none"/>
          <w:u w:val="single"/>
        </w:rPr>
        <w:t>伤亡是发包人所引致的</w:t>
      </w:r>
      <w:r>
        <w:rPr>
          <w:rFonts w:ascii="宋体" w:hAnsi="宋体" w:eastAsia="宋体" w:cs="Times New Roman"/>
          <w:color w:val="auto"/>
          <w:kern w:val="0"/>
          <w:sz w:val="21"/>
          <w:szCs w:val="21"/>
          <w:highlight w:val="none"/>
        </w:rPr>
        <w:t>。</w:t>
      </w:r>
    </w:p>
    <w:p w14:paraId="11E37952">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sz w:val="21"/>
          <w:szCs w:val="21"/>
          <w:highlight w:val="none"/>
        </w:rPr>
        <w:t>承包人是否应为其施工设备等办理财产保险：</w:t>
      </w:r>
      <w:r>
        <w:rPr>
          <w:rFonts w:hint="eastAsia" w:ascii="宋体" w:hAnsi="宋体" w:eastAsia="宋体" w:cs="Times New Roman"/>
          <w:bCs/>
          <w:color w:val="auto"/>
          <w:sz w:val="21"/>
          <w:szCs w:val="21"/>
          <w:highlight w:val="none"/>
          <w:u w:val="single"/>
        </w:rPr>
        <w:t>由承包人承担</w:t>
      </w:r>
      <w:r>
        <w:rPr>
          <w:rFonts w:ascii="宋体" w:hAnsi="宋体" w:eastAsia="宋体" w:cs="Times New Roman"/>
          <w:color w:val="auto"/>
          <w:sz w:val="21"/>
          <w:szCs w:val="21"/>
          <w:highlight w:val="none"/>
        </w:rPr>
        <w:t>。</w:t>
      </w:r>
    </w:p>
    <w:p w14:paraId="72576089">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7</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3</w:t>
      </w:r>
      <w:r>
        <w:rPr>
          <w:rFonts w:ascii="Calibri" w:hAnsi="Calibri" w:eastAsia="黑体" w:cs="Times New Roman"/>
          <w:color w:val="auto"/>
          <w:sz w:val="24"/>
          <w:szCs w:val="24"/>
          <w:highlight w:val="none"/>
        </w:rPr>
        <w:t xml:space="preserve"> 通知义务</w:t>
      </w:r>
    </w:p>
    <w:p w14:paraId="3B22B8C7">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kern w:val="0"/>
          <w:sz w:val="21"/>
          <w:szCs w:val="21"/>
          <w:highlight w:val="none"/>
        </w:rPr>
        <w:t>关于变更保险合同时的通知义务的约定：</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7575F357">
      <w:pPr>
        <w:keepNext/>
        <w:keepLines/>
        <w:spacing w:before="120" w:after="120" w:line="360" w:lineRule="auto"/>
        <w:ind w:firstLine="562"/>
        <w:outlineLvl w:val="3"/>
        <w:rPr>
          <w:rFonts w:ascii="Calibri" w:hAnsi="Calibri" w:eastAsia="黑体" w:cs="Times New Roman"/>
          <w:color w:val="auto"/>
          <w:sz w:val="28"/>
          <w:highlight w:val="none"/>
        </w:rPr>
      </w:pPr>
      <w:r>
        <w:rPr>
          <w:rFonts w:hint="eastAsia" w:ascii="Calibri" w:hAnsi="Calibri" w:eastAsia="黑体" w:cs="Times New Roman"/>
          <w:color w:val="auto"/>
          <w:sz w:val="28"/>
          <w:highlight w:val="none"/>
        </w:rPr>
        <w:t>1</w:t>
      </w:r>
      <w:r>
        <w:rPr>
          <w:rFonts w:hint="eastAsia" w:ascii="Calibri" w:hAnsi="Calibri" w:eastAsia="黑体" w:cs="Times New Roman"/>
          <w:color w:val="auto"/>
          <w:sz w:val="28"/>
          <w:highlight w:val="none"/>
          <w:lang w:val="en-US" w:eastAsia="zh-CN"/>
        </w:rPr>
        <w:t>8</w:t>
      </w:r>
      <w:r>
        <w:rPr>
          <w:rFonts w:ascii="Calibri" w:hAnsi="Calibri" w:eastAsia="黑体" w:cs="Times New Roman"/>
          <w:color w:val="auto"/>
          <w:sz w:val="28"/>
          <w:highlight w:val="none"/>
        </w:rPr>
        <w:t>. 争议解决</w:t>
      </w:r>
    </w:p>
    <w:p w14:paraId="0A7D27CA">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8</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1</w:t>
      </w:r>
      <w:r>
        <w:rPr>
          <w:rFonts w:ascii="Calibri" w:hAnsi="Calibri" w:eastAsia="黑体" w:cs="Times New Roman"/>
          <w:color w:val="auto"/>
          <w:sz w:val="24"/>
          <w:szCs w:val="24"/>
          <w:highlight w:val="none"/>
        </w:rPr>
        <w:t xml:space="preserve"> 争议评审</w:t>
      </w:r>
    </w:p>
    <w:p w14:paraId="2CD75231">
      <w:pPr>
        <w:spacing w:line="360" w:lineRule="auto"/>
        <w:ind w:left="185" w:leftChars="71" w:firstLine="315" w:firstLineChars="15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合同当事人是否同意将工程争议提交争议评审小组决</w:t>
      </w:r>
      <w:r>
        <w:rPr>
          <w:rFonts w:hint="eastAsia" w:ascii="宋体" w:hAnsi="宋体" w:eastAsia="宋体" w:cs="Times New Roman"/>
          <w:color w:val="auto"/>
          <w:sz w:val="21"/>
          <w:szCs w:val="21"/>
          <w:highlight w:val="none"/>
        </w:rPr>
        <w:t>定：</w:t>
      </w:r>
      <w:r>
        <w:rPr>
          <w:rFonts w:hint="eastAsia" w:ascii="宋体" w:hAnsi="宋体" w:eastAsia="宋体" w:cs="Times New Roman"/>
          <w:bCs/>
          <w:color w:val="auto"/>
          <w:sz w:val="21"/>
          <w:szCs w:val="21"/>
          <w:highlight w:val="none"/>
          <w:u w:val="single"/>
        </w:rPr>
        <w:t>不采用</w:t>
      </w:r>
      <w:r>
        <w:rPr>
          <w:rFonts w:hint="eastAsia" w:ascii="宋体" w:hAnsi="宋体" w:eastAsia="宋体" w:cs="Times New Roman"/>
          <w:color w:val="auto"/>
          <w:sz w:val="21"/>
          <w:szCs w:val="21"/>
          <w:highlight w:val="none"/>
        </w:rPr>
        <w:t xml:space="preserve">。  </w:t>
      </w:r>
    </w:p>
    <w:p w14:paraId="7534FBC2">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18</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.1 争议评审小组的确定</w:t>
      </w:r>
    </w:p>
    <w:p w14:paraId="0EAA589A">
      <w:pPr>
        <w:spacing w:line="360" w:lineRule="auto"/>
        <w:ind w:firstLine="420" w:firstLineChars="200"/>
        <w:jc w:val="left"/>
        <w:rPr>
          <w:rFonts w:hint="eastAsia"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争议评审小组成员的确定：</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w:t>
      </w:r>
    </w:p>
    <w:p w14:paraId="6640AA75">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选定争议评审员的期限：</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w:t>
      </w:r>
    </w:p>
    <w:p w14:paraId="3C1D2EF8">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争议评审小组成员的报酬承担方式：</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w:t>
      </w:r>
    </w:p>
    <w:p w14:paraId="68C65368">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其他事项的约定：</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w:t>
      </w:r>
    </w:p>
    <w:p w14:paraId="4A958F9B">
      <w:pPr>
        <w:autoSpaceDE w:val="0"/>
        <w:autoSpaceDN w:val="0"/>
        <w:adjustRightInd w:val="0"/>
        <w:spacing w:line="360" w:lineRule="auto"/>
        <w:ind w:firstLine="420" w:firstLineChars="200"/>
        <w:jc w:val="left"/>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lang w:val="en-US" w:eastAsia="zh-CN"/>
        </w:rPr>
        <w:t>18</w:t>
      </w:r>
      <w:r>
        <w:rPr>
          <w:rFonts w:ascii="宋体" w:hAnsi="宋体" w:eastAsia="宋体" w:cs="Times New Roman"/>
          <w:color w:val="auto"/>
          <w:kern w:val="0"/>
          <w:sz w:val="21"/>
          <w:szCs w:val="21"/>
          <w:highlight w:val="none"/>
        </w:rPr>
        <w:t>.</w:t>
      </w:r>
      <w:r>
        <w:rPr>
          <w:rFonts w:hint="eastAsia" w:ascii="宋体" w:hAnsi="宋体" w:eastAsia="宋体" w:cs="Times New Roman"/>
          <w:color w:val="auto"/>
          <w:kern w:val="0"/>
          <w:sz w:val="21"/>
          <w:szCs w:val="21"/>
          <w:highlight w:val="none"/>
          <w:lang w:val="en-US" w:eastAsia="zh-CN"/>
        </w:rPr>
        <w:t>1</w:t>
      </w:r>
      <w:r>
        <w:rPr>
          <w:rFonts w:ascii="宋体" w:hAnsi="宋体" w:eastAsia="宋体" w:cs="Times New Roman"/>
          <w:color w:val="auto"/>
          <w:kern w:val="0"/>
          <w:sz w:val="21"/>
          <w:szCs w:val="21"/>
          <w:highlight w:val="none"/>
        </w:rPr>
        <w:t>.2 争议评审小组的决定</w:t>
      </w:r>
    </w:p>
    <w:p w14:paraId="4192DA65">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合同当事人关于本项的约定：</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w:t>
      </w:r>
    </w:p>
    <w:p w14:paraId="004709B6">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8</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2</w:t>
      </w:r>
      <w:r>
        <w:rPr>
          <w:rFonts w:ascii="Calibri" w:hAnsi="Calibri" w:eastAsia="黑体" w:cs="Times New Roman"/>
          <w:color w:val="auto"/>
          <w:sz w:val="24"/>
          <w:szCs w:val="24"/>
          <w:highlight w:val="none"/>
        </w:rPr>
        <w:t>仲裁或诉讼</w:t>
      </w:r>
    </w:p>
    <w:p w14:paraId="67CA69CB">
      <w:pPr>
        <w:spacing w:after="120"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因合同及合同有关事项发生的争议，按下列第</w:t>
      </w:r>
      <w:r>
        <w:rPr>
          <w:rFonts w:ascii="宋体" w:hAnsi="宋体" w:eastAsia="宋体" w:cs="Times New Roman"/>
          <w:bCs/>
          <w:color w:val="auto"/>
          <w:sz w:val="21"/>
          <w:szCs w:val="21"/>
          <w:highlight w:val="none"/>
          <w:u w:val="single"/>
        </w:rPr>
        <w:t>2</w:t>
      </w:r>
      <w:r>
        <w:rPr>
          <w:rFonts w:ascii="宋体" w:hAnsi="宋体" w:eastAsia="宋体" w:cs="Times New Roman"/>
          <w:color w:val="auto"/>
          <w:sz w:val="21"/>
          <w:szCs w:val="21"/>
          <w:highlight w:val="none"/>
        </w:rPr>
        <w:t>种方式</w:t>
      </w:r>
      <w:r>
        <w:rPr>
          <w:rFonts w:hint="eastAsia" w:ascii="宋体" w:hAnsi="宋体" w:eastAsia="宋体" w:cs="Times New Roman"/>
          <w:color w:val="auto"/>
          <w:sz w:val="21"/>
          <w:szCs w:val="21"/>
          <w:highlight w:val="none"/>
        </w:rPr>
        <w:t>解</w:t>
      </w:r>
      <w:r>
        <w:rPr>
          <w:rFonts w:ascii="宋体" w:hAnsi="宋体" w:eastAsia="宋体" w:cs="Times New Roman"/>
          <w:color w:val="auto"/>
          <w:sz w:val="21"/>
          <w:szCs w:val="21"/>
          <w:highlight w:val="none"/>
        </w:rPr>
        <w:t>决：</w:t>
      </w:r>
    </w:p>
    <w:p w14:paraId="7909FE98">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（1）向</w:t>
      </w:r>
      <w:r>
        <w:rPr>
          <w:rFonts w:hint="eastAsia" w:ascii="宋体" w:hAnsi="宋体" w:eastAsia="宋体" w:cs="Times New Roman"/>
          <w:bCs/>
          <w:color w:val="auto"/>
          <w:sz w:val="21"/>
          <w:szCs w:val="21"/>
          <w:highlight w:val="none"/>
          <w:u w:val="single"/>
          <w:lang w:val="en-US" w:eastAsia="zh-CN"/>
        </w:rPr>
        <w:t>扬州</w:t>
      </w:r>
      <w:r>
        <w:rPr>
          <w:rFonts w:ascii="宋体" w:hAnsi="宋体" w:eastAsia="宋体" w:cs="Times New Roman"/>
          <w:color w:val="auto"/>
          <w:sz w:val="21"/>
          <w:szCs w:val="21"/>
          <w:highlight w:val="none"/>
        </w:rPr>
        <w:t>仲裁委员会申请仲裁；</w:t>
      </w:r>
    </w:p>
    <w:p w14:paraId="6BAA9FCD">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（2）向</w:t>
      </w:r>
      <w:r>
        <w:rPr>
          <w:rFonts w:hint="eastAsia" w:ascii="宋体" w:hAnsi="宋体" w:eastAsia="宋体" w:cs="Times New Roman"/>
          <w:bCs/>
          <w:color w:val="auto"/>
          <w:sz w:val="21"/>
          <w:szCs w:val="21"/>
          <w:highlight w:val="none"/>
          <w:u w:val="single"/>
          <w:lang w:val="en-US" w:eastAsia="zh-CN"/>
        </w:rPr>
        <w:t>扬州</w:t>
      </w:r>
      <w:r>
        <w:rPr>
          <w:rFonts w:hint="eastAsia" w:ascii="宋体" w:hAnsi="宋体" w:eastAsia="宋体" w:cs="Times New Roman"/>
          <w:bCs/>
          <w:color w:val="auto"/>
          <w:sz w:val="21"/>
          <w:szCs w:val="21"/>
          <w:highlight w:val="none"/>
          <w:u w:val="single"/>
        </w:rPr>
        <w:t>市</w:t>
      </w:r>
      <w:r>
        <w:rPr>
          <w:rFonts w:hint="eastAsia" w:ascii="宋体" w:hAnsi="宋体" w:eastAsia="宋体" w:cs="Times New Roman"/>
          <w:bCs/>
          <w:color w:val="auto"/>
          <w:sz w:val="21"/>
          <w:szCs w:val="21"/>
          <w:highlight w:val="none"/>
          <w:u w:val="single"/>
          <w:lang w:val="en-US" w:eastAsia="zh-CN"/>
        </w:rPr>
        <w:t>江都</w:t>
      </w:r>
      <w:r>
        <w:rPr>
          <w:rFonts w:hint="eastAsia" w:ascii="宋体" w:hAnsi="宋体" w:eastAsia="宋体" w:cs="Times New Roman"/>
          <w:bCs/>
          <w:color w:val="auto"/>
          <w:sz w:val="21"/>
          <w:szCs w:val="21"/>
          <w:highlight w:val="none"/>
          <w:u w:val="single"/>
        </w:rPr>
        <w:t>区</w:t>
      </w:r>
      <w:r>
        <w:rPr>
          <w:rFonts w:ascii="宋体" w:hAnsi="宋体" w:eastAsia="宋体" w:cs="Times New Roman"/>
          <w:color w:val="auto"/>
          <w:sz w:val="21"/>
          <w:szCs w:val="21"/>
          <w:highlight w:val="none"/>
        </w:rPr>
        <w:t>人民法院起诉。</w:t>
      </w:r>
    </w:p>
    <w:p w14:paraId="421471BC">
      <w:pPr>
        <w:keepNext/>
        <w:keepLines/>
        <w:spacing w:before="120" w:after="120" w:line="360" w:lineRule="auto"/>
        <w:ind w:firstLine="562"/>
        <w:outlineLvl w:val="3"/>
        <w:rPr>
          <w:rFonts w:ascii="Calibri" w:hAnsi="Calibri" w:eastAsia="黑体" w:cs="Times New Roman"/>
          <w:color w:val="auto"/>
          <w:sz w:val="28"/>
          <w:highlight w:val="none"/>
        </w:rPr>
      </w:pPr>
      <w:r>
        <w:rPr>
          <w:rFonts w:hint="eastAsia" w:ascii="Calibri" w:hAnsi="Calibri" w:eastAsia="黑体" w:cs="Times New Roman"/>
          <w:color w:val="auto"/>
          <w:sz w:val="28"/>
          <w:highlight w:val="none"/>
          <w:lang w:val="en-US" w:eastAsia="zh-CN"/>
        </w:rPr>
        <w:t>19</w:t>
      </w:r>
      <w:r>
        <w:rPr>
          <w:rFonts w:hint="eastAsia" w:ascii="Calibri" w:hAnsi="Calibri" w:eastAsia="黑体" w:cs="Times New Roman"/>
          <w:color w:val="auto"/>
          <w:sz w:val="28"/>
          <w:highlight w:val="none"/>
        </w:rPr>
        <w:t>. 其他</w:t>
      </w:r>
    </w:p>
    <w:p w14:paraId="20D1955F">
      <w:pPr>
        <w:rPr>
          <w:color w:val="auto"/>
          <w:highlight w:val="none"/>
        </w:rPr>
      </w:pPr>
      <w:r>
        <w:rPr>
          <w:rFonts w:hint="eastAsia" w:ascii="Calibri" w:hAnsi="Calibri" w:eastAsia="黑体" w:cs="Times New Roman"/>
          <w:color w:val="auto"/>
          <w:sz w:val="28"/>
          <w:highlight w:val="none"/>
        </w:rPr>
        <w:br w:type="page"/>
      </w:r>
    </w:p>
    <w:p w14:paraId="002E1EB5">
      <w:pPr>
        <w:pStyle w:val="2"/>
        <w:keepNext/>
        <w:keepLines/>
        <w:pageBreakBefore w:val="0"/>
        <w:widowControl w:val="0"/>
        <w:kinsoku/>
        <w:wordWrap/>
        <w:overflowPunct/>
        <w:topLinePunct w:val="0"/>
        <w:autoSpaceDE/>
        <w:autoSpaceDN/>
        <w:bidi w:val="0"/>
        <w:adjustRightInd/>
        <w:snapToGrid/>
        <w:spacing w:line="360" w:lineRule="auto"/>
        <w:jc w:val="center"/>
        <w:textAlignment w:val="auto"/>
        <w:rPr>
          <w:rFonts w:hint="eastAsia"/>
          <w:color w:val="auto"/>
          <w:highlight w:val="none"/>
          <w:lang w:val="en-US" w:eastAsia="zh-CN"/>
        </w:rPr>
      </w:pPr>
      <w:bookmarkStart w:id="1762" w:name="_Toc16848"/>
      <w:r>
        <w:rPr>
          <w:rFonts w:hint="eastAsia"/>
          <w:color w:val="auto"/>
          <w:highlight w:val="none"/>
          <w:lang w:val="en-US" w:eastAsia="zh-CN"/>
        </w:rPr>
        <w:t>第五章  响应文件格式</w:t>
      </w:r>
      <w:bookmarkEnd w:id="1762"/>
    </w:p>
    <w:p w14:paraId="63F60DBA">
      <w:pPr>
        <w:rPr>
          <w:color w:val="auto"/>
          <w:highlight w:val="none"/>
        </w:rPr>
      </w:pPr>
      <w:r>
        <w:rPr>
          <w:rFonts w:hint="eastAsia" w:ascii="楷体" w:hAnsi="楷体" w:eastAsia="楷体" w:cs="楷体"/>
          <w:b/>
          <w:bCs/>
          <w:color w:val="auto"/>
          <w:sz w:val="36"/>
          <w:szCs w:val="24"/>
          <w:highlight w:val="none"/>
          <w:u w:val="single"/>
          <w:lang w:val="zh-CN"/>
        </w:rPr>
        <w:t>注：</w:t>
      </w:r>
      <w:r>
        <w:rPr>
          <w:rFonts w:hint="eastAsia" w:ascii="楷体" w:hAnsi="楷体" w:eastAsia="楷体" w:cs="楷体"/>
          <w:b/>
          <w:bCs/>
          <w:color w:val="auto"/>
          <w:sz w:val="36"/>
          <w:szCs w:val="24"/>
          <w:highlight w:val="none"/>
          <w:u w:val="single"/>
        </w:rPr>
        <w:t>供应商</w:t>
      </w:r>
      <w:r>
        <w:rPr>
          <w:rFonts w:hint="eastAsia" w:ascii="楷体" w:hAnsi="楷体" w:eastAsia="楷体" w:cs="楷体"/>
          <w:b/>
          <w:bCs/>
          <w:color w:val="auto"/>
          <w:sz w:val="36"/>
          <w:szCs w:val="24"/>
          <w:highlight w:val="none"/>
          <w:u w:val="single"/>
          <w:lang w:val="zh-CN"/>
        </w:rPr>
        <w:t>所提交的</w:t>
      </w:r>
      <w:r>
        <w:rPr>
          <w:rFonts w:hint="eastAsia" w:ascii="楷体" w:hAnsi="楷体" w:eastAsia="楷体" w:cs="楷体"/>
          <w:b/>
          <w:bCs/>
          <w:color w:val="auto"/>
          <w:sz w:val="36"/>
          <w:szCs w:val="24"/>
          <w:highlight w:val="none"/>
          <w:u w:val="single"/>
        </w:rPr>
        <w:t>磋商</w:t>
      </w:r>
      <w:r>
        <w:rPr>
          <w:rFonts w:hint="eastAsia" w:ascii="楷体" w:hAnsi="楷体" w:eastAsia="楷体" w:cs="楷体"/>
          <w:b/>
          <w:bCs/>
          <w:color w:val="auto"/>
          <w:sz w:val="36"/>
          <w:szCs w:val="24"/>
          <w:highlight w:val="none"/>
          <w:u w:val="single"/>
          <w:lang w:val="zh-CN"/>
        </w:rPr>
        <w:t>响应文件资料文件的完整与否，将直接影响对</w:t>
      </w:r>
      <w:r>
        <w:rPr>
          <w:rFonts w:hint="eastAsia" w:ascii="楷体" w:hAnsi="楷体" w:eastAsia="楷体" w:cs="楷体"/>
          <w:b/>
          <w:bCs/>
          <w:color w:val="auto"/>
          <w:sz w:val="36"/>
          <w:szCs w:val="24"/>
          <w:highlight w:val="none"/>
          <w:u w:val="single"/>
        </w:rPr>
        <w:t>供应商</w:t>
      </w:r>
      <w:r>
        <w:rPr>
          <w:rFonts w:hint="eastAsia" w:ascii="楷体" w:hAnsi="楷体" w:eastAsia="楷体" w:cs="楷体"/>
          <w:b/>
          <w:bCs/>
          <w:color w:val="auto"/>
          <w:sz w:val="36"/>
          <w:szCs w:val="24"/>
          <w:highlight w:val="none"/>
          <w:u w:val="single"/>
          <w:lang w:val="zh-CN"/>
        </w:rPr>
        <w:t>是否实质性响应</w:t>
      </w:r>
      <w:r>
        <w:rPr>
          <w:rFonts w:hint="eastAsia" w:ascii="楷体" w:hAnsi="楷体" w:eastAsia="楷体" w:cs="楷体"/>
          <w:b/>
          <w:bCs/>
          <w:color w:val="auto"/>
          <w:sz w:val="36"/>
          <w:szCs w:val="24"/>
          <w:highlight w:val="none"/>
          <w:u w:val="single"/>
        </w:rPr>
        <w:t>磋商</w:t>
      </w:r>
      <w:r>
        <w:rPr>
          <w:rFonts w:hint="eastAsia" w:ascii="楷体" w:hAnsi="楷体" w:eastAsia="楷体" w:cs="楷体"/>
          <w:b/>
          <w:bCs/>
          <w:color w:val="auto"/>
          <w:sz w:val="36"/>
          <w:szCs w:val="24"/>
          <w:highlight w:val="none"/>
          <w:u w:val="single"/>
          <w:lang w:val="zh-CN"/>
        </w:rPr>
        <w:t>采购文件要求的评判或评分。</w:t>
      </w:r>
    </w:p>
    <w:p w14:paraId="27BAA40B">
      <w:pPr>
        <w:tabs>
          <w:tab w:val="left" w:pos="0"/>
        </w:tabs>
        <w:autoSpaceDE w:val="0"/>
        <w:autoSpaceDN w:val="0"/>
        <w:adjustRightInd w:val="0"/>
        <w:snapToGrid w:val="0"/>
        <w:spacing w:line="450" w:lineRule="exact"/>
        <w:ind w:firstLine="502"/>
        <w:jc w:val="center"/>
        <w:rPr>
          <w:rFonts w:eastAsia="宋体"/>
          <w:color w:val="auto"/>
          <w:sz w:val="24"/>
          <w:szCs w:val="24"/>
          <w:highlight w:val="none"/>
          <w:u w:val="single"/>
        </w:rPr>
      </w:pPr>
      <w:bookmarkStart w:id="1763" w:name="_Toc6385490"/>
      <w:bookmarkStart w:id="1764" w:name="_Toc514856788"/>
    </w:p>
    <w:p w14:paraId="1A7F3B9A">
      <w:pPr>
        <w:rPr>
          <w:color w:val="auto"/>
          <w:sz w:val="44"/>
          <w:highlight w:val="none"/>
        </w:rPr>
      </w:pPr>
    </w:p>
    <w:p w14:paraId="60063178">
      <w:pPr>
        <w:jc w:val="center"/>
        <w:rPr>
          <w:color w:val="auto"/>
          <w:sz w:val="44"/>
          <w:highlight w:val="none"/>
        </w:rPr>
      </w:pPr>
      <w:r>
        <w:rPr>
          <w:rFonts w:eastAsia="宋体"/>
          <w:b/>
          <w:color w:val="auto"/>
          <w:sz w:val="56"/>
          <w:highlight w:val="none"/>
        </w:rPr>
        <w:t>磋</w:t>
      </w:r>
      <w:r>
        <w:rPr>
          <w:rFonts w:hint="eastAsia" w:eastAsia="宋体"/>
          <w:b/>
          <w:color w:val="auto"/>
          <w:sz w:val="56"/>
          <w:highlight w:val="none"/>
        </w:rPr>
        <w:t xml:space="preserve"> </w:t>
      </w:r>
      <w:r>
        <w:rPr>
          <w:rFonts w:eastAsia="宋体"/>
          <w:b/>
          <w:color w:val="auto"/>
          <w:sz w:val="56"/>
          <w:highlight w:val="none"/>
        </w:rPr>
        <w:t>商</w:t>
      </w:r>
      <w:r>
        <w:rPr>
          <w:rFonts w:hint="eastAsia" w:eastAsia="宋体"/>
          <w:b/>
          <w:color w:val="auto"/>
          <w:sz w:val="56"/>
          <w:highlight w:val="none"/>
        </w:rPr>
        <w:t xml:space="preserve"> </w:t>
      </w:r>
      <w:r>
        <w:rPr>
          <w:rFonts w:eastAsia="宋体"/>
          <w:b/>
          <w:color w:val="auto"/>
          <w:sz w:val="56"/>
          <w:highlight w:val="none"/>
        </w:rPr>
        <w:t>响</w:t>
      </w:r>
      <w:r>
        <w:rPr>
          <w:rFonts w:hint="eastAsia" w:eastAsia="宋体"/>
          <w:b/>
          <w:color w:val="auto"/>
          <w:sz w:val="56"/>
          <w:highlight w:val="none"/>
        </w:rPr>
        <w:t xml:space="preserve"> </w:t>
      </w:r>
      <w:r>
        <w:rPr>
          <w:rFonts w:eastAsia="宋体"/>
          <w:b/>
          <w:color w:val="auto"/>
          <w:sz w:val="56"/>
          <w:highlight w:val="none"/>
        </w:rPr>
        <w:t>应</w:t>
      </w:r>
      <w:r>
        <w:rPr>
          <w:rFonts w:hint="eastAsia" w:eastAsia="宋体"/>
          <w:b/>
          <w:color w:val="auto"/>
          <w:sz w:val="56"/>
          <w:highlight w:val="none"/>
        </w:rPr>
        <w:t xml:space="preserve"> </w:t>
      </w:r>
      <w:r>
        <w:rPr>
          <w:rFonts w:eastAsia="宋体"/>
          <w:b/>
          <w:color w:val="auto"/>
          <w:sz w:val="56"/>
          <w:highlight w:val="none"/>
        </w:rPr>
        <w:t>文</w:t>
      </w:r>
      <w:r>
        <w:rPr>
          <w:rFonts w:hint="eastAsia" w:eastAsia="宋体"/>
          <w:b/>
          <w:color w:val="auto"/>
          <w:sz w:val="56"/>
          <w:highlight w:val="none"/>
        </w:rPr>
        <w:t xml:space="preserve"> </w:t>
      </w:r>
      <w:r>
        <w:rPr>
          <w:rFonts w:eastAsia="宋体"/>
          <w:b/>
          <w:color w:val="auto"/>
          <w:sz w:val="56"/>
          <w:highlight w:val="none"/>
        </w:rPr>
        <w:t>件</w:t>
      </w:r>
    </w:p>
    <w:p w14:paraId="6029FBB6">
      <w:pPr>
        <w:ind w:firstLine="1446"/>
        <w:rPr>
          <w:rFonts w:eastAsia="宋体"/>
          <w:b/>
          <w:color w:val="auto"/>
          <w:sz w:val="36"/>
          <w:highlight w:val="none"/>
        </w:rPr>
      </w:pPr>
    </w:p>
    <w:p w14:paraId="6E7B7E12">
      <w:pPr>
        <w:ind w:firstLine="1446"/>
        <w:rPr>
          <w:rFonts w:hint="eastAsia" w:eastAsia="宋体"/>
          <w:b/>
          <w:color w:val="auto"/>
          <w:sz w:val="36"/>
          <w:highlight w:val="none"/>
        </w:rPr>
      </w:pPr>
    </w:p>
    <w:p w14:paraId="04B541B3">
      <w:pPr>
        <w:ind w:firstLine="1446"/>
        <w:rPr>
          <w:rFonts w:hint="eastAsia" w:eastAsia="宋体"/>
          <w:b/>
          <w:color w:val="auto"/>
          <w:sz w:val="36"/>
          <w:highlight w:val="none"/>
        </w:rPr>
      </w:pPr>
    </w:p>
    <w:p w14:paraId="34E1F989">
      <w:pPr>
        <w:ind w:firstLine="1446"/>
        <w:rPr>
          <w:rFonts w:hint="eastAsia" w:eastAsia="宋体"/>
          <w:b/>
          <w:color w:val="auto"/>
          <w:sz w:val="36"/>
          <w:highlight w:val="none"/>
        </w:rPr>
      </w:pPr>
    </w:p>
    <w:p w14:paraId="7491CD4D">
      <w:pPr>
        <w:ind w:firstLine="1446"/>
        <w:rPr>
          <w:rFonts w:hint="eastAsia" w:eastAsia="宋体"/>
          <w:b/>
          <w:color w:val="auto"/>
          <w:sz w:val="36"/>
          <w:highlight w:val="none"/>
        </w:rPr>
      </w:pPr>
    </w:p>
    <w:p w14:paraId="580272EB">
      <w:pPr>
        <w:ind w:firstLine="1446"/>
        <w:rPr>
          <w:rFonts w:hint="eastAsia" w:eastAsia="宋体"/>
          <w:b/>
          <w:color w:val="auto"/>
          <w:sz w:val="36"/>
          <w:highlight w:val="none"/>
        </w:rPr>
      </w:pPr>
    </w:p>
    <w:p w14:paraId="5FD59E5E">
      <w:pPr>
        <w:ind w:firstLine="1446"/>
        <w:rPr>
          <w:rFonts w:hint="eastAsia" w:eastAsia="宋体"/>
          <w:b/>
          <w:color w:val="auto"/>
          <w:sz w:val="36"/>
          <w:highlight w:val="none"/>
        </w:rPr>
      </w:pPr>
    </w:p>
    <w:p w14:paraId="66366481">
      <w:pPr>
        <w:ind w:firstLine="1446"/>
        <w:rPr>
          <w:rFonts w:hint="eastAsia" w:eastAsia="宋体"/>
          <w:b/>
          <w:color w:val="auto"/>
          <w:sz w:val="36"/>
          <w:highlight w:val="none"/>
        </w:rPr>
      </w:pPr>
    </w:p>
    <w:p w14:paraId="360D88B5">
      <w:pPr>
        <w:ind w:firstLine="1446"/>
        <w:rPr>
          <w:rFonts w:hint="eastAsia" w:eastAsia="宋体"/>
          <w:b/>
          <w:color w:val="auto"/>
          <w:sz w:val="36"/>
          <w:highlight w:val="none"/>
        </w:rPr>
      </w:pPr>
    </w:p>
    <w:p w14:paraId="06452AA5">
      <w:pPr>
        <w:ind w:firstLine="1446"/>
        <w:jc w:val="left"/>
        <w:rPr>
          <w:rFonts w:hint="eastAsia" w:eastAsia="宋体"/>
          <w:b/>
          <w:color w:val="auto"/>
          <w:sz w:val="36"/>
          <w:highlight w:val="none"/>
        </w:rPr>
      </w:pPr>
      <w:r>
        <w:rPr>
          <w:rFonts w:hint="eastAsia" w:eastAsia="宋体"/>
          <w:b/>
          <w:color w:val="auto"/>
          <w:sz w:val="36"/>
          <w:highlight w:val="none"/>
        </w:rPr>
        <w:t>项 目 名 称：</w:t>
      </w:r>
      <w:r>
        <w:rPr>
          <w:rFonts w:hint="eastAsia" w:eastAsia="宋体"/>
          <w:b/>
          <w:color w:val="auto"/>
          <w:sz w:val="36"/>
          <w:highlight w:val="none"/>
          <w:u w:val="single"/>
          <w:lang w:val="en-US" w:eastAsia="zh-CN"/>
        </w:rPr>
        <w:t xml:space="preserve">            </w:t>
      </w:r>
      <w:r>
        <w:rPr>
          <w:rFonts w:hint="eastAsia" w:eastAsia="宋体"/>
          <w:b/>
          <w:color w:val="auto"/>
          <w:sz w:val="36"/>
          <w:highlight w:val="none"/>
        </w:rPr>
        <w:t xml:space="preserve">        </w:t>
      </w:r>
    </w:p>
    <w:p w14:paraId="7546F43E">
      <w:pPr>
        <w:ind w:firstLine="1446"/>
        <w:jc w:val="left"/>
        <w:rPr>
          <w:rFonts w:hint="eastAsia" w:eastAsia="宋体"/>
          <w:b/>
          <w:color w:val="auto"/>
          <w:sz w:val="36"/>
          <w:highlight w:val="none"/>
        </w:rPr>
      </w:pPr>
      <w:r>
        <w:rPr>
          <w:rFonts w:hint="eastAsia" w:eastAsia="宋体"/>
          <w:b/>
          <w:color w:val="auto"/>
          <w:sz w:val="36"/>
          <w:highlight w:val="none"/>
        </w:rPr>
        <w:t xml:space="preserve">采 购 编 号： </w:t>
      </w:r>
      <w:r>
        <w:rPr>
          <w:rFonts w:hint="eastAsia" w:eastAsia="宋体"/>
          <w:b/>
          <w:color w:val="auto"/>
          <w:sz w:val="36"/>
          <w:highlight w:val="none"/>
          <w:u w:val="single"/>
        </w:rPr>
        <w:t xml:space="preserve">            </w:t>
      </w:r>
      <w:r>
        <w:rPr>
          <w:rFonts w:hint="eastAsia" w:eastAsia="宋体"/>
          <w:b/>
          <w:color w:val="auto"/>
          <w:sz w:val="36"/>
          <w:highlight w:val="none"/>
        </w:rPr>
        <w:t xml:space="preserve">  </w:t>
      </w:r>
    </w:p>
    <w:p w14:paraId="43040EEA">
      <w:pPr>
        <w:ind w:firstLine="1446"/>
        <w:jc w:val="left"/>
        <w:rPr>
          <w:rFonts w:hint="eastAsia" w:eastAsia="宋体"/>
          <w:b/>
          <w:color w:val="auto"/>
          <w:sz w:val="36"/>
          <w:highlight w:val="none"/>
        </w:rPr>
      </w:pPr>
      <w:r>
        <w:rPr>
          <w:rFonts w:hint="eastAsia" w:eastAsia="宋体"/>
          <w:b/>
          <w:color w:val="auto"/>
          <w:sz w:val="36"/>
          <w:highlight w:val="none"/>
        </w:rPr>
        <w:t>供应商名称 ：</w:t>
      </w:r>
      <w:r>
        <w:rPr>
          <w:rFonts w:hint="eastAsia" w:eastAsia="宋体"/>
          <w:b/>
          <w:color w:val="auto"/>
          <w:sz w:val="36"/>
          <w:highlight w:val="none"/>
          <w:u w:val="single"/>
        </w:rPr>
        <w:t>（加盖CA电子公章）</w:t>
      </w:r>
    </w:p>
    <w:p w14:paraId="519C12CE">
      <w:pPr>
        <w:ind w:firstLine="1446"/>
        <w:jc w:val="left"/>
        <w:rPr>
          <w:rFonts w:hint="eastAsia" w:eastAsia="宋体"/>
          <w:b/>
          <w:color w:val="auto"/>
          <w:sz w:val="36"/>
          <w:highlight w:val="none"/>
          <w:u w:val="single"/>
        </w:rPr>
      </w:pPr>
      <w:r>
        <w:rPr>
          <w:rFonts w:hint="eastAsia" w:eastAsia="宋体"/>
          <w:b/>
          <w:color w:val="auto"/>
          <w:sz w:val="36"/>
          <w:highlight w:val="none"/>
        </w:rPr>
        <w:t>日      期 ：</w:t>
      </w:r>
      <w:r>
        <w:rPr>
          <w:rFonts w:hint="eastAsia" w:eastAsia="宋体"/>
          <w:b/>
          <w:color w:val="auto"/>
          <w:sz w:val="36"/>
          <w:highlight w:val="none"/>
          <w:u w:val="single"/>
        </w:rPr>
        <w:t xml:space="preserve">               </w:t>
      </w:r>
    </w:p>
    <w:p w14:paraId="295D1089">
      <w:pPr>
        <w:ind w:firstLine="1446"/>
        <w:rPr>
          <w:rFonts w:eastAsia="宋体"/>
          <w:b/>
          <w:color w:val="auto"/>
          <w:sz w:val="36"/>
          <w:highlight w:val="none"/>
          <w:u w:val="single"/>
        </w:rPr>
      </w:pPr>
    </w:p>
    <w:p w14:paraId="2B8CB1E0">
      <w:pPr>
        <w:rPr>
          <w:color w:val="auto"/>
          <w:highlight w:val="none"/>
        </w:rPr>
      </w:pPr>
    </w:p>
    <w:p w14:paraId="5CEF2CB0">
      <w:pPr>
        <w:adjustRightInd w:val="0"/>
        <w:snapToGrid w:val="0"/>
        <w:jc w:val="center"/>
        <w:rPr>
          <w:b/>
          <w:color w:val="auto"/>
          <w:sz w:val="22"/>
          <w:szCs w:val="22"/>
          <w:highlight w:val="none"/>
        </w:rPr>
      </w:pPr>
      <w:r>
        <w:rPr>
          <w:b/>
          <w:color w:val="auto"/>
          <w:sz w:val="22"/>
          <w:szCs w:val="22"/>
          <w:highlight w:val="none"/>
        </w:rPr>
        <w:br w:type="page"/>
      </w:r>
    </w:p>
    <w:p w14:paraId="134DB6F2">
      <w:pPr>
        <w:adjustRightInd w:val="0"/>
        <w:snapToGrid w:val="0"/>
        <w:ind w:firstLine="482" w:firstLineChars="200"/>
        <w:jc w:val="center"/>
        <w:rPr>
          <w:rFonts w:eastAsia="宋体"/>
          <w:b/>
          <w:color w:val="auto"/>
          <w:sz w:val="24"/>
          <w:szCs w:val="24"/>
          <w:highlight w:val="none"/>
        </w:rPr>
      </w:pPr>
      <w:r>
        <w:rPr>
          <w:rFonts w:eastAsia="宋体"/>
          <w:b/>
          <w:color w:val="auto"/>
          <w:sz w:val="24"/>
          <w:szCs w:val="24"/>
          <w:highlight w:val="none"/>
        </w:rPr>
        <w:t>评审要素索引表</w:t>
      </w:r>
    </w:p>
    <w:p w14:paraId="1708522B">
      <w:pPr>
        <w:adjustRightInd w:val="0"/>
        <w:snapToGrid w:val="0"/>
        <w:jc w:val="center"/>
        <w:rPr>
          <w:b/>
          <w:color w:val="auto"/>
          <w:sz w:val="22"/>
          <w:szCs w:val="22"/>
          <w:highlight w:val="none"/>
        </w:rPr>
      </w:pP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6067"/>
        <w:gridCol w:w="1633"/>
      </w:tblGrid>
      <w:tr w14:paraId="37DEA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6594F9C1">
            <w:pPr>
              <w:adjustRightInd w:val="0"/>
              <w:snapToGrid w:val="0"/>
              <w:jc w:val="center"/>
              <w:rPr>
                <w:b/>
                <w:color w:val="auto"/>
                <w:sz w:val="22"/>
                <w:szCs w:val="22"/>
                <w:highlight w:val="none"/>
              </w:rPr>
            </w:pPr>
            <w:r>
              <w:rPr>
                <w:b/>
                <w:color w:val="auto"/>
                <w:sz w:val="22"/>
                <w:szCs w:val="22"/>
                <w:highlight w:val="none"/>
              </w:rPr>
              <w:t>序号</w:t>
            </w:r>
          </w:p>
        </w:tc>
        <w:tc>
          <w:tcPr>
            <w:tcW w:w="6067" w:type="dxa"/>
            <w:tcBorders>
              <w:top w:val="single" w:color="auto" w:sz="4" w:space="0"/>
              <w:left w:val="single" w:color="auto" w:sz="4" w:space="0"/>
              <w:bottom w:val="single" w:color="auto" w:sz="4" w:space="0"/>
              <w:right w:val="single" w:color="auto" w:sz="4" w:space="0"/>
            </w:tcBorders>
            <w:vAlign w:val="center"/>
          </w:tcPr>
          <w:p w14:paraId="6382B6EE">
            <w:pPr>
              <w:adjustRightInd w:val="0"/>
              <w:snapToGrid w:val="0"/>
              <w:jc w:val="center"/>
              <w:rPr>
                <w:b/>
                <w:color w:val="auto"/>
                <w:sz w:val="22"/>
                <w:szCs w:val="22"/>
                <w:highlight w:val="none"/>
              </w:rPr>
            </w:pPr>
            <w:r>
              <w:rPr>
                <w:b/>
                <w:color w:val="auto"/>
                <w:sz w:val="22"/>
                <w:szCs w:val="22"/>
                <w:highlight w:val="none"/>
              </w:rPr>
              <w:t>评审内容</w:t>
            </w:r>
          </w:p>
        </w:tc>
        <w:tc>
          <w:tcPr>
            <w:tcW w:w="1633" w:type="dxa"/>
            <w:tcBorders>
              <w:top w:val="single" w:color="auto" w:sz="4" w:space="0"/>
              <w:left w:val="single" w:color="auto" w:sz="4" w:space="0"/>
              <w:bottom w:val="single" w:color="auto" w:sz="4" w:space="0"/>
              <w:right w:val="single" w:color="auto" w:sz="4" w:space="0"/>
            </w:tcBorders>
            <w:vAlign w:val="center"/>
          </w:tcPr>
          <w:p w14:paraId="692F9289">
            <w:pPr>
              <w:adjustRightInd w:val="0"/>
              <w:snapToGrid w:val="0"/>
              <w:jc w:val="center"/>
              <w:rPr>
                <w:b/>
                <w:color w:val="auto"/>
                <w:sz w:val="22"/>
                <w:szCs w:val="22"/>
                <w:highlight w:val="none"/>
              </w:rPr>
            </w:pPr>
            <w:r>
              <w:rPr>
                <w:b/>
                <w:color w:val="auto"/>
                <w:sz w:val="22"/>
                <w:szCs w:val="22"/>
                <w:highlight w:val="none"/>
              </w:rPr>
              <w:t>响应文件</w:t>
            </w:r>
          </w:p>
          <w:p w14:paraId="6609DC5C">
            <w:pPr>
              <w:adjustRightInd w:val="0"/>
              <w:snapToGrid w:val="0"/>
              <w:jc w:val="center"/>
              <w:rPr>
                <w:b/>
                <w:color w:val="auto"/>
                <w:sz w:val="22"/>
                <w:szCs w:val="22"/>
                <w:highlight w:val="none"/>
              </w:rPr>
            </w:pPr>
            <w:r>
              <w:rPr>
                <w:b/>
                <w:color w:val="auto"/>
                <w:sz w:val="22"/>
                <w:szCs w:val="22"/>
                <w:highlight w:val="none"/>
              </w:rPr>
              <w:t>页码范围</w:t>
            </w:r>
          </w:p>
        </w:tc>
      </w:tr>
      <w:tr w14:paraId="21334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4ED1E164">
            <w:pPr>
              <w:pStyle w:val="42"/>
              <w:widowControl w:val="0"/>
              <w:pBdr>
                <w:bottom w:val="none" w:color="auto" w:sz="0" w:space="0"/>
                <w:right w:val="none" w:color="auto" w:sz="0" w:space="0"/>
              </w:pBdr>
              <w:adjustRightInd w:val="0"/>
              <w:snapToGrid w:val="0"/>
              <w:spacing w:before="0" w:beforeAutospacing="0" w:after="0" w:afterAutospacing="0"/>
              <w:rPr>
                <w:b/>
                <w:color w:val="auto"/>
                <w:kern w:val="2"/>
                <w:sz w:val="20"/>
                <w:szCs w:val="28"/>
                <w:highlight w:val="none"/>
              </w:rPr>
            </w:pPr>
            <w:r>
              <w:rPr>
                <w:b/>
                <w:color w:val="auto"/>
                <w:kern w:val="2"/>
                <w:sz w:val="20"/>
                <w:szCs w:val="28"/>
                <w:highlight w:val="none"/>
              </w:rPr>
              <w:t>一</w:t>
            </w:r>
          </w:p>
        </w:tc>
        <w:tc>
          <w:tcPr>
            <w:tcW w:w="7700" w:type="dxa"/>
            <w:gridSpan w:val="2"/>
            <w:tcBorders>
              <w:top w:val="single" w:color="auto" w:sz="4" w:space="0"/>
              <w:left w:val="single" w:color="auto" w:sz="4" w:space="0"/>
              <w:bottom w:val="single" w:color="auto" w:sz="4" w:space="0"/>
              <w:right w:val="single" w:color="auto" w:sz="4" w:space="0"/>
            </w:tcBorders>
            <w:vAlign w:val="center"/>
          </w:tcPr>
          <w:p w14:paraId="0CDEBE6B">
            <w:pPr>
              <w:adjustRightInd w:val="0"/>
              <w:snapToGrid w:val="0"/>
              <w:jc w:val="center"/>
              <w:rPr>
                <w:b/>
                <w:color w:val="auto"/>
                <w:sz w:val="20"/>
                <w:szCs w:val="28"/>
                <w:highlight w:val="none"/>
              </w:rPr>
            </w:pPr>
            <w:r>
              <w:rPr>
                <w:b/>
                <w:color w:val="auto"/>
                <w:sz w:val="20"/>
                <w:szCs w:val="28"/>
                <w:highlight w:val="none"/>
              </w:rPr>
              <w:t>商务</w:t>
            </w:r>
          </w:p>
        </w:tc>
      </w:tr>
      <w:tr w14:paraId="7B8C4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25A1375B">
            <w:pPr>
              <w:adjustRightInd w:val="0"/>
              <w:snapToGrid w:val="0"/>
              <w:jc w:val="center"/>
              <w:rPr>
                <w:b/>
                <w:bCs/>
                <w:color w:val="auto"/>
                <w:sz w:val="20"/>
                <w:szCs w:val="28"/>
                <w:highlight w:val="none"/>
              </w:rPr>
            </w:pPr>
            <w:r>
              <w:rPr>
                <w:b/>
                <w:bCs/>
                <w:color w:val="auto"/>
                <w:sz w:val="20"/>
                <w:szCs w:val="28"/>
                <w:highlight w:val="none"/>
              </w:rPr>
              <w:t>1</w:t>
            </w:r>
          </w:p>
        </w:tc>
        <w:tc>
          <w:tcPr>
            <w:tcW w:w="6067" w:type="dxa"/>
            <w:tcBorders>
              <w:top w:val="single" w:color="auto" w:sz="4" w:space="0"/>
              <w:left w:val="single" w:color="auto" w:sz="4" w:space="0"/>
              <w:bottom w:val="single" w:color="auto" w:sz="4" w:space="0"/>
              <w:right w:val="single" w:color="auto" w:sz="4" w:space="0"/>
            </w:tcBorders>
            <w:vAlign w:val="center"/>
          </w:tcPr>
          <w:p w14:paraId="5301927F">
            <w:pPr>
              <w:adjustRightInd w:val="0"/>
              <w:snapToGrid w:val="0"/>
              <w:jc w:val="center"/>
              <w:rPr>
                <w:bCs/>
                <w:color w:val="auto"/>
                <w:sz w:val="20"/>
                <w:szCs w:val="28"/>
                <w:highlight w:val="none"/>
                <w:u w:val="single"/>
              </w:rPr>
            </w:pPr>
            <w:r>
              <w:rPr>
                <w:rFonts w:hint="eastAsia"/>
                <w:bCs/>
                <w:color w:val="auto"/>
                <w:sz w:val="20"/>
                <w:szCs w:val="28"/>
                <w:highlight w:val="none"/>
                <w:lang w:eastAsia="zh-CN"/>
              </w:rPr>
              <w:t>…</w:t>
            </w:r>
          </w:p>
        </w:tc>
        <w:tc>
          <w:tcPr>
            <w:tcW w:w="1633" w:type="dxa"/>
            <w:tcBorders>
              <w:top w:val="single" w:color="auto" w:sz="4" w:space="0"/>
              <w:left w:val="single" w:color="auto" w:sz="4" w:space="0"/>
              <w:bottom w:val="single" w:color="auto" w:sz="4" w:space="0"/>
              <w:right w:val="single" w:color="auto" w:sz="4" w:space="0"/>
            </w:tcBorders>
            <w:vAlign w:val="center"/>
          </w:tcPr>
          <w:p w14:paraId="4D669A1C">
            <w:pPr>
              <w:adjustRightInd w:val="0"/>
              <w:snapToGrid w:val="0"/>
              <w:rPr>
                <w:bCs/>
                <w:color w:val="auto"/>
                <w:sz w:val="20"/>
                <w:szCs w:val="28"/>
                <w:highlight w:val="none"/>
                <w:u w:val="singl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lang w:eastAsia="zh-CN"/>
              </w:rPr>
              <w:t>~</w:t>
            </w:r>
            <w:r>
              <w:rPr>
                <w:bCs/>
                <w:color w:val="auto"/>
                <w:sz w:val="20"/>
                <w:szCs w:val="28"/>
                <w:highlight w:val="none"/>
              </w:rPr>
              <w:t>P</w:t>
            </w:r>
            <w:r>
              <w:rPr>
                <w:bCs/>
                <w:color w:val="auto"/>
                <w:sz w:val="20"/>
                <w:szCs w:val="28"/>
                <w:highlight w:val="none"/>
                <w:u w:val="single"/>
              </w:rPr>
              <w:t xml:space="preserve">   </w:t>
            </w:r>
          </w:p>
        </w:tc>
      </w:tr>
      <w:tr w14:paraId="0BA0F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2C63898E">
            <w:pPr>
              <w:adjustRightInd w:val="0"/>
              <w:snapToGrid w:val="0"/>
              <w:jc w:val="center"/>
              <w:rPr>
                <w:b/>
                <w:bCs/>
                <w:color w:val="auto"/>
                <w:sz w:val="20"/>
                <w:szCs w:val="28"/>
                <w:highlight w:val="none"/>
              </w:rPr>
            </w:pPr>
            <w:r>
              <w:rPr>
                <w:b/>
                <w:bCs/>
                <w:color w:val="auto"/>
                <w:sz w:val="20"/>
                <w:szCs w:val="28"/>
                <w:highlight w:val="none"/>
              </w:rPr>
              <w:t>2</w:t>
            </w:r>
          </w:p>
        </w:tc>
        <w:tc>
          <w:tcPr>
            <w:tcW w:w="6067" w:type="dxa"/>
            <w:tcBorders>
              <w:top w:val="single" w:color="auto" w:sz="4" w:space="0"/>
              <w:left w:val="single" w:color="auto" w:sz="4" w:space="0"/>
              <w:bottom w:val="single" w:color="auto" w:sz="4" w:space="0"/>
              <w:right w:val="single" w:color="auto" w:sz="4" w:space="0"/>
            </w:tcBorders>
            <w:vAlign w:val="center"/>
          </w:tcPr>
          <w:p w14:paraId="1B1D6865">
            <w:pPr>
              <w:adjustRightInd w:val="0"/>
              <w:snapToGrid w:val="0"/>
              <w:jc w:val="center"/>
              <w:rPr>
                <w:bCs/>
                <w:color w:val="auto"/>
                <w:sz w:val="20"/>
                <w:szCs w:val="28"/>
                <w:highlight w:val="none"/>
              </w:rPr>
            </w:pPr>
            <w:r>
              <w:rPr>
                <w:rFonts w:hint="eastAsia"/>
                <w:bCs/>
                <w:color w:val="auto"/>
                <w:sz w:val="20"/>
                <w:szCs w:val="28"/>
                <w:highlight w:val="none"/>
                <w:lang w:eastAsia="zh-CN"/>
              </w:rPr>
              <w:t>…</w:t>
            </w:r>
          </w:p>
        </w:tc>
        <w:tc>
          <w:tcPr>
            <w:tcW w:w="1633" w:type="dxa"/>
            <w:tcBorders>
              <w:top w:val="single" w:color="auto" w:sz="4" w:space="0"/>
              <w:left w:val="single" w:color="auto" w:sz="4" w:space="0"/>
              <w:bottom w:val="single" w:color="auto" w:sz="4" w:space="0"/>
              <w:right w:val="single" w:color="auto" w:sz="4" w:space="0"/>
            </w:tcBorders>
            <w:vAlign w:val="center"/>
          </w:tcPr>
          <w:p w14:paraId="2A30F7E9">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lang w:eastAsia="zh-CN"/>
              </w:rPr>
              <w:t>~</w:t>
            </w:r>
            <w:r>
              <w:rPr>
                <w:bCs/>
                <w:color w:val="auto"/>
                <w:sz w:val="20"/>
                <w:szCs w:val="28"/>
                <w:highlight w:val="none"/>
              </w:rPr>
              <w:t>P</w:t>
            </w:r>
            <w:r>
              <w:rPr>
                <w:bCs/>
                <w:color w:val="auto"/>
                <w:sz w:val="20"/>
                <w:szCs w:val="28"/>
                <w:highlight w:val="none"/>
                <w:u w:val="single"/>
              </w:rPr>
              <w:t xml:space="preserve">   </w:t>
            </w:r>
          </w:p>
        </w:tc>
      </w:tr>
      <w:tr w14:paraId="796EC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5047B3A5">
            <w:pPr>
              <w:adjustRightInd w:val="0"/>
              <w:snapToGrid w:val="0"/>
              <w:jc w:val="center"/>
              <w:rPr>
                <w:b/>
                <w:bCs/>
                <w:color w:val="auto"/>
                <w:sz w:val="20"/>
                <w:szCs w:val="28"/>
                <w:highlight w:val="none"/>
              </w:rPr>
            </w:pPr>
            <w:r>
              <w:rPr>
                <w:b/>
                <w:bCs/>
                <w:color w:val="auto"/>
                <w:sz w:val="20"/>
                <w:szCs w:val="28"/>
                <w:highlight w:val="none"/>
              </w:rPr>
              <w:t>3</w:t>
            </w:r>
          </w:p>
        </w:tc>
        <w:tc>
          <w:tcPr>
            <w:tcW w:w="6067" w:type="dxa"/>
            <w:tcBorders>
              <w:top w:val="single" w:color="auto" w:sz="4" w:space="0"/>
              <w:left w:val="single" w:color="auto" w:sz="4" w:space="0"/>
              <w:bottom w:val="single" w:color="auto" w:sz="4" w:space="0"/>
              <w:right w:val="single" w:color="auto" w:sz="4" w:space="0"/>
            </w:tcBorders>
            <w:vAlign w:val="center"/>
          </w:tcPr>
          <w:p w14:paraId="2DDD935D">
            <w:pPr>
              <w:adjustRightInd w:val="0"/>
              <w:snapToGrid w:val="0"/>
              <w:jc w:val="center"/>
              <w:rPr>
                <w:bCs/>
                <w:color w:val="auto"/>
                <w:sz w:val="20"/>
                <w:szCs w:val="28"/>
                <w:highlight w:val="none"/>
              </w:rPr>
            </w:pPr>
            <w:r>
              <w:rPr>
                <w:rFonts w:hint="eastAsia"/>
                <w:bCs/>
                <w:color w:val="auto"/>
                <w:sz w:val="20"/>
                <w:szCs w:val="28"/>
                <w:highlight w:val="none"/>
                <w:lang w:eastAsia="zh-CN"/>
              </w:rPr>
              <w:t>…</w:t>
            </w:r>
          </w:p>
        </w:tc>
        <w:tc>
          <w:tcPr>
            <w:tcW w:w="1633" w:type="dxa"/>
            <w:tcBorders>
              <w:top w:val="single" w:color="auto" w:sz="4" w:space="0"/>
              <w:left w:val="single" w:color="auto" w:sz="4" w:space="0"/>
              <w:bottom w:val="single" w:color="auto" w:sz="4" w:space="0"/>
              <w:right w:val="single" w:color="auto" w:sz="4" w:space="0"/>
            </w:tcBorders>
            <w:vAlign w:val="center"/>
          </w:tcPr>
          <w:p w14:paraId="65E318C6">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lang w:eastAsia="zh-CN"/>
              </w:rPr>
              <w:t>~</w:t>
            </w:r>
            <w:r>
              <w:rPr>
                <w:bCs/>
                <w:color w:val="auto"/>
                <w:sz w:val="20"/>
                <w:szCs w:val="28"/>
                <w:highlight w:val="none"/>
              </w:rPr>
              <w:t>P</w:t>
            </w:r>
            <w:r>
              <w:rPr>
                <w:bCs/>
                <w:color w:val="auto"/>
                <w:sz w:val="20"/>
                <w:szCs w:val="28"/>
                <w:highlight w:val="none"/>
                <w:u w:val="single"/>
              </w:rPr>
              <w:t xml:space="preserve">   </w:t>
            </w:r>
          </w:p>
        </w:tc>
      </w:tr>
      <w:tr w14:paraId="0E132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006B6855">
            <w:pPr>
              <w:adjustRightInd w:val="0"/>
              <w:snapToGrid w:val="0"/>
              <w:jc w:val="center"/>
              <w:rPr>
                <w:b/>
                <w:bCs/>
                <w:color w:val="auto"/>
                <w:sz w:val="20"/>
                <w:szCs w:val="28"/>
                <w:highlight w:val="none"/>
              </w:rPr>
            </w:pPr>
            <w:r>
              <w:rPr>
                <w:b/>
                <w:bCs/>
                <w:color w:val="auto"/>
                <w:sz w:val="20"/>
                <w:szCs w:val="28"/>
                <w:highlight w:val="none"/>
              </w:rPr>
              <w:t>…</w:t>
            </w:r>
          </w:p>
        </w:tc>
        <w:tc>
          <w:tcPr>
            <w:tcW w:w="6067" w:type="dxa"/>
            <w:tcBorders>
              <w:top w:val="single" w:color="auto" w:sz="4" w:space="0"/>
              <w:left w:val="single" w:color="auto" w:sz="4" w:space="0"/>
              <w:bottom w:val="single" w:color="auto" w:sz="4" w:space="0"/>
              <w:right w:val="single" w:color="auto" w:sz="4" w:space="0"/>
            </w:tcBorders>
            <w:vAlign w:val="center"/>
          </w:tcPr>
          <w:p w14:paraId="5EB314D8">
            <w:pPr>
              <w:adjustRightInd w:val="0"/>
              <w:snapToGrid w:val="0"/>
              <w:jc w:val="center"/>
              <w:rPr>
                <w:bCs/>
                <w:color w:val="auto"/>
                <w:sz w:val="20"/>
                <w:szCs w:val="28"/>
                <w:highlight w:val="none"/>
              </w:rPr>
            </w:pPr>
            <w:r>
              <w:rPr>
                <w:rFonts w:hint="eastAsia"/>
                <w:bCs/>
                <w:color w:val="auto"/>
                <w:sz w:val="20"/>
                <w:szCs w:val="28"/>
                <w:highlight w:val="none"/>
                <w:lang w:eastAsia="zh-CN"/>
              </w:rPr>
              <w:t>…</w:t>
            </w:r>
          </w:p>
        </w:tc>
        <w:tc>
          <w:tcPr>
            <w:tcW w:w="1633" w:type="dxa"/>
            <w:tcBorders>
              <w:top w:val="single" w:color="auto" w:sz="4" w:space="0"/>
              <w:left w:val="single" w:color="auto" w:sz="4" w:space="0"/>
              <w:bottom w:val="single" w:color="auto" w:sz="4" w:space="0"/>
              <w:right w:val="single" w:color="auto" w:sz="4" w:space="0"/>
            </w:tcBorders>
            <w:vAlign w:val="center"/>
          </w:tcPr>
          <w:p w14:paraId="07230AAE">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lang w:eastAsia="zh-CN"/>
              </w:rPr>
              <w:t>~</w:t>
            </w:r>
            <w:r>
              <w:rPr>
                <w:bCs/>
                <w:color w:val="auto"/>
                <w:sz w:val="20"/>
                <w:szCs w:val="28"/>
                <w:highlight w:val="none"/>
              </w:rPr>
              <w:t>P</w:t>
            </w:r>
            <w:r>
              <w:rPr>
                <w:bCs/>
                <w:color w:val="auto"/>
                <w:sz w:val="20"/>
                <w:szCs w:val="28"/>
                <w:highlight w:val="none"/>
                <w:u w:val="single"/>
              </w:rPr>
              <w:t xml:space="preserve">   </w:t>
            </w:r>
          </w:p>
        </w:tc>
      </w:tr>
      <w:tr w14:paraId="52E99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1B7E26B5">
            <w:pPr>
              <w:adjustRightInd w:val="0"/>
              <w:snapToGrid w:val="0"/>
              <w:jc w:val="center"/>
              <w:rPr>
                <w:b/>
                <w:bCs/>
                <w:color w:val="auto"/>
                <w:sz w:val="20"/>
                <w:szCs w:val="28"/>
                <w:highlight w:val="none"/>
              </w:rPr>
            </w:pPr>
            <w:r>
              <w:rPr>
                <w:b/>
                <w:bCs/>
                <w:color w:val="auto"/>
                <w:sz w:val="20"/>
                <w:szCs w:val="28"/>
                <w:highlight w:val="none"/>
              </w:rPr>
              <w:t>…</w:t>
            </w:r>
          </w:p>
        </w:tc>
        <w:tc>
          <w:tcPr>
            <w:tcW w:w="6067" w:type="dxa"/>
            <w:tcBorders>
              <w:top w:val="single" w:color="auto" w:sz="4" w:space="0"/>
              <w:left w:val="single" w:color="auto" w:sz="4" w:space="0"/>
              <w:bottom w:val="single" w:color="auto" w:sz="4" w:space="0"/>
              <w:right w:val="single" w:color="auto" w:sz="4" w:space="0"/>
            </w:tcBorders>
            <w:vAlign w:val="center"/>
          </w:tcPr>
          <w:p w14:paraId="687B6331">
            <w:pPr>
              <w:adjustRightInd w:val="0"/>
              <w:snapToGrid w:val="0"/>
              <w:jc w:val="center"/>
              <w:rPr>
                <w:bCs/>
                <w:color w:val="auto"/>
                <w:sz w:val="20"/>
                <w:szCs w:val="28"/>
                <w:highlight w:val="none"/>
              </w:rPr>
            </w:pPr>
            <w:r>
              <w:rPr>
                <w:rFonts w:hint="eastAsia"/>
                <w:bCs/>
                <w:color w:val="auto"/>
                <w:sz w:val="20"/>
                <w:szCs w:val="28"/>
                <w:highlight w:val="none"/>
                <w:lang w:eastAsia="zh-CN"/>
              </w:rPr>
              <w:t>…</w:t>
            </w:r>
          </w:p>
        </w:tc>
        <w:tc>
          <w:tcPr>
            <w:tcW w:w="1633" w:type="dxa"/>
            <w:tcBorders>
              <w:top w:val="single" w:color="auto" w:sz="4" w:space="0"/>
              <w:left w:val="single" w:color="auto" w:sz="4" w:space="0"/>
              <w:bottom w:val="single" w:color="auto" w:sz="4" w:space="0"/>
              <w:right w:val="single" w:color="auto" w:sz="4" w:space="0"/>
            </w:tcBorders>
            <w:vAlign w:val="center"/>
          </w:tcPr>
          <w:p w14:paraId="155E2CFB">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lang w:eastAsia="zh-CN"/>
              </w:rPr>
              <w:t>~</w:t>
            </w:r>
            <w:r>
              <w:rPr>
                <w:bCs/>
                <w:color w:val="auto"/>
                <w:sz w:val="20"/>
                <w:szCs w:val="28"/>
                <w:highlight w:val="none"/>
              </w:rPr>
              <w:t>P</w:t>
            </w:r>
            <w:r>
              <w:rPr>
                <w:bCs/>
                <w:color w:val="auto"/>
                <w:sz w:val="20"/>
                <w:szCs w:val="28"/>
                <w:highlight w:val="none"/>
                <w:u w:val="single"/>
              </w:rPr>
              <w:t xml:space="preserve">   </w:t>
            </w:r>
          </w:p>
        </w:tc>
      </w:tr>
      <w:tr w14:paraId="5637E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023871BD">
            <w:pPr>
              <w:adjustRightInd w:val="0"/>
              <w:snapToGrid w:val="0"/>
              <w:jc w:val="center"/>
              <w:rPr>
                <w:b/>
                <w:color w:val="auto"/>
                <w:sz w:val="20"/>
                <w:szCs w:val="28"/>
                <w:highlight w:val="none"/>
              </w:rPr>
            </w:pPr>
            <w:r>
              <w:rPr>
                <w:b/>
                <w:color w:val="auto"/>
                <w:sz w:val="20"/>
                <w:szCs w:val="28"/>
                <w:highlight w:val="none"/>
              </w:rPr>
              <w:t>二</w:t>
            </w:r>
          </w:p>
        </w:tc>
        <w:tc>
          <w:tcPr>
            <w:tcW w:w="7700" w:type="dxa"/>
            <w:gridSpan w:val="2"/>
            <w:tcBorders>
              <w:top w:val="single" w:color="auto" w:sz="4" w:space="0"/>
              <w:left w:val="single" w:color="auto" w:sz="4" w:space="0"/>
              <w:bottom w:val="single" w:color="auto" w:sz="4" w:space="0"/>
              <w:right w:val="single" w:color="auto" w:sz="4" w:space="0"/>
            </w:tcBorders>
            <w:vAlign w:val="center"/>
          </w:tcPr>
          <w:p w14:paraId="5644EFA7">
            <w:pPr>
              <w:adjustRightInd w:val="0"/>
              <w:snapToGrid w:val="0"/>
              <w:jc w:val="center"/>
              <w:rPr>
                <w:b/>
                <w:color w:val="auto"/>
                <w:sz w:val="20"/>
                <w:szCs w:val="28"/>
                <w:highlight w:val="none"/>
              </w:rPr>
            </w:pPr>
            <w:r>
              <w:rPr>
                <w:b/>
                <w:color w:val="auto"/>
                <w:sz w:val="20"/>
                <w:szCs w:val="28"/>
                <w:highlight w:val="none"/>
              </w:rPr>
              <w:t>技术</w:t>
            </w:r>
          </w:p>
        </w:tc>
      </w:tr>
      <w:tr w14:paraId="00E5F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5DB885B2">
            <w:pPr>
              <w:adjustRightInd w:val="0"/>
              <w:snapToGrid w:val="0"/>
              <w:jc w:val="center"/>
              <w:rPr>
                <w:b/>
                <w:bCs/>
                <w:color w:val="auto"/>
                <w:sz w:val="20"/>
                <w:szCs w:val="28"/>
                <w:highlight w:val="none"/>
              </w:rPr>
            </w:pPr>
            <w:r>
              <w:rPr>
                <w:b/>
                <w:bCs/>
                <w:color w:val="auto"/>
                <w:sz w:val="20"/>
                <w:szCs w:val="28"/>
                <w:highlight w:val="none"/>
              </w:rPr>
              <w:t>1</w:t>
            </w:r>
          </w:p>
        </w:tc>
        <w:tc>
          <w:tcPr>
            <w:tcW w:w="6067" w:type="dxa"/>
            <w:tcBorders>
              <w:top w:val="single" w:color="auto" w:sz="4" w:space="0"/>
              <w:left w:val="single" w:color="auto" w:sz="4" w:space="0"/>
              <w:bottom w:val="single" w:color="auto" w:sz="4" w:space="0"/>
              <w:right w:val="single" w:color="auto" w:sz="4" w:space="0"/>
            </w:tcBorders>
            <w:vAlign w:val="center"/>
          </w:tcPr>
          <w:p w14:paraId="6C9D1B7D">
            <w:pPr>
              <w:adjustRightInd w:val="0"/>
              <w:snapToGrid w:val="0"/>
              <w:jc w:val="center"/>
              <w:rPr>
                <w:bCs/>
                <w:color w:val="auto"/>
                <w:sz w:val="20"/>
                <w:szCs w:val="28"/>
                <w:highlight w:val="none"/>
              </w:rPr>
            </w:pPr>
            <w:r>
              <w:rPr>
                <w:rFonts w:hint="eastAsia"/>
                <w:bCs/>
                <w:color w:val="auto"/>
                <w:sz w:val="20"/>
                <w:szCs w:val="28"/>
                <w:highlight w:val="none"/>
                <w:lang w:eastAsia="zh-CN"/>
              </w:rPr>
              <w:t>…</w:t>
            </w:r>
          </w:p>
        </w:tc>
        <w:tc>
          <w:tcPr>
            <w:tcW w:w="1633" w:type="dxa"/>
            <w:tcBorders>
              <w:top w:val="single" w:color="auto" w:sz="4" w:space="0"/>
              <w:left w:val="single" w:color="auto" w:sz="4" w:space="0"/>
              <w:bottom w:val="single" w:color="auto" w:sz="4" w:space="0"/>
              <w:right w:val="single" w:color="auto" w:sz="4" w:space="0"/>
            </w:tcBorders>
            <w:vAlign w:val="center"/>
          </w:tcPr>
          <w:p w14:paraId="6F911109">
            <w:pPr>
              <w:adjustRightInd w:val="0"/>
              <w:snapToGrid w:val="0"/>
              <w:rPr>
                <w:bCs/>
                <w:color w:val="auto"/>
                <w:sz w:val="20"/>
                <w:szCs w:val="28"/>
                <w:highlight w:val="none"/>
                <w:u w:val="singl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lang w:eastAsia="zh-CN"/>
              </w:rPr>
              <w:t>~</w:t>
            </w:r>
            <w:r>
              <w:rPr>
                <w:bCs/>
                <w:color w:val="auto"/>
                <w:sz w:val="20"/>
                <w:szCs w:val="28"/>
                <w:highlight w:val="none"/>
              </w:rPr>
              <w:t>P</w:t>
            </w:r>
            <w:r>
              <w:rPr>
                <w:bCs/>
                <w:color w:val="auto"/>
                <w:sz w:val="20"/>
                <w:szCs w:val="28"/>
                <w:highlight w:val="none"/>
                <w:u w:val="single"/>
              </w:rPr>
              <w:t xml:space="preserve">   </w:t>
            </w:r>
          </w:p>
        </w:tc>
      </w:tr>
      <w:tr w14:paraId="13131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0FCEE7B7">
            <w:pPr>
              <w:adjustRightInd w:val="0"/>
              <w:snapToGrid w:val="0"/>
              <w:jc w:val="center"/>
              <w:rPr>
                <w:b/>
                <w:bCs/>
                <w:color w:val="auto"/>
                <w:sz w:val="20"/>
                <w:szCs w:val="28"/>
                <w:highlight w:val="none"/>
              </w:rPr>
            </w:pPr>
            <w:r>
              <w:rPr>
                <w:b/>
                <w:bCs/>
                <w:color w:val="auto"/>
                <w:sz w:val="20"/>
                <w:szCs w:val="28"/>
                <w:highlight w:val="none"/>
              </w:rPr>
              <w:t>2</w:t>
            </w:r>
          </w:p>
        </w:tc>
        <w:tc>
          <w:tcPr>
            <w:tcW w:w="6067" w:type="dxa"/>
            <w:tcBorders>
              <w:top w:val="single" w:color="auto" w:sz="4" w:space="0"/>
              <w:left w:val="single" w:color="auto" w:sz="4" w:space="0"/>
              <w:bottom w:val="single" w:color="auto" w:sz="4" w:space="0"/>
              <w:right w:val="single" w:color="auto" w:sz="4" w:space="0"/>
            </w:tcBorders>
            <w:vAlign w:val="center"/>
          </w:tcPr>
          <w:p w14:paraId="4649D011">
            <w:pPr>
              <w:adjustRightInd w:val="0"/>
              <w:snapToGrid w:val="0"/>
              <w:jc w:val="center"/>
              <w:rPr>
                <w:bCs/>
                <w:color w:val="auto"/>
                <w:sz w:val="20"/>
                <w:szCs w:val="28"/>
                <w:highlight w:val="none"/>
              </w:rPr>
            </w:pPr>
            <w:r>
              <w:rPr>
                <w:rFonts w:hint="eastAsia"/>
                <w:bCs/>
                <w:color w:val="auto"/>
                <w:sz w:val="20"/>
                <w:szCs w:val="28"/>
                <w:highlight w:val="none"/>
                <w:lang w:eastAsia="zh-CN"/>
              </w:rPr>
              <w:t>…</w:t>
            </w:r>
          </w:p>
        </w:tc>
        <w:tc>
          <w:tcPr>
            <w:tcW w:w="1633" w:type="dxa"/>
            <w:tcBorders>
              <w:top w:val="single" w:color="auto" w:sz="4" w:space="0"/>
              <w:left w:val="single" w:color="auto" w:sz="4" w:space="0"/>
              <w:bottom w:val="single" w:color="auto" w:sz="4" w:space="0"/>
              <w:right w:val="single" w:color="auto" w:sz="4" w:space="0"/>
            </w:tcBorders>
            <w:vAlign w:val="center"/>
          </w:tcPr>
          <w:p w14:paraId="2ACF36FD">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lang w:eastAsia="zh-CN"/>
              </w:rPr>
              <w:t>~</w:t>
            </w:r>
            <w:r>
              <w:rPr>
                <w:bCs/>
                <w:color w:val="auto"/>
                <w:sz w:val="20"/>
                <w:szCs w:val="28"/>
                <w:highlight w:val="none"/>
              </w:rPr>
              <w:t>P</w:t>
            </w:r>
            <w:r>
              <w:rPr>
                <w:bCs/>
                <w:color w:val="auto"/>
                <w:sz w:val="20"/>
                <w:szCs w:val="28"/>
                <w:highlight w:val="none"/>
                <w:u w:val="single"/>
              </w:rPr>
              <w:t xml:space="preserve">   </w:t>
            </w:r>
          </w:p>
        </w:tc>
      </w:tr>
      <w:tr w14:paraId="29263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374302C0">
            <w:pPr>
              <w:adjustRightInd w:val="0"/>
              <w:snapToGrid w:val="0"/>
              <w:jc w:val="center"/>
              <w:rPr>
                <w:b/>
                <w:bCs/>
                <w:color w:val="auto"/>
                <w:sz w:val="20"/>
                <w:szCs w:val="28"/>
                <w:highlight w:val="none"/>
              </w:rPr>
            </w:pPr>
            <w:r>
              <w:rPr>
                <w:b/>
                <w:bCs/>
                <w:color w:val="auto"/>
                <w:sz w:val="20"/>
                <w:szCs w:val="28"/>
                <w:highlight w:val="none"/>
              </w:rPr>
              <w:t>3</w:t>
            </w:r>
          </w:p>
        </w:tc>
        <w:tc>
          <w:tcPr>
            <w:tcW w:w="6067" w:type="dxa"/>
            <w:tcBorders>
              <w:top w:val="single" w:color="auto" w:sz="4" w:space="0"/>
              <w:left w:val="single" w:color="auto" w:sz="4" w:space="0"/>
              <w:bottom w:val="single" w:color="auto" w:sz="4" w:space="0"/>
              <w:right w:val="single" w:color="auto" w:sz="4" w:space="0"/>
            </w:tcBorders>
            <w:vAlign w:val="center"/>
          </w:tcPr>
          <w:p w14:paraId="298CED48">
            <w:pPr>
              <w:adjustRightInd w:val="0"/>
              <w:snapToGrid w:val="0"/>
              <w:jc w:val="center"/>
              <w:rPr>
                <w:bCs/>
                <w:color w:val="auto"/>
                <w:sz w:val="20"/>
                <w:szCs w:val="28"/>
                <w:highlight w:val="none"/>
              </w:rPr>
            </w:pPr>
            <w:r>
              <w:rPr>
                <w:rFonts w:hint="eastAsia"/>
                <w:bCs/>
                <w:color w:val="auto"/>
                <w:sz w:val="20"/>
                <w:szCs w:val="28"/>
                <w:highlight w:val="none"/>
                <w:lang w:eastAsia="zh-CN"/>
              </w:rPr>
              <w:t>…</w:t>
            </w:r>
          </w:p>
        </w:tc>
        <w:tc>
          <w:tcPr>
            <w:tcW w:w="1633" w:type="dxa"/>
            <w:tcBorders>
              <w:top w:val="single" w:color="auto" w:sz="4" w:space="0"/>
              <w:left w:val="single" w:color="auto" w:sz="4" w:space="0"/>
              <w:bottom w:val="single" w:color="auto" w:sz="4" w:space="0"/>
              <w:right w:val="single" w:color="auto" w:sz="4" w:space="0"/>
            </w:tcBorders>
            <w:vAlign w:val="center"/>
          </w:tcPr>
          <w:p w14:paraId="252933BC">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lang w:eastAsia="zh-CN"/>
              </w:rPr>
              <w:t>~</w:t>
            </w:r>
            <w:r>
              <w:rPr>
                <w:bCs/>
                <w:color w:val="auto"/>
                <w:sz w:val="20"/>
                <w:szCs w:val="28"/>
                <w:highlight w:val="none"/>
              </w:rPr>
              <w:t>P</w:t>
            </w:r>
            <w:r>
              <w:rPr>
                <w:bCs/>
                <w:color w:val="auto"/>
                <w:sz w:val="20"/>
                <w:szCs w:val="28"/>
                <w:highlight w:val="none"/>
                <w:u w:val="single"/>
              </w:rPr>
              <w:t xml:space="preserve">   </w:t>
            </w:r>
          </w:p>
        </w:tc>
      </w:tr>
      <w:tr w14:paraId="0F0FD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63E7EC4F">
            <w:pPr>
              <w:adjustRightInd w:val="0"/>
              <w:snapToGrid w:val="0"/>
              <w:jc w:val="center"/>
              <w:rPr>
                <w:bCs/>
                <w:color w:val="auto"/>
                <w:sz w:val="20"/>
                <w:szCs w:val="28"/>
                <w:highlight w:val="none"/>
              </w:rPr>
            </w:pPr>
            <w:r>
              <w:rPr>
                <w:bCs/>
                <w:color w:val="auto"/>
                <w:sz w:val="20"/>
                <w:szCs w:val="28"/>
                <w:highlight w:val="none"/>
              </w:rPr>
              <w:t>…</w:t>
            </w:r>
          </w:p>
        </w:tc>
        <w:tc>
          <w:tcPr>
            <w:tcW w:w="6067" w:type="dxa"/>
            <w:tcBorders>
              <w:top w:val="single" w:color="auto" w:sz="4" w:space="0"/>
              <w:left w:val="single" w:color="auto" w:sz="4" w:space="0"/>
              <w:bottom w:val="single" w:color="auto" w:sz="4" w:space="0"/>
              <w:right w:val="single" w:color="auto" w:sz="4" w:space="0"/>
            </w:tcBorders>
            <w:vAlign w:val="center"/>
          </w:tcPr>
          <w:p w14:paraId="28E2BD83">
            <w:pPr>
              <w:adjustRightInd w:val="0"/>
              <w:snapToGrid w:val="0"/>
              <w:jc w:val="center"/>
              <w:rPr>
                <w:bCs/>
                <w:color w:val="auto"/>
                <w:sz w:val="20"/>
                <w:szCs w:val="28"/>
                <w:highlight w:val="none"/>
              </w:rPr>
            </w:pPr>
            <w:r>
              <w:rPr>
                <w:rFonts w:hint="eastAsia"/>
                <w:bCs/>
                <w:color w:val="auto"/>
                <w:sz w:val="20"/>
                <w:szCs w:val="28"/>
                <w:highlight w:val="none"/>
                <w:lang w:eastAsia="zh-CN"/>
              </w:rPr>
              <w:t>…</w:t>
            </w:r>
          </w:p>
        </w:tc>
        <w:tc>
          <w:tcPr>
            <w:tcW w:w="1633" w:type="dxa"/>
            <w:tcBorders>
              <w:top w:val="single" w:color="auto" w:sz="4" w:space="0"/>
              <w:left w:val="single" w:color="auto" w:sz="4" w:space="0"/>
              <w:bottom w:val="single" w:color="auto" w:sz="4" w:space="0"/>
              <w:right w:val="single" w:color="auto" w:sz="4" w:space="0"/>
            </w:tcBorders>
            <w:vAlign w:val="center"/>
          </w:tcPr>
          <w:p w14:paraId="5F39A986">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lang w:eastAsia="zh-CN"/>
              </w:rPr>
              <w:t>~</w:t>
            </w:r>
            <w:r>
              <w:rPr>
                <w:bCs/>
                <w:color w:val="auto"/>
                <w:sz w:val="20"/>
                <w:szCs w:val="28"/>
                <w:highlight w:val="none"/>
              </w:rPr>
              <w:t>P</w:t>
            </w:r>
            <w:r>
              <w:rPr>
                <w:bCs/>
                <w:color w:val="auto"/>
                <w:sz w:val="20"/>
                <w:szCs w:val="28"/>
                <w:highlight w:val="none"/>
                <w:u w:val="single"/>
              </w:rPr>
              <w:t xml:space="preserve">   </w:t>
            </w:r>
          </w:p>
        </w:tc>
      </w:tr>
      <w:tr w14:paraId="1847A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0DC520A1">
            <w:pPr>
              <w:adjustRightInd w:val="0"/>
              <w:snapToGrid w:val="0"/>
              <w:jc w:val="center"/>
              <w:rPr>
                <w:bCs/>
                <w:color w:val="auto"/>
                <w:sz w:val="20"/>
                <w:szCs w:val="28"/>
                <w:highlight w:val="none"/>
              </w:rPr>
            </w:pPr>
            <w:r>
              <w:rPr>
                <w:bCs/>
                <w:color w:val="auto"/>
                <w:sz w:val="20"/>
                <w:szCs w:val="28"/>
                <w:highlight w:val="none"/>
              </w:rPr>
              <w:t>…</w:t>
            </w:r>
          </w:p>
        </w:tc>
        <w:tc>
          <w:tcPr>
            <w:tcW w:w="6067" w:type="dxa"/>
            <w:tcBorders>
              <w:top w:val="single" w:color="auto" w:sz="4" w:space="0"/>
              <w:left w:val="single" w:color="auto" w:sz="4" w:space="0"/>
              <w:bottom w:val="single" w:color="auto" w:sz="4" w:space="0"/>
              <w:right w:val="single" w:color="auto" w:sz="4" w:space="0"/>
            </w:tcBorders>
            <w:vAlign w:val="center"/>
          </w:tcPr>
          <w:p w14:paraId="0E6AED9C">
            <w:pPr>
              <w:adjustRightInd w:val="0"/>
              <w:snapToGrid w:val="0"/>
              <w:jc w:val="center"/>
              <w:rPr>
                <w:bCs/>
                <w:color w:val="auto"/>
                <w:sz w:val="20"/>
                <w:szCs w:val="28"/>
                <w:highlight w:val="none"/>
              </w:rPr>
            </w:pPr>
            <w:r>
              <w:rPr>
                <w:rFonts w:hint="eastAsia"/>
                <w:bCs/>
                <w:color w:val="auto"/>
                <w:sz w:val="20"/>
                <w:szCs w:val="28"/>
                <w:highlight w:val="none"/>
                <w:lang w:eastAsia="zh-CN"/>
              </w:rPr>
              <w:t>…</w:t>
            </w:r>
          </w:p>
        </w:tc>
        <w:tc>
          <w:tcPr>
            <w:tcW w:w="1633" w:type="dxa"/>
            <w:tcBorders>
              <w:top w:val="single" w:color="auto" w:sz="4" w:space="0"/>
              <w:left w:val="single" w:color="auto" w:sz="4" w:space="0"/>
              <w:bottom w:val="single" w:color="auto" w:sz="4" w:space="0"/>
              <w:right w:val="single" w:color="auto" w:sz="4" w:space="0"/>
            </w:tcBorders>
            <w:vAlign w:val="center"/>
          </w:tcPr>
          <w:p w14:paraId="1EC139F3">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lang w:eastAsia="zh-CN"/>
              </w:rPr>
              <w:t>~</w:t>
            </w:r>
            <w:r>
              <w:rPr>
                <w:bCs/>
                <w:color w:val="auto"/>
                <w:sz w:val="20"/>
                <w:szCs w:val="28"/>
                <w:highlight w:val="none"/>
              </w:rPr>
              <w:t>P</w:t>
            </w:r>
            <w:r>
              <w:rPr>
                <w:bCs/>
                <w:color w:val="auto"/>
                <w:sz w:val="20"/>
                <w:szCs w:val="28"/>
                <w:highlight w:val="none"/>
                <w:u w:val="single"/>
              </w:rPr>
              <w:t xml:space="preserve">   </w:t>
            </w:r>
          </w:p>
        </w:tc>
      </w:tr>
      <w:tr w14:paraId="03249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2097AC45">
            <w:pPr>
              <w:adjustRightInd w:val="0"/>
              <w:snapToGrid w:val="0"/>
              <w:jc w:val="center"/>
              <w:rPr>
                <w:bCs/>
                <w:color w:val="auto"/>
                <w:sz w:val="20"/>
                <w:szCs w:val="28"/>
                <w:highlight w:val="none"/>
              </w:rPr>
            </w:pPr>
            <w:r>
              <w:rPr>
                <w:bCs/>
                <w:color w:val="auto"/>
                <w:sz w:val="20"/>
                <w:szCs w:val="28"/>
                <w:highlight w:val="none"/>
              </w:rPr>
              <w:t>…</w:t>
            </w:r>
          </w:p>
        </w:tc>
        <w:tc>
          <w:tcPr>
            <w:tcW w:w="6067" w:type="dxa"/>
            <w:tcBorders>
              <w:top w:val="single" w:color="auto" w:sz="4" w:space="0"/>
              <w:left w:val="single" w:color="auto" w:sz="4" w:space="0"/>
              <w:bottom w:val="single" w:color="auto" w:sz="4" w:space="0"/>
              <w:right w:val="single" w:color="auto" w:sz="4" w:space="0"/>
            </w:tcBorders>
            <w:vAlign w:val="center"/>
          </w:tcPr>
          <w:p w14:paraId="420B5A4C">
            <w:pPr>
              <w:adjustRightInd w:val="0"/>
              <w:snapToGrid w:val="0"/>
              <w:jc w:val="center"/>
              <w:rPr>
                <w:bCs/>
                <w:color w:val="auto"/>
                <w:sz w:val="20"/>
                <w:szCs w:val="28"/>
                <w:highlight w:val="none"/>
              </w:rPr>
            </w:pPr>
            <w:r>
              <w:rPr>
                <w:rFonts w:hint="eastAsia"/>
                <w:bCs/>
                <w:color w:val="auto"/>
                <w:sz w:val="20"/>
                <w:szCs w:val="28"/>
                <w:highlight w:val="none"/>
                <w:lang w:eastAsia="zh-CN"/>
              </w:rPr>
              <w:t>…</w:t>
            </w:r>
          </w:p>
        </w:tc>
        <w:tc>
          <w:tcPr>
            <w:tcW w:w="1633" w:type="dxa"/>
            <w:tcBorders>
              <w:top w:val="single" w:color="auto" w:sz="4" w:space="0"/>
              <w:left w:val="single" w:color="auto" w:sz="4" w:space="0"/>
              <w:bottom w:val="single" w:color="auto" w:sz="4" w:space="0"/>
              <w:right w:val="single" w:color="auto" w:sz="4" w:space="0"/>
            </w:tcBorders>
            <w:vAlign w:val="center"/>
          </w:tcPr>
          <w:p w14:paraId="10A556DA">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lang w:eastAsia="zh-CN"/>
              </w:rPr>
              <w:t>~</w:t>
            </w:r>
            <w:r>
              <w:rPr>
                <w:bCs/>
                <w:color w:val="auto"/>
                <w:sz w:val="20"/>
                <w:szCs w:val="28"/>
                <w:highlight w:val="none"/>
              </w:rPr>
              <w:t>P</w:t>
            </w:r>
            <w:r>
              <w:rPr>
                <w:bCs/>
                <w:color w:val="auto"/>
                <w:sz w:val="20"/>
                <w:szCs w:val="28"/>
                <w:highlight w:val="none"/>
                <w:u w:val="single"/>
              </w:rPr>
              <w:t xml:space="preserve">   </w:t>
            </w:r>
          </w:p>
        </w:tc>
      </w:tr>
    </w:tbl>
    <w:p w14:paraId="0ECF0909">
      <w:pPr>
        <w:adjustRightInd w:val="0"/>
        <w:snapToGrid w:val="0"/>
        <w:rPr>
          <w:rFonts w:eastAsia="宋体"/>
          <w:color w:val="auto"/>
          <w:sz w:val="28"/>
          <w:szCs w:val="24"/>
          <w:highlight w:val="none"/>
        </w:rPr>
      </w:pPr>
    </w:p>
    <w:p w14:paraId="36819A20">
      <w:pPr>
        <w:adjustRightInd w:val="0"/>
        <w:snapToGrid w:val="0"/>
        <w:rPr>
          <w:rFonts w:eastAsia="宋体"/>
          <w:b/>
          <w:color w:val="auto"/>
          <w:sz w:val="24"/>
          <w:szCs w:val="24"/>
          <w:highlight w:val="none"/>
        </w:rPr>
      </w:pPr>
      <w:r>
        <w:rPr>
          <w:rFonts w:eastAsia="宋体"/>
          <w:color w:val="auto"/>
          <w:sz w:val="24"/>
          <w:szCs w:val="24"/>
          <w:highlight w:val="none"/>
        </w:rPr>
        <w:t>注：</w:t>
      </w:r>
      <w:r>
        <w:rPr>
          <w:rFonts w:eastAsia="宋体"/>
          <w:b/>
          <w:color w:val="auto"/>
          <w:sz w:val="24"/>
          <w:szCs w:val="24"/>
          <w:highlight w:val="none"/>
        </w:rPr>
        <w:t>1. 磋商响应人应对提交的响应文件逐页标注页码。</w:t>
      </w:r>
    </w:p>
    <w:p w14:paraId="2BD1F947">
      <w:pPr>
        <w:adjustRightInd w:val="0"/>
        <w:snapToGrid w:val="0"/>
        <w:ind w:firstLine="482" w:firstLineChars="200"/>
        <w:rPr>
          <w:rFonts w:eastAsia="宋体"/>
          <w:b/>
          <w:color w:val="auto"/>
          <w:sz w:val="24"/>
          <w:szCs w:val="24"/>
          <w:highlight w:val="none"/>
        </w:rPr>
      </w:pPr>
      <w:r>
        <w:rPr>
          <w:rFonts w:eastAsia="宋体"/>
          <w:b/>
          <w:color w:val="auto"/>
          <w:sz w:val="24"/>
          <w:szCs w:val="24"/>
          <w:highlight w:val="none"/>
        </w:rPr>
        <w:t>2. 评审要素索引表的位置应布置在响应文件前面（顺序：磋商响应文件封面后、磋商响应文件目录前）。</w:t>
      </w:r>
    </w:p>
    <w:p w14:paraId="67B859BC">
      <w:pPr>
        <w:adjustRightInd w:val="0"/>
        <w:snapToGrid w:val="0"/>
        <w:ind w:firstLine="482" w:firstLineChars="200"/>
        <w:rPr>
          <w:rFonts w:eastAsia="宋体"/>
          <w:b/>
          <w:color w:val="auto"/>
          <w:sz w:val="24"/>
          <w:szCs w:val="24"/>
          <w:highlight w:val="none"/>
        </w:rPr>
      </w:pPr>
      <w:r>
        <w:rPr>
          <w:rFonts w:eastAsia="宋体"/>
          <w:b/>
          <w:color w:val="auto"/>
          <w:sz w:val="24"/>
          <w:szCs w:val="24"/>
          <w:highlight w:val="none"/>
        </w:rPr>
        <w:t>3. 供应商应按上表的格式，对照竞争性磋商文件中评审办法的评审内容，建立起磋商响应文件相关评审内容与页码之间的索引。</w:t>
      </w:r>
    </w:p>
    <w:p w14:paraId="7F332456">
      <w:pPr>
        <w:adjustRightInd w:val="0"/>
        <w:snapToGrid w:val="0"/>
        <w:rPr>
          <w:rFonts w:eastAsia="宋体"/>
          <w:color w:val="auto"/>
          <w:sz w:val="24"/>
          <w:szCs w:val="24"/>
          <w:highlight w:val="none"/>
        </w:rPr>
      </w:pPr>
      <w:r>
        <w:rPr>
          <w:rFonts w:eastAsia="宋体"/>
          <w:color w:val="auto"/>
          <w:sz w:val="24"/>
          <w:szCs w:val="24"/>
          <w:highlight w:val="none"/>
        </w:rPr>
        <w:br w:type="page"/>
      </w:r>
    </w:p>
    <w:p w14:paraId="5E8D3D58">
      <w:pPr>
        <w:adjustRightInd w:val="0"/>
        <w:snapToGrid w:val="0"/>
        <w:rPr>
          <w:rFonts w:eastAsia="宋体"/>
          <w:color w:val="auto"/>
          <w:sz w:val="24"/>
          <w:szCs w:val="24"/>
          <w:highlight w:val="none"/>
        </w:rPr>
      </w:pPr>
      <w:r>
        <w:rPr>
          <w:rFonts w:eastAsia="宋体"/>
          <w:color w:val="auto"/>
          <w:sz w:val="24"/>
          <w:szCs w:val="24"/>
          <w:highlight w:val="none"/>
        </w:rPr>
        <w:t>格式1：</w:t>
      </w:r>
      <w:r>
        <w:rPr>
          <w:rFonts w:eastAsia="宋体"/>
          <w:color w:val="auto"/>
          <w:sz w:val="24"/>
          <w:szCs w:val="24"/>
          <w:highlight w:val="none"/>
          <w:lang w:val="zh-CN"/>
        </w:rPr>
        <w:t>磋商响应函</w:t>
      </w:r>
    </w:p>
    <w:p w14:paraId="6FF70F0D">
      <w:pPr>
        <w:autoSpaceDE w:val="0"/>
        <w:autoSpaceDN w:val="0"/>
        <w:adjustRightInd w:val="0"/>
        <w:snapToGrid w:val="0"/>
        <w:jc w:val="center"/>
        <w:rPr>
          <w:rFonts w:eastAsia="宋体"/>
          <w:b/>
          <w:color w:val="auto"/>
          <w:sz w:val="24"/>
          <w:szCs w:val="24"/>
          <w:highlight w:val="none"/>
        </w:rPr>
      </w:pPr>
      <w:r>
        <w:rPr>
          <w:rFonts w:eastAsia="宋体"/>
          <w:b/>
          <w:color w:val="auto"/>
          <w:sz w:val="24"/>
          <w:szCs w:val="24"/>
          <w:highlight w:val="none"/>
          <w:lang w:val="zh-CN"/>
        </w:rPr>
        <w:t>磋商响应函</w:t>
      </w:r>
    </w:p>
    <w:p w14:paraId="3ED41203">
      <w:pPr>
        <w:autoSpaceDE w:val="0"/>
        <w:autoSpaceDN w:val="0"/>
        <w:adjustRightInd w:val="0"/>
        <w:snapToGrid w:val="0"/>
        <w:ind w:firstLine="240" w:firstLineChars="100"/>
        <w:jc w:val="left"/>
        <w:rPr>
          <w:rFonts w:eastAsia="宋体"/>
          <w:b/>
          <w:color w:val="auto"/>
          <w:sz w:val="24"/>
          <w:szCs w:val="24"/>
          <w:highlight w:val="none"/>
        </w:rPr>
      </w:pPr>
      <w:r>
        <w:rPr>
          <w:rFonts w:eastAsia="宋体"/>
          <w:color w:val="auto"/>
          <w:sz w:val="24"/>
          <w:szCs w:val="24"/>
          <w:highlight w:val="none"/>
          <w:u w:val="single"/>
          <w:lang w:val="zh-CN"/>
        </w:rPr>
        <w:t xml:space="preserve">  采购人  </w:t>
      </w:r>
      <w:r>
        <w:rPr>
          <w:rFonts w:eastAsia="宋体"/>
          <w:color w:val="auto"/>
          <w:sz w:val="24"/>
          <w:szCs w:val="24"/>
          <w:highlight w:val="none"/>
          <w:lang w:val="zh-CN"/>
        </w:rPr>
        <w:t>：</w:t>
      </w:r>
    </w:p>
    <w:p w14:paraId="37BFBA2A">
      <w:pPr>
        <w:adjustRightInd w:val="0"/>
        <w:snapToGrid w:val="0"/>
        <w:spacing w:line="450" w:lineRule="exact"/>
        <w:ind w:firstLine="480" w:firstLineChars="200"/>
        <w:rPr>
          <w:rFonts w:eastAsia="宋体"/>
          <w:color w:val="auto"/>
          <w:sz w:val="24"/>
          <w:szCs w:val="24"/>
          <w:highlight w:val="none"/>
        </w:rPr>
      </w:pPr>
      <w:r>
        <w:rPr>
          <w:rFonts w:eastAsia="宋体"/>
          <w:color w:val="auto"/>
          <w:sz w:val="24"/>
          <w:szCs w:val="24"/>
          <w:highlight w:val="none"/>
          <w:lang w:val="zh-CN"/>
        </w:rPr>
        <w:t>我方收到贵方</w:t>
      </w:r>
      <w:r>
        <w:rPr>
          <w:rFonts w:eastAsia="宋体"/>
          <w:color w:val="auto"/>
          <w:sz w:val="24"/>
          <w:szCs w:val="24"/>
          <w:highlight w:val="none"/>
          <w:u w:val="single"/>
          <w:lang w:val="zh-CN"/>
        </w:rPr>
        <w:t xml:space="preserve">                          </w:t>
      </w:r>
      <w:r>
        <w:rPr>
          <w:rFonts w:eastAsia="宋体"/>
          <w:color w:val="auto"/>
          <w:sz w:val="24"/>
          <w:szCs w:val="24"/>
          <w:highlight w:val="none"/>
          <w:lang w:val="zh-CN"/>
        </w:rPr>
        <w:t>竞争性磋商文件，经仔细阅读和研究，我方决定参加磋商，并向贵公司承诺：</w:t>
      </w:r>
    </w:p>
    <w:p w14:paraId="6BE95CFD">
      <w:pPr>
        <w:adjustRightInd w:val="0"/>
        <w:snapToGrid w:val="0"/>
        <w:spacing w:line="450" w:lineRule="exact"/>
        <w:ind w:firstLine="480" w:firstLineChars="200"/>
        <w:rPr>
          <w:rFonts w:eastAsia="宋体"/>
          <w:color w:val="auto"/>
          <w:sz w:val="24"/>
          <w:szCs w:val="24"/>
          <w:highlight w:val="none"/>
        </w:rPr>
      </w:pPr>
      <w:r>
        <w:rPr>
          <w:rFonts w:eastAsia="宋体"/>
          <w:color w:val="auto"/>
          <w:sz w:val="24"/>
          <w:szCs w:val="24"/>
          <w:highlight w:val="none"/>
        </w:rPr>
        <w:t>1</w:t>
      </w:r>
      <w:r>
        <w:rPr>
          <w:rFonts w:eastAsia="宋体"/>
          <w:b/>
          <w:color w:val="auto"/>
          <w:sz w:val="24"/>
          <w:szCs w:val="24"/>
          <w:highlight w:val="none"/>
          <w:lang w:val="zh-CN"/>
        </w:rPr>
        <w:t>.</w:t>
      </w:r>
      <w:r>
        <w:rPr>
          <w:rFonts w:eastAsia="宋体"/>
          <w:color w:val="auto"/>
          <w:sz w:val="24"/>
          <w:szCs w:val="24"/>
          <w:highlight w:val="none"/>
        </w:rPr>
        <w:t>愿意按照磋商采购文件的一切要求，提供以上所有服务，总价格及明细见《磋商响应报价表》。</w:t>
      </w:r>
    </w:p>
    <w:p w14:paraId="0B6AFB75">
      <w:pPr>
        <w:adjustRightInd w:val="0"/>
        <w:snapToGrid w:val="0"/>
        <w:spacing w:line="450" w:lineRule="exact"/>
        <w:ind w:firstLine="480" w:firstLineChars="200"/>
        <w:rPr>
          <w:rFonts w:eastAsia="宋体"/>
          <w:color w:val="auto"/>
          <w:sz w:val="24"/>
          <w:szCs w:val="24"/>
          <w:highlight w:val="none"/>
        </w:rPr>
      </w:pPr>
      <w:r>
        <w:rPr>
          <w:rFonts w:eastAsia="宋体"/>
          <w:color w:val="auto"/>
          <w:sz w:val="24"/>
          <w:szCs w:val="24"/>
          <w:highlight w:val="none"/>
        </w:rPr>
        <w:t>2</w:t>
      </w:r>
      <w:r>
        <w:rPr>
          <w:rFonts w:eastAsia="宋体"/>
          <w:b/>
          <w:color w:val="auto"/>
          <w:sz w:val="24"/>
          <w:szCs w:val="24"/>
          <w:highlight w:val="none"/>
          <w:lang w:val="zh-CN"/>
        </w:rPr>
        <w:t>.</w:t>
      </w:r>
      <w:r>
        <w:rPr>
          <w:rFonts w:eastAsia="宋体"/>
          <w:color w:val="auto"/>
          <w:sz w:val="24"/>
          <w:szCs w:val="24"/>
          <w:highlight w:val="none"/>
        </w:rPr>
        <w:t>如果我们的响应文件被接受，我们将严格履行磋商采购文件中规定的每一项要求，按期、按质、按量履行服务义务。</w:t>
      </w:r>
    </w:p>
    <w:p w14:paraId="6D36511D">
      <w:pPr>
        <w:pStyle w:val="43"/>
        <w:snapToGrid w:val="0"/>
        <w:spacing w:line="450" w:lineRule="exact"/>
        <w:ind w:firstLine="480" w:firstLineChars="200"/>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3</w:t>
      </w:r>
      <w:r>
        <w:rPr>
          <w:rFonts w:ascii="Times New Roman" w:hAnsi="Times New Roman" w:eastAsia="宋体"/>
          <w:b/>
          <w:color w:val="auto"/>
          <w:sz w:val="24"/>
          <w:szCs w:val="24"/>
          <w:highlight w:val="none"/>
          <w:lang w:val="zh-CN"/>
        </w:rPr>
        <w:t>.</w:t>
      </w:r>
      <w:r>
        <w:rPr>
          <w:rFonts w:ascii="Times New Roman" w:hAnsi="Times New Roman" w:eastAsia="宋体"/>
          <w:color w:val="auto"/>
          <w:sz w:val="24"/>
          <w:szCs w:val="24"/>
          <w:highlight w:val="none"/>
          <w:lang w:val="zh-CN"/>
        </w:rPr>
        <w:t>我方同意按磋商采购文件中的规定，我方的响应文件有效期限为磋商开始后</w:t>
      </w:r>
      <w:r>
        <w:rPr>
          <w:rFonts w:ascii="Times New Roman" w:hAnsi="Times New Roman" w:eastAsia="宋体"/>
          <w:color w:val="auto"/>
          <w:sz w:val="24"/>
          <w:szCs w:val="24"/>
          <w:highlight w:val="none"/>
          <w:u w:val="single"/>
          <w:lang w:val="zh-CN"/>
        </w:rPr>
        <w:t xml:space="preserve">    </w:t>
      </w:r>
      <w:r>
        <w:rPr>
          <w:rFonts w:ascii="Times New Roman" w:hAnsi="Times New Roman" w:eastAsia="宋体"/>
          <w:color w:val="auto"/>
          <w:sz w:val="24"/>
          <w:szCs w:val="24"/>
          <w:highlight w:val="none"/>
          <w:lang w:val="zh-CN"/>
        </w:rPr>
        <w:t>天。</w:t>
      </w:r>
    </w:p>
    <w:p w14:paraId="5BFE8028">
      <w:pPr>
        <w:pStyle w:val="43"/>
        <w:snapToGrid w:val="0"/>
        <w:spacing w:line="450" w:lineRule="exact"/>
        <w:ind w:firstLine="480" w:firstLineChars="200"/>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4</w:t>
      </w:r>
      <w:r>
        <w:rPr>
          <w:rFonts w:ascii="Times New Roman" w:hAnsi="Times New Roman" w:eastAsia="宋体"/>
          <w:b/>
          <w:color w:val="auto"/>
          <w:sz w:val="24"/>
          <w:szCs w:val="24"/>
          <w:highlight w:val="none"/>
          <w:lang w:val="zh-CN"/>
        </w:rPr>
        <w:t>.</w:t>
      </w:r>
      <w:r>
        <w:rPr>
          <w:rFonts w:ascii="Times New Roman" w:hAnsi="Times New Roman" w:eastAsia="宋体"/>
          <w:color w:val="auto"/>
          <w:sz w:val="24"/>
          <w:szCs w:val="24"/>
          <w:highlight w:val="none"/>
          <w:lang w:val="zh-CN"/>
        </w:rPr>
        <w:t>我方愿意提供贵方在磋商采购文件中要求的所有资料，也同意向贵方提供贵方可能另外要求的与我方磋商文件有关的任何证据或资料，并保证所提供的资料全部是真实的、有效的，若有虚假，我方愿承担一切责任。</w:t>
      </w:r>
    </w:p>
    <w:p w14:paraId="42D116E8">
      <w:pPr>
        <w:pStyle w:val="43"/>
        <w:snapToGrid w:val="0"/>
        <w:spacing w:line="450" w:lineRule="exact"/>
        <w:ind w:firstLine="480" w:firstLineChars="200"/>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5</w:t>
      </w:r>
      <w:r>
        <w:rPr>
          <w:rFonts w:ascii="Times New Roman" w:hAnsi="Times New Roman" w:eastAsia="宋体"/>
          <w:b/>
          <w:color w:val="auto"/>
          <w:sz w:val="24"/>
          <w:szCs w:val="24"/>
          <w:highlight w:val="none"/>
          <w:lang w:val="zh-CN"/>
        </w:rPr>
        <w:t>.</w:t>
      </w:r>
      <w:r>
        <w:rPr>
          <w:rFonts w:ascii="Times New Roman" w:hAnsi="Times New Roman" w:eastAsia="宋体"/>
          <w:color w:val="auto"/>
          <w:sz w:val="24"/>
          <w:szCs w:val="24"/>
          <w:highlight w:val="none"/>
          <w:lang w:val="zh-CN"/>
        </w:rPr>
        <w:t>我方认为贵方有权决定成交者，还认为贵方有权接受或拒绝所有的供应商成交。</w:t>
      </w:r>
    </w:p>
    <w:p w14:paraId="5FBBD23F">
      <w:pPr>
        <w:pStyle w:val="43"/>
        <w:snapToGrid w:val="0"/>
        <w:spacing w:line="450" w:lineRule="exact"/>
        <w:ind w:firstLine="480" w:firstLineChars="200"/>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6</w:t>
      </w:r>
      <w:r>
        <w:rPr>
          <w:rFonts w:ascii="Times New Roman" w:hAnsi="Times New Roman" w:eastAsia="宋体"/>
          <w:b/>
          <w:color w:val="auto"/>
          <w:sz w:val="24"/>
          <w:szCs w:val="24"/>
          <w:highlight w:val="none"/>
          <w:lang w:val="zh-CN"/>
        </w:rPr>
        <w:t>.</w:t>
      </w:r>
      <w:r>
        <w:rPr>
          <w:rFonts w:ascii="Times New Roman" w:hAnsi="Times New Roman" w:eastAsia="宋体"/>
          <w:color w:val="auto"/>
          <w:sz w:val="24"/>
          <w:szCs w:val="24"/>
          <w:highlight w:val="none"/>
          <w:lang w:val="zh-CN"/>
        </w:rPr>
        <w:t>我方愿意遵守磋商采购文件中所列的收费标准。</w:t>
      </w:r>
    </w:p>
    <w:p w14:paraId="7D2522B7">
      <w:pPr>
        <w:pStyle w:val="43"/>
        <w:snapToGrid w:val="0"/>
        <w:spacing w:line="450" w:lineRule="exact"/>
        <w:ind w:firstLine="480" w:firstLineChars="200"/>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7</w:t>
      </w:r>
      <w:r>
        <w:rPr>
          <w:rFonts w:ascii="Times New Roman" w:hAnsi="Times New Roman" w:eastAsia="宋体"/>
          <w:b/>
          <w:color w:val="auto"/>
          <w:sz w:val="24"/>
          <w:szCs w:val="24"/>
          <w:highlight w:val="none"/>
          <w:lang w:val="zh-CN"/>
        </w:rPr>
        <w:t>.</w:t>
      </w:r>
      <w:r>
        <w:rPr>
          <w:rFonts w:ascii="Times New Roman" w:hAnsi="Times New Roman" w:eastAsia="宋体"/>
          <w:color w:val="auto"/>
          <w:sz w:val="24"/>
          <w:szCs w:val="24"/>
          <w:highlight w:val="none"/>
          <w:lang w:val="zh-CN"/>
        </w:rPr>
        <w:t>我方承诺该项磋商开始后的全过程中保持有效，不作任何更改和变动。我方同意被确定成交后若不履行我方响应文件的内容要求和各项承诺及义务的即被视为违约，我方成交资格将被取消。</w:t>
      </w:r>
    </w:p>
    <w:p w14:paraId="25BBEE6D">
      <w:pPr>
        <w:pStyle w:val="43"/>
        <w:snapToGrid w:val="0"/>
        <w:spacing w:line="450" w:lineRule="exact"/>
        <w:ind w:firstLine="480" w:firstLineChars="200"/>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8</w:t>
      </w:r>
      <w:r>
        <w:rPr>
          <w:rFonts w:ascii="Times New Roman" w:hAnsi="Times New Roman" w:eastAsia="宋体"/>
          <w:b/>
          <w:color w:val="auto"/>
          <w:sz w:val="24"/>
          <w:szCs w:val="24"/>
          <w:highlight w:val="none"/>
          <w:lang w:val="zh-CN"/>
        </w:rPr>
        <w:t>.</w:t>
      </w:r>
      <w:r>
        <w:rPr>
          <w:rFonts w:ascii="Times New Roman" w:hAnsi="Times New Roman" w:eastAsia="宋体"/>
          <w:color w:val="auto"/>
          <w:sz w:val="24"/>
          <w:szCs w:val="24"/>
          <w:highlight w:val="none"/>
          <w:lang w:val="zh-CN"/>
        </w:rPr>
        <w:t>我方同意我方若无法按约定条款履行义务等行为，采购</w:t>
      </w:r>
      <w:r>
        <w:rPr>
          <w:rFonts w:ascii="Times New Roman" w:hAnsi="Times New Roman" w:eastAsia="宋体"/>
          <w:color w:val="auto"/>
          <w:sz w:val="24"/>
          <w:szCs w:val="24"/>
          <w:highlight w:val="none"/>
        </w:rPr>
        <w:t>人</w:t>
      </w:r>
      <w:r>
        <w:rPr>
          <w:rFonts w:ascii="Times New Roman" w:hAnsi="Times New Roman" w:eastAsia="宋体"/>
          <w:color w:val="auto"/>
          <w:sz w:val="24"/>
          <w:szCs w:val="24"/>
          <w:highlight w:val="none"/>
          <w:lang w:val="zh-CN"/>
        </w:rPr>
        <w:t>有权取消我方的成交资格。</w:t>
      </w:r>
    </w:p>
    <w:p w14:paraId="5E2C2413">
      <w:pPr>
        <w:pStyle w:val="43"/>
        <w:snapToGrid w:val="0"/>
        <w:spacing w:line="450" w:lineRule="exact"/>
        <w:ind w:firstLine="480" w:firstLineChars="200"/>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9</w:t>
      </w:r>
      <w:r>
        <w:rPr>
          <w:rFonts w:ascii="Times New Roman" w:hAnsi="Times New Roman" w:eastAsia="宋体"/>
          <w:b/>
          <w:color w:val="auto"/>
          <w:sz w:val="24"/>
          <w:szCs w:val="24"/>
          <w:highlight w:val="none"/>
          <w:lang w:val="zh-CN"/>
        </w:rPr>
        <w:t>.</w:t>
      </w:r>
      <w:r>
        <w:rPr>
          <w:rFonts w:ascii="Times New Roman" w:hAnsi="Times New Roman" w:eastAsia="宋体"/>
          <w:color w:val="auto"/>
          <w:sz w:val="24"/>
          <w:szCs w:val="24"/>
          <w:highlight w:val="none"/>
        </w:rPr>
        <w:t>与本磋商有关的通讯地址：</w:t>
      </w:r>
    </w:p>
    <w:p w14:paraId="170FA077">
      <w:pPr>
        <w:pStyle w:val="43"/>
        <w:snapToGrid w:val="0"/>
        <w:spacing w:line="450" w:lineRule="exact"/>
        <w:ind w:firstLine="480" w:firstLineChars="200"/>
        <w:rPr>
          <w:rFonts w:ascii="Times New Roman" w:hAnsi="Times New Roman" w:eastAsia="宋体"/>
          <w:color w:val="auto"/>
          <w:sz w:val="24"/>
          <w:szCs w:val="24"/>
          <w:highlight w:val="none"/>
          <w:u w:val="single"/>
        </w:rPr>
      </w:pPr>
      <w:r>
        <w:rPr>
          <w:rFonts w:ascii="Times New Roman" w:hAnsi="Times New Roman" w:eastAsia="宋体"/>
          <w:color w:val="auto"/>
          <w:sz w:val="24"/>
          <w:szCs w:val="24"/>
          <w:highlight w:val="none"/>
        </w:rPr>
        <w:t xml:space="preserve">单    位： </w:t>
      </w:r>
      <w:r>
        <w:rPr>
          <w:rFonts w:ascii="Times New Roman" w:hAnsi="Times New Roman" w:eastAsia="宋体"/>
          <w:color w:val="auto"/>
          <w:sz w:val="24"/>
          <w:szCs w:val="24"/>
          <w:highlight w:val="none"/>
          <w:u w:val="single"/>
        </w:rPr>
        <w:t xml:space="preserve">                                </w:t>
      </w:r>
      <w:r>
        <w:rPr>
          <w:rFonts w:ascii="Times New Roman" w:hAnsi="Times New Roman" w:eastAsia="宋体"/>
          <w:color w:val="auto"/>
          <w:sz w:val="24"/>
          <w:szCs w:val="24"/>
          <w:highlight w:val="none"/>
        </w:rPr>
        <w:t>联 系 人：</w:t>
      </w:r>
      <w:r>
        <w:rPr>
          <w:rFonts w:ascii="Times New Roman" w:hAnsi="Times New Roman" w:eastAsia="宋体"/>
          <w:color w:val="auto"/>
          <w:sz w:val="24"/>
          <w:szCs w:val="24"/>
          <w:highlight w:val="none"/>
          <w:u w:val="single"/>
        </w:rPr>
        <w:t xml:space="preserve">                   </w:t>
      </w:r>
    </w:p>
    <w:p w14:paraId="7828E212">
      <w:pPr>
        <w:pStyle w:val="43"/>
        <w:snapToGrid w:val="0"/>
        <w:spacing w:line="450" w:lineRule="exact"/>
        <w:ind w:firstLine="480" w:firstLineChars="200"/>
        <w:rPr>
          <w:rFonts w:ascii="Times New Roman" w:hAnsi="Times New Roman" w:eastAsia="宋体"/>
          <w:color w:val="auto"/>
          <w:sz w:val="24"/>
          <w:szCs w:val="24"/>
          <w:highlight w:val="none"/>
          <w:u w:val="single"/>
        </w:rPr>
      </w:pPr>
      <w:r>
        <w:rPr>
          <w:rFonts w:ascii="Times New Roman" w:hAnsi="Times New Roman" w:eastAsia="宋体"/>
          <w:color w:val="auto"/>
          <w:sz w:val="24"/>
          <w:szCs w:val="24"/>
          <w:highlight w:val="none"/>
        </w:rPr>
        <w:t>地    址：</w:t>
      </w:r>
      <w:r>
        <w:rPr>
          <w:rFonts w:ascii="Times New Roman" w:hAnsi="Times New Roman" w:eastAsia="宋体"/>
          <w:color w:val="auto"/>
          <w:sz w:val="24"/>
          <w:szCs w:val="24"/>
          <w:highlight w:val="none"/>
          <w:u w:val="single"/>
        </w:rPr>
        <w:t xml:space="preserve">                                </w:t>
      </w:r>
      <w:r>
        <w:rPr>
          <w:rFonts w:ascii="Times New Roman" w:hAnsi="Times New Roman" w:eastAsia="宋体"/>
          <w:color w:val="auto"/>
          <w:sz w:val="24"/>
          <w:szCs w:val="24"/>
          <w:highlight w:val="none"/>
        </w:rPr>
        <w:t xml:space="preserve"> 邮政编码：</w:t>
      </w:r>
      <w:r>
        <w:rPr>
          <w:rFonts w:ascii="Times New Roman" w:hAnsi="Times New Roman" w:eastAsia="宋体"/>
          <w:color w:val="auto"/>
          <w:sz w:val="24"/>
          <w:szCs w:val="24"/>
          <w:highlight w:val="none"/>
          <w:u w:val="single"/>
        </w:rPr>
        <w:t xml:space="preserve">                   </w:t>
      </w:r>
    </w:p>
    <w:p w14:paraId="5481A6A5">
      <w:pPr>
        <w:pStyle w:val="43"/>
        <w:snapToGrid w:val="0"/>
        <w:spacing w:line="450" w:lineRule="exact"/>
        <w:ind w:firstLine="480" w:firstLineChars="200"/>
        <w:rPr>
          <w:rFonts w:ascii="Times New Roman" w:hAnsi="Times New Roman" w:eastAsia="宋体"/>
          <w:color w:val="auto"/>
          <w:sz w:val="24"/>
          <w:szCs w:val="24"/>
          <w:highlight w:val="none"/>
          <w:u w:val="single"/>
        </w:rPr>
      </w:pPr>
      <w:r>
        <w:rPr>
          <w:rFonts w:ascii="Times New Roman" w:hAnsi="Times New Roman" w:eastAsia="宋体"/>
          <w:color w:val="auto"/>
          <w:sz w:val="24"/>
          <w:szCs w:val="24"/>
          <w:highlight w:val="none"/>
        </w:rPr>
        <w:t>联系电话：</w:t>
      </w:r>
      <w:r>
        <w:rPr>
          <w:rFonts w:ascii="Times New Roman" w:hAnsi="Times New Roman" w:eastAsia="宋体"/>
          <w:color w:val="auto"/>
          <w:sz w:val="24"/>
          <w:szCs w:val="24"/>
          <w:highlight w:val="none"/>
          <w:u w:val="single"/>
        </w:rPr>
        <w:t xml:space="preserve">                                </w:t>
      </w:r>
      <w:r>
        <w:rPr>
          <w:rFonts w:ascii="Times New Roman" w:hAnsi="Times New Roman" w:eastAsia="宋体"/>
          <w:color w:val="auto"/>
          <w:sz w:val="24"/>
          <w:szCs w:val="24"/>
          <w:highlight w:val="none"/>
        </w:rPr>
        <w:t xml:space="preserve"> 传    真：</w:t>
      </w:r>
      <w:r>
        <w:rPr>
          <w:rFonts w:ascii="Times New Roman" w:hAnsi="Times New Roman" w:eastAsia="宋体"/>
          <w:color w:val="auto"/>
          <w:sz w:val="24"/>
          <w:szCs w:val="24"/>
          <w:highlight w:val="none"/>
          <w:u w:val="single"/>
        </w:rPr>
        <w:t xml:space="preserve">                   </w:t>
      </w:r>
    </w:p>
    <w:p w14:paraId="35BD81C3">
      <w:pPr>
        <w:pStyle w:val="43"/>
        <w:snapToGrid w:val="0"/>
        <w:spacing w:line="450" w:lineRule="exact"/>
        <w:ind w:firstLine="480" w:firstLineChars="200"/>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供应商名称：</w:t>
      </w:r>
      <w:r>
        <w:rPr>
          <w:rFonts w:hint="eastAsia" w:ascii="Times New Roman" w:hAnsi="Times New Roman" w:eastAsia="宋体"/>
          <w:color w:val="auto"/>
          <w:sz w:val="24"/>
          <w:szCs w:val="24"/>
          <w:highlight w:val="none"/>
          <w:u w:val="single"/>
          <w:lang w:val="zh-CN"/>
        </w:rPr>
        <w:t>（加盖CA电子公章）</w:t>
      </w:r>
    </w:p>
    <w:p w14:paraId="2A3DCAF1">
      <w:pPr>
        <w:pStyle w:val="43"/>
        <w:snapToGrid w:val="0"/>
        <w:spacing w:line="450" w:lineRule="exact"/>
        <w:ind w:firstLine="480" w:firstLineChars="200"/>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val="zh-CN"/>
        </w:rPr>
        <w:t xml:space="preserve">   </w:t>
      </w:r>
      <w:r>
        <w:rPr>
          <w:rFonts w:ascii="Times New Roman" w:hAnsi="Times New Roman" w:eastAsia="宋体"/>
          <w:color w:val="auto"/>
          <w:sz w:val="24"/>
          <w:szCs w:val="24"/>
          <w:highlight w:val="none"/>
        </w:rPr>
        <w:t xml:space="preserve">            </w:t>
      </w:r>
    </w:p>
    <w:p w14:paraId="0A0B27C3">
      <w:pPr>
        <w:adjustRightInd w:val="0"/>
        <w:snapToGrid w:val="0"/>
        <w:spacing w:line="450" w:lineRule="exact"/>
        <w:ind w:firstLine="7200" w:firstLineChars="3000"/>
        <w:rPr>
          <w:rFonts w:eastAsia="宋体"/>
          <w:b/>
          <w:bCs/>
          <w:color w:val="auto"/>
          <w:sz w:val="24"/>
          <w:szCs w:val="24"/>
          <w:highlight w:val="none"/>
        </w:rPr>
      </w:pPr>
      <w:r>
        <w:rPr>
          <w:rFonts w:eastAsia="宋体"/>
          <w:color w:val="auto"/>
          <w:sz w:val="24"/>
          <w:szCs w:val="24"/>
          <w:highlight w:val="none"/>
        </w:rPr>
        <w:t>年     月     日</w:t>
      </w:r>
    </w:p>
    <w:p w14:paraId="28D557E7">
      <w:pPr>
        <w:autoSpaceDE w:val="0"/>
        <w:autoSpaceDN w:val="0"/>
        <w:adjustRightInd w:val="0"/>
        <w:snapToGrid w:val="0"/>
        <w:spacing w:line="450" w:lineRule="exact"/>
        <w:rPr>
          <w:rFonts w:eastAsia="宋体"/>
          <w:b/>
          <w:bCs/>
          <w:color w:val="auto"/>
          <w:sz w:val="24"/>
          <w:szCs w:val="24"/>
          <w:highlight w:val="none"/>
        </w:rPr>
      </w:pPr>
    </w:p>
    <w:p w14:paraId="234BA402">
      <w:pPr>
        <w:adjustRightInd w:val="0"/>
        <w:snapToGrid w:val="0"/>
        <w:rPr>
          <w:rFonts w:eastAsia="宋体"/>
          <w:color w:val="auto"/>
          <w:sz w:val="24"/>
          <w:szCs w:val="24"/>
          <w:highlight w:val="none"/>
        </w:rPr>
      </w:pPr>
    </w:p>
    <w:p w14:paraId="3A4AD83C">
      <w:pPr>
        <w:adjustRightInd w:val="0"/>
        <w:snapToGrid w:val="0"/>
        <w:rPr>
          <w:rFonts w:eastAsia="宋体"/>
          <w:color w:val="auto"/>
          <w:sz w:val="24"/>
          <w:szCs w:val="24"/>
          <w:highlight w:val="none"/>
        </w:rPr>
      </w:pPr>
      <w:r>
        <w:rPr>
          <w:rFonts w:eastAsia="宋体"/>
          <w:color w:val="auto"/>
          <w:sz w:val="24"/>
          <w:szCs w:val="24"/>
          <w:highlight w:val="none"/>
        </w:rPr>
        <w:br w:type="page"/>
      </w:r>
      <w:r>
        <w:rPr>
          <w:rFonts w:eastAsia="宋体"/>
          <w:color w:val="auto"/>
          <w:sz w:val="24"/>
          <w:szCs w:val="24"/>
          <w:highlight w:val="none"/>
        </w:rPr>
        <w:t>格式2：磋商响应报价表</w:t>
      </w:r>
      <w:bookmarkEnd w:id="1763"/>
      <w:bookmarkEnd w:id="1764"/>
    </w:p>
    <w:p w14:paraId="51BC3026">
      <w:pPr>
        <w:adjustRightInd w:val="0"/>
        <w:snapToGrid w:val="0"/>
        <w:rPr>
          <w:rFonts w:eastAsia="宋体"/>
          <w:color w:val="auto"/>
          <w:sz w:val="24"/>
          <w:szCs w:val="24"/>
          <w:highlight w:val="none"/>
        </w:rPr>
      </w:pPr>
      <w:r>
        <w:rPr>
          <w:rFonts w:eastAsia="宋体"/>
          <w:b/>
          <w:bCs/>
          <w:color w:val="auto"/>
          <w:sz w:val="24"/>
          <w:szCs w:val="24"/>
          <w:highlight w:val="none"/>
        </w:rPr>
        <w:t xml:space="preserve">                         </w:t>
      </w:r>
      <w:r>
        <w:rPr>
          <w:rFonts w:hint="eastAsia" w:eastAsia="宋体"/>
          <w:b/>
          <w:bCs/>
          <w:color w:val="auto"/>
          <w:sz w:val="24"/>
          <w:szCs w:val="24"/>
          <w:highlight w:val="none"/>
        </w:rPr>
        <w:t xml:space="preserve">   </w:t>
      </w:r>
      <w:r>
        <w:rPr>
          <w:rFonts w:eastAsia="宋体"/>
          <w:b/>
          <w:bCs/>
          <w:color w:val="auto"/>
          <w:sz w:val="24"/>
          <w:szCs w:val="24"/>
          <w:highlight w:val="none"/>
        </w:rPr>
        <w:t>磋商响应报价表</w:t>
      </w:r>
    </w:p>
    <w:p w14:paraId="7AEE755E">
      <w:pPr>
        <w:adjustRightInd w:val="0"/>
        <w:snapToGrid w:val="0"/>
        <w:rPr>
          <w:rFonts w:eastAsia="宋体"/>
          <w:color w:val="auto"/>
          <w:sz w:val="24"/>
          <w:szCs w:val="24"/>
          <w:highlight w:val="none"/>
          <w:u w:val="single"/>
        </w:rPr>
      </w:pPr>
      <w:r>
        <w:rPr>
          <w:rFonts w:eastAsia="宋体"/>
          <w:color w:val="auto"/>
          <w:sz w:val="24"/>
          <w:szCs w:val="24"/>
          <w:highlight w:val="none"/>
        </w:rPr>
        <w:t>报价项目名称：</w:t>
      </w:r>
      <w:r>
        <w:rPr>
          <w:rFonts w:eastAsia="宋体"/>
          <w:color w:val="auto"/>
          <w:sz w:val="24"/>
          <w:szCs w:val="24"/>
          <w:highlight w:val="none"/>
          <w:u w:val="single"/>
        </w:rPr>
        <w:t xml:space="preserve">               </w:t>
      </w:r>
      <w:r>
        <w:rPr>
          <w:rFonts w:eastAsia="宋体"/>
          <w:color w:val="auto"/>
          <w:sz w:val="24"/>
          <w:szCs w:val="24"/>
          <w:highlight w:val="none"/>
        </w:rPr>
        <w:t xml:space="preserve">                  采购编号：</w:t>
      </w:r>
      <w:r>
        <w:rPr>
          <w:rFonts w:hint="eastAsia" w:eastAsia="宋体"/>
          <w:color w:val="auto"/>
          <w:sz w:val="24"/>
          <w:szCs w:val="24"/>
          <w:highlight w:val="none"/>
          <w:u w:val="single"/>
        </w:rPr>
        <w:t xml:space="preserve">              </w:t>
      </w:r>
    </w:p>
    <w:p w14:paraId="6AFE980F">
      <w:pPr>
        <w:adjustRightInd w:val="0"/>
        <w:snapToGrid w:val="0"/>
        <w:rPr>
          <w:rFonts w:eastAsia="宋体"/>
          <w:color w:val="auto"/>
          <w:sz w:val="24"/>
          <w:szCs w:val="24"/>
          <w:highlight w:val="none"/>
        </w:rPr>
      </w:pPr>
      <w:r>
        <w:rPr>
          <w:rFonts w:eastAsia="宋体"/>
          <w:color w:val="auto"/>
          <w:sz w:val="24"/>
          <w:szCs w:val="24"/>
          <w:highlight w:val="none"/>
        </w:rPr>
        <w:t>供应商（盖章）：</w:t>
      </w:r>
    </w:p>
    <w:p w14:paraId="535AB45A">
      <w:pPr>
        <w:adjustRightInd w:val="0"/>
        <w:snapToGrid w:val="0"/>
        <w:rPr>
          <w:rFonts w:eastAsia="宋体"/>
          <w:color w:val="auto"/>
          <w:sz w:val="24"/>
          <w:szCs w:val="24"/>
          <w:highlight w:val="none"/>
          <w:u w:val="single"/>
        </w:rPr>
      </w:pPr>
    </w:p>
    <w:tbl>
      <w:tblPr>
        <w:tblStyle w:val="27"/>
        <w:tblW w:w="10055" w:type="dxa"/>
        <w:tblInd w:w="3" w:type="dxa"/>
        <w:tblLayout w:type="fixed"/>
        <w:tblCellMar>
          <w:top w:w="0" w:type="dxa"/>
          <w:left w:w="108" w:type="dxa"/>
          <w:bottom w:w="0" w:type="dxa"/>
          <w:right w:w="108" w:type="dxa"/>
        </w:tblCellMar>
      </w:tblPr>
      <w:tblGrid>
        <w:gridCol w:w="623"/>
        <w:gridCol w:w="2002"/>
        <w:gridCol w:w="2158"/>
        <w:gridCol w:w="1276"/>
        <w:gridCol w:w="1512"/>
        <w:gridCol w:w="2484"/>
      </w:tblGrid>
      <w:tr w14:paraId="014777E0">
        <w:tblPrEx>
          <w:tblCellMar>
            <w:top w:w="0" w:type="dxa"/>
            <w:left w:w="108" w:type="dxa"/>
            <w:bottom w:w="0" w:type="dxa"/>
            <w:right w:w="108" w:type="dxa"/>
          </w:tblCellMar>
        </w:tblPrEx>
        <w:trPr>
          <w:trHeight w:val="957" w:hRule="atLeast"/>
        </w:trPr>
        <w:tc>
          <w:tcPr>
            <w:tcW w:w="623" w:type="dxa"/>
            <w:tcBorders>
              <w:top w:val="single" w:color="auto" w:sz="6" w:space="0"/>
              <w:left w:val="single" w:color="auto" w:sz="6" w:space="0"/>
              <w:bottom w:val="single" w:color="auto" w:sz="6" w:space="0"/>
              <w:right w:val="single" w:color="auto" w:sz="6" w:space="0"/>
            </w:tcBorders>
            <w:vAlign w:val="center"/>
          </w:tcPr>
          <w:p w14:paraId="49033495">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序号</w:t>
            </w:r>
          </w:p>
        </w:tc>
        <w:tc>
          <w:tcPr>
            <w:tcW w:w="2002" w:type="dxa"/>
            <w:tcBorders>
              <w:top w:val="single" w:color="auto" w:sz="6" w:space="0"/>
              <w:left w:val="single" w:color="auto" w:sz="6" w:space="0"/>
              <w:bottom w:val="single" w:color="auto" w:sz="6" w:space="0"/>
              <w:right w:val="single" w:color="auto" w:sz="6" w:space="0"/>
            </w:tcBorders>
            <w:vAlign w:val="center"/>
          </w:tcPr>
          <w:p w14:paraId="13EBCD06">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项目名称</w:t>
            </w:r>
          </w:p>
        </w:tc>
        <w:tc>
          <w:tcPr>
            <w:tcW w:w="2158" w:type="dxa"/>
            <w:tcBorders>
              <w:top w:val="single" w:color="auto" w:sz="6" w:space="0"/>
              <w:left w:val="single" w:color="auto" w:sz="6" w:space="0"/>
              <w:bottom w:val="single" w:color="auto" w:sz="6" w:space="0"/>
              <w:right w:val="single" w:color="auto" w:sz="6" w:space="0"/>
            </w:tcBorders>
            <w:vAlign w:val="center"/>
          </w:tcPr>
          <w:p w14:paraId="433BB3C0">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报价（元）</w:t>
            </w:r>
          </w:p>
        </w:tc>
        <w:tc>
          <w:tcPr>
            <w:tcW w:w="1276" w:type="dxa"/>
            <w:tcBorders>
              <w:top w:val="single" w:color="auto" w:sz="6" w:space="0"/>
              <w:left w:val="single" w:color="auto" w:sz="6" w:space="0"/>
              <w:bottom w:val="single" w:color="auto" w:sz="6" w:space="0"/>
              <w:right w:val="single" w:color="auto" w:sz="6" w:space="0"/>
            </w:tcBorders>
            <w:vAlign w:val="center"/>
          </w:tcPr>
          <w:p w14:paraId="364293CF">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服务期限</w:t>
            </w:r>
          </w:p>
          <w:p w14:paraId="4D3D2AD1">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（工期）</w:t>
            </w:r>
          </w:p>
        </w:tc>
        <w:tc>
          <w:tcPr>
            <w:tcW w:w="1512" w:type="dxa"/>
            <w:tcBorders>
              <w:top w:val="single" w:color="auto" w:sz="6" w:space="0"/>
              <w:left w:val="single" w:color="auto" w:sz="6" w:space="0"/>
              <w:bottom w:val="single" w:color="auto" w:sz="6" w:space="0"/>
              <w:right w:val="single" w:color="auto" w:sz="6" w:space="0"/>
            </w:tcBorders>
            <w:vAlign w:val="center"/>
          </w:tcPr>
          <w:p w14:paraId="6B6B9CF3">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项目负责人</w:t>
            </w:r>
          </w:p>
        </w:tc>
        <w:tc>
          <w:tcPr>
            <w:tcW w:w="2484" w:type="dxa"/>
            <w:tcBorders>
              <w:top w:val="single" w:color="auto" w:sz="6" w:space="0"/>
              <w:left w:val="single" w:color="auto" w:sz="6" w:space="0"/>
              <w:bottom w:val="single" w:color="auto" w:sz="6" w:space="0"/>
              <w:right w:val="single" w:color="auto" w:sz="6" w:space="0"/>
            </w:tcBorders>
            <w:vAlign w:val="center"/>
          </w:tcPr>
          <w:p w14:paraId="5AD0ED16">
            <w:pPr>
              <w:autoSpaceDE w:val="0"/>
              <w:autoSpaceDN w:val="0"/>
              <w:adjustRightInd w:val="0"/>
              <w:snapToGrid w:val="0"/>
              <w:jc w:val="center"/>
              <w:rPr>
                <w:color w:val="auto"/>
                <w:highlight w:val="none"/>
              </w:rPr>
            </w:pPr>
            <w:r>
              <w:rPr>
                <w:rFonts w:eastAsia="宋体"/>
                <w:color w:val="auto"/>
                <w:sz w:val="24"/>
                <w:szCs w:val="24"/>
                <w:highlight w:val="none"/>
              </w:rPr>
              <w:t>是否中小微企业（注：填入</w:t>
            </w:r>
            <w:r>
              <w:rPr>
                <w:rFonts w:eastAsia="宋体"/>
                <w:b/>
                <w:bCs/>
                <w:color w:val="auto"/>
                <w:sz w:val="24"/>
                <w:szCs w:val="24"/>
                <w:highlight w:val="none"/>
                <w:u w:val="single"/>
              </w:rPr>
              <w:t>中型</w:t>
            </w:r>
            <w:r>
              <w:rPr>
                <w:rFonts w:eastAsia="宋体"/>
                <w:b/>
                <w:bCs/>
                <w:color w:val="auto"/>
                <w:sz w:val="24"/>
                <w:szCs w:val="24"/>
                <w:highlight w:val="none"/>
              </w:rPr>
              <w:t>/</w:t>
            </w:r>
            <w:r>
              <w:rPr>
                <w:rFonts w:eastAsia="宋体"/>
                <w:b/>
                <w:bCs/>
                <w:color w:val="auto"/>
                <w:sz w:val="24"/>
                <w:szCs w:val="24"/>
                <w:highlight w:val="none"/>
                <w:u w:val="single"/>
              </w:rPr>
              <w:t>小型</w:t>
            </w:r>
            <w:r>
              <w:rPr>
                <w:rFonts w:eastAsia="宋体"/>
                <w:b/>
                <w:bCs/>
                <w:color w:val="auto"/>
                <w:sz w:val="24"/>
                <w:szCs w:val="24"/>
                <w:highlight w:val="none"/>
              </w:rPr>
              <w:t>/</w:t>
            </w:r>
            <w:r>
              <w:rPr>
                <w:rFonts w:eastAsia="宋体"/>
                <w:b/>
                <w:bCs/>
                <w:color w:val="auto"/>
                <w:sz w:val="24"/>
                <w:szCs w:val="24"/>
                <w:highlight w:val="none"/>
                <w:u w:val="single"/>
              </w:rPr>
              <w:t>微型</w:t>
            </w:r>
            <w:r>
              <w:rPr>
                <w:rFonts w:eastAsia="宋体"/>
                <w:b/>
                <w:bCs/>
                <w:color w:val="auto"/>
                <w:sz w:val="24"/>
                <w:szCs w:val="24"/>
                <w:highlight w:val="none"/>
              </w:rPr>
              <w:t>或</w:t>
            </w:r>
            <w:r>
              <w:rPr>
                <w:rFonts w:eastAsia="宋体"/>
                <w:b/>
                <w:bCs/>
                <w:color w:val="auto"/>
                <w:sz w:val="24"/>
                <w:szCs w:val="24"/>
                <w:highlight w:val="none"/>
                <w:u w:val="single"/>
              </w:rPr>
              <w:t>否</w:t>
            </w:r>
            <w:r>
              <w:rPr>
                <w:rFonts w:eastAsia="宋体"/>
                <w:color w:val="auto"/>
                <w:sz w:val="24"/>
                <w:szCs w:val="24"/>
                <w:highlight w:val="none"/>
              </w:rPr>
              <w:t>）</w:t>
            </w:r>
          </w:p>
        </w:tc>
      </w:tr>
      <w:tr w14:paraId="6ECA6642">
        <w:tblPrEx>
          <w:tblCellMar>
            <w:top w:w="0" w:type="dxa"/>
            <w:left w:w="108" w:type="dxa"/>
            <w:bottom w:w="0" w:type="dxa"/>
            <w:right w:w="108" w:type="dxa"/>
          </w:tblCellMar>
        </w:tblPrEx>
        <w:trPr>
          <w:trHeight w:val="951" w:hRule="atLeast"/>
        </w:trPr>
        <w:tc>
          <w:tcPr>
            <w:tcW w:w="623" w:type="dxa"/>
            <w:tcBorders>
              <w:top w:val="single" w:color="auto" w:sz="6" w:space="0"/>
              <w:left w:val="single" w:color="auto" w:sz="6" w:space="0"/>
              <w:bottom w:val="single" w:color="auto" w:sz="6" w:space="0"/>
              <w:right w:val="single" w:color="auto" w:sz="6" w:space="0"/>
            </w:tcBorders>
            <w:vAlign w:val="center"/>
          </w:tcPr>
          <w:p w14:paraId="4D311695">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1</w:t>
            </w:r>
          </w:p>
        </w:tc>
        <w:tc>
          <w:tcPr>
            <w:tcW w:w="2002" w:type="dxa"/>
            <w:tcBorders>
              <w:top w:val="single" w:color="auto" w:sz="6" w:space="0"/>
              <w:left w:val="single" w:color="auto" w:sz="6" w:space="0"/>
              <w:bottom w:val="single" w:color="auto" w:sz="6" w:space="0"/>
              <w:right w:val="single" w:color="auto" w:sz="6" w:space="0"/>
            </w:tcBorders>
            <w:vAlign w:val="center"/>
          </w:tcPr>
          <w:p w14:paraId="20D5BA2F">
            <w:pPr>
              <w:autoSpaceDE w:val="0"/>
              <w:autoSpaceDN w:val="0"/>
              <w:adjustRightInd w:val="0"/>
              <w:snapToGrid w:val="0"/>
              <w:jc w:val="center"/>
              <w:rPr>
                <w:rFonts w:eastAsia="宋体"/>
                <w:color w:val="auto"/>
                <w:sz w:val="24"/>
                <w:szCs w:val="24"/>
                <w:highlight w:val="none"/>
                <w:lang w:val="zh-CN"/>
              </w:rPr>
            </w:pPr>
          </w:p>
        </w:tc>
        <w:tc>
          <w:tcPr>
            <w:tcW w:w="2158" w:type="dxa"/>
            <w:tcBorders>
              <w:top w:val="single" w:color="auto" w:sz="6" w:space="0"/>
              <w:left w:val="single" w:color="auto" w:sz="6" w:space="0"/>
              <w:bottom w:val="single" w:color="auto" w:sz="4" w:space="0"/>
              <w:right w:val="single" w:color="auto" w:sz="6" w:space="0"/>
            </w:tcBorders>
            <w:vAlign w:val="center"/>
          </w:tcPr>
          <w:p w14:paraId="586D969F">
            <w:pPr>
              <w:autoSpaceDE w:val="0"/>
              <w:autoSpaceDN w:val="0"/>
              <w:adjustRightInd w:val="0"/>
              <w:snapToGrid w:val="0"/>
              <w:jc w:val="center"/>
              <w:rPr>
                <w:rFonts w:eastAsia="宋体"/>
                <w:color w:val="auto"/>
                <w:sz w:val="24"/>
                <w:szCs w:val="24"/>
                <w:highlight w:val="none"/>
                <w:lang w:val="zh-CN"/>
              </w:rPr>
            </w:pPr>
          </w:p>
        </w:tc>
        <w:tc>
          <w:tcPr>
            <w:tcW w:w="1276" w:type="dxa"/>
            <w:tcBorders>
              <w:top w:val="single" w:color="auto" w:sz="6" w:space="0"/>
              <w:left w:val="single" w:color="auto" w:sz="6" w:space="0"/>
              <w:bottom w:val="single" w:color="auto" w:sz="4" w:space="0"/>
              <w:right w:val="single" w:color="auto" w:sz="6" w:space="0"/>
            </w:tcBorders>
            <w:vAlign w:val="center"/>
          </w:tcPr>
          <w:p w14:paraId="464D1C4C">
            <w:pPr>
              <w:autoSpaceDE w:val="0"/>
              <w:autoSpaceDN w:val="0"/>
              <w:adjustRightInd w:val="0"/>
              <w:snapToGrid w:val="0"/>
              <w:jc w:val="center"/>
              <w:rPr>
                <w:rFonts w:eastAsia="宋体"/>
                <w:color w:val="auto"/>
                <w:sz w:val="24"/>
                <w:szCs w:val="24"/>
                <w:highlight w:val="none"/>
                <w:lang w:val="zh-CN"/>
              </w:rPr>
            </w:pPr>
          </w:p>
        </w:tc>
        <w:tc>
          <w:tcPr>
            <w:tcW w:w="1512" w:type="dxa"/>
            <w:tcBorders>
              <w:top w:val="single" w:color="auto" w:sz="6" w:space="0"/>
              <w:left w:val="single" w:color="auto" w:sz="6" w:space="0"/>
              <w:bottom w:val="single" w:color="auto" w:sz="6" w:space="0"/>
              <w:right w:val="single" w:color="auto" w:sz="6" w:space="0"/>
            </w:tcBorders>
            <w:vAlign w:val="center"/>
          </w:tcPr>
          <w:p w14:paraId="33AA9DE2">
            <w:pPr>
              <w:autoSpaceDE w:val="0"/>
              <w:autoSpaceDN w:val="0"/>
              <w:adjustRightInd w:val="0"/>
              <w:snapToGrid w:val="0"/>
              <w:jc w:val="center"/>
              <w:rPr>
                <w:rFonts w:eastAsia="宋体"/>
                <w:color w:val="auto"/>
                <w:sz w:val="24"/>
                <w:szCs w:val="24"/>
                <w:highlight w:val="none"/>
                <w:lang w:val="zh-CN"/>
              </w:rPr>
            </w:pPr>
          </w:p>
        </w:tc>
        <w:tc>
          <w:tcPr>
            <w:tcW w:w="2484" w:type="dxa"/>
            <w:tcBorders>
              <w:top w:val="single" w:color="auto" w:sz="6" w:space="0"/>
              <w:left w:val="single" w:color="auto" w:sz="6" w:space="0"/>
              <w:bottom w:val="single" w:color="auto" w:sz="6" w:space="0"/>
              <w:right w:val="single" w:color="auto" w:sz="6" w:space="0"/>
            </w:tcBorders>
            <w:vAlign w:val="center"/>
          </w:tcPr>
          <w:p w14:paraId="1CE18BCC">
            <w:pPr>
              <w:autoSpaceDE w:val="0"/>
              <w:autoSpaceDN w:val="0"/>
              <w:adjustRightInd w:val="0"/>
              <w:snapToGrid w:val="0"/>
              <w:jc w:val="center"/>
              <w:rPr>
                <w:rFonts w:eastAsia="宋体"/>
                <w:color w:val="auto"/>
                <w:sz w:val="24"/>
                <w:szCs w:val="24"/>
                <w:highlight w:val="none"/>
                <w:lang w:val="zh-CN"/>
              </w:rPr>
            </w:pPr>
          </w:p>
        </w:tc>
      </w:tr>
      <w:tr w14:paraId="18CE9B3B">
        <w:tblPrEx>
          <w:tblCellMar>
            <w:top w:w="0" w:type="dxa"/>
            <w:left w:w="108" w:type="dxa"/>
            <w:bottom w:w="0" w:type="dxa"/>
            <w:right w:w="108" w:type="dxa"/>
          </w:tblCellMar>
        </w:tblPrEx>
        <w:trPr>
          <w:trHeight w:val="951" w:hRule="atLeast"/>
        </w:trPr>
        <w:tc>
          <w:tcPr>
            <w:tcW w:w="623" w:type="dxa"/>
            <w:tcBorders>
              <w:top w:val="single" w:color="auto" w:sz="6" w:space="0"/>
              <w:left w:val="single" w:color="auto" w:sz="6" w:space="0"/>
              <w:bottom w:val="single" w:color="auto" w:sz="6" w:space="0"/>
              <w:right w:val="single" w:color="auto" w:sz="6" w:space="0"/>
            </w:tcBorders>
            <w:vAlign w:val="center"/>
          </w:tcPr>
          <w:p w14:paraId="37942B76">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w:t>
            </w:r>
          </w:p>
        </w:tc>
        <w:tc>
          <w:tcPr>
            <w:tcW w:w="2002" w:type="dxa"/>
            <w:tcBorders>
              <w:top w:val="single" w:color="auto" w:sz="6" w:space="0"/>
              <w:left w:val="single" w:color="auto" w:sz="6" w:space="0"/>
              <w:bottom w:val="single" w:color="auto" w:sz="6" w:space="0"/>
              <w:right w:val="single" w:color="auto" w:sz="6" w:space="0"/>
            </w:tcBorders>
            <w:vAlign w:val="center"/>
          </w:tcPr>
          <w:p w14:paraId="3E3C3BD1">
            <w:pPr>
              <w:autoSpaceDE w:val="0"/>
              <w:autoSpaceDN w:val="0"/>
              <w:adjustRightInd w:val="0"/>
              <w:snapToGrid w:val="0"/>
              <w:jc w:val="center"/>
              <w:rPr>
                <w:rFonts w:eastAsia="宋体"/>
                <w:color w:val="auto"/>
                <w:sz w:val="24"/>
                <w:szCs w:val="24"/>
                <w:highlight w:val="none"/>
                <w:lang w:val="zh-CN"/>
              </w:rPr>
            </w:pPr>
          </w:p>
        </w:tc>
        <w:tc>
          <w:tcPr>
            <w:tcW w:w="2158" w:type="dxa"/>
            <w:tcBorders>
              <w:top w:val="single" w:color="auto" w:sz="6" w:space="0"/>
              <w:left w:val="single" w:color="auto" w:sz="6" w:space="0"/>
              <w:bottom w:val="single" w:color="auto" w:sz="4" w:space="0"/>
              <w:right w:val="single" w:color="auto" w:sz="6" w:space="0"/>
            </w:tcBorders>
            <w:vAlign w:val="center"/>
          </w:tcPr>
          <w:p w14:paraId="2619ED1B">
            <w:pPr>
              <w:autoSpaceDE w:val="0"/>
              <w:autoSpaceDN w:val="0"/>
              <w:adjustRightInd w:val="0"/>
              <w:snapToGrid w:val="0"/>
              <w:jc w:val="center"/>
              <w:rPr>
                <w:rFonts w:eastAsia="宋体"/>
                <w:color w:val="auto"/>
                <w:sz w:val="24"/>
                <w:szCs w:val="24"/>
                <w:highlight w:val="none"/>
                <w:lang w:val="zh-CN"/>
              </w:rPr>
            </w:pPr>
          </w:p>
        </w:tc>
        <w:tc>
          <w:tcPr>
            <w:tcW w:w="1276" w:type="dxa"/>
            <w:tcBorders>
              <w:top w:val="single" w:color="auto" w:sz="6" w:space="0"/>
              <w:left w:val="single" w:color="auto" w:sz="6" w:space="0"/>
              <w:bottom w:val="single" w:color="auto" w:sz="4" w:space="0"/>
              <w:right w:val="single" w:color="auto" w:sz="6" w:space="0"/>
            </w:tcBorders>
            <w:vAlign w:val="center"/>
          </w:tcPr>
          <w:p w14:paraId="0DC6ACCE">
            <w:pPr>
              <w:autoSpaceDE w:val="0"/>
              <w:autoSpaceDN w:val="0"/>
              <w:adjustRightInd w:val="0"/>
              <w:snapToGrid w:val="0"/>
              <w:jc w:val="center"/>
              <w:rPr>
                <w:rFonts w:eastAsia="宋体"/>
                <w:color w:val="auto"/>
                <w:sz w:val="24"/>
                <w:szCs w:val="24"/>
                <w:highlight w:val="none"/>
                <w:lang w:val="zh-CN"/>
              </w:rPr>
            </w:pPr>
          </w:p>
        </w:tc>
        <w:tc>
          <w:tcPr>
            <w:tcW w:w="1512" w:type="dxa"/>
            <w:tcBorders>
              <w:top w:val="single" w:color="auto" w:sz="6" w:space="0"/>
              <w:left w:val="single" w:color="auto" w:sz="6" w:space="0"/>
              <w:bottom w:val="single" w:color="auto" w:sz="6" w:space="0"/>
              <w:right w:val="single" w:color="auto" w:sz="6" w:space="0"/>
            </w:tcBorders>
            <w:vAlign w:val="center"/>
          </w:tcPr>
          <w:p w14:paraId="6A23802D">
            <w:pPr>
              <w:autoSpaceDE w:val="0"/>
              <w:autoSpaceDN w:val="0"/>
              <w:adjustRightInd w:val="0"/>
              <w:snapToGrid w:val="0"/>
              <w:jc w:val="center"/>
              <w:rPr>
                <w:rFonts w:eastAsia="宋体"/>
                <w:color w:val="auto"/>
                <w:sz w:val="24"/>
                <w:szCs w:val="24"/>
                <w:highlight w:val="none"/>
                <w:lang w:val="zh-CN"/>
              </w:rPr>
            </w:pPr>
          </w:p>
        </w:tc>
        <w:tc>
          <w:tcPr>
            <w:tcW w:w="2484" w:type="dxa"/>
            <w:tcBorders>
              <w:top w:val="single" w:color="auto" w:sz="6" w:space="0"/>
              <w:left w:val="single" w:color="auto" w:sz="6" w:space="0"/>
              <w:bottom w:val="single" w:color="auto" w:sz="6" w:space="0"/>
              <w:right w:val="single" w:color="auto" w:sz="6" w:space="0"/>
            </w:tcBorders>
            <w:vAlign w:val="center"/>
          </w:tcPr>
          <w:p w14:paraId="11F5C357">
            <w:pPr>
              <w:autoSpaceDE w:val="0"/>
              <w:autoSpaceDN w:val="0"/>
              <w:adjustRightInd w:val="0"/>
              <w:snapToGrid w:val="0"/>
              <w:jc w:val="center"/>
              <w:rPr>
                <w:rFonts w:eastAsia="宋体"/>
                <w:color w:val="auto"/>
                <w:sz w:val="24"/>
                <w:szCs w:val="24"/>
                <w:highlight w:val="none"/>
                <w:lang w:val="zh-CN"/>
              </w:rPr>
            </w:pPr>
          </w:p>
        </w:tc>
      </w:tr>
      <w:tr w14:paraId="0E8B21F0">
        <w:tblPrEx>
          <w:tblCellMar>
            <w:top w:w="0" w:type="dxa"/>
            <w:left w:w="108" w:type="dxa"/>
            <w:bottom w:w="0" w:type="dxa"/>
            <w:right w:w="108" w:type="dxa"/>
          </w:tblCellMar>
        </w:tblPrEx>
        <w:trPr>
          <w:trHeight w:val="951" w:hRule="atLeast"/>
        </w:trPr>
        <w:tc>
          <w:tcPr>
            <w:tcW w:w="2625" w:type="dxa"/>
            <w:gridSpan w:val="2"/>
            <w:tcBorders>
              <w:top w:val="single" w:color="auto" w:sz="6" w:space="0"/>
              <w:left w:val="single" w:color="auto" w:sz="6" w:space="0"/>
              <w:bottom w:val="single" w:color="auto" w:sz="6" w:space="0"/>
              <w:right w:val="single" w:color="auto" w:sz="6" w:space="0"/>
            </w:tcBorders>
            <w:vAlign w:val="center"/>
          </w:tcPr>
          <w:p w14:paraId="1FF1A9FD">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总报价</w:t>
            </w:r>
          </w:p>
        </w:tc>
        <w:tc>
          <w:tcPr>
            <w:tcW w:w="2158" w:type="dxa"/>
            <w:tcBorders>
              <w:top w:val="single" w:color="auto" w:sz="6" w:space="0"/>
              <w:left w:val="single" w:color="auto" w:sz="6" w:space="0"/>
              <w:bottom w:val="single" w:color="auto" w:sz="4" w:space="0"/>
              <w:right w:val="single" w:color="auto" w:sz="6" w:space="0"/>
            </w:tcBorders>
            <w:vAlign w:val="center"/>
          </w:tcPr>
          <w:p w14:paraId="3695B909">
            <w:pPr>
              <w:autoSpaceDE w:val="0"/>
              <w:autoSpaceDN w:val="0"/>
              <w:adjustRightInd w:val="0"/>
              <w:snapToGrid w:val="0"/>
              <w:jc w:val="center"/>
              <w:rPr>
                <w:rFonts w:eastAsia="宋体"/>
                <w:color w:val="auto"/>
                <w:sz w:val="24"/>
                <w:szCs w:val="24"/>
                <w:highlight w:val="none"/>
                <w:lang w:val="zh-CN"/>
              </w:rPr>
            </w:pPr>
          </w:p>
        </w:tc>
        <w:tc>
          <w:tcPr>
            <w:tcW w:w="1276" w:type="dxa"/>
            <w:tcBorders>
              <w:top w:val="single" w:color="auto" w:sz="6" w:space="0"/>
              <w:left w:val="single" w:color="auto" w:sz="6" w:space="0"/>
              <w:bottom w:val="single" w:color="auto" w:sz="4" w:space="0"/>
              <w:right w:val="single" w:color="auto" w:sz="6" w:space="0"/>
            </w:tcBorders>
            <w:vAlign w:val="center"/>
          </w:tcPr>
          <w:p w14:paraId="7129520D">
            <w:pPr>
              <w:autoSpaceDE w:val="0"/>
              <w:autoSpaceDN w:val="0"/>
              <w:adjustRightInd w:val="0"/>
              <w:snapToGrid w:val="0"/>
              <w:jc w:val="center"/>
              <w:rPr>
                <w:rFonts w:eastAsia="宋体"/>
                <w:color w:val="auto"/>
                <w:sz w:val="24"/>
                <w:szCs w:val="24"/>
                <w:highlight w:val="none"/>
                <w:lang w:val="zh-CN"/>
              </w:rPr>
            </w:pPr>
          </w:p>
        </w:tc>
        <w:tc>
          <w:tcPr>
            <w:tcW w:w="1512" w:type="dxa"/>
            <w:tcBorders>
              <w:top w:val="single" w:color="auto" w:sz="6" w:space="0"/>
              <w:left w:val="single" w:color="auto" w:sz="6" w:space="0"/>
              <w:bottom w:val="single" w:color="auto" w:sz="6" w:space="0"/>
              <w:right w:val="single" w:color="auto" w:sz="6" w:space="0"/>
            </w:tcBorders>
            <w:vAlign w:val="center"/>
          </w:tcPr>
          <w:p w14:paraId="7F356E21">
            <w:pPr>
              <w:autoSpaceDE w:val="0"/>
              <w:autoSpaceDN w:val="0"/>
              <w:adjustRightInd w:val="0"/>
              <w:snapToGrid w:val="0"/>
              <w:jc w:val="center"/>
              <w:rPr>
                <w:rFonts w:eastAsia="宋体"/>
                <w:color w:val="auto"/>
                <w:sz w:val="24"/>
                <w:szCs w:val="24"/>
                <w:highlight w:val="none"/>
                <w:lang w:val="zh-CN"/>
              </w:rPr>
            </w:pPr>
          </w:p>
        </w:tc>
        <w:tc>
          <w:tcPr>
            <w:tcW w:w="2484" w:type="dxa"/>
            <w:tcBorders>
              <w:top w:val="single" w:color="auto" w:sz="6" w:space="0"/>
              <w:left w:val="single" w:color="auto" w:sz="6" w:space="0"/>
              <w:bottom w:val="single" w:color="auto" w:sz="6" w:space="0"/>
              <w:right w:val="single" w:color="auto" w:sz="6" w:space="0"/>
            </w:tcBorders>
            <w:vAlign w:val="center"/>
          </w:tcPr>
          <w:p w14:paraId="7CB24A6C">
            <w:pPr>
              <w:autoSpaceDE w:val="0"/>
              <w:autoSpaceDN w:val="0"/>
              <w:adjustRightInd w:val="0"/>
              <w:snapToGrid w:val="0"/>
              <w:jc w:val="center"/>
              <w:rPr>
                <w:rFonts w:eastAsia="宋体"/>
                <w:color w:val="auto"/>
                <w:sz w:val="24"/>
                <w:szCs w:val="24"/>
                <w:highlight w:val="none"/>
                <w:lang w:val="zh-CN"/>
              </w:rPr>
            </w:pPr>
          </w:p>
        </w:tc>
      </w:tr>
      <w:tr w14:paraId="7D1DF4F2">
        <w:tblPrEx>
          <w:tblCellMar>
            <w:top w:w="0" w:type="dxa"/>
            <w:left w:w="108" w:type="dxa"/>
            <w:bottom w:w="0" w:type="dxa"/>
            <w:right w:w="108" w:type="dxa"/>
          </w:tblCellMar>
        </w:tblPrEx>
        <w:trPr>
          <w:trHeight w:val="857" w:hRule="atLeast"/>
        </w:trPr>
        <w:tc>
          <w:tcPr>
            <w:tcW w:w="10055" w:type="dxa"/>
            <w:gridSpan w:val="6"/>
            <w:tcBorders>
              <w:top w:val="nil"/>
              <w:left w:val="single" w:color="auto" w:sz="6" w:space="0"/>
              <w:bottom w:val="single" w:color="auto" w:sz="6" w:space="0"/>
              <w:right w:val="single" w:color="auto" w:sz="6" w:space="0"/>
            </w:tcBorders>
            <w:vAlign w:val="center"/>
          </w:tcPr>
          <w:p w14:paraId="2978E289">
            <w:pPr>
              <w:autoSpaceDE w:val="0"/>
              <w:autoSpaceDN w:val="0"/>
              <w:adjustRightInd w:val="0"/>
              <w:snapToGrid w:val="0"/>
              <w:rPr>
                <w:rFonts w:eastAsia="宋体"/>
                <w:color w:val="auto"/>
                <w:sz w:val="24"/>
                <w:szCs w:val="24"/>
                <w:highlight w:val="none"/>
                <w:lang w:val="zh-CN"/>
              </w:rPr>
            </w:pPr>
            <w:r>
              <w:rPr>
                <w:rFonts w:eastAsia="宋体"/>
                <w:color w:val="auto"/>
                <w:sz w:val="24"/>
                <w:szCs w:val="24"/>
                <w:highlight w:val="none"/>
                <w:lang w:val="zh-CN"/>
              </w:rPr>
              <w:t>报价（人民币大写）：                    ￥：</w:t>
            </w:r>
          </w:p>
        </w:tc>
      </w:tr>
    </w:tbl>
    <w:p w14:paraId="5B78CFDA">
      <w:pPr>
        <w:adjustRightInd w:val="0"/>
        <w:snapToGrid w:val="0"/>
        <w:rPr>
          <w:rFonts w:eastAsia="宋体"/>
          <w:color w:val="auto"/>
          <w:spacing w:val="20"/>
          <w:sz w:val="24"/>
          <w:szCs w:val="24"/>
          <w:highlight w:val="none"/>
        </w:rPr>
      </w:pPr>
      <w:r>
        <w:rPr>
          <w:rFonts w:hint="eastAsia" w:eastAsia="宋体"/>
          <w:color w:val="auto"/>
          <w:sz w:val="24"/>
          <w:szCs w:val="24"/>
          <w:highlight w:val="none"/>
        </w:rPr>
        <w:t>供应商</w:t>
      </w:r>
      <w:r>
        <w:rPr>
          <w:rFonts w:hint="eastAsia" w:eastAsia="宋体"/>
          <w:color w:val="auto"/>
          <w:sz w:val="24"/>
          <w:szCs w:val="24"/>
          <w:highlight w:val="none"/>
          <w:lang w:val="en-US" w:eastAsia="zh-CN"/>
        </w:rPr>
        <w:t>名称：</w:t>
      </w:r>
      <w:r>
        <w:rPr>
          <w:rFonts w:hint="eastAsia" w:eastAsia="宋体"/>
          <w:color w:val="auto"/>
          <w:sz w:val="24"/>
          <w:szCs w:val="24"/>
          <w:highlight w:val="none"/>
        </w:rPr>
        <w:t>（加盖CA电子公章）</w:t>
      </w:r>
      <w:r>
        <w:rPr>
          <w:rFonts w:hint="eastAsia" w:eastAsia="宋体"/>
          <w:color w:val="auto"/>
          <w:sz w:val="24"/>
          <w:szCs w:val="24"/>
          <w:highlight w:val="none"/>
          <w:lang w:val="en-US" w:eastAsia="zh-CN"/>
        </w:rPr>
        <w:t xml:space="preserve">  </w:t>
      </w:r>
      <w:r>
        <w:rPr>
          <w:rFonts w:eastAsia="宋体"/>
          <w:color w:val="auto"/>
          <w:spacing w:val="20"/>
          <w:sz w:val="24"/>
          <w:szCs w:val="24"/>
          <w:highlight w:val="none"/>
        </w:rPr>
        <w:t xml:space="preserve">       日期：</w:t>
      </w:r>
    </w:p>
    <w:p w14:paraId="7051F283">
      <w:pPr>
        <w:adjustRightInd w:val="0"/>
        <w:snapToGrid w:val="0"/>
        <w:rPr>
          <w:rFonts w:eastAsia="宋体"/>
          <w:color w:val="auto"/>
          <w:spacing w:val="20"/>
          <w:sz w:val="24"/>
          <w:szCs w:val="24"/>
          <w:highlight w:val="none"/>
        </w:rPr>
      </w:pPr>
    </w:p>
    <w:p w14:paraId="5666774D">
      <w:pPr>
        <w:adjustRightInd w:val="0"/>
        <w:snapToGrid w:val="0"/>
        <w:rPr>
          <w:rFonts w:eastAsia="宋体"/>
          <w:color w:val="auto"/>
          <w:spacing w:val="20"/>
          <w:sz w:val="24"/>
          <w:szCs w:val="24"/>
          <w:highlight w:val="none"/>
        </w:rPr>
      </w:pPr>
    </w:p>
    <w:p w14:paraId="0A466065">
      <w:pPr>
        <w:adjustRightInd w:val="0"/>
        <w:snapToGrid w:val="0"/>
        <w:rPr>
          <w:rFonts w:eastAsia="宋体"/>
          <w:color w:val="auto"/>
          <w:spacing w:val="20"/>
          <w:sz w:val="24"/>
          <w:szCs w:val="24"/>
          <w:highlight w:val="none"/>
        </w:rPr>
      </w:pPr>
      <w:r>
        <w:rPr>
          <w:rFonts w:eastAsia="宋体"/>
          <w:color w:val="auto"/>
          <w:spacing w:val="20"/>
          <w:sz w:val="24"/>
          <w:szCs w:val="24"/>
          <w:highlight w:val="none"/>
        </w:rPr>
        <w:t>注：</w:t>
      </w:r>
    </w:p>
    <w:p w14:paraId="6C41476C">
      <w:pPr>
        <w:spacing w:line="360" w:lineRule="auto"/>
        <w:rPr>
          <w:rFonts w:eastAsia="宋体"/>
          <w:bCs/>
          <w:color w:val="auto"/>
          <w:spacing w:val="20"/>
          <w:sz w:val="24"/>
          <w:szCs w:val="24"/>
          <w:highlight w:val="none"/>
        </w:rPr>
      </w:pPr>
      <w:r>
        <w:rPr>
          <w:rFonts w:eastAsia="宋体"/>
          <w:bCs/>
          <w:color w:val="auto"/>
          <w:spacing w:val="20"/>
          <w:sz w:val="24"/>
          <w:szCs w:val="24"/>
          <w:highlight w:val="none"/>
        </w:rPr>
        <w:t>1、上述报价包含一切由服务方承担的费用（包含人、材、机、规费、税金等在内的一切费用）。</w:t>
      </w:r>
    </w:p>
    <w:p w14:paraId="3B1E3C24">
      <w:pPr>
        <w:spacing w:line="360" w:lineRule="auto"/>
        <w:rPr>
          <w:rFonts w:eastAsia="宋体"/>
          <w:b/>
          <w:color w:val="auto"/>
          <w:spacing w:val="20"/>
          <w:sz w:val="24"/>
          <w:szCs w:val="24"/>
          <w:highlight w:val="none"/>
        </w:rPr>
      </w:pPr>
      <w:r>
        <w:rPr>
          <w:rFonts w:eastAsia="宋体"/>
          <w:b/>
          <w:color w:val="auto"/>
          <w:spacing w:val="20"/>
          <w:sz w:val="24"/>
          <w:szCs w:val="24"/>
          <w:highlight w:val="none"/>
        </w:rPr>
        <w:t>2、供应商需附详细报价表。（</w:t>
      </w:r>
      <w:r>
        <w:rPr>
          <w:rFonts w:hint="eastAsia" w:eastAsia="宋体"/>
          <w:b/>
          <w:color w:val="auto"/>
          <w:spacing w:val="20"/>
          <w:sz w:val="24"/>
          <w:szCs w:val="24"/>
          <w:highlight w:val="none"/>
          <w:u w:val="single"/>
        </w:rPr>
        <w:t>依据</w:t>
      </w:r>
      <w:r>
        <w:rPr>
          <w:rFonts w:hint="eastAsia" w:eastAsia="宋体"/>
          <w:b/>
          <w:color w:val="auto"/>
          <w:spacing w:val="20"/>
          <w:sz w:val="24"/>
          <w:szCs w:val="24"/>
          <w:highlight w:val="none"/>
          <w:u w:val="single"/>
          <w:lang w:eastAsia="zh-CN"/>
        </w:rPr>
        <w:t>“</w:t>
      </w:r>
      <w:r>
        <w:rPr>
          <w:rFonts w:hint="eastAsia" w:eastAsia="宋体"/>
          <w:b/>
          <w:color w:val="auto"/>
          <w:spacing w:val="20"/>
          <w:sz w:val="24"/>
          <w:szCs w:val="24"/>
          <w:highlight w:val="none"/>
          <w:u w:val="single"/>
        </w:rPr>
        <w:t>第三章</w:t>
      </w:r>
      <w:r>
        <w:rPr>
          <w:rFonts w:hint="eastAsia" w:eastAsia="宋体"/>
          <w:b/>
          <w:color w:val="auto"/>
          <w:spacing w:val="20"/>
          <w:sz w:val="24"/>
          <w:szCs w:val="24"/>
          <w:highlight w:val="none"/>
          <w:u w:val="single"/>
          <w:lang w:val="en-US" w:eastAsia="zh-CN"/>
        </w:rPr>
        <w:t>采购需求及其工程量清单</w:t>
      </w:r>
      <w:r>
        <w:rPr>
          <w:rFonts w:hint="eastAsia" w:eastAsia="宋体"/>
          <w:b/>
          <w:color w:val="auto"/>
          <w:spacing w:val="20"/>
          <w:sz w:val="24"/>
          <w:szCs w:val="24"/>
          <w:highlight w:val="none"/>
          <w:u w:val="single"/>
          <w:lang w:eastAsia="zh-CN"/>
        </w:rPr>
        <w:t>”</w:t>
      </w:r>
      <w:r>
        <w:rPr>
          <w:rFonts w:hint="eastAsia" w:eastAsia="宋体"/>
          <w:b/>
          <w:color w:val="auto"/>
          <w:spacing w:val="20"/>
          <w:sz w:val="24"/>
          <w:szCs w:val="24"/>
          <w:highlight w:val="none"/>
          <w:u w:val="single"/>
        </w:rPr>
        <w:t>自行编制详细报价表，否则视为不实质性响应采购文件</w:t>
      </w:r>
      <w:r>
        <w:rPr>
          <w:rFonts w:eastAsia="宋体"/>
          <w:b/>
          <w:color w:val="auto"/>
          <w:spacing w:val="20"/>
          <w:sz w:val="24"/>
          <w:szCs w:val="24"/>
          <w:highlight w:val="none"/>
        </w:rPr>
        <w:t>）。</w:t>
      </w:r>
    </w:p>
    <w:p w14:paraId="635035F1">
      <w:pPr>
        <w:spacing w:line="360" w:lineRule="auto"/>
        <w:rPr>
          <w:rFonts w:eastAsia="宋体"/>
          <w:bCs/>
          <w:color w:val="auto"/>
          <w:spacing w:val="20"/>
          <w:sz w:val="24"/>
          <w:szCs w:val="24"/>
          <w:highlight w:val="none"/>
        </w:rPr>
      </w:pPr>
      <w:r>
        <w:rPr>
          <w:rFonts w:eastAsia="宋体"/>
          <w:b/>
          <w:color w:val="auto"/>
          <w:spacing w:val="20"/>
          <w:sz w:val="24"/>
          <w:szCs w:val="24"/>
          <w:highlight w:val="none"/>
        </w:rPr>
        <w:t>3、供应商需对应第二章“供应商须知”中“33.政策功能”中要求，相关报价一一对应列出，并提供详细证明文件。如未提供，或相关内容表述不清前后矛盾的，不享受价格扣除或加分</w:t>
      </w:r>
      <w:r>
        <w:rPr>
          <w:rFonts w:eastAsia="宋体"/>
          <w:bCs/>
          <w:color w:val="auto"/>
          <w:spacing w:val="20"/>
          <w:sz w:val="24"/>
          <w:szCs w:val="24"/>
          <w:highlight w:val="none"/>
        </w:rPr>
        <w:t>。</w:t>
      </w:r>
    </w:p>
    <w:p w14:paraId="2B8A38B9">
      <w:pPr>
        <w:adjustRightInd w:val="0"/>
        <w:snapToGrid w:val="0"/>
        <w:rPr>
          <w:rFonts w:eastAsia="宋体"/>
          <w:b/>
          <w:bCs/>
          <w:color w:val="auto"/>
          <w:sz w:val="24"/>
          <w:szCs w:val="24"/>
          <w:highlight w:val="none"/>
        </w:rPr>
      </w:pPr>
    </w:p>
    <w:p w14:paraId="72CEB1B0">
      <w:pPr>
        <w:adjustRightInd w:val="0"/>
        <w:snapToGrid w:val="0"/>
        <w:rPr>
          <w:rFonts w:eastAsia="宋体"/>
          <w:color w:val="auto"/>
          <w:sz w:val="24"/>
          <w:szCs w:val="24"/>
          <w:highlight w:val="none"/>
        </w:rPr>
      </w:pPr>
      <w:bookmarkStart w:id="1765" w:name="_Toc6385492"/>
      <w:bookmarkStart w:id="1766" w:name="_Toc469305419"/>
      <w:bookmarkStart w:id="1767" w:name="_Toc514856790"/>
      <w:r>
        <w:rPr>
          <w:rFonts w:eastAsia="宋体"/>
          <w:color w:val="auto"/>
          <w:sz w:val="24"/>
          <w:szCs w:val="24"/>
          <w:highlight w:val="none"/>
        </w:rPr>
        <w:br w:type="page"/>
      </w:r>
    </w:p>
    <w:p w14:paraId="2B598C2A">
      <w:pPr>
        <w:adjustRightInd w:val="0"/>
        <w:snapToGrid w:val="0"/>
        <w:rPr>
          <w:rFonts w:eastAsia="宋体"/>
          <w:b/>
          <w:bCs/>
          <w:color w:val="auto"/>
          <w:sz w:val="24"/>
          <w:szCs w:val="24"/>
          <w:highlight w:val="none"/>
        </w:rPr>
      </w:pPr>
      <w:r>
        <w:rPr>
          <w:rFonts w:eastAsia="宋体"/>
          <w:color w:val="auto"/>
          <w:sz w:val="24"/>
          <w:szCs w:val="24"/>
          <w:highlight w:val="none"/>
        </w:rPr>
        <w:t>格式3：</w:t>
      </w:r>
      <w:r>
        <w:rPr>
          <w:rFonts w:eastAsia="宋体"/>
          <w:bCs/>
          <w:color w:val="auto"/>
          <w:sz w:val="24"/>
          <w:szCs w:val="24"/>
          <w:highlight w:val="none"/>
        </w:rPr>
        <w:t>法定代表人授权委托书</w:t>
      </w:r>
    </w:p>
    <w:p w14:paraId="3E54055A">
      <w:pPr>
        <w:adjustRightInd w:val="0"/>
        <w:snapToGrid w:val="0"/>
        <w:rPr>
          <w:rFonts w:eastAsia="宋体"/>
          <w:color w:val="auto"/>
          <w:sz w:val="24"/>
          <w:szCs w:val="24"/>
          <w:highlight w:val="none"/>
        </w:rPr>
      </w:pPr>
    </w:p>
    <w:p w14:paraId="705B6BB5">
      <w:pPr>
        <w:adjustRightInd w:val="0"/>
        <w:snapToGrid w:val="0"/>
        <w:jc w:val="center"/>
        <w:rPr>
          <w:rFonts w:eastAsia="宋体"/>
          <w:b/>
          <w:bCs/>
          <w:color w:val="auto"/>
          <w:sz w:val="24"/>
          <w:szCs w:val="24"/>
          <w:highlight w:val="none"/>
        </w:rPr>
      </w:pPr>
      <w:r>
        <w:rPr>
          <w:rFonts w:eastAsia="宋体"/>
          <w:b/>
          <w:bCs/>
          <w:color w:val="auto"/>
          <w:sz w:val="24"/>
          <w:szCs w:val="24"/>
          <w:highlight w:val="none"/>
        </w:rPr>
        <w:t>法定代表人授权委托书</w:t>
      </w:r>
    </w:p>
    <w:p w14:paraId="64744E94">
      <w:pPr>
        <w:adjustRightInd w:val="0"/>
        <w:snapToGrid w:val="0"/>
        <w:jc w:val="center"/>
        <w:rPr>
          <w:rFonts w:eastAsia="宋体"/>
          <w:b/>
          <w:bCs/>
          <w:color w:val="auto"/>
          <w:sz w:val="24"/>
          <w:szCs w:val="24"/>
          <w:highlight w:val="none"/>
        </w:rPr>
      </w:pPr>
    </w:p>
    <w:p w14:paraId="25F06796">
      <w:pPr>
        <w:adjustRightInd w:val="0"/>
        <w:snapToGrid w:val="0"/>
        <w:jc w:val="center"/>
        <w:rPr>
          <w:rFonts w:eastAsia="宋体"/>
          <w:b/>
          <w:bCs/>
          <w:color w:val="auto"/>
          <w:sz w:val="24"/>
          <w:szCs w:val="24"/>
          <w:highlight w:val="none"/>
        </w:rPr>
      </w:pPr>
    </w:p>
    <w:p w14:paraId="277AD66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b/>
          <w:color w:val="auto"/>
          <w:sz w:val="24"/>
          <w:szCs w:val="24"/>
          <w:highlight w:val="none"/>
          <w:u w:val="single"/>
        </w:rPr>
        <w:t>（采购人或代理机构）</w:t>
      </w:r>
      <w:r>
        <w:rPr>
          <w:rFonts w:hint="eastAsia" w:ascii="宋体" w:hAnsi="宋体" w:eastAsia="宋体" w:cs="宋体"/>
          <w:color w:val="auto"/>
          <w:sz w:val="24"/>
          <w:szCs w:val="24"/>
          <w:highlight w:val="none"/>
        </w:rPr>
        <w:t>：</w:t>
      </w:r>
    </w:p>
    <w:p w14:paraId="2819B3C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本授权书宣告：</w:t>
      </w:r>
    </w:p>
    <w:p w14:paraId="770D345A">
      <w:pPr>
        <w:snapToGrid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委托人：</w:t>
      </w:r>
      <w:r>
        <w:rPr>
          <w:rFonts w:hint="eastAsia" w:ascii="宋体" w:hAnsi="宋体" w:eastAsia="宋体" w:cs="宋体"/>
          <w:color w:val="auto"/>
          <w:sz w:val="24"/>
          <w:szCs w:val="24"/>
          <w:highlight w:val="none"/>
          <w:u w:val="single"/>
        </w:rPr>
        <w:t xml:space="preserve">                                            </w:t>
      </w:r>
    </w:p>
    <w:p w14:paraId="10733C81">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u w:val="single"/>
        </w:rPr>
        <w:t xml:space="preserve">          </w:t>
      </w:r>
    </w:p>
    <w:p w14:paraId="35EE3E75">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受托人：姓名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出生日期：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201F5A45">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所在单位：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rPr>
        <w:t xml:space="preserve">           </w:t>
      </w:r>
    </w:p>
    <w:p w14:paraId="5C5F2CB9">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 份 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u w:val="single"/>
        </w:rPr>
        <w:t xml:space="preserve">                    </w:t>
      </w:r>
    </w:p>
    <w:p w14:paraId="2B85D9E9">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兹委托受托人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代表我参加</w:t>
      </w:r>
      <w:r>
        <w:rPr>
          <w:rFonts w:hint="eastAsia" w:ascii="宋体" w:hAnsi="宋体" w:eastAsia="宋体" w:cs="宋体"/>
          <w:b/>
          <w:color w:val="auto"/>
          <w:sz w:val="24"/>
          <w:szCs w:val="24"/>
          <w:highlight w:val="none"/>
          <w:u w:val="single"/>
        </w:rPr>
        <w:t>江苏省鸿源招标代理股份有限公司</w:t>
      </w:r>
      <w:r>
        <w:rPr>
          <w:rFonts w:hint="eastAsia" w:ascii="宋体" w:hAnsi="宋体" w:eastAsia="宋体" w:cs="宋体"/>
          <w:color w:val="auto"/>
          <w:sz w:val="24"/>
          <w:szCs w:val="24"/>
          <w:highlight w:val="none"/>
        </w:rPr>
        <w:t>组织的（采购编号为：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采购活动，受托人有权在该采购活动中，以我单位的名义签署报价函和报价文件，与贵单位协商、澄清、解释，签订合同书并执行一切与此有关的事项。</w:t>
      </w:r>
    </w:p>
    <w:p w14:paraId="542E317E">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受托人在办理上述事宜过程中以其自己的名义所签署的所有文件我均予以承认。受托人无转委托权。</w:t>
      </w:r>
    </w:p>
    <w:p w14:paraId="22AD4D11">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委托期限：至上述事宜处理完毕止。</w:t>
      </w:r>
    </w:p>
    <w:tbl>
      <w:tblPr>
        <w:tblStyle w:val="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22"/>
      </w:tblGrid>
      <w:tr w14:paraId="76678C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86" w:hRule="atLeast"/>
          <w:jc w:val="center"/>
        </w:trPr>
        <w:tc>
          <w:tcPr>
            <w:tcW w:w="8522" w:type="dxa"/>
          </w:tcPr>
          <w:p w14:paraId="170C1C57">
            <w:pPr>
              <w:rPr>
                <w:rFonts w:ascii="MingLiU_HKSCS" w:hAnsi="Courier New" w:eastAsia="MingLiU_HKSCS" w:cs="MingLiU_HKSCS"/>
                <w:color w:val="auto"/>
                <w:sz w:val="21"/>
                <w:szCs w:val="21"/>
                <w:highlight w:val="none"/>
              </w:rPr>
            </w:pPr>
          </w:p>
          <w:p w14:paraId="12DAB566">
            <w:pPr>
              <w:rPr>
                <w:rFonts w:ascii="MingLiU_HKSCS" w:hAnsi="Courier New" w:eastAsia="宋体" w:cs="MingLiU_HKSCS"/>
                <w:color w:val="auto"/>
                <w:sz w:val="21"/>
                <w:szCs w:val="21"/>
                <w:highlight w:val="none"/>
              </w:rPr>
            </w:pPr>
          </w:p>
          <w:p w14:paraId="5F9F138D">
            <w:pPr>
              <w:rPr>
                <w:rFonts w:ascii="MingLiU_HKSCS" w:hAnsi="Courier New" w:eastAsia="宋体" w:cs="MingLiU_HKSCS"/>
                <w:color w:val="auto"/>
                <w:sz w:val="21"/>
                <w:szCs w:val="21"/>
                <w:highlight w:val="none"/>
              </w:rPr>
            </w:pPr>
          </w:p>
          <w:p w14:paraId="22A1EB40">
            <w:pPr>
              <w:jc w:val="center"/>
              <w:rPr>
                <w:rFonts w:ascii="MingLiU_HKSCS" w:hAnsi="Courier New" w:eastAsia="MingLiU_HKSCS" w:cs="MingLiU_HKSCS"/>
                <w:color w:val="auto"/>
                <w:sz w:val="21"/>
                <w:szCs w:val="21"/>
                <w:highlight w:val="none"/>
              </w:rPr>
            </w:pPr>
            <w:r>
              <w:rPr>
                <w:rFonts w:hint="eastAsia" w:ascii="MingLiU_HKSCS" w:hAnsi="MingLiU_HKSCS" w:eastAsia="宋体" w:cs="MingLiU_HKSCS"/>
                <w:color w:val="auto"/>
                <w:sz w:val="21"/>
                <w:szCs w:val="21"/>
                <w:highlight w:val="none"/>
              </w:rPr>
              <w:t>法定代表人及授权代表身份证</w:t>
            </w:r>
            <w:r>
              <w:rPr>
                <w:rFonts w:hint="eastAsia" w:ascii="MingLiU_HKSCS" w:hAnsi="MingLiU_HKSCS" w:eastAsia="宋体" w:cs="MingLiU_HKSCS"/>
                <w:color w:val="auto"/>
                <w:sz w:val="21"/>
                <w:szCs w:val="21"/>
                <w:highlight w:val="none"/>
                <w:lang w:val="en-US" w:eastAsia="zh-CN"/>
              </w:rPr>
              <w:t>正反面</w:t>
            </w:r>
            <w:r>
              <w:rPr>
                <w:rFonts w:hint="eastAsia" w:ascii="MingLiU_HKSCS" w:hAnsi="MingLiU_HKSCS" w:eastAsia="宋体" w:cs="MingLiU_HKSCS"/>
                <w:color w:val="auto"/>
                <w:sz w:val="21"/>
                <w:szCs w:val="21"/>
                <w:highlight w:val="none"/>
              </w:rPr>
              <w:t>复印件</w:t>
            </w:r>
          </w:p>
          <w:p w14:paraId="68ED8EB1">
            <w:pPr>
              <w:rPr>
                <w:rFonts w:ascii="MingLiU_HKSCS" w:hAnsi="Courier New" w:eastAsia="MingLiU_HKSCS" w:cs="MingLiU_HKSCS"/>
                <w:color w:val="auto"/>
                <w:sz w:val="21"/>
                <w:szCs w:val="21"/>
                <w:highlight w:val="none"/>
              </w:rPr>
            </w:pPr>
          </w:p>
          <w:p w14:paraId="04EBA369">
            <w:pPr>
              <w:rPr>
                <w:rFonts w:ascii="MingLiU_HKSCS" w:hAnsi="Courier New" w:eastAsia="MingLiU_HKSCS" w:cs="MingLiU_HKSCS"/>
                <w:color w:val="auto"/>
                <w:sz w:val="21"/>
                <w:szCs w:val="21"/>
                <w:highlight w:val="none"/>
              </w:rPr>
            </w:pPr>
          </w:p>
          <w:p w14:paraId="10ECDB13">
            <w:pPr>
              <w:rPr>
                <w:rFonts w:ascii="MingLiU_HKSCS" w:hAnsi="Courier New" w:eastAsia="宋体" w:cs="MingLiU_HKSCS"/>
                <w:color w:val="auto"/>
                <w:sz w:val="21"/>
                <w:szCs w:val="21"/>
                <w:highlight w:val="none"/>
              </w:rPr>
            </w:pPr>
          </w:p>
        </w:tc>
      </w:tr>
    </w:tbl>
    <w:p w14:paraId="39F01670">
      <w:pPr>
        <w:snapToGrid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附件：（授权代表须为本单位正式员工，提供近半年内任一个月本单位为其缴纳的社会保险缴费证明材料，否则视为不实质性响应。）</w:t>
      </w:r>
    </w:p>
    <w:p w14:paraId="7B066D37">
      <w:pPr>
        <w:snapToGrid w:val="0"/>
        <w:spacing w:line="360" w:lineRule="auto"/>
        <w:rPr>
          <w:rFonts w:hint="eastAsia" w:ascii="宋体" w:hAnsi="宋体" w:eastAsia="宋体" w:cs="宋体"/>
          <w:color w:val="auto"/>
          <w:sz w:val="24"/>
          <w:szCs w:val="24"/>
          <w:highlight w:val="none"/>
        </w:rPr>
      </w:pPr>
    </w:p>
    <w:p w14:paraId="5F66BFF5">
      <w:pPr>
        <w:snapToGrid w:val="0"/>
        <w:spacing w:line="360" w:lineRule="auto"/>
        <w:ind w:firstLine="2400" w:firstLineChars="1000"/>
        <w:jc w:val="cente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委托单位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加盖CA电子公章</w:t>
      </w:r>
    </w:p>
    <w:p w14:paraId="424FF929">
      <w:pPr>
        <w:snapToGrid w:val="0"/>
        <w:spacing w:line="360" w:lineRule="auto"/>
        <w:ind w:firstLine="4560" w:firstLineChars="1900"/>
        <w:jc w:val="both"/>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 xml:space="preserve">授权代表： </w:t>
      </w:r>
      <w:r>
        <w:rPr>
          <w:rFonts w:hint="eastAsia" w:ascii="宋体" w:hAnsi="宋体" w:eastAsia="宋体" w:cs="宋体"/>
          <w:color w:val="auto"/>
          <w:sz w:val="24"/>
          <w:szCs w:val="24"/>
          <w:highlight w:val="none"/>
          <w:u w:val="single"/>
          <w:lang w:val="en-US" w:eastAsia="zh-CN"/>
        </w:rPr>
        <w:t xml:space="preserve">（签字）      </w:t>
      </w:r>
    </w:p>
    <w:p w14:paraId="38231EC2">
      <w:pPr>
        <w:snapToGrid w:val="0"/>
        <w:spacing w:line="360" w:lineRule="auto"/>
        <w:ind w:firstLine="2400" w:firstLineChars="10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92E7F56">
      <w:pPr>
        <w:tabs>
          <w:tab w:val="left" w:pos="720"/>
          <w:tab w:val="left" w:pos="900"/>
        </w:tabs>
        <w:adjustRightInd w:val="0"/>
        <w:snapToGrid w:val="0"/>
        <w:rPr>
          <w:rFonts w:eastAsia="宋体"/>
          <w:color w:val="auto"/>
          <w:sz w:val="24"/>
          <w:szCs w:val="24"/>
          <w:highlight w:val="none"/>
        </w:rPr>
      </w:pPr>
    </w:p>
    <w:p w14:paraId="7FCA6A3E">
      <w:pPr>
        <w:tabs>
          <w:tab w:val="left" w:pos="720"/>
          <w:tab w:val="left" w:pos="900"/>
        </w:tabs>
        <w:adjustRightInd w:val="0"/>
        <w:snapToGrid w:val="0"/>
        <w:ind w:firstLine="4080" w:firstLineChars="1700"/>
        <w:rPr>
          <w:rFonts w:eastAsia="宋体"/>
          <w:color w:val="auto"/>
          <w:sz w:val="24"/>
          <w:szCs w:val="24"/>
          <w:highlight w:val="none"/>
        </w:rPr>
      </w:pPr>
    </w:p>
    <w:p w14:paraId="6ABAB3F2">
      <w:pPr>
        <w:adjustRightInd w:val="0"/>
        <w:snapToGrid w:val="0"/>
        <w:rPr>
          <w:rFonts w:eastAsia="宋体"/>
          <w:bCs/>
          <w:color w:val="auto"/>
          <w:sz w:val="24"/>
          <w:szCs w:val="24"/>
          <w:highlight w:val="none"/>
        </w:rPr>
      </w:pPr>
      <w:r>
        <w:rPr>
          <w:rFonts w:eastAsia="宋体"/>
          <w:color w:val="auto"/>
          <w:sz w:val="24"/>
          <w:szCs w:val="24"/>
          <w:highlight w:val="none"/>
        </w:rPr>
        <w:br w:type="page"/>
      </w:r>
      <w:r>
        <w:rPr>
          <w:rFonts w:eastAsia="宋体"/>
          <w:color w:val="auto"/>
          <w:sz w:val="24"/>
          <w:szCs w:val="24"/>
          <w:highlight w:val="none"/>
        </w:rPr>
        <w:t>格式4：</w:t>
      </w:r>
      <w:r>
        <w:rPr>
          <w:rFonts w:eastAsia="宋体"/>
          <w:bCs/>
          <w:color w:val="auto"/>
          <w:sz w:val="24"/>
          <w:szCs w:val="24"/>
          <w:highlight w:val="none"/>
        </w:rPr>
        <w:t>供应商关于资格的声明函</w:t>
      </w:r>
    </w:p>
    <w:p w14:paraId="2B723B90">
      <w:pPr>
        <w:adjustRightInd w:val="0"/>
        <w:snapToGrid w:val="0"/>
        <w:rPr>
          <w:rFonts w:eastAsia="宋体"/>
          <w:b/>
          <w:color w:val="auto"/>
          <w:sz w:val="24"/>
          <w:szCs w:val="24"/>
          <w:highlight w:val="none"/>
        </w:rPr>
      </w:pPr>
    </w:p>
    <w:p w14:paraId="76356DB8">
      <w:pPr>
        <w:adjustRightInd w:val="0"/>
        <w:snapToGrid w:val="0"/>
        <w:jc w:val="center"/>
        <w:rPr>
          <w:rFonts w:eastAsia="宋体"/>
          <w:b/>
          <w:bCs/>
          <w:color w:val="auto"/>
          <w:sz w:val="24"/>
          <w:szCs w:val="24"/>
          <w:highlight w:val="none"/>
        </w:rPr>
      </w:pPr>
      <w:r>
        <w:rPr>
          <w:rFonts w:eastAsia="宋体"/>
          <w:b/>
          <w:bCs/>
          <w:color w:val="auto"/>
          <w:sz w:val="24"/>
          <w:szCs w:val="24"/>
          <w:highlight w:val="none"/>
        </w:rPr>
        <w:t>供应商关于资格的声明函</w:t>
      </w:r>
    </w:p>
    <w:p w14:paraId="4CA746AB">
      <w:pPr>
        <w:adjustRightInd w:val="0"/>
        <w:snapToGrid w:val="0"/>
        <w:rPr>
          <w:rFonts w:eastAsia="宋体"/>
          <w:color w:val="auto"/>
          <w:sz w:val="24"/>
          <w:szCs w:val="24"/>
          <w:highlight w:val="none"/>
        </w:rPr>
      </w:pPr>
    </w:p>
    <w:p w14:paraId="1417C037">
      <w:pPr>
        <w:adjustRightInd w:val="0"/>
        <w:snapToGrid w:val="0"/>
        <w:spacing w:line="360" w:lineRule="auto"/>
        <w:rPr>
          <w:rFonts w:eastAsia="宋体"/>
          <w:color w:val="auto"/>
          <w:sz w:val="24"/>
          <w:szCs w:val="24"/>
          <w:highlight w:val="none"/>
        </w:rPr>
      </w:pPr>
      <w:r>
        <w:rPr>
          <w:rFonts w:eastAsia="宋体"/>
          <w:color w:val="auto"/>
          <w:sz w:val="24"/>
          <w:szCs w:val="24"/>
          <w:highlight w:val="none"/>
        </w:rPr>
        <w:t>采购编号：</w:t>
      </w:r>
    </w:p>
    <w:p w14:paraId="4EDFF55C">
      <w:pPr>
        <w:adjustRightInd w:val="0"/>
        <w:snapToGrid w:val="0"/>
        <w:spacing w:line="360" w:lineRule="auto"/>
        <w:rPr>
          <w:rFonts w:eastAsia="宋体"/>
          <w:color w:val="auto"/>
          <w:sz w:val="24"/>
          <w:szCs w:val="24"/>
          <w:highlight w:val="none"/>
        </w:rPr>
      </w:pPr>
      <w:r>
        <w:rPr>
          <w:rFonts w:eastAsia="宋体"/>
          <w:color w:val="auto"/>
          <w:sz w:val="24"/>
          <w:szCs w:val="24"/>
          <w:highlight w:val="none"/>
        </w:rPr>
        <w:t>日    期：</w:t>
      </w:r>
    </w:p>
    <w:p w14:paraId="16E27BC8">
      <w:pPr>
        <w:adjustRightInd w:val="0"/>
        <w:snapToGrid w:val="0"/>
        <w:spacing w:line="360" w:lineRule="auto"/>
        <w:rPr>
          <w:rFonts w:eastAsia="宋体"/>
          <w:color w:val="auto"/>
          <w:sz w:val="24"/>
          <w:szCs w:val="24"/>
          <w:highlight w:val="none"/>
        </w:rPr>
      </w:pPr>
      <w:r>
        <w:rPr>
          <w:rFonts w:eastAsia="宋体"/>
          <w:color w:val="auto"/>
          <w:sz w:val="24"/>
          <w:szCs w:val="24"/>
          <w:highlight w:val="none"/>
          <w:u w:val="single"/>
        </w:rPr>
        <w:t xml:space="preserve">             ：</w:t>
      </w:r>
    </w:p>
    <w:p w14:paraId="603ACCB8">
      <w:pPr>
        <w:adjustRightInd w:val="0"/>
        <w:snapToGrid w:val="0"/>
        <w:spacing w:line="360" w:lineRule="auto"/>
        <w:ind w:firstLine="480" w:firstLineChars="200"/>
        <w:rPr>
          <w:rFonts w:eastAsia="宋体"/>
          <w:color w:val="auto"/>
          <w:sz w:val="24"/>
          <w:szCs w:val="24"/>
          <w:highlight w:val="none"/>
        </w:rPr>
      </w:pPr>
      <w:r>
        <w:rPr>
          <w:rFonts w:eastAsia="宋体"/>
          <w:color w:val="auto"/>
          <w:sz w:val="24"/>
          <w:szCs w:val="24"/>
          <w:highlight w:val="none"/>
        </w:rPr>
        <w:t>我公司愿参加本次</w:t>
      </w:r>
      <w:r>
        <w:rPr>
          <w:rFonts w:eastAsia="宋体"/>
          <w:color w:val="auto"/>
          <w:sz w:val="24"/>
          <w:szCs w:val="24"/>
          <w:highlight w:val="none"/>
          <w:u w:val="single"/>
        </w:rPr>
        <w:t xml:space="preserve">                    </w:t>
      </w:r>
      <w:r>
        <w:rPr>
          <w:rFonts w:eastAsia="宋体"/>
          <w:color w:val="auto"/>
          <w:sz w:val="24"/>
          <w:szCs w:val="24"/>
          <w:highlight w:val="none"/>
        </w:rPr>
        <w:t>竞争性磋商采购活动。我公司在响应文件中所有关于磋商资格的文件，证明与陈述均是真实的、准确的、有效的。若有违背，我公司愿意承担由此而产生的一切后果。</w:t>
      </w:r>
    </w:p>
    <w:p w14:paraId="5E5FD608">
      <w:pPr>
        <w:adjustRightInd w:val="0"/>
        <w:snapToGrid w:val="0"/>
        <w:spacing w:line="360" w:lineRule="auto"/>
        <w:ind w:firstLine="480" w:firstLineChars="200"/>
        <w:rPr>
          <w:rFonts w:eastAsia="宋体"/>
          <w:color w:val="auto"/>
          <w:sz w:val="24"/>
          <w:szCs w:val="24"/>
          <w:highlight w:val="none"/>
        </w:rPr>
      </w:pPr>
      <w:r>
        <w:rPr>
          <w:rFonts w:eastAsia="宋体"/>
          <w:color w:val="auto"/>
          <w:sz w:val="24"/>
          <w:szCs w:val="24"/>
          <w:highlight w:val="none"/>
        </w:rPr>
        <w:t xml:space="preserve">                                </w:t>
      </w:r>
    </w:p>
    <w:p w14:paraId="09714A38">
      <w:pPr>
        <w:adjustRightInd w:val="0"/>
        <w:snapToGrid w:val="0"/>
        <w:spacing w:line="360" w:lineRule="auto"/>
        <w:ind w:firstLine="480" w:firstLineChars="200"/>
        <w:rPr>
          <w:rFonts w:eastAsia="宋体"/>
          <w:color w:val="auto"/>
          <w:sz w:val="24"/>
          <w:szCs w:val="24"/>
          <w:highlight w:val="none"/>
        </w:rPr>
      </w:pPr>
    </w:p>
    <w:p w14:paraId="15B2E51F">
      <w:pPr>
        <w:adjustRightInd w:val="0"/>
        <w:snapToGrid w:val="0"/>
        <w:spacing w:line="360" w:lineRule="auto"/>
        <w:ind w:firstLine="480" w:firstLineChars="200"/>
        <w:rPr>
          <w:rFonts w:eastAsia="宋体"/>
          <w:color w:val="auto"/>
          <w:sz w:val="24"/>
          <w:szCs w:val="24"/>
          <w:highlight w:val="none"/>
        </w:rPr>
      </w:pPr>
    </w:p>
    <w:p w14:paraId="5041C5B1">
      <w:pPr>
        <w:adjustRightInd w:val="0"/>
        <w:snapToGrid w:val="0"/>
        <w:spacing w:line="360" w:lineRule="auto"/>
        <w:rPr>
          <w:rFonts w:eastAsia="宋体"/>
          <w:color w:val="auto"/>
          <w:sz w:val="24"/>
          <w:szCs w:val="24"/>
          <w:highlight w:val="none"/>
        </w:rPr>
      </w:pPr>
      <w:r>
        <w:rPr>
          <w:rFonts w:eastAsia="宋体"/>
          <w:color w:val="auto"/>
          <w:sz w:val="24"/>
          <w:szCs w:val="24"/>
          <w:highlight w:val="none"/>
        </w:rPr>
        <w:t>供应商（</w:t>
      </w:r>
      <w:r>
        <w:rPr>
          <w:rFonts w:hint="eastAsia" w:eastAsia="宋体"/>
          <w:color w:val="auto"/>
          <w:sz w:val="24"/>
          <w:szCs w:val="24"/>
          <w:highlight w:val="none"/>
        </w:rPr>
        <w:t>加盖CA电子公章</w:t>
      </w:r>
      <w:r>
        <w:rPr>
          <w:rFonts w:eastAsia="宋体"/>
          <w:color w:val="auto"/>
          <w:sz w:val="24"/>
          <w:szCs w:val="24"/>
          <w:highlight w:val="none"/>
        </w:rPr>
        <w:t>）：</w:t>
      </w:r>
    </w:p>
    <w:p w14:paraId="225E280D">
      <w:pPr>
        <w:adjustRightInd w:val="0"/>
        <w:snapToGrid w:val="0"/>
        <w:spacing w:line="360" w:lineRule="auto"/>
        <w:rPr>
          <w:rFonts w:eastAsia="宋体"/>
          <w:color w:val="auto"/>
          <w:sz w:val="24"/>
          <w:szCs w:val="24"/>
          <w:highlight w:val="none"/>
        </w:rPr>
      </w:pPr>
      <w:r>
        <w:rPr>
          <w:rFonts w:eastAsia="宋体"/>
          <w:color w:val="auto"/>
          <w:sz w:val="24"/>
          <w:szCs w:val="24"/>
          <w:highlight w:val="none"/>
        </w:rPr>
        <w:t>日期：</w:t>
      </w:r>
    </w:p>
    <w:p w14:paraId="4ED47812">
      <w:pPr>
        <w:adjustRightInd w:val="0"/>
        <w:snapToGrid w:val="0"/>
        <w:rPr>
          <w:rFonts w:eastAsia="宋体"/>
          <w:color w:val="auto"/>
          <w:sz w:val="24"/>
          <w:szCs w:val="24"/>
          <w:highlight w:val="none"/>
        </w:rPr>
      </w:pPr>
      <w:r>
        <w:rPr>
          <w:rFonts w:eastAsia="宋体"/>
          <w:color w:val="auto"/>
          <w:sz w:val="24"/>
          <w:szCs w:val="24"/>
          <w:highlight w:val="none"/>
        </w:rPr>
        <w:br w:type="page"/>
      </w:r>
      <w:r>
        <w:rPr>
          <w:rFonts w:eastAsia="宋体"/>
          <w:color w:val="auto"/>
          <w:sz w:val="24"/>
          <w:szCs w:val="24"/>
          <w:highlight w:val="none"/>
        </w:rPr>
        <w:t>格式5：服务质量承诺书</w:t>
      </w:r>
    </w:p>
    <w:p w14:paraId="4A39E32F">
      <w:pPr>
        <w:adjustRightInd w:val="0"/>
        <w:snapToGrid w:val="0"/>
        <w:rPr>
          <w:rFonts w:eastAsia="宋体"/>
          <w:color w:val="auto"/>
          <w:sz w:val="24"/>
          <w:szCs w:val="24"/>
          <w:highlight w:val="none"/>
        </w:rPr>
      </w:pPr>
    </w:p>
    <w:p w14:paraId="509F6E10">
      <w:pPr>
        <w:adjustRightInd w:val="0"/>
        <w:snapToGrid w:val="0"/>
        <w:spacing w:line="360" w:lineRule="auto"/>
        <w:jc w:val="center"/>
        <w:rPr>
          <w:rFonts w:eastAsia="宋体"/>
          <w:color w:val="auto"/>
          <w:sz w:val="24"/>
          <w:szCs w:val="24"/>
          <w:highlight w:val="none"/>
        </w:rPr>
      </w:pPr>
      <w:r>
        <w:rPr>
          <w:rFonts w:eastAsia="宋体"/>
          <w:color w:val="auto"/>
          <w:sz w:val="24"/>
          <w:szCs w:val="24"/>
          <w:highlight w:val="none"/>
        </w:rPr>
        <w:t>服务质量承诺书</w:t>
      </w:r>
    </w:p>
    <w:p w14:paraId="015D5258">
      <w:pPr>
        <w:adjustRightInd w:val="0"/>
        <w:snapToGrid w:val="0"/>
        <w:spacing w:line="360" w:lineRule="auto"/>
        <w:rPr>
          <w:rFonts w:eastAsia="宋体"/>
          <w:color w:val="auto"/>
          <w:sz w:val="24"/>
          <w:szCs w:val="24"/>
          <w:highlight w:val="none"/>
        </w:rPr>
      </w:pPr>
      <w:r>
        <w:rPr>
          <w:rFonts w:eastAsia="宋体"/>
          <w:color w:val="auto"/>
          <w:sz w:val="24"/>
          <w:szCs w:val="24"/>
          <w:highlight w:val="none"/>
          <w:u w:val="single"/>
        </w:rPr>
        <w:t xml:space="preserve">                          </w:t>
      </w:r>
      <w:r>
        <w:rPr>
          <w:rFonts w:eastAsia="宋体"/>
          <w:color w:val="auto"/>
          <w:sz w:val="24"/>
          <w:szCs w:val="24"/>
          <w:highlight w:val="none"/>
        </w:rPr>
        <w:t>：</w:t>
      </w:r>
    </w:p>
    <w:p w14:paraId="26C3ECA4">
      <w:pPr>
        <w:adjustRightInd w:val="0"/>
        <w:snapToGrid w:val="0"/>
        <w:spacing w:line="360" w:lineRule="auto"/>
        <w:ind w:firstLine="480" w:firstLineChars="200"/>
        <w:rPr>
          <w:rFonts w:eastAsia="宋体"/>
          <w:color w:val="auto"/>
          <w:sz w:val="24"/>
          <w:szCs w:val="24"/>
          <w:highlight w:val="none"/>
        </w:rPr>
      </w:pPr>
      <w:r>
        <w:rPr>
          <w:rFonts w:eastAsia="宋体"/>
          <w:color w:val="auto"/>
          <w:sz w:val="24"/>
          <w:szCs w:val="24"/>
          <w:highlight w:val="none"/>
        </w:rPr>
        <w:t>首先衷心感谢贵方对我单位的信任，我们将以积极热情的态度、认真负责的精神，急用户所急、想用户所想，与贵方共同努力，为项目的早日完成奉献全部力量。</w:t>
      </w:r>
    </w:p>
    <w:p w14:paraId="149407C0">
      <w:pPr>
        <w:adjustRightInd w:val="0"/>
        <w:snapToGrid w:val="0"/>
        <w:spacing w:line="360" w:lineRule="auto"/>
        <w:rPr>
          <w:rFonts w:eastAsia="宋体"/>
          <w:color w:val="auto"/>
          <w:sz w:val="24"/>
          <w:szCs w:val="24"/>
          <w:highlight w:val="none"/>
        </w:rPr>
      </w:pPr>
      <w:r>
        <w:rPr>
          <w:rFonts w:eastAsia="宋体"/>
          <w:color w:val="auto"/>
          <w:sz w:val="24"/>
          <w:szCs w:val="24"/>
          <w:highlight w:val="none"/>
        </w:rPr>
        <w:t>对总体规划服务质量我单位谨此郑重承诺：</w:t>
      </w:r>
    </w:p>
    <w:p w14:paraId="543C19DD">
      <w:pPr>
        <w:adjustRightInd w:val="0"/>
        <w:snapToGrid w:val="0"/>
        <w:spacing w:line="360" w:lineRule="auto"/>
        <w:rPr>
          <w:rFonts w:eastAsia="宋体"/>
          <w:color w:val="auto"/>
          <w:sz w:val="24"/>
          <w:szCs w:val="24"/>
          <w:highlight w:val="none"/>
        </w:rPr>
      </w:pPr>
      <w:r>
        <w:rPr>
          <w:rFonts w:eastAsia="宋体"/>
          <w:color w:val="auto"/>
          <w:sz w:val="24"/>
          <w:szCs w:val="24"/>
          <w:highlight w:val="none"/>
        </w:rPr>
        <w:t>1.我单位将组织以</w:t>
      </w:r>
      <w:r>
        <w:rPr>
          <w:rFonts w:eastAsia="宋体"/>
          <w:color w:val="auto"/>
          <w:sz w:val="24"/>
          <w:szCs w:val="24"/>
          <w:highlight w:val="none"/>
          <w:u w:val="single"/>
        </w:rPr>
        <w:t xml:space="preserve">               </w:t>
      </w:r>
      <w:r>
        <w:rPr>
          <w:rFonts w:eastAsia="宋体"/>
          <w:color w:val="auto"/>
          <w:sz w:val="24"/>
          <w:szCs w:val="24"/>
          <w:highlight w:val="none"/>
        </w:rPr>
        <w:t>（项目负责人）为核心的类似项目经验丰富的项目组，负责本项目的实施。拟派项目班子具体成员名单及工作简历详见附件。</w:t>
      </w:r>
    </w:p>
    <w:p w14:paraId="68D7DCC0">
      <w:pPr>
        <w:adjustRightInd w:val="0"/>
        <w:snapToGrid w:val="0"/>
        <w:spacing w:line="360" w:lineRule="auto"/>
        <w:rPr>
          <w:rFonts w:eastAsia="宋体"/>
          <w:color w:val="auto"/>
          <w:sz w:val="24"/>
          <w:szCs w:val="24"/>
          <w:highlight w:val="none"/>
        </w:rPr>
      </w:pPr>
      <w:r>
        <w:rPr>
          <w:rFonts w:eastAsia="宋体"/>
          <w:color w:val="auto"/>
          <w:sz w:val="24"/>
          <w:szCs w:val="24"/>
          <w:highlight w:val="none"/>
        </w:rPr>
        <w:t>2.如由我单位中标（成交），我们将派项目组人员认真对项目组织实施，按照采购人的意见、结合本工作项目的具体情况，精心布置、总体规划。</w:t>
      </w:r>
    </w:p>
    <w:p w14:paraId="77F0A916">
      <w:pPr>
        <w:adjustRightInd w:val="0"/>
        <w:snapToGrid w:val="0"/>
        <w:spacing w:line="360" w:lineRule="auto"/>
        <w:rPr>
          <w:rFonts w:eastAsia="宋体"/>
          <w:color w:val="auto"/>
          <w:sz w:val="24"/>
          <w:szCs w:val="24"/>
          <w:highlight w:val="none"/>
        </w:rPr>
      </w:pPr>
    </w:p>
    <w:p w14:paraId="612926DC">
      <w:pPr>
        <w:adjustRightInd w:val="0"/>
        <w:snapToGrid w:val="0"/>
        <w:spacing w:line="360" w:lineRule="auto"/>
        <w:rPr>
          <w:rFonts w:eastAsia="宋体"/>
          <w:color w:val="auto"/>
          <w:sz w:val="24"/>
          <w:szCs w:val="24"/>
          <w:highlight w:val="none"/>
        </w:rPr>
      </w:pPr>
    </w:p>
    <w:p w14:paraId="7061DBA0">
      <w:pPr>
        <w:adjustRightInd w:val="0"/>
        <w:snapToGrid w:val="0"/>
        <w:spacing w:line="360" w:lineRule="auto"/>
        <w:rPr>
          <w:rFonts w:eastAsia="宋体"/>
          <w:color w:val="auto"/>
          <w:sz w:val="24"/>
          <w:szCs w:val="24"/>
          <w:highlight w:val="none"/>
        </w:rPr>
      </w:pPr>
    </w:p>
    <w:p w14:paraId="3E3A5E33">
      <w:pPr>
        <w:adjustRightInd w:val="0"/>
        <w:snapToGrid w:val="0"/>
        <w:spacing w:line="360" w:lineRule="auto"/>
        <w:rPr>
          <w:rFonts w:eastAsia="宋体"/>
          <w:color w:val="auto"/>
          <w:sz w:val="24"/>
          <w:szCs w:val="24"/>
          <w:highlight w:val="none"/>
        </w:rPr>
      </w:pPr>
    </w:p>
    <w:p w14:paraId="1761FB46">
      <w:pPr>
        <w:adjustRightInd w:val="0"/>
        <w:snapToGrid w:val="0"/>
        <w:spacing w:line="360" w:lineRule="auto"/>
        <w:rPr>
          <w:rFonts w:eastAsia="宋体"/>
          <w:color w:val="auto"/>
          <w:sz w:val="24"/>
          <w:szCs w:val="24"/>
          <w:highlight w:val="none"/>
        </w:rPr>
      </w:pPr>
    </w:p>
    <w:p w14:paraId="7D66DA2E">
      <w:pPr>
        <w:adjustRightInd w:val="0"/>
        <w:snapToGrid w:val="0"/>
        <w:spacing w:line="360" w:lineRule="auto"/>
        <w:jc w:val="left"/>
        <w:rPr>
          <w:rFonts w:eastAsia="宋体"/>
          <w:color w:val="auto"/>
          <w:kern w:val="0"/>
          <w:sz w:val="24"/>
          <w:szCs w:val="24"/>
          <w:highlight w:val="none"/>
        </w:rPr>
      </w:pPr>
      <w:r>
        <w:rPr>
          <w:rFonts w:eastAsia="宋体"/>
          <w:color w:val="auto"/>
          <w:sz w:val="24"/>
          <w:szCs w:val="24"/>
          <w:highlight w:val="none"/>
        </w:rPr>
        <w:t xml:space="preserve">                        </w:t>
      </w:r>
      <w:r>
        <w:rPr>
          <w:rFonts w:eastAsia="宋体"/>
          <w:color w:val="auto"/>
          <w:kern w:val="0"/>
          <w:sz w:val="24"/>
          <w:szCs w:val="24"/>
          <w:highlight w:val="none"/>
        </w:rPr>
        <w:t>供应商：（</w:t>
      </w:r>
      <w:r>
        <w:rPr>
          <w:rFonts w:hint="eastAsia" w:eastAsia="宋体"/>
          <w:color w:val="auto"/>
          <w:kern w:val="0"/>
          <w:sz w:val="24"/>
          <w:szCs w:val="24"/>
          <w:highlight w:val="none"/>
        </w:rPr>
        <w:t>加盖CA电子公章</w:t>
      </w:r>
      <w:r>
        <w:rPr>
          <w:rFonts w:eastAsia="宋体"/>
          <w:color w:val="auto"/>
          <w:kern w:val="0"/>
          <w:sz w:val="24"/>
          <w:szCs w:val="24"/>
          <w:highlight w:val="none"/>
        </w:rPr>
        <w:t>）</w:t>
      </w:r>
    </w:p>
    <w:p w14:paraId="4050CA74">
      <w:pPr>
        <w:adjustRightInd w:val="0"/>
        <w:snapToGrid w:val="0"/>
        <w:spacing w:line="360" w:lineRule="auto"/>
        <w:jc w:val="left"/>
        <w:rPr>
          <w:rFonts w:eastAsia="宋体"/>
          <w:color w:val="auto"/>
          <w:sz w:val="24"/>
          <w:szCs w:val="24"/>
          <w:highlight w:val="none"/>
        </w:rPr>
      </w:pPr>
    </w:p>
    <w:p w14:paraId="19374A1E">
      <w:pPr>
        <w:adjustRightInd w:val="0"/>
        <w:snapToGrid w:val="0"/>
        <w:spacing w:line="360" w:lineRule="auto"/>
        <w:jc w:val="left"/>
        <w:rPr>
          <w:rFonts w:eastAsia="宋体"/>
          <w:color w:val="auto"/>
          <w:sz w:val="24"/>
          <w:szCs w:val="24"/>
          <w:highlight w:val="none"/>
        </w:rPr>
      </w:pPr>
      <w:r>
        <w:rPr>
          <w:rFonts w:eastAsia="宋体"/>
          <w:color w:val="auto"/>
          <w:sz w:val="24"/>
          <w:szCs w:val="24"/>
          <w:highlight w:val="none"/>
        </w:rPr>
        <w:t xml:space="preserve">                              日期：     年    月    日</w:t>
      </w:r>
    </w:p>
    <w:p w14:paraId="04AE4A89">
      <w:pPr>
        <w:adjustRightInd w:val="0"/>
        <w:snapToGrid w:val="0"/>
        <w:rPr>
          <w:rFonts w:eastAsia="宋体"/>
          <w:bCs/>
          <w:color w:val="auto"/>
          <w:spacing w:val="20"/>
          <w:sz w:val="24"/>
          <w:szCs w:val="24"/>
          <w:highlight w:val="none"/>
        </w:rPr>
      </w:pPr>
      <w:r>
        <w:rPr>
          <w:rFonts w:eastAsia="宋体"/>
          <w:bCs/>
          <w:color w:val="auto"/>
          <w:spacing w:val="20"/>
          <w:sz w:val="24"/>
          <w:szCs w:val="24"/>
          <w:highlight w:val="none"/>
        </w:rPr>
        <w:br w:type="page"/>
      </w:r>
    </w:p>
    <w:p w14:paraId="0EE7C772">
      <w:pPr>
        <w:adjustRightInd w:val="0"/>
        <w:snapToGrid w:val="0"/>
        <w:rPr>
          <w:rFonts w:hint="eastAsia" w:ascii="宋体" w:hAnsi="宋体" w:eastAsia="宋体" w:cs="宋体"/>
          <w:bCs/>
          <w:color w:val="auto"/>
          <w:spacing w:val="20"/>
          <w:sz w:val="24"/>
          <w:szCs w:val="24"/>
          <w:highlight w:val="none"/>
        </w:rPr>
      </w:pPr>
      <w:r>
        <w:rPr>
          <w:rFonts w:hint="eastAsia" w:ascii="宋体" w:hAnsi="宋体" w:eastAsia="宋体" w:cs="宋体"/>
          <w:bCs/>
          <w:color w:val="auto"/>
          <w:spacing w:val="20"/>
          <w:sz w:val="24"/>
          <w:szCs w:val="24"/>
          <w:highlight w:val="none"/>
        </w:rPr>
        <w:t>格式6：</w:t>
      </w:r>
      <w:r>
        <w:rPr>
          <w:rFonts w:hint="eastAsia" w:ascii="宋体" w:hAnsi="宋体" w:eastAsia="宋体" w:cs="宋体"/>
          <w:b/>
          <w:bCs/>
          <w:color w:val="auto"/>
          <w:spacing w:val="20"/>
          <w:sz w:val="24"/>
          <w:szCs w:val="24"/>
          <w:highlight w:val="none"/>
        </w:rPr>
        <w:t>竞争性磋商文件磋商公告中供应商资格条件全部证明材料</w:t>
      </w:r>
    </w:p>
    <w:p w14:paraId="36CC39D8">
      <w:pPr>
        <w:widowControl/>
        <w:shd w:val="clear" w:color="auto" w:fill="FFFFFF"/>
        <w:spacing w:line="360" w:lineRule="auto"/>
        <w:ind w:firstLine="420"/>
        <w:rPr>
          <w:rFonts w:eastAsia="宋体"/>
          <w:color w:val="auto"/>
          <w:kern w:val="0"/>
          <w:sz w:val="24"/>
          <w:szCs w:val="24"/>
          <w:highlight w:val="none"/>
          <w:u w:val="single"/>
        </w:rPr>
      </w:pPr>
      <w:r>
        <w:rPr>
          <w:rFonts w:eastAsia="宋体"/>
          <w:color w:val="auto"/>
          <w:kern w:val="0"/>
          <w:sz w:val="24"/>
          <w:szCs w:val="24"/>
          <w:highlight w:val="none"/>
          <w:u w:val="single"/>
        </w:rPr>
        <w:t>（一）应具备《中华人民共和国政府采购法</w:t>
      </w:r>
      <w:r>
        <w:rPr>
          <w:rFonts w:hint="eastAsia" w:eastAsia="宋体"/>
          <w:color w:val="auto"/>
          <w:kern w:val="0"/>
          <w:sz w:val="24"/>
          <w:szCs w:val="24"/>
          <w:highlight w:val="none"/>
          <w:u w:val="single"/>
          <w:lang w:eastAsia="zh-CN"/>
        </w:rPr>
        <w:t>》《</w:t>
      </w:r>
      <w:r>
        <w:rPr>
          <w:rFonts w:eastAsia="宋体"/>
          <w:color w:val="auto"/>
          <w:kern w:val="0"/>
          <w:sz w:val="24"/>
          <w:szCs w:val="24"/>
          <w:highlight w:val="none"/>
          <w:u w:val="single"/>
        </w:rPr>
        <w:t>中华人民共和国政府采购法实施条例》规定的条件：</w:t>
      </w:r>
    </w:p>
    <w:p w14:paraId="4C4D6FD6">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color w:val="auto"/>
          <w:kern w:val="0"/>
          <w:sz w:val="24"/>
          <w:szCs w:val="24"/>
          <w:highlight w:val="none"/>
          <w:u w:val="single"/>
        </w:rPr>
        <w:t>1、具有独立承担民事责任的能力（提供法人或者其他组织的营业执照等；供应商为自然人的，提供其身份证）；</w:t>
      </w:r>
    </w:p>
    <w:p w14:paraId="0E4E499C">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color w:val="auto"/>
          <w:kern w:val="0"/>
          <w:sz w:val="24"/>
          <w:szCs w:val="24"/>
          <w:highlight w:val="none"/>
          <w:u w:val="single"/>
        </w:rPr>
        <w:t>2、具有良好的商业信誉和健全的财务会计制度（提供最近的财务报告或会计报表，成立不足一年的无需提供）；</w:t>
      </w:r>
    </w:p>
    <w:p w14:paraId="524BE55E">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color w:val="auto"/>
          <w:kern w:val="0"/>
          <w:sz w:val="24"/>
          <w:szCs w:val="24"/>
          <w:highlight w:val="none"/>
          <w:u w:val="single"/>
        </w:rPr>
        <w:t>3、具有履行合同所必需的设备和专业技术能力（提供书面声明）；</w:t>
      </w:r>
    </w:p>
    <w:p w14:paraId="508EF56D">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color w:val="auto"/>
          <w:kern w:val="0"/>
          <w:sz w:val="24"/>
          <w:szCs w:val="24"/>
          <w:highlight w:val="none"/>
          <w:u w:val="single"/>
        </w:rPr>
        <w:t>4、有依法缴纳税收和社会保障资金的良好记录（提供参加本次政府采购活动前半年内至少一个月缴税的凭据；以及提供参加本次政府采购活动前半年内至少一个月缴纳社会保险的凭据（专用收据或社会保险缴纳清单））；</w:t>
      </w:r>
    </w:p>
    <w:p w14:paraId="4DDEC36B">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color w:val="auto"/>
          <w:kern w:val="0"/>
          <w:sz w:val="24"/>
          <w:szCs w:val="24"/>
          <w:highlight w:val="none"/>
          <w:u w:val="single"/>
        </w:rPr>
        <w:t>5、参加政府采购活动前三年内，在经营活动中没有重大违法记录（提供书面声明）；</w:t>
      </w:r>
    </w:p>
    <w:p w14:paraId="1416EDC4">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color w:val="auto"/>
          <w:kern w:val="0"/>
          <w:sz w:val="24"/>
          <w:szCs w:val="24"/>
          <w:highlight w:val="none"/>
          <w:u w:val="single"/>
        </w:rPr>
        <w:t>6、法律、行政法规规定的其他条件（提供书面声明）</w:t>
      </w:r>
      <w:r>
        <w:rPr>
          <w:rFonts w:eastAsia="宋体"/>
          <w:color w:val="auto"/>
          <w:kern w:val="0"/>
          <w:sz w:val="24"/>
          <w:szCs w:val="24"/>
          <w:highlight w:val="none"/>
          <w:u w:val="single"/>
        </w:rPr>
        <w:t>；</w:t>
      </w:r>
    </w:p>
    <w:p w14:paraId="53CBDD24">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color w:val="auto"/>
          <w:kern w:val="0"/>
          <w:sz w:val="24"/>
          <w:szCs w:val="24"/>
          <w:highlight w:val="none"/>
          <w:u w:val="single"/>
        </w:rPr>
        <w:t>7、拒绝下述供应商参加本次采购活动：（1）供应商单位负责人为同一人或者存在直接控股、管理关系的不同供应商，不得参加同一合同项下的政府采购活动（2）凡为采购项目提供整体设计、规范编制或者项目管理、检测等服务的供应商，不得再参加本项目的采购活动（提供书面声明）；</w:t>
      </w:r>
    </w:p>
    <w:p w14:paraId="42C0E0CC">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color w:val="auto"/>
          <w:kern w:val="0"/>
          <w:sz w:val="24"/>
          <w:szCs w:val="24"/>
          <w:highlight w:val="none"/>
          <w:u w:val="single"/>
        </w:rPr>
        <w:t>8、被“信用中国”网站（www.creditchina.gov.cn)中列入失信被执行人或重大税收违法案件当事人名单的供应商</w:t>
      </w:r>
      <w:r>
        <w:rPr>
          <w:rFonts w:hint="eastAsia" w:eastAsia="宋体"/>
          <w:color w:val="auto"/>
          <w:kern w:val="0"/>
          <w:sz w:val="24"/>
          <w:szCs w:val="24"/>
          <w:highlight w:val="none"/>
          <w:u w:val="single"/>
          <w:lang w:eastAsia="zh-CN"/>
        </w:rPr>
        <w:t>；</w:t>
      </w:r>
      <w:r>
        <w:rPr>
          <w:rFonts w:hint="eastAsia" w:eastAsia="宋体"/>
          <w:color w:val="auto"/>
          <w:kern w:val="0"/>
          <w:sz w:val="24"/>
          <w:szCs w:val="24"/>
          <w:highlight w:val="none"/>
          <w:u w:val="single"/>
        </w:rPr>
        <w:t>被中国政府采购网（www.ccgp. gov.cn)列入政府采购严重违法失信行为记录名单中被财政部门禁止参加政府采购活动的供应商且正在处罚期内的，无资格参加本项目的采购活动（无须提供材料）。</w:t>
      </w:r>
    </w:p>
    <w:p w14:paraId="3E15BFC0">
      <w:pPr>
        <w:widowControl/>
        <w:shd w:val="clear" w:color="auto" w:fill="FFFFFF"/>
        <w:spacing w:line="360" w:lineRule="auto"/>
        <w:ind w:firstLine="420"/>
        <w:rPr>
          <w:rFonts w:hint="default" w:eastAsia="宋体"/>
          <w:b/>
          <w:bCs/>
          <w:color w:val="auto"/>
          <w:kern w:val="0"/>
          <w:sz w:val="24"/>
          <w:szCs w:val="24"/>
          <w:highlight w:val="none"/>
          <w:u w:val="single"/>
          <w:lang w:val="en-US" w:eastAsia="zh-CN"/>
        </w:rPr>
      </w:pPr>
      <w:r>
        <w:rPr>
          <w:rFonts w:eastAsia="宋体"/>
          <w:b/>
          <w:bCs/>
          <w:color w:val="auto"/>
          <w:kern w:val="0"/>
          <w:sz w:val="24"/>
          <w:szCs w:val="24"/>
          <w:highlight w:val="none"/>
          <w:u w:val="single"/>
        </w:rPr>
        <w:t>（二）</w:t>
      </w:r>
      <w:r>
        <w:rPr>
          <w:rFonts w:hint="eastAsia" w:eastAsia="宋体"/>
          <w:b/>
          <w:bCs/>
          <w:color w:val="auto"/>
          <w:kern w:val="0"/>
          <w:sz w:val="24"/>
          <w:szCs w:val="24"/>
          <w:highlight w:val="none"/>
          <w:u w:val="single"/>
          <w:lang w:val="en-US" w:eastAsia="zh-CN"/>
        </w:rPr>
        <w:t>本项目专门面向中小企业，须提供《中小企业声明函》</w:t>
      </w:r>
    </w:p>
    <w:p w14:paraId="2AAA7C0C">
      <w:pPr>
        <w:widowControl/>
        <w:shd w:val="clear" w:color="auto" w:fill="FFFFFF"/>
        <w:spacing w:line="360" w:lineRule="auto"/>
        <w:ind w:firstLine="420"/>
        <w:rPr>
          <w:rFonts w:hint="eastAsia" w:eastAsia="宋体"/>
          <w:b/>
          <w:bCs/>
          <w:color w:val="auto"/>
          <w:kern w:val="0"/>
          <w:sz w:val="24"/>
          <w:szCs w:val="24"/>
          <w:highlight w:val="none"/>
          <w:u w:val="single"/>
        </w:rPr>
      </w:pPr>
      <w:r>
        <w:rPr>
          <w:rFonts w:hint="eastAsia" w:eastAsia="宋体"/>
          <w:color w:val="auto"/>
          <w:kern w:val="0"/>
          <w:sz w:val="24"/>
          <w:szCs w:val="24"/>
          <w:highlight w:val="none"/>
          <w:u w:val="single"/>
          <w:lang w:eastAsia="zh-CN"/>
        </w:rPr>
        <w:t>（</w:t>
      </w:r>
      <w:r>
        <w:rPr>
          <w:rFonts w:hint="eastAsia" w:eastAsia="宋体"/>
          <w:color w:val="auto"/>
          <w:kern w:val="0"/>
          <w:sz w:val="24"/>
          <w:szCs w:val="24"/>
          <w:highlight w:val="none"/>
          <w:u w:val="single"/>
          <w:lang w:val="en-US" w:eastAsia="zh-CN"/>
        </w:rPr>
        <w:t>三</w:t>
      </w:r>
      <w:r>
        <w:rPr>
          <w:rFonts w:hint="eastAsia" w:eastAsia="宋体"/>
          <w:color w:val="auto"/>
          <w:kern w:val="0"/>
          <w:sz w:val="24"/>
          <w:szCs w:val="24"/>
          <w:highlight w:val="none"/>
          <w:u w:val="single"/>
          <w:lang w:eastAsia="zh-CN"/>
        </w:rPr>
        <w:t>）</w:t>
      </w:r>
      <w:r>
        <w:rPr>
          <w:rFonts w:hint="eastAsia" w:eastAsia="宋体"/>
          <w:color w:val="auto"/>
          <w:kern w:val="0"/>
          <w:sz w:val="24"/>
          <w:szCs w:val="24"/>
          <w:highlight w:val="none"/>
          <w:u w:val="single"/>
        </w:rPr>
        <w:t>采购人根据采购项目的特殊要求规定的特定条件：</w:t>
      </w:r>
      <w:r>
        <w:rPr>
          <w:rFonts w:hint="eastAsia" w:eastAsia="宋体"/>
          <w:b/>
          <w:bCs/>
          <w:color w:val="auto"/>
          <w:kern w:val="0"/>
          <w:sz w:val="24"/>
          <w:szCs w:val="24"/>
          <w:highlight w:val="none"/>
          <w:u w:val="single"/>
        </w:rPr>
        <w:t>供应商具有水利水电专业施工总承包三级及以上资质；具有建设行政主管部门颁发的安全生产许可证；企业主要负责人、项目经理、专职安全员均应具有与其行业施工资质相应的行业主管部门颁发的安全生产考核合格证（分别为A、B、C类）；拟任的项目经理具有水利工程专业二级及以上建造师资格证书，在本单位注册，无在建工程（供应商须出具承诺书并加盖公章，时间为采购公告发布后）。</w:t>
      </w:r>
    </w:p>
    <w:p w14:paraId="61180E3E">
      <w:pPr>
        <w:widowControl/>
        <w:shd w:val="clear" w:color="auto" w:fill="FFFFFF"/>
        <w:spacing w:line="360" w:lineRule="auto"/>
        <w:ind w:firstLine="420"/>
        <w:rPr>
          <w:rFonts w:eastAsia="宋体"/>
          <w:color w:val="auto"/>
          <w:kern w:val="0"/>
          <w:sz w:val="24"/>
          <w:szCs w:val="24"/>
          <w:highlight w:val="none"/>
          <w:u w:val="single"/>
        </w:rPr>
      </w:pPr>
      <w:r>
        <w:rPr>
          <w:rFonts w:hint="eastAsia" w:ascii="Times New Roman" w:hAnsi="Times New Roman" w:eastAsia="宋体" w:cs="Times New Roman"/>
          <w:b/>
          <w:bCs/>
          <w:color w:val="auto"/>
          <w:kern w:val="0"/>
          <w:sz w:val="24"/>
          <w:szCs w:val="24"/>
          <w:highlight w:val="none"/>
          <w:u w:val="single"/>
          <w:lang w:val="en-US" w:eastAsia="zh-CN" w:bidi="ar-SA"/>
        </w:rPr>
        <w:t>（</w:t>
      </w:r>
      <w:r>
        <w:rPr>
          <w:rFonts w:hint="eastAsia" w:eastAsia="宋体" w:cs="Times New Roman"/>
          <w:b/>
          <w:bCs/>
          <w:color w:val="auto"/>
          <w:kern w:val="0"/>
          <w:sz w:val="24"/>
          <w:szCs w:val="24"/>
          <w:highlight w:val="none"/>
          <w:u w:val="single"/>
          <w:lang w:val="en-US" w:eastAsia="zh-CN" w:bidi="ar-SA"/>
        </w:rPr>
        <w:t>四</w:t>
      </w:r>
      <w:r>
        <w:rPr>
          <w:rFonts w:hint="eastAsia" w:ascii="Times New Roman" w:hAnsi="Times New Roman" w:eastAsia="宋体" w:cs="Times New Roman"/>
          <w:b/>
          <w:bCs/>
          <w:color w:val="auto"/>
          <w:kern w:val="0"/>
          <w:sz w:val="24"/>
          <w:szCs w:val="24"/>
          <w:highlight w:val="none"/>
          <w:u w:val="single"/>
          <w:lang w:val="en-US" w:eastAsia="zh-CN" w:bidi="ar-SA"/>
        </w:rPr>
        <w:t>）</w:t>
      </w:r>
      <w:r>
        <w:rPr>
          <w:rFonts w:hint="eastAsia" w:ascii="Times New Roman" w:hAnsi="Times New Roman" w:eastAsia="宋体" w:cs="Times New Roman"/>
          <w:color w:val="auto"/>
          <w:kern w:val="0"/>
          <w:sz w:val="24"/>
          <w:szCs w:val="24"/>
          <w:highlight w:val="none"/>
          <w:u w:val="single"/>
          <w:lang w:val="en-US" w:eastAsia="zh-CN" w:bidi="ar-SA"/>
        </w:rPr>
        <w:t>联合体协议（如有，明确约定联合体各方承担的工作和相应的责任）</w:t>
      </w:r>
    </w:p>
    <w:p w14:paraId="001D3FD2">
      <w:pPr>
        <w:adjustRightInd w:val="0"/>
        <w:snapToGrid w:val="0"/>
        <w:rPr>
          <w:rFonts w:eastAsia="宋体"/>
          <w:bCs/>
          <w:color w:val="auto"/>
          <w:spacing w:val="20"/>
          <w:sz w:val="24"/>
          <w:szCs w:val="24"/>
          <w:highlight w:val="none"/>
        </w:rPr>
      </w:pPr>
    </w:p>
    <w:p w14:paraId="0C519D8E">
      <w:pPr>
        <w:adjustRightInd w:val="0"/>
        <w:snapToGrid w:val="0"/>
        <w:rPr>
          <w:rFonts w:eastAsia="宋体"/>
          <w:bCs/>
          <w:color w:val="auto"/>
          <w:spacing w:val="20"/>
          <w:sz w:val="24"/>
          <w:szCs w:val="24"/>
          <w:highlight w:val="none"/>
        </w:rPr>
      </w:pPr>
      <w:r>
        <w:rPr>
          <w:rFonts w:eastAsia="宋体"/>
          <w:b/>
          <w:bCs/>
          <w:color w:val="auto"/>
          <w:spacing w:val="20"/>
          <w:sz w:val="24"/>
          <w:szCs w:val="24"/>
          <w:highlight w:val="none"/>
          <w:u w:val="single"/>
        </w:rPr>
        <w:t>注：以上资质条件要求请逐一提供相关证明文件，否则视为不实质性响应。</w:t>
      </w:r>
      <w:r>
        <w:rPr>
          <w:rFonts w:eastAsia="宋体"/>
          <w:bCs/>
          <w:color w:val="auto"/>
          <w:spacing w:val="20"/>
          <w:sz w:val="24"/>
          <w:szCs w:val="24"/>
          <w:highlight w:val="none"/>
        </w:rPr>
        <w:br w:type="page"/>
      </w:r>
      <w:r>
        <w:rPr>
          <w:rFonts w:eastAsia="宋体"/>
          <w:bCs/>
          <w:color w:val="auto"/>
          <w:spacing w:val="20"/>
          <w:sz w:val="24"/>
          <w:szCs w:val="24"/>
          <w:highlight w:val="none"/>
        </w:rPr>
        <w:t xml:space="preserve">其中： </w:t>
      </w:r>
    </w:p>
    <w:p w14:paraId="4B3F0BAF">
      <w:pPr>
        <w:adjustRightInd w:val="0"/>
        <w:snapToGrid w:val="0"/>
        <w:rPr>
          <w:rFonts w:eastAsia="宋体"/>
          <w:color w:val="auto"/>
          <w:sz w:val="24"/>
          <w:szCs w:val="24"/>
          <w:highlight w:val="none"/>
        </w:rPr>
      </w:pPr>
      <w:r>
        <w:rPr>
          <w:rFonts w:hint="eastAsia" w:eastAsia="宋体"/>
          <w:color w:val="auto"/>
          <w:sz w:val="24"/>
          <w:szCs w:val="24"/>
          <w:highlight w:val="none"/>
        </w:rPr>
        <w:fldChar w:fldCharType="begin"/>
      </w:r>
      <w:r>
        <w:rPr>
          <w:rFonts w:hint="eastAsia" w:eastAsia="宋体"/>
          <w:color w:val="auto"/>
          <w:sz w:val="24"/>
          <w:szCs w:val="24"/>
          <w:highlight w:val="none"/>
        </w:rPr>
        <w:instrText xml:space="preserve"> = 1 \* ROMAN \* MERGEFORMAT </w:instrText>
      </w:r>
      <w:r>
        <w:rPr>
          <w:rFonts w:hint="eastAsia" w:eastAsia="宋体"/>
          <w:color w:val="auto"/>
          <w:sz w:val="24"/>
          <w:szCs w:val="24"/>
          <w:highlight w:val="none"/>
        </w:rPr>
        <w:fldChar w:fldCharType="separate"/>
      </w:r>
      <w:r>
        <w:rPr>
          <w:rFonts w:eastAsia="宋体"/>
          <w:color w:val="auto"/>
          <w:sz w:val="24"/>
          <w:szCs w:val="24"/>
          <w:highlight w:val="none"/>
        </w:rPr>
        <w:t>I</w:t>
      </w:r>
      <w:r>
        <w:rPr>
          <w:rFonts w:hint="eastAsia" w:eastAsia="宋体"/>
          <w:color w:val="auto"/>
          <w:sz w:val="24"/>
          <w:szCs w:val="24"/>
          <w:highlight w:val="none"/>
        </w:rPr>
        <w:fldChar w:fldCharType="end"/>
      </w:r>
      <w:r>
        <w:rPr>
          <w:rFonts w:hint="eastAsia" w:eastAsia="宋体"/>
          <w:color w:val="auto"/>
          <w:sz w:val="24"/>
          <w:szCs w:val="24"/>
          <w:highlight w:val="none"/>
        </w:rPr>
        <w:t>.具有履行合同所必需的设备和专业技术能力声明格式</w:t>
      </w:r>
    </w:p>
    <w:p w14:paraId="432611E1">
      <w:pPr>
        <w:spacing w:line="440" w:lineRule="exact"/>
        <w:jc w:val="center"/>
        <w:rPr>
          <w:rFonts w:eastAsia="宋体"/>
          <w:color w:val="auto"/>
          <w:sz w:val="24"/>
          <w:szCs w:val="24"/>
          <w:highlight w:val="none"/>
        </w:rPr>
      </w:pPr>
    </w:p>
    <w:p w14:paraId="176738D8">
      <w:pPr>
        <w:spacing w:line="440" w:lineRule="exact"/>
        <w:jc w:val="center"/>
        <w:rPr>
          <w:rFonts w:eastAsia="宋体"/>
          <w:b/>
          <w:bCs/>
          <w:color w:val="auto"/>
          <w:sz w:val="24"/>
          <w:szCs w:val="24"/>
          <w:highlight w:val="none"/>
        </w:rPr>
      </w:pPr>
      <w:r>
        <w:rPr>
          <w:rFonts w:hint="eastAsia" w:eastAsia="宋体"/>
          <w:b/>
          <w:bCs/>
          <w:color w:val="auto"/>
          <w:sz w:val="24"/>
          <w:szCs w:val="24"/>
          <w:highlight w:val="none"/>
        </w:rPr>
        <w:t>具有履行合同所必需的设备和专业技术能力声明</w:t>
      </w:r>
    </w:p>
    <w:p w14:paraId="195B2D9D">
      <w:pPr>
        <w:spacing w:line="440" w:lineRule="exact"/>
        <w:jc w:val="left"/>
        <w:rPr>
          <w:rFonts w:eastAsia="宋体"/>
          <w:color w:val="auto"/>
          <w:sz w:val="24"/>
          <w:szCs w:val="24"/>
          <w:highlight w:val="none"/>
        </w:rPr>
      </w:pPr>
      <w:r>
        <w:rPr>
          <w:rFonts w:eastAsia="宋体"/>
          <w:color w:val="auto"/>
          <w:sz w:val="24"/>
          <w:szCs w:val="24"/>
          <w:highlight w:val="none"/>
        </w:rPr>
        <w:t>致：</w:t>
      </w:r>
    </w:p>
    <w:p w14:paraId="0C1C3C20">
      <w:pPr>
        <w:spacing w:line="440" w:lineRule="exact"/>
        <w:ind w:firstLine="480" w:firstLineChars="200"/>
        <w:rPr>
          <w:rFonts w:eastAsia="宋体"/>
          <w:color w:val="auto"/>
          <w:sz w:val="24"/>
          <w:szCs w:val="24"/>
          <w:highlight w:val="none"/>
        </w:rPr>
      </w:pPr>
      <w:r>
        <w:rPr>
          <w:rFonts w:eastAsia="宋体"/>
          <w:color w:val="auto"/>
          <w:sz w:val="24"/>
          <w:szCs w:val="24"/>
          <w:highlight w:val="none"/>
        </w:rPr>
        <w:t>本人</w:t>
      </w:r>
      <w:r>
        <w:rPr>
          <w:rFonts w:eastAsia="宋体"/>
          <w:color w:val="auto"/>
          <w:sz w:val="24"/>
          <w:szCs w:val="24"/>
          <w:highlight w:val="none"/>
          <w:u w:val="single"/>
        </w:rPr>
        <w:t xml:space="preserve">   （姓名） </w:t>
      </w:r>
      <w:r>
        <w:rPr>
          <w:rFonts w:eastAsia="宋体"/>
          <w:color w:val="auto"/>
          <w:sz w:val="24"/>
          <w:szCs w:val="24"/>
          <w:highlight w:val="none"/>
        </w:rPr>
        <w:t xml:space="preserve"> 以</w:t>
      </w:r>
      <w:r>
        <w:rPr>
          <w:rFonts w:eastAsia="宋体"/>
          <w:color w:val="auto"/>
          <w:sz w:val="24"/>
          <w:szCs w:val="24"/>
          <w:highlight w:val="none"/>
          <w:u w:val="single"/>
        </w:rPr>
        <w:t xml:space="preserve">           （供应商全称）           </w:t>
      </w:r>
      <w:r>
        <w:rPr>
          <w:rFonts w:eastAsia="宋体"/>
          <w:color w:val="auto"/>
          <w:sz w:val="24"/>
          <w:szCs w:val="24"/>
          <w:highlight w:val="none"/>
        </w:rPr>
        <w:t>法定代表人或其授权的代理人的资格，郑重承诺：</w:t>
      </w:r>
    </w:p>
    <w:p w14:paraId="205C6D95">
      <w:pPr>
        <w:spacing w:line="440" w:lineRule="exact"/>
        <w:ind w:firstLine="480" w:firstLineChars="200"/>
        <w:rPr>
          <w:rFonts w:eastAsia="宋体"/>
          <w:color w:val="auto"/>
          <w:sz w:val="24"/>
          <w:szCs w:val="24"/>
          <w:highlight w:val="none"/>
        </w:rPr>
      </w:pPr>
      <w:r>
        <w:rPr>
          <w:rFonts w:eastAsia="宋体"/>
          <w:color w:val="auto"/>
          <w:sz w:val="24"/>
          <w:szCs w:val="24"/>
          <w:highlight w:val="none"/>
        </w:rPr>
        <w:t>本</w:t>
      </w:r>
      <w:r>
        <w:rPr>
          <w:rFonts w:hint="eastAsia" w:eastAsia="宋体"/>
          <w:color w:val="auto"/>
          <w:sz w:val="24"/>
          <w:szCs w:val="24"/>
          <w:highlight w:val="none"/>
        </w:rPr>
        <w:t>单位具有履行合同所必需的设备和专业技术能力</w:t>
      </w:r>
      <w:r>
        <w:rPr>
          <w:rFonts w:eastAsia="宋体"/>
          <w:color w:val="auto"/>
          <w:sz w:val="24"/>
          <w:szCs w:val="24"/>
          <w:highlight w:val="none"/>
        </w:rPr>
        <w:t>。</w:t>
      </w:r>
    </w:p>
    <w:p w14:paraId="77040E65">
      <w:pPr>
        <w:spacing w:line="440" w:lineRule="exact"/>
        <w:ind w:firstLine="480" w:firstLineChars="200"/>
        <w:rPr>
          <w:rFonts w:eastAsia="宋体"/>
          <w:color w:val="auto"/>
          <w:sz w:val="24"/>
          <w:szCs w:val="24"/>
          <w:highlight w:val="none"/>
        </w:rPr>
      </w:pPr>
    </w:p>
    <w:p w14:paraId="1D367D2E">
      <w:pPr>
        <w:spacing w:before="240" w:beforeLines="100"/>
        <w:ind w:firstLine="482"/>
        <w:rPr>
          <w:rFonts w:eastAsia="宋体"/>
          <w:color w:val="auto"/>
          <w:sz w:val="24"/>
          <w:szCs w:val="24"/>
          <w:highlight w:val="none"/>
          <w:u w:val="single"/>
        </w:rPr>
      </w:pPr>
      <w:r>
        <w:rPr>
          <w:rFonts w:eastAsia="宋体"/>
          <w:color w:val="auto"/>
          <w:sz w:val="24"/>
          <w:szCs w:val="24"/>
          <w:highlight w:val="none"/>
        </w:rPr>
        <w:t>供应商</w:t>
      </w:r>
      <w:r>
        <w:rPr>
          <w:rFonts w:hint="eastAsia" w:eastAsia="宋体"/>
          <w:color w:val="auto"/>
          <w:sz w:val="24"/>
          <w:szCs w:val="24"/>
          <w:highlight w:val="none"/>
        </w:rPr>
        <w:t>（加盖CA电子公章）</w:t>
      </w:r>
      <w:r>
        <w:rPr>
          <w:rFonts w:eastAsia="宋体"/>
          <w:color w:val="auto"/>
          <w:sz w:val="24"/>
          <w:szCs w:val="24"/>
          <w:highlight w:val="none"/>
        </w:rPr>
        <w:t>：</w:t>
      </w:r>
    </w:p>
    <w:p w14:paraId="507BB9E7">
      <w:pPr>
        <w:ind w:firstLine="480"/>
        <w:rPr>
          <w:rFonts w:eastAsia="宋体"/>
          <w:color w:val="auto"/>
          <w:sz w:val="24"/>
          <w:szCs w:val="24"/>
          <w:highlight w:val="none"/>
        </w:rPr>
      </w:pPr>
      <w:r>
        <w:rPr>
          <w:rFonts w:eastAsia="宋体"/>
          <w:color w:val="auto"/>
          <w:sz w:val="24"/>
          <w:szCs w:val="24"/>
          <w:highlight w:val="none"/>
        </w:rPr>
        <w:t>日   期  ：        年      月      日</w:t>
      </w:r>
    </w:p>
    <w:p w14:paraId="3D435393">
      <w:pPr>
        <w:adjustRightInd w:val="0"/>
        <w:snapToGrid w:val="0"/>
        <w:ind w:firstLine="480" w:firstLineChars="200"/>
        <w:rPr>
          <w:rFonts w:eastAsia="宋体"/>
          <w:color w:val="auto"/>
          <w:sz w:val="24"/>
          <w:szCs w:val="24"/>
          <w:highlight w:val="none"/>
        </w:rPr>
      </w:pPr>
    </w:p>
    <w:p w14:paraId="4B52766A">
      <w:pPr>
        <w:adjustRightInd w:val="0"/>
        <w:snapToGrid w:val="0"/>
        <w:rPr>
          <w:rFonts w:eastAsia="宋体"/>
          <w:color w:val="auto"/>
          <w:sz w:val="24"/>
          <w:szCs w:val="24"/>
          <w:highlight w:val="none"/>
        </w:rPr>
      </w:pPr>
    </w:p>
    <w:p w14:paraId="2BD91EE7">
      <w:pPr>
        <w:adjustRightInd w:val="0"/>
        <w:snapToGrid w:val="0"/>
        <w:rPr>
          <w:rFonts w:eastAsia="宋体"/>
          <w:color w:val="auto"/>
          <w:sz w:val="24"/>
          <w:szCs w:val="24"/>
          <w:highlight w:val="none"/>
        </w:rPr>
      </w:pPr>
    </w:p>
    <w:p w14:paraId="06B5093E">
      <w:pPr>
        <w:adjustRightInd w:val="0"/>
        <w:snapToGrid w:val="0"/>
        <w:rPr>
          <w:rFonts w:eastAsia="宋体"/>
          <w:color w:val="auto"/>
          <w:sz w:val="24"/>
          <w:szCs w:val="24"/>
          <w:highlight w:val="none"/>
        </w:rPr>
      </w:pPr>
    </w:p>
    <w:p w14:paraId="6CB1CB44">
      <w:pPr>
        <w:adjustRightInd w:val="0"/>
        <w:snapToGrid w:val="0"/>
        <w:rPr>
          <w:rFonts w:eastAsia="宋体"/>
          <w:color w:val="auto"/>
          <w:sz w:val="24"/>
          <w:szCs w:val="24"/>
          <w:highlight w:val="none"/>
        </w:rPr>
      </w:pPr>
    </w:p>
    <w:p w14:paraId="512478B3">
      <w:pPr>
        <w:adjustRightInd w:val="0"/>
        <w:snapToGrid w:val="0"/>
        <w:rPr>
          <w:rFonts w:eastAsia="宋体"/>
          <w:color w:val="auto"/>
          <w:sz w:val="24"/>
          <w:szCs w:val="24"/>
          <w:highlight w:val="none"/>
        </w:rPr>
      </w:pPr>
    </w:p>
    <w:p w14:paraId="73F907CC">
      <w:pPr>
        <w:adjustRightInd w:val="0"/>
        <w:snapToGrid w:val="0"/>
        <w:rPr>
          <w:rFonts w:eastAsia="宋体"/>
          <w:color w:val="auto"/>
          <w:sz w:val="24"/>
          <w:szCs w:val="24"/>
          <w:highlight w:val="none"/>
        </w:rPr>
      </w:pPr>
    </w:p>
    <w:p w14:paraId="5514EFC6">
      <w:pPr>
        <w:adjustRightInd w:val="0"/>
        <w:snapToGrid w:val="0"/>
        <w:rPr>
          <w:rFonts w:eastAsia="宋体"/>
          <w:color w:val="auto"/>
          <w:sz w:val="24"/>
          <w:szCs w:val="24"/>
          <w:highlight w:val="none"/>
        </w:rPr>
      </w:pPr>
    </w:p>
    <w:p w14:paraId="5BE0E633">
      <w:pPr>
        <w:adjustRightInd w:val="0"/>
        <w:snapToGrid w:val="0"/>
        <w:rPr>
          <w:rFonts w:eastAsia="宋体"/>
          <w:color w:val="auto"/>
          <w:sz w:val="24"/>
          <w:szCs w:val="24"/>
          <w:highlight w:val="none"/>
        </w:rPr>
      </w:pPr>
    </w:p>
    <w:p w14:paraId="256338C3">
      <w:pPr>
        <w:adjustRightInd w:val="0"/>
        <w:snapToGrid w:val="0"/>
        <w:rPr>
          <w:rFonts w:eastAsia="宋体"/>
          <w:color w:val="auto"/>
          <w:sz w:val="24"/>
          <w:szCs w:val="24"/>
          <w:highlight w:val="none"/>
        </w:rPr>
      </w:pPr>
    </w:p>
    <w:p w14:paraId="777B2FE0">
      <w:pPr>
        <w:adjustRightInd w:val="0"/>
        <w:snapToGrid w:val="0"/>
        <w:rPr>
          <w:rFonts w:eastAsia="宋体"/>
          <w:color w:val="auto"/>
          <w:sz w:val="24"/>
          <w:szCs w:val="24"/>
          <w:highlight w:val="none"/>
        </w:rPr>
      </w:pPr>
    </w:p>
    <w:p w14:paraId="1249FCFA">
      <w:pPr>
        <w:adjustRightInd w:val="0"/>
        <w:snapToGrid w:val="0"/>
        <w:rPr>
          <w:rFonts w:eastAsia="宋体"/>
          <w:color w:val="auto"/>
          <w:sz w:val="28"/>
          <w:highlight w:val="none"/>
        </w:rPr>
      </w:pPr>
      <w:r>
        <w:rPr>
          <w:rFonts w:hint="eastAsia" w:eastAsia="宋体"/>
          <w:color w:val="auto"/>
          <w:sz w:val="24"/>
          <w:szCs w:val="24"/>
          <w:highlight w:val="none"/>
        </w:rPr>
        <w:fldChar w:fldCharType="begin"/>
      </w:r>
      <w:r>
        <w:rPr>
          <w:rFonts w:hint="eastAsia" w:eastAsia="宋体"/>
          <w:color w:val="auto"/>
          <w:sz w:val="24"/>
          <w:szCs w:val="24"/>
          <w:highlight w:val="none"/>
        </w:rPr>
        <w:instrText xml:space="preserve"> = 2 \* ROMAN \* MERGEFORMAT </w:instrText>
      </w:r>
      <w:r>
        <w:rPr>
          <w:rFonts w:hint="eastAsia" w:eastAsia="宋体"/>
          <w:color w:val="auto"/>
          <w:sz w:val="24"/>
          <w:szCs w:val="24"/>
          <w:highlight w:val="none"/>
        </w:rPr>
        <w:fldChar w:fldCharType="separate"/>
      </w:r>
      <w:r>
        <w:rPr>
          <w:rFonts w:hint="eastAsia" w:eastAsia="宋体"/>
          <w:color w:val="auto"/>
          <w:sz w:val="24"/>
          <w:szCs w:val="24"/>
          <w:highlight w:val="none"/>
        </w:rPr>
        <w:t>II</w:t>
      </w:r>
      <w:r>
        <w:rPr>
          <w:rFonts w:hint="eastAsia" w:eastAsia="宋体"/>
          <w:color w:val="auto"/>
          <w:sz w:val="24"/>
          <w:szCs w:val="24"/>
          <w:highlight w:val="none"/>
        </w:rPr>
        <w:fldChar w:fldCharType="end"/>
      </w:r>
      <w:r>
        <w:rPr>
          <w:rFonts w:hint="eastAsia" w:eastAsia="宋体"/>
          <w:color w:val="auto"/>
          <w:sz w:val="24"/>
          <w:szCs w:val="24"/>
          <w:highlight w:val="none"/>
        </w:rPr>
        <w:t>.</w:t>
      </w:r>
      <w:r>
        <w:rPr>
          <w:rFonts w:eastAsia="宋体"/>
          <w:color w:val="auto"/>
          <w:sz w:val="24"/>
          <w:szCs w:val="24"/>
          <w:highlight w:val="none"/>
        </w:rPr>
        <w:t>无重大违法记录声明格式</w:t>
      </w:r>
    </w:p>
    <w:p w14:paraId="5C140B26">
      <w:pPr>
        <w:spacing w:line="440" w:lineRule="exact"/>
        <w:jc w:val="center"/>
        <w:rPr>
          <w:rFonts w:eastAsia="宋体"/>
          <w:b/>
          <w:bCs/>
          <w:color w:val="auto"/>
          <w:sz w:val="24"/>
          <w:szCs w:val="24"/>
          <w:highlight w:val="none"/>
        </w:rPr>
      </w:pPr>
      <w:r>
        <w:rPr>
          <w:rFonts w:eastAsia="宋体"/>
          <w:b/>
          <w:bCs/>
          <w:color w:val="auto"/>
          <w:sz w:val="24"/>
          <w:szCs w:val="24"/>
          <w:highlight w:val="none"/>
        </w:rPr>
        <w:t>无重大违法记录声明</w:t>
      </w:r>
    </w:p>
    <w:p w14:paraId="3564B5E0">
      <w:pPr>
        <w:spacing w:line="440" w:lineRule="exact"/>
        <w:rPr>
          <w:rFonts w:eastAsia="宋体"/>
          <w:color w:val="auto"/>
          <w:sz w:val="24"/>
          <w:szCs w:val="24"/>
          <w:highlight w:val="none"/>
        </w:rPr>
      </w:pPr>
      <w:r>
        <w:rPr>
          <w:rFonts w:eastAsia="宋体"/>
          <w:color w:val="auto"/>
          <w:sz w:val="24"/>
          <w:szCs w:val="24"/>
          <w:highlight w:val="none"/>
        </w:rPr>
        <w:t xml:space="preserve">致： </w:t>
      </w:r>
    </w:p>
    <w:p w14:paraId="1CDBCD04">
      <w:pPr>
        <w:spacing w:line="440" w:lineRule="exact"/>
        <w:ind w:firstLine="480" w:firstLineChars="200"/>
        <w:rPr>
          <w:rFonts w:eastAsia="宋体"/>
          <w:color w:val="auto"/>
          <w:sz w:val="24"/>
          <w:szCs w:val="24"/>
          <w:highlight w:val="none"/>
        </w:rPr>
      </w:pPr>
      <w:r>
        <w:rPr>
          <w:rFonts w:eastAsia="宋体"/>
          <w:color w:val="auto"/>
          <w:sz w:val="24"/>
          <w:szCs w:val="24"/>
          <w:highlight w:val="none"/>
        </w:rPr>
        <w:t>本人</w:t>
      </w:r>
      <w:r>
        <w:rPr>
          <w:rFonts w:eastAsia="宋体"/>
          <w:color w:val="auto"/>
          <w:sz w:val="24"/>
          <w:szCs w:val="24"/>
          <w:highlight w:val="none"/>
          <w:u w:val="single"/>
        </w:rPr>
        <w:t xml:space="preserve">   （姓名） </w:t>
      </w:r>
      <w:r>
        <w:rPr>
          <w:rFonts w:eastAsia="宋体"/>
          <w:color w:val="auto"/>
          <w:sz w:val="24"/>
          <w:szCs w:val="24"/>
          <w:highlight w:val="none"/>
        </w:rPr>
        <w:t xml:space="preserve"> 以</w:t>
      </w:r>
      <w:r>
        <w:rPr>
          <w:rFonts w:eastAsia="宋体"/>
          <w:color w:val="auto"/>
          <w:sz w:val="24"/>
          <w:szCs w:val="24"/>
          <w:highlight w:val="none"/>
          <w:u w:val="single"/>
        </w:rPr>
        <w:t xml:space="preserve">           （供应商全称）           </w:t>
      </w:r>
      <w:r>
        <w:rPr>
          <w:rFonts w:eastAsia="宋体"/>
          <w:color w:val="auto"/>
          <w:sz w:val="24"/>
          <w:szCs w:val="24"/>
          <w:highlight w:val="none"/>
        </w:rPr>
        <w:t>法定代表人或其授权的代理人的资格，郑重承诺：</w:t>
      </w:r>
    </w:p>
    <w:p w14:paraId="460AF123">
      <w:pPr>
        <w:spacing w:line="440" w:lineRule="exact"/>
        <w:ind w:firstLine="480" w:firstLineChars="200"/>
        <w:rPr>
          <w:rFonts w:eastAsia="宋体"/>
          <w:color w:val="auto"/>
          <w:sz w:val="24"/>
          <w:szCs w:val="24"/>
          <w:highlight w:val="none"/>
        </w:rPr>
      </w:pPr>
      <w:r>
        <w:rPr>
          <w:rFonts w:eastAsia="宋体"/>
          <w:color w:val="auto"/>
          <w:sz w:val="24"/>
          <w:szCs w:val="24"/>
          <w:highlight w:val="none"/>
        </w:rPr>
        <w:t>本单位参加</w:t>
      </w:r>
      <w:r>
        <w:rPr>
          <w:rFonts w:hint="eastAsia" w:eastAsia="宋体"/>
          <w:color w:val="auto"/>
          <w:sz w:val="24"/>
          <w:szCs w:val="24"/>
          <w:highlight w:val="none"/>
        </w:rPr>
        <w:t>此次</w:t>
      </w:r>
      <w:r>
        <w:rPr>
          <w:rFonts w:eastAsia="宋体"/>
          <w:color w:val="auto"/>
          <w:sz w:val="24"/>
          <w:szCs w:val="24"/>
          <w:highlight w:val="none"/>
        </w:rPr>
        <w:t>政府采购活动前3年内在经营活动中</w:t>
      </w:r>
      <w:r>
        <w:rPr>
          <w:rFonts w:eastAsia="宋体"/>
          <w:color w:val="auto"/>
          <w:sz w:val="24"/>
          <w:szCs w:val="24"/>
          <w:highlight w:val="none"/>
          <w:u w:val="single"/>
        </w:rPr>
        <w:t xml:space="preserve">             </w:t>
      </w:r>
      <w:r>
        <w:rPr>
          <w:rFonts w:eastAsia="宋体"/>
          <w:color w:val="auto"/>
          <w:sz w:val="24"/>
          <w:szCs w:val="24"/>
          <w:highlight w:val="none"/>
        </w:rPr>
        <w:t>（在下划线上如实填写：有或没有）重大违法记录。</w:t>
      </w:r>
    </w:p>
    <w:p w14:paraId="36395750">
      <w:pPr>
        <w:spacing w:line="440" w:lineRule="exact"/>
        <w:ind w:firstLine="480" w:firstLineChars="200"/>
        <w:rPr>
          <w:rFonts w:eastAsia="宋体"/>
          <w:color w:val="auto"/>
          <w:sz w:val="24"/>
          <w:szCs w:val="24"/>
          <w:highlight w:val="none"/>
        </w:rPr>
      </w:pPr>
      <w:r>
        <w:rPr>
          <w:rFonts w:eastAsia="宋体"/>
          <w:color w:val="auto"/>
          <w:sz w:val="24"/>
          <w:szCs w:val="24"/>
          <w:highlight w:val="none"/>
        </w:rPr>
        <w:t>（说明：政府采购法第二十二条第一款第五项所称重大违法记录，是指供应商因违法经营受到刑事处罚或者责令停产停业、吊销许可证或者执照、较大数额罚款等行政处罚。）</w:t>
      </w:r>
    </w:p>
    <w:p w14:paraId="0CE0F2C9">
      <w:pPr>
        <w:spacing w:line="440" w:lineRule="exact"/>
        <w:ind w:firstLine="480" w:firstLineChars="200"/>
        <w:rPr>
          <w:rFonts w:eastAsia="宋体"/>
          <w:color w:val="auto"/>
          <w:sz w:val="24"/>
          <w:szCs w:val="24"/>
          <w:highlight w:val="none"/>
        </w:rPr>
      </w:pPr>
    </w:p>
    <w:p w14:paraId="3F5A3C9A">
      <w:pPr>
        <w:spacing w:line="440" w:lineRule="exact"/>
        <w:ind w:firstLine="480" w:firstLineChars="200"/>
        <w:rPr>
          <w:rFonts w:eastAsia="宋体"/>
          <w:color w:val="auto"/>
          <w:sz w:val="24"/>
          <w:szCs w:val="24"/>
          <w:highlight w:val="none"/>
        </w:rPr>
      </w:pPr>
    </w:p>
    <w:p w14:paraId="7AF910AF">
      <w:pPr>
        <w:spacing w:before="240" w:beforeLines="100"/>
        <w:ind w:firstLine="482"/>
        <w:rPr>
          <w:rFonts w:eastAsia="宋体"/>
          <w:color w:val="auto"/>
          <w:sz w:val="24"/>
          <w:szCs w:val="24"/>
          <w:highlight w:val="none"/>
          <w:u w:val="single"/>
        </w:rPr>
      </w:pPr>
      <w:r>
        <w:rPr>
          <w:rFonts w:eastAsia="宋体"/>
          <w:color w:val="auto"/>
          <w:sz w:val="24"/>
          <w:szCs w:val="24"/>
          <w:highlight w:val="none"/>
        </w:rPr>
        <w:t>供应商</w:t>
      </w:r>
      <w:r>
        <w:rPr>
          <w:rFonts w:hint="eastAsia" w:eastAsia="宋体"/>
          <w:color w:val="auto"/>
          <w:sz w:val="24"/>
          <w:szCs w:val="24"/>
          <w:highlight w:val="none"/>
        </w:rPr>
        <w:t>（加盖CA电子公章）</w:t>
      </w:r>
      <w:r>
        <w:rPr>
          <w:rFonts w:eastAsia="宋体"/>
          <w:color w:val="auto"/>
          <w:sz w:val="24"/>
          <w:szCs w:val="24"/>
          <w:highlight w:val="none"/>
        </w:rPr>
        <w:t>：</w:t>
      </w:r>
    </w:p>
    <w:p w14:paraId="7CB5359F">
      <w:pPr>
        <w:ind w:firstLine="480"/>
        <w:rPr>
          <w:rFonts w:eastAsia="宋体"/>
          <w:color w:val="auto"/>
          <w:sz w:val="24"/>
          <w:szCs w:val="24"/>
          <w:highlight w:val="none"/>
        </w:rPr>
      </w:pPr>
      <w:r>
        <w:rPr>
          <w:rFonts w:eastAsia="宋体"/>
          <w:color w:val="auto"/>
          <w:sz w:val="24"/>
          <w:szCs w:val="24"/>
          <w:highlight w:val="none"/>
        </w:rPr>
        <w:t>日   期  ：        年      月      日</w:t>
      </w:r>
    </w:p>
    <w:p w14:paraId="7CD035E9">
      <w:pPr>
        <w:adjustRightInd w:val="0"/>
        <w:snapToGrid w:val="0"/>
        <w:ind w:firstLine="480" w:firstLineChars="200"/>
        <w:rPr>
          <w:rFonts w:eastAsia="宋体"/>
          <w:color w:val="auto"/>
          <w:sz w:val="24"/>
          <w:szCs w:val="24"/>
          <w:highlight w:val="none"/>
        </w:rPr>
      </w:pPr>
    </w:p>
    <w:p w14:paraId="21091C4E">
      <w:pPr>
        <w:adjustRightInd w:val="0"/>
        <w:snapToGrid w:val="0"/>
        <w:ind w:firstLine="480" w:firstLineChars="200"/>
        <w:rPr>
          <w:rFonts w:eastAsia="宋体"/>
          <w:color w:val="auto"/>
          <w:sz w:val="24"/>
          <w:szCs w:val="24"/>
          <w:highlight w:val="none"/>
        </w:rPr>
      </w:pPr>
    </w:p>
    <w:p w14:paraId="0F4CE337">
      <w:pPr>
        <w:adjustRightInd w:val="0"/>
        <w:snapToGrid w:val="0"/>
        <w:ind w:firstLine="480" w:firstLineChars="200"/>
        <w:rPr>
          <w:rFonts w:eastAsia="宋体"/>
          <w:color w:val="auto"/>
          <w:sz w:val="24"/>
          <w:szCs w:val="24"/>
          <w:highlight w:val="none"/>
        </w:rPr>
      </w:pPr>
    </w:p>
    <w:p w14:paraId="65AFC4B9">
      <w:pPr>
        <w:adjustRightInd w:val="0"/>
        <w:snapToGrid w:val="0"/>
        <w:ind w:firstLine="482" w:firstLineChars="200"/>
        <w:rPr>
          <w:rFonts w:eastAsia="宋体"/>
          <w:b/>
          <w:color w:val="auto"/>
          <w:sz w:val="24"/>
          <w:szCs w:val="24"/>
          <w:highlight w:val="none"/>
          <w:u w:val="single"/>
        </w:rPr>
      </w:pPr>
    </w:p>
    <w:p w14:paraId="0084B268">
      <w:pPr>
        <w:adjustRightInd w:val="0"/>
        <w:snapToGrid w:val="0"/>
        <w:rPr>
          <w:rFonts w:eastAsia="宋体"/>
          <w:color w:val="auto"/>
          <w:sz w:val="28"/>
          <w:highlight w:val="none"/>
        </w:rPr>
      </w:pPr>
      <w:r>
        <w:rPr>
          <w:rFonts w:hint="eastAsia" w:eastAsia="宋体"/>
          <w:color w:val="auto"/>
          <w:sz w:val="24"/>
          <w:szCs w:val="24"/>
          <w:highlight w:val="none"/>
        </w:rPr>
        <w:fldChar w:fldCharType="begin"/>
      </w:r>
      <w:r>
        <w:rPr>
          <w:rFonts w:hint="eastAsia" w:eastAsia="宋体"/>
          <w:color w:val="auto"/>
          <w:sz w:val="24"/>
          <w:szCs w:val="24"/>
          <w:highlight w:val="none"/>
        </w:rPr>
        <w:instrText xml:space="preserve"> = 3 \* ROMAN \* MERGEFORMAT </w:instrText>
      </w:r>
      <w:r>
        <w:rPr>
          <w:rFonts w:hint="eastAsia" w:eastAsia="宋体"/>
          <w:color w:val="auto"/>
          <w:sz w:val="24"/>
          <w:szCs w:val="24"/>
          <w:highlight w:val="none"/>
        </w:rPr>
        <w:fldChar w:fldCharType="separate"/>
      </w:r>
      <w:r>
        <w:rPr>
          <w:rFonts w:hint="eastAsia" w:eastAsia="宋体"/>
          <w:color w:val="auto"/>
          <w:sz w:val="24"/>
          <w:szCs w:val="24"/>
          <w:highlight w:val="none"/>
          <w:lang w:eastAsia="zh-CN"/>
        </w:rPr>
        <w:t>Ⅲ</w:t>
      </w:r>
      <w:r>
        <w:rPr>
          <w:rFonts w:hint="eastAsia" w:eastAsia="宋体"/>
          <w:color w:val="auto"/>
          <w:sz w:val="24"/>
          <w:szCs w:val="24"/>
          <w:highlight w:val="none"/>
        </w:rPr>
        <w:fldChar w:fldCharType="end"/>
      </w:r>
      <w:r>
        <w:rPr>
          <w:rFonts w:hint="eastAsia" w:eastAsia="宋体"/>
          <w:color w:val="auto"/>
          <w:sz w:val="24"/>
          <w:szCs w:val="24"/>
          <w:highlight w:val="none"/>
        </w:rPr>
        <w:t>.法律、行政法规规定的其他条件</w:t>
      </w:r>
      <w:r>
        <w:rPr>
          <w:rFonts w:eastAsia="宋体"/>
          <w:color w:val="auto"/>
          <w:sz w:val="24"/>
          <w:szCs w:val="24"/>
          <w:highlight w:val="none"/>
        </w:rPr>
        <w:t>格式</w:t>
      </w:r>
    </w:p>
    <w:p w14:paraId="3F4E36EC">
      <w:pPr>
        <w:spacing w:line="440" w:lineRule="exact"/>
        <w:jc w:val="center"/>
        <w:rPr>
          <w:rFonts w:eastAsia="宋体"/>
          <w:color w:val="auto"/>
          <w:sz w:val="24"/>
          <w:szCs w:val="24"/>
          <w:highlight w:val="none"/>
        </w:rPr>
      </w:pPr>
    </w:p>
    <w:p w14:paraId="481A9D49">
      <w:pPr>
        <w:spacing w:line="440" w:lineRule="exact"/>
        <w:jc w:val="center"/>
        <w:rPr>
          <w:rFonts w:eastAsia="宋体"/>
          <w:b/>
          <w:bCs/>
          <w:color w:val="auto"/>
          <w:sz w:val="24"/>
          <w:szCs w:val="24"/>
          <w:highlight w:val="none"/>
        </w:rPr>
      </w:pPr>
      <w:r>
        <w:rPr>
          <w:rFonts w:hint="eastAsia" w:eastAsia="宋体"/>
          <w:b/>
          <w:bCs/>
          <w:color w:val="auto"/>
          <w:sz w:val="24"/>
          <w:szCs w:val="24"/>
          <w:highlight w:val="none"/>
        </w:rPr>
        <w:t>法律、行政法规规定的其他条件</w:t>
      </w:r>
      <w:r>
        <w:rPr>
          <w:rFonts w:eastAsia="宋体"/>
          <w:b/>
          <w:bCs/>
          <w:color w:val="auto"/>
          <w:sz w:val="24"/>
          <w:szCs w:val="24"/>
          <w:highlight w:val="none"/>
        </w:rPr>
        <w:t>声明</w:t>
      </w:r>
    </w:p>
    <w:p w14:paraId="7691EC3D">
      <w:pPr>
        <w:spacing w:line="440" w:lineRule="exact"/>
        <w:rPr>
          <w:rFonts w:eastAsia="宋体"/>
          <w:color w:val="auto"/>
          <w:sz w:val="24"/>
          <w:szCs w:val="24"/>
          <w:highlight w:val="none"/>
        </w:rPr>
      </w:pPr>
      <w:r>
        <w:rPr>
          <w:rFonts w:eastAsia="宋体"/>
          <w:color w:val="auto"/>
          <w:sz w:val="24"/>
          <w:szCs w:val="24"/>
          <w:highlight w:val="none"/>
        </w:rPr>
        <w:t xml:space="preserve">致： </w:t>
      </w:r>
    </w:p>
    <w:p w14:paraId="33476468">
      <w:pPr>
        <w:spacing w:line="440" w:lineRule="exact"/>
        <w:ind w:firstLine="480" w:firstLineChars="200"/>
        <w:rPr>
          <w:rFonts w:eastAsia="宋体"/>
          <w:color w:val="auto"/>
          <w:sz w:val="24"/>
          <w:szCs w:val="24"/>
          <w:highlight w:val="none"/>
        </w:rPr>
      </w:pPr>
      <w:r>
        <w:rPr>
          <w:rFonts w:eastAsia="宋体"/>
          <w:color w:val="auto"/>
          <w:sz w:val="24"/>
          <w:szCs w:val="24"/>
          <w:highlight w:val="none"/>
        </w:rPr>
        <w:t>本人</w:t>
      </w:r>
      <w:r>
        <w:rPr>
          <w:rFonts w:eastAsia="宋体"/>
          <w:color w:val="auto"/>
          <w:sz w:val="24"/>
          <w:szCs w:val="24"/>
          <w:highlight w:val="none"/>
          <w:u w:val="single"/>
        </w:rPr>
        <w:t xml:space="preserve">   （姓名） </w:t>
      </w:r>
      <w:r>
        <w:rPr>
          <w:rFonts w:eastAsia="宋体"/>
          <w:color w:val="auto"/>
          <w:sz w:val="24"/>
          <w:szCs w:val="24"/>
          <w:highlight w:val="none"/>
        </w:rPr>
        <w:t xml:space="preserve"> 以</w:t>
      </w:r>
      <w:r>
        <w:rPr>
          <w:rFonts w:eastAsia="宋体"/>
          <w:color w:val="auto"/>
          <w:sz w:val="24"/>
          <w:szCs w:val="24"/>
          <w:highlight w:val="none"/>
          <w:u w:val="single"/>
        </w:rPr>
        <w:t xml:space="preserve">           （供应商全称）           </w:t>
      </w:r>
      <w:r>
        <w:rPr>
          <w:rFonts w:eastAsia="宋体"/>
          <w:color w:val="auto"/>
          <w:sz w:val="24"/>
          <w:szCs w:val="24"/>
          <w:highlight w:val="none"/>
        </w:rPr>
        <w:t>法定代表人或其授权的代理人的资格，郑重承诺：</w:t>
      </w:r>
    </w:p>
    <w:p w14:paraId="1B9640C3">
      <w:pPr>
        <w:spacing w:line="440" w:lineRule="exact"/>
        <w:ind w:firstLine="480" w:firstLineChars="200"/>
        <w:rPr>
          <w:rFonts w:eastAsia="宋体"/>
          <w:color w:val="auto"/>
          <w:sz w:val="21"/>
          <w:szCs w:val="24"/>
          <w:highlight w:val="none"/>
        </w:rPr>
      </w:pPr>
      <w:r>
        <w:rPr>
          <w:rFonts w:eastAsia="宋体"/>
          <w:color w:val="auto"/>
          <w:sz w:val="24"/>
          <w:szCs w:val="24"/>
          <w:highlight w:val="none"/>
        </w:rPr>
        <w:t>本单位此次参加</w:t>
      </w:r>
      <w:r>
        <w:rPr>
          <w:rFonts w:eastAsia="宋体"/>
          <w:color w:val="auto"/>
          <w:sz w:val="24"/>
          <w:szCs w:val="24"/>
          <w:highlight w:val="none"/>
          <w:u w:val="single"/>
        </w:rPr>
        <w:t xml:space="preserve">  </w:t>
      </w:r>
      <w:r>
        <w:rPr>
          <w:rFonts w:hint="eastAsia" w:eastAsia="宋体"/>
          <w:color w:val="auto"/>
          <w:sz w:val="24"/>
          <w:szCs w:val="24"/>
          <w:highlight w:val="none"/>
          <w:u w:val="single"/>
        </w:rPr>
        <w:t>（项目名称）</w:t>
      </w:r>
      <w:r>
        <w:rPr>
          <w:rFonts w:eastAsia="宋体"/>
          <w:color w:val="auto"/>
          <w:sz w:val="24"/>
          <w:szCs w:val="24"/>
          <w:highlight w:val="none"/>
          <w:u w:val="single"/>
        </w:rPr>
        <w:t xml:space="preserve">   </w:t>
      </w:r>
      <w:r>
        <w:rPr>
          <w:rFonts w:hint="eastAsia" w:eastAsia="宋体"/>
          <w:color w:val="auto"/>
          <w:sz w:val="24"/>
          <w:szCs w:val="24"/>
          <w:highlight w:val="none"/>
        </w:rPr>
        <w:t>采购</w:t>
      </w:r>
      <w:r>
        <w:rPr>
          <w:rFonts w:eastAsia="宋体"/>
          <w:color w:val="auto"/>
          <w:sz w:val="24"/>
          <w:szCs w:val="24"/>
          <w:highlight w:val="none"/>
        </w:rPr>
        <w:t>活动中，</w:t>
      </w:r>
      <w:r>
        <w:rPr>
          <w:rFonts w:eastAsia="宋体"/>
          <w:color w:val="auto"/>
          <w:sz w:val="24"/>
          <w:szCs w:val="24"/>
          <w:highlight w:val="none"/>
          <w:u w:val="single"/>
        </w:rPr>
        <w:t xml:space="preserve">             </w:t>
      </w:r>
      <w:r>
        <w:rPr>
          <w:rFonts w:eastAsia="宋体"/>
          <w:color w:val="auto"/>
          <w:sz w:val="24"/>
          <w:szCs w:val="24"/>
          <w:highlight w:val="none"/>
        </w:rPr>
        <w:t>（在下划线上如实填写：有或没有）</w:t>
      </w:r>
      <w:r>
        <w:rPr>
          <w:rFonts w:hint="eastAsia" w:eastAsia="宋体"/>
          <w:color w:val="auto"/>
          <w:sz w:val="24"/>
          <w:szCs w:val="24"/>
          <w:highlight w:val="none"/>
        </w:rPr>
        <w:t>违反法律、行政法规规定的其他条件</w:t>
      </w:r>
      <w:r>
        <w:rPr>
          <w:rFonts w:eastAsia="宋体"/>
          <w:color w:val="auto"/>
          <w:sz w:val="24"/>
          <w:szCs w:val="24"/>
          <w:highlight w:val="none"/>
        </w:rPr>
        <w:t>。</w:t>
      </w:r>
    </w:p>
    <w:p w14:paraId="290B0F6C">
      <w:pPr>
        <w:spacing w:line="440" w:lineRule="exact"/>
        <w:ind w:firstLine="482" w:firstLineChars="200"/>
        <w:rPr>
          <w:rFonts w:eastAsia="宋体"/>
          <w:b/>
          <w:bCs/>
          <w:color w:val="auto"/>
          <w:sz w:val="24"/>
          <w:szCs w:val="24"/>
          <w:highlight w:val="none"/>
        </w:rPr>
      </w:pPr>
      <w:r>
        <w:rPr>
          <w:rFonts w:hint="eastAsia" w:eastAsia="宋体"/>
          <w:b/>
          <w:bCs/>
          <w:color w:val="auto"/>
          <w:sz w:val="24"/>
          <w:szCs w:val="24"/>
          <w:highlight w:val="none"/>
        </w:rPr>
        <w:t>注：如为事业单位须说明其公益类型（未明确的提供说明）。</w:t>
      </w:r>
    </w:p>
    <w:p w14:paraId="31B0831A">
      <w:pPr>
        <w:spacing w:before="240" w:beforeLines="100"/>
        <w:ind w:firstLine="482"/>
        <w:rPr>
          <w:rFonts w:eastAsia="宋体"/>
          <w:color w:val="auto"/>
          <w:sz w:val="24"/>
          <w:szCs w:val="24"/>
          <w:highlight w:val="none"/>
        </w:rPr>
      </w:pPr>
    </w:p>
    <w:p w14:paraId="017520D1">
      <w:pPr>
        <w:spacing w:before="240" w:beforeLines="100"/>
        <w:ind w:firstLine="482"/>
        <w:rPr>
          <w:rFonts w:eastAsia="宋体"/>
          <w:color w:val="auto"/>
          <w:sz w:val="24"/>
          <w:szCs w:val="24"/>
          <w:highlight w:val="none"/>
        </w:rPr>
      </w:pPr>
    </w:p>
    <w:p w14:paraId="72FED4E6">
      <w:pPr>
        <w:spacing w:before="240" w:beforeLines="100"/>
        <w:ind w:firstLine="482"/>
        <w:rPr>
          <w:rFonts w:eastAsia="宋体"/>
          <w:color w:val="auto"/>
          <w:sz w:val="24"/>
          <w:szCs w:val="24"/>
          <w:highlight w:val="none"/>
          <w:u w:val="single"/>
        </w:rPr>
      </w:pPr>
      <w:r>
        <w:rPr>
          <w:rFonts w:eastAsia="宋体"/>
          <w:color w:val="auto"/>
          <w:sz w:val="24"/>
          <w:szCs w:val="24"/>
          <w:highlight w:val="none"/>
        </w:rPr>
        <w:t>供应商</w:t>
      </w:r>
      <w:r>
        <w:rPr>
          <w:rFonts w:hint="eastAsia" w:eastAsia="宋体"/>
          <w:color w:val="auto"/>
          <w:sz w:val="24"/>
          <w:szCs w:val="24"/>
          <w:highlight w:val="none"/>
        </w:rPr>
        <w:t>（加盖CA电子公章）</w:t>
      </w:r>
      <w:r>
        <w:rPr>
          <w:rFonts w:eastAsia="宋体"/>
          <w:color w:val="auto"/>
          <w:sz w:val="24"/>
          <w:szCs w:val="24"/>
          <w:highlight w:val="none"/>
        </w:rPr>
        <w:t>：</w:t>
      </w:r>
    </w:p>
    <w:p w14:paraId="7A399E15">
      <w:pPr>
        <w:ind w:firstLine="480"/>
        <w:rPr>
          <w:rFonts w:eastAsia="宋体"/>
          <w:color w:val="auto"/>
          <w:sz w:val="24"/>
          <w:szCs w:val="24"/>
          <w:highlight w:val="none"/>
        </w:rPr>
      </w:pPr>
      <w:r>
        <w:rPr>
          <w:rFonts w:eastAsia="宋体"/>
          <w:color w:val="auto"/>
          <w:sz w:val="24"/>
          <w:szCs w:val="24"/>
          <w:highlight w:val="none"/>
        </w:rPr>
        <w:t>日   期  ：        年      月      日</w:t>
      </w:r>
    </w:p>
    <w:p w14:paraId="266B9644">
      <w:pPr>
        <w:adjustRightInd w:val="0"/>
        <w:snapToGrid w:val="0"/>
        <w:ind w:firstLine="482" w:firstLineChars="200"/>
        <w:rPr>
          <w:rFonts w:eastAsia="宋体"/>
          <w:b/>
          <w:color w:val="auto"/>
          <w:sz w:val="24"/>
          <w:szCs w:val="24"/>
          <w:highlight w:val="none"/>
          <w:u w:val="single"/>
        </w:rPr>
      </w:pPr>
    </w:p>
    <w:p w14:paraId="4252EBEF">
      <w:pPr>
        <w:adjustRightInd w:val="0"/>
        <w:snapToGrid w:val="0"/>
        <w:ind w:firstLine="482" w:firstLineChars="200"/>
        <w:rPr>
          <w:rFonts w:eastAsia="宋体"/>
          <w:b/>
          <w:color w:val="auto"/>
          <w:sz w:val="24"/>
          <w:szCs w:val="24"/>
          <w:highlight w:val="none"/>
          <w:u w:val="single"/>
        </w:rPr>
      </w:pPr>
    </w:p>
    <w:p w14:paraId="63FDEE64">
      <w:pPr>
        <w:adjustRightInd w:val="0"/>
        <w:snapToGrid w:val="0"/>
        <w:ind w:firstLine="482" w:firstLineChars="200"/>
        <w:rPr>
          <w:rFonts w:eastAsia="宋体"/>
          <w:b/>
          <w:color w:val="auto"/>
          <w:sz w:val="24"/>
          <w:szCs w:val="24"/>
          <w:highlight w:val="none"/>
          <w:u w:val="single"/>
        </w:rPr>
      </w:pPr>
    </w:p>
    <w:p w14:paraId="19AC8916">
      <w:pPr>
        <w:adjustRightInd w:val="0"/>
        <w:snapToGrid w:val="0"/>
        <w:ind w:firstLine="482" w:firstLineChars="200"/>
        <w:rPr>
          <w:rFonts w:eastAsia="宋体"/>
          <w:b/>
          <w:color w:val="auto"/>
          <w:sz w:val="24"/>
          <w:szCs w:val="24"/>
          <w:highlight w:val="none"/>
          <w:u w:val="single"/>
        </w:rPr>
      </w:pPr>
    </w:p>
    <w:p w14:paraId="70826065">
      <w:pPr>
        <w:adjustRightInd w:val="0"/>
        <w:snapToGrid w:val="0"/>
        <w:ind w:firstLine="482" w:firstLineChars="200"/>
        <w:rPr>
          <w:rFonts w:eastAsia="宋体"/>
          <w:b/>
          <w:color w:val="auto"/>
          <w:sz w:val="24"/>
          <w:szCs w:val="24"/>
          <w:highlight w:val="none"/>
          <w:u w:val="single"/>
        </w:rPr>
      </w:pPr>
    </w:p>
    <w:p w14:paraId="0CC59C67">
      <w:pPr>
        <w:adjustRightInd w:val="0"/>
        <w:snapToGrid w:val="0"/>
        <w:ind w:firstLine="482" w:firstLineChars="200"/>
        <w:rPr>
          <w:rFonts w:eastAsia="宋体"/>
          <w:b/>
          <w:color w:val="auto"/>
          <w:sz w:val="24"/>
          <w:szCs w:val="24"/>
          <w:highlight w:val="none"/>
          <w:u w:val="single"/>
        </w:rPr>
      </w:pPr>
    </w:p>
    <w:p w14:paraId="37062244">
      <w:pPr>
        <w:adjustRightInd w:val="0"/>
        <w:snapToGrid w:val="0"/>
        <w:rPr>
          <w:rFonts w:eastAsia="宋体"/>
          <w:color w:val="auto"/>
          <w:sz w:val="28"/>
          <w:highlight w:val="none"/>
        </w:rPr>
      </w:pPr>
      <w:r>
        <w:rPr>
          <w:rFonts w:hint="eastAsia" w:eastAsia="宋体"/>
          <w:color w:val="auto"/>
          <w:sz w:val="24"/>
          <w:szCs w:val="24"/>
          <w:highlight w:val="none"/>
        </w:rPr>
        <w:fldChar w:fldCharType="begin"/>
      </w:r>
      <w:r>
        <w:rPr>
          <w:rFonts w:hint="eastAsia" w:eastAsia="宋体"/>
          <w:color w:val="auto"/>
          <w:sz w:val="24"/>
          <w:szCs w:val="24"/>
          <w:highlight w:val="none"/>
        </w:rPr>
        <w:instrText xml:space="preserve"> = 4 \* ROMAN \* MERGEFORMAT </w:instrText>
      </w:r>
      <w:r>
        <w:rPr>
          <w:rFonts w:hint="eastAsia" w:eastAsia="宋体"/>
          <w:color w:val="auto"/>
          <w:sz w:val="24"/>
          <w:szCs w:val="24"/>
          <w:highlight w:val="none"/>
        </w:rPr>
        <w:fldChar w:fldCharType="separate"/>
      </w:r>
      <w:r>
        <w:rPr>
          <w:rFonts w:hint="eastAsia" w:eastAsia="宋体"/>
          <w:color w:val="auto"/>
          <w:sz w:val="24"/>
          <w:szCs w:val="24"/>
          <w:highlight w:val="none"/>
        </w:rPr>
        <w:t>IV</w:t>
      </w:r>
      <w:r>
        <w:rPr>
          <w:rFonts w:hint="eastAsia" w:eastAsia="宋体"/>
          <w:color w:val="auto"/>
          <w:sz w:val="24"/>
          <w:szCs w:val="24"/>
          <w:highlight w:val="none"/>
        </w:rPr>
        <w:fldChar w:fldCharType="end"/>
      </w:r>
      <w:r>
        <w:rPr>
          <w:rFonts w:hint="eastAsia" w:eastAsia="宋体"/>
          <w:color w:val="auto"/>
          <w:sz w:val="24"/>
          <w:szCs w:val="24"/>
          <w:highlight w:val="none"/>
        </w:rPr>
        <w:t>.拒绝下述供应商参加本次采购活动：（1）供应商单位负责人为同一人或者存在直接控股、管理关系的不同供应商，不得参加同一合同项下的政府采购活动（2）凡为采购项目提供整体设计、规范编制或者项目管理、检测等服务的供应商，不得再参加本项目的采购活动</w:t>
      </w:r>
      <w:r>
        <w:rPr>
          <w:rFonts w:eastAsia="宋体"/>
          <w:color w:val="auto"/>
          <w:sz w:val="24"/>
          <w:szCs w:val="24"/>
          <w:highlight w:val="none"/>
        </w:rPr>
        <w:t>格式</w:t>
      </w:r>
    </w:p>
    <w:p w14:paraId="5E4548CB">
      <w:pPr>
        <w:spacing w:line="440" w:lineRule="exact"/>
        <w:jc w:val="center"/>
        <w:rPr>
          <w:rFonts w:eastAsia="宋体"/>
          <w:color w:val="auto"/>
          <w:sz w:val="24"/>
          <w:szCs w:val="24"/>
          <w:highlight w:val="none"/>
        </w:rPr>
      </w:pPr>
    </w:p>
    <w:p w14:paraId="7F55C04C">
      <w:pPr>
        <w:spacing w:line="440" w:lineRule="exact"/>
        <w:jc w:val="center"/>
        <w:rPr>
          <w:rFonts w:eastAsia="宋体"/>
          <w:b/>
          <w:bCs/>
          <w:color w:val="auto"/>
          <w:sz w:val="24"/>
          <w:szCs w:val="24"/>
          <w:highlight w:val="none"/>
        </w:rPr>
      </w:pPr>
      <w:r>
        <w:rPr>
          <w:rFonts w:hint="eastAsia" w:eastAsia="宋体"/>
          <w:b/>
          <w:bCs/>
          <w:color w:val="auto"/>
          <w:sz w:val="24"/>
          <w:szCs w:val="24"/>
          <w:highlight w:val="none"/>
        </w:rPr>
        <w:t>拒绝下述供应商参加本次采购活动</w:t>
      </w:r>
      <w:r>
        <w:rPr>
          <w:rFonts w:eastAsia="宋体"/>
          <w:b/>
          <w:bCs/>
          <w:color w:val="auto"/>
          <w:sz w:val="24"/>
          <w:szCs w:val="24"/>
          <w:highlight w:val="none"/>
        </w:rPr>
        <w:t>声明</w:t>
      </w:r>
    </w:p>
    <w:p w14:paraId="6EE65F92">
      <w:pPr>
        <w:spacing w:line="440" w:lineRule="exact"/>
        <w:rPr>
          <w:rFonts w:eastAsia="宋体"/>
          <w:color w:val="auto"/>
          <w:sz w:val="24"/>
          <w:szCs w:val="24"/>
          <w:highlight w:val="none"/>
        </w:rPr>
      </w:pPr>
      <w:r>
        <w:rPr>
          <w:rFonts w:eastAsia="宋体"/>
          <w:color w:val="auto"/>
          <w:sz w:val="24"/>
          <w:szCs w:val="24"/>
          <w:highlight w:val="none"/>
        </w:rPr>
        <w:t xml:space="preserve">致： </w:t>
      </w:r>
    </w:p>
    <w:p w14:paraId="23DACC8F">
      <w:pPr>
        <w:spacing w:line="440" w:lineRule="exact"/>
        <w:ind w:firstLine="480" w:firstLineChars="200"/>
        <w:rPr>
          <w:rFonts w:eastAsia="宋体"/>
          <w:color w:val="auto"/>
          <w:sz w:val="24"/>
          <w:szCs w:val="24"/>
          <w:highlight w:val="none"/>
        </w:rPr>
      </w:pPr>
      <w:r>
        <w:rPr>
          <w:rFonts w:eastAsia="宋体"/>
          <w:color w:val="auto"/>
          <w:sz w:val="24"/>
          <w:szCs w:val="24"/>
          <w:highlight w:val="none"/>
        </w:rPr>
        <w:t>本人</w:t>
      </w:r>
      <w:r>
        <w:rPr>
          <w:rFonts w:eastAsia="宋体"/>
          <w:color w:val="auto"/>
          <w:sz w:val="24"/>
          <w:szCs w:val="24"/>
          <w:highlight w:val="none"/>
          <w:u w:val="single"/>
        </w:rPr>
        <w:t xml:space="preserve">   （姓名） </w:t>
      </w:r>
      <w:r>
        <w:rPr>
          <w:rFonts w:eastAsia="宋体"/>
          <w:color w:val="auto"/>
          <w:sz w:val="24"/>
          <w:szCs w:val="24"/>
          <w:highlight w:val="none"/>
        </w:rPr>
        <w:t xml:space="preserve"> 以</w:t>
      </w:r>
      <w:r>
        <w:rPr>
          <w:rFonts w:eastAsia="宋体"/>
          <w:color w:val="auto"/>
          <w:sz w:val="24"/>
          <w:szCs w:val="24"/>
          <w:highlight w:val="none"/>
          <w:u w:val="single"/>
        </w:rPr>
        <w:t xml:space="preserve">           （供应商全称）           </w:t>
      </w:r>
      <w:r>
        <w:rPr>
          <w:rFonts w:eastAsia="宋体"/>
          <w:color w:val="auto"/>
          <w:sz w:val="24"/>
          <w:szCs w:val="24"/>
          <w:highlight w:val="none"/>
        </w:rPr>
        <w:t>法定代表人或其授权的代理人的资格，郑重承诺：</w:t>
      </w:r>
    </w:p>
    <w:p w14:paraId="2A46BB0B">
      <w:pPr>
        <w:spacing w:line="440" w:lineRule="exact"/>
        <w:ind w:firstLine="480" w:firstLineChars="200"/>
        <w:rPr>
          <w:rFonts w:eastAsia="宋体"/>
          <w:color w:val="auto"/>
          <w:sz w:val="24"/>
          <w:szCs w:val="24"/>
          <w:highlight w:val="none"/>
        </w:rPr>
      </w:pPr>
      <w:r>
        <w:rPr>
          <w:rFonts w:eastAsia="宋体"/>
          <w:color w:val="auto"/>
          <w:sz w:val="24"/>
          <w:szCs w:val="24"/>
          <w:highlight w:val="none"/>
        </w:rPr>
        <w:t>本单位此次参加</w:t>
      </w:r>
      <w:r>
        <w:rPr>
          <w:rFonts w:eastAsia="宋体"/>
          <w:color w:val="auto"/>
          <w:sz w:val="24"/>
          <w:szCs w:val="24"/>
          <w:highlight w:val="none"/>
          <w:u w:val="single"/>
        </w:rPr>
        <w:t xml:space="preserve">  </w:t>
      </w:r>
      <w:r>
        <w:rPr>
          <w:rFonts w:hint="eastAsia" w:eastAsia="宋体"/>
          <w:color w:val="auto"/>
          <w:sz w:val="24"/>
          <w:szCs w:val="24"/>
          <w:highlight w:val="none"/>
          <w:u w:val="single"/>
        </w:rPr>
        <w:t>（项目名称）</w:t>
      </w:r>
      <w:r>
        <w:rPr>
          <w:rFonts w:eastAsia="宋体"/>
          <w:color w:val="auto"/>
          <w:sz w:val="24"/>
          <w:szCs w:val="24"/>
          <w:highlight w:val="none"/>
          <w:u w:val="single"/>
        </w:rPr>
        <w:t xml:space="preserve">   </w:t>
      </w:r>
      <w:r>
        <w:rPr>
          <w:rFonts w:hint="eastAsia" w:eastAsia="宋体"/>
          <w:color w:val="auto"/>
          <w:sz w:val="24"/>
          <w:szCs w:val="24"/>
          <w:highlight w:val="none"/>
        </w:rPr>
        <w:t>采购</w:t>
      </w:r>
      <w:r>
        <w:rPr>
          <w:rFonts w:eastAsia="宋体"/>
          <w:color w:val="auto"/>
          <w:sz w:val="24"/>
          <w:szCs w:val="24"/>
          <w:highlight w:val="none"/>
        </w:rPr>
        <w:t>活动中，</w:t>
      </w:r>
      <w:r>
        <w:rPr>
          <w:rFonts w:eastAsia="宋体"/>
          <w:color w:val="auto"/>
          <w:sz w:val="24"/>
          <w:szCs w:val="24"/>
          <w:highlight w:val="none"/>
          <w:u w:val="single"/>
        </w:rPr>
        <w:t xml:space="preserve">            </w:t>
      </w:r>
      <w:r>
        <w:rPr>
          <w:rFonts w:eastAsia="宋体"/>
          <w:color w:val="auto"/>
          <w:sz w:val="24"/>
          <w:szCs w:val="24"/>
          <w:highlight w:val="none"/>
        </w:rPr>
        <w:t>（在下划线上如实填写：有或没有）</w:t>
      </w:r>
      <w:r>
        <w:rPr>
          <w:rFonts w:hint="eastAsia" w:eastAsia="宋体"/>
          <w:color w:val="auto"/>
          <w:sz w:val="24"/>
          <w:szCs w:val="24"/>
          <w:highlight w:val="none"/>
        </w:rPr>
        <w:t>存在（1）供应商单位负责人为同一人或者存在直接控股、管理关系的不同供应商，不得参加同一合同项下的政府采购活动（2）凡为采购项目提供整体设计、规范编制或者项目管理、检测等服务的情况</w:t>
      </w:r>
      <w:r>
        <w:rPr>
          <w:rFonts w:eastAsia="宋体"/>
          <w:color w:val="auto"/>
          <w:sz w:val="24"/>
          <w:szCs w:val="24"/>
          <w:highlight w:val="none"/>
        </w:rPr>
        <w:t>。</w:t>
      </w:r>
    </w:p>
    <w:p w14:paraId="1D1A9E4E">
      <w:pPr>
        <w:spacing w:before="240" w:beforeLines="100"/>
        <w:ind w:firstLine="482"/>
        <w:rPr>
          <w:rFonts w:eastAsia="宋体"/>
          <w:color w:val="auto"/>
          <w:sz w:val="24"/>
          <w:szCs w:val="24"/>
          <w:highlight w:val="none"/>
          <w:u w:val="single"/>
        </w:rPr>
      </w:pPr>
      <w:r>
        <w:rPr>
          <w:rFonts w:eastAsia="宋体"/>
          <w:color w:val="auto"/>
          <w:sz w:val="24"/>
          <w:szCs w:val="24"/>
          <w:highlight w:val="none"/>
        </w:rPr>
        <w:t>供应商</w:t>
      </w:r>
      <w:r>
        <w:rPr>
          <w:rFonts w:hint="eastAsia" w:eastAsia="宋体"/>
          <w:color w:val="auto"/>
          <w:sz w:val="24"/>
          <w:szCs w:val="24"/>
          <w:highlight w:val="none"/>
        </w:rPr>
        <w:t>（加盖CA电子公章）</w:t>
      </w:r>
      <w:r>
        <w:rPr>
          <w:rFonts w:eastAsia="宋体"/>
          <w:color w:val="auto"/>
          <w:sz w:val="24"/>
          <w:szCs w:val="24"/>
          <w:highlight w:val="none"/>
        </w:rPr>
        <w:t>：</w:t>
      </w:r>
    </w:p>
    <w:p w14:paraId="4242DD73">
      <w:pPr>
        <w:adjustRightInd w:val="0"/>
        <w:snapToGrid w:val="0"/>
        <w:ind w:firstLine="480" w:firstLineChars="200"/>
        <w:rPr>
          <w:rFonts w:eastAsia="宋体"/>
          <w:b/>
          <w:color w:val="auto"/>
          <w:sz w:val="24"/>
          <w:szCs w:val="24"/>
          <w:highlight w:val="none"/>
          <w:u w:val="single"/>
        </w:rPr>
      </w:pPr>
      <w:r>
        <w:rPr>
          <w:rFonts w:eastAsia="宋体"/>
          <w:color w:val="auto"/>
          <w:sz w:val="24"/>
          <w:szCs w:val="24"/>
          <w:highlight w:val="none"/>
        </w:rPr>
        <w:t>日   期  ：        年      月      日</w:t>
      </w:r>
    </w:p>
    <w:p w14:paraId="36124146">
      <w:pPr>
        <w:adjustRightInd w:val="0"/>
        <w:snapToGrid w:val="0"/>
        <w:rPr>
          <w:rFonts w:eastAsia="宋体"/>
          <w:b/>
          <w:color w:val="auto"/>
          <w:sz w:val="24"/>
          <w:szCs w:val="24"/>
          <w:highlight w:val="none"/>
          <w:u w:val="single"/>
        </w:rPr>
      </w:pPr>
    </w:p>
    <w:p w14:paraId="62AA5F27">
      <w:pPr>
        <w:adjustRightInd w:val="0"/>
        <w:snapToGrid w:val="0"/>
        <w:ind w:firstLine="482" w:firstLineChars="200"/>
        <w:rPr>
          <w:rFonts w:eastAsia="宋体"/>
          <w:b/>
          <w:color w:val="auto"/>
          <w:sz w:val="24"/>
          <w:szCs w:val="24"/>
          <w:highlight w:val="none"/>
          <w:u w:val="single"/>
        </w:rPr>
      </w:pPr>
    </w:p>
    <w:p w14:paraId="464DDF42">
      <w:pPr>
        <w:adjustRightInd w:val="0"/>
        <w:snapToGrid w:val="0"/>
        <w:ind w:firstLine="482" w:firstLineChars="200"/>
        <w:rPr>
          <w:rFonts w:eastAsia="宋体"/>
          <w:color w:val="auto"/>
          <w:sz w:val="24"/>
          <w:szCs w:val="24"/>
          <w:highlight w:val="none"/>
        </w:rPr>
      </w:pPr>
      <w:r>
        <w:rPr>
          <w:rFonts w:eastAsia="宋体"/>
          <w:b/>
          <w:color w:val="auto"/>
          <w:sz w:val="24"/>
          <w:szCs w:val="24"/>
          <w:highlight w:val="none"/>
          <w:u w:val="single"/>
        </w:rPr>
        <w:t>（其他材料自行编辑并逐一提供</w:t>
      </w:r>
      <w:r>
        <w:rPr>
          <w:rFonts w:hint="eastAsia" w:eastAsia="宋体"/>
          <w:b/>
          <w:color w:val="auto"/>
          <w:sz w:val="24"/>
          <w:szCs w:val="24"/>
          <w:highlight w:val="none"/>
          <w:u w:val="single"/>
        </w:rPr>
        <w:t>，未提供格式的自拟</w:t>
      </w:r>
      <w:r>
        <w:rPr>
          <w:rFonts w:eastAsia="宋体"/>
          <w:b/>
          <w:color w:val="auto"/>
          <w:sz w:val="24"/>
          <w:szCs w:val="24"/>
          <w:highlight w:val="none"/>
          <w:u w:val="single"/>
        </w:rPr>
        <w:t>）</w:t>
      </w:r>
    </w:p>
    <w:p w14:paraId="1768860F">
      <w:pPr>
        <w:adjustRightInd w:val="0"/>
        <w:snapToGrid w:val="0"/>
        <w:rPr>
          <w:rFonts w:eastAsia="宋体"/>
          <w:bCs/>
          <w:color w:val="auto"/>
          <w:spacing w:val="20"/>
          <w:sz w:val="24"/>
          <w:szCs w:val="24"/>
          <w:highlight w:val="none"/>
        </w:rPr>
      </w:pPr>
      <w:r>
        <w:rPr>
          <w:rFonts w:eastAsia="宋体"/>
          <w:color w:val="auto"/>
          <w:sz w:val="24"/>
          <w:szCs w:val="24"/>
          <w:highlight w:val="none"/>
          <w:u w:val="single"/>
        </w:rPr>
        <w:br w:type="page"/>
      </w:r>
      <w:r>
        <w:rPr>
          <w:rFonts w:eastAsia="宋体"/>
          <w:bCs/>
          <w:color w:val="auto"/>
          <w:spacing w:val="20"/>
          <w:sz w:val="24"/>
          <w:szCs w:val="24"/>
          <w:highlight w:val="none"/>
        </w:rPr>
        <w:t>格式7：拟分包情况表及委托承担意向合同；（如有）</w:t>
      </w:r>
    </w:p>
    <w:p w14:paraId="06724287">
      <w:pPr>
        <w:adjustRightInd w:val="0"/>
        <w:snapToGrid w:val="0"/>
        <w:jc w:val="center"/>
        <w:rPr>
          <w:rFonts w:eastAsia="宋体"/>
          <w:bCs/>
          <w:color w:val="auto"/>
          <w:spacing w:val="20"/>
          <w:sz w:val="24"/>
          <w:szCs w:val="24"/>
          <w:highlight w:val="none"/>
        </w:rPr>
      </w:pPr>
    </w:p>
    <w:p w14:paraId="0A2927E7">
      <w:pPr>
        <w:adjustRightInd w:val="0"/>
        <w:snapToGrid w:val="0"/>
        <w:jc w:val="center"/>
        <w:rPr>
          <w:rFonts w:eastAsia="宋体"/>
          <w:color w:val="auto"/>
          <w:sz w:val="24"/>
          <w:szCs w:val="24"/>
          <w:highlight w:val="none"/>
          <w:u w:val="single"/>
        </w:rPr>
      </w:pPr>
      <w:r>
        <w:rPr>
          <w:rFonts w:eastAsia="宋体"/>
          <w:bCs/>
          <w:color w:val="auto"/>
          <w:spacing w:val="20"/>
          <w:sz w:val="24"/>
          <w:szCs w:val="24"/>
          <w:highlight w:val="none"/>
        </w:rPr>
        <w:t>（1）拟分包情况表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3"/>
        <w:gridCol w:w="2471"/>
        <w:gridCol w:w="2297"/>
        <w:gridCol w:w="2176"/>
      </w:tblGrid>
      <w:tr w14:paraId="5FBC0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417A4410">
            <w:pPr>
              <w:spacing w:before="100" w:beforeAutospacing="1" w:after="100" w:afterAutospacing="1"/>
              <w:jc w:val="center"/>
              <w:rPr>
                <w:rFonts w:eastAsia="宋体"/>
                <w:bCs/>
                <w:color w:val="auto"/>
                <w:szCs w:val="21"/>
                <w:highlight w:val="none"/>
              </w:rPr>
            </w:pPr>
            <w:r>
              <w:rPr>
                <w:rFonts w:eastAsia="宋体"/>
                <w:bCs/>
                <w:color w:val="auto"/>
                <w:szCs w:val="21"/>
                <w:highlight w:val="none"/>
              </w:rPr>
              <w:t>分包人名称</w:t>
            </w:r>
          </w:p>
        </w:tc>
        <w:tc>
          <w:tcPr>
            <w:tcW w:w="2471" w:type="dxa"/>
            <w:vAlign w:val="center"/>
          </w:tcPr>
          <w:p w14:paraId="4B8D8FF0">
            <w:pPr>
              <w:spacing w:before="100" w:beforeAutospacing="1" w:after="100" w:afterAutospacing="1"/>
              <w:jc w:val="center"/>
              <w:rPr>
                <w:rFonts w:eastAsia="宋体"/>
                <w:bCs/>
                <w:color w:val="auto"/>
                <w:szCs w:val="21"/>
                <w:highlight w:val="none"/>
              </w:rPr>
            </w:pPr>
          </w:p>
        </w:tc>
        <w:tc>
          <w:tcPr>
            <w:tcW w:w="2297" w:type="dxa"/>
            <w:vAlign w:val="center"/>
          </w:tcPr>
          <w:p w14:paraId="09B1FDA4">
            <w:pPr>
              <w:spacing w:before="100" w:beforeAutospacing="1" w:after="100" w:afterAutospacing="1"/>
              <w:jc w:val="center"/>
              <w:rPr>
                <w:rFonts w:eastAsia="宋体"/>
                <w:bCs/>
                <w:color w:val="auto"/>
                <w:szCs w:val="21"/>
                <w:highlight w:val="none"/>
              </w:rPr>
            </w:pPr>
            <w:r>
              <w:rPr>
                <w:rFonts w:eastAsia="宋体"/>
                <w:bCs/>
                <w:color w:val="auto"/>
                <w:szCs w:val="21"/>
                <w:highlight w:val="none"/>
              </w:rPr>
              <w:t>地 址</w:t>
            </w:r>
          </w:p>
        </w:tc>
        <w:tc>
          <w:tcPr>
            <w:tcW w:w="2176" w:type="dxa"/>
            <w:vAlign w:val="center"/>
          </w:tcPr>
          <w:p w14:paraId="4FEAC86C">
            <w:pPr>
              <w:spacing w:before="100" w:beforeAutospacing="1" w:after="100" w:afterAutospacing="1"/>
              <w:jc w:val="center"/>
              <w:rPr>
                <w:rFonts w:eastAsia="宋体"/>
                <w:bCs/>
                <w:color w:val="auto"/>
                <w:szCs w:val="21"/>
                <w:highlight w:val="none"/>
              </w:rPr>
            </w:pPr>
          </w:p>
        </w:tc>
      </w:tr>
      <w:tr w14:paraId="2C6BE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6E41EE95">
            <w:pPr>
              <w:spacing w:before="100" w:beforeAutospacing="1" w:after="100" w:afterAutospacing="1"/>
              <w:jc w:val="center"/>
              <w:rPr>
                <w:rFonts w:eastAsia="宋体"/>
                <w:bCs/>
                <w:color w:val="auto"/>
                <w:szCs w:val="21"/>
                <w:highlight w:val="none"/>
              </w:rPr>
            </w:pPr>
            <w:r>
              <w:rPr>
                <w:rFonts w:eastAsia="宋体"/>
                <w:bCs/>
                <w:color w:val="auto"/>
                <w:szCs w:val="21"/>
                <w:highlight w:val="none"/>
              </w:rPr>
              <w:t>法定代表人</w:t>
            </w:r>
          </w:p>
        </w:tc>
        <w:tc>
          <w:tcPr>
            <w:tcW w:w="2471" w:type="dxa"/>
            <w:vAlign w:val="center"/>
          </w:tcPr>
          <w:p w14:paraId="5BB37D56">
            <w:pPr>
              <w:spacing w:before="100" w:beforeAutospacing="1" w:after="100" w:afterAutospacing="1"/>
              <w:jc w:val="center"/>
              <w:rPr>
                <w:rFonts w:eastAsia="宋体"/>
                <w:bCs/>
                <w:color w:val="auto"/>
                <w:szCs w:val="21"/>
                <w:highlight w:val="none"/>
              </w:rPr>
            </w:pPr>
          </w:p>
        </w:tc>
        <w:tc>
          <w:tcPr>
            <w:tcW w:w="2297" w:type="dxa"/>
            <w:vAlign w:val="center"/>
          </w:tcPr>
          <w:p w14:paraId="265ACDF8">
            <w:pPr>
              <w:spacing w:before="100" w:beforeAutospacing="1" w:after="100" w:afterAutospacing="1"/>
              <w:jc w:val="center"/>
              <w:rPr>
                <w:rFonts w:eastAsia="宋体"/>
                <w:bCs/>
                <w:color w:val="auto"/>
                <w:szCs w:val="21"/>
                <w:highlight w:val="none"/>
              </w:rPr>
            </w:pPr>
            <w:r>
              <w:rPr>
                <w:rFonts w:eastAsia="宋体"/>
                <w:bCs/>
                <w:color w:val="auto"/>
                <w:szCs w:val="21"/>
                <w:highlight w:val="none"/>
              </w:rPr>
              <w:t>电话</w:t>
            </w:r>
          </w:p>
        </w:tc>
        <w:tc>
          <w:tcPr>
            <w:tcW w:w="2176" w:type="dxa"/>
            <w:vAlign w:val="center"/>
          </w:tcPr>
          <w:p w14:paraId="1AC0A7C4">
            <w:pPr>
              <w:spacing w:before="100" w:beforeAutospacing="1" w:after="100" w:afterAutospacing="1"/>
              <w:jc w:val="center"/>
              <w:rPr>
                <w:rFonts w:eastAsia="宋体"/>
                <w:bCs/>
                <w:color w:val="auto"/>
                <w:szCs w:val="21"/>
                <w:highlight w:val="none"/>
              </w:rPr>
            </w:pPr>
          </w:p>
        </w:tc>
      </w:tr>
      <w:tr w14:paraId="4FA6B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3ABD8D7E">
            <w:pPr>
              <w:spacing w:before="100" w:beforeAutospacing="1" w:after="100" w:afterAutospacing="1"/>
              <w:jc w:val="center"/>
              <w:rPr>
                <w:rFonts w:eastAsia="宋体"/>
                <w:bCs/>
                <w:color w:val="auto"/>
                <w:szCs w:val="21"/>
                <w:highlight w:val="none"/>
              </w:rPr>
            </w:pPr>
            <w:r>
              <w:rPr>
                <w:rFonts w:eastAsia="宋体"/>
                <w:bCs/>
                <w:color w:val="auto"/>
                <w:szCs w:val="21"/>
                <w:highlight w:val="none"/>
              </w:rPr>
              <w:t>营业执照号码</w:t>
            </w:r>
          </w:p>
        </w:tc>
        <w:tc>
          <w:tcPr>
            <w:tcW w:w="2471" w:type="dxa"/>
            <w:vAlign w:val="center"/>
          </w:tcPr>
          <w:p w14:paraId="27598564">
            <w:pPr>
              <w:spacing w:before="100" w:beforeAutospacing="1" w:after="100" w:afterAutospacing="1"/>
              <w:jc w:val="center"/>
              <w:rPr>
                <w:rFonts w:eastAsia="宋体"/>
                <w:bCs/>
                <w:color w:val="auto"/>
                <w:szCs w:val="21"/>
                <w:highlight w:val="none"/>
              </w:rPr>
            </w:pPr>
          </w:p>
        </w:tc>
        <w:tc>
          <w:tcPr>
            <w:tcW w:w="2297" w:type="dxa"/>
            <w:vAlign w:val="center"/>
          </w:tcPr>
          <w:p w14:paraId="37B25E6D">
            <w:pPr>
              <w:spacing w:before="100" w:beforeAutospacing="1" w:after="100" w:afterAutospacing="1"/>
              <w:jc w:val="center"/>
              <w:rPr>
                <w:rFonts w:eastAsia="宋体"/>
                <w:bCs/>
                <w:color w:val="auto"/>
                <w:szCs w:val="21"/>
                <w:highlight w:val="none"/>
              </w:rPr>
            </w:pPr>
            <w:r>
              <w:rPr>
                <w:rFonts w:eastAsia="宋体"/>
                <w:bCs/>
                <w:color w:val="auto"/>
                <w:szCs w:val="21"/>
                <w:highlight w:val="none"/>
              </w:rPr>
              <w:t>资质等级（如有）</w:t>
            </w:r>
          </w:p>
        </w:tc>
        <w:tc>
          <w:tcPr>
            <w:tcW w:w="2176" w:type="dxa"/>
            <w:vAlign w:val="center"/>
          </w:tcPr>
          <w:p w14:paraId="675F06D9">
            <w:pPr>
              <w:spacing w:before="100" w:beforeAutospacing="1" w:after="100" w:afterAutospacing="1"/>
              <w:jc w:val="center"/>
              <w:rPr>
                <w:rFonts w:eastAsia="宋体"/>
                <w:bCs/>
                <w:color w:val="auto"/>
                <w:szCs w:val="21"/>
                <w:highlight w:val="none"/>
              </w:rPr>
            </w:pPr>
          </w:p>
        </w:tc>
      </w:tr>
      <w:tr w14:paraId="4F49E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0C406D20">
            <w:pPr>
              <w:spacing w:before="100" w:beforeAutospacing="1" w:after="100" w:afterAutospacing="1"/>
              <w:jc w:val="center"/>
              <w:rPr>
                <w:rFonts w:eastAsia="宋体"/>
                <w:bCs/>
                <w:color w:val="auto"/>
                <w:szCs w:val="21"/>
                <w:highlight w:val="none"/>
              </w:rPr>
            </w:pPr>
            <w:r>
              <w:rPr>
                <w:rFonts w:eastAsia="宋体"/>
                <w:bCs/>
                <w:color w:val="auto"/>
                <w:szCs w:val="21"/>
                <w:highlight w:val="none"/>
              </w:rPr>
              <w:t>拟分包的项目</w:t>
            </w:r>
          </w:p>
        </w:tc>
        <w:tc>
          <w:tcPr>
            <w:tcW w:w="2471" w:type="dxa"/>
            <w:vAlign w:val="center"/>
          </w:tcPr>
          <w:p w14:paraId="70041A65">
            <w:pPr>
              <w:spacing w:before="100" w:beforeAutospacing="1" w:after="100" w:afterAutospacing="1"/>
              <w:jc w:val="center"/>
              <w:rPr>
                <w:rFonts w:eastAsia="宋体"/>
                <w:bCs/>
                <w:color w:val="auto"/>
                <w:szCs w:val="21"/>
                <w:highlight w:val="none"/>
              </w:rPr>
            </w:pPr>
            <w:r>
              <w:rPr>
                <w:rFonts w:eastAsia="宋体"/>
                <w:bCs/>
                <w:color w:val="auto"/>
                <w:szCs w:val="21"/>
                <w:highlight w:val="none"/>
              </w:rPr>
              <w:t>主 要 内 容</w:t>
            </w:r>
          </w:p>
        </w:tc>
        <w:tc>
          <w:tcPr>
            <w:tcW w:w="2297" w:type="dxa"/>
            <w:vAlign w:val="center"/>
          </w:tcPr>
          <w:p w14:paraId="035BEE3A">
            <w:pPr>
              <w:spacing w:before="100" w:beforeAutospacing="1" w:after="100" w:afterAutospacing="1"/>
              <w:jc w:val="center"/>
              <w:rPr>
                <w:rFonts w:eastAsia="宋体"/>
                <w:bCs/>
                <w:color w:val="auto"/>
                <w:szCs w:val="21"/>
                <w:highlight w:val="none"/>
              </w:rPr>
            </w:pPr>
            <w:r>
              <w:rPr>
                <w:rFonts w:eastAsia="宋体"/>
                <w:bCs/>
                <w:color w:val="auto"/>
                <w:szCs w:val="21"/>
                <w:highlight w:val="none"/>
              </w:rPr>
              <w:t>预计金额（万元）</w:t>
            </w:r>
          </w:p>
        </w:tc>
        <w:tc>
          <w:tcPr>
            <w:tcW w:w="2176" w:type="dxa"/>
            <w:vAlign w:val="center"/>
          </w:tcPr>
          <w:p w14:paraId="76680C39">
            <w:pPr>
              <w:spacing w:before="100" w:beforeAutospacing="1" w:after="100" w:afterAutospacing="1"/>
              <w:jc w:val="center"/>
              <w:rPr>
                <w:rFonts w:eastAsia="宋体"/>
                <w:bCs/>
                <w:color w:val="auto"/>
                <w:szCs w:val="21"/>
                <w:highlight w:val="none"/>
              </w:rPr>
            </w:pPr>
            <w:r>
              <w:rPr>
                <w:rFonts w:eastAsia="宋体"/>
                <w:bCs/>
                <w:color w:val="auto"/>
                <w:szCs w:val="21"/>
                <w:highlight w:val="none"/>
              </w:rPr>
              <w:t>已经做过的类似项目</w:t>
            </w:r>
          </w:p>
        </w:tc>
      </w:tr>
      <w:tr w14:paraId="72400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5ADC93B0">
            <w:pPr>
              <w:spacing w:before="100" w:beforeAutospacing="1" w:after="100" w:afterAutospacing="1"/>
              <w:jc w:val="center"/>
              <w:rPr>
                <w:rFonts w:eastAsia="宋体"/>
                <w:bCs/>
                <w:color w:val="auto"/>
                <w:szCs w:val="21"/>
                <w:highlight w:val="none"/>
              </w:rPr>
            </w:pPr>
          </w:p>
        </w:tc>
        <w:tc>
          <w:tcPr>
            <w:tcW w:w="2471" w:type="dxa"/>
            <w:vAlign w:val="center"/>
          </w:tcPr>
          <w:p w14:paraId="2A1BE94A">
            <w:pPr>
              <w:spacing w:before="100" w:beforeAutospacing="1" w:after="100" w:afterAutospacing="1"/>
              <w:jc w:val="center"/>
              <w:rPr>
                <w:rFonts w:eastAsia="宋体"/>
                <w:bCs/>
                <w:color w:val="auto"/>
                <w:szCs w:val="21"/>
                <w:highlight w:val="none"/>
              </w:rPr>
            </w:pPr>
          </w:p>
        </w:tc>
        <w:tc>
          <w:tcPr>
            <w:tcW w:w="2297" w:type="dxa"/>
            <w:vAlign w:val="center"/>
          </w:tcPr>
          <w:p w14:paraId="1854CFBB">
            <w:pPr>
              <w:spacing w:before="100" w:beforeAutospacing="1" w:after="100" w:afterAutospacing="1"/>
              <w:jc w:val="center"/>
              <w:rPr>
                <w:rFonts w:eastAsia="宋体"/>
                <w:bCs/>
                <w:color w:val="auto"/>
                <w:szCs w:val="21"/>
                <w:highlight w:val="none"/>
              </w:rPr>
            </w:pPr>
          </w:p>
        </w:tc>
        <w:tc>
          <w:tcPr>
            <w:tcW w:w="2176" w:type="dxa"/>
            <w:vMerge w:val="restart"/>
            <w:vAlign w:val="center"/>
          </w:tcPr>
          <w:p w14:paraId="6C6B442F">
            <w:pPr>
              <w:spacing w:before="100" w:beforeAutospacing="1" w:after="100" w:afterAutospacing="1"/>
              <w:jc w:val="center"/>
              <w:rPr>
                <w:rFonts w:eastAsia="宋体"/>
                <w:bCs/>
                <w:color w:val="auto"/>
                <w:szCs w:val="21"/>
                <w:highlight w:val="none"/>
              </w:rPr>
            </w:pPr>
          </w:p>
        </w:tc>
      </w:tr>
      <w:tr w14:paraId="2CEB8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5A328C6B">
            <w:pPr>
              <w:spacing w:before="100" w:beforeAutospacing="1" w:after="100" w:afterAutospacing="1"/>
              <w:jc w:val="center"/>
              <w:rPr>
                <w:rFonts w:eastAsia="宋体"/>
                <w:bCs/>
                <w:color w:val="auto"/>
                <w:szCs w:val="21"/>
                <w:highlight w:val="none"/>
              </w:rPr>
            </w:pPr>
          </w:p>
        </w:tc>
        <w:tc>
          <w:tcPr>
            <w:tcW w:w="2471" w:type="dxa"/>
            <w:vAlign w:val="center"/>
          </w:tcPr>
          <w:p w14:paraId="1259A2F3">
            <w:pPr>
              <w:spacing w:before="100" w:beforeAutospacing="1" w:after="100" w:afterAutospacing="1"/>
              <w:jc w:val="center"/>
              <w:rPr>
                <w:rFonts w:eastAsia="宋体"/>
                <w:bCs/>
                <w:color w:val="auto"/>
                <w:szCs w:val="21"/>
                <w:highlight w:val="none"/>
              </w:rPr>
            </w:pPr>
          </w:p>
        </w:tc>
        <w:tc>
          <w:tcPr>
            <w:tcW w:w="2297" w:type="dxa"/>
            <w:vAlign w:val="center"/>
          </w:tcPr>
          <w:p w14:paraId="3679F074">
            <w:pPr>
              <w:spacing w:before="100" w:beforeAutospacing="1" w:after="100" w:afterAutospacing="1"/>
              <w:jc w:val="center"/>
              <w:rPr>
                <w:rFonts w:eastAsia="宋体"/>
                <w:bCs/>
                <w:color w:val="auto"/>
                <w:szCs w:val="21"/>
                <w:highlight w:val="none"/>
              </w:rPr>
            </w:pPr>
          </w:p>
        </w:tc>
        <w:tc>
          <w:tcPr>
            <w:tcW w:w="2176" w:type="dxa"/>
            <w:vMerge w:val="continue"/>
            <w:vAlign w:val="center"/>
          </w:tcPr>
          <w:p w14:paraId="5C0B4C4C">
            <w:pPr>
              <w:spacing w:before="100" w:beforeAutospacing="1" w:after="100" w:afterAutospacing="1" w:line="440" w:lineRule="exact"/>
              <w:jc w:val="center"/>
              <w:rPr>
                <w:rFonts w:eastAsia="宋体"/>
                <w:color w:val="auto"/>
                <w:szCs w:val="21"/>
                <w:highlight w:val="none"/>
              </w:rPr>
            </w:pPr>
          </w:p>
        </w:tc>
      </w:tr>
      <w:tr w14:paraId="1D886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2BA655E3">
            <w:pPr>
              <w:spacing w:before="100" w:beforeAutospacing="1" w:after="100" w:afterAutospacing="1"/>
              <w:jc w:val="center"/>
              <w:rPr>
                <w:rFonts w:eastAsia="宋体"/>
                <w:bCs/>
                <w:color w:val="auto"/>
                <w:szCs w:val="21"/>
                <w:highlight w:val="none"/>
              </w:rPr>
            </w:pPr>
          </w:p>
        </w:tc>
        <w:tc>
          <w:tcPr>
            <w:tcW w:w="2471" w:type="dxa"/>
            <w:vAlign w:val="center"/>
          </w:tcPr>
          <w:p w14:paraId="2C793642">
            <w:pPr>
              <w:spacing w:before="100" w:beforeAutospacing="1" w:after="100" w:afterAutospacing="1"/>
              <w:jc w:val="center"/>
              <w:rPr>
                <w:rFonts w:eastAsia="宋体"/>
                <w:bCs/>
                <w:color w:val="auto"/>
                <w:szCs w:val="21"/>
                <w:highlight w:val="none"/>
              </w:rPr>
            </w:pPr>
          </w:p>
        </w:tc>
        <w:tc>
          <w:tcPr>
            <w:tcW w:w="2297" w:type="dxa"/>
            <w:vAlign w:val="center"/>
          </w:tcPr>
          <w:p w14:paraId="22D725DF">
            <w:pPr>
              <w:spacing w:before="100" w:beforeAutospacing="1" w:after="100" w:afterAutospacing="1"/>
              <w:jc w:val="center"/>
              <w:rPr>
                <w:rFonts w:eastAsia="宋体"/>
                <w:bCs/>
                <w:color w:val="auto"/>
                <w:szCs w:val="21"/>
                <w:highlight w:val="none"/>
              </w:rPr>
            </w:pPr>
          </w:p>
        </w:tc>
        <w:tc>
          <w:tcPr>
            <w:tcW w:w="2176" w:type="dxa"/>
            <w:vMerge w:val="continue"/>
            <w:vAlign w:val="center"/>
          </w:tcPr>
          <w:p w14:paraId="13A863D5">
            <w:pPr>
              <w:spacing w:before="100" w:beforeAutospacing="1" w:after="100" w:afterAutospacing="1" w:line="440" w:lineRule="exact"/>
              <w:jc w:val="center"/>
              <w:rPr>
                <w:rFonts w:eastAsia="宋体"/>
                <w:color w:val="auto"/>
                <w:szCs w:val="21"/>
                <w:highlight w:val="none"/>
              </w:rPr>
            </w:pPr>
          </w:p>
        </w:tc>
      </w:tr>
      <w:tr w14:paraId="225D0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4C00B1F2">
            <w:pPr>
              <w:spacing w:before="100" w:beforeAutospacing="1" w:after="100" w:afterAutospacing="1"/>
              <w:jc w:val="center"/>
              <w:rPr>
                <w:rFonts w:eastAsia="宋体"/>
                <w:bCs/>
                <w:color w:val="auto"/>
                <w:szCs w:val="21"/>
                <w:highlight w:val="none"/>
              </w:rPr>
            </w:pPr>
          </w:p>
        </w:tc>
        <w:tc>
          <w:tcPr>
            <w:tcW w:w="2471" w:type="dxa"/>
            <w:vAlign w:val="center"/>
          </w:tcPr>
          <w:p w14:paraId="5E5CE0D0">
            <w:pPr>
              <w:spacing w:before="100" w:beforeAutospacing="1" w:after="100" w:afterAutospacing="1"/>
              <w:jc w:val="center"/>
              <w:rPr>
                <w:rFonts w:eastAsia="宋体"/>
                <w:bCs/>
                <w:color w:val="auto"/>
                <w:szCs w:val="21"/>
                <w:highlight w:val="none"/>
              </w:rPr>
            </w:pPr>
          </w:p>
        </w:tc>
        <w:tc>
          <w:tcPr>
            <w:tcW w:w="2297" w:type="dxa"/>
            <w:vAlign w:val="center"/>
          </w:tcPr>
          <w:p w14:paraId="7AC6F81E">
            <w:pPr>
              <w:spacing w:before="100" w:beforeAutospacing="1" w:after="100" w:afterAutospacing="1"/>
              <w:jc w:val="center"/>
              <w:rPr>
                <w:rFonts w:eastAsia="宋体"/>
                <w:bCs/>
                <w:color w:val="auto"/>
                <w:szCs w:val="21"/>
                <w:highlight w:val="none"/>
              </w:rPr>
            </w:pPr>
          </w:p>
        </w:tc>
        <w:tc>
          <w:tcPr>
            <w:tcW w:w="2176" w:type="dxa"/>
            <w:vMerge w:val="continue"/>
            <w:vAlign w:val="center"/>
          </w:tcPr>
          <w:p w14:paraId="1D730A8A">
            <w:pPr>
              <w:spacing w:before="100" w:beforeAutospacing="1" w:after="100" w:afterAutospacing="1" w:line="440" w:lineRule="exact"/>
              <w:jc w:val="center"/>
              <w:rPr>
                <w:rFonts w:eastAsia="宋体"/>
                <w:color w:val="auto"/>
                <w:szCs w:val="21"/>
                <w:highlight w:val="none"/>
              </w:rPr>
            </w:pPr>
          </w:p>
        </w:tc>
      </w:tr>
      <w:tr w14:paraId="56AD2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216AD0BB">
            <w:pPr>
              <w:spacing w:before="100" w:beforeAutospacing="1" w:after="100" w:afterAutospacing="1"/>
              <w:jc w:val="center"/>
              <w:rPr>
                <w:rFonts w:eastAsia="宋体"/>
                <w:bCs/>
                <w:color w:val="auto"/>
                <w:szCs w:val="21"/>
                <w:highlight w:val="none"/>
              </w:rPr>
            </w:pPr>
          </w:p>
        </w:tc>
        <w:tc>
          <w:tcPr>
            <w:tcW w:w="2471" w:type="dxa"/>
            <w:vAlign w:val="center"/>
          </w:tcPr>
          <w:p w14:paraId="6237D410">
            <w:pPr>
              <w:spacing w:before="100" w:beforeAutospacing="1" w:after="100" w:afterAutospacing="1"/>
              <w:jc w:val="center"/>
              <w:rPr>
                <w:rFonts w:eastAsia="宋体"/>
                <w:bCs/>
                <w:color w:val="auto"/>
                <w:szCs w:val="21"/>
                <w:highlight w:val="none"/>
              </w:rPr>
            </w:pPr>
          </w:p>
        </w:tc>
        <w:tc>
          <w:tcPr>
            <w:tcW w:w="2297" w:type="dxa"/>
            <w:vAlign w:val="center"/>
          </w:tcPr>
          <w:p w14:paraId="1A12184D">
            <w:pPr>
              <w:spacing w:before="100" w:beforeAutospacing="1" w:after="100" w:afterAutospacing="1"/>
              <w:jc w:val="center"/>
              <w:rPr>
                <w:rFonts w:eastAsia="宋体"/>
                <w:bCs/>
                <w:color w:val="auto"/>
                <w:szCs w:val="21"/>
                <w:highlight w:val="none"/>
              </w:rPr>
            </w:pPr>
          </w:p>
        </w:tc>
        <w:tc>
          <w:tcPr>
            <w:tcW w:w="2176" w:type="dxa"/>
            <w:vMerge w:val="continue"/>
            <w:vAlign w:val="center"/>
          </w:tcPr>
          <w:p w14:paraId="285B3602">
            <w:pPr>
              <w:spacing w:before="100" w:beforeAutospacing="1" w:after="100" w:afterAutospacing="1" w:line="440" w:lineRule="exact"/>
              <w:jc w:val="center"/>
              <w:rPr>
                <w:rFonts w:eastAsia="宋体"/>
                <w:color w:val="auto"/>
                <w:szCs w:val="21"/>
                <w:highlight w:val="none"/>
              </w:rPr>
            </w:pPr>
          </w:p>
        </w:tc>
      </w:tr>
      <w:tr w14:paraId="2E7F7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698BE7DD">
            <w:pPr>
              <w:spacing w:before="100" w:beforeAutospacing="1" w:after="100" w:afterAutospacing="1"/>
              <w:jc w:val="center"/>
              <w:rPr>
                <w:rFonts w:eastAsia="宋体"/>
                <w:bCs/>
                <w:color w:val="auto"/>
                <w:szCs w:val="21"/>
                <w:highlight w:val="none"/>
              </w:rPr>
            </w:pPr>
          </w:p>
        </w:tc>
        <w:tc>
          <w:tcPr>
            <w:tcW w:w="2471" w:type="dxa"/>
            <w:vAlign w:val="center"/>
          </w:tcPr>
          <w:p w14:paraId="1DD314D8">
            <w:pPr>
              <w:spacing w:before="100" w:beforeAutospacing="1" w:after="100" w:afterAutospacing="1"/>
              <w:jc w:val="center"/>
              <w:rPr>
                <w:rFonts w:eastAsia="宋体"/>
                <w:bCs/>
                <w:color w:val="auto"/>
                <w:szCs w:val="21"/>
                <w:highlight w:val="none"/>
              </w:rPr>
            </w:pPr>
          </w:p>
        </w:tc>
        <w:tc>
          <w:tcPr>
            <w:tcW w:w="2297" w:type="dxa"/>
            <w:vAlign w:val="center"/>
          </w:tcPr>
          <w:p w14:paraId="59FE4B04">
            <w:pPr>
              <w:spacing w:before="100" w:beforeAutospacing="1" w:after="100" w:afterAutospacing="1"/>
              <w:jc w:val="center"/>
              <w:rPr>
                <w:rFonts w:eastAsia="宋体"/>
                <w:bCs/>
                <w:color w:val="auto"/>
                <w:szCs w:val="21"/>
                <w:highlight w:val="none"/>
              </w:rPr>
            </w:pPr>
          </w:p>
        </w:tc>
        <w:tc>
          <w:tcPr>
            <w:tcW w:w="2176" w:type="dxa"/>
            <w:vMerge w:val="continue"/>
            <w:vAlign w:val="center"/>
          </w:tcPr>
          <w:p w14:paraId="3A0B26E1">
            <w:pPr>
              <w:spacing w:before="100" w:beforeAutospacing="1" w:after="100" w:afterAutospacing="1" w:line="440" w:lineRule="exact"/>
              <w:jc w:val="center"/>
              <w:rPr>
                <w:rFonts w:eastAsia="宋体"/>
                <w:color w:val="auto"/>
                <w:szCs w:val="21"/>
                <w:highlight w:val="none"/>
              </w:rPr>
            </w:pPr>
          </w:p>
        </w:tc>
      </w:tr>
    </w:tbl>
    <w:p w14:paraId="7C690005">
      <w:pPr>
        <w:spacing w:line="440" w:lineRule="exact"/>
        <w:jc w:val="left"/>
        <w:rPr>
          <w:rFonts w:eastAsia="宋体"/>
          <w:color w:val="auto"/>
          <w:sz w:val="27"/>
          <w:szCs w:val="27"/>
          <w:highlight w:val="none"/>
        </w:rPr>
      </w:pPr>
      <w:r>
        <w:rPr>
          <w:rFonts w:eastAsia="宋体"/>
          <w:color w:val="auto"/>
          <w:szCs w:val="27"/>
          <w:highlight w:val="none"/>
        </w:rPr>
        <w:t>备注：每项分包单独填写。主体工程项目不允许分包。</w:t>
      </w:r>
    </w:p>
    <w:p w14:paraId="0E000329">
      <w:pPr>
        <w:adjustRightInd w:val="0"/>
        <w:snapToGrid w:val="0"/>
        <w:ind w:firstLine="560" w:firstLineChars="200"/>
        <w:jc w:val="center"/>
        <w:rPr>
          <w:rFonts w:eastAsia="宋体"/>
          <w:bCs/>
          <w:color w:val="auto"/>
          <w:spacing w:val="20"/>
          <w:sz w:val="24"/>
          <w:szCs w:val="24"/>
          <w:highlight w:val="none"/>
        </w:rPr>
      </w:pPr>
      <w:r>
        <w:rPr>
          <w:rFonts w:eastAsia="宋体"/>
          <w:bCs/>
          <w:color w:val="auto"/>
          <w:spacing w:val="20"/>
          <w:sz w:val="24"/>
          <w:szCs w:val="24"/>
          <w:highlight w:val="none"/>
        </w:rPr>
        <w:br w:type="page"/>
      </w:r>
      <w:r>
        <w:rPr>
          <w:rFonts w:eastAsia="宋体"/>
          <w:bCs/>
          <w:color w:val="auto"/>
          <w:spacing w:val="20"/>
          <w:sz w:val="24"/>
          <w:szCs w:val="24"/>
          <w:highlight w:val="none"/>
        </w:rPr>
        <w:t>（2）委托承担意向合同（如有）</w:t>
      </w:r>
    </w:p>
    <w:p w14:paraId="4623D286">
      <w:pPr>
        <w:adjustRightInd w:val="0"/>
        <w:snapToGrid w:val="0"/>
        <w:rPr>
          <w:rFonts w:eastAsia="宋体"/>
          <w:bCs/>
          <w:color w:val="auto"/>
          <w:spacing w:val="20"/>
          <w:sz w:val="24"/>
          <w:szCs w:val="24"/>
          <w:highlight w:val="none"/>
        </w:rPr>
      </w:pPr>
      <w:r>
        <w:rPr>
          <w:rFonts w:eastAsia="宋体"/>
          <w:bCs/>
          <w:color w:val="auto"/>
          <w:spacing w:val="20"/>
          <w:sz w:val="24"/>
          <w:szCs w:val="24"/>
          <w:highlight w:val="none"/>
        </w:rPr>
        <w:br w:type="page"/>
      </w:r>
      <w:r>
        <w:rPr>
          <w:rFonts w:eastAsia="宋体"/>
          <w:color w:val="auto"/>
          <w:sz w:val="24"/>
          <w:szCs w:val="24"/>
          <w:highlight w:val="none"/>
        </w:rPr>
        <w:t>格 式</w:t>
      </w:r>
      <w:r>
        <w:rPr>
          <w:rFonts w:hint="eastAsia" w:eastAsia="宋体"/>
          <w:color w:val="auto"/>
          <w:sz w:val="24"/>
          <w:szCs w:val="24"/>
          <w:highlight w:val="none"/>
          <w:lang w:val="en-US" w:eastAsia="zh-CN"/>
        </w:rPr>
        <w:t>7</w:t>
      </w:r>
      <w:r>
        <w:rPr>
          <w:rFonts w:eastAsia="宋体"/>
          <w:color w:val="auto"/>
          <w:sz w:val="24"/>
          <w:szCs w:val="24"/>
          <w:highlight w:val="none"/>
        </w:rPr>
        <w:t>：</w:t>
      </w:r>
      <w:r>
        <w:rPr>
          <w:rFonts w:eastAsia="宋体"/>
          <w:bCs/>
          <w:color w:val="auto"/>
          <w:spacing w:val="20"/>
          <w:sz w:val="24"/>
          <w:szCs w:val="24"/>
          <w:highlight w:val="none"/>
        </w:rPr>
        <w:t>供应商情况表</w:t>
      </w:r>
    </w:p>
    <w:p w14:paraId="74A935CB">
      <w:pPr>
        <w:autoSpaceDE w:val="0"/>
        <w:autoSpaceDN w:val="0"/>
        <w:adjustRightInd w:val="0"/>
        <w:snapToGrid w:val="0"/>
        <w:jc w:val="center"/>
        <w:rPr>
          <w:rFonts w:eastAsia="宋体"/>
          <w:bCs/>
          <w:color w:val="auto"/>
          <w:sz w:val="24"/>
          <w:szCs w:val="24"/>
          <w:highlight w:val="none"/>
          <w:lang w:val="zh-CN"/>
        </w:rPr>
      </w:pPr>
      <w:r>
        <w:rPr>
          <w:rFonts w:eastAsia="宋体"/>
          <w:bCs/>
          <w:color w:val="auto"/>
          <w:sz w:val="24"/>
          <w:szCs w:val="24"/>
          <w:highlight w:val="none"/>
          <w:lang w:val="zh-CN"/>
        </w:rPr>
        <w:t>供应商情况表</w:t>
      </w:r>
    </w:p>
    <w:p w14:paraId="2A614838">
      <w:pPr>
        <w:autoSpaceDE w:val="0"/>
        <w:autoSpaceDN w:val="0"/>
        <w:adjustRightInd w:val="0"/>
        <w:snapToGrid w:val="0"/>
        <w:ind w:firstLine="472" w:firstLineChars="196"/>
        <w:rPr>
          <w:rFonts w:eastAsia="宋体"/>
          <w:color w:val="auto"/>
          <w:sz w:val="24"/>
          <w:szCs w:val="24"/>
          <w:highlight w:val="none"/>
          <w:lang w:val="zh-CN"/>
        </w:rPr>
      </w:pPr>
      <w:r>
        <w:rPr>
          <w:rFonts w:eastAsia="宋体"/>
          <w:b/>
          <w:bCs/>
          <w:color w:val="auto"/>
          <w:sz w:val="24"/>
          <w:szCs w:val="24"/>
          <w:highlight w:val="none"/>
          <w:lang w:val="zh-CN"/>
        </w:rPr>
        <w:t>供应商</w:t>
      </w:r>
      <w:r>
        <w:rPr>
          <w:rFonts w:eastAsia="宋体"/>
          <w:color w:val="auto"/>
          <w:kern w:val="0"/>
          <w:sz w:val="24"/>
          <w:szCs w:val="24"/>
          <w:highlight w:val="none"/>
          <w:lang w:val="zh-CN"/>
        </w:rPr>
        <w:t>：（公章）</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3"/>
        <w:gridCol w:w="1470"/>
        <w:gridCol w:w="1287"/>
        <w:gridCol w:w="28"/>
        <w:gridCol w:w="1625"/>
        <w:gridCol w:w="1260"/>
        <w:gridCol w:w="1785"/>
      </w:tblGrid>
      <w:tr w14:paraId="7915D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473" w:type="dxa"/>
            <w:tcBorders>
              <w:top w:val="single" w:color="auto" w:sz="12" w:space="0"/>
              <w:left w:val="single" w:color="auto" w:sz="12" w:space="0"/>
            </w:tcBorders>
            <w:vAlign w:val="center"/>
          </w:tcPr>
          <w:p w14:paraId="31660C5B">
            <w:pPr>
              <w:adjustRightInd w:val="0"/>
              <w:snapToGrid w:val="0"/>
              <w:jc w:val="center"/>
              <w:rPr>
                <w:rFonts w:eastAsia="宋体"/>
                <w:color w:val="auto"/>
                <w:sz w:val="24"/>
                <w:szCs w:val="24"/>
                <w:highlight w:val="none"/>
              </w:rPr>
            </w:pPr>
            <w:r>
              <w:rPr>
                <w:rFonts w:eastAsia="宋体"/>
                <w:color w:val="auto"/>
                <w:sz w:val="24"/>
                <w:szCs w:val="24"/>
                <w:highlight w:val="none"/>
              </w:rPr>
              <w:t>单位名称</w:t>
            </w:r>
          </w:p>
        </w:tc>
        <w:tc>
          <w:tcPr>
            <w:tcW w:w="4410" w:type="dxa"/>
            <w:gridSpan w:val="4"/>
            <w:tcBorders>
              <w:top w:val="single" w:color="auto" w:sz="12" w:space="0"/>
            </w:tcBorders>
            <w:vAlign w:val="center"/>
          </w:tcPr>
          <w:p w14:paraId="6EE01EE6">
            <w:pPr>
              <w:adjustRightInd w:val="0"/>
              <w:snapToGrid w:val="0"/>
              <w:jc w:val="center"/>
              <w:rPr>
                <w:rFonts w:eastAsia="宋体"/>
                <w:color w:val="auto"/>
                <w:sz w:val="24"/>
                <w:szCs w:val="24"/>
                <w:highlight w:val="none"/>
              </w:rPr>
            </w:pPr>
          </w:p>
        </w:tc>
        <w:tc>
          <w:tcPr>
            <w:tcW w:w="1260" w:type="dxa"/>
            <w:tcBorders>
              <w:top w:val="single" w:color="auto" w:sz="12" w:space="0"/>
            </w:tcBorders>
            <w:vAlign w:val="center"/>
          </w:tcPr>
          <w:p w14:paraId="0C2EE10F">
            <w:pPr>
              <w:adjustRightInd w:val="0"/>
              <w:snapToGrid w:val="0"/>
              <w:jc w:val="center"/>
              <w:rPr>
                <w:rFonts w:eastAsia="宋体"/>
                <w:color w:val="auto"/>
                <w:sz w:val="24"/>
                <w:szCs w:val="24"/>
                <w:highlight w:val="none"/>
              </w:rPr>
            </w:pPr>
            <w:r>
              <w:rPr>
                <w:rFonts w:eastAsia="宋体"/>
                <w:color w:val="auto"/>
                <w:sz w:val="24"/>
                <w:szCs w:val="24"/>
                <w:highlight w:val="none"/>
              </w:rPr>
              <w:t>单位性质</w:t>
            </w:r>
          </w:p>
        </w:tc>
        <w:tc>
          <w:tcPr>
            <w:tcW w:w="1785" w:type="dxa"/>
            <w:tcBorders>
              <w:top w:val="single" w:color="auto" w:sz="12" w:space="0"/>
              <w:right w:val="single" w:color="auto" w:sz="12" w:space="0"/>
            </w:tcBorders>
            <w:vAlign w:val="center"/>
          </w:tcPr>
          <w:p w14:paraId="2598FF66">
            <w:pPr>
              <w:adjustRightInd w:val="0"/>
              <w:snapToGrid w:val="0"/>
              <w:jc w:val="center"/>
              <w:rPr>
                <w:rFonts w:eastAsia="宋体"/>
                <w:color w:val="auto"/>
                <w:sz w:val="24"/>
                <w:szCs w:val="24"/>
                <w:highlight w:val="none"/>
              </w:rPr>
            </w:pPr>
          </w:p>
        </w:tc>
      </w:tr>
      <w:tr w14:paraId="0968D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473" w:type="dxa"/>
            <w:tcBorders>
              <w:left w:val="single" w:color="auto" w:sz="12" w:space="0"/>
              <w:right w:val="single" w:color="auto" w:sz="4" w:space="0"/>
            </w:tcBorders>
            <w:vAlign w:val="center"/>
          </w:tcPr>
          <w:p w14:paraId="225B05DE">
            <w:pPr>
              <w:adjustRightInd w:val="0"/>
              <w:snapToGrid w:val="0"/>
              <w:jc w:val="center"/>
              <w:rPr>
                <w:rFonts w:eastAsia="宋体"/>
                <w:color w:val="auto"/>
                <w:sz w:val="24"/>
                <w:szCs w:val="24"/>
                <w:highlight w:val="none"/>
              </w:rPr>
            </w:pPr>
            <w:r>
              <w:rPr>
                <w:rFonts w:eastAsia="宋体"/>
                <w:color w:val="auto"/>
                <w:sz w:val="24"/>
                <w:szCs w:val="24"/>
                <w:highlight w:val="none"/>
              </w:rPr>
              <w:t>注册时间</w:t>
            </w:r>
          </w:p>
        </w:tc>
        <w:tc>
          <w:tcPr>
            <w:tcW w:w="1470" w:type="dxa"/>
            <w:tcBorders>
              <w:left w:val="single" w:color="auto" w:sz="4" w:space="0"/>
              <w:right w:val="single" w:color="auto" w:sz="4" w:space="0"/>
            </w:tcBorders>
            <w:vAlign w:val="center"/>
          </w:tcPr>
          <w:p w14:paraId="5036C74B">
            <w:pPr>
              <w:adjustRightInd w:val="0"/>
              <w:snapToGrid w:val="0"/>
              <w:jc w:val="center"/>
              <w:rPr>
                <w:rFonts w:eastAsia="宋体"/>
                <w:color w:val="auto"/>
                <w:sz w:val="24"/>
                <w:szCs w:val="24"/>
                <w:highlight w:val="none"/>
              </w:rPr>
            </w:pPr>
          </w:p>
        </w:tc>
        <w:tc>
          <w:tcPr>
            <w:tcW w:w="1315" w:type="dxa"/>
            <w:gridSpan w:val="2"/>
            <w:tcBorders>
              <w:left w:val="single" w:color="auto" w:sz="4" w:space="0"/>
              <w:right w:val="single" w:color="auto" w:sz="4" w:space="0"/>
            </w:tcBorders>
            <w:vAlign w:val="center"/>
          </w:tcPr>
          <w:p w14:paraId="6C0919AD">
            <w:pPr>
              <w:adjustRightInd w:val="0"/>
              <w:snapToGrid w:val="0"/>
              <w:jc w:val="center"/>
              <w:rPr>
                <w:rFonts w:eastAsia="宋体"/>
                <w:color w:val="auto"/>
                <w:sz w:val="24"/>
                <w:szCs w:val="24"/>
                <w:highlight w:val="none"/>
              </w:rPr>
            </w:pPr>
            <w:r>
              <w:rPr>
                <w:rFonts w:eastAsia="宋体"/>
                <w:color w:val="auto"/>
                <w:sz w:val="24"/>
                <w:szCs w:val="24"/>
                <w:highlight w:val="none"/>
              </w:rPr>
              <w:t>注册资金</w:t>
            </w:r>
          </w:p>
        </w:tc>
        <w:tc>
          <w:tcPr>
            <w:tcW w:w="1625" w:type="dxa"/>
            <w:tcBorders>
              <w:left w:val="single" w:color="auto" w:sz="4" w:space="0"/>
              <w:right w:val="single" w:color="auto" w:sz="4" w:space="0"/>
            </w:tcBorders>
            <w:vAlign w:val="center"/>
          </w:tcPr>
          <w:p w14:paraId="0AA706CA">
            <w:pPr>
              <w:adjustRightInd w:val="0"/>
              <w:snapToGrid w:val="0"/>
              <w:jc w:val="center"/>
              <w:rPr>
                <w:rFonts w:eastAsia="宋体"/>
                <w:color w:val="auto"/>
                <w:sz w:val="24"/>
                <w:szCs w:val="24"/>
                <w:highlight w:val="none"/>
              </w:rPr>
            </w:pPr>
          </w:p>
        </w:tc>
        <w:tc>
          <w:tcPr>
            <w:tcW w:w="1260" w:type="dxa"/>
            <w:tcBorders>
              <w:left w:val="single" w:color="auto" w:sz="4" w:space="0"/>
              <w:right w:val="single" w:color="auto" w:sz="4" w:space="0"/>
            </w:tcBorders>
            <w:vAlign w:val="center"/>
          </w:tcPr>
          <w:p w14:paraId="5CB7C07A">
            <w:pPr>
              <w:adjustRightInd w:val="0"/>
              <w:snapToGrid w:val="0"/>
              <w:jc w:val="center"/>
              <w:rPr>
                <w:rFonts w:eastAsia="宋体"/>
                <w:color w:val="auto"/>
                <w:sz w:val="24"/>
                <w:szCs w:val="24"/>
                <w:highlight w:val="none"/>
              </w:rPr>
            </w:pPr>
            <w:r>
              <w:rPr>
                <w:rFonts w:eastAsia="宋体"/>
                <w:color w:val="auto"/>
                <w:sz w:val="24"/>
                <w:szCs w:val="24"/>
                <w:highlight w:val="none"/>
              </w:rPr>
              <w:t>法人代表</w:t>
            </w:r>
          </w:p>
        </w:tc>
        <w:tc>
          <w:tcPr>
            <w:tcW w:w="1785" w:type="dxa"/>
            <w:tcBorders>
              <w:left w:val="single" w:color="auto" w:sz="4" w:space="0"/>
              <w:right w:val="single" w:color="auto" w:sz="12" w:space="0"/>
            </w:tcBorders>
            <w:vAlign w:val="center"/>
          </w:tcPr>
          <w:p w14:paraId="2587B480">
            <w:pPr>
              <w:adjustRightInd w:val="0"/>
              <w:snapToGrid w:val="0"/>
              <w:jc w:val="center"/>
              <w:rPr>
                <w:rFonts w:eastAsia="宋体"/>
                <w:color w:val="auto"/>
                <w:sz w:val="24"/>
                <w:szCs w:val="24"/>
                <w:highlight w:val="none"/>
              </w:rPr>
            </w:pPr>
          </w:p>
        </w:tc>
      </w:tr>
      <w:tr w14:paraId="58EF9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7" w:hRule="atLeast"/>
          <w:jc w:val="center"/>
        </w:trPr>
        <w:tc>
          <w:tcPr>
            <w:tcW w:w="1473" w:type="dxa"/>
            <w:tcBorders>
              <w:left w:val="single" w:color="auto" w:sz="12" w:space="0"/>
            </w:tcBorders>
            <w:vAlign w:val="center"/>
          </w:tcPr>
          <w:p w14:paraId="1748D329">
            <w:pPr>
              <w:adjustRightInd w:val="0"/>
              <w:snapToGrid w:val="0"/>
              <w:jc w:val="center"/>
              <w:rPr>
                <w:rFonts w:eastAsia="宋体"/>
                <w:color w:val="auto"/>
                <w:sz w:val="24"/>
                <w:szCs w:val="24"/>
                <w:highlight w:val="none"/>
              </w:rPr>
            </w:pPr>
            <w:r>
              <w:rPr>
                <w:rFonts w:eastAsia="宋体"/>
                <w:color w:val="auto"/>
                <w:sz w:val="24"/>
                <w:szCs w:val="24"/>
                <w:highlight w:val="none"/>
              </w:rPr>
              <w:t>地址</w:t>
            </w:r>
          </w:p>
        </w:tc>
        <w:tc>
          <w:tcPr>
            <w:tcW w:w="4410" w:type="dxa"/>
            <w:gridSpan w:val="4"/>
            <w:vAlign w:val="center"/>
          </w:tcPr>
          <w:p w14:paraId="55974366">
            <w:pPr>
              <w:adjustRightInd w:val="0"/>
              <w:snapToGrid w:val="0"/>
              <w:jc w:val="center"/>
              <w:rPr>
                <w:rFonts w:eastAsia="宋体"/>
                <w:color w:val="auto"/>
                <w:sz w:val="24"/>
                <w:szCs w:val="24"/>
                <w:highlight w:val="none"/>
              </w:rPr>
            </w:pPr>
          </w:p>
        </w:tc>
        <w:tc>
          <w:tcPr>
            <w:tcW w:w="1260" w:type="dxa"/>
            <w:vAlign w:val="center"/>
          </w:tcPr>
          <w:p w14:paraId="7863F421">
            <w:pPr>
              <w:adjustRightInd w:val="0"/>
              <w:snapToGrid w:val="0"/>
              <w:jc w:val="center"/>
              <w:rPr>
                <w:rFonts w:eastAsia="宋体"/>
                <w:color w:val="auto"/>
                <w:sz w:val="24"/>
                <w:szCs w:val="24"/>
                <w:highlight w:val="none"/>
              </w:rPr>
            </w:pPr>
            <w:r>
              <w:rPr>
                <w:rFonts w:eastAsia="宋体"/>
                <w:color w:val="auto"/>
                <w:sz w:val="24"/>
                <w:szCs w:val="24"/>
                <w:highlight w:val="none"/>
              </w:rPr>
              <w:t>邮政编码</w:t>
            </w:r>
          </w:p>
        </w:tc>
        <w:tc>
          <w:tcPr>
            <w:tcW w:w="1785" w:type="dxa"/>
            <w:tcBorders>
              <w:right w:val="single" w:color="auto" w:sz="12" w:space="0"/>
            </w:tcBorders>
            <w:vAlign w:val="center"/>
          </w:tcPr>
          <w:p w14:paraId="2B2170EA">
            <w:pPr>
              <w:adjustRightInd w:val="0"/>
              <w:snapToGrid w:val="0"/>
              <w:jc w:val="center"/>
              <w:rPr>
                <w:rFonts w:eastAsia="宋体"/>
                <w:color w:val="auto"/>
                <w:sz w:val="24"/>
                <w:szCs w:val="24"/>
                <w:highlight w:val="none"/>
              </w:rPr>
            </w:pPr>
          </w:p>
        </w:tc>
      </w:tr>
      <w:tr w14:paraId="031EF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1" w:hRule="atLeast"/>
          <w:jc w:val="center"/>
        </w:trPr>
        <w:tc>
          <w:tcPr>
            <w:tcW w:w="1473" w:type="dxa"/>
            <w:tcBorders>
              <w:left w:val="single" w:color="auto" w:sz="12" w:space="0"/>
              <w:right w:val="single" w:color="auto" w:sz="4" w:space="0"/>
            </w:tcBorders>
            <w:vAlign w:val="center"/>
          </w:tcPr>
          <w:p w14:paraId="52418E84">
            <w:pPr>
              <w:adjustRightInd w:val="0"/>
              <w:snapToGrid w:val="0"/>
              <w:jc w:val="center"/>
              <w:rPr>
                <w:rFonts w:eastAsia="宋体"/>
                <w:color w:val="auto"/>
                <w:sz w:val="24"/>
                <w:szCs w:val="24"/>
                <w:highlight w:val="none"/>
              </w:rPr>
            </w:pPr>
            <w:r>
              <w:rPr>
                <w:rFonts w:eastAsia="宋体"/>
                <w:color w:val="auto"/>
                <w:sz w:val="24"/>
                <w:szCs w:val="24"/>
                <w:highlight w:val="none"/>
              </w:rPr>
              <w:t>电话</w:t>
            </w:r>
          </w:p>
        </w:tc>
        <w:tc>
          <w:tcPr>
            <w:tcW w:w="1470" w:type="dxa"/>
            <w:tcBorders>
              <w:left w:val="single" w:color="auto" w:sz="4" w:space="0"/>
              <w:right w:val="single" w:color="auto" w:sz="4" w:space="0"/>
            </w:tcBorders>
            <w:vAlign w:val="center"/>
          </w:tcPr>
          <w:p w14:paraId="554EB1BC">
            <w:pPr>
              <w:adjustRightInd w:val="0"/>
              <w:snapToGrid w:val="0"/>
              <w:jc w:val="center"/>
              <w:rPr>
                <w:rFonts w:eastAsia="宋体"/>
                <w:color w:val="auto"/>
                <w:sz w:val="24"/>
                <w:szCs w:val="24"/>
                <w:highlight w:val="none"/>
              </w:rPr>
            </w:pPr>
          </w:p>
        </w:tc>
        <w:tc>
          <w:tcPr>
            <w:tcW w:w="1287" w:type="dxa"/>
            <w:tcBorders>
              <w:left w:val="single" w:color="auto" w:sz="4" w:space="0"/>
              <w:right w:val="single" w:color="auto" w:sz="4" w:space="0"/>
            </w:tcBorders>
            <w:vAlign w:val="center"/>
          </w:tcPr>
          <w:p w14:paraId="0E811D9D">
            <w:pPr>
              <w:adjustRightInd w:val="0"/>
              <w:snapToGrid w:val="0"/>
              <w:jc w:val="center"/>
              <w:rPr>
                <w:rFonts w:eastAsia="宋体"/>
                <w:color w:val="auto"/>
                <w:sz w:val="24"/>
                <w:szCs w:val="24"/>
                <w:highlight w:val="none"/>
              </w:rPr>
            </w:pPr>
            <w:r>
              <w:rPr>
                <w:rFonts w:eastAsia="宋体"/>
                <w:color w:val="auto"/>
                <w:sz w:val="24"/>
                <w:szCs w:val="24"/>
                <w:highlight w:val="none"/>
              </w:rPr>
              <w:t>传真</w:t>
            </w:r>
          </w:p>
        </w:tc>
        <w:tc>
          <w:tcPr>
            <w:tcW w:w="1653" w:type="dxa"/>
            <w:gridSpan w:val="2"/>
            <w:tcBorders>
              <w:left w:val="single" w:color="auto" w:sz="4" w:space="0"/>
              <w:right w:val="single" w:color="auto" w:sz="4" w:space="0"/>
            </w:tcBorders>
            <w:vAlign w:val="center"/>
          </w:tcPr>
          <w:p w14:paraId="6739557C">
            <w:pPr>
              <w:adjustRightInd w:val="0"/>
              <w:snapToGrid w:val="0"/>
              <w:jc w:val="center"/>
              <w:rPr>
                <w:rFonts w:eastAsia="宋体"/>
                <w:color w:val="auto"/>
                <w:sz w:val="24"/>
                <w:szCs w:val="24"/>
                <w:highlight w:val="none"/>
              </w:rPr>
            </w:pPr>
          </w:p>
        </w:tc>
        <w:tc>
          <w:tcPr>
            <w:tcW w:w="1260" w:type="dxa"/>
            <w:tcBorders>
              <w:left w:val="single" w:color="auto" w:sz="4" w:space="0"/>
              <w:right w:val="single" w:color="auto" w:sz="4" w:space="0"/>
            </w:tcBorders>
            <w:vAlign w:val="center"/>
          </w:tcPr>
          <w:p w14:paraId="246B811A">
            <w:pPr>
              <w:adjustRightInd w:val="0"/>
              <w:snapToGrid w:val="0"/>
              <w:jc w:val="center"/>
              <w:rPr>
                <w:rFonts w:eastAsia="宋体"/>
                <w:color w:val="auto"/>
                <w:sz w:val="24"/>
                <w:szCs w:val="24"/>
                <w:highlight w:val="none"/>
              </w:rPr>
            </w:pPr>
            <w:r>
              <w:rPr>
                <w:rFonts w:eastAsia="宋体"/>
                <w:color w:val="auto"/>
                <w:sz w:val="24"/>
                <w:szCs w:val="24"/>
                <w:highlight w:val="none"/>
              </w:rPr>
              <w:t>E-Mail</w:t>
            </w:r>
          </w:p>
        </w:tc>
        <w:tc>
          <w:tcPr>
            <w:tcW w:w="1785" w:type="dxa"/>
            <w:tcBorders>
              <w:left w:val="single" w:color="auto" w:sz="4" w:space="0"/>
              <w:right w:val="single" w:color="auto" w:sz="12" w:space="0"/>
            </w:tcBorders>
            <w:vAlign w:val="center"/>
          </w:tcPr>
          <w:p w14:paraId="1E611745">
            <w:pPr>
              <w:adjustRightInd w:val="0"/>
              <w:snapToGrid w:val="0"/>
              <w:jc w:val="center"/>
              <w:rPr>
                <w:rFonts w:eastAsia="宋体"/>
                <w:color w:val="auto"/>
                <w:sz w:val="24"/>
                <w:szCs w:val="24"/>
                <w:highlight w:val="none"/>
              </w:rPr>
            </w:pPr>
          </w:p>
        </w:tc>
      </w:tr>
      <w:tr w14:paraId="2C84C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9" w:hRule="atLeast"/>
          <w:jc w:val="center"/>
        </w:trPr>
        <w:tc>
          <w:tcPr>
            <w:tcW w:w="1473" w:type="dxa"/>
            <w:tcBorders>
              <w:left w:val="single" w:color="auto" w:sz="12" w:space="0"/>
              <w:right w:val="single" w:color="auto" w:sz="4" w:space="0"/>
            </w:tcBorders>
            <w:vAlign w:val="center"/>
          </w:tcPr>
          <w:p w14:paraId="7DC4980D">
            <w:pPr>
              <w:adjustRightInd w:val="0"/>
              <w:snapToGrid w:val="0"/>
              <w:jc w:val="center"/>
              <w:rPr>
                <w:rFonts w:eastAsia="宋体"/>
                <w:color w:val="auto"/>
                <w:sz w:val="24"/>
                <w:szCs w:val="24"/>
                <w:highlight w:val="none"/>
              </w:rPr>
            </w:pPr>
            <w:r>
              <w:rPr>
                <w:rFonts w:eastAsia="宋体"/>
                <w:color w:val="auto"/>
                <w:sz w:val="24"/>
                <w:szCs w:val="24"/>
                <w:highlight w:val="none"/>
              </w:rPr>
              <w:t>联系人</w:t>
            </w:r>
          </w:p>
        </w:tc>
        <w:tc>
          <w:tcPr>
            <w:tcW w:w="1470" w:type="dxa"/>
            <w:tcBorders>
              <w:left w:val="single" w:color="auto" w:sz="4" w:space="0"/>
              <w:right w:val="single" w:color="auto" w:sz="4" w:space="0"/>
            </w:tcBorders>
            <w:vAlign w:val="center"/>
          </w:tcPr>
          <w:p w14:paraId="17D5138A">
            <w:pPr>
              <w:adjustRightInd w:val="0"/>
              <w:snapToGrid w:val="0"/>
              <w:jc w:val="center"/>
              <w:rPr>
                <w:rFonts w:eastAsia="宋体"/>
                <w:color w:val="auto"/>
                <w:sz w:val="24"/>
                <w:szCs w:val="24"/>
                <w:highlight w:val="none"/>
              </w:rPr>
            </w:pPr>
          </w:p>
        </w:tc>
        <w:tc>
          <w:tcPr>
            <w:tcW w:w="1287" w:type="dxa"/>
            <w:tcBorders>
              <w:left w:val="single" w:color="auto" w:sz="4" w:space="0"/>
              <w:right w:val="single" w:color="auto" w:sz="4" w:space="0"/>
            </w:tcBorders>
            <w:vAlign w:val="center"/>
          </w:tcPr>
          <w:p w14:paraId="7E22AE4E">
            <w:pPr>
              <w:adjustRightInd w:val="0"/>
              <w:snapToGrid w:val="0"/>
              <w:jc w:val="center"/>
              <w:rPr>
                <w:rFonts w:eastAsia="宋体"/>
                <w:color w:val="auto"/>
                <w:sz w:val="24"/>
                <w:szCs w:val="24"/>
                <w:highlight w:val="none"/>
              </w:rPr>
            </w:pPr>
            <w:r>
              <w:rPr>
                <w:rFonts w:eastAsia="宋体"/>
                <w:color w:val="auto"/>
                <w:sz w:val="24"/>
                <w:szCs w:val="24"/>
                <w:highlight w:val="none"/>
              </w:rPr>
              <w:t>电话</w:t>
            </w:r>
          </w:p>
        </w:tc>
        <w:tc>
          <w:tcPr>
            <w:tcW w:w="1653" w:type="dxa"/>
            <w:gridSpan w:val="2"/>
            <w:tcBorders>
              <w:left w:val="single" w:color="auto" w:sz="4" w:space="0"/>
              <w:right w:val="single" w:color="auto" w:sz="4" w:space="0"/>
            </w:tcBorders>
            <w:vAlign w:val="center"/>
          </w:tcPr>
          <w:p w14:paraId="1B1C0C10">
            <w:pPr>
              <w:adjustRightInd w:val="0"/>
              <w:snapToGrid w:val="0"/>
              <w:jc w:val="center"/>
              <w:rPr>
                <w:rFonts w:eastAsia="宋体"/>
                <w:color w:val="auto"/>
                <w:sz w:val="24"/>
                <w:szCs w:val="24"/>
                <w:highlight w:val="none"/>
              </w:rPr>
            </w:pPr>
          </w:p>
        </w:tc>
        <w:tc>
          <w:tcPr>
            <w:tcW w:w="1260" w:type="dxa"/>
            <w:tcBorders>
              <w:left w:val="single" w:color="auto" w:sz="4" w:space="0"/>
              <w:right w:val="single" w:color="auto" w:sz="4" w:space="0"/>
            </w:tcBorders>
            <w:vAlign w:val="center"/>
          </w:tcPr>
          <w:p w14:paraId="193965EC">
            <w:pPr>
              <w:adjustRightInd w:val="0"/>
              <w:snapToGrid w:val="0"/>
              <w:jc w:val="center"/>
              <w:rPr>
                <w:rFonts w:eastAsia="宋体"/>
                <w:color w:val="auto"/>
                <w:sz w:val="24"/>
                <w:szCs w:val="24"/>
                <w:highlight w:val="none"/>
              </w:rPr>
            </w:pPr>
            <w:r>
              <w:rPr>
                <w:rFonts w:eastAsia="宋体"/>
                <w:color w:val="auto"/>
                <w:sz w:val="24"/>
                <w:szCs w:val="24"/>
                <w:highlight w:val="none"/>
              </w:rPr>
              <w:t>手机</w:t>
            </w:r>
          </w:p>
        </w:tc>
        <w:tc>
          <w:tcPr>
            <w:tcW w:w="1785" w:type="dxa"/>
            <w:tcBorders>
              <w:left w:val="single" w:color="auto" w:sz="4" w:space="0"/>
              <w:right w:val="single" w:color="auto" w:sz="12" w:space="0"/>
            </w:tcBorders>
            <w:vAlign w:val="center"/>
          </w:tcPr>
          <w:p w14:paraId="61ECC247">
            <w:pPr>
              <w:adjustRightInd w:val="0"/>
              <w:snapToGrid w:val="0"/>
              <w:jc w:val="center"/>
              <w:rPr>
                <w:rFonts w:eastAsia="宋体"/>
                <w:color w:val="auto"/>
                <w:sz w:val="24"/>
                <w:szCs w:val="24"/>
                <w:highlight w:val="none"/>
              </w:rPr>
            </w:pPr>
          </w:p>
        </w:tc>
      </w:tr>
      <w:tr w14:paraId="37D88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473" w:type="dxa"/>
            <w:tcBorders>
              <w:left w:val="single" w:color="auto" w:sz="12" w:space="0"/>
            </w:tcBorders>
            <w:vAlign w:val="center"/>
          </w:tcPr>
          <w:p w14:paraId="45E033DA">
            <w:pPr>
              <w:adjustRightInd w:val="0"/>
              <w:snapToGrid w:val="0"/>
              <w:jc w:val="center"/>
              <w:rPr>
                <w:rFonts w:eastAsia="宋体"/>
                <w:color w:val="auto"/>
                <w:sz w:val="24"/>
                <w:szCs w:val="24"/>
                <w:highlight w:val="none"/>
              </w:rPr>
            </w:pPr>
            <w:r>
              <w:rPr>
                <w:rFonts w:eastAsia="宋体"/>
                <w:color w:val="auto"/>
                <w:sz w:val="24"/>
                <w:szCs w:val="24"/>
                <w:highlight w:val="none"/>
              </w:rPr>
              <w:t>营业执照</w:t>
            </w:r>
          </w:p>
          <w:p w14:paraId="221F1636">
            <w:pPr>
              <w:adjustRightInd w:val="0"/>
              <w:snapToGrid w:val="0"/>
              <w:jc w:val="center"/>
              <w:rPr>
                <w:rFonts w:eastAsia="宋体"/>
                <w:color w:val="auto"/>
                <w:sz w:val="24"/>
                <w:szCs w:val="24"/>
                <w:highlight w:val="none"/>
              </w:rPr>
            </w:pPr>
            <w:r>
              <w:rPr>
                <w:rFonts w:eastAsia="宋体"/>
                <w:color w:val="auto"/>
                <w:sz w:val="24"/>
                <w:szCs w:val="24"/>
                <w:highlight w:val="none"/>
              </w:rPr>
              <w:t>号码</w:t>
            </w:r>
          </w:p>
        </w:tc>
        <w:tc>
          <w:tcPr>
            <w:tcW w:w="2757" w:type="dxa"/>
            <w:gridSpan w:val="2"/>
            <w:vAlign w:val="center"/>
          </w:tcPr>
          <w:p w14:paraId="0A6A2F61">
            <w:pPr>
              <w:adjustRightInd w:val="0"/>
              <w:snapToGrid w:val="0"/>
              <w:jc w:val="center"/>
              <w:rPr>
                <w:rFonts w:eastAsia="宋体"/>
                <w:color w:val="auto"/>
                <w:sz w:val="24"/>
                <w:szCs w:val="24"/>
                <w:highlight w:val="none"/>
              </w:rPr>
            </w:pPr>
          </w:p>
        </w:tc>
        <w:tc>
          <w:tcPr>
            <w:tcW w:w="1653" w:type="dxa"/>
            <w:gridSpan w:val="2"/>
            <w:vAlign w:val="center"/>
          </w:tcPr>
          <w:p w14:paraId="48D9A25D">
            <w:pPr>
              <w:adjustRightInd w:val="0"/>
              <w:snapToGrid w:val="0"/>
              <w:jc w:val="center"/>
              <w:rPr>
                <w:rFonts w:eastAsia="宋体"/>
                <w:color w:val="auto"/>
                <w:sz w:val="24"/>
                <w:szCs w:val="24"/>
                <w:highlight w:val="none"/>
              </w:rPr>
            </w:pPr>
            <w:r>
              <w:rPr>
                <w:rFonts w:eastAsia="宋体"/>
                <w:color w:val="auto"/>
                <w:sz w:val="24"/>
                <w:szCs w:val="24"/>
                <w:highlight w:val="none"/>
              </w:rPr>
              <w:t>发证单位</w:t>
            </w:r>
          </w:p>
        </w:tc>
        <w:tc>
          <w:tcPr>
            <w:tcW w:w="3045" w:type="dxa"/>
            <w:gridSpan w:val="2"/>
            <w:tcBorders>
              <w:right w:val="single" w:color="auto" w:sz="12" w:space="0"/>
            </w:tcBorders>
            <w:vAlign w:val="center"/>
          </w:tcPr>
          <w:p w14:paraId="22F36024">
            <w:pPr>
              <w:adjustRightInd w:val="0"/>
              <w:snapToGrid w:val="0"/>
              <w:jc w:val="center"/>
              <w:rPr>
                <w:rFonts w:eastAsia="宋体"/>
                <w:color w:val="auto"/>
                <w:sz w:val="24"/>
                <w:szCs w:val="24"/>
                <w:highlight w:val="none"/>
              </w:rPr>
            </w:pPr>
          </w:p>
        </w:tc>
      </w:tr>
      <w:tr w14:paraId="5A45B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0" w:hRule="atLeast"/>
          <w:jc w:val="center"/>
        </w:trPr>
        <w:tc>
          <w:tcPr>
            <w:tcW w:w="1473" w:type="dxa"/>
            <w:tcBorders>
              <w:left w:val="single" w:color="auto" w:sz="12" w:space="0"/>
            </w:tcBorders>
            <w:vAlign w:val="center"/>
          </w:tcPr>
          <w:p w14:paraId="5C664FBE">
            <w:pPr>
              <w:adjustRightInd w:val="0"/>
              <w:snapToGrid w:val="0"/>
              <w:jc w:val="center"/>
              <w:rPr>
                <w:rFonts w:eastAsia="宋体"/>
                <w:color w:val="auto"/>
                <w:sz w:val="24"/>
                <w:szCs w:val="24"/>
                <w:highlight w:val="none"/>
              </w:rPr>
            </w:pPr>
            <w:r>
              <w:rPr>
                <w:rFonts w:eastAsia="宋体"/>
                <w:color w:val="auto"/>
                <w:sz w:val="24"/>
                <w:szCs w:val="24"/>
                <w:highlight w:val="none"/>
              </w:rPr>
              <w:t>开户行名称</w:t>
            </w:r>
          </w:p>
        </w:tc>
        <w:tc>
          <w:tcPr>
            <w:tcW w:w="2757" w:type="dxa"/>
            <w:gridSpan w:val="2"/>
            <w:vAlign w:val="center"/>
          </w:tcPr>
          <w:p w14:paraId="0AA1CA20">
            <w:pPr>
              <w:adjustRightInd w:val="0"/>
              <w:snapToGrid w:val="0"/>
              <w:jc w:val="center"/>
              <w:rPr>
                <w:rFonts w:eastAsia="宋体"/>
                <w:color w:val="auto"/>
                <w:sz w:val="24"/>
                <w:szCs w:val="24"/>
                <w:highlight w:val="none"/>
              </w:rPr>
            </w:pPr>
          </w:p>
        </w:tc>
        <w:tc>
          <w:tcPr>
            <w:tcW w:w="1653" w:type="dxa"/>
            <w:gridSpan w:val="2"/>
            <w:vAlign w:val="center"/>
          </w:tcPr>
          <w:p w14:paraId="699DFD4D">
            <w:pPr>
              <w:adjustRightInd w:val="0"/>
              <w:snapToGrid w:val="0"/>
              <w:jc w:val="center"/>
              <w:rPr>
                <w:rFonts w:eastAsia="宋体"/>
                <w:color w:val="auto"/>
                <w:sz w:val="24"/>
                <w:szCs w:val="24"/>
                <w:highlight w:val="none"/>
              </w:rPr>
            </w:pPr>
            <w:r>
              <w:rPr>
                <w:rFonts w:eastAsia="宋体"/>
                <w:color w:val="auto"/>
                <w:sz w:val="24"/>
                <w:szCs w:val="24"/>
                <w:highlight w:val="none"/>
              </w:rPr>
              <w:t>账户名称</w:t>
            </w:r>
          </w:p>
        </w:tc>
        <w:tc>
          <w:tcPr>
            <w:tcW w:w="3045" w:type="dxa"/>
            <w:gridSpan w:val="2"/>
            <w:tcBorders>
              <w:right w:val="single" w:color="auto" w:sz="12" w:space="0"/>
            </w:tcBorders>
            <w:vAlign w:val="center"/>
          </w:tcPr>
          <w:p w14:paraId="18C4B988">
            <w:pPr>
              <w:adjustRightInd w:val="0"/>
              <w:snapToGrid w:val="0"/>
              <w:jc w:val="center"/>
              <w:rPr>
                <w:rFonts w:eastAsia="宋体"/>
                <w:color w:val="auto"/>
                <w:sz w:val="24"/>
                <w:szCs w:val="24"/>
                <w:highlight w:val="none"/>
              </w:rPr>
            </w:pPr>
          </w:p>
        </w:tc>
      </w:tr>
      <w:tr w14:paraId="323B4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jc w:val="center"/>
        </w:trPr>
        <w:tc>
          <w:tcPr>
            <w:tcW w:w="1473" w:type="dxa"/>
            <w:tcBorders>
              <w:left w:val="single" w:color="auto" w:sz="12" w:space="0"/>
            </w:tcBorders>
            <w:vAlign w:val="center"/>
          </w:tcPr>
          <w:p w14:paraId="64E0F566">
            <w:pPr>
              <w:adjustRightInd w:val="0"/>
              <w:snapToGrid w:val="0"/>
              <w:jc w:val="center"/>
              <w:rPr>
                <w:rFonts w:eastAsia="宋体"/>
                <w:color w:val="auto"/>
                <w:sz w:val="24"/>
                <w:szCs w:val="24"/>
                <w:highlight w:val="none"/>
              </w:rPr>
            </w:pPr>
            <w:r>
              <w:rPr>
                <w:rFonts w:eastAsia="宋体"/>
                <w:color w:val="auto"/>
                <w:sz w:val="24"/>
                <w:szCs w:val="24"/>
                <w:highlight w:val="none"/>
              </w:rPr>
              <w:t>账号</w:t>
            </w:r>
          </w:p>
        </w:tc>
        <w:tc>
          <w:tcPr>
            <w:tcW w:w="7455" w:type="dxa"/>
            <w:gridSpan w:val="6"/>
            <w:tcBorders>
              <w:right w:val="single" w:color="auto" w:sz="12" w:space="0"/>
            </w:tcBorders>
            <w:vAlign w:val="center"/>
          </w:tcPr>
          <w:p w14:paraId="36E2A5A4">
            <w:pPr>
              <w:adjustRightInd w:val="0"/>
              <w:snapToGrid w:val="0"/>
              <w:jc w:val="center"/>
              <w:rPr>
                <w:rFonts w:eastAsia="宋体"/>
                <w:color w:val="auto"/>
                <w:sz w:val="24"/>
                <w:szCs w:val="24"/>
                <w:highlight w:val="none"/>
              </w:rPr>
            </w:pPr>
          </w:p>
        </w:tc>
      </w:tr>
      <w:tr w14:paraId="4715F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8" w:hRule="atLeast"/>
          <w:jc w:val="center"/>
        </w:trPr>
        <w:tc>
          <w:tcPr>
            <w:tcW w:w="1473" w:type="dxa"/>
            <w:tcBorders>
              <w:left w:val="single" w:color="auto" w:sz="12" w:space="0"/>
              <w:right w:val="single" w:color="auto" w:sz="4" w:space="0"/>
            </w:tcBorders>
            <w:vAlign w:val="center"/>
          </w:tcPr>
          <w:p w14:paraId="380358C0">
            <w:pPr>
              <w:adjustRightInd w:val="0"/>
              <w:snapToGrid w:val="0"/>
              <w:jc w:val="center"/>
              <w:rPr>
                <w:rFonts w:eastAsia="宋体"/>
                <w:color w:val="auto"/>
                <w:sz w:val="24"/>
                <w:szCs w:val="24"/>
                <w:highlight w:val="none"/>
              </w:rPr>
            </w:pPr>
            <w:r>
              <w:rPr>
                <w:rFonts w:eastAsia="宋体"/>
                <w:color w:val="auto"/>
                <w:sz w:val="24"/>
                <w:szCs w:val="24"/>
                <w:highlight w:val="none"/>
              </w:rPr>
              <w:t>资质</w:t>
            </w:r>
          </w:p>
        </w:tc>
        <w:tc>
          <w:tcPr>
            <w:tcW w:w="1470" w:type="dxa"/>
            <w:tcBorders>
              <w:left w:val="single" w:color="auto" w:sz="4" w:space="0"/>
            </w:tcBorders>
            <w:vAlign w:val="center"/>
          </w:tcPr>
          <w:p w14:paraId="63E2FF78">
            <w:pPr>
              <w:adjustRightInd w:val="0"/>
              <w:snapToGrid w:val="0"/>
              <w:jc w:val="center"/>
              <w:rPr>
                <w:rFonts w:eastAsia="宋体"/>
                <w:color w:val="auto"/>
                <w:sz w:val="24"/>
                <w:szCs w:val="24"/>
                <w:highlight w:val="none"/>
              </w:rPr>
            </w:pPr>
          </w:p>
        </w:tc>
        <w:tc>
          <w:tcPr>
            <w:tcW w:w="1315" w:type="dxa"/>
            <w:gridSpan w:val="2"/>
            <w:tcBorders>
              <w:right w:val="single" w:color="auto" w:sz="4" w:space="0"/>
            </w:tcBorders>
            <w:vAlign w:val="center"/>
          </w:tcPr>
          <w:p w14:paraId="6BB9135E">
            <w:pPr>
              <w:adjustRightInd w:val="0"/>
              <w:snapToGrid w:val="0"/>
              <w:jc w:val="center"/>
              <w:rPr>
                <w:rFonts w:eastAsia="宋体"/>
                <w:color w:val="auto"/>
                <w:sz w:val="24"/>
                <w:szCs w:val="24"/>
                <w:highlight w:val="none"/>
              </w:rPr>
            </w:pPr>
            <w:r>
              <w:rPr>
                <w:rFonts w:eastAsia="宋体"/>
                <w:color w:val="auto"/>
                <w:sz w:val="24"/>
                <w:szCs w:val="24"/>
                <w:highlight w:val="none"/>
              </w:rPr>
              <w:t>证书编号</w:t>
            </w:r>
          </w:p>
        </w:tc>
        <w:tc>
          <w:tcPr>
            <w:tcW w:w="1625" w:type="dxa"/>
            <w:tcBorders>
              <w:right w:val="single" w:color="auto" w:sz="4" w:space="0"/>
            </w:tcBorders>
            <w:vAlign w:val="center"/>
          </w:tcPr>
          <w:p w14:paraId="3FF9AB1F">
            <w:pPr>
              <w:adjustRightInd w:val="0"/>
              <w:snapToGrid w:val="0"/>
              <w:jc w:val="center"/>
              <w:rPr>
                <w:rFonts w:eastAsia="宋体"/>
                <w:color w:val="auto"/>
                <w:sz w:val="24"/>
                <w:szCs w:val="24"/>
                <w:highlight w:val="none"/>
              </w:rPr>
            </w:pPr>
          </w:p>
        </w:tc>
        <w:tc>
          <w:tcPr>
            <w:tcW w:w="1260" w:type="dxa"/>
            <w:tcBorders>
              <w:left w:val="single" w:color="auto" w:sz="4" w:space="0"/>
              <w:right w:val="single" w:color="auto" w:sz="4" w:space="0"/>
            </w:tcBorders>
            <w:vAlign w:val="center"/>
          </w:tcPr>
          <w:p w14:paraId="26F7E0B0">
            <w:pPr>
              <w:adjustRightInd w:val="0"/>
              <w:snapToGrid w:val="0"/>
              <w:jc w:val="center"/>
              <w:rPr>
                <w:rFonts w:eastAsia="宋体"/>
                <w:color w:val="auto"/>
                <w:sz w:val="24"/>
                <w:szCs w:val="24"/>
                <w:highlight w:val="none"/>
              </w:rPr>
            </w:pPr>
            <w:r>
              <w:rPr>
                <w:rFonts w:eastAsia="宋体"/>
                <w:color w:val="auto"/>
                <w:sz w:val="24"/>
                <w:szCs w:val="24"/>
                <w:highlight w:val="none"/>
              </w:rPr>
              <w:t>发证单位</w:t>
            </w:r>
          </w:p>
        </w:tc>
        <w:tc>
          <w:tcPr>
            <w:tcW w:w="1785" w:type="dxa"/>
            <w:tcBorders>
              <w:left w:val="single" w:color="auto" w:sz="4" w:space="0"/>
              <w:right w:val="single" w:color="auto" w:sz="12" w:space="0"/>
            </w:tcBorders>
            <w:vAlign w:val="center"/>
          </w:tcPr>
          <w:p w14:paraId="0C7CBA7D">
            <w:pPr>
              <w:adjustRightInd w:val="0"/>
              <w:snapToGrid w:val="0"/>
              <w:jc w:val="center"/>
              <w:rPr>
                <w:rFonts w:eastAsia="宋体"/>
                <w:color w:val="auto"/>
                <w:sz w:val="24"/>
                <w:szCs w:val="24"/>
                <w:highlight w:val="none"/>
              </w:rPr>
            </w:pPr>
          </w:p>
        </w:tc>
      </w:tr>
      <w:tr w14:paraId="6BBF9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0" w:hRule="atLeast"/>
          <w:jc w:val="center"/>
        </w:trPr>
        <w:tc>
          <w:tcPr>
            <w:tcW w:w="1473" w:type="dxa"/>
            <w:tcBorders>
              <w:left w:val="single" w:color="auto" w:sz="12" w:space="0"/>
            </w:tcBorders>
            <w:vAlign w:val="center"/>
          </w:tcPr>
          <w:p w14:paraId="7734AA36">
            <w:pPr>
              <w:adjustRightInd w:val="0"/>
              <w:snapToGrid w:val="0"/>
              <w:jc w:val="center"/>
              <w:rPr>
                <w:rFonts w:eastAsia="宋体"/>
                <w:color w:val="auto"/>
                <w:sz w:val="24"/>
                <w:szCs w:val="24"/>
                <w:highlight w:val="none"/>
              </w:rPr>
            </w:pPr>
            <w:r>
              <w:rPr>
                <w:rFonts w:eastAsia="宋体"/>
                <w:color w:val="auto"/>
                <w:sz w:val="24"/>
                <w:szCs w:val="24"/>
                <w:highlight w:val="none"/>
              </w:rPr>
              <w:t>下属单位、</w:t>
            </w:r>
          </w:p>
          <w:p w14:paraId="628B0A47">
            <w:pPr>
              <w:adjustRightInd w:val="0"/>
              <w:snapToGrid w:val="0"/>
              <w:jc w:val="center"/>
              <w:rPr>
                <w:rFonts w:eastAsia="宋体"/>
                <w:color w:val="auto"/>
                <w:sz w:val="24"/>
                <w:szCs w:val="24"/>
                <w:highlight w:val="none"/>
              </w:rPr>
            </w:pPr>
            <w:r>
              <w:rPr>
                <w:rFonts w:eastAsia="宋体"/>
                <w:color w:val="auto"/>
                <w:sz w:val="24"/>
                <w:szCs w:val="24"/>
                <w:highlight w:val="none"/>
              </w:rPr>
              <w:t>机构名称</w:t>
            </w:r>
          </w:p>
        </w:tc>
        <w:tc>
          <w:tcPr>
            <w:tcW w:w="7455" w:type="dxa"/>
            <w:gridSpan w:val="6"/>
            <w:tcBorders>
              <w:right w:val="single" w:color="auto" w:sz="12" w:space="0"/>
            </w:tcBorders>
            <w:vAlign w:val="center"/>
          </w:tcPr>
          <w:p w14:paraId="6F3B0FD5">
            <w:pPr>
              <w:adjustRightInd w:val="0"/>
              <w:snapToGrid w:val="0"/>
              <w:jc w:val="center"/>
              <w:rPr>
                <w:rFonts w:eastAsia="宋体"/>
                <w:color w:val="auto"/>
                <w:sz w:val="24"/>
                <w:szCs w:val="24"/>
                <w:highlight w:val="none"/>
              </w:rPr>
            </w:pPr>
          </w:p>
        </w:tc>
      </w:tr>
      <w:tr w14:paraId="29B07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8928" w:type="dxa"/>
            <w:gridSpan w:val="7"/>
            <w:tcBorders>
              <w:left w:val="single" w:color="auto" w:sz="12" w:space="0"/>
              <w:right w:val="single" w:color="auto" w:sz="12" w:space="0"/>
            </w:tcBorders>
            <w:vAlign w:val="center"/>
          </w:tcPr>
          <w:p w14:paraId="5749403E">
            <w:pPr>
              <w:adjustRightInd w:val="0"/>
              <w:snapToGrid w:val="0"/>
              <w:jc w:val="center"/>
              <w:rPr>
                <w:rFonts w:eastAsia="宋体"/>
                <w:color w:val="auto"/>
                <w:sz w:val="24"/>
                <w:szCs w:val="24"/>
                <w:highlight w:val="none"/>
              </w:rPr>
            </w:pPr>
            <w:r>
              <w:rPr>
                <w:rFonts w:eastAsia="宋体"/>
                <w:color w:val="auto"/>
                <w:sz w:val="24"/>
                <w:szCs w:val="24"/>
                <w:highlight w:val="none"/>
              </w:rPr>
              <w:t>组织机构框图</w:t>
            </w:r>
          </w:p>
        </w:tc>
      </w:tr>
      <w:tr w14:paraId="1B238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3" w:hRule="atLeast"/>
          <w:jc w:val="center"/>
        </w:trPr>
        <w:tc>
          <w:tcPr>
            <w:tcW w:w="8928" w:type="dxa"/>
            <w:gridSpan w:val="7"/>
            <w:tcBorders>
              <w:left w:val="single" w:color="auto" w:sz="12" w:space="0"/>
              <w:bottom w:val="single" w:color="auto" w:sz="12" w:space="0"/>
              <w:right w:val="single" w:color="auto" w:sz="12" w:space="0"/>
            </w:tcBorders>
            <w:vAlign w:val="center"/>
          </w:tcPr>
          <w:p w14:paraId="326E7A4F">
            <w:pPr>
              <w:adjustRightInd w:val="0"/>
              <w:snapToGrid w:val="0"/>
              <w:jc w:val="center"/>
              <w:rPr>
                <w:rFonts w:eastAsia="宋体"/>
                <w:color w:val="auto"/>
                <w:sz w:val="24"/>
                <w:szCs w:val="24"/>
                <w:highlight w:val="none"/>
              </w:rPr>
            </w:pPr>
          </w:p>
        </w:tc>
      </w:tr>
    </w:tbl>
    <w:p w14:paraId="564F5D20">
      <w:pPr>
        <w:adjustRightInd w:val="0"/>
        <w:snapToGrid w:val="0"/>
        <w:rPr>
          <w:rFonts w:eastAsia="宋体"/>
          <w:color w:val="auto"/>
          <w:sz w:val="24"/>
          <w:szCs w:val="24"/>
          <w:highlight w:val="none"/>
        </w:rPr>
      </w:pPr>
      <w:r>
        <w:rPr>
          <w:rFonts w:eastAsia="宋体"/>
          <w:color w:val="auto"/>
          <w:sz w:val="24"/>
          <w:szCs w:val="24"/>
          <w:highlight w:val="none"/>
        </w:rPr>
        <w:br w:type="page"/>
      </w:r>
      <w:r>
        <w:rPr>
          <w:rFonts w:eastAsia="宋体"/>
          <w:color w:val="auto"/>
          <w:sz w:val="24"/>
          <w:szCs w:val="24"/>
          <w:highlight w:val="none"/>
        </w:rPr>
        <w:t>格 式</w:t>
      </w:r>
      <w:r>
        <w:rPr>
          <w:rFonts w:hint="eastAsia" w:eastAsia="宋体"/>
          <w:color w:val="auto"/>
          <w:sz w:val="24"/>
          <w:szCs w:val="24"/>
          <w:highlight w:val="none"/>
          <w:lang w:val="en-US" w:eastAsia="zh-CN"/>
        </w:rPr>
        <w:t>8</w:t>
      </w:r>
      <w:r>
        <w:rPr>
          <w:rFonts w:eastAsia="宋体"/>
          <w:color w:val="auto"/>
          <w:sz w:val="24"/>
          <w:szCs w:val="24"/>
          <w:highlight w:val="none"/>
        </w:rPr>
        <w:t>：项目组人员一览表</w:t>
      </w:r>
      <w:bookmarkEnd w:id="1765"/>
      <w:bookmarkEnd w:id="1766"/>
      <w:bookmarkEnd w:id="1767"/>
    </w:p>
    <w:p w14:paraId="06FB981F">
      <w:pPr>
        <w:autoSpaceDE w:val="0"/>
        <w:autoSpaceDN w:val="0"/>
        <w:adjustRightInd w:val="0"/>
        <w:snapToGrid w:val="0"/>
        <w:rPr>
          <w:rFonts w:eastAsia="宋体"/>
          <w:b/>
          <w:color w:val="auto"/>
          <w:sz w:val="24"/>
          <w:szCs w:val="24"/>
          <w:highlight w:val="none"/>
        </w:rPr>
      </w:pPr>
    </w:p>
    <w:p w14:paraId="2F257EDA">
      <w:pPr>
        <w:autoSpaceDE w:val="0"/>
        <w:autoSpaceDN w:val="0"/>
        <w:adjustRightInd w:val="0"/>
        <w:snapToGrid w:val="0"/>
        <w:jc w:val="center"/>
        <w:rPr>
          <w:rFonts w:eastAsia="宋体"/>
          <w:b/>
          <w:color w:val="auto"/>
          <w:sz w:val="24"/>
          <w:szCs w:val="24"/>
          <w:highlight w:val="none"/>
          <w:lang w:val="zh-CN"/>
        </w:rPr>
      </w:pPr>
      <w:r>
        <w:rPr>
          <w:rFonts w:eastAsia="宋体"/>
          <w:b/>
          <w:color w:val="auto"/>
          <w:sz w:val="24"/>
          <w:szCs w:val="24"/>
          <w:highlight w:val="none"/>
          <w:lang w:val="zh-CN"/>
        </w:rPr>
        <w:t xml:space="preserve">1. </w:t>
      </w:r>
      <w:r>
        <w:rPr>
          <w:rFonts w:eastAsia="宋体"/>
          <w:b/>
          <w:color w:val="auto"/>
          <w:sz w:val="24"/>
          <w:szCs w:val="24"/>
          <w:highlight w:val="none"/>
          <w:u w:val="single"/>
          <w:lang w:val="zh-CN"/>
        </w:rPr>
        <w:t xml:space="preserve">             </w:t>
      </w:r>
      <w:r>
        <w:rPr>
          <w:rFonts w:eastAsia="宋体"/>
          <w:b/>
          <w:color w:val="auto"/>
          <w:sz w:val="24"/>
          <w:szCs w:val="24"/>
          <w:highlight w:val="none"/>
          <w:lang w:val="zh-CN"/>
        </w:rPr>
        <w:t>项目组人员一览表</w:t>
      </w:r>
    </w:p>
    <w:p w14:paraId="0886688D">
      <w:pPr>
        <w:adjustRightInd w:val="0"/>
        <w:snapToGrid w:val="0"/>
        <w:ind w:firstLine="480" w:firstLineChars="200"/>
        <w:rPr>
          <w:rFonts w:eastAsia="宋体"/>
          <w:color w:val="auto"/>
          <w:kern w:val="0"/>
          <w:sz w:val="24"/>
          <w:szCs w:val="24"/>
          <w:highlight w:val="none"/>
        </w:rPr>
      </w:pPr>
      <w:r>
        <w:rPr>
          <w:rFonts w:eastAsia="宋体"/>
          <w:color w:val="auto"/>
          <w:kern w:val="0"/>
          <w:sz w:val="24"/>
          <w:szCs w:val="24"/>
          <w:highlight w:val="none"/>
        </w:rPr>
        <w:t xml:space="preserve">采购编号：                       </w:t>
      </w:r>
    </w:p>
    <w:tbl>
      <w:tblPr>
        <w:tblStyle w:val="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06"/>
        <w:gridCol w:w="2413"/>
        <w:gridCol w:w="1403"/>
        <w:gridCol w:w="1857"/>
        <w:gridCol w:w="1418"/>
      </w:tblGrid>
      <w:tr w14:paraId="2D41F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4" w:hRule="atLeast"/>
          <w:jc w:val="center"/>
        </w:trPr>
        <w:tc>
          <w:tcPr>
            <w:tcW w:w="1806" w:type="dxa"/>
            <w:vAlign w:val="center"/>
          </w:tcPr>
          <w:p w14:paraId="3FEE3695">
            <w:pPr>
              <w:adjustRightInd w:val="0"/>
              <w:snapToGrid w:val="0"/>
              <w:jc w:val="center"/>
              <w:rPr>
                <w:rFonts w:eastAsia="宋体"/>
                <w:color w:val="auto"/>
                <w:kern w:val="0"/>
                <w:sz w:val="24"/>
                <w:szCs w:val="24"/>
                <w:highlight w:val="none"/>
              </w:rPr>
            </w:pPr>
            <w:r>
              <w:rPr>
                <w:rFonts w:eastAsia="宋体"/>
                <w:color w:val="auto"/>
                <w:kern w:val="0"/>
                <w:sz w:val="24"/>
                <w:szCs w:val="24"/>
                <w:highlight w:val="none"/>
              </w:rPr>
              <w:t>专业分工</w:t>
            </w:r>
          </w:p>
        </w:tc>
        <w:tc>
          <w:tcPr>
            <w:tcW w:w="2413" w:type="dxa"/>
            <w:vAlign w:val="center"/>
          </w:tcPr>
          <w:p w14:paraId="22B38DAE">
            <w:pPr>
              <w:adjustRightInd w:val="0"/>
              <w:snapToGrid w:val="0"/>
              <w:jc w:val="center"/>
              <w:rPr>
                <w:rFonts w:eastAsia="宋体"/>
                <w:color w:val="auto"/>
                <w:kern w:val="0"/>
                <w:sz w:val="24"/>
                <w:szCs w:val="24"/>
                <w:highlight w:val="none"/>
              </w:rPr>
            </w:pPr>
            <w:r>
              <w:rPr>
                <w:rFonts w:eastAsia="宋体"/>
                <w:color w:val="auto"/>
                <w:kern w:val="0"/>
                <w:sz w:val="24"/>
                <w:szCs w:val="24"/>
                <w:highlight w:val="none"/>
              </w:rPr>
              <w:t>姓名</w:t>
            </w:r>
          </w:p>
        </w:tc>
        <w:tc>
          <w:tcPr>
            <w:tcW w:w="1403" w:type="dxa"/>
            <w:tcBorders>
              <w:top w:val="single" w:color="auto" w:sz="4" w:space="0"/>
              <w:right w:val="single" w:color="auto" w:sz="4" w:space="0"/>
            </w:tcBorders>
            <w:vAlign w:val="center"/>
          </w:tcPr>
          <w:p w14:paraId="65EBEA2C">
            <w:pPr>
              <w:adjustRightInd w:val="0"/>
              <w:snapToGrid w:val="0"/>
              <w:jc w:val="center"/>
              <w:rPr>
                <w:rFonts w:eastAsia="宋体"/>
                <w:color w:val="auto"/>
                <w:kern w:val="0"/>
                <w:sz w:val="24"/>
                <w:szCs w:val="24"/>
                <w:highlight w:val="none"/>
              </w:rPr>
            </w:pPr>
            <w:r>
              <w:rPr>
                <w:rFonts w:eastAsia="宋体"/>
                <w:color w:val="auto"/>
                <w:kern w:val="0"/>
                <w:sz w:val="24"/>
                <w:szCs w:val="24"/>
                <w:highlight w:val="none"/>
              </w:rPr>
              <w:t>专业</w:t>
            </w:r>
          </w:p>
        </w:tc>
        <w:tc>
          <w:tcPr>
            <w:tcW w:w="1857" w:type="dxa"/>
            <w:tcBorders>
              <w:left w:val="single" w:color="auto" w:sz="4" w:space="0"/>
            </w:tcBorders>
            <w:vAlign w:val="center"/>
          </w:tcPr>
          <w:p w14:paraId="6431AE01">
            <w:pPr>
              <w:adjustRightInd w:val="0"/>
              <w:snapToGrid w:val="0"/>
              <w:jc w:val="center"/>
              <w:rPr>
                <w:rFonts w:eastAsia="宋体"/>
                <w:color w:val="auto"/>
                <w:kern w:val="0"/>
                <w:sz w:val="24"/>
                <w:szCs w:val="24"/>
                <w:highlight w:val="none"/>
              </w:rPr>
            </w:pPr>
            <w:r>
              <w:rPr>
                <w:rFonts w:eastAsia="宋体"/>
                <w:color w:val="auto"/>
                <w:kern w:val="0"/>
                <w:sz w:val="24"/>
                <w:szCs w:val="24"/>
                <w:highlight w:val="none"/>
              </w:rPr>
              <w:t>职称</w:t>
            </w:r>
          </w:p>
        </w:tc>
        <w:tc>
          <w:tcPr>
            <w:tcW w:w="1418" w:type="dxa"/>
            <w:vAlign w:val="center"/>
          </w:tcPr>
          <w:p w14:paraId="2AC7A7DE">
            <w:pPr>
              <w:adjustRightInd w:val="0"/>
              <w:snapToGrid w:val="0"/>
              <w:jc w:val="center"/>
              <w:rPr>
                <w:rFonts w:eastAsia="宋体"/>
                <w:color w:val="auto"/>
                <w:kern w:val="0"/>
                <w:sz w:val="24"/>
                <w:szCs w:val="24"/>
                <w:highlight w:val="none"/>
              </w:rPr>
            </w:pPr>
            <w:r>
              <w:rPr>
                <w:rFonts w:eastAsia="宋体"/>
                <w:color w:val="auto"/>
                <w:kern w:val="0"/>
                <w:sz w:val="24"/>
                <w:szCs w:val="24"/>
                <w:highlight w:val="none"/>
              </w:rPr>
              <w:t>备注</w:t>
            </w:r>
          </w:p>
        </w:tc>
      </w:tr>
      <w:tr w14:paraId="78742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jc w:val="center"/>
        </w:trPr>
        <w:tc>
          <w:tcPr>
            <w:tcW w:w="1806" w:type="dxa"/>
            <w:vAlign w:val="center"/>
          </w:tcPr>
          <w:p w14:paraId="7FE201AF">
            <w:pPr>
              <w:adjustRightInd w:val="0"/>
              <w:snapToGrid w:val="0"/>
              <w:jc w:val="center"/>
              <w:rPr>
                <w:rFonts w:eastAsia="宋体"/>
                <w:color w:val="auto"/>
                <w:kern w:val="0"/>
                <w:sz w:val="24"/>
                <w:szCs w:val="24"/>
                <w:highlight w:val="none"/>
              </w:rPr>
            </w:pPr>
            <w:r>
              <w:rPr>
                <w:rFonts w:eastAsia="宋体"/>
                <w:color w:val="auto"/>
                <w:kern w:val="0"/>
                <w:sz w:val="24"/>
                <w:szCs w:val="24"/>
                <w:highlight w:val="none"/>
              </w:rPr>
              <w:t>项目负责人</w:t>
            </w:r>
          </w:p>
        </w:tc>
        <w:tc>
          <w:tcPr>
            <w:tcW w:w="2413" w:type="dxa"/>
          </w:tcPr>
          <w:p w14:paraId="10B89C1F">
            <w:pPr>
              <w:adjustRightInd w:val="0"/>
              <w:snapToGrid w:val="0"/>
              <w:rPr>
                <w:rFonts w:eastAsia="宋体"/>
                <w:color w:val="auto"/>
                <w:kern w:val="0"/>
                <w:sz w:val="24"/>
                <w:szCs w:val="24"/>
                <w:highlight w:val="none"/>
              </w:rPr>
            </w:pPr>
          </w:p>
        </w:tc>
        <w:tc>
          <w:tcPr>
            <w:tcW w:w="1403" w:type="dxa"/>
            <w:tcBorders>
              <w:right w:val="single" w:color="auto" w:sz="4" w:space="0"/>
            </w:tcBorders>
          </w:tcPr>
          <w:p w14:paraId="2EB5B424">
            <w:pPr>
              <w:adjustRightInd w:val="0"/>
              <w:snapToGrid w:val="0"/>
              <w:rPr>
                <w:rFonts w:eastAsia="宋体"/>
                <w:color w:val="auto"/>
                <w:kern w:val="0"/>
                <w:sz w:val="24"/>
                <w:szCs w:val="24"/>
                <w:highlight w:val="none"/>
              </w:rPr>
            </w:pPr>
          </w:p>
        </w:tc>
        <w:tc>
          <w:tcPr>
            <w:tcW w:w="1857" w:type="dxa"/>
            <w:tcBorders>
              <w:left w:val="single" w:color="auto" w:sz="4" w:space="0"/>
            </w:tcBorders>
          </w:tcPr>
          <w:p w14:paraId="3E7F05F8">
            <w:pPr>
              <w:adjustRightInd w:val="0"/>
              <w:snapToGrid w:val="0"/>
              <w:rPr>
                <w:rFonts w:eastAsia="宋体"/>
                <w:color w:val="auto"/>
                <w:kern w:val="0"/>
                <w:sz w:val="24"/>
                <w:szCs w:val="24"/>
                <w:highlight w:val="none"/>
              </w:rPr>
            </w:pPr>
          </w:p>
        </w:tc>
        <w:tc>
          <w:tcPr>
            <w:tcW w:w="1418" w:type="dxa"/>
          </w:tcPr>
          <w:p w14:paraId="62CD3E0F">
            <w:pPr>
              <w:adjustRightInd w:val="0"/>
              <w:snapToGrid w:val="0"/>
              <w:rPr>
                <w:rFonts w:eastAsia="宋体"/>
                <w:color w:val="auto"/>
                <w:kern w:val="0"/>
                <w:sz w:val="24"/>
                <w:szCs w:val="24"/>
                <w:highlight w:val="none"/>
              </w:rPr>
            </w:pPr>
          </w:p>
        </w:tc>
      </w:tr>
      <w:tr w14:paraId="70837A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33" w:hRule="atLeast"/>
          <w:jc w:val="center"/>
        </w:trPr>
        <w:tc>
          <w:tcPr>
            <w:tcW w:w="1806" w:type="dxa"/>
            <w:vMerge w:val="restart"/>
            <w:vAlign w:val="center"/>
          </w:tcPr>
          <w:p w14:paraId="407D3875">
            <w:pPr>
              <w:adjustRightInd w:val="0"/>
              <w:snapToGrid w:val="0"/>
              <w:jc w:val="center"/>
              <w:rPr>
                <w:rFonts w:eastAsia="宋体"/>
                <w:color w:val="auto"/>
                <w:kern w:val="0"/>
                <w:sz w:val="24"/>
                <w:szCs w:val="24"/>
                <w:highlight w:val="none"/>
              </w:rPr>
            </w:pPr>
            <w:r>
              <w:rPr>
                <w:rFonts w:eastAsia="宋体"/>
                <w:color w:val="auto"/>
                <w:kern w:val="0"/>
                <w:sz w:val="24"/>
                <w:szCs w:val="24"/>
                <w:highlight w:val="none"/>
              </w:rPr>
              <w:t>项目组成员</w:t>
            </w:r>
          </w:p>
        </w:tc>
        <w:tc>
          <w:tcPr>
            <w:tcW w:w="2413" w:type="dxa"/>
          </w:tcPr>
          <w:p w14:paraId="00CFBA6E">
            <w:pPr>
              <w:adjustRightInd w:val="0"/>
              <w:snapToGrid w:val="0"/>
              <w:rPr>
                <w:rFonts w:eastAsia="宋体"/>
                <w:color w:val="auto"/>
                <w:kern w:val="0"/>
                <w:sz w:val="24"/>
                <w:szCs w:val="24"/>
                <w:highlight w:val="none"/>
              </w:rPr>
            </w:pPr>
          </w:p>
        </w:tc>
        <w:tc>
          <w:tcPr>
            <w:tcW w:w="1403" w:type="dxa"/>
            <w:tcBorders>
              <w:right w:val="single" w:color="auto" w:sz="4" w:space="0"/>
            </w:tcBorders>
          </w:tcPr>
          <w:p w14:paraId="3C9CD272">
            <w:pPr>
              <w:adjustRightInd w:val="0"/>
              <w:snapToGrid w:val="0"/>
              <w:rPr>
                <w:rFonts w:eastAsia="宋体"/>
                <w:color w:val="auto"/>
                <w:kern w:val="0"/>
                <w:sz w:val="24"/>
                <w:szCs w:val="24"/>
                <w:highlight w:val="none"/>
              </w:rPr>
            </w:pPr>
          </w:p>
        </w:tc>
        <w:tc>
          <w:tcPr>
            <w:tcW w:w="1857" w:type="dxa"/>
            <w:tcBorders>
              <w:left w:val="single" w:color="auto" w:sz="4" w:space="0"/>
            </w:tcBorders>
          </w:tcPr>
          <w:p w14:paraId="04EE585A">
            <w:pPr>
              <w:adjustRightInd w:val="0"/>
              <w:snapToGrid w:val="0"/>
              <w:rPr>
                <w:rFonts w:eastAsia="宋体"/>
                <w:color w:val="auto"/>
                <w:kern w:val="0"/>
                <w:sz w:val="24"/>
                <w:szCs w:val="24"/>
                <w:highlight w:val="none"/>
              </w:rPr>
            </w:pPr>
          </w:p>
        </w:tc>
        <w:tc>
          <w:tcPr>
            <w:tcW w:w="1418" w:type="dxa"/>
          </w:tcPr>
          <w:p w14:paraId="113BA0EB">
            <w:pPr>
              <w:adjustRightInd w:val="0"/>
              <w:snapToGrid w:val="0"/>
              <w:rPr>
                <w:rFonts w:eastAsia="宋体"/>
                <w:color w:val="auto"/>
                <w:kern w:val="0"/>
                <w:sz w:val="24"/>
                <w:szCs w:val="24"/>
                <w:highlight w:val="none"/>
              </w:rPr>
            </w:pPr>
          </w:p>
        </w:tc>
      </w:tr>
      <w:tr w14:paraId="03879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8" w:hRule="atLeast"/>
          <w:jc w:val="center"/>
        </w:trPr>
        <w:tc>
          <w:tcPr>
            <w:tcW w:w="1806" w:type="dxa"/>
            <w:vMerge w:val="continue"/>
            <w:vAlign w:val="center"/>
          </w:tcPr>
          <w:p w14:paraId="7CA69246">
            <w:pPr>
              <w:adjustRightInd w:val="0"/>
              <w:snapToGrid w:val="0"/>
              <w:rPr>
                <w:rFonts w:eastAsia="宋体"/>
                <w:color w:val="auto"/>
                <w:kern w:val="0"/>
                <w:sz w:val="24"/>
                <w:szCs w:val="24"/>
                <w:highlight w:val="none"/>
              </w:rPr>
            </w:pPr>
          </w:p>
        </w:tc>
        <w:tc>
          <w:tcPr>
            <w:tcW w:w="2413" w:type="dxa"/>
          </w:tcPr>
          <w:p w14:paraId="6FF0937B">
            <w:pPr>
              <w:adjustRightInd w:val="0"/>
              <w:snapToGrid w:val="0"/>
              <w:rPr>
                <w:rFonts w:eastAsia="宋体"/>
                <w:color w:val="auto"/>
                <w:kern w:val="0"/>
                <w:sz w:val="24"/>
                <w:szCs w:val="24"/>
                <w:highlight w:val="none"/>
              </w:rPr>
            </w:pPr>
          </w:p>
        </w:tc>
        <w:tc>
          <w:tcPr>
            <w:tcW w:w="1403" w:type="dxa"/>
            <w:tcBorders>
              <w:right w:val="single" w:color="auto" w:sz="4" w:space="0"/>
            </w:tcBorders>
          </w:tcPr>
          <w:p w14:paraId="26C6D707">
            <w:pPr>
              <w:adjustRightInd w:val="0"/>
              <w:snapToGrid w:val="0"/>
              <w:rPr>
                <w:rFonts w:eastAsia="宋体"/>
                <w:color w:val="auto"/>
                <w:kern w:val="0"/>
                <w:sz w:val="24"/>
                <w:szCs w:val="24"/>
                <w:highlight w:val="none"/>
              </w:rPr>
            </w:pPr>
          </w:p>
        </w:tc>
        <w:tc>
          <w:tcPr>
            <w:tcW w:w="1857" w:type="dxa"/>
            <w:tcBorders>
              <w:left w:val="single" w:color="auto" w:sz="4" w:space="0"/>
            </w:tcBorders>
          </w:tcPr>
          <w:p w14:paraId="0164FA6D">
            <w:pPr>
              <w:adjustRightInd w:val="0"/>
              <w:snapToGrid w:val="0"/>
              <w:rPr>
                <w:rFonts w:eastAsia="宋体"/>
                <w:color w:val="auto"/>
                <w:kern w:val="0"/>
                <w:sz w:val="24"/>
                <w:szCs w:val="24"/>
                <w:highlight w:val="none"/>
              </w:rPr>
            </w:pPr>
          </w:p>
        </w:tc>
        <w:tc>
          <w:tcPr>
            <w:tcW w:w="1418" w:type="dxa"/>
          </w:tcPr>
          <w:p w14:paraId="02E96315">
            <w:pPr>
              <w:adjustRightInd w:val="0"/>
              <w:snapToGrid w:val="0"/>
              <w:rPr>
                <w:rFonts w:eastAsia="宋体"/>
                <w:color w:val="auto"/>
                <w:kern w:val="0"/>
                <w:sz w:val="24"/>
                <w:szCs w:val="24"/>
                <w:highlight w:val="none"/>
              </w:rPr>
            </w:pPr>
          </w:p>
        </w:tc>
      </w:tr>
      <w:tr w14:paraId="0D55FE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8" w:hRule="atLeast"/>
          <w:jc w:val="center"/>
        </w:trPr>
        <w:tc>
          <w:tcPr>
            <w:tcW w:w="1806" w:type="dxa"/>
            <w:vMerge w:val="continue"/>
            <w:vAlign w:val="center"/>
          </w:tcPr>
          <w:p w14:paraId="46800DC8">
            <w:pPr>
              <w:adjustRightInd w:val="0"/>
              <w:snapToGrid w:val="0"/>
              <w:rPr>
                <w:rFonts w:eastAsia="宋体"/>
                <w:color w:val="auto"/>
                <w:kern w:val="0"/>
                <w:sz w:val="24"/>
                <w:szCs w:val="24"/>
                <w:highlight w:val="none"/>
              </w:rPr>
            </w:pPr>
          </w:p>
        </w:tc>
        <w:tc>
          <w:tcPr>
            <w:tcW w:w="2413" w:type="dxa"/>
          </w:tcPr>
          <w:p w14:paraId="5E197444">
            <w:pPr>
              <w:adjustRightInd w:val="0"/>
              <w:snapToGrid w:val="0"/>
              <w:rPr>
                <w:rFonts w:eastAsia="宋体"/>
                <w:color w:val="auto"/>
                <w:kern w:val="0"/>
                <w:sz w:val="24"/>
                <w:szCs w:val="24"/>
                <w:highlight w:val="none"/>
              </w:rPr>
            </w:pPr>
          </w:p>
        </w:tc>
        <w:tc>
          <w:tcPr>
            <w:tcW w:w="1403" w:type="dxa"/>
            <w:tcBorders>
              <w:right w:val="single" w:color="auto" w:sz="4" w:space="0"/>
            </w:tcBorders>
          </w:tcPr>
          <w:p w14:paraId="1FBA80DF">
            <w:pPr>
              <w:adjustRightInd w:val="0"/>
              <w:snapToGrid w:val="0"/>
              <w:rPr>
                <w:rFonts w:eastAsia="宋体"/>
                <w:color w:val="auto"/>
                <w:kern w:val="0"/>
                <w:sz w:val="24"/>
                <w:szCs w:val="24"/>
                <w:highlight w:val="none"/>
              </w:rPr>
            </w:pPr>
          </w:p>
        </w:tc>
        <w:tc>
          <w:tcPr>
            <w:tcW w:w="1857" w:type="dxa"/>
            <w:tcBorders>
              <w:left w:val="single" w:color="auto" w:sz="4" w:space="0"/>
            </w:tcBorders>
          </w:tcPr>
          <w:p w14:paraId="1D857EFA">
            <w:pPr>
              <w:adjustRightInd w:val="0"/>
              <w:snapToGrid w:val="0"/>
              <w:rPr>
                <w:rFonts w:eastAsia="宋体"/>
                <w:color w:val="auto"/>
                <w:kern w:val="0"/>
                <w:sz w:val="24"/>
                <w:szCs w:val="24"/>
                <w:highlight w:val="none"/>
              </w:rPr>
            </w:pPr>
          </w:p>
        </w:tc>
        <w:tc>
          <w:tcPr>
            <w:tcW w:w="1418" w:type="dxa"/>
          </w:tcPr>
          <w:p w14:paraId="5BBE99AC">
            <w:pPr>
              <w:adjustRightInd w:val="0"/>
              <w:snapToGrid w:val="0"/>
              <w:rPr>
                <w:rFonts w:eastAsia="宋体"/>
                <w:color w:val="auto"/>
                <w:kern w:val="0"/>
                <w:sz w:val="24"/>
                <w:szCs w:val="24"/>
                <w:highlight w:val="none"/>
              </w:rPr>
            </w:pPr>
          </w:p>
        </w:tc>
      </w:tr>
      <w:tr w14:paraId="3BE54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8" w:hRule="atLeast"/>
          <w:jc w:val="center"/>
        </w:trPr>
        <w:tc>
          <w:tcPr>
            <w:tcW w:w="1806" w:type="dxa"/>
            <w:vMerge w:val="continue"/>
            <w:vAlign w:val="center"/>
          </w:tcPr>
          <w:p w14:paraId="504667C4">
            <w:pPr>
              <w:adjustRightInd w:val="0"/>
              <w:snapToGrid w:val="0"/>
              <w:rPr>
                <w:rFonts w:eastAsia="宋体"/>
                <w:color w:val="auto"/>
                <w:kern w:val="0"/>
                <w:sz w:val="24"/>
                <w:szCs w:val="24"/>
                <w:highlight w:val="none"/>
              </w:rPr>
            </w:pPr>
          </w:p>
        </w:tc>
        <w:tc>
          <w:tcPr>
            <w:tcW w:w="2413" w:type="dxa"/>
          </w:tcPr>
          <w:p w14:paraId="14E274D7">
            <w:pPr>
              <w:adjustRightInd w:val="0"/>
              <w:snapToGrid w:val="0"/>
              <w:rPr>
                <w:rFonts w:eastAsia="宋体"/>
                <w:color w:val="auto"/>
                <w:kern w:val="0"/>
                <w:sz w:val="24"/>
                <w:szCs w:val="24"/>
                <w:highlight w:val="none"/>
              </w:rPr>
            </w:pPr>
          </w:p>
        </w:tc>
        <w:tc>
          <w:tcPr>
            <w:tcW w:w="1403" w:type="dxa"/>
            <w:tcBorders>
              <w:right w:val="single" w:color="auto" w:sz="4" w:space="0"/>
            </w:tcBorders>
          </w:tcPr>
          <w:p w14:paraId="54FB1DFB">
            <w:pPr>
              <w:adjustRightInd w:val="0"/>
              <w:snapToGrid w:val="0"/>
              <w:rPr>
                <w:rFonts w:eastAsia="宋体"/>
                <w:color w:val="auto"/>
                <w:kern w:val="0"/>
                <w:sz w:val="24"/>
                <w:szCs w:val="24"/>
                <w:highlight w:val="none"/>
              </w:rPr>
            </w:pPr>
          </w:p>
        </w:tc>
        <w:tc>
          <w:tcPr>
            <w:tcW w:w="1857" w:type="dxa"/>
            <w:tcBorders>
              <w:left w:val="single" w:color="auto" w:sz="4" w:space="0"/>
            </w:tcBorders>
          </w:tcPr>
          <w:p w14:paraId="0862693A">
            <w:pPr>
              <w:adjustRightInd w:val="0"/>
              <w:snapToGrid w:val="0"/>
              <w:rPr>
                <w:rFonts w:eastAsia="宋体"/>
                <w:color w:val="auto"/>
                <w:kern w:val="0"/>
                <w:sz w:val="24"/>
                <w:szCs w:val="24"/>
                <w:highlight w:val="none"/>
              </w:rPr>
            </w:pPr>
          </w:p>
        </w:tc>
        <w:tc>
          <w:tcPr>
            <w:tcW w:w="1418" w:type="dxa"/>
          </w:tcPr>
          <w:p w14:paraId="53CD3F4D">
            <w:pPr>
              <w:adjustRightInd w:val="0"/>
              <w:snapToGrid w:val="0"/>
              <w:rPr>
                <w:rFonts w:eastAsia="宋体"/>
                <w:color w:val="auto"/>
                <w:kern w:val="0"/>
                <w:sz w:val="24"/>
                <w:szCs w:val="24"/>
                <w:highlight w:val="none"/>
              </w:rPr>
            </w:pPr>
          </w:p>
        </w:tc>
      </w:tr>
      <w:tr w14:paraId="14BF7B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8" w:hRule="atLeast"/>
          <w:jc w:val="center"/>
        </w:trPr>
        <w:tc>
          <w:tcPr>
            <w:tcW w:w="1806" w:type="dxa"/>
            <w:vMerge w:val="continue"/>
            <w:vAlign w:val="center"/>
          </w:tcPr>
          <w:p w14:paraId="75399BE8">
            <w:pPr>
              <w:adjustRightInd w:val="0"/>
              <w:snapToGrid w:val="0"/>
              <w:rPr>
                <w:rFonts w:eastAsia="宋体"/>
                <w:color w:val="auto"/>
                <w:kern w:val="0"/>
                <w:sz w:val="24"/>
                <w:szCs w:val="24"/>
                <w:highlight w:val="none"/>
              </w:rPr>
            </w:pPr>
          </w:p>
        </w:tc>
        <w:tc>
          <w:tcPr>
            <w:tcW w:w="2413" w:type="dxa"/>
          </w:tcPr>
          <w:p w14:paraId="4C5181CF">
            <w:pPr>
              <w:adjustRightInd w:val="0"/>
              <w:snapToGrid w:val="0"/>
              <w:rPr>
                <w:rFonts w:eastAsia="宋体"/>
                <w:color w:val="auto"/>
                <w:kern w:val="0"/>
                <w:sz w:val="24"/>
                <w:szCs w:val="24"/>
                <w:highlight w:val="none"/>
              </w:rPr>
            </w:pPr>
          </w:p>
        </w:tc>
        <w:tc>
          <w:tcPr>
            <w:tcW w:w="1403" w:type="dxa"/>
            <w:tcBorders>
              <w:right w:val="single" w:color="auto" w:sz="4" w:space="0"/>
            </w:tcBorders>
          </w:tcPr>
          <w:p w14:paraId="31AD3772">
            <w:pPr>
              <w:adjustRightInd w:val="0"/>
              <w:snapToGrid w:val="0"/>
              <w:rPr>
                <w:rFonts w:eastAsia="宋体"/>
                <w:color w:val="auto"/>
                <w:kern w:val="0"/>
                <w:sz w:val="24"/>
                <w:szCs w:val="24"/>
                <w:highlight w:val="none"/>
              </w:rPr>
            </w:pPr>
          </w:p>
        </w:tc>
        <w:tc>
          <w:tcPr>
            <w:tcW w:w="1857" w:type="dxa"/>
            <w:tcBorders>
              <w:left w:val="single" w:color="auto" w:sz="4" w:space="0"/>
            </w:tcBorders>
          </w:tcPr>
          <w:p w14:paraId="49F5B3E1">
            <w:pPr>
              <w:adjustRightInd w:val="0"/>
              <w:snapToGrid w:val="0"/>
              <w:rPr>
                <w:rFonts w:eastAsia="宋体"/>
                <w:color w:val="auto"/>
                <w:kern w:val="0"/>
                <w:sz w:val="24"/>
                <w:szCs w:val="24"/>
                <w:highlight w:val="none"/>
              </w:rPr>
            </w:pPr>
          </w:p>
        </w:tc>
        <w:tc>
          <w:tcPr>
            <w:tcW w:w="1418" w:type="dxa"/>
          </w:tcPr>
          <w:p w14:paraId="1BD646CD">
            <w:pPr>
              <w:adjustRightInd w:val="0"/>
              <w:snapToGrid w:val="0"/>
              <w:rPr>
                <w:rFonts w:eastAsia="宋体"/>
                <w:color w:val="auto"/>
                <w:kern w:val="0"/>
                <w:sz w:val="24"/>
                <w:szCs w:val="24"/>
                <w:highlight w:val="none"/>
              </w:rPr>
            </w:pPr>
          </w:p>
        </w:tc>
      </w:tr>
      <w:tr w14:paraId="313A67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8" w:hRule="atLeast"/>
          <w:jc w:val="center"/>
        </w:trPr>
        <w:tc>
          <w:tcPr>
            <w:tcW w:w="1806" w:type="dxa"/>
            <w:vMerge w:val="continue"/>
            <w:vAlign w:val="center"/>
          </w:tcPr>
          <w:p w14:paraId="3E89AACE">
            <w:pPr>
              <w:adjustRightInd w:val="0"/>
              <w:snapToGrid w:val="0"/>
              <w:jc w:val="center"/>
              <w:rPr>
                <w:rFonts w:eastAsia="宋体"/>
                <w:color w:val="auto"/>
                <w:kern w:val="0"/>
                <w:sz w:val="24"/>
                <w:szCs w:val="24"/>
                <w:highlight w:val="none"/>
              </w:rPr>
            </w:pPr>
          </w:p>
        </w:tc>
        <w:tc>
          <w:tcPr>
            <w:tcW w:w="2413" w:type="dxa"/>
          </w:tcPr>
          <w:p w14:paraId="6405EC72">
            <w:pPr>
              <w:adjustRightInd w:val="0"/>
              <w:snapToGrid w:val="0"/>
              <w:rPr>
                <w:rFonts w:eastAsia="宋体"/>
                <w:color w:val="auto"/>
                <w:kern w:val="0"/>
                <w:sz w:val="24"/>
                <w:szCs w:val="24"/>
                <w:highlight w:val="none"/>
              </w:rPr>
            </w:pPr>
          </w:p>
        </w:tc>
        <w:tc>
          <w:tcPr>
            <w:tcW w:w="1403" w:type="dxa"/>
            <w:tcBorders>
              <w:right w:val="single" w:color="auto" w:sz="4" w:space="0"/>
            </w:tcBorders>
          </w:tcPr>
          <w:p w14:paraId="1AB36B14">
            <w:pPr>
              <w:adjustRightInd w:val="0"/>
              <w:snapToGrid w:val="0"/>
              <w:rPr>
                <w:rFonts w:eastAsia="宋体"/>
                <w:color w:val="auto"/>
                <w:kern w:val="0"/>
                <w:sz w:val="24"/>
                <w:szCs w:val="24"/>
                <w:highlight w:val="none"/>
              </w:rPr>
            </w:pPr>
          </w:p>
        </w:tc>
        <w:tc>
          <w:tcPr>
            <w:tcW w:w="1857" w:type="dxa"/>
            <w:tcBorders>
              <w:left w:val="single" w:color="auto" w:sz="4" w:space="0"/>
            </w:tcBorders>
          </w:tcPr>
          <w:p w14:paraId="4A459762">
            <w:pPr>
              <w:adjustRightInd w:val="0"/>
              <w:snapToGrid w:val="0"/>
              <w:rPr>
                <w:rFonts w:eastAsia="宋体"/>
                <w:color w:val="auto"/>
                <w:kern w:val="0"/>
                <w:sz w:val="24"/>
                <w:szCs w:val="24"/>
                <w:highlight w:val="none"/>
              </w:rPr>
            </w:pPr>
          </w:p>
        </w:tc>
        <w:tc>
          <w:tcPr>
            <w:tcW w:w="1418" w:type="dxa"/>
          </w:tcPr>
          <w:p w14:paraId="10CB8CD9">
            <w:pPr>
              <w:adjustRightInd w:val="0"/>
              <w:snapToGrid w:val="0"/>
              <w:rPr>
                <w:rFonts w:eastAsia="宋体"/>
                <w:color w:val="auto"/>
                <w:kern w:val="0"/>
                <w:sz w:val="24"/>
                <w:szCs w:val="24"/>
                <w:highlight w:val="none"/>
              </w:rPr>
            </w:pPr>
          </w:p>
        </w:tc>
      </w:tr>
      <w:tr w14:paraId="71B7D9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8" w:hRule="atLeast"/>
          <w:jc w:val="center"/>
        </w:trPr>
        <w:tc>
          <w:tcPr>
            <w:tcW w:w="1806" w:type="dxa"/>
            <w:vMerge w:val="continue"/>
            <w:vAlign w:val="center"/>
          </w:tcPr>
          <w:p w14:paraId="4F352922">
            <w:pPr>
              <w:adjustRightInd w:val="0"/>
              <w:snapToGrid w:val="0"/>
              <w:jc w:val="center"/>
              <w:rPr>
                <w:rFonts w:eastAsia="宋体"/>
                <w:color w:val="auto"/>
                <w:kern w:val="0"/>
                <w:sz w:val="24"/>
                <w:szCs w:val="24"/>
                <w:highlight w:val="none"/>
              </w:rPr>
            </w:pPr>
          </w:p>
        </w:tc>
        <w:tc>
          <w:tcPr>
            <w:tcW w:w="2413" w:type="dxa"/>
          </w:tcPr>
          <w:p w14:paraId="14C80735">
            <w:pPr>
              <w:adjustRightInd w:val="0"/>
              <w:snapToGrid w:val="0"/>
              <w:rPr>
                <w:rFonts w:eastAsia="宋体"/>
                <w:color w:val="auto"/>
                <w:kern w:val="0"/>
                <w:sz w:val="24"/>
                <w:szCs w:val="24"/>
                <w:highlight w:val="none"/>
              </w:rPr>
            </w:pPr>
          </w:p>
        </w:tc>
        <w:tc>
          <w:tcPr>
            <w:tcW w:w="1403" w:type="dxa"/>
            <w:tcBorders>
              <w:right w:val="single" w:color="auto" w:sz="4" w:space="0"/>
            </w:tcBorders>
          </w:tcPr>
          <w:p w14:paraId="206C18E8">
            <w:pPr>
              <w:adjustRightInd w:val="0"/>
              <w:snapToGrid w:val="0"/>
              <w:rPr>
                <w:rFonts w:eastAsia="宋体"/>
                <w:color w:val="auto"/>
                <w:kern w:val="0"/>
                <w:sz w:val="24"/>
                <w:szCs w:val="24"/>
                <w:highlight w:val="none"/>
              </w:rPr>
            </w:pPr>
          </w:p>
        </w:tc>
        <w:tc>
          <w:tcPr>
            <w:tcW w:w="1857" w:type="dxa"/>
            <w:tcBorders>
              <w:left w:val="single" w:color="auto" w:sz="4" w:space="0"/>
            </w:tcBorders>
          </w:tcPr>
          <w:p w14:paraId="5C0CC145">
            <w:pPr>
              <w:adjustRightInd w:val="0"/>
              <w:snapToGrid w:val="0"/>
              <w:rPr>
                <w:rFonts w:eastAsia="宋体"/>
                <w:color w:val="auto"/>
                <w:kern w:val="0"/>
                <w:sz w:val="24"/>
                <w:szCs w:val="24"/>
                <w:highlight w:val="none"/>
              </w:rPr>
            </w:pPr>
          </w:p>
        </w:tc>
        <w:tc>
          <w:tcPr>
            <w:tcW w:w="1418" w:type="dxa"/>
          </w:tcPr>
          <w:p w14:paraId="4AE88F12">
            <w:pPr>
              <w:adjustRightInd w:val="0"/>
              <w:snapToGrid w:val="0"/>
              <w:rPr>
                <w:rFonts w:eastAsia="宋体"/>
                <w:color w:val="auto"/>
                <w:kern w:val="0"/>
                <w:sz w:val="24"/>
                <w:szCs w:val="24"/>
                <w:highlight w:val="none"/>
              </w:rPr>
            </w:pPr>
          </w:p>
        </w:tc>
      </w:tr>
      <w:tr w14:paraId="39827C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8" w:hRule="atLeast"/>
          <w:jc w:val="center"/>
        </w:trPr>
        <w:tc>
          <w:tcPr>
            <w:tcW w:w="1806" w:type="dxa"/>
            <w:vMerge w:val="continue"/>
            <w:vAlign w:val="center"/>
          </w:tcPr>
          <w:p w14:paraId="646B5ACE">
            <w:pPr>
              <w:adjustRightInd w:val="0"/>
              <w:snapToGrid w:val="0"/>
              <w:jc w:val="center"/>
              <w:rPr>
                <w:rFonts w:eastAsia="宋体"/>
                <w:color w:val="auto"/>
                <w:kern w:val="0"/>
                <w:sz w:val="24"/>
                <w:szCs w:val="24"/>
                <w:highlight w:val="none"/>
              </w:rPr>
            </w:pPr>
          </w:p>
        </w:tc>
        <w:tc>
          <w:tcPr>
            <w:tcW w:w="2413" w:type="dxa"/>
          </w:tcPr>
          <w:p w14:paraId="64A8AB23">
            <w:pPr>
              <w:adjustRightInd w:val="0"/>
              <w:snapToGrid w:val="0"/>
              <w:rPr>
                <w:rFonts w:eastAsia="宋体"/>
                <w:color w:val="auto"/>
                <w:kern w:val="0"/>
                <w:sz w:val="24"/>
                <w:szCs w:val="24"/>
                <w:highlight w:val="none"/>
              </w:rPr>
            </w:pPr>
          </w:p>
        </w:tc>
        <w:tc>
          <w:tcPr>
            <w:tcW w:w="1403" w:type="dxa"/>
            <w:tcBorders>
              <w:right w:val="single" w:color="auto" w:sz="4" w:space="0"/>
            </w:tcBorders>
          </w:tcPr>
          <w:p w14:paraId="19E5D8BF">
            <w:pPr>
              <w:adjustRightInd w:val="0"/>
              <w:snapToGrid w:val="0"/>
              <w:rPr>
                <w:rFonts w:eastAsia="宋体"/>
                <w:color w:val="auto"/>
                <w:kern w:val="0"/>
                <w:sz w:val="24"/>
                <w:szCs w:val="24"/>
                <w:highlight w:val="none"/>
              </w:rPr>
            </w:pPr>
          </w:p>
        </w:tc>
        <w:tc>
          <w:tcPr>
            <w:tcW w:w="1857" w:type="dxa"/>
            <w:tcBorders>
              <w:left w:val="single" w:color="auto" w:sz="4" w:space="0"/>
            </w:tcBorders>
          </w:tcPr>
          <w:p w14:paraId="5A35D611">
            <w:pPr>
              <w:adjustRightInd w:val="0"/>
              <w:snapToGrid w:val="0"/>
              <w:rPr>
                <w:rFonts w:eastAsia="宋体"/>
                <w:color w:val="auto"/>
                <w:kern w:val="0"/>
                <w:sz w:val="24"/>
                <w:szCs w:val="24"/>
                <w:highlight w:val="none"/>
              </w:rPr>
            </w:pPr>
          </w:p>
        </w:tc>
        <w:tc>
          <w:tcPr>
            <w:tcW w:w="1418" w:type="dxa"/>
          </w:tcPr>
          <w:p w14:paraId="55A2D100">
            <w:pPr>
              <w:adjustRightInd w:val="0"/>
              <w:snapToGrid w:val="0"/>
              <w:rPr>
                <w:rFonts w:eastAsia="宋体"/>
                <w:color w:val="auto"/>
                <w:kern w:val="0"/>
                <w:sz w:val="24"/>
                <w:szCs w:val="24"/>
                <w:highlight w:val="none"/>
              </w:rPr>
            </w:pPr>
          </w:p>
        </w:tc>
      </w:tr>
      <w:tr w14:paraId="067C0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90" w:hRule="atLeast"/>
          <w:jc w:val="center"/>
        </w:trPr>
        <w:tc>
          <w:tcPr>
            <w:tcW w:w="8897" w:type="dxa"/>
            <w:gridSpan w:val="5"/>
            <w:vAlign w:val="center"/>
          </w:tcPr>
          <w:p w14:paraId="7986BB2A">
            <w:pPr>
              <w:adjustRightInd w:val="0"/>
              <w:snapToGrid w:val="0"/>
              <w:rPr>
                <w:rFonts w:eastAsia="宋体"/>
                <w:color w:val="auto"/>
                <w:kern w:val="0"/>
                <w:sz w:val="24"/>
                <w:szCs w:val="24"/>
                <w:highlight w:val="none"/>
              </w:rPr>
            </w:pPr>
            <w:r>
              <w:rPr>
                <w:rFonts w:eastAsia="宋体"/>
                <w:color w:val="auto"/>
                <w:kern w:val="0"/>
                <w:sz w:val="24"/>
                <w:szCs w:val="24"/>
                <w:highlight w:val="none"/>
              </w:rPr>
              <w:t>上述表格填写均已核对，确信没有疏漏或差错。</w:t>
            </w:r>
          </w:p>
          <w:p w14:paraId="64FE555F">
            <w:pPr>
              <w:adjustRightInd w:val="0"/>
              <w:snapToGrid w:val="0"/>
              <w:rPr>
                <w:rFonts w:eastAsia="宋体"/>
                <w:color w:val="auto"/>
                <w:kern w:val="0"/>
                <w:sz w:val="24"/>
                <w:szCs w:val="24"/>
                <w:highlight w:val="none"/>
              </w:rPr>
            </w:pPr>
            <w:r>
              <w:rPr>
                <w:rFonts w:eastAsia="宋体"/>
                <w:color w:val="auto"/>
                <w:kern w:val="0"/>
                <w:sz w:val="24"/>
                <w:szCs w:val="24"/>
                <w:highlight w:val="none"/>
              </w:rPr>
              <w:t xml:space="preserve"> 磋商供应商：                     </w:t>
            </w:r>
            <w:r>
              <w:rPr>
                <w:rFonts w:hint="eastAsia" w:eastAsia="宋体"/>
                <w:color w:val="auto"/>
                <w:kern w:val="0"/>
                <w:sz w:val="24"/>
                <w:szCs w:val="24"/>
                <w:highlight w:val="none"/>
              </w:rPr>
              <w:t>（加盖CA电子公章）</w:t>
            </w:r>
          </w:p>
          <w:p w14:paraId="79630736">
            <w:pPr>
              <w:adjustRightInd w:val="0"/>
              <w:snapToGrid w:val="0"/>
              <w:rPr>
                <w:rFonts w:eastAsia="宋体"/>
                <w:color w:val="auto"/>
                <w:kern w:val="0"/>
                <w:sz w:val="24"/>
                <w:szCs w:val="24"/>
                <w:highlight w:val="none"/>
              </w:rPr>
            </w:pPr>
            <w:r>
              <w:rPr>
                <w:rFonts w:eastAsia="宋体"/>
                <w:color w:val="auto"/>
                <w:kern w:val="0"/>
                <w:sz w:val="24"/>
                <w:szCs w:val="24"/>
                <w:highlight w:val="none"/>
              </w:rPr>
              <w:t>日期：               年    月   日</w:t>
            </w:r>
          </w:p>
        </w:tc>
      </w:tr>
    </w:tbl>
    <w:p w14:paraId="15A13BE9">
      <w:pPr>
        <w:adjustRightInd w:val="0"/>
        <w:snapToGrid w:val="0"/>
        <w:rPr>
          <w:rFonts w:eastAsia="宋体"/>
          <w:color w:val="auto"/>
          <w:kern w:val="0"/>
          <w:sz w:val="24"/>
          <w:szCs w:val="24"/>
          <w:highlight w:val="none"/>
        </w:rPr>
      </w:pPr>
      <w:r>
        <w:rPr>
          <w:rFonts w:eastAsia="宋体"/>
          <w:color w:val="auto"/>
          <w:kern w:val="0"/>
          <w:sz w:val="24"/>
          <w:szCs w:val="24"/>
          <w:highlight w:val="none"/>
        </w:rPr>
        <w:t>注：1.“项目组人员”指供应商针对该项目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p>
    <w:p w14:paraId="16661EAE">
      <w:pPr>
        <w:adjustRightInd w:val="0"/>
        <w:snapToGrid w:val="0"/>
        <w:rPr>
          <w:rFonts w:eastAsia="宋体"/>
          <w:color w:val="auto"/>
          <w:kern w:val="0"/>
          <w:sz w:val="24"/>
          <w:szCs w:val="24"/>
          <w:highlight w:val="none"/>
        </w:rPr>
      </w:pPr>
      <w:r>
        <w:rPr>
          <w:rFonts w:eastAsia="宋体"/>
          <w:color w:val="auto"/>
          <w:kern w:val="0"/>
          <w:sz w:val="24"/>
          <w:szCs w:val="24"/>
          <w:highlight w:val="none"/>
        </w:rPr>
        <w:t>2.附各专业人员简历及相关证明材料复印件，如主要人员姓名及履历简介包括学历﹑职称﹑曾担任职务﹑现任职务、专业、从业年限、完成类似项目实例、人员资质证书等。</w:t>
      </w:r>
    </w:p>
    <w:p w14:paraId="2949D89A">
      <w:pPr>
        <w:adjustRightInd w:val="0"/>
        <w:snapToGrid w:val="0"/>
        <w:rPr>
          <w:rFonts w:eastAsia="宋体"/>
          <w:color w:val="auto"/>
          <w:kern w:val="0"/>
          <w:sz w:val="24"/>
          <w:szCs w:val="24"/>
          <w:highlight w:val="none"/>
        </w:rPr>
      </w:pPr>
      <w:r>
        <w:rPr>
          <w:rFonts w:eastAsia="宋体"/>
          <w:color w:val="auto"/>
          <w:kern w:val="0"/>
          <w:sz w:val="24"/>
          <w:szCs w:val="24"/>
          <w:highlight w:val="none"/>
        </w:rPr>
        <w:t>3.供应商可参照上述格式自行设计表格。</w:t>
      </w:r>
    </w:p>
    <w:p w14:paraId="35E30852">
      <w:pPr>
        <w:adjustRightInd w:val="0"/>
        <w:snapToGrid w:val="0"/>
        <w:rPr>
          <w:rFonts w:eastAsia="宋体"/>
          <w:b/>
          <w:color w:val="auto"/>
          <w:kern w:val="0"/>
          <w:sz w:val="24"/>
          <w:szCs w:val="24"/>
          <w:highlight w:val="none"/>
        </w:rPr>
      </w:pPr>
      <w:r>
        <w:rPr>
          <w:rFonts w:eastAsia="宋体"/>
          <w:b/>
          <w:color w:val="auto"/>
          <w:kern w:val="0"/>
          <w:sz w:val="24"/>
          <w:szCs w:val="24"/>
          <w:highlight w:val="none"/>
        </w:rPr>
        <w:t>4.如有分包，分包单位项目参与人员也一并填入。</w:t>
      </w:r>
    </w:p>
    <w:p w14:paraId="2C87B0EC">
      <w:pPr>
        <w:adjustRightInd w:val="0"/>
        <w:snapToGrid w:val="0"/>
        <w:rPr>
          <w:rFonts w:eastAsia="宋体"/>
          <w:color w:val="auto"/>
          <w:kern w:val="0"/>
          <w:sz w:val="24"/>
          <w:szCs w:val="24"/>
          <w:highlight w:val="none"/>
        </w:rPr>
      </w:pPr>
    </w:p>
    <w:p w14:paraId="5CD583E6">
      <w:pPr>
        <w:adjustRightInd w:val="0"/>
        <w:snapToGrid w:val="0"/>
        <w:rPr>
          <w:rFonts w:eastAsia="宋体"/>
          <w:color w:val="auto"/>
          <w:kern w:val="0"/>
          <w:sz w:val="24"/>
          <w:szCs w:val="24"/>
          <w:highlight w:val="none"/>
        </w:rPr>
      </w:pPr>
    </w:p>
    <w:p w14:paraId="048E6ABD">
      <w:pPr>
        <w:adjustRightInd w:val="0"/>
        <w:snapToGrid w:val="0"/>
        <w:rPr>
          <w:rFonts w:eastAsia="宋体"/>
          <w:b/>
          <w:color w:val="auto"/>
          <w:sz w:val="24"/>
          <w:szCs w:val="24"/>
          <w:highlight w:val="none"/>
        </w:rPr>
      </w:pPr>
      <w:bookmarkStart w:id="1768" w:name="_Toc348784828"/>
      <w:bookmarkStart w:id="1769" w:name="_Toc348785014"/>
      <w:bookmarkStart w:id="1770" w:name="_Toc377652978"/>
    </w:p>
    <w:p w14:paraId="41518A1A">
      <w:pPr>
        <w:adjustRightInd w:val="0"/>
        <w:snapToGrid w:val="0"/>
        <w:rPr>
          <w:rFonts w:eastAsia="宋体"/>
          <w:b/>
          <w:color w:val="auto"/>
          <w:sz w:val="24"/>
          <w:szCs w:val="24"/>
          <w:highlight w:val="none"/>
        </w:rPr>
      </w:pPr>
    </w:p>
    <w:p w14:paraId="630B0831">
      <w:pPr>
        <w:adjustRightInd w:val="0"/>
        <w:snapToGrid w:val="0"/>
        <w:jc w:val="center"/>
        <w:rPr>
          <w:rFonts w:eastAsia="宋体"/>
          <w:b/>
          <w:color w:val="auto"/>
          <w:sz w:val="24"/>
          <w:szCs w:val="24"/>
          <w:highlight w:val="none"/>
        </w:rPr>
      </w:pPr>
      <w:r>
        <w:rPr>
          <w:rFonts w:eastAsia="宋体"/>
          <w:b/>
          <w:color w:val="auto"/>
          <w:sz w:val="24"/>
          <w:szCs w:val="24"/>
          <w:highlight w:val="none"/>
        </w:rPr>
        <w:br w:type="page"/>
      </w:r>
      <w:r>
        <w:rPr>
          <w:rFonts w:eastAsia="宋体"/>
          <w:b/>
          <w:color w:val="auto"/>
          <w:sz w:val="24"/>
          <w:szCs w:val="24"/>
          <w:highlight w:val="none"/>
        </w:rPr>
        <w:t>2.项目负责人的法人授权书</w:t>
      </w:r>
    </w:p>
    <w:p w14:paraId="722CC4F3">
      <w:pPr>
        <w:adjustRightInd w:val="0"/>
        <w:snapToGrid w:val="0"/>
        <w:rPr>
          <w:rFonts w:eastAsia="宋体"/>
          <w:color w:val="auto"/>
          <w:sz w:val="24"/>
          <w:szCs w:val="24"/>
          <w:highlight w:val="none"/>
        </w:rPr>
      </w:pPr>
      <w:r>
        <w:rPr>
          <w:rFonts w:eastAsia="宋体"/>
          <w:color w:val="auto"/>
          <w:sz w:val="24"/>
          <w:szCs w:val="24"/>
          <w:highlight w:val="none"/>
        </w:rPr>
        <w:t>采购编号：</w:t>
      </w:r>
    </w:p>
    <w:p w14:paraId="69FDAB93">
      <w:pPr>
        <w:adjustRightInd w:val="0"/>
        <w:snapToGrid w:val="0"/>
        <w:rPr>
          <w:rFonts w:eastAsia="宋体"/>
          <w:color w:val="auto"/>
          <w:sz w:val="24"/>
          <w:szCs w:val="24"/>
          <w:highlight w:val="none"/>
        </w:rPr>
      </w:pPr>
      <w:r>
        <w:rPr>
          <w:rFonts w:eastAsia="宋体"/>
          <w:color w:val="auto"/>
          <w:sz w:val="24"/>
          <w:szCs w:val="24"/>
          <w:highlight w:val="none"/>
        </w:rPr>
        <w:t>日    期：</w:t>
      </w:r>
    </w:p>
    <w:p w14:paraId="52FF2F30">
      <w:pPr>
        <w:adjustRightInd w:val="0"/>
        <w:snapToGrid w:val="0"/>
        <w:rPr>
          <w:rFonts w:eastAsia="宋体"/>
          <w:color w:val="auto"/>
          <w:sz w:val="24"/>
          <w:szCs w:val="24"/>
          <w:highlight w:val="none"/>
        </w:rPr>
      </w:pPr>
      <w:r>
        <w:rPr>
          <w:rFonts w:eastAsia="宋体"/>
          <w:color w:val="auto"/>
          <w:sz w:val="24"/>
          <w:szCs w:val="24"/>
          <w:highlight w:val="none"/>
          <w:u w:val="single"/>
        </w:rPr>
        <w:t xml:space="preserve">         </w:t>
      </w:r>
      <w:r>
        <w:rPr>
          <w:rFonts w:eastAsia="宋体"/>
          <w:color w:val="auto"/>
          <w:sz w:val="24"/>
          <w:szCs w:val="24"/>
          <w:highlight w:val="none"/>
        </w:rPr>
        <w:t>：</w:t>
      </w:r>
    </w:p>
    <w:p w14:paraId="6072132D">
      <w:pPr>
        <w:adjustRightInd w:val="0"/>
        <w:snapToGrid w:val="0"/>
        <w:ind w:firstLine="480" w:firstLineChars="200"/>
        <w:rPr>
          <w:rFonts w:eastAsia="宋体"/>
          <w:color w:val="auto"/>
          <w:sz w:val="24"/>
          <w:szCs w:val="24"/>
          <w:highlight w:val="none"/>
        </w:rPr>
      </w:pPr>
      <w:r>
        <w:rPr>
          <w:rFonts w:eastAsia="宋体"/>
          <w:color w:val="auto"/>
          <w:sz w:val="24"/>
          <w:szCs w:val="24"/>
          <w:highlight w:val="none"/>
        </w:rPr>
        <w:t>我单位</w:t>
      </w:r>
      <w:r>
        <w:rPr>
          <w:rFonts w:eastAsia="宋体"/>
          <w:color w:val="auto"/>
          <w:sz w:val="24"/>
          <w:szCs w:val="24"/>
          <w:highlight w:val="none"/>
          <w:u w:val="single"/>
        </w:rPr>
        <w:t xml:space="preserve">                      </w:t>
      </w:r>
      <w:r>
        <w:rPr>
          <w:rFonts w:eastAsia="宋体"/>
          <w:color w:val="auto"/>
          <w:sz w:val="24"/>
          <w:szCs w:val="24"/>
          <w:highlight w:val="none"/>
        </w:rPr>
        <w:t>系中华人民共和国合法企</w:t>
      </w:r>
      <w:r>
        <w:rPr>
          <w:rFonts w:hint="eastAsia" w:eastAsia="宋体"/>
          <w:color w:val="auto"/>
          <w:sz w:val="24"/>
          <w:szCs w:val="24"/>
          <w:highlight w:val="none"/>
        </w:rPr>
        <w:t>事</w:t>
      </w:r>
      <w:r>
        <w:rPr>
          <w:rFonts w:eastAsia="宋体"/>
          <w:color w:val="auto"/>
          <w:sz w:val="24"/>
          <w:szCs w:val="24"/>
          <w:highlight w:val="none"/>
        </w:rPr>
        <w:t>业</w:t>
      </w:r>
      <w:r>
        <w:rPr>
          <w:rFonts w:hint="eastAsia" w:eastAsia="宋体"/>
          <w:color w:val="auto"/>
          <w:sz w:val="24"/>
          <w:szCs w:val="24"/>
          <w:highlight w:val="none"/>
        </w:rPr>
        <w:t>单位</w:t>
      </w:r>
      <w:r>
        <w:rPr>
          <w:rFonts w:eastAsia="宋体"/>
          <w:color w:val="auto"/>
          <w:sz w:val="24"/>
          <w:szCs w:val="24"/>
          <w:highlight w:val="none"/>
        </w:rPr>
        <w:t>，具有承接本项目服务的能力，公司法定地址：</w:t>
      </w:r>
      <w:r>
        <w:rPr>
          <w:rFonts w:eastAsia="宋体"/>
          <w:color w:val="auto"/>
          <w:sz w:val="24"/>
          <w:szCs w:val="24"/>
          <w:highlight w:val="none"/>
          <w:u w:val="single"/>
        </w:rPr>
        <w:t xml:space="preserve">                     </w:t>
      </w:r>
      <w:r>
        <w:rPr>
          <w:rFonts w:eastAsia="宋体"/>
          <w:color w:val="auto"/>
          <w:sz w:val="24"/>
          <w:szCs w:val="24"/>
          <w:highlight w:val="none"/>
        </w:rPr>
        <w:t>，现特授权</w:t>
      </w:r>
      <w:r>
        <w:rPr>
          <w:rFonts w:eastAsia="宋体"/>
          <w:color w:val="auto"/>
          <w:sz w:val="24"/>
          <w:szCs w:val="24"/>
          <w:highlight w:val="none"/>
          <w:u w:val="single"/>
        </w:rPr>
        <w:t xml:space="preserve">             （</w:t>
      </w:r>
      <w:r>
        <w:rPr>
          <w:rFonts w:eastAsia="宋体"/>
          <w:color w:val="auto"/>
          <w:sz w:val="24"/>
          <w:szCs w:val="24"/>
          <w:highlight w:val="none"/>
        </w:rPr>
        <w:t>身份证号：</w:t>
      </w:r>
      <w:r>
        <w:rPr>
          <w:rFonts w:eastAsia="宋体"/>
          <w:color w:val="auto"/>
          <w:sz w:val="24"/>
          <w:szCs w:val="24"/>
          <w:highlight w:val="none"/>
          <w:u w:val="single"/>
        </w:rPr>
        <w:t xml:space="preserve">      </w:t>
      </w:r>
      <w:r>
        <w:rPr>
          <w:rFonts w:eastAsia="宋体"/>
          <w:color w:val="auto"/>
          <w:sz w:val="24"/>
          <w:szCs w:val="24"/>
          <w:highlight w:val="none"/>
        </w:rPr>
        <w:t>）为本次采购编号：</w:t>
      </w:r>
      <w:r>
        <w:rPr>
          <w:rFonts w:eastAsia="宋体"/>
          <w:color w:val="auto"/>
          <w:sz w:val="24"/>
          <w:szCs w:val="24"/>
          <w:highlight w:val="none"/>
          <w:u w:val="single"/>
        </w:rPr>
        <w:t xml:space="preserve">           </w:t>
      </w:r>
      <w:r>
        <w:rPr>
          <w:rFonts w:eastAsia="宋体"/>
          <w:color w:val="auto"/>
          <w:sz w:val="24"/>
          <w:szCs w:val="24"/>
          <w:highlight w:val="none"/>
        </w:rPr>
        <w:t>号</w:t>
      </w:r>
      <w:r>
        <w:rPr>
          <w:rFonts w:eastAsia="宋体"/>
          <w:color w:val="auto"/>
          <w:sz w:val="24"/>
          <w:szCs w:val="24"/>
          <w:highlight w:val="none"/>
          <w:u w:val="single"/>
        </w:rPr>
        <w:t xml:space="preserve">                    </w:t>
      </w:r>
      <w:r>
        <w:rPr>
          <w:rFonts w:eastAsia="宋体"/>
          <w:color w:val="auto"/>
          <w:sz w:val="24"/>
          <w:szCs w:val="24"/>
          <w:highlight w:val="none"/>
        </w:rPr>
        <w:t>项目的项目组负责人，全面负责本项目执行中的有关管理咨询服务、进度、质量、结算与支付等方面工作，本授权书自授权之日开始至合同全部履行完毕止。</w:t>
      </w:r>
    </w:p>
    <w:p w14:paraId="0802F285">
      <w:pPr>
        <w:adjustRightInd w:val="0"/>
        <w:snapToGrid w:val="0"/>
        <w:rPr>
          <w:rFonts w:eastAsia="宋体"/>
          <w:color w:val="auto"/>
          <w:sz w:val="24"/>
          <w:szCs w:val="24"/>
          <w:highlight w:val="none"/>
        </w:rPr>
      </w:pPr>
    </w:p>
    <w:p w14:paraId="5BC24A0E">
      <w:pPr>
        <w:adjustRightInd w:val="0"/>
        <w:snapToGrid w:val="0"/>
        <w:rPr>
          <w:rFonts w:eastAsia="宋体"/>
          <w:color w:val="auto"/>
          <w:sz w:val="24"/>
          <w:szCs w:val="24"/>
          <w:highlight w:val="none"/>
        </w:rPr>
      </w:pPr>
      <w:r>
        <w:rPr>
          <w:rFonts w:eastAsia="宋体"/>
          <w:color w:val="auto"/>
          <w:sz w:val="24"/>
          <w:szCs w:val="24"/>
          <w:highlight w:val="none"/>
        </w:rPr>
        <w:t>项目组负责人</w:t>
      </w:r>
      <w:r>
        <w:rPr>
          <w:rFonts w:hint="eastAsia" w:eastAsia="宋体"/>
          <w:color w:val="auto"/>
          <w:sz w:val="24"/>
          <w:szCs w:val="24"/>
          <w:highlight w:val="none"/>
        </w:rPr>
        <w:t>（签字</w:t>
      </w:r>
      <w:r>
        <w:rPr>
          <w:rFonts w:hint="eastAsia" w:eastAsia="宋体"/>
          <w:color w:val="auto"/>
          <w:sz w:val="24"/>
          <w:szCs w:val="24"/>
          <w:highlight w:val="none"/>
          <w:lang w:val="en-US" w:eastAsia="zh-CN"/>
        </w:rPr>
        <w:t>或签章</w:t>
      </w:r>
      <w:r>
        <w:rPr>
          <w:rFonts w:hint="eastAsia" w:eastAsia="宋体"/>
          <w:color w:val="auto"/>
          <w:sz w:val="24"/>
          <w:szCs w:val="24"/>
          <w:highlight w:val="none"/>
        </w:rPr>
        <w:t>）</w:t>
      </w:r>
      <w:r>
        <w:rPr>
          <w:rFonts w:eastAsia="宋体"/>
          <w:color w:val="auto"/>
          <w:sz w:val="24"/>
          <w:szCs w:val="24"/>
          <w:highlight w:val="none"/>
        </w:rPr>
        <w:t xml:space="preserve">：                       </w:t>
      </w:r>
    </w:p>
    <w:p w14:paraId="2E6F86D0">
      <w:pPr>
        <w:adjustRightInd w:val="0"/>
        <w:snapToGrid w:val="0"/>
        <w:rPr>
          <w:rFonts w:eastAsia="宋体"/>
          <w:color w:val="auto"/>
          <w:sz w:val="24"/>
          <w:szCs w:val="24"/>
          <w:highlight w:val="none"/>
        </w:rPr>
      </w:pPr>
      <w:r>
        <w:rPr>
          <w:rFonts w:eastAsia="宋体"/>
          <w:color w:val="auto"/>
          <w:sz w:val="24"/>
          <w:szCs w:val="24"/>
          <w:highlight w:val="none"/>
        </w:rPr>
        <w:t xml:space="preserve">职务：                 </w:t>
      </w:r>
    </w:p>
    <w:p w14:paraId="38357E46">
      <w:pPr>
        <w:adjustRightInd w:val="0"/>
        <w:snapToGrid w:val="0"/>
        <w:rPr>
          <w:rFonts w:eastAsia="宋体"/>
          <w:color w:val="auto"/>
          <w:sz w:val="24"/>
          <w:szCs w:val="24"/>
          <w:highlight w:val="none"/>
        </w:rPr>
      </w:pPr>
      <w:r>
        <w:rPr>
          <w:rFonts w:eastAsia="宋体"/>
          <w:color w:val="auto"/>
          <w:sz w:val="24"/>
          <w:szCs w:val="24"/>
          <w:highlight w:val="none"/>
        </w:rPr>
        <w:t xml:space="preserve">联系电话：                               </w:t>
      </w:r>
      <w:r>
        <w:rPr>
          <w:rFonts w:hint="eastAsia" w:eastAsia="宋体"/>
          <w:color w:val="auto"/>
          <w:sz w:val="24"/>
          <w:szCs w:val="24"/>
          <w:highlight w:val="none"/>
        </w:rPr>
        <w:t xml:space="preserve">    </w:t>
      </w:r>
      <w:r>
        <w:rPr>
          <w:rFonts w:eastAsia="宋体"/>
          <w:color w:val="auto"/>
          <w:sz w:val="24"/>
          <w:szCs w:val="24"/>
          <w:highlight w:val="none"/>
        </w:rPr>
        <w:t xml:space="preserve"> 供应商公章：</w:t>
      </w:r>
      <w:r>
        <w:rPr>
          <w:rFonts w:hint="eastAsia" w:eastAsia="宋体"/>
          <w:color w:val="auto"/>
          <w:sz w:val="24"/>
          <w:szCs w:val="24"/>
          <w:highlight w:val="none"/>
        </w:rPr>
        <w:t>（加盖CA电子公章）</w:t>
      </w:r>
    </w:p>
    <w:p w14:paraId="0B4ED298">
      <w:pPr>
        <w:adjustRightInd w:val="0"/>
        <w:snapToGrid w:val="0"/>
        <w:rPr>
          <w:rFonts w:eastAsia="宋体"/>
          <w:b/>
          <w:color w:val="auto"/>
          <w:sz w:val="24"/>
          <w:szCs w:val="24"/>
          <w:highlight w:val="none"/>
        </w:rPr>
      </w:pPr>
    </w:p>
    <w:p w14:paraId="0333FAB0">
      <w:pPr>
        <w:adjustRightInd w:val="0"/>
        <w:snapToGrid w:val="0"/>
        <w:rPr>
          <w:rFonts w:eastAsia="宋体"/>
          <w:b/>
          <w:color w:val="auto"/>
          <w:sz w:val="24"/>
          <w:szCs w:val="24"/>
          <w:highlight w:val="none"/>
        </w:rPr>
      </w:pPr>
    </w:p>
    <w:p w14:paraId="461B92A6">
      <w:pPr>
        <w:adjustRightInd w:val="0"/>
        <w:snapToGrid w:val="0"/>
        <w:rPr>
          <w:rFonts w:eastAsia="宋体"/>
          <w:b/>
          <w:color w:val="auto"/>
          <w:sz w:val="24"/>
          <w:szCs w:val="24"/>
          <w:highlight w:val="none"/>
        </w:rPr>
      </w:pPr>
    </w:p>
    <w:p w14:paraId="08EEE8F4">
      <w:pPr>
        <w:adjustRightInd w:val="0"/>
        <w:snapToGrid w:val="0"/>
        <w:jc w:val="center"/>
        <w:rPr>
          <w:rFonts w:eastAsia="宋体"/>
          <w:b/>
          <w:color w:val="auto"/>
          <w:sz w:val="24"/>
          <w:szCs w:val="24"/>
          <w:highlight w:val="none"/>
        </w:rPr>
      </w:pPr>
      <w:r>
        <w:rPr>
          <w:rFonts w:eastAsia="宋体"/>
          <w:b/>
          <w:color w:val="auto"/>
          <w:sz w:val="24"/>
          <w:szCs w:val="24"/>
          <w:highlight w:val="none"/>
        </w:rPr>
        <w:t>3.项目负责人情况表</w:t>
      </w:r>
    </w:p>
    <w:p w14:paraId="73294D7E">
      <w:pPr>
        <w:adjustRightInd w:val="0"/>
        <w:snapToGrid w:val="0"/>
        <w:ind w:firstLine="480" w:firstLineChars="200"/>
        <w:rPr>
          <w:rFonts w:eastAsia="宋体"/>
          <w:color w:val="auto"/>
          <w:sz w:val="24"/>
          <w:szCs w:val="24"/>
          <w:highlight w:val="none"/>
        </w:rPr>
      </w:pPr>
      <w:r>
        <w:rPr>
          <w:rFonts w:eastAsia="宋体"/>
          <w:color w:val="auto"/>
          <w:sz w:val="24"/>
          <w:szCs w:val="24"/>
          <w:highlight w:val="none"/>
        </w:rPr>
        <w:t xml:space="preserve">采购编号： </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338"/>
        <w:gridCol w:w="762"/>
        <w:gridCol w:w="900"/>
        <w:gridCol w:w="181"/>
        <w:gridCol w:w="1275"/>
        <w:gridCol w:w="344"/>
        <w:gridCol w:w="790"/>
        <w:gridCol w:w="1418"/>
        <w:gridCol w:w="112"/>
        <w:gridCol w:w="1440"/>
      </w:tblGrid>
      <w:tr w14:paraId="59890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1260" w:type="dxa"/>
          </w:tcPr>
          <w:p w14:paraId="5FE3DC32">
            <w:pPr>
              <w:adjustRightInd w:val="0"/>
              <w:snapToGrid w:val="0"/>
              <w:rPr>
                <w:rFonts w:eastAsia="宋体"/>
                <w:color w:val="auto"/>
                <w:sz w:val="24"/>
                <w:szCs w:val="24"/>
                <w:highlight w:val="none"/>
              </w:rPr>
            </w:pPr>
            <w:r>
              <w:rPr>
                <w:rFonts w:eastAsia="宋体"/>
                <w:color w:val="auto"/>
                <w:sz w:val="24"/>
                <w:szCs w:val="24"/>
                <w:highlight w:val="none"/>
              </w:rPr>
              <w:t>姓名</w:t>
            </w:r>
          </w:p>
        </w:tc>
        <w:tc>
          <w:tcPr>
            <w:tcW w:w="1100" w:type="dxa"/>
            <w:gridSpan w:val="2"/>
          </w:tcPr>
          <w:p w14:paraId="0CEC5E5A">
            <w:pPr>
              <w:adjustRightInd w:val="0"/>
              <w:snapToGrid w:val="0"/>
              <w:rPr>
                <w:rFonts w:eastAsia="宋体"/>
                <w:color w:val="auto"/>
                <w:sz w:val="24"/>
                <w:szCs w:val="24"/>
                <w:highlight w:val="none"/>
              </w:rPr>
            </w:pPr>
          </w:p>
        </w:tc>
        <w:tc>
          <w:tcPr>
            <w:tcW w:w="900" w:type="dxa"/>
          </w:tcPr>
          <w:p w14:paraId="54DC509C">
            <w:pPr>
              <w:adjustRightInd w:val="0"/>
              <w:snapToGrid w:val="0"/>
              <w:rPr>
                <w:rFonts w:eastAsia="宋体"/>
                <w:color w:val="auto"/>
                <w:sz w:val="24"/>
                <w:szCs w:val="24"/>
                <w:highlight w:val="none"/>
              </w:rPr>
            </w:pPr>
            <w:r>
              <w:rPr>
                <w:rFonts w:eastAsia="宋体"/>
                <w:color w:val="auto"/>
                <w:sz w:val="24"/>
                <w:szCs w:val="24"/>
                <w:highlight w:val="none"/>
              </w:rPr>
              <w:t>性别</w:t>
            </w:r>
          </w:p>
        </w:tc>
        <w:tc>
          <w:tcPr>
            <w:tcW w:w="1800" w:type="dxa"/>
            <w:gridSpan w:val="3"/>
          </w:tcPr>
          <w:p w14:paraId="7FB2411A">
            <w:pPr>
              <w:adjustRightInd w:val="0"/>
              <w:snapToGrid w:val="0"/>
              <w:rPr>
                <w:rFonts w:eastAsia="宋体"/>
                <w:color w:val="auto"/>
                <w:sz w:val="24"/>
                <w:szCs w:val="24"/>
                <w:highlight w:val="none"/>
              </w:rPr>
            </w:pPr>
          </w:p>
        </w:tc>
        <w:tc>
          <w:tcPr>
            <w:tcW w:w="2320" w:type="dxa"/>
            <w:gridSpan w:val="3"/>
          </w:tcPr>
          <w:p w14:paraId="38D508B2">
            <w:pPr>
              <w:adjustRightInd w:val="0"/>
              <w:snapToGrid w:val="0"/>
              <w:rPr>
                <w:rFonts w:eastAsia="宋体"/>
                <w:color w:val="auto"/>
                <w:sz w:val="24"/>
                <w:szCs w:val="24"/>
                <w:highlight w:val="none"/>
              </w:rPr>
            </w:pPr>
            <w:r>
              <w:rPr>
                <w:rFonts w:eastAsia="宋体"/>
                <w:color w:val="auto"/>
                <w:sz w:val="24"/>
                <w:szCs w:val="24"/>
                <w:highlight w:val="none"/>
              </w:rPr>
              <w:t>年龄</w:t>
            </w:r>
          </w:p>
        </w:tc>
        <w:tc>
          <w:tcPr>
            <w:tcW w:w="1440" w:type="dxa"/>
          </w:tcPr>
          <w:p w14:paraId="5FA897E6">
            <w:pPr>
              <w:adjustRightInd w:val="0"/>
              <w:snapToGrid w:val="0"/>
              <w:rPr>
                <w:rFonts w:eastAsia="宋体"/>
                <w:color w:val="auto"/>
                <w:sz w:val="24"/>
                <w:szCs w:val="24"/>
                <w:highlight w:val="none"/>
              </w:rPr>
            </w:pPr>
          </w:p>
        </w:tc>
      </w:tr>
      <w:tr w14:paraId="2875D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260" w:type="dxa"/>
          </w:tcPr>
          <w:p w14:paraId="744476D8">
            <w:pPr>
              <w:adjustRightInd w:val="0"/>
              <w:snapToGrid w:val="0"/>
              <w:rPr>
                <w:rFonts w:eastAsia="宋体"/>
                <w:color w:val="auto"/>
                <w:sz w:val="24"/>
                <w:szCs w:val="24"/>
                <w:highlight w:val="none"/>
              </w:rPr>
            </w:pPr>
            <w:r>
              <w:rPr>
                <w:rFonts w:eastAsia="宋体"/>
                <w:color w:val="auto"/>
                <w:sz w:val="24"/>
                <w:szCs w:val="24"/>
                <w:highlight w:val="none"/>
              </w:rPr>
              <w:t>职务</w:t>
            </w:r>
          </w:p>
        </w:tc>
        <w:tc>
          <w:tcPr>
            <w:tcW w:w="1100" w:type="dxa"/>
            <w:gridSpan w:val="2"/>
          </w:tcPr>
          <w:p w14:paraId="70012C3E">
            <w:pPr>
              <w:adjustRightInd w:val="0"/>
              <w:snapToGrid w:val="0"/>
              <w:rPr>
                <w:rFonts w:eastAsia="宋体"/>
                <w:color w:val="auto"/>
                <w:sz w:val="24"/>
                <w:szCs w:val="24"/>
                <w:highlight w:val="none"/>
              </w:rPr>
            </w:pPr>
          </w:p>
        </w:tc>
        <w:tc>
          <w:tcPr>
            <w:tcW w:w="900" w:type="dxa"/>
          </w:tcPr>
          <w:p w14:paraId="1F5BB330">
            <w:pPr>
              <w:adjustRightInd w:val="0"/>
              <w:snapToGrid w:val="0"/>
              <w:rPr>
                <w:rFonts w:eastAsia="宋体"/>
                <w:color w:val="auto"/>
                <w:sz w:val="24"/>
                <w:szCs w:val="24"/>
                <w:highlight w:val="none"/>
              </w:rPr>
            </w:pPr>
            <w:r>
              <w:rPr>
                <w:rFonts w:eastAsia="宋体"/>
                <w:color w:val="auto"/>
                <w:sz w:val="24"/>
                <w:szCs w:val="24"/>
                <w:highlight w:val="none"/>
              </w:rPr>
              <w:t>职称</w:t>
            </w:r>
          </w:p>
        </w:tc>
        <w:tc>
          <w:tcPr>
            <w:tcW w:w="1800" w:type="dxa"/>
            <w:gridSpan w:val="3"/>
          </w:tcPr>
          <w:p w14:paraId="03AEAB1B">
            <w:pPr>
              <w:adjustRightInd w:val="0"/>
              <w:snapToGrid w:val="0"/>
              <w:rPr>
                <w:rFonts w:eastAsia="宋体"/>
                <w:color w:val="auto"/>
                <w:sz w:val="24"/>
                <w:szCs w:val="24"/>
                <w:highlight w:val="none"/>
              </w:rPr>
            </w:pPr>
          </w:p>
        </w:tc>
        <w:tc>
          <w:tcPr>
            <w:tcW w:w="2320" w:type="dxa"/>
            <w:gridSpan w:val="3"/>
          </w:tcPr>
          <w:p w14:paraId="6D109037">
            <w:pPr>
              <w:adjustRightInd w:val="0"/>
              <w:snapToGrid w:val="0"/>
              <w:rPr>
                <w:rFonts w:eastAsia="宋体"/>
                <w:color w:val="auto"/>
                <w:sz w:val="24"/>
                <w:szCs w:val="24"/>
                <w:highlight w:val="none"/>
              </w:rPr>
            </w:pPr>
            <w:r>
              <w:rPr>
                <w:rFonts w:eastAsia="宋体"/>
                <w:color w:val="auto"/>
                <w:sz w:val="24"/>
                <w:szCs w:val="24"/>
                <w:highlight w:val="none"/>
              </w:rPr>
              <w:t>学历</w:t>
            </w:r>
          </w:p>
        </w:tc>
        <w:tc>
          <w:tcPr>
            <w:tcW w:w="1440" w:type="dxa"/>
          </w:tcPr>
          <w:p w14:paraId="38491680">
            <w:pPr>
              <w:adjustRightInd w:val="0"/>
              <w:snapToGrid w:val="0"/>
              <w:rPr>
                <w:rFonts w:eastAsia="宋体"/>
                <w:color w:val="auto"/>
                <w:sz w:val="24"/>
                <w:szCs w:val="24"/>
                <w:highlight w:val="none"/>
              </w:rPr>
            </w:pPr>
          </w:p>
        </w:tc>
      </w:tr>
      <w:tr w14:paraId="37E43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5" w:hRule="atLeast"/>
          <w:jc w:val="center"/>
        </w:trPr>
        <w:tc>
          <w:tcPr>
            <w:tcW w:w="1260" w:type="dxa"/>
          </w:tcPr>
          <w:p w14:paraId="659FDE59">
            <w:pPr>
              <w:adjustRightInd w:val="0"/>
              <w:snapToGrid w:val="0"/>
              <w:rPr>
                <w:rFonts w:eastAsia="宋体"/>
                <w:color w:val="auto"/>
                <w:sz w:val="24"/>
                <w:szCs w:val="24"/>
                <w:highlight w:val="none"/>
              </w:rPr>
            </w:pPr>
            <w:r>
              <w:rPr>
                <w:rFonts w:eastAsia="宋体"/>
                <w:color w:val="auto"/>
                <w:sz w:val="24"/>
                <w:szCs w:val="24"/>
                <w:highlight w:val="none"/>
              </w:rPr>
              <w:t>毕业院校</w:t>
            </w:r>
          </w:p>
        </w:tc>
        <w:tc>
          <w:tcPr>
            <w:tcW w:w="3800" w:type="dxa"/>
            <w:gridSpan w:val="6"/>
          </w:tcPr>
          <w:p w14:paraId="77CA4D72">
            <w:pPr>
              <w:adjustRightInd w:val="0"/>
              <w:snapToGrid w:val="0"/>
              <w:rPr>
                <w:rFonts w:eastAsia="宋体"/>
                <w:color w:val="auto"/>
                <w:sz w:val="24"/>
                <w:szCs w:val="24"/>
                <w:highlight w:val="none"/>
              </w:rPr>
            </w:pPr>
          </w:p>
        </w:tc>
        <w:tc>
          <w:tcPr>
            <w:tcW w:w="2320" w:type="dxa"/>
            <w:gridSpan w:val="3"/>
          </w:tcPr>
          <w:p w14:paraId="49024FCB">
            <w:pPr>
              <w:adjustRightInd w:val="0"/>
              <w:snapToGrid w:val="0"/>
              <w:rPr>
                <w:rFonts w:eastAsia="宋体"/>
                <w:color w:val="auto"/>
                <w:sz w:val="24"/>
                <w:szCs w:val="24"/>
                <w:highlight w:val="none"/>
              </w:rPr>
            </w:pPr>
            <w:r>
              <w:rPr>
                <w:rFonts w:eastAsia="宋体"/>
                <w:color w:val="auto"/>
                <w:sz w:val="24"/>
                <w:szCs w:val="24"/>
                <w:highlight w:val="none"/>
              </w:rPr>
              <w:t>专业</w:t>
            </w:r>
          </w:p>
        </w:tc>
        <w:tc>
          <w:tcPr>
            <w:tcW w:w="1440" w:type="dxa"/>
          </w:tcPr>
          <w:p w14:paraId="6EE3357E">
            <w:pPr>
              <w:adjustRightInd w:val="0"/>
              <w:snapToGrid w:val="0"/>
              <w:rPr>
                <w:rFonts w:eastAsia="宋体"/>
                <w:color w:val="auto"/>
                <w:sz w:val="24"/>
                <w:szCs w:val="24"/>
                <w:highlight w:val="none"/>
              </w:rPr>
            </w:pPr>
          </w:p>
        </w:tc>
      </w:tr>
      <w:tr w14:paraId="03E7F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2360" w:type="dxa"/>
            <w:gridSpan w:val="3"/>
          </w:tcPr>
          <w:p w14:paraId="7907CBCB">
            <w:pPr>
              <w:adjustRightInd w:val="0"/>
              <w:snapToGrid w:val="0"/>
              <w:rPr>
                <w:rFonts w:eastAsia="宋体"/>
                <w:color w:val="auto"/>
                <w:sz w:val="24"/>
                <w:szCs w:val="24"/>
                <w:highlight w:val="none"/>
              </w:rPr>
            </w:pPr>
            <w:r>
              <w:rPr>
                <w:rFonts w:eastAsia="宋体"/>
                <w:color w:val="auto"/>
                <w:sz w:val="24"/>
                <w:szCs w:val="24"/>
                <w:highlight w:val="none"/>
              </w:rPr>
              <w:t>执业资格</w:t>
            </w:r>
          </w:p>
        </w:tc>
        <w:tc>
          <w:tcPr>
            <w:tcW w:w="2700" w:type="dxa"/>
            <w:gridSpan w:val="4"/>
          </w:tcPr>
          <w:p w14:paraId="799200F3">
            <w:pPr>
              <w:adjustRightInd w:val="0"/>
              <w:snapToGrid w:val="0"/>
              <w:rPr>
                <w:rFonts w:eastAsia="宋体"/>
                <w:color w:val="auto"/>
                <w:sz w:val="24"/>
                <w:szCs w:val="24"/>
                <w:highlight w:val="none"/>
              </w:rPr>
            </w:pPr>
          </w:p>
        </w:tc>
        <w:tc>
          <w:tcPr>
            <w:tcW w:w="2320" w:type="dxa"/>
            <w:gridSpan w:val="3"/>
          </w:tcPr>
          <w:p w14:paraId="4920BE9F">
            <w:pPr>
              <w:adjustRightInd w:val="0"/>
              <w:snapToGrid w:val="0"/>
              <w:rPr>
                <w:rFonts w:eastAsia="宋体"/>
                <w:color w:val="auto"/>
                <w:sz w:val="24"/>
                <w:szCs w:val="24"/>
                <w:highlight w:val="none"/>
              </w:rPr>
            </w:pPr>
          </w:p>
        </w:tc>
        <w:tc>
          <w:tcPr>
            <w:tcW w:w="1440" w:type="dxa"/>
          </w:tcPr>
          <w:p w14:paraId="5EBC6F47">
            <w:pPr>
              <w:adjustRightInd w:val="0"/>
              <w:snapToGrid w:val="0"/>
              <w:rPr>
                <w:rFonts w:eastAsia="宋体"/>
                <w:color w:val="auto"/>
                <w:sz w:val="24"/>
                <w:szCs w:val="24"/>
                <w:highlight w:val="none"/>
              </w:rPr>
            </w:pPr>
          </w:p>
        </w:tc>
      </w:tr>
      <w:tr w14:paraId="7F646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1" w:hRule="atLeast"/>
          <w:jc w:val="center"/>
        </w:trPr>
        <w:tc>
          <w:tcPr>
            <w:tcW w:w="8820" w:type="dxa"/>
            <w:gridSpan w:val="11"/>
          </w:tcPr>
          <w:p w14:paraId="169110EC">
            <w:pPr>
              <w:adjustRightInd w:val="0"/>
              <w:snapToGrid w:val="0"/>
              <w:rPr>
                <w:rFonts w:eastAsia="宋体"/>
                <w:color w:val="auto"/>
                <w:sz w:val="24"/>
                <w:szCs w:val="24"/>
                <w:highlight w:val="none"/>
              </w:rPr>
            </w:pPr>
            <w:r>
              <w:rPr>
                <w:rFonts w:eastAsia="宋体"/>
                <w:color w:val="auto"/>
                <w:sz w:val="24"/>
                <w:szCs w:val="24"/>
                <w:highlight w:val="none"/>
              </w:rPr>
              <w:t>已完成同类项目情况</w:t>
            </w:r>
          </w:p>
        </w:tc>
      </w:tr>
      <w:tr w14:paraId="63AD4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598" w:type="dxa"/>
            <w:gridSpan w:val="2"/>
          </w:tcPr>
          <w:p w14:paraId="39CF7542">
            <w:pPr>
              <w:adjustRightInd w:val="0"/>
              <w:snapToGrid w:val="0"/>
              <w:rPr>
                <w:rFonts w:eastAsia="宋体"/>
                <w:color w:val="auto"/>
                <w:sz w:val="24"/>
                <w:szCs w:val="24"/>
                <w:highlight w:val="none"/>
              </w:rPr>
            </w:pPr>
            <w:r>
              <w:rPr>
                <w:rFonts w:eastAsia="宋体"/>
                <w:color w:val="auto"/>
                <w:sz w:val="24"/>
                <w:szCs w:val="24"/>
                <w:highlight w:val="none"/>
              </w:rPr>
              <w:t>业主单位</w:t>
            </w:r>
          </w:p>
        </w:tc>
        <w:tc>
          <w:tcPr>
            <w:tcW w:w="1843" w:type="dxa"/>
            <w:gridSpan w:val="3"/>
            <w:tcBorders>
              <w:top w:val="nil"/>
            </w:tcBorders>
          </w:tcPr>
          <w:p w14:paraId="1E318054">
            <w:pPr>
              <w:adjustRightInd w:val="0"/>
              <w:snapToGrid w:val="0"/>
              <w:rPr>
                <w:rFonts w:eastAsia="宋体"/>
                <w:color w:val="auto"/>
                <w:sz w:val="24"/>
                <w:szCs w:val="24"/>
                <w:highlight w:val="none"/>
              </w:rPr>
            </w:pPr>
            <w:r>
              <w:rPr>
                <w:rFonts w:eastAsia="宋体"/>
                <w:color w:val="auto"/>
                <w:sz w:val="24"/>
                <w:szCs w:val="24"/>
                <w:highlight w:val="none"/>
              </w:rPr>
              <w:t>同类项目名称</w:t>
            </w:r>
          </w:p>
        </w:tc>
        <w:tc>
          <w:tcPr>
            <w:tcW w:w="1275" w:type="dxa"/>
            <w:tcBorders>
              <w:top w:val="nil"/>
            </w:tcBorders>
          </w:tcPr>
          <w:p w14:paraId="6548FFAD">
            <w:pPr>
              <w:adjustRightInd w:val="0"/>
              <w:snapToGrid w:val="0"/>
              <w:rPr>
                <w:rFonts w:eastAsia="宋体"/>
                <w:color w:val="auto"/>
                <w:sz w:val="24"/>
                <w:szCs w:val="24"/>
                <w:highlight w:val="none"/>
              </w:rPr>
            </w:pPr>
            <w:r>
              <w:rPr>
                <w:rFonts w:eastAsia="宋体"/>
                <w:color w:val="auto"/>
                <w:sz w:val="24"/>
                <w:szCs w:val="24"/>
                <w:highlight w:val="none"/>
              </w:rPr>
              <w:t>规模</w:t>
            </w:r>
          </w:p>
        </w:tc>
        <w:tc>
          <w:tcPr>
            <w:tcW w:w="1134" w:type="dxa"/>
            <w:gridSpan w:val="2"/>
            <w:tcBorders>
              <w:top w:val="nil"/>
            </w:tcBorders>
          </w:tcPr>
          <w:p w14:paraId="6F4AF92B">
            <w:pPr>
              <w:adjustRightInd w:val="0"/>
              <w:snapToGrid w:val="0"/>
              <w:rPr>
                <w:rFonts w:eastAsia="宋体"/>
                <w:color w:val="auto"/>
                <w:sz w:val="24"/>
                <w:szCs w:val="24"/>
                <w:highlight w:val="none"/>
              </w:rPr>
            </w:pPr>
            <w:r>
              <w:rPr>
                <w:rFonts w:eastAsia="宋体"/>
                <w:color w:val="auto"/>
                <w:sz w:val="24"/>
                <w:szCs w:val="24"/>
                <w:highlight w:val="none"/>
              </w:rPr>
              <w:t>金额</w:t>
            </w:r>
          </w:p>
        </w:tc>
        <w:tc>
          <w:tcPr>
            <w:tcW w:w="1418" w:type="dxa"/>
            <w:tcBorders>
              <w:top w:val="nil"/>
            </w:tcBorders>
          </w:tcPr>
          <w:p w14:paraId="6FC9D9C6">
            <w:pPr>
              <w:adjustRightInd w:val="0"/>
              <w:snapToGrid w:val="0"/>
              <w:rPr>
                <w:rFonts w:eastAsia="宋体"/>
                <w:color w:val="auto"/>
                <w:sz w:val="24"/>
                <w:szCs w:val="24"/>
                <w:highlight w:val="none"/>
              </w:rPr>
            </w:pPr>
            <w:r>
              <w:rPr>
                <w:rFonts w:eastAsia="宋体"/>
                <w:color w:val="auto"/>
                <w:sz w:val="24"/>
                <w:szCs w:val="24"/>
                <w:highlight w:val="none"/>
              </w:rPr>
              <w:t>完成时间</w:t>
            </w:r>
          </w:p>
        </w:tc>
        <w:tc>
          <w:tcPr>
            <w:tcW w:w="1552" w:type="dxa"/>
            <w:gridSpan w:val="2"/>
            <w:tcBorders>
              <w:top w:val="nil"/>
            </w:tcBorders>
          </w:tcPr>
          <w:p w14:paraId="5BED9FED">
            <w:pPr>
              <w:adjustRightInd w:val="0"/>
              <w:snapToGrid w:val="0"/>
              <w:rPr>
                <w:rFonts w:eastAsia="宋体"/>
                <w:color w:val="auto"/>
                <w:sz w:val="24"/>
                <w:szCs w:val="24"/>
                <w:highlight w:val="none"/>
              </w:rPr>
            </w:pPr>
            <w:r>
              <w:rPr>
                <w:rFonts w:eastAsia="宋体"/>
                <w:color w:val="auto"/>
                <w:sz w:val="24"/>
                <w:szCs w:val="24"/>
                <w:highlight w:val="none"/>
              </w:rPr>
              <w:t>证明人</w:t>
            </w:r>
          </w:p>
        </w:tc>
      </w:tr>
      <w:tr w14:paraId="75A71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1598" w:type="dxa"/>
            <w:gridSpan w:val="2"/>
          </w:tcPr>
          <w:p w14:paraId="457EE694">
            <w:pPr>
              <w:adjustRightInd w:val="0"/>
              <w:snapToGrid w:val="0"/>
              <w:rPr>
                <w:rFonts w:eastAsia="宋体"/>
                <w:color w:val="auto"/>
                <w:sz w:val="24"/>
                <w:szCs w:val="24"/>
                <w:highlight w:val="none"/>
              </w:rPr>
            </w:pPr>
          </w:p>
        </w:tc>
        <w:tc>
          <w:tcPr>
            <w:tcW w:w="1843" w:type="dxa"/>
            <w:gridSpan w:val="3"/>
          </w:tcPr>
          <w:p w14:paraId="08E04798">
            <w:pPr>
              <w:adjustRightInd w:val="0"/>
              <w:snapToGrid w:val="0"/>
              <w:rPr>
                <w:rFonts w:eastAsia="宋体"/>
                <w:color w:val="auto"/>
                <w:sz w:val="24"/>
                <w:szCs w:val="24"/>
                <w:highlight w:val="none"/>
              </w:rPr>
            </w:pPr>
          </w:p>
        </w:tc>
        <w:tc>
          <w:tcPr>
            <w:tcW w:w="1275" w:type="dxa"/>
          </w:tcPr>
          <w:p w14:paraId="44F3B936">
            <w:pPr>
              <w:adjustRightInd w:val="0"/>
              <w:snapToGrid w:val="0"/>
              <w:rPr>
                <w:rFonts w:eastAsia="宋体"/>
                <w:color w:val="auto"/>
                <w:sz w:val="24"/>
                <w:szCs w:val="24"/>
                <w:highlight w:val="none"/>
              </w:rPr>
            </w:pPr>
          </w:p>
        </w:tc>
        <w:tc>
          <w:tcPr>
            <w:tcW w:w="1134" w:type="dxa"/>
            <w:gridSpan w:val="2"/>
          </w:tcPr>
          <w:p w14:paraId="202C944F">
            <w:pPr>
              <w:adjustRightInd w:val="0"/>
              <w:snapToGrid w:val="0"/>
              <w:rPr>
                <w:rFonts w:eastAsia="宋体"/>
                <w:color w:val="auto"/>
                <w:sz w:val="24"/>
                <w:szCs w:val="24"/>
                <w:highlight w:val="none"/>
              </w:rPr>
            </w:pPr>
          </w:p>
        </w:tc>
        <w:tc>
          <w:tcPr>
            <w:tcW w:w="1418" w:type="dxa"/>
          </w:tcPr>
          <w:p w14:paraId="3320EBCD">
            <w:pPr>
              <w:adjustRightInd w:val="0"/>
              <w:snapToGrid w:val="0"/>
              <w:rPr>
                <w:rFonts w:eastAsia="宋体"/>
                <w:color w:val="auto"/>
                <w:sz w:val="24"/>
                <w:szCs w:val="24"/>
                <w:highlight w:val="none"/>
              </w:rPr>
            </w:pPr>
          </w:p>
        </w:tc>
        <w:tc>
          <w:tcPr>
            <w:tcW w:w="1552" w:type="dxa"/>
            <w:gridSpan w:val="2"/>
          </w:tcPr>
          <w:p w14:paraId="0AE6BA05">
            <w:pPr>
              <w:adjustRightInd w:val="0"/>
              <w:snapToGrid w:val="0"/>
              <w:rPr>
                <w:rFonts w:eastAsia="宋体"/>
                <w:color w:val="auto"/>
                <w:sz w:val="24"/>
                <w:szCs w:val="24"/>
                <w:highlight w:val="none"/>
              </w:rPr>
            </w:pPr>
          </w:p>
        </w:tc>
      </w:tr>
      <w:tr w14:paraId="13045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1598" w:type="dxa"/>
            <w:gridSpan w:val="2"/>
          </w:tcPr>
          <w:p w14:paraId="65D29FFD">
            <w:pPr>
              <w:adjustRightInd w:val="0"/>
              <w:snapToGrid w:val="0"/>
              <w:rPr>
                <w:rFonts w:eastAsia="宋体"/>
                <w:color w:val="auto"/>
                <w:sz w:val="24"/>
                <w:szCs w:val="24"/>
                <w:highlight w:val="none"/>
              </w:rPr>
            </w:pPr>
          </w:p>
        </w:tc>
        <w:tc>
          <w:tcPr>
            <w:tcW w:w="1843" w:type="dxa"/>
            <w:gridSpan w:val="3"/>
          </w:tcPr>
          <w:p w14:paraId="7A1EF939">
            <w:pPr>
              <w:adjustRightInd w:val="0"/>
              <w:snapToGrid w:val="0"/>
              <w:rPr>
                <w:rFonts w:eastAsia="宋体"/>
                <w:color w:val="auto"/>
                <w:sz w:val="24"/>
                <w:szCs w:val="24"/>
                <w:highlight w:val="none"/>
              </w:rPr>
            </w:pPr>
          </w:p>
        </w:tc>
        <w:tc>
          <w:tcPr>
            <w:tcW w:w="1275" w:type="dxa"/>
          </w:tcPr>
          <w:p w14:paraId="563509A0">
            <w:pPr>
              <w:adjustRightInd w:val="0"/>
              <w:snapToGrid w:val="0"/>
              <w:rPr>
                <w:rFonts w:eastAsia="宋体"/>
                <w:color w:val="auto"/>
                <w:sz w:val="24"/>
                <w:szCs w:val="24"/>
                <w:highlight w:val="none"/>
              </w:rPr>
            </w:pPr>
          </w:p>
        </w:tc>
        <w:tc>
          <w:tcPr>
            <w:tcW w:w="1134" w:type="dxa"/>
            <w:gridSpan w:val="2"/>
          </w:tcPr>
          <w:p w14:paraId="56FB1999">
            <w:pPr>
              <w:adjustRightInd w:val="0"/>
              <w:snapToGrid w:val="0"/>
              <w:rPr>
                <w:rFonts w:eastAsia="宋体"/>
                <w:color w:val="auto"/>
                <w:sz w:val="24"/>
                <w:szCs w:val="24"/>
                <w:highlight w:val="none"/>
              </w:rPr>
            </w:pPr>
          </w:p>
        </w:tc>
        <w:tc>
          <w:tcPr>
            <w:tcW w:w="1418" w:type="dxa"/>
          </w:tcPr>
          <w:p w14:paraId="3ED13096">
            <w:pPr>
              <w:adjustRightInd w:val="0"/>
              <w:snapToGrid w:val="0"/>
              <w:rPr>
                <w:rFonts w:eastAsia="宋体"/>
                <w:color w:val="auto"/>
                <w:sz w:val="24"/>
                <w:szCs w:val="24"/>
                <w:highlight w:val="none"/>
              </w:rPr>
            </w:pPr>
          </w:p>
        </w:tc>
        <w:tc>
          <w:tcPr>
            <w:tcW w:w="1552" w:type="dxa"/>
            <w:gridSpan w:val="2"/>
          </w:tcPr>
          <w:p w14:paraId="5315F562">
            <w:pPr>
              <w:adjustRightInd w:val="0"/>
              <w:snapToGrid w:val="0"/>
              <w:rPr>
                <w:rFonts w:eastAsia="宋体"/>
                <w:color w:val="auto"/>
                <w:sz w:val="24"/>
                <w:szCs w:val="24"/>
                <w:highlight w:val="none"/>
              </w:rPr>
            </w:pPr>
          </w:p>
        </w:tc>
      </w:tr>
      <w:tr w14:paraId="13D7B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1598" w:type="dxa"/>
            <w:gridSpan w:val="2"/>
          </w:tcPr>
          <w:p w14:paraId="043A2FBB">
            <w:pPr>
              <w:adjustRightInd w:val="0"/>
              <w:snapToGrid w:val="0"/>
              <w:rPr>
                <w:rFonts w:eastAsia="宋体"/>
                <w:color w:val="auto"/>
                <w:sz w:val="24"/>
                <w:szCs w:val="24"/>
                <w:highlight w:val="none"/>
              </w:rPr>
            </w:pPr>
          </w:p>
        </w:tc>
        <w:tc>
          <w:tcPr>
            <w:tcW w:w="1843" w:type="dxa"/>
            <w:gridSpan w:val="3"/>
          </w:tcPr>
          <w:p w14:paraId="526C60B8">
            <w:pPr>
              <w:adjustRightInd w:val="0"/>
              <w:snapToGrid w:val="0"/>
              <w:rPr>
                <w:rFonts w:eastAsia="宋体"/>
                <w:color w:val="auto"/>
                <w:sz w:val="24"/>
                <w:szCs w:val="24"/>
                <w:highlight w:val="none"/>
              </w:rPr>
            </w:pPr>
          </w:p>
        </w:tc>
        <w:tc>
          <w:tcPr>
            <w:tcW w:w="1275" w:type="dxa"/>
          </w:tcPr>
          <w:p w14:paraId="745C6325">
            <w:pPr>
              <w:adjustRightInd w:val="0"/>
              <w:snapToGrid w:val="0"/>
              <w:rPr>
                <w:rFonts w:eastAsia="宋体"/>
                <w:color w:val="auto"/>
                <w:sz w:val="24"/>
                <w:szCs w:val="24"/>
                <w:highlight w:val="none"/>
              </w:rPr>
            </w:pPr>
          </w:p>
        </w:tc>
        <w:tc>
          <w:tcPr>
            <w:tcW w:w="1134" w:type="dxa"/>
            <w:gridSpan w:val="2"/>
          </w:tcPr>
          <w:p w14:paraId="78FB25C7">
            <w:pPr>
              <w:adjustRightInd w:val="0"/>
              <w:snapToGrid w:val="0"/>
              <w:rPr>
                <w:rFonts w:eastAsia="宋体"/>
                <w:color w:val="auto"/>
                <w:sz w:val="24"/>
                <w:szCs w:val="24"/>
                <w:highlight w:val="none"/>
              </w:rPr>
            </w:pPr>
          </w:p>
        </w:tc>
        <w:tc>
          <w:tcPr>
            <w:tcW w:w="1418" w:type="dxa"/>
          </w:tcPr>
          <w:p w14:paraId="54CD9074">
            <w:pPr>
              <w:adjustRightInd w:val="0"/>
              <w:snapToGrid w:val="0"/>
              <w:rPr>
                <w:rFonts w:eastAsia="宋体"/>
                <w:color w:val="auto"/>
                <w:sz w:val="24"/>
                <w:szCs w:val="24"/>
                <w:highlight w:val="none"/>
              </w:rPr>
            </w:pPr>
          </w:p>
        </w:tc>
        <w:tc>
          <w:tcPr>
            <w:tcW w:w="1552" w:type="dxa"/>
            <w:gridSpan w:val="2"/>
          </w:tcPr>
          <w:p w14:paraId="6DD8A739">
            <w:pPr>
              <w:adjustRightInd w:val="0"/>
              <w:snapToGrid w:val="0"/>
              <w:rPr>
                <w:rFonts w:eastAsia="宋体"/>
                <w:color w:val="auto"/>
                <w:sz w:val="24"/>
                <w:szCs w:val="24"/>
                <w:highlight w:val="none"/>
              </w:rPr>
            </w:pPr>
          </w:p>
        </w:tc>
      </w:tr>
    </w:tbl>
    <w:p w14:paraId="3F92DA84">
      <w:pPr>
        <w:adjustRightInd w:val="0"/>
        <w:snapToGrid w:val="0"/>
        <w:rPr>
          <w:rFonts w:eastAsia="宋体"/>
          <w:b/>
          <w:color w:val="auto"/>
          <w:sz w:val="24"/>
          <w:szCs w:val="24"/>
          <w:highlight w:val="none"/>
        </w:rPr>
      </w:pPr>
    </w:p>
    <w:p w14:paraId="71A033BC">
      <w:pPr>
        <w:adjustRightInd w:val="0"/>
        <w:snapToGrid w:val="0"/>
        <w:jc w:val="center"/>
        <w:rPr>
          <w:rFonts w:eastAsia="宋体"/>
          <w:b/>
          <w:color w:val="auto"/>
          <w:sz w:val="24"/>
          <w:szCs w:val="24"/>
          <w:highlight w:val="none"/>
        </w:rPr>
      </w:pPr>
    </w:p>
    <w:p w14:paraId="38AD51DC">
      <w:pPr>
        <w:adjustRightInd w:val="0"/>
        <w:snapToGrid w:val="0"/>
        <w:jc w:val="center"/>
        <w:rPr>
          <w:rFonts w:eastAsia="宋体"/>
          <w:b/>
          <w:color w:val="auto"/>
          <w:sz w:val="24"/>
          <w:szCs w:val="24"/>
          <w:highlight w:val="none"/>
        </w:rPr>
      </w:pPr>
      <w:r>
        <w:rPr>
          <w:rFonts w:eastAsia="宋体"/>
          <w:b/>
          <w:color w:val="auto"/>
          <w:sz w:val="24"/>
          <w:szCs w:val="24"/>
          <w:highlight w:val="none"/>
        </w:rPr>
        <w:t>4.拟投入本项目的相关人员简历表</w:t>
      </w:r>
      <w:bookmarkEnd w:id="1768"/>
      <w:bookmarkEnd w:id="1769"/>
      <w:bookmarkEnd w:id="1770"/>
    </w:p>
    <w:p w14:paraId="15CCA40C">
      <w:pPr>
        <w:adjustRightInd w:val="0"/>
        <w:snapToGrid w:val="0"/>
        <w:ind w:firstLine="480" w:firstLineChars="200"/>
        <w:rPr>
          <w:rFonts w:eastAsia="宋体"/>
          <w:color w:val="auto"/>
          <w:sz w:val="24"/>
          <w:szCs w:val="24"/>
          <w:highlight w:val="none"/>
        </w:rPr>
      </w:pPr>
      <w:r>
        <w:rPr>
          <w:rFonts w:eastAsia="宋体"/>
          <w:color w:val="auto"/>
          <w:sz w:val="24"/>
          <w:szCs w:val="24"/>
          <w:highlight w:val="none"/>
        </w:rPr>
        <w:t>采购编号：</w:t>
      </w:r>
      <w:r>
        <w:rPr>
          <w:rFonts w:eastAsia="宋体"/>
          <w:b/>
          <w:color w:val="auto"/>
          <w:sz w:val="24"/>
          <w:szCs w:val="24"/>
          <w:highlight w:val="none"/>
        </w:rPr>
        <w:t xml:space="preserve">     </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0"/>
        <w:gridCol w:w="15"/>
        <w:gridCol w:w="1065"/>
        <w:gridCol w:w="615"/>
        <w:gridCol w:w="330"/>
        <w:gridCol w:w="945"/>
        <w:gridCol w:w="1035"/>
        <w:gridCol w:w="315"/>
        <w:gridCol w:w="2340"/>
      </w:tblGrid>
      <w:tr w14:paraId="1C188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9" w:hRule="atLeast"/>
          <w:jc w:val="center"/>
        </w:trPr>
        <w:tc>
          <w:tcPr>
            <w:tcW w:w="2160" w:type="dxa"/>
            <w:vAlign w:val="center"/>
          </w:tcPr>
          <w:p w14:paraId="410F0479">
            <w:pPr>
              <w:adjustRightInd w:val="0"/>
              <w:snapToGrid w:val="0"/>
              <w:rPr>
                <w:rFonts w:eastAsia="宋体"/>
                <w:color w:val="auto"/>
                <w:sz w:val="24"/>
                <w:szCs w:val="24"/>
                <w:highlight w:val="none"/>
              </w:rPr>
            </w:pPr>
            <w:r>
              <w:rPr>
                <w:rFonts w:eastAsia="宋体"/>
                <w:color w:val="auto"/>
                <w:sz w:val="24"/>
                <w:szCs w:val="24"/>
                <w:highlight w:val="none"/>
              </w:rPr>
              <w:t>姓  名</w:t>
            </w:r>
          </w:p>
        </w:tc>
        <w:tc>
          <w:tcPr>
            <w:tcW w:w="1080" w:type="dxa"/>
            <w:gridSpan w:val="2"/>
            <w:vAlign w:val="center"/>
          </w:tcPr>
          <w:p w14:paraId="73D5CA31">
            <w:pPr>
              <w:adjustRightInd w:val="0"/>
              <w:snapToGrid w:val="0"/>
              <w:rPr>
                <w:rFonts w:eastAsia="宋体"/>
                <w:color w:val="auto"/>
                <w:sz w:val="24"/>
                <w:szCs w:val="24"/>
                <w:highlight w:val="none"/>
              </w:rPr>
            </w:pPr>
          </w:p>
        </w:tc>
        <w:tc>
          <w:tcPr>
            <w:tcW w:w="945" w:type="dxa"/>
            <w:gridSpan w:val="2"/>
            <w:vAlign w:val="center"/>
          </w:tcPr>
          <w:p w14:paraId="53D53835">
            <w:pPr>
              <w:adjustRightInd w:val="0"/>
              <w:snapToGrid w:val="0"/>
              <w:rPr>
                <w:rFonts w:eastAsia="宋体"/>
                <w:color w:val="auto"/>
                <w:sz w:val="24"/>
                <w:szCs w:val="24"/>
                <w:highlight w:val="none"/>
              </w:rPr>
            </w:pPr>
            <w:r>
              <w:rPr>
                <w:rFonts w:eastAsia="宋体"/>
                <w:color w:val="auto"/>
                <w:sz w:val="24"/>
                <w:szCs w:val="24"/>
                <w:highlight w:val="none"/>
              </w:rPr>
              <w:t>性 别</w:t>
            </w:r>
          </w:p>
        </w:tc>
        <w:tc>
          <w:tcPr>
            <w:tcW w:w="945" w:type="dxa"/>
            <w:vAlign w:val="center"/>
          </w:tcPr>
          <w:p w14:paraId="0BC8C7F1">
            <w:pPr>
              <w:adjustRightInd w:val="0"/>
              <w:snapToGrid w:val="0"/>
              <w:rPr>
                <w:rFonts w:eastAsia="宋体"/>
                <w:color w:val="auto"/>
                <w:sz w:val="24"/>
                <w:szCs w:val="24"/>
                <w:highlight w:val="none"/>
              </w:rPr>
            </w:pPr>
          </w:p>
        </w:tc>
        <w:tc>
          <w:tcPr>
            <w:tcW w:w="1350" w:type="dxa"/>
            <w:gridSpan w:val="2"/>
            <w:vAlign w:val="center"/>
          </w:tcPr>
          <w:p w14:paraId="22EEAD73">
            <w:pPr>
              <w:adjustRightInd w:val="0"/>
              <w:snapToGrid w:val="0"/>
              <w:rPr>
                <w:rFonts w:eastAsia="宋体"/>
                <w:color w:val="auto"/>
                <w:sz w:val="24"/>
                <w:szCs w:val="24"/>
                <w:highlight w:val="none"/>
              </w:rPr>
            </w:pPr>
            <w:r>
              <w:rPr>
                <w:rFonts w:eastAsia="宋体"/>
                <w:color w:val="auto"/>
                <w:sz w:val="24"/>
                <w:szCs w:val="24"/>
                <w:highlight w:val="none"/>
              </w:rPr>
              <w:t>出生日期</w:t>
            </w:r>
          </w:p>
        </w:tc>
        <w:tc>
          <w:tcPr>
            <w:tcW w:w="2340" w:type="dxa"/>
            <w:vAlign w:val="center"/>
          </w:tcPr>
          <w:p w14:paraId="6981D5F1">
            <w:pPr>
              <w:adjustRightInd w:val="0"/>
              <w:snapToGrid w:val="0"/>
              <w:rPr>
                <w:rFonts w:eastAsia="宋体"/>
                <w:color w:val="auto"/>
                <w:sz w:val="24"/>
                <w:szCs w:val="24"/>
                <w:highlight w:val="none"/>
              </w:rPr>
            </w:pPr>
            <w:r>
              <w:rPr>
                <w:rFonts w:eastAsia="宋体"/>
                <w:color w:val="auto"/>
                <w:sz w:val="24"/>
                <w:szCs w:val="24"/>
                <w:highlight w:val="none"/>
              </w:rPr>
              <w:t xml:space="preserve">    年   月   日</w:t>
            </w:r>
          </w:p>
        </w:tc>
      </w:tr>
      <w:tr w14:paraId="086F8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2160" w:type="dxa"/>
            <w:vAlign w:val="center"/>
          </w:tcPr>
          <w:p w14:paraId="28F2AF8F">
            <w:pPr>
              <w:adjustRightInd w:val="0"/>
              <w:snapToGrid w:val="0"/>
              <w:jc w:val="left"/>
              <w:rPr>
                <w:rFonts w:eastAsia="宋体"/>
                <w:color w:val="auto"/>
                <w:sz w:val="24"/>
                <w:szCs w:val="24"/>
                <w:highlight w:val="none"/>
              </w:rPr>
            </w:pPr>
            <w:r>
              <w:rPr>
                <w:rFonts w:eastAsia="宋体"/>
                <w:color w:val="auto"/>
                <w:sz w:val="24"/>
                <w:szCs w:val="24"/>
                <w:highlight w:val="none"/>
              </w:rPr>
              <w:t>毕业院校</w:t>
            </w:r>
          </w:p>
        </w:tc>
        <w:tc>
          <w:tcPr>
            <w:tcW w:w="2970" w:type="dxa"/>
            <w:gridSpan w:val="5"/>
            <w:vAlign w:val="center"/>
          </w:tcPr>
          <w:p w14:paraId="1A4E216F">
            <w:pPr>
              <w:adjustRightInd w:val="0"/>
              <w:snapToGrid w:val="0"/>
              <w:rPr>
                <w:rFonts w:eastAsia="宋体"/>
                <w:color w:val="auto"/>
                <w:sz w:val="24"/>
                <w:szCs w:val="24"/>
                <w:highlight w:val="none"/>
              </w:rPr>
            </w:pPr>
          </w:p>
        </w:tc>
        <w:tc>
          <w:tcPr>
            <w:tcW w:w="1350" w:type="dxa"/>
            <w:gridSpan w:val="2"/>
            <w:vAlign w:val="center"/>
          </w:tcPr>
          <w:p w14:paraId="611A69E7">
            <w:pPr>
              <w:adjustRightInd w:val="0"/>
              <w:snapToGrid w:val="0"/>
              <w:rPr>
                <w:rFonts w:eastAsia="宋体"/>
                <w:color w:val="auto"/>
                <w:sz w:val="24"/>
                <w:szCs w:val="24"/>
                <w:highlight w:val="none"/>
              </w:rPr>
            </w:pPr>
            <w:r>
              <w:rPr>
                <w:rFonts w:eastAsia="宋体"/>
                <w:color w:val="auto"/>
                <w:sz w:val="24"/>
                <w:szCs w:val="24"/>
                <w:highlight w:val="none"/>
              </w:rPr>
              <w:t>毕业时间</w:t>
            </w:r>
          </w:p>
        </w:tc>
        <w:tc>
          <w:tcPr>
            <w:tcW w:w="2340" w:type="dxa"/>
            <w:vAlign w:val="center"/>
          </w:tcPr>
          <w:p w14:paraId="6F7F7657">
            <w:pPr>
              <w:adjustRightInd w:val="0"/>
              <w:snapToGrid w:val="0"/>
              <w:rPr>
                <w:rFonts w:eastAsia="宋体"/>
                <w:color w:val="auto"/>
                <w:sz w:val="24"/>
                <w:szCs w:val="24"/>
                <w:highlight w:val="none"/>
              </w:rPr>
            </w:pPr>
            <w:r>
              <w:rPr>
                <w:rFonts w:eastAsia="宋体"/>
                <w:color w:val="auto"/>
                <w:sz w:val="24"/>
                <w:szCs w:val="24"/>
                <w:highlight w:val="none"/>
              </w:rPr>
              <w:t xml:space="preserve">    年   月   日</w:t>
            </w:r>
          </w:p>
        </w:tc>
      </w:tr>
      <w:tr w14:paraId="57796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2160" w:type="dxa"/>
            <w:vAlign w:val="center"/>
          </w:tcPr>
          <w:p w14:paraId="62603332">
            <w:pPr>
              <w:adjustRightInd w:val="0"/>
              <w:snapToGrid w:val="0"/>
              <w:rPr>
                <w:rFonts w:eastAsia="宋体"/>
                <w:color w:val="auto"/>
                <w:sz w:val="24"/>
                <w:szCs w:val="24"/>
                <w:highlight w:val="none"/>
              </w:rPr>
            </w:pPr>
            <w:r>
              <w:rPr>
                <w:rFonts w:eastAsia="宋体"/>
                <w:color w:val="auto"/>
                <w:sz w:val="24"/>
                <w:szCs w:val="24"/>
                <w:highlight w:val="none"/>
              </w:rPr>
              <w:t>专业</w:t>
            </w:r>
          </w:p>
        </w:tc>
        <w:tc>
          <w:tcPr>
            <w:tcW w:w="1695" w:type="dxa"/>
            <w:gridSpan w:val="3"/>
            <w:vAlign w:val="center"/>
          </w:tcPr>
          <w:p w14:paraId="0ADB3F87">
            <w:pPr>
              <w:adjustRightInd w:val="0"/>
              <w:snapToGrid w:val="0"/>
              <w:rPr>
                <w:rFonts w:eastAsia="宋体"/>
                <w:color w:val="auto"/>
                <w:sz w:val="24"/>
                <w:szCs w:val="24"/>
                <w:highlight w:val="none"/>
              </w:rPr>
            </w:pPr>
          </w:p>
        </w:tc>
        <w:tc>
          <w:tcPr>
            <w:tcW w:w="2625" w:type="dxa"/>
            <w:gridSpan w:val="4"/>
            <w:vAlign w:val="center"/>
          </w:tcPr>
          <w:p w14:paraId="0230CFF1">
            <w:pPr>
              <w:adjustRightInd w:val="0"/>
              <w:snapToGrid w:val="0"/>
              <w:rPr>
                <w:rFonts w:eastAsia="宋体"/>
                <w:color w:val="auto"/>
                <w:sz w:val="24"/>
                <w:szCs w:val="24"/>
                <w:highlight w:val="none"/>
              </w:rPr>
            </w:pPr>
            <w:r>
              <w:rPr>
                <w:rFonts w:eastAsia="宋体"/>
                <w:color w:val="auto"/>
                <w:sz w:val="24"/>
                <w:szCs w:val="24"/>
                <w:highlight w:val="none"/>
              </w:rPr>
              <w:t>从事本专业时间</w:t>
            </w:r>
          </w:p>
        </w:tc>
        <w:tc>
          <w:tcPr>
            <w:tcW w:w="2340" w:type="dxa"/>
            <w:vAlign w:val="center"/>
          </w:tcPr>
          <w:p w14:paraId="2B06F8F5">
            <w:pPr>
              <w:adjustRightInd w:val="0"/>
              <w:snapToGrid w:val="0"/>
              <w:rPr>
                <w:rFonts w:eastAsia="宋体"/>
                <w:color w:val="auto"/>
                <w:sz w:val="24"/>
                <w:szCs w:val="24"/>
                <w:highlight w:val="none"/>
              </w:rPr>
            </w:pPr>
          </w:p>
        </w:tc>
      </w:tr>
      <w:tr w14:paraId="0F292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2160" w:type="dxa"/>
            <w:vAlign w:val="center"/>
          </w:tcPr>
          <w:p w14:paraId="3B27CB1C">
            <w:pPr>
              <w:adjustRightInd w:val="0"/>
              <w:snapToGrid w:val="0"/>
              <w:rPr>
                <w:rFonts w:eastAsia="宋体"/>
                <w:color w:val="auto"/>
                <w:sz w:val="24"/>
                <w:szCs w:val="24"/>
                <w:highlight w:val="none"/>
              </w:rPr>
            </w:pPr>
            <w:r>
              <w:rPr>
                <w:rFonts w:eastAsia="宋体"/>
                <w:color w:val="auto"/>
                <w:sz w:val="24"/>
                <w:szCs w:val="24"/>
                <w:highlight w:val="none"/>
              </w:rPr>
              <w:t>职务</w:t>
            </w:r>
          </w:p>
        </w:tc>
        <w:tc>
          <w:tcPr>
            <w:tcW w:w="1695" w:type="dxa"/>
            <w:gridSpan w:val="3"/>
            <w:vAlign w:val="center"/>
          </w:tcPr>
          <w:p w14:paraId="1A87DAC7">
            <w:pPr>
              <w:adjustRightInd w:val="0"/>
              <w:snapToGrid w:val="0"/>
              <w:rPr>
                <w:rFonts w:eastAsia="宋体"/>
                <w:color w:val="auto"/>
                <w:sz w:val="24"/>
                <w:szCs w:val="24"/>
                <w:highlight w:val="none"/>
              </w:rPr>
            </w:pPr>
          </w:p>
        </w:tc>
        <w:tc>
          <w:tcPr>
            <w:tcW w:w="2625" w:type="dxa"/>
            <w:gridSpan w:val="4"/>
            <w:vAlign w:val="center"/>
          </w:tcPr>
          <w:p w14:paraId="0086F43A">
            <w:pPr>
              <w:adjustRightInd w:val="0"/>
              <w:snapToGrid w:val="0"/>
              <w:rPr>
                <w:rFonts w:eastAsia="宋体"/>
                <w:color w:val="auto"/>
                <w:sz w:val="24"/>
                <w:szCs w:val="24"/>
                <w:highlight w:val="none"/>
              </w:rPr>
            </w:pPr>
            <w:r>
              <w:rPr>
                <w:rFonts w:eastAsia="宋体"/>
                <w:color w:val="auto"/>
                <w:sz w:val="24"/>
                <w:szCs w:val="24"/>
                <w:highlight w:val="none"/>
              </w:rPr>
              <w:t>职称</w:t>
            </w:r>
          </w:p>
        </w:tc>
        <w:tc>
          <w:tcPr>
            <w:tcW w:w="2340" w:type="dxa"/>
            <w:vAlign w:val="center"/>
          </w:tcPr>
          <w:p w14:paraId="6F3A9E83">
            <w:pPr>
              <w:adjustRightInd w:val="0"/>
              <w:snapToGrid w:val="0"/>
              <w:rPr>
                <w:rFonts w:eastAsia="宋体"/>
                <w:color w:val="auto"/>
                <w:sz w:val="24"/>
                <w:szCs w:val="24"/>
                <w:highlight w:val="none"/>
              </w:rPr>
            </w:pPr>
          </w:p>
        </w:tc>
      </w:tr>
      <w:tr w14:paraId="77420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2160" w:type="dxa"/>
            <w:vAlign w:val="center"/>
          </w:tcPr>
          <w:p w14:paraId="20EC1899">
            <w:pPr>
              <w:adjustRightInd w:val="0"/>
              <w:snapToGrid w:val="0"/>
              <w:rPr>
                <w:rFonts w:eastAsia="宋体"/>
                <w:color w:val="auto"/>
                <w:sz w:val="24"/>
                <w:szCs w:val="24"/>
                <w:highlight w:val="none"/>
              </w:rPr>
            </w:pPr>
            <w:r>
              <w:rPr>
                <w:rFonts w:eastAsia="宋体"/>
                <w:color w:val="auto"/>
                <w:sz w:val="24"/>
                <w:szCs w:val="24"/>
                <w:highlight w:val="none"/>
              </w:rPr>
              <w:t>执业资格</w:t>
            </w:r>
          </w:p>
        </w:tc>
        <w:tc>
          <w:tcPr>
            <w:tcW w:w="6660" w:type="dxa"/>
            <w:gridSpan w:val="8"/>
            <w:vAlign w:val="center"/>
          </w:tcPr>
          <w:p w14:paraId="2F806F2A">
            <w:pPr>
              <w:adjustRightInd w:val="0"/>
              <w:snapToGrid w:val="0"/>
              <w:rPr>
                <w:rFonts w:eastAsia="宋体"/>
                <w:color w:val="auto"/>
                <w:sz w:val="24"/>
                <w:szCs w:val="24"/>
                <w:highlight w:val="none"/>
              </w:rPr>
            </w:pPr>
          </w:p>
        </w:tc>
      </w:tr>
      <w:tr w14:paraId="08B47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9" w:hRule="atLeast"/>
          <w:jc w:val="center"/>
        </w:trPr>
        <w:tc>
          <w:tcPr>
            <w:tcW w:w="8820" w:type="dxa"/>
            <w:gridSpan w:val="9"/>
            <w:vAlign w:val="center"/>
          </w:tcPr>
          <w:p w14:paraId="451F6B37">
            <w:pPr>
              <w:adjustRightInd w:val="0"/>
              <w:snapToGrid w:val="0"/>
              <w:rPr>
                <w:rFonts w:eastAsia="宋体"/>
                <w:color w:val="auto"/>
                <w:sz w:val="24"/>
                <w:szCs w:val="24"/>
                <w:highlight w:val="none"/>
              </w:rPr>
            </w:pPr>
            <w:r>
              <w:rPr>
                <w:rFonts w:eastAsia="宋体"/>
                <w:color w:val="auto"/>
                <w:sz w:val="24"/>
                <w:szCs w:val="24"/>
                <w:highlight w:val="none"/>
              </w:rPr>
              <w:t xml:space="preserve">                          主  要  经  历</w:t>
            </w:r>
          </w:p>
        </w:tc>
      </w:tr>
      <w:tr w14:paraId="3CF75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175" w:type="dxa"/>
            <w:gridSpan w:val="2"/>
            <w:vAlign w:val="center"/>
          </w:tcPr>
          <w:p w14:paraId="53B2C3BC">
            <w:pPr>
              <w:adjustRightInd w:val="0"/>
              <w:snapToGrid w:val="0"/>
              <w:rPr>
                <w:rFonts w:eastAsia="宋体"/>
                <w:color w:val="auto"/>
                <w:sz w:val="24"/>
                <w:szCs w:val="24"/>
                <w:highlight w:val="none"/>
              </w:rPr>
            </w:pPr>
            <w:r>
              <w:rPr>
                <w:rFonts w:eastAsia="宋体"/>
                <w:color w:val="auto"/>
                <w:sz w:val="24"/>
                <w:szCs w:val="24"/>
                <w:highlight w:val="none"/>
              </w:rPr>
              <w:t>时   间</w:t>
            </w:r>
          </w:p>
        </w:tc>
        <w:tc>
          <w:tcPr>
            <w:tcW w:w="3990" w:type="dxa"/>
            <w:gridSpan w:val="5"/>
            <w:vAlign w:val="center"/>
          </w:tcPr>
          <w:p w14:paraId="0F6A8D5E">
            <w:pPr>
              <w:adjustRightInd w:val="0"/>
              <w:snapToGrid w:val="0"/>
              <w:rPr>
                <w:rFonts w:eastAsia="宋体"/>
                <w:color w:val="auto"/>
                <w:sz w:val="24"/>
                <w:szCs w:val="24"/>
                <w:highlight w:val="none"/>
              </w:rPr>
            </w:pPr>
            <w:r>
              <w:rPr>
                <w:rFonts w:eastAsia="宋体"/>
                <w:color w:val="auto"/>
                <w:sz w:val="24"/>
                <w:szCs w:val="24"/>
                <w:highlight w:val="none"/>
              </w:rPr>
              <w:t xml:space="preserve">    参加过的项目名称及规模</w:t>
            </w:r>
          </w:p>
        </w:tc>
        <w:tc>
          <w:tcPr>
            <w:tcW w:w="2655" w:type="dxa"/>
            <w:gridSpan w:val="2"/>
            <w:vAlign w:val="center"/>
          </w:tcPr>
          <w:p w14:paraId="0D894138">
            <w:pPr>
              <w:adjustRightInd w:val="0"/>
              <w:snapToGrid w:val="0"/>
              <w:rPr>
                <w:rFonts w:eastAsia="宋体"/>
                <w:color w:val="auto"/>
                <w:sz w:val="24"/>
                <w:szCs w:val="24"/>
                <w:highlight w:val="none"/>
              </w:rPr>
            </w:pPr>
            <w:r>
              <w:rPr>
                <w:rFonts w:eastAsia="宋体"/>
                <w:color w:val="auto"/>
                <w:sz w:val="24"/>
                <w:szCs w:val="24"/>
                <w:highlight w:val="none"/>
              </w:rPr>
              <w:t xml:space="preserve"> 该项目中任职</w:t>
            </w:r>
          </w:p>
        </w:tc>
      </w:tr>
      <w:tr w14:paraId="12526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2175" w:type="dxa"/>
            <w:gridSpan w:val="2"/>
          </w:tcPr>
          <w:p w14:paraId="467C2369">
            <w:pPr>
              <w:adjustRightInd w:val="0"/>
              <w:snapToGrid w:val="0"/>
              <w:rPr>
                <w:rFonts w:eastAsia="宋体"/>
                <w:color w:val="auto"/>
                <w:sz w:val="24"/>
                <w:szCs w:val="24"/>
                <w:highlight w:val="none"/>
              </w:rPr>
            </w:pPr>
          </w:p>
        </w:tc>
        <w:tc>
          <w:tcPr>
            <w:tcW w:w="3990" w:type="dxa"/>
            <w:gridSpan w:val="5"/>
          </w:tcPr>
          <w:p w14:paraId="477905A2">
            <w:pPr>
              <w:adjustRightInd w:val="0"/>
              <w:snapToGrid w:val="0"/>
              <w:rPr>
                <w:rFonts w:eastAsia="宋体"/>
                <w:color w:val="auto"/>
                <w:sz w:val="24"/>
                <w:szCs w:val="24"/>
                <w:highlight w:val="none"/>
              </w:rPr>
            </w:pPr>
          </w:p>
        </w:tc>
        <w:tc>
          <w:tcPr>
            <w:tcW w:w="2655" w:type="dxa"/>
            <w:gridSpan w:val="2"/>
          </w:tcPr>
          <w:p w14:paraId="4423C89D">
            <w:pPr>
              <w:adjustRightInd w:val="0"/>
              <w:snapToGrid w:val="0"/>
              <w:rPr>
                <w:rFonts w:eastAsia="宋体"/>
                <w:color w:val="auto"/>
                <w:sz w:val="24"/>
                <w:szCs w:val="24"/>
                <w:highlight w:val="none"/>
              </w:rPr>
            </w:pPr>
          </w:p>
        </w:tc>
      </w:tr>
    </w:tbl>
    <w:p w14:paraId="5FC54BBB">
      <w:pPr>
        <w:adjustRightInd w:val="0"/>
        <w:snapToGrid w:val="0"/>
        <w:rPr>
          <w:rFonts w:eastAsia="宋体"/>
          <w:b/>
          <w:bCs/>
          <w:color w:val="auto"/>
          <w:sz w:val="24"/>
          <w:szCs w:val="24"/>
          <w:highlight w:val="none"/>
        </w:rPr>
      </w:pPr>
    </w:p>
    <w:p w14:paraId="3E86729B">
      <w:pPr>
        <w:adjustRightInd w:val="0"/>
        <w:snapToGrid w:val="0"/>
        <w:rPr>
          <w:rFonts w:eastAsia="宋体"/>
          <w:color w:val="auto"/>
          <w:sz w:val="24"/>
          <w:szCs w:val="24"/>
          <w:highlight w:val="none"/>
        </w:rPr>
      </w:pPr>
      <w:r>
        <w:rPr>
          <w:rFonts w:eastAsia="宋体"/>
          <w:b/>
          <w:bCs/>
          <w:color w:val="auto"/>
          <w:sz w:val="24"/>
          <w:szCs w:val="24"/>
          <w:highlight w:val="none"/>
        </w:rPr>
        <w:br w:type="page"/>
      </w:r>
      <w:r>
        <w:rPr>
          <w:rFonts w:eastAsia="宋体"/>
          <w:color w:val="auto"/>
          <w:sz w:val="24"/>
          <w:szCs w:val="24"/>
          <w:highlight w:val="none"/>
        </w:rPr>
        <w:t>格 式</w:t>
      </w:r>
      <w:r>
        <w:rPr>
          <w:rFonts w:hint="eastAsia" w:eastAsia="宋体"/>
          <w:color w:val="auto"/>
          <w:sz w:val="24"/>
          <w:szCs w:val="24"/>
          <w:highlight w:val="none"/>
          <w:lang w:val="en-US" w:eastAsia="zh-CN"/>
        </w:rPr>
        <w:t>9</w:t>
      </w:r>
      <w:r>
        <w:rPr>
          <w:rFonts w:eastAsia="宋体"/>
          <w:color w:val="auto"/>
          <w:sz w:val="24"/>
          <w:szCs w:val="24"/>
          <w:highlight w:val="none"/>
        </w:rPr>
        <w:t>：组织实施工作方案（施工组织设计或设计方案</w:t>
      </w:r>
      <w:r>
        <w:rPr>
          <w:rFonts w:hint="eastAsia" w:eastAsia="宋体"/>
          <w:color w:val="auto"/>
          <w:sz w:val="24"/>
          <w:szCs w:val="24"/>
          <w:highlight w:val="none"/>
        </w:rPr>
        <w:t>或实施方案</w:t>
      </w:r>
      <w:r>
        <w:rPr>
          <w:rFonts w:eastAsia="宋体"/>
          <w:color w:val="auto"/>
          <w:sz w:val="24"/>
          <w:szCs w:val="24"/>
          <w:highlight w:val="none"/>
        </w:rPr>
        <w:t>）</w:t>
      </w:r>
    </w:p>
    <w:p w14:paraId="6308882D">
      <w:pPr>
        <w:adjustRightInd w:val="0"/>
        <w:snapToGrid w:val="0"/>
        <w:rPr>
          <w:rFonts w:eastAsia="宋体"/>
          <w:color w:val="auto"/>
          <w:sz w:val="24"/>
          <w:szCs w:val="24"/>
          <w:highlight w:val="none"/>
        </w:rPr>
      </w:pPr>
      <w:r>
        <w:rPr>
          <w:rFonts w:eastAsia="宋体"/>
          <w:color w:val="auto"/>
          <w:sz w:val="24"/>
          <w:szCs w:val="24"/>
          <w:highlight w:val="none"/>
        </w:rPr>
        <w:t>（格式自拟）</w:t>
      </w:r>
    </w:p>
    <w:p w14:paraId="44FE2457">
      <w:pPr>
        <w:adjustRightInd w:val="0"/>
        <w:snapToGrid w:val="0"/>
        <w:spacing w:line="450" w:lineRule="exact"/>
        <w:ind w:right="-161"/>
        <w:rPr>
          <w:rFonts w:eastAsia="宋体"/>
          <w:color w:val="auto"/>
          <w:sz w:val="24"/>
          <w:szCs w:val="24"/>
          <w:highlight w:val="none"/>
        </w:rPr>
      </w:pPr>
      <w:r>
        <w:rPr>
          <w:rFonts w:eastAsia="宋体"/>
          <w:color w:val="auto"/>
          <w:sz w:val="24"/>
          <w:szCs w:val="24"/>
          <w:highlight w:val="none"/>
        </w:rPr>
        <w:t>格 式1</w:t>
      </w:r>
      <w:r>
        <w:rPr>
          <w:rFonts w:hint="eastAsia" w:eastAsia="宋体"/>
          <w:color w:val="auto"/>
          <w:sz w:val="24"/>
          <w:szCs w:val="24"/>
          <w:highlight w:val="none"/>
          <w:lang w:val="en-US" w:eastAsia="zh-CN"/>
        </w:rPr>
        <w:t>0</w:t>
      </w:r>
      <w:r>
        <w:rPr>
          <w:rFonts w:eastAsia="宋体"/>
          <w:color w:val="auto"/>
          <w:sz w:val="24"/>
          <w:szCs w:val="24"/>
          <w:highlight w:val="none"/>
        </w:rPr>
        <w:t>：商务条款偏离表与技术条款偏离表；</w:t>
      </w:r>
    </w:p>
    <w:p w14:paraId="3E36B443">
      <w:pPr>
        <w:adjustRightInd w:val="0"/>
        <w:snapToGrid w:val="0"/>
        <w:jc w:val="center"/>
        <w:rPr>
          <w:rFonts w:eastAsia="宋体"/>
          <w:color w:val="auto"/>
          <w:sz w:val="24"/>
          <w:szCs w:val="24"/>
          <w:highlight w:val="none"/>
        </w:rPr>
      </w:pPr>
      <w:r>
        <w:rPr>
          <w:rFonts w:eastAsia="宋体"/>
          <w:color w:val="auto"/>
          <w:sz w:val="24"/>
          <w:szCs w:val="24"/>
          <w:highlight w:val="none"/>
        </w:rPr>
        <w:t>商务条款偏离表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1"/>
        <w:gridCol w:w="1620"/>
        <w:gridCol w:w="2700"/>
        <w:gridCol w:w="1415"/>
        <w:gridCol w:w="1810"/>
        <w:gridCol w:w="1020"/>
      </w:tblGrid>
      <w:tr w14:paraId="252FE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6386" w:type="dxa"/>
            <w:gridSpan w:val="4"/>
            <w:tcBorders>
              <w:top w:val="nil"/>
              <w:left w:val="nil"/>
              <w:right w:val="nil"/>
            </w:tcBorders>
            <w:vAlign w:val="center"/>
          </w:tcPr>
          <w:p w14:paraId="0DD54196">
            <w:pPr>
              <w:adjustRightInd w:val="0"/>
              <w:snapToGrid w:val="0"/>
              <w:rPr>
                <w:rFonts w:eastAsia="宋体"/>
                <w:color w:val="auto"/>
                <w:sz w:val="24"/>
                <w:szCs w:val="24"/>
                <w:highlight w:val="none"/>
              </w:rPr>
            </w:pPr>
            <w:r>
              <w:rPr>
                <w:rFonts w:eastAsia="宋体"/>
                <w:color w:val="auto"/>
                <w:sz w:val="24"/>
                <w:szCs w:val="24"/>
                <w:highlight w:val="none"/>
              </w:rPr>
              <w:t xml:space="preserve">项目名称：            </w:t>
            </w:r>
          </w:p>
        </w:tc>
        <w:tc>
          <w:tcPr>
            <w:tcW w:w="2830" w:type="dxa"/>
            <w:gridSpan w:val="2"/>
            <w:tcBorders>
              <w:top w:val="nil"/>
              <w:left w:val="nil"/>
              <w:right w:val="nil"/>
            </w:tcBorders>
            <w:vAlign w:val="center"/>
          </w:tcPr>
          <w:p w14:paraId="16CFA245">
            <w:pPr>
              <w:adjustRightInd w:val="0"/>
              <w:snapToGrid w:val="0"/>
              <w:rPr>
                <w:rFonts w:eastAsia="宋体"/>
                <w:color w:val="auto"/>
                <w:sz w:val="24"/>
                <w:szCs w:val="24"/>
                <w:highlight w:val="none"/>
              </w:rPr>
            </w:pPr>
            <w:r>
              <w:rPr>
                <w:rFonts w:eastAsia="宋体"/>
                <w:color w:val="auto"/>
                <w:sz w:val="24"/>
                <w:szCs w:val="24"/>
                <w:highlight w:val="none"/>
              </w:rPr>
              <w:t xml:space="preserve">项目编号：                 </w:t>
            </w:r>
          </w:p>
        </w:tc>
      </w:tr>
      <w:tr w14:paraId="2C4C5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4CC334D9">
            <w:pPr>
              <w:adjustRightInd w:val="0"/>
              <w:snapToGrid w:val="0"/>
              <w:rPr>
                <w:rFonts w:eastAsia="宋体"/>
                <w:color w:val="auto"/>
                <w:sz w:val="24"/>
                <w:szCs w:val="24"/>
                <w:highlight w:val="none"/>
              </w:rPr>
            </w:pPr>
            <w:r>
              <w:rPr>
                <w:rFonts w:eastAsia="宋体"/>
                <w:color w:val="auto"/>
                <w:sz w:val="24"/>
                <w:szCs w:val="24"/>
                <w:highlight w:val="none"/>
              </w:rPr>
              <w:t>序号</w:t>
            </w:r>
          </w:p>
        </w:tc>
        <w:tc>
          <w:tcPr>
            <w:tcW w:w="1620" w:type="dxa"/>
            <w:vAlign w:val="center"/>
          </w:tcPr>
          <w:p w14:paraId="4A2B309E">
            <w:pPr>
              <w:adjustRightInd w:val="0"/>
              <w:snapToGrid w:val="0"/>
              <w:rPr>
                <w:rFonts w:eastAsia="宋体"/>
                <w:color w:val="auto"/>
                <w:sz w:val="24"/>
                <w:szCs w:val="24"/>
                <w:highlight w:val="none"/>
              </w:rPr>
            </w:pPr>
            <w:r>
              <w:rPr>
                <w:rFonts w:eastAsia="宋体"/>
                <w:color w:val="auto"/>
                <w:sz w:val="24"/>
                <w:szCs w:val="24"/>
                <w:highlight w:val="none"/>
              </w:rPr>
              <w:t>磋商文件条目号</w:t>
            </w:r>
          </w:p>
        </w:tc>
        <w:tc>
          <w:tcPr>
            <w:tcW w:w="2700" w:type="dxa"/>
            <w:vAlign w:val="center"/>
          </w:tcPr>
          <w:p w14:paraId="6CA5C271">
            <w:pPr>
              <w:adjustRightInd w:val="0"/>
              <w:snapToGrid w:val="0"/>
              <w:rPr>
                <w:rFonts w:eastAsia="宋体"/>
                <w:color w:val="auto"/>
                <w:sz w:val="24"/>
                <w:szCs w:val="24"/>
                <w:highlight w:val="none"/>
              </w:rPr>
            </w:pPr>
            <w:r>
              <w:rPr>
                <w:rFonts w:eastAsia="宋体"/>
                <w:color w:val="auto"/>
                <w:sz w:val="24"/>
                <w:szCs w:val="24"/>
                <w:highlight w:val="none"/>
              </w:rPr>
              <w:t>磋商文件要求的商务条款</w:t>
            </w:r>
          </w:p>
        </w:tc>
        <w:tc>
          <w:tcPr>
            <w:tcW w:w="3225" w:type="dxa"/>
            <w:gridSpan w:val="2"/>
            <w:vAlign w:val="center"/>
          </w:tcPr>
          <w:p w14:paraId="07C82116">
            <w:pPr>
              <w:adjustRightInd w:val="0"/>
              <w:snapToGrid w:val="0"/>
              <w:rPr>
                <w:rFonts w:eastAsia="宋体"/>
                <w:color w:val="auto"/>
                <w:sz w:val="24"/>
                <w:szCs w:val="24"/>
                <w:highlight w:val="none"/>
              </w:rPr>
            </w:pPr>
            <w:r>
              <w:rPr>
                <w:rFonts w:eastAsia="宋体"/>
                <w:color w:val="auto"/>
                <w:sz w:val="24"/>
                <w:szCs w:val="24"/>
                <w:highlight w:val="none"/>
              </w:rPr>
              <w:t>磋商响应</w:t>
            </w:r>
          </w:p>
        </w:tc>
        <w:tc>
          <w:tcPr>
            <w:tcW w:w="1020" w:type="dxa"/>
            <w:vAlign w:val="center"/>
          </w:tcPr>
          <w:p w14:paraId="594B47AE">
            <w:pPr>
              <w:adjustRightInd w:val="0"/>
              <w:snapToGrid w:val="0"/>
              <w:rPr>
                <w:rFonts w:eastAsia="宋体"/>
                <w:color w:val="auto"/>
                <w:sz w:val="24"/>
                <w:szCs w:val="24"/>
                <w:highlight w:val="none"/>
              </w:rPr>
            </w:pPr>
            <w:r>
              <w:rPr>
                <w:rFonts w:eastAsia="宋体"/>
                <w:color w:val="auto"/>
                <w:sz w:val="24"/>
                <w:szCs w:val="24"/>
                <w:highlight w:val="none"/>
              </w:rPr>
              <w:t>偏离</w:t>
            </w:r>
          </w:p>
        </w:tc>
      </w:tr>
      <w:tr w14:paraId="6537F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A8FCE37">
            <w:pPr>
              <w:adjustRightInd w:val="0"/>
              <w:snapToGrid w:val="0"/>
              <w:rPr>
                <w:rFonts w:eastAsia="宋体"/>
                <w:color w:val="auto"/>
                <w:sz w:val="24"/>
                <w:szCs w:val="24"/>
                <w:highlight w:val="none"/>
              </w:rPr>
            </w:pPr>
          </w:p>
        </w:tc>
        <w:tc>
          <w:tcPr>
            <w:tcW w:w="1620" w:type="dxa"/>
            <w:vAlign w:val="center"/>
          </w:tcPr>
          <w:p w14:paraId="5222D82A">
            <w:pPr>
              <w:adjustRightInd w:val="0"/>
              <w:snapToGrid w:val="0"/>
              <w:rPr>
                <w:rFonts w:eastAsia="宋体"/>
                <w:color w:val="auto"/>
                <w:sz w:val="24"/>
                <w:szCs w:val="24"/>
                <w:highlight w:val="none"/>
              </w:rPr>
            </w:pPr>
          </w:p>
        </w:tc>
        <w:tc>
          <w:tcPr>
            <w:tcW w:w="2700" w:type="dxa"/>
            <w:vAlign w:val="center"/>
          </w:tcPr>
          <w:p w14:paraId="33866AB4">
            <w:pPr>
              <w:adjustRightInd w:val="0"/>
              <w:snapToGrid w:val="0"/>
              <w:rPr>
                <w:rFonts w:eastAsia="宋体"/>
                <w:color w:val="auto"/>
                <w:sz w:val="24"/>
                <w:szCs w:val="24"/>
                <w:highlight w:val="none"/>
              </w:rPr>
            </w:pPr>
          </w:p>
        </w:tc>
        <w:tc>
          <w:tcPr>
            <w:tcW w:w="3225" w:type="dxa"/>
            <w:gridSpan w:val="2"/>
            <w:vAlign w:val="center"/>
          </w:tcPr>
          <w:p w14:paraId="5718F05E">
            <w:pPr>
              <w:adjustRightInd w:val="0"/>
              <w:snapToGrid w:val="0"/>
              <w:rPr>
                <w:rFonts w:eastAsia="宋体"/>
                <w:color w:val="auto"/>
                <w:sz w:val="24"/>
                <w:szCs w:val="24"/>
                <w:highlight w:val="none"/>
              </w:rPr>
            </w:pPr>
          </w:p>
        </w:tc>
        <w:tc>
          <w:tcPr>
            <w:tcW w:w="1020" w:type="dxa"/>
            <w:vAlign w:val="center"/>
          </w:tcPr>
          <w:p w14:paraId="6FE0D611">
            <w:pPr>
              <w:adjustRightInd w:val="0"/>
              <w:snapToGrid w:val="0"/>
              <w:rPr>
                <w:rFonts w:eastAsia="宋体"/>
                <w:color w:val="auto"/>
                <w:sz w:val="24"/>
                <w:szCs w:val="24"/>
                <w:highlight w:val="none"/>
              </w:rPr>
            </w:pPr>
          </w:p>
        </w:tc>
      </w:tr>
      <w:tr w14:paraId="325CA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4D772CA1">
            <w:pPr>
              <w:adjustRightInd w:val="0"/>
              <w:snapToGrid w:val="0"/>
              <w:rPr>
                <w:rFonts w:eastAsia="宋体"/>
                <w:color w:val="auto"/>
                <w:sz w:val="24"/>
                <w:szCs w:val="24"/>
                <w:highlight w:val="none"/>
              </w:rPr>
            </w:pPr>
          </w:p>
        </w:tc>
        <w:tc>
          <w:tcPr>
            <w:tcW w:w="1620" w:type="dxa"/>
            <w:vAlign w:val="center"/>
          </w:tcPr>
          <w:p w14:paraId="6B255FCD">
            <w:pPr>
              <w:adjustRightInd w:val="0"/>
              <w:snapToGrid w:val="0"/>
              <w:rPr>
                <w:rFonts w:eastAsia="宋体"/>
                <w:color w:val="auto"/>
                <w:sz w:val="24"/>
                <w:szCs w:val="24"/>
                <w:highlight w:val="none"/>
              </w:rPr>
            </w:pPr>
          </w:p>
        </w:tc>
        <w:tc>
          <w:tcPr>
            <w:tcW w:w="2700" w:type="dxa"/>
            <w:vAlign w:val="center"/>
          </w:tcPr>
          <w:p w14:paraId="6BB8C842">
            <w:pPr>
              <w:adjustRightInd w:val="0"/>
              <w:snapToGrid w:val="0"/>
              <w:rPr>
                <w:rFonts w:eastAsia="宋体"/>
                <w:color w:val="auto"/>
                <w:sz w:val="24"/>
                <w:szCs w:val="24"/>
                <w:highlight w:val="none"/>
              </w:rPr>
            </w:pPr>
          </w:p>
        </w:tc>
        <w:tc>
          <w:tcPr>
            <w:tcW w:w="3225" w:type="dxa"/>
            <w:gridSpan w:val="2"/>
            <w:vAlign w:val="center"/>
          </w:tcPr>
          <w:p w14:paraId="326A9B3E">
            <w:pPr>
              <w:adjustRightInd w:val="0"/>
              <w:snapToGrid w:val="0"/>
              <w:rPr>
                <w:rFonts w:eastAsia="宋体"/>
                <w:color w:val="auto"/>
                <w:sz w:val="24"/>
                <w:szCs w:val="24"/>
                <w:highlight w:val="none"/>
              </w:rPr>
            </w:pPr>
          </w:p>
        </w:tc>
        <w:tc>
          <w:tcPr>
            <w:tcW w:w="1020" w:type="dxa"/>
            <w:vAlign w:val="center"/>
          </w:tcPr>
          <w:p w14:paraId="16033B53">
            <w:pPr>
              <w:adjustRightInd w:val="0"/>
              <w:snapToGrid w:val="0"/>
              <w:rPr>
                <w:rFonts w:eastAsia="宋体"/>
                <w:color w:val="auto"/>
                <w:sz w:val="24"/>
                <w:szCs w:val="24"/>
                <w:highlight w:val="none"/>
              </w:rPr>
            </w:pPr>
          </w:p>
        </w:tc>
      </w:tr>
      <w:tr w14:paraId="06C30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431B0979">
            <w:pPr>
              <w:adjustRightInd w:val="0"/>
              <w:snapToGrid w:val="0"/>
              <w:rPr>
                <w:rFonts w:eastAsia="宋体"/>
                <w:color w:val="auto"/>
                <w:sz w:val="24"/>
                <w:szCs w:val="24"/>
                <w:highlight w:val="none"/>
              </w:rPr>
            </w:pPr>
          </w:p>
        </w:tc>
        <w:tc>
          <w:tcPr>
            <w:tcW w:w="1620" w:type="dxa"/>
            <w:vAlign w:val="center"/>
          </w:tcPr>
          <w:p w14:paraId="14229504">
            <w:pPr>
              <w:adjustRightInd w:val="0"/>
              <w:snapToGrid w:val="0"/>
              <w:rPr>
                <w:rFonts w:eastAsia="宋体"/>
                <w:color w:val="auto"/>
                <w:sz w:val="24"/>
                <w:szCs w:val="24"/>
                <w:highlight w:val="none"/>
              </w:rPr>
            </w:pPr>
          </w:p>
        </w:tc>
        <w:tc>
          <w:tcPr>
            <w:tcW w:w="2700" w:type="dxa"/>
            <w:vAlign w:val="center"/>
          </w:tcPr>
          <w:p w14:paraId="04811F85">
            <w:pPr>
              <w:adjustRightInd w:val="0"/>
              <w:snapToGrid w:val="0"/>
              <w:rPr>
                <w:rFonts w:eastAsia="宋体"/>
                <w:color w:val="auto"/>
                <w:sz w:val="24"/>
                <w:szCs w:val="24"/>
                <w:highlight w:val="none"/>
              </w:rPr>
            </w:pPr>
          </w:p>
        </w:tc>
        <w:tc>
          <w:tcPr>
            <w:tcW w:w="3225" w:type="dxa"/>
            <w:gridSpan w:val="2"/>
            <w:vAlign w:val="center"/>
          </w:tcPr>
          <w:p w14:paraId="0958B416">
            <w:pPr>
              <w:adjustRightInd w:val="0"/>
              <w:snapToGrid w:val="0"/>
              <w:rPr>
                <w:rFonts w:eastAsia="宋体"/>
                <w:color w:val="auto"/>
                <w:sz w:val="24"/>
                <w:szCs w:val="24"/>
                <w:highlight w:val="none"/>
              </w:rPr>
            </w:pPr>
          </w:p>
        </w:tc>
        <w:tc>
          <w:tcPr>
            <w:tcW w:w="1020" w:type="dxa"/>
            <w:vAlign w:val="center"/>
          </w:tcPr>
          <w:p w14:paraId="527D52F2">
            <w:pPr>
              <w:adjustRightInd w:val="0"/>
              <w:snapToGrid w:val="0"/>
              <w:rPr>
                <w:rFonts w:eastAsia="宋体"/>
                <w:color w:val="auto"/>
                <w:sz w:val="24"/>
                <w:szCs w:val="24"/>
                <w:highlight w:val="none"/>
              </w:rPr>
            </w:pPr>
          </w:p>
        </w:tc>
      </w:tr>
      <w:tr w14:paraId="45370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57A4FCE">
            <w:pPr>
              <w:adjustRightInd w:val="0"/>
              <w:snapToGrid w:val="0"/>
              <w:rPr>
                <w:rFonts w:eastAsia="宋体"/>
                <w:color w:val="auto"/>
                <w:sz w:val="24"/>
                <w:szCs w:val="24"/>
                <w:highlight w:val="none"/>
              </w:rPr>
            </w:pPr>
          </w:p>
        </w:tc>
        <w:tc>
          <w:tcPr>
            <w:tcW w:w="1620" w:type="dxa"/>
            <w:vAlign w:val="center"/>
          </w:tcPr>
          <w:p w14:paraId="65851A26">
            <w:pPr>
              <w:adjustRightInd w:val="0"/>
              <w:snapToGrid w:val="0"/>
              <w:rPr>
                <w:rFonts w:eastAsia="宋体"/>
                <w:color w:val="auto"/>
                <w:sz w:val="24"/>
                <w:szCs w:val="24"/>
                <w:highlight w:val="none"/>
              </w:rPr>
            </w:pPr>
          </w:p>
        </w:tc>
        <w:tc>
          <w:tcPr>
            <w:tcW w:w="2700" w:type="dxa"/>
            <w:vAlign w:val="center"/>
          </w:tcPr>
          <w:p w14:paraId="742B473F">
            <w:pPr>
              <w:adjustRightInd w:val="0"/>
              <w:snapToGrid w:val="0"/>
              <w:rPr>
                <w:rFonts w:eastAsia="宋体"/>
                <w:color w:val="auto"/>
                <w:sz w:val="24"/>
                <w:szCs w:val="24"/>
                <w:highlight w:val="none"/>
              </w:rPr>
            </w:pPr>
          </w:p>
        </w:tc>
        <w:tc>
          <w:tcPr>
            <w:tcW w:w="3225" w:type="dxa"/>
            <w:gridSpan w:val="2"/>
            <w:vAlign w:val="center"/>
          </w:tcPr>
          <w:p w14:paraId="36FE17BA">
            <w:pPr>
              <w:adjustRightInd w:val="0"/>
              <w:snapToGrid w:val="0"/>
              <w:rPr>
                <w:rFonts w:eastAsia="宋体"/>
                <w:color w:val="auto"/>
                <w:sz w:val="24"/>
                <w:szCs w:val="24"/>
                <w:highlight w:val="none"/>
              </w:rPr>
            </w:pPr>
          </w:p>
        </w:tc>
        <w:tc>
          <w:tcPr>
            <w:tcW w:w="1020" w:type="dxa"/>
            <w:vAlign w:val="center"/>
          </w:tcPr>
          <w:p w14:paraId="34B2E329">
            <w:pPr>
              <w:adjustRightInd w:val="0"/>
              <w:snapToGrid w:val="0"/>
              <w:rPr>
                <w:rFonts w:eastAsia="宋体"/>
                <w:color w:val="auto"/>
                <w:sz w:val="24"/>
                <w:szCs w:val="24"/>
                <w:highlight w:val="none"/>
              </w:rPr>
            </w:pPr>
          </w:p>
        </w:tc>
      </w:tr>
      <w:tr w14:paraId="72EE1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03CB6BC6">
            <w:pPr>
              <w:adjustRightInd w:val="0"/>
              <w:snapToGrid w:val="0"/>
              <w:rPr>
                <w:rFonts w:eastAsia="宋体"/>
                <w:color w:val="auto"/>
                <w:sz w:val="24"/>
                <w:szCs w:val="24"/>
                <w:highlight w:val="none"/>
              </w:rPr>
            </w:pPr>
          </w:p>
        </w:tc>
        <w:tc>
          <w:tcPr>
            <w:tcW w:w="1620" w:type="dxa"/>
            <w:vAlign w:val="center"/>
          </w:tcPr>
          <w:p w14:paraId="6701EC52">
            <w:pPr>
              <w:adjustRightInd w:val="0"/>
              <w:snapToGrid w:val="0"/>
              <w:rPr>
                <w:rFonts w:eastAsia="宋体"/>
                <w:color w:val="auto"/>
                <w:sz w:val="24"/>
                <w:szCs w:val="24"/>
                <w:highlight w:val="none"/>
              </w:rPr>
            </w:pPr>
          </w:p>
        </w:tc>
        <w:tc>
          <w:tcPr>
            <w:tcW w:w="2700" w:type="dxa"/>
            <w:vAlign w:val="center"/>
          </w:tcPr>
          <w:p w14:paraId="6C67C60D">
            <w:pPr>
              <w:adjustRightInd w:val="0"/>
              <w:snapToGrid w:val="0"/>
              <w:rPr>
                <w:rFonts w:eastAsia="宋体"/>
                <w:color w:val="auto"/>
                <w:sz w:val="24"/>
                <w:szCs w:val="24"/>
                <w:highlight w:val="none"/>
              </w:rPr>
            </w:pPr>
          </w:p>
        </w:tc>
        <w:tc>
          <w:tcPr>
            <w:tcW w:w="3225" w:type="dxa"/>
            <w:gridSpan w:val="2"/>
            <w:vAlign w:val="center"/>
          </w:tcPr>
          <w:p w14:paraId="37AFB740">
            <w:pPr>
              <w:adjustRightInd w:val="0"/>
              <w:snapToGrid w:val="0"/>
              <w:rPr>
                <w:rFonts w:eastAsia="宋体"/>
                <w:color w:val="auto"/>
                <w:sz w:val="24"/>
                <w:szCs w:val="24"/>
                <w:highlight w:val="none"/>
              </w:rPr>
            </w:pPr>
          </w:p>
        </w:tc>
        <w:tc>
          <w:tcPr>
            <w:tcW w:w="1020" w:type="dxa"/>
            <w:vAlign w:val="center"/>
          </w:tcPr>
          <w:p w14:paraId="0C327111">
            <w:pPr>
              <w:adjustRightInd w:val="0"/>
              <w:snapToGrid w:val="0"/>
              <w:rPr>
                <w:rFonts w:eastAsia="宋体"/>
                <w:color w:val="auto"/>
                <w:sz w:val="24"/>
                <w:szCs w:val="24"/>
                <w:highlight w:val="none"/>
              </w:rPr>
            </w:pPr>
          </w:p>
        </w:tc>
      </w:tr>
      <w:tr w14:paraId="6637D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BA6BD95">
            <w:pPr>
              <w:adjustRightInd w:val="0"/>
              <w:snapToGrid w:val="0"/>
              <w:rPr>
                <w:rFonts w:eastAsia="宋体"/>
                <w:color w:val="auto"/>
                <w:sz w:val="24"/>
                <w:szCs w:val="24"/>
                <w:highlight w:val="none"/>
              </w:rPr>
            </w:pPr>
          </w:p>
        </w:tc>
        <w:tc>
          <w:tcPr>
            <w:tcW w:w="1620" w:type="dxa"/>
            <w:vAlign w:val="center"/>
          </w:tcPr>
          <w:p w14:paraId="39B67ACE">
            <w:pPr>
              <w:adjustRightInd w:val="0"/>
              <w:snapToGrid w:val="0"/>
              <w:rPr>
                <w:rFonts w:eastAsia="宋体"/>
                <w:color w:val="auto"/>
                <w:sz w:val="24"/>
                <w:szCs w:val="24"/>
                <w:highlight w:val="none"/>
              </w:rPr>
            </w:pPr>
          </w:p>
        </w:tc>
        <w:tc>
          <w:tcPr>
            <w:tcW w:w="2700" w:type="dxa"/>
            <w:vAlign w:val="center"/>
          </w:tcPr>
          <w:p w14:paraId="67E436A6">
            <w:pPr>
              <w:adjustRightInd w:val="0"/>
              <w:snapToGrid w:val="0"/>
              <w:rPr>
                <w:rFonts w:eastAsia="宋体"/>
                <w:color w:val="auto"/>
                <w:sz w:val="24"/>
                <w:szCs w:val="24"/>
                <w:highlight w:val="none"/>
              </w:rPr>
            </w:pPr>
          </w:p>
        </w:tc>
        <w:tc>
          <w:tcPr>
            <w:tcW w:w="3225" w:type="dxa"/>
            <w:gridSpan w:val="2"/>
            <w:vAlign w:val="center"/>
          </w:tcPr>
          <w:p w14:paraId="1D30F18B">
            <w:pPr>
              <w:adjustRightInd w:val="0"/>
              <w:snapToGrid w:val="0"/>
              <w:rPr>
                <w:rFonts w:eastAsia="宋体"/>
                <w:color w:val="auto"/>
                <w:sz w:val="24"/>
                <w:szCs w:val="24"/>
                <w:highlight w:val="none"/>
              </w:rPr>
            </w:pPr>
          </w:p>
        </w:tc>
        <w:tc>
          <w:tcPr>
            <w:tcW w:w="1020" w:type="dxa"/>
            <w:vAlign w:val="center"/>
          </w:tcPr>
          <w:p w14:paraId="5DEF94A5">
            <w:pPr>
              <w:adjustRightInd w:val="0"/>
              <w:snapToGrid w:val="0"/>
              <w:rPr>
                <w:rFonts w:eastAsia="宋体"/>
                <w:color w:val="auto"/>
                <w:sz w:val="24"/>
                <w:szCs w:val="24"/>
                <w:highlight w:val="none"/>
              </w:rPr>
            </w:pPr>
          </w:p>
        </w:tc>
      </w:tr>
      <w:tr w14:paraId="7B127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10A04062">
            <w:pPr>
              <w:adjustRightInd w:val="0"/>
              <w:snapToGrid w:val="0"/>
              <w:rPr>
                <w:rFonts w:eastAsia="宋体"/>
                <w:color w:val="auto"/>
                <w:sz w:val="24"/>
                <w:szCs w:val="24"/>
                <w:highlight w:val="none"/>
              </w:rPr>
            </w:pPr>
          </w:p>
        </w:tc>
        <w:tc>
          <w:tcPr>
            <w:tcW w:w="1620" w:type="dxa"/>
            <w:vAlign w:val="center"/>
          </w:tcPr>
          <w:p w14:paraId="24C80D72">
            <w:pPr>
              <w:adjustRightInd w:val="0"/>
              <w:snapToGrid w:val="0"/>
              <w:rPr>
                <w:rFonts w:eastAsia="宋体"/>
                <w:color w:val="auto"/>
                <w:sz w:val="24"/>
                <w:szCs w:val="24"/>
                <w:highlight w:val="none"/>
              </w:rPr>
            </w:pPr>
          </w:p>
        </w:tc>
        <w:tc>
          <w:tcPr>
            <w:tcW w:w="2700" w:type="dxa"/>
            <w:vAlign w:val="center"/>
          </w:tcPr>
          <w:p w14:paraId="496F5047">
            <w:pPr>
              <w:adjustRightInd w:val="0"/>
              <w:snapToGrid w:val="0"/>
              <w:rPr>
                <w:rFonts w:eastAsia="宋体"/>
                <w:color w:val="auto"/>
                <w:sz w:val="24"/>
                <w:szCs w:val="24"/>
                <w:highlight w:val="none"/>
              </w:rPr>
            </w:pPr>
          </w:p>
        </w:tc>
        <w:tc>
          <w:tcPr>
            <w:tcW w:w="3225" w:type="dxa"/>
            <w:gridSpan w:val="2"/>
            <w:vAlign w:val="center"/>
          </w:tcPr>
          <w:p w14:paraId="6D34457B">
            <w:pPr>
              <w:adjustRightInd w:val="0"/>
              <w:snapToGrid w:val="0"/>
              <w:rPr>
                <w:rFonts w:eastAsia="宋体"/>
                <w:color w:val="auto"/>
                <w:sz w:val="24"/>
                <w:szCs w:val="24"/>
                <w:highlight w:val="none"/>
              </w:rPr>
            </w:pPr>
          </w:p>
        </w:tc>
        <w:tc>
          <w:tcPr>
            <w:tcW w:w="1020" w:type="dxa"/>
            <w:vAlign w:val="center"/>
          </w:tcPr>
          <w:p w14:paraId="462663DB">
            <w:pPr>
              <w:adjustRightInd w:val="0"/>
              <w:snapToGrid w:val="0"/>
              <w:rPr>
                <w:rFonts w:eastAsia="宋体"/>
                <w:color w:val="auto"/>
                <w:sz w:val="24"/>
                <w:szCs w:val="24"/>
                <w:highlight w:val="none"/>
              </w:rPr>
            </w:pPr>
          </w:p>
        </w:tc>
      </w:tr>
      <w:tr w14:paraId="6FA64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07E70F3D">
            <w:pPr>
              <w:adjustRightInd w:val="0"/>
              <w:snapToGrid w:val="0"/>
              <w:rPr>
                <w:rFonts w:eastAsia="宋体"/>
                <w:color w:val="auto"/>
                <w:sz w:val="24"/>
                <w:szCs w:val="24"/>
                <w:highlight w:val="none"/>
              </w:rPr>
            </w:pPr>
          </w:p>
        </w:tc>
        <w:tc>
          <w:tcPr>
            <w:tcW w:w="1620" w:type="dxa"/>
            <w:vAlign w:val="center"/>
          </w:tcPr>
          <w:p w14:paraId="3F7FABD2">
            <w:pPr>
              <w:adjustRightInd w:val="0"/>
              <w:snapToGrid w:val="0"/>
              <w:rPr>
                <w:rFonts w:eastAsia="宋体"/>
                <w:color w:val="auto"/>
                <w:sz w:val="24"/>
                <w:szCs w:val="24"/>
                <w:highlight w:val="none"/>
              </w:rPr>
            </w:pPr>
          </w:p>
        </w:tc>
        <w:tc>
          <w:tcPr>
            <w:tcW w:w="2700" w:type="dxa"/>
            <w:vAlign w:val="center"/>
          </w:tcPr>
          <w:p w14:paraId="39FF976C">
            <w:pPr>
              <w:adjustRightInd w:val="0"/>
              <w:snapToGrid w:val="0"/>
              <w:rPr>
                <w:rFonts w:eastAsia="宋体"/>
                <w:color w:val="auto"/>
                <w:sz w:val="24"/>
                <w:szCs w:val="24"/>
                <w:highlight w:val="none"/>
              </w:rPr>
            </w:pPr>
          </w:p>
        </w:tc>
        <w:tc>
          <w:tcPr>
            <w:tcW w:w="3225" w:type="dxa"/>
            <w:gridSpan w:val="2"/>
            <w:vAlign w:val="center"/>
          </w:tcPr>
          <w:p w14:paraId="78007438">
            <w:pPr>
              <w:adjustRightInd w:val="0"/>
              <w:snapToGrid w:val="0"/>
              <w:rPr>
                <w:rFonts w:eastAsia="宋体"/>
                <w:color w:val="auto"/>
                <w:sz w:val="24"/>
                <w:szCs w:val="24"/>
                <w:highlight w:val="none"/>
              </w:rPr>
            </w:pPr>
          </w:p>
        </w:tc>
        <w:tc>
          <w:tcPr>
            <w:tcW w:w="1020" w:type="dxa"/>
            <w:vAlign w:val="center"/>
          </w:tcPr>
          <w:p w14:paraId="130D8249">
            <w:pPr>
              <w:adjustRightInd w:val="0"/>
              <w:snapToGrid w:val="0"/>
              <w:rPr>
                <w:rFonts w:eastAsia="宋体"/>
                <w:color w:val="auto"/>
                <w:sz w:val="24"/>
                <w:szCs w:val="24"/>
                <w:highlight w:val="none"/>
              </w:rPr>
            </w:pPr>
          </w:p>
        </w:tc>
      </w:tr>
      <w:tr w14:paraId="09722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3E7EECD">
            <w:pPr>
              <w:adjustRightInd w:val="0"/>
              <w:snapToGrid w:val="0"/>
              <w:rPr>
                <w:rFonts w:eastAsia="宋体"/>
                <w:color w:val="auto"/>
                <w:sz w:val="24"/>
                <w:szCs w:val="24"/>
                <w:highlight w:val="none"/>
              </w:rPr>
            </w:pPr>
          </w:p>
        </w:tc>
        <w:tc>
          <w:tcPr>
            <w:tcW w:w="1620" w:type="dxa"/>
            <w:vAlign w:val="center"/>
          </w:tcPr>
          <w:p w14:paraId="1EF71809">
            <w:pPr>
              <w:adjustRightInd w:val="0"/>
              <w:snapToGrid w:val="0"/>
              <w:rPr>
                <w:rFonts w:eastAsia="宋体"/>
                <w:color w:val="auto"/>
                <w:sz w:val="24"/>
                <w:szCs w:val="24"/>
                <w:highlight w:val="none"/>
              </w:rPr>
            </w:pPr>
          </w:p>
        </w:tc>
        <w:tc>
          <w:tcPr>
            <w:tcW w:w="2700" w:type="dxa"/>
            <w:vAlign w:val="center"/>
          </w:tcPr>
          <w:p w14:paraId="64118B14">
            <w:pPr>
              <w:adjustRightInd w:val="0"/>
              <w:snapToGrid w:val="0"/>
              <w:rPr>
                <w:rFonts w:eastAsia="宋体"/>
                <w:color w:val="auto"/>
                <w:sz w:val="24"/>
                <w:szCs w:val="24"/>
                <w:highlight w:val="none"/>
              </w:rPr>
            </w:pPr>
          </w:p>
        </w:tc>
        <w:tc>
          <w:tcPr>
            <w:tcW w:w="3225" w:type="dxa"/>
            <w:gridSpan w:val="2"/>
            <w:vAlign w:val="center"/>
          </w:tcPr>
          <w:p w14:paraId="495BD8D5">
            <w:pPr>
              <w:adjustRightInd w:val="0"/>
              <w:snapToGrid w:val="0"/>
              <w:rPr>
                <w:rFonts w:eastAsia="宋体"/>
                <w:color w:val="auto"/>
                <w:sz w:val="24"/>
                <w:szCs w:val="24"/>
                <w:highlight w:val="none"/>
              </w:rPr>
            </w:pPr>
          </w:p>
        </w:tc>
        <w:tc>
          <w:tcPr>
            <w:tcW w:w="1020" w:type="dxa"/>
            <w:vAlign w:val="center"/>
          </w:tcPr>
          <w:p w14:paraId="2C4C1D8D">
            <w:pPr>
              <w:adjustRightInd w:val="0"/>
              <w:snapToGrid w:val="0"/>
              <w:rPr>
                <w:rFonts w:eastAsia="宋体"/>
                <w:color w:val="auto"/>
                <w:sz w:val="24"/>
                <w:szCs w:val="24"/>
                <w:highlight w:val="none"/>
              </w:rPr>
            </w:pPr>
          </w:p>
        </w:tc>
      </w:tr>
      <w:tr w14:paraId="2391A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51" w:type="dxa"/>
            <w:vAlign w:val="center"/>
          </w:tcPr>
          <w:p w14:paraId="0AAD8369">
            <w:pPr>
              <w:adjustRightInd w:val="0"/>
              <w:snapToGrid w:val="0"/>
              <w:rPr>
                <w:rFonts w:eastAsia="宋体"/>
                <w:color w:val="auto"/>
                <w:sz w:val="24"/>
                <w:szCs w:val="24"/>
                <w:highlight w:val="none"/>
              </w:rPr>
            </w:pPr>
          </w:p>
        </w:tc>
        <w:tc>
          <w:tcPr>
            <w:tcW w:w="1620" w:type="dxa"/>
            <w:vAlign w:val="center"/>
          </w:tcPr>
          <w:p w14:paraId="712406E7">
            <w:pPr>
              <w:adjustRightInd w:val="0"/>
              <w:snapToGrid w:val="0"/>
              <w:rPr>
                <w:rFonts w:eastAsia="宋体"/>
                <w:color w:val="auto"/>
                <w:sz w:val="24"/>
                <w:szCs w:val="24"/>
                <w:highlight w:val="none"/>
              </w:rPr>
            </w:pPr>
          </w:p>
        </w:tc>
        <w:tc>
          <w:tcPr>
            <w:tcW w:w="2700" w:type="dxa"/>
            <w:vAlign w:val="center"/>
          </w:tcPr>
          <w:p w14:paraId="6DE0F001">
            <w:pPr>
              <w:adjustRightInd w:val="0"/>
              <w:snapToGrid w:val="0"/>
              <w:rPr>
                <w:rFonts w:eastAsia="宋体"/>
                <w:color w:val="auto"/>
                <w:sz w:val="24"/>
                <w:szCs w:val="24"/>
                <w:highlight w:val="none"/>
              </w:rPr>
            </w:pPr>
          </w:p>
        </w:tc>
        <w:tc>
          <w:tcPr>
            <w:tcW w:w="3225" w:type="dxa"/>
            <w:gridSpan w:val="2"/>
            <w:vAlign w:val="center"/>
          </w:tcPr>
          <w:p w14:paraId="318ADA41">
            <w:pPr>
              <w:adjustRightInd w:val="0"/>
              <w:snapToGrid w:val="0"/>
              <w:rPr>
                <w:rFonts w:eastAsia="宋体"/>
                <w:color w:val="auto"/>
                <w:sz w:val="24"/>
                <w:szCs w:val="24"/>
                <w:highlight w:val="none"/>
              </w:rPr>
            </w:pPr>
          </w:p>
        </w:tc>
        <w:tc>
          <w:tcPr>
            <w:tcW w:w="1020" w:type="dxa"/>
            <w:vAlign w:val="center"/>
          </w:tcPr>
          <w:p w14:paraId="45ABE572">
            <w:pPr>
              <w:adjustRightInd w:val="0"/>
              <w:snapToGrid w:val="0"/>
              <w:rPr>
                <w:rFonts w:eastAsia="宋体"/>
                <w:color w:val="auto"/>
                <w:sz w:val="24"/>
                <w:szCs w:val="24"/>
                <w:highlight w:val="none"/>
              </w:rPr>
            </w:pPr>
          </w:p>
        </w:tc>
      </w:tr>
    </w:tbl>
    <w:p w14:paraId="494572FB">
      <w:pPr>
        <w:adjustRightInd w:val="0"/>
        <w:snapToGrid w:val="0"/>
        <w:rPr>
          <w:rFonts w:eastAsia="宋体"/>
          <w:color w:val="auto"/>
          <w:sz w:val="24"/>
          <w:szCs w:val="24"/>
          <w:highlight w:val="none"/>
        </w:rPr>
      </w:pPr>
      <w:r>
        <w:rPr>
          <w:rFonts w:eastAsia="宋体"/>
          <w:color w:val="auto"/>
          <w:sz w:val="24"/>
          <w:szCs w:val="24"/>
          <w:highlight w:val="none"/>
        </w:rPr>
        <w:t>供应商名称：                        （</w:t>
      </w:r>
      <w:r>
        <w:rPr>
          <w:rFonts w:hint="eastAsia" w:eastAsia="宋体"/>
          <w:color w:val="auto"/>
          <w:sz w:val="24"/>
          <w:szCs w:val="24"/>
          <w:highlight w:val="none"/>
        </w:rPr>
        <w:t>加盖CA电子公章</w:t>
      </w:r>
      <w:r>
        <w:rPr>
          <w:rFonts w:eastAsia="宋体"/>
          <w:color w:val="auto"/>
          <w:sz w:val="24"/>
          <w:szCs w:val="24"/>
          <w:highlight w:val="none"/>
        </w:rPr>
        <w:t>）</w:t>
      </w:r>
    </w:p>
    <w:p w14:paraId="4D8D2B63">
      <w:pPr>
        <w:adjustRightInd w:val="0"/>
        <w:snapToGrid w:val="0"/>
        <w:rPr>
          <w:rFonts w:eastAsia="宋体"/>
          <w:color w:val="auto"/>
          <w:sz w:val="24"/>
          <w:szCs w:val="24"/>
          <w:highlight w:val="none"/>
        </w:rPr>
      </w:pPr>
      <w:r>
        <w:rPr>
          <w:rFonts w:eastAsia="宋体"/>
          <w:color w:val="auto"/>
          <w:sz w:val="24"/>
          <w:szCs w:val="24"/>
          <w:highlight w:val="none"/>
        </w:rPr>
        <w:t>1.说明：如果行数不够，请自行增加。</w:t>
      </w:r>
    </w:p>
    <w:p w14:paraId="6DA93229">
      <w:pPr>
        <w:adjustRightInd w:val="0"/>
        <w:snapToGrid w:val="0"/>
        <w:rPr>
          <w:rFonts w:eastAsia="宋体"/>
          <w:b/>
          <w:color w:val="auto"/>
          <w:sz w:val="24"/>
          <w:szCs w:val="24"/>
          <w:highlight w:val="none"/>
        </w:rPr>
      </w:pPr>
      <w:r>
        <w:rPr>
          <w:rFonts w:eastAsia="宋体"/>
          <w:b/>
          <w:color w:val="auto"/>
          <w:sz w:val="24"/>
          <w:szCs w:val="24"/>
          <w:highlight w:val="none"/>
        </w:rPr>
        <w:t>2.响应人应对照磋商文件的相关要求，将自身响应的偏离情况（与磋商文件要求不一致的地方）详细填入上表，并注明“正偏离/负偏离”；若未填写上表，视为完全响应。</w:t>
      </w:r>
    </w:p>
    <w:p w14:paraId="66D9975C">
      <w:pPr>
        <w:adjustRightInd w:val="0"/>
        <w:snapToGrid w:val="0"/>
        <w:rPr>
          <w:rFonts w:eastAsia="宋体"/>
          <w:bCs/>
          <w:color w:val="auto"/>
          <w:spacing w:val="20"/>
          <w:sz w:val="24"/>
          <w:szCs w:val="24"/>
          <w:highlight w:val="none"/>
        </w:rPr>
      </w:pPr>
    </w:p>
    <w:p w14:paraId="449E4CBE">
      <w:pPr>
        <w:adjustRightInd w:val="0"/>
        <w:snapToGrid w:val="0"/>
        <w:jc w:val="center"/>
        <w:rPr>
          <w:rFonts w:eastAsia="宋体"/>
          <w:color w:val="auto"/>
          <w:sz w:val="24"/>
          <w:szCs w:val="24"/>
          <w:highlight w:val="none"/>
        </w:rPr>
      </w:pPr>
      <w:r>
        <w:rPr>
          <w:rFonts w:eastAsia="宋体"/>
          <w:color w:val="auto"/>
          <w:sz w:val="24"/>
          <w:szCs w:val="24"/>
          <w:highlight w:val="none"/>
        </w:rPr>
        <w:t>技术条款偏离表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1"/>
        <w:gridCol w:w="1620"/>
        <w:gridCol w:w="2700"/>
        <w:gridCol w:w="1415"/>
        <w:gridCol w:w="1810"/>
        <w:gridCol w:w="1020"/>
      </w:tblGrid>
      <w:tr w14:paraId="240DF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6386" w:type="dxa"/>
            <w:gridSpan w:val="4"/>
            <w:tcBorders>
              <w:top w:val="nil"/>
              <w:left w:val="nil"/>
              <w:right w:val="nil"/>
            </w:tcBorders>
            <w:vAlign w:val="center"/>
          </w:tcPr>
          <w:p w14:paraId="13120124">
            <w:pPr>
              <w:adjustRightInd w:val="0"/>
              <w:snapToGrid w:val="0"/>
              <w:rPr>
                <w:rFonts w:eastAsia="宋体"/>
                <w:color w:val="auto"/>
                <w:sz w:val="24"/>
                <w:szCs w:val="24"/>
                <w:highlight w:val="none"/>
              </w:rPr>
            </w:pPr>
            <w:r>
              <w:rPr>
                <w:rFonts w:eastAsia="宋体"/>
                <w:color w:val="auto"/>
                <w:sz w:val="24"/>
                <w:szCs w:val="24"/>
                <w:highlight w:val="none"/>
              </w:rPr>
              <w:t xml:space="preserve">项目名称：           </w:t>
            </w:r>
          </w:p>
        </w:tc>
        <w:tc>
          <w:tcPr>
            <w:tcW w:w="2830" w:type="dxa"/>
            <w:gridSpan w:val="2"/>
            <w:tcBorders>
              <w:top w:val="nil"/>
              <w:left w:val="nil"/>
              <w:right w:val="nil"/>
            </w:tcBorders>
            <w:vAlign w:val="center"/>
          </w:tcPr>
          <w:p w14:paraId="3E1B00BF">
            <w:pPr>
              <w:adjustRightInd w:val="0"/>
              <w:snapToGrid w:val="0"/>
              <w:rPr>
                <w:rFonts w:eastAsia="宋体"/>
                <w:color w:val="auto"/>
                <w:sz w:val="24"/>
                <w:szCs w:val="24"/>
                <w:highlight w:val="none"/>
              </w:rPr>
            </w:pPr>
            <w:r>
              <w:rPr>
                <w:rFonts w:eastAsia="宋体"/>
                <w:color w:val="auto"/>
                <w:sz w:val="24"/>
                <w:szCs w:val="24"/>
                <w:highlight w:val="none"/>
              </w:rPr>
              <w:t xml:space="preserve">项目编号：                 </w:t>
            </w:r>
          </w:p>
        </w:tc>
      </w:tr>
      <w:tr w14:paraId="5C395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50DA2BCB">
            <w:pPr>
              <w:adjustRightInd w:val="0"/>
              <w:snapToGrid w:val="0"/>
              <w:rPr>
                <w:rFonts w:eastAsia="宋体"/>
                <w:color w:val="auto"/>
                <w:sz w:val="24"/>
                <w:szCs w:val="24"/>
                <w:highlight w:val="none"/>
              </w:rPr>
            </w:pPr>
            <w:r>
              <w:rPr>
                <w:rFonts w:eastAsia="宋体"/>
                <w:color w:val="auto"/>
                <w:sz w:val="24"/>
                <w:szCs w:val="24"/>
                <w:highlight w:val="none"/>
              </w:rPr>
              <w:t>序号</w:t>
            </w:r>
          </w:p>
        </w:tc>
        <w:tc>
          <w:tcPr>
            <w:tcW w:w="1620" w:type="dxa"/>
            <w:vAlign w:val="center"/>
          </w:tcPr>
          <w:p w14:paraId="3EA8DBE8">
            <w:pPr>
              <w:adjustRightInd w:val="0"/>
              <w:snapToGrid w:val="0"/>
              <w:rPr>
                <w:rFonts w:eastAsia="宋体"/>
                <w:color w:val="auto"/>
                <w:sz w:val="24"/>
                <w:szCs w:val="24"/>
                <w:highlight w:val="none"/>
              </w:rPr>
            </w:pPr>
            <w:r>
              <w:rPr>
                <w:rFonts w:eastAsia="宋体"/>
                <w:color w:val="auto"/>
                <w:sz w:val="24"/>
                <w:szCs w:val="24"/>
                <w:highlight w:val="none"/>
              </w:rPr>
              <w:t>磋商文件条目号</w:t>
            </w:r>
          </w:p>
        </w:tc>
        <w:tc>
          <w:tcPr>
            <w:tcW w:w="2700" w:type="dxa"/>
            <w:vAlign w:val="center"/>
          </w:tcPr>
          <w:p w14:paraId="4148A3BF">
            <w:pPr>
              <w:adjustRightInd w:val="0"/>
              <w:snapToGrid w:val="0"/>
              <w:rPr>
                <w:rFonts w:eastAsia="宋体"/>
                <w:color w:val="auto"/>
                <w:sz w:val="24"/>
                <w:szCs w:val="24"/>
                <w:highlight w:val="none"/>
              </w:rPr>
            </w:pPr>
            <w:r>
              <w:rPr>
                <w:rFonts w:eastAsia="宋体"/>
                <w:color w:val="auto"/>
                <w:sz w:val="24"/>
                <w:szCs w:val="24"/>
                <w:highlight w:val="none"/>
              </w:rPr>
              <w:t>磋商文件要求的技术条款</w:t>
            </w:r>
          </w:p>
        </w:tc>
        <w:tc>
          <w:tcPr>
            <w:tcW w:w="3225" w:type="dxa"/>
            <w:gridSpan w:val="2"/>
            <w:vAlign w:val="center"/>
          </w:tcPr>
          <w:p w14:paraId="594918EF">
            <w:pPr>
              <w:adjustRightInd w:val="0"/>
              <w:snapToGrid w:val="0"/>
              <w:rPr>
                <w:rFonts w:eastAsia="宋体"/>
                <w:color w:val="auto"/>
                <w:sz w:val="24"/>
                <w:szCs w:val="24"/>
                <w:highlight w:val="none"/>
              </w:rPr>
            </w:pPr>
            <w:r>
              <w:rPr>
                <w:rFonts w:eastAsia="宋体"/>
                <w:color w:val="auto"/>
                <w:sz w:val="24"/>
                <w:szCs w:val="24"/>
                <w:highlight w:val="none"/>
              </w:rPr>
              <w:t>磋商响应</w:t>
            </w:r>
          </w:p>
        </w:tc>
        <w:tc>
          <w:tcPr>
            <w:tcW w:w="1020" w:type="dxa"/>
            <w:vAlign w:val="center"/>
          </w:tcPr>
          <w:p w14:paraId="6C1CDE97">
            <w:pPr>
              <w:adjustRightInd w:val="0"/>
              <w:snapToGrid w:val="0"/>
              <w:rPr>
                <w:rFonts w:eastAsia="宋体"/>
                <w:color w:val="auto"/>
                <w:sz w:val="24"/>
                <w:szCs w:val="24"/>
                <w:highlight w:val="none"/>
              </w:rPr>
            </w:pPr>
            <w:r>
              <w:rPr>
                <w:rFonts w:eastAsia="宋体"/>
                <w:color w:val="auto"/>
                <w:sz w:val="24"/>
                <w:szCs w:val="24"/>
                <w:highlight w:val="none"/>
              </w:rPr>
              <w:t>偏离</w:t>
            </w:r>
          </w:p>
        </w:tc>
      </w:tr>
      <w:tr w14:paraId="7012D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7C3F7104">
            <w:pPr>
              <w:adjustRightInd w:val="0"/>
              <w:snapToGrid w:val="0"/>
              <w:rPr>
                <w:rFonts w:eastAsia="宋体"/>
                <w:color w:val="auto"/>
                <w:sz w:val="24"/>
                <w:szCs w:val="24"/>
                <w:highlight w:val="none"/>
              </w:rPr>
            </w:pPr>
          </w:p>
        </w:tc>
        <w:tc>
          <w:tcPr>
            <w:tcW w:w="1620" w:type="dxa"/>
            <w:vAlign w:val="center"/>
          </w:tcPr>
          <w:p w14:paraId="18DE5D56">
            <w:pPr>
              <w:adjustRightInd w:val="0"/>
              <w:snapToGrid w:val="0"/>
              <w:rPr>
                <w:rFonts w:eastAsia="宋体"/>
                <w:color w:val="auto"/>
                <w:sz w:val="24"/>
                <w:szCs w:val="24"/>
                <w:highlight w:val="none"/>
              </w:rPr>
            </w:pPr>
          </w:p>
        </w:tc>
        <w:tc>
          <w:tcPr>
            <w:tcW w:w="2700" w:type="dxa"/>
            <w:vAlign w:val="center"/>
          </w:tcPr>
          <w:p w14:paraId="3FDB90E5">
            <w:pPr>
              <w:adjustRightInd w:val="0"/>
              <w:snapToGrid w:val="0"/>
              <w:rPr>
                <w:rFonts w:eastAsia="宋体"/>
                <w:color w:val="auto"/>
                <w:sz w:val="24"/>
                <w:szCs w:val="24"/>
                <w:highlight w:val="none"/>
              </w:rPr>
            </w:pPr>
          </w:p>
        </w:tc>
        <w:tc>
          <w:tcPr>
            <w:tcW w:w="3225" w:type="dxa"/>
            <w:gridSpan w:val="2"/>
            <w:vAlign w:val="center"/>
          </w:tcPr>
          <w:p w14:paraId="18DD5209">
            <w:pPr>
              <w:adjustRightInd w:val="0"/>
              <w:snapToGrid w:val="0"/>
              <w:rPr>
                <w:rFonts w:eastAsia="宋体"/>
                <w:color w:val="auto"/>
                <w:sz w:val="24"/>
                <w:szCs w:val="24"/>
                <w:highlight w:val="none"/>
              </w:rPr>
            </w:pPr>
          </w:p>
        </w:tc>
        <w:tc>
          <w:tcPr>
            <w:tcW w:w="1020" w:type="dxa"/>
            <w:vAlign w:val="center"/>
          </w:tcPr>
          <w:p w14:paraId="68386891">
            <w:pPr>
              <w:adjustRightInd w:val="0"/>
              <w:snapToGrid w:val="0"/>
              <w:rPr>
                <w:rFonts w:eastAsia="宋体"/>
                <w:color w:val="auto"/>
                <w:sz w:val="24"/>
                <w:szCs w:val="24"/>
                <w:highlight w:val="none"/>
              </w:rPr>
            </w:pPr>
          </w:p>
        </w:tc>
      </w:tr>
      <w:tr w14:paraId="3BB78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718092DF">
            <w:pPr>
              <w:adjustRightInd w:val="0"/>
              <w:snapToGrid w:val="0"/>
              <w:rPr>
                <w:rFonts w:eastAsia="宋体"/>
                <w:color w:val="auto"/>
                <w:sz w:val="24"/>
                <w:szCs w:val="24"/>
                <w:highlight w:val="none"/>
              </w:rPr>
            </w:pPr>
          </w:p>
        </w:tc>
        <w:tc>
          <w:tcPr>
            <w:tcW w:w="1620" w:type="dxa"/>
            <w:vAlign w:val="center"/>
          </w:tcPr>
          <w:p w14:paraId="2506E9EF">
            <w:pPr>
              <w:adjustRightInd w:val="0"/>
              <w:snapToGrid w:val="0"/>
              <w:rPr>
                <w:rFonts w:eastAsia="宋体"/>
                <w:color w:val="auto"/>
                <w:sz w:val="24"/>
                <w:szCs w:val="24"/>
                <w:highlight w:val="none"/>
              </w:rPr>
            </w:pPr>
          </w:p>
        </w:tc>
        <w:tc>
          <w:tcPr>
            <w:tcW w:w="2700" w:type="dxa"/>
            <w:vAlign w:val="center"/>
          </w:tcPr>
          <w:p w14:paraId="5E8123AA">
            <w:pPr>
              <w:adjustRightInd w:val="0"/>
              <w:snapToGrid w:val="0"/>
              <w:rPr>
                <w:rFonts w:eastAsia="宋体"/>
                <w:color w:val="auto"/>
                <w:sz w:val="24"/>
                <w:szCs w:val="24"/>
                <w:highlight w:val="none"/>
              </w:rPr>
            </w:pPr>
          </w:p>
        </w:tc>
        <w:tc>
          <w:tcPr>
            <w:tcW w:w="3225" w:type="dxa"/>
            <w:gridSpan w:val="2"/>
            <w:vAlign w:val="center"/>
          </w:tcPr>
          <w:p w14:paraId="2EE0EBDA">
            <w:pPr>
              <w:adjustRightInd w:val="0"/>
              <w:snapToGrid w:val="0"/>
              <w:rPr>
                <w:rFonts w:eastAsia="宋体"/>
                <w:color w:val="auto"/>
                <w:sz w:val="24"/>
                <w:szCs w:val="24"/>
                <w:highlight w:val="none"/>
              </w:rPr>
            </w:pPr>
          </w:p>
        </w:tc>
        <w:tc>
          <w:tcPr>
            <w:tcW w:w="1020" w:type="dxa"/>
            <w:vAlign w:val="center"/>
          </w:tcPr>
          <w:p w14:paraId="685F78AC">
            <w:pPr>
              <w:adjustRightInd w:val="0"/>
              <w:snapToGrid w:val="0"/>
              <w:rPr>
                <w:rFonts w:eastAsia="宋体"/>
                <w:color w:val="auto"/>
                <w:sz w:val="24"/>
                <w:szCs w:val="24"/>
                <w:highlight w:val="none"/>
              </w:rPr>
            </w:pPr>
          </w:p>
        </w:tc>
      </w:tr>
      <w:tr w14:paraId="69CC5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25385B76">
            <w:pPr>
              <w:adjustRightInd w:val="0"/>
              <w:snapToGrid w:val="0"/>
              <w:rPr>
                <w:rFonts w:eastAsia="宋体"/>
                <w:color w:val="auto"/>
                <w:sz w:val="24"/>
                <w:szCs w:val="24"/>
                <w:highlight w:val="none"/>
              </w:rPr>
            </w:pPr>
          </w:p>
        </w:tc>
        <w:tc>
          <w:tcPr>
            <w:tcW w:w="1620" w:type="dxa"/>
            <w:vAlign w:val="center"/>
          </w:tcPr>
          <w:p w14:paraId="302744D3">
            <w:pPr>
              <w:adjustRightInd w:val="0"/>
              <w:snapToGrid w:val="0"/>
              <w:rPr>
                <w:rFonts w:eastAsia="宋体"/>
                <w:color w:val="auto"/>
                <w:sz w:val="24"/>
                <w:szCs w:val="24"/>
                <w:highlight w:val="none"/>
              </w:rPr>
            </w:pPr>
          </w:p>
        </w:tc>
        <w:tc>
          <w:tcPr>
            <w:tcW w:w="2700" w:type="dxa"/>
            <w:vAlign w:val="center"/>
          </w:tcPr>
          <w:p w14:paraId="572D9947">
            <w:pPr>
              <w:adjustRightInd w:val="0"/>
              <w:snapToGrid w:val="0"/>
              <w:rPr>
                <w:rFonts w:eastAsia="宋体"/>
                <w:color w:val="auto"/>
                <w:sz w:val="24"/>
                <w:szCs w:val="24"/>
                <w:highlight w:val="none"/>
              </w:rPr>
            </w:pPr>
          </w:p>
        </w:tc>
        <w:tc>
          <w:tcPr>
            <w:tcW w:w="3225" w:type="dxa"/>
            <w:gridSpan w:val="2"/>
            <w:vAlign w:val="center"/>
          </w:tcPr>
          <w:p w14:paraId="2B13BA17">
            <w:pPr>
              <w:adjustRightInd w:val="0"/>
              <w:snapToGrid w:val="0"/>
              <w:rPr>
                <w:rFonts w:eastAsia="宋体"/>
                <w:color w:val="auto"/>
                <w:sz w:val="24"/>
                <w:szCs w:val="24"/>
                <w:highlight w:val="none"/>
              </w:rPr>
            </w:pPr>
          </w:p>
        </w:tc>
        <w:tc>
          <w:tcPr>
            <w:tcW w:w="1020" w:type="dxa"/>
            <w:vAlign w:val="center"/>
          </w:tcPr>
          <w:p w14:paraId="7C41F0A6">
            <w:pPr>
              <w:adjustRightInd w:val="0"/>
              <w:snapToGrid w:val="0"/>
              <w:rPr>
                <w:rFonts w:eastAsia="宋体"/>
                <w:color w:val="auto"/>
                <w:sz w:val="24"/>
                <w:szCs w:val="24"/>
                <w:highlight w:val="none"/>
              </w:rPr>
            </w:pPr>
          </w:p>
        </w:tc>
      </w:tr>
      <w:tr w14:paraId="098CE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058571C0">
            <w:pPr>
              <w:adjustRightInd w:val="0"/>
              <w:snapToGrid w:val="0"/>
              <w:rPr>
                <w:rFonts w:eastAsia="宋体"/>
                <w:color w:val="auto"/>
                <w:sz w:val="24"/>
                <w:szCs w:val="24"/>
                <w:highlight w:val="none"/>
              </w:rPr>
            </w:pPr>
          </w:p>
        </w:tc>
        <w:tc>
          <w:tcPr>
            <w:tcW w:w="1620" w:type="dxa"/>
            <w:vAlign w:val="center"/>
          </w:tcPr>
          <w:p w14:paraId="1DFB1BCE">
            <w:pPr>
              <w:adjustRightInd w:val="0"/>
              <w:snapToGrid w:val="0"/>
              <w:rPr>
                <w:rFonts w:eastAsia="宋体"/>
                <w:color w:val="auto"/>
                <w:sz w:val="24"/>
                <w:szCs w:val="24"/>
                <w:highlight w:val="none"/>
              </w:rPr>
            </w:pPr>
          </w:p>
        </w:tc>
        <w:tc>
          <w:tcPr>
            <w:tcW w:w="2700" w:type="dxa"/>
            <w:vAlign w:val="center"/>
          </w:tcPr>
          <w:p w14:paraId="2DCF36A3">
            <w:pPr>
              <w:adjustRightInd w:val="0"/>
              <w:snapToGrid w:val="0"/>
              <w:rPr>
                <w:rFonts w:eastAsia="宋体"/>
                <w:color w:val="auto"/>
                <w:sz w:val="24"/>
                <w:szCs w:val="24"/>
                <w:highlight w:val="none"/>
              </w:rPr>
            </w:pPr>
          </w:p>
        </w:tc>
        <w:tc>
          <w:tcPr>
            <w:tcW w:w="3225" w:type="dxa"/>
            <w:gridSpan w:val="2"/>
            <w:vAlign w:val="center"/>
          </w:tcPr>
          <w:p w14:paraId="49709584">
            <w:pPr>
              <w:adjustRightInd w:val="0"/>
              <w:snapToGrid w:val="0"/>
              <w:rPr>
                <w:rFonts w:eastAsia="宋体"/>
                <w:color w:val="auto"/>
                <w:sz w:val="24"/>
                <w:szCs w:val="24"/>
                <w:highlight w:val="none"/>
              </w:rPr>
            </w:pPr>
          </w:p>
        </w:tc>
        <w:tc>
          <w:tcPr>
            <w:tcW w:w="1020" w:type="dxa"/>
            <w:vAlign w:val="center"/>
          </w:tcPr>
          <w:p w14:paraId="44835BC7">
            <w:pPr>
              <w:adjustRightInd w:val="0"/>
              <w:snapToGrid w:val="0"/>
              <w:rPr>
                <w:rFonts w:eastAsia="宋体"/>
                <w:color w:val="auto"/>
                <w:sz w:val="24"/>
                <w:szCs w:val="24"/>
                <w:highlight w:val="none"/>
              </w:rPr>
            </w:pPr>
          </w:p>
        </w:tc>
      </w:tr>
      <w:tr w14:paraId="0F139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4A351174">
            <w:pPr>
              <w:adjustRightInd w:val="0"/>
              <w:snapToGrid w:val="0"/>
              <w:rPr>
                <w:rFonts w:eastAsia="宋体"/>
                <w:color w:val="auto"/>
                <w:sz w:val="24"/>
                <w:szCs w:val="24"/>
                <w:highlight w:val="none"/>
              </w:rPr>
            </w:pPr>
          </w:p>
        </w:tc>
        <w:tc>
          <w:tcPr>
            <w:tcW w:w="1620" w:type="dxa"/>
            <w:vAlign w:val="center"/>
          </w:tcPr>
          <w:p w14:paraId="3421E6E1">
            <w:pPr>
              <w:adjustRightInd w:val="0"/>
              <w:snapToGrid w:val="0"/>
              <w:rPr>
                <w:rFonts w:eastAsia="宋体"/>
                <w:color w:val="auto"/>
                <w:sz w:val="24"/>
                <w:szCs w:val="24"/>
                <w:highlight w:val="none"/>
              </w:rPr>
            </w:pPr>
          </w:p>
        </w:tc>
        <w:tc>
          <w:tcPr>
            <w:tcW w:w="2700" w:type="dxa"/>
            <w:vAlign w:val="center"/>
          </w:tcPr>
          <w:p w14:paraId="11119856">
            <w:pPr>
              <w:adjustRightInd w:val="0"/>
              <w:snapToGrid w:val="0"/>
              <w:rPr>
                <w:rFonts w:eastAsia="宋体"/>
                <w:color w:val="auto"/>
                <w:sz w:val="24"/>
                <w:szCs w:val="24"/>
                <w:highlight w:val="none"/>
              </w:rPr>
            </w:pPr>
          </w:p>
        </w:tc>
        <w:tc>
          <w:tcPr>
            <w:tcW w:w="3225" w:type="dxa"/>
            <w:gridSpan w:val="2"/>
            <w:vAlign w:val="center"/>
          </w:tcPr>
          <w:p w14:paraId="05FF4C9F">
            <w:pPr>
              <w:adjustRightInd w:val="0"/>
              <w:snapToGrid w:val="0"/>
              <w:rPr>
                <w:rFonts w:eastAsia="宋体"/>
                <w:color w:val="auto"/>
                <w:sz w:val="24"/>
                <w:szCs w:val="24"/>
                <w:highlight w:val="none"/>
              </w:rPr>
            </w:pPr>
          </w:p>
        </w:tc>
        <w:tc>
          <w:tcPr>
            <w:tcW w:w="1020" w:type="dxa"/>
            <w:vAlign w:val="center"/>
          </w:tcPr>
          <w:p w14:paraId="77507B28">
            <w:pPr>
              <w:adjustRightInd w:val="0"/>
              <w:snapToGrid w:val="0"/>
              <w:rPr>
                <w:rFonts w:eastAsia="宋体"/>
                <w:color w:val="auto"/>
                <w:sz w:val="24"/>
                <w:szCs w:val="24"/>
                <w:highlight w:val="none"/>
              </w:rPr>
            </w:pPr>
          </w:p>
        </w:tc>
      </w:tr>
      <w:tr w14:paraId="408F1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F9526FF">
            <w:pPr>
              <w:adjustRightInd w:val="0"/>
              <w:snapToGrid w:val="0"/>
              <w:rPr>
                <w:rFonts w:eastAsia="宋体"/>
                <w:color w:val="auto"/>
                <w:sz w:val="24"/>
                <w:szCs w:val="24"/>
                <w:highlight w:val="none"/>
              </w:rPr>
            </w:pPr>
          </w:p>
        </w:tc>
        <w:tc>
          <w:tcPr>
            <w:tcW w:w="1620" w:type="dxa"/>
            <w:vAlign w:val="center"/>
          </w:tcPr>
          <w:p w14:paraId="415AF3B6">
            <w:pPr>
              <w:adjustRightInd w:val="0"/>
              <w:snapToGrid w:val="0"/>
              <w:rPr>
                <w:rFonts w:eastAsia="宋体"/>
                <w:color w:val="auto"/>
                <w:sz w:val="24"/>
                <w:szCs w:val="24"/>
                <w:highlight w:val="none"/>
              </w:rPr>
            </w:pPr>
          </w:p>
        </w:tc>
        <w:tc>
          <w:tcPr>
            <w:tcW w:w="2700" w:type="dxa"/>
            <w:vAlign w:val="center"/>
          </w:tcPr>
          <w:p w14:paraId="7BFD4A46">
            <w:pPr>
              <w:adjustRightInd w:val="0"/>
              <w:snapToGrid w:val="0"/>
              <w:rPr>
                <w:rFonts w:eastAsia="宋体"/>
                <w:color w:val="auto"/>
                <w:sz w:val="24"/>
                <w:szCs w:val="24"/>
                <w:highlight w:val="none"/>
              </w:rPr>
            </w:pPr>
          </w:p>
        </w:tc>
        <w:tc>
          <w:tcPr>
            <w:tcW w:w="3225" w:type="dxa"/>
            <w:gridSpan w:val="2"/>
            <w:vAlign w:val="center"/>
          </w:tcPr>
          <w:p w14:paraId="4A1143EA">
            <w:pPr>
              <w:adjustRightInd w:val="0"/>
              <w:snapToGrid w:val="0"/>
              <w:rPr>
                <w:rFonts w:eastAsia="宋体"/>
                <w:color w:val="auto"/>
                <w:sz w:val="24"/>
                <w:szCs w:val="24"/>
                <w:highlight w:val="none"/>
              </w:rPr>
            </w:pPr>
          </w:p>
        </w:tc>
        <w:tc>
          <w:tcPr>
            <w:tcW w:w="1020" w:type="dxa"/>
            <w:vAlign w:val="center"/>
          </w:tcPr>
          <w:p w14:paraId="47145F73">
            <w:pPr>
              <w:adjustRightInd w:val="0"/>
              <w:snapToGrid w:val="0"/>
              <w:rPr>
                <w:rFonts w:eastAsia="宋体"/>
                <w:color w:val="auto"/>
                <w:sz w:val="24"/>
                <w:szCs w:val="24"/>
                <w:highlight w:val="none"/>
              </w:rPr>
            </w:pPr>
          </w:p>
        </w:tc>
      </w:tr>
      <w:tr w14:paraId="20A4E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22A67971">
            <w:pPr>
              <w:adjustRightInd w:val="0"/>
              <w:snapToGrid w:val="0"/>
              <w:rPr>
                <w:rFonts w:eastAsia="宋体"/>
                <w:color w:val="auto"/>
                <w:sz w:val="24"/>
                <w:szCs w:val="24"/>
                <w:highlight w:val="none"/>
              </w:rPr>
            </w:pPr>
          </w:p>
        </w:tc>
        <w:tc>
          <w:tcPr>
            <w:tcW w:w="1620" w:type="dxa"/>
            <w:vAlign w:val="center"/>
          </w:tcPr>
          <w:p w14:paraId="6F0A9B33">
            <w:pPr>
              <w:adjustRightInd w:val="0"/>
              <w:snapToGrid w:val="0"/>
              <w:rPr>
                <w:rFonts w:eastAsia="宋体"/>
                <w:color w:val="auto"/>
                <w:sz w:val="24"/>
                <w:szCs w:val="24"/>
                <w:highlight w:val="none"/>
              </w:rPr>
            </w:pPr>
          </w:p>
        </w:tc>
        <w:tc>
          <w:tcPr>
            <w:tcW w:w="2700" w:type="dxa"/>
            <w:vAlign w:val="center"/>
          </w:tcPr>
          <w:p w14:paraId="6779EC3C">
            <w:pPr>
              <w:adjustRightInd w:val="0"/>
              <w:snapToGrid w:val="0"/>
              <w:rPr>
                <w:rFonts w:eastAsia="宋体"/>
                <w:color w:val="auto"/>
                <w:sz w:val="24"/>
                <w:szCs w:val="24"/>
                <w:highlight w:val="none"/>
              </w:rPr>
            </w:pPr>
          </w:p>
        </w:tc>
        <w:tc>
          <w:tcPr>
            <w:tcW w:w="3225" w:type="dxa"/>
            <w:gridSpan w:val="2"/>
            <w:vAlign w:val="center"/>
          </w:tcPr>
          <w:p w14:paraId="7CF9E34E">
            <w:pPr>
              <w:adjustRightInd w:val="0"/>
              <w:snapToGrid w:val="0"/>
              <w:rPr>
                <w:rFonts w:eastAsia="宋体"/>
                <w:color w:val="auto"/>
                <w:sz w:val="24"/>
                <w:szCs w:val="24"/>
                <w:highlight w:val="none"/>
              </w:rPr>
            </w:pPr>
          </w:p>
        </w:tc>
        <w:tc>
          <w:tcPr>
            <w:tcW w:w="1020" w:type="dxa"/>
            <w:vAlign w:val="center"/>
          </w:tcPr>
          <w:p w14:paraId="20BAEAE7">
            <w:pPr>
              <w:adjustRightInd w:val="0"/>
              <w:snapToGrid w:val="0"/>
              <w:rPr>
                <w:rFonts w:eastAsia="宋体"/>
                <w:color w:val="auto"/>
                <w:sz w:val="24"/>
                <w:szCs w:val="24"/>
                <w:highlight w:val="none"/>
              </w:rPr>
            </w:pPr>
          </w:p>
        </w:tc>
      </w:tr>
      <w:tr w14:paraId="57CED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2A061800">
            <w:pPr>
              <w:adjustRightInd w:val="0"/>
              <w:snapToGrid w:val="0"/>
              <w:rPr>
                <w:rFonts w:eastAsia="宋体"/>
                <w:color w:val="auto"/>
                <w:sz w:val="24"/>
                <w:szCs w:val="24"/>
                <w:highlight w:val="none"/>
              </w:rPr>
            </w:pPr>
          </w:p>
        </w:tc>
        <w:tc>
          <w:tcPr>
            <w:tcW w:w="1620" w:type="dxa"/>
            <w:vAlign w:val="center"/>
          </w:tcPr>
          <w:p w14:paraId="27094454">
            <w:pPr>
              <w:adjustRightInd w:val="0"/>
              <w:snapToGrid w:val="0"/>
              <w:rPr>
                <w:rFonts w:eastAsia="宋体"/>
                <w:color w:val="auto"/>
                <w:sz w:val="24"/>
                <w:szCs w:val="24"/>
                <w:highlight w:val="none"/>
              </w:rPr>
            </w:pPr>
          </w:p>
        </w:tc>
        <w:tc>
          <w:tcPr>
            <w:tcW w:w="2700" w:type="dxa"/>
            <w:vAlign w:val="center"/>
          </w:tcPr>
          <w:p w14:paraId="55338934">
            <w:pPr>
              <w:adjustRightInd w:val="0"/>
              <w:snapToGrid w:val="0"/>
              <w:rPr>
                <w:rFonts w:eastAsia="宋体"/>
                <w:color w:val="auto"/>
                <w:sz w:val="24"/>
                <w:szCs w:val="24"/>
                <w:highlight w:val="none"/>
              </w:rPr>
            </w:pPr>
          </w:p>
        </w:tc>
        <w:tc>
          <w:tcPr>
            <w:tcW w:w="3225" w:type="dxa"/>
            <w:gridSpan w:val="2"/>
            <w:vAlign w:val="center"/>
          </w:tcPr>
          <w:p w14:paraId="72922E49">
            <w:pPr>
              <w:adjustRightInd w:val="0"/>
              <w:snapToGrid w:val="0"/>
              <w:rPr>
                <w:rFonts w:eastAsia="宋体"/>
                <w:color w:val="auto"/>
                <w:sz w:val="24"/>
                <w:szCs w:val="24"/>
                <w:highlight w:val="none"/>
              </w:rPr>
            </w:pPr>
          </w:p>
        </w:tc>
        <w:tc>
          <w:tcPr>
            <w:tcW w:w="1020" w:type="dxa"/>
            <w:vAlign w:val="center"/>
          </w:tcPr>
          <w:p w14:paraId="091037A7">
            <w:pPr>
              <w:adjustRightInd w:val="0"/>
              <w:snapToGrid w:val="0"/>
              <w:rPr>
                <w:rFonts w:eastAsia="宋体"/>
                <w:color w:val="auto"/>
                <w:sz w:val="24"/>
                <w:szCs w:val="24"/>
                <w:highlight w:val="none"/>
              </w:rPr>
            </w:pPr>
          </w:p>
        </w:tc>
      </w:tr>
      <w:tr w14:paraId="46173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8EB20D6">
            <w:pPr>
              <w:adjustRightInd w:val="0"/>
              <w:snapToGrid w:val="0"/>
              <w:rPr>
                <w:rFonts w:eastAsia="宋体"/>
                <w:color w:val="auto"/>
                <w:sz w:val="24"/>
                <w:szCs w:val="24"/>
                <w:highlight w:val="none"/>
              </w:rPr>
            </w:pPr>
          </w:p>
        </w:tc>
        <w:tc>
          <w:tcPr>
            <w:tcW w:w="1620" w:type="dxa"/>
            <w:vAlign w:val="center"/>
          </w:tcPr>
          <w:p w14:paraId="7081B6E1">
            <w:pPr>
              <w:adjustRightInd w:val="0"/>
              <w:snapToGrid w:val="0"/>
              <w:rPr>
                <w:rFonts w:eastAsia="宋体"/>
                <w:color w:val="auto"/>
                <w:sz w:val="24"/>
                <w:szCs w:val="24"/>
                <w:highlight w:val="none"/>
              </w:rPr>
            </w:pPr>
          </w:p>
        </w:tc>
        <w:tc>
          <w:tcPr>
            <w:tcW w:w="2700" w:type="dxa"/>
            <w:vAlign w:val="center"/>
          </w:tcPr>
          <w:p w14:paraId="6430E6F8">
            <w:pPr>
              <w:adjustRightInd w:val="0"/>
              <w:snapToGrid w:val="0"/>
              <w:rPr>
                <w:rFonts w:eastAsia="宋体"/>
                <w:color w:val="auto"/>
                <w:sz w:val="24"/>
                <w:szCs w:val="24"/>
                <w:highlight w:val="none"/>
              </w:rPr>
            </w:pPr>
          </w:p>
        </w:tc>
        <w:tc>
          <w:tcPr>
            <w:tcW w:w="3225" w:type="dxa"/>
            <w:gridSpan w:val="2"/>
            <w:vAlign w:val="center"/>
          </w:tcPr>
          <w:p w14:paraId="0E2E3FD0">
            <w:pPr>
              <w:adjustRightInd w:val="0"/>
              <w:snapToGrid w:val="0"/>
              <w:rPr>
                <w:rFonts w:eastAsia="宋体"/>
                <w:color w:val="auto"/>
                <w:sz w:val="24"/>
                <w:szCs w:val="24"/>
                <w:highlight w:val="none"/>
              </w:rPr>
            </w:pPr>
          </w:p>
        </w:tc>
        <w:tc>
          <w:tcPr>
            <w:tcW w:w="1020" w:type="dxa"/>
            <w:vAlign w:val="center"/>
          </w:tcPr>
          <w:p w14:paraId="40821417">
            <w:pPr>
              <w:adjustRightInd w:val="0"/>
              <w:snapToGrid w:val="0"/>
              <w:rPr>
                <w:rFonts w:eastAsia="宋体"/>
                <w:color w:val="auto"/>
                <w:sz w:val="24"/>
                <w:szCs w:val="24"/>
                <w:highlight w:val="none"/>
              </w:rPr>
            </w:pPr>
          </w:p>
        </w:tc>
      </w:tr>
      <w:tr w14:paraId="260A4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51" w:type="dxa"/>
            <w:vAlign w:val="center"/>
          </w:tcPr>
          <w:p w14:paraId="1C07A8CC">
            <w:pPr>
              <w:adjustRightInd w:val="0"/>
              <w:snapToGrid w:val="0"/>
              <w:rPr>
                <w:rFonts w:eastAsia="宋体"/>
                <w:color w:val="auto"/>
                <w:sz w:val="24"/>
                <w:szCs w:val="24"/>
                <w:highlight w:val="none"/>
              </w:rPr>
            </w:pPr>
          </w:p>
        </w:tc>
        <w:tc>
          <w:tcPr>
            <w:tcW w:w="1620" w:type="dxa"/>
            <w:vAlign w:val="center"/>
          </w:tcPr>
          <w:p w14:paraId="6BE5B337">
            <w:pPr>
              <w:adjustRightInd w:val="0"/>
              <w:snapToGrid w:val="0"/>
              <w:rPr>
                <w:rFonts w:eastAsia="宋体"/>
                <w:color w:val="auto"/>
                <w:sz w:val="24"/>
                <w:szCs w:val="24"/>
                <w:highlight w:val="none"/>
              </w:rPr>
            </w:pPr>
          </w:p>
        </w:tc>
        <w:tc>
          <w:tcPr>
            <w:tcW w:w="2700" w:type="dxa"/>
            <w:vAlign w:val="center"/>
          </w:tcPr>
          <w:p w14:paraId="27DDA27C">
            <w:pPr>
              <w:adjustRightInd w:val="0"/>
              <w:snapToGrid w:val="0"/>
              <w:rPr>
                <w:rFonts w:eastAsia="宋体"/>
                <w:color w:val="auto"/>
                <w:sz w:val="24"/>
                <w:szCs w:val="24"/>
                <w:highlight w:val="none"/>
              </w:rPr>
            </w:pPr>
          </w:p>
        </w:tc>
        <w:tc>
          <w:tcPr>
            <w:tcW w:w="3225" w:type="dxa"/>
            <w:gridSpan w:val="2"/>
            <w:vAlign w:val="center"/>
          </w:tcPr>
          <w:p w14:paraId="1BF64446">
            <w:pPr>
              <w:adjustRightInd w:val="0"/>
              <w:snapToGrid w:val="0"/>
              <w:rPr>
                <w:rFonts w:eastAsia="宋体"/>
                <w:color w:val="auto"/>
                <w:sz w:val="24"/>
                <w:szCs w:val="24"/>
                <w:highlight w:val="none"/>
              </w:rPr>
            </w:pPr>
          </w:p>
        </w:tc>
        <w:tc>
          <w:tcPr>
            <w:tcW w:w="1020" w:type="dxa"/>
            <w:vAlign w:val="center"/>
          </w:tcPr>
          <w:p w14:paraId="4E07DB7B">
            <w:pPr>
              <w:adjustRightInd w:val="0"/>
              <w:snapToGrid w:val="0"/>
              <w:rPr>
                <w:rFonts w:eastAsia="宋体"/>
                <w:color w:val="auto"/>
                <w:sz w:val="24"/>
                <w:szCs w:val="24"/>
                <w:highlight w:val="none"/>
              </w:rPr>
            </w:pPr>
          </w:p>
        </w:tc>
      </w:tr>
    </w:tbl>
    <w:p w14:paraId="22AA5F1C">
      <w:pPr>
        <w:adjustRightInd w:val="0"/>
        <w:snapToGrid w:val="0"/>
        <w:rPr>
          <w:rFonts w:eastAsia="宋体"/>
          <w:color w:val="auto"/>
          <w:sz w:val="24"/>
          <w:szCs w:val="24"/>
          <w:highlight w:val="none"/>
        </w:rPr>
      </w:pPr>
      <w:r>
        <w:rPr>
          <w:rFonts w:eastAsia="宋体"/>
          <w:color w:val="auto"/>
          <w:sz w:val="24"/>
          <w:szCs w:val="24"/>
          <w:highlight w:val="none"/>
        </w:rPr>
        <w:t>供应商名称：                                     （</w:t>
      </w:r>
      <w:r>
        <w:rPr>
          <w:rFonts w:hint="eastAsia" w:eastAsia="宋体"/>
          <w:color w:val="auto"/>
          <w:sz w:val="24"/>
          <w:szCs w:val="24"/>
          <w:highlight w:val="none"/>
        </w:rPr>
        <w:t>加盖CA电子公章</w:t>
      </w:r>
      <w:r>
        <w:rPr>
          <w:rFonts w:eastAsia="宋体"/>
          <w:color w:val="auto"/>
          <w:sz w:val="24"/>
          <w:szCs w:val="24"/>
          <w:highlight w:val="none"/>
        </w:rPr>
        <w:t>）</w:t>
      </w:r>
    </w:p>
    <w:p w14:paraId="5F3CF2D7">
      <w:pPr>
        <w:adjustRightInd w:val="0"/>
        <w:snapToGrid w:val="0"/>
        <w:rPr>
          <w:rFonts w:eastAsia="宋体"/>
          <w:color w:val="auto"/>
          <w:sz w:val="24"/>
          <w:szCs w:val="24"/>
          <w:highlight w:val="none"/>
        </w:rPr>
      </w:pPr>
      <w:r>
        <w:rPr>
          <w:rFonts w:eastAsia="宋体"/>
          <w:color w:val="auto"/>
          <w:sz w:val="24"/>
          <w:szCs w:val="24"/>
          <w:highlight w:val="none"/>
        </w:rPr>
        <w:t>说明：</w:t>
      </w:r>
    </w:p>
    <w:p w14:paraId="1D4A9C9B">
      <w:pPr>
        <w:adjustRightInd w:val="0"/>
        <w:snapToGrid w:val="0"/>
        <w:rPr>
          <w:rFonts w:eastAsia="宋体"/>
          <w:color w:val="auto"/>
          <w:sz w:val="24"/>
          <w:szCs w:val="24"/>
          <w:highlight w:val="none"/>
        </w:rPr>
      </w:pPr>
      <w:r>
        <w:rPr>
          <w:rFonts w:eastAsia="宋体"/>
          <w:color w:val="auto"/>
          <w:sz w:val="24"/>
          <w:szCs w:val="24"/>
          <w:highlight w:val="none"/>
        </w:rPr>
        <w:t>1.如果行数不够，请自行增加。</w:t>
      </w:r>
    </w:p>
    <w:p w14:paraId="46F4E8DC">
      <w:pPr>
        <w:adjustRightInd w:val="0"/>
        <w:snapToGrid w:val="0"/>
        <w:rPr>
          <w:rFonts w:eastAsia="宋体"/>
          <w:b/>
          <w:color w:val="auto"/>
          <w:sz w:val="24"/>
          <w:szCs w:val="24"/>
          <w:highlight w:val="none"/>
        </w:rPr>
      </w:pPr>
      <w:r>
        <w:rPr>
          <w:rFonts w:eastAsia="宋体"/>
          <w:b/>
          <w:color w:val="auto"/>
          <w:sz w:val="24"/>
          <w:szCs w:val="24"/>
          <w:highlight w:val="none"/>
        </w:rPr>
        <w:t>2.响应人应对照磋商文件“第三章 采购需求”的相关要求，将自身响应的偏离情况（与磋商文件要求不一致的地方）详细填入上表，并注明“正偏离/负偏离”；若未填写上表，视为完全响应。</w:t>
      </w:r>
    </w:p>
    <w:p w14:paraId="5C10F5E2">
      <w:pPr>
        <w:adjustRightInd w:val="0"/>
        <w:snapToGrid w:val="0"/>
        <w:spacing w:line="450" w:lineRule="exact"/>
        <w:ind w:right="-161" w:firstLine="520" w:firstLineChars="200"/>
        <w:rPr>
          <w:rFonts w:eastAsia="宋体"/>
          <w:color w:val="auto"/>
          <w:sz w:val="24"/>
          <w:szCs w:val="24"/>
          <w:highlight w:val="none"/>
        </w:rPr>
      </w:pPr>
      <w:r>
        <w:rPr>
          <w:color w:val="auto"/>
          <w:highlight w:val="none"/>
        </w:rPr>
        <w:br w:type="page"/>
      </w:r>
    </w:p>
    <w:p w14:paraId="02992A05">
      <w:pPr>
        <w:widowControl/>
        <w:adjustRightInd w:val="0"/>
        <w:snapToGrid w:val="0"/>
        <w:spacing w:line="450" w:lineRule="exact"/>
        <w:jc w:val="left"/>
        <w:rPr>
          <w:rFonts w:eastAsia="宋体"/>
          <w:color w:val="auto"/>
          <w:sz w:val="24"/>
          <w:szCs w:val="24"/>
          <w:highlight w:val="none"/>
        </w:rPr>
      </w:pPr>
      <w:r>
        <w:rPr>
          <w:rFonts w:eastAsia="宋体"/>
          <w:color w:val="auto"/>
          <w:sz w:val="24"/>
          <w:szCs w:val="24"/>
          <w:highlight w:val="none"/>
        </w:rPr>
        <w:t>格 式1</w:t>
      </w:r>
      <w:r>
        <w:rPr>
          <w:rFonts w:hint="eastAsia" w:eastAsia="宋体"/>
          <w:color w:val="auto"/>
          <w:sz w:val="24"/>
          <w:szCs w:val="24"/>
          <w:highlight w:val="none"/>
          <w:lang w:val="en-US" w:eastAsia="zh-CN"/>
        </w:rPr>
        <w:t>1</w:t>
      </w:r>
      <w:r>
        <w:rPr>
          <w:rFonts w:eastAsia="宋体"/>
          <w:color w:val="auto"/>
          <w:sz w:val="24"/>
          <w:szCs w:val="24"/>
          <w:highlight w:val="none"/>
        </w:rPr>
        <w:t>：磋商供应商针对本项目提供的后续服务承诺及服务条款，针对本项目提供的日常技术服务支持、服务沟通、项目工作进度保障措施等具体内容及方案；</w:t>
      </w:r>
    </w:p>
    <w:p w14:paraId="0862096A">
      <w:pPr>
        <w:widowControl/>
        <w:adjustRightInd w:val="0"/>
        <w:snapToGrid w:val="0"/>
        <w:spacing w:line="450" w:lineRule="exact"/>
        <w:jc w:val="left"/>
        <w:rPr>
          <w:rFonts w:eastAsia="宋体"/>
          <w:color w:val="auto"/>
          <w:sz w:val="24"/>
          <w:szCs w:val="24"/>
          <w:highlight w:val="none"/>
        </w:rPr>
      </w:pPr>
      <w:r>
        <w:rPr>
          <w:rFonts w:eastAsia="宋体"/>
          <w:color w:val="auto"/>
          <w:sz w:val="24"/>
          <w:szCs w:val="24"/>
          <w:highlight w:val="none"/>
        </w:rPr>
        <w:t>（格式自拟）</w:t>
      </w:r>
    </w:p>
    <w:p w14:paraId="13723F80">
      <w:pPr>
        <w:widowControl/>
        <w:adjustRightInd w:val="0"/>
        <w:snapToGrid w:val="0"/>
        <w:spacing w:line="450" w:lineRule="exact"/>
        <w:jc w:val="left"/>
        <w:rPr>
          <w:rFonts w:eastAsia="宋体"/>
          <w:color w:val="auto"/>
          <w:sz w:val="24"/>
          <w:szCs w:val="24"/>
          <w:highlight w:val="none"/>
        </w:rPr>
      </w:pPr>
      <w:r>
        <w:rPr>
          <w:rFonts w:eastAsia="宋体"/>
          <w:color w:val="auto"/>
          <w:sz w:val="24"/>
          <w:szCs w:val="24"/>
          <w:highlight w:val="none"/>
        </w:rPr>
        <w:t>格 式1</w:t>
      </w:r>
      <w:r>
        <w:rPr>
          <w:rFonts w:hint="eastAsia" w:eastAsia="宋体"/>
          <w:color w:val="auto"/>
          <w:sz w:val="24"/>
          <w:szCs w:val="24"/>
          <w:highlight w:val="none"/>
          <w:lang w:val="en-US" w:eastAsia="zh-CN"/>
        </w:rPr>
        <w:t>2</w:t>
      </w:r>
      <w:r>
        <w:rPr>
          <w:rFonts w:eastAsia="宋体"/>
          <w:color w:val="auto"/>
          <w:sz w:val="24"/>
          <w:szCs w:val="24"/>
          <w:highlight w:val="none"/>
        </w:rPr>
        <w:t>：评审标准中所涉及的其他材料，以及供应商认为有必要的其他证明资料；</w:t>
      </w:r>
    </w:p>
    <w:p w14:paraId="1106EFA4">
      <w:pPr>
        <w:tabs>
          <w:tab w:val="left" w:pos="0"/>
        </w:tabs>
        <w:autoSpaceDE w:val="0"/>
        <w:autoSpaceDN w:val="0"/>
        <w:adjustRightInd w:val="0"/>
        <w:snapToGrid w:val="0"/>
        <w:spacing w:line="450" w:lineRule="exact"/>
        <w:ind w:firstLine="502"/>
        <w:rPr>
          <w:rFonts w:eastAsia="宋体"/>
          <w:color w:val="auto"/>
          <w:sz w:val="24"/>
          <w:szCs w:val="24"/>
          <w:highlight w:val="none"/>
        </w:rPr>
      </w:pPr>
      <w:r>
        <w:rPr>
          <w:rFonts w:eastAsia="宋体"/>
          <w:b/>
          <w:bCs/>
          <w:color w:val="auto"/>
          <w:sz w:val="24"/>
          <w:szCs w:val="24"/>
          <w:highlight w:val="none"/>
          <w:lang w:val="zh-CN"/>
        </w:rPr>
        <w:t>注：供应商所提交的其他资料文件的完整与否，将直接影响对供应商是否实质性响应采购文件要求的评判或评分。</w:t>
      </w:r>
    </w:p>
    <w:p w14:paraId="543DF4A9">
      <w:pPr>
        <w:adjustRightInd w:val="0"/>
        <w:snapToGrid w:val="0"/>
        <w:rPr>
          <w:rFonts w:eastAsia="宋体"/>
          <w:color w:val="auto"/>
          <w:sz w:val="24"/>
          <w:szCs w:val="24"/>
          <w:highlight w:val="none"/>
        </w:rPr>
      </w:pPr>
    </w:p>
    <w:p w14:paraId="314EC895">
      <w:pPr>
        <w:adjustRightInd w:val="0"/>
        <w:snapToGrid w:val="0"/>
        <w:jc w:val="center"/>
        <w:rPr>
          <w:rFonts w:eastAsia="宋体"/>
          <w:color w:val="auto"/>
          <w:sz w:val="24"/>
          <w:szCs w:val="24"/>
          <w:highlight w:val="none"/>
        </w:rPr>
      </w:pPr>
      <w:r>
        <w:rPr>
          <w:rFonts w:eastAsia="宋体"/>
          <w:color w:val="auto"/>
          <w:sz w:val="24"/>
          <w:szCs w:val="24"/>
          <w:highlight w:val="none"/>
        </w:rPr>
        <w:t>（格式自拟）</w:t>
      </w:r>
    </w:p>
    <w:p w14:paraId="6D6369F1">
      <w:pPr>
        <w:adjustRightInd w:val="0"/>
        <w:snapToGrid w:val="0"/>
        <w:rPr>
          <w:rFonts w:eastAsia="宋体"/>
          <w:b/>
          <w:bCs/>
          <w:color w:val="auto"/>
          <w:sz w:val="24"/>
          <w:szCs w:val="24"/>
          <w:highlight w:val="none"/>
        </w:rPr>
      </w:pPr>
    </w:p>
    <w:p w14:paraId="4A69865A">
      <w:pPr>
        <w:spacing w:line="440" w:lineRule="exact"/>
        <w:rPr>
          <w:rFonts w:eastAsia="宋体"/>
          <w:b/>
          <w:bCs/>
          <w:color w:val="auto"/>
          <w:spacing w:val="20"/>
          <w:sz w:val="24"/>
          <w:szCs w:val="24"/>
          <w:highlight w:val="none"/>
          <w:u w:val="single"/>
        </w:rPr>
      </w:pPr>
      <w:r>
        <w:rPr>
          <w:rFonts w:eastAsia="宋体"/>
          <w:b/>
          <w:bCs/>
          <w:color w:val="auto"/>
          <w:spacing w:val="20"/>
          <w:sz w:val="24"/>
          <w:szCs w:val="24"/>
          <w:highlight w:val="none"/>
        </w:rPr>
        <w:br w:type="page"/>
      </w:r>
      <w:r>
        <w:rPr>
          <w:rFonts w:eastAsia="宋体"/>
          <w:b/>
          <w:bCs/>
          <w:color w:val="auto"/>
          <w:spacing w:val="20"/>
          <w:sz w:val="24"/>
          <w:szCs w:val="24"/>
          <w:highlight w:val="none"/>
        </w:rPr>
        <w:t>格式1</w:t>
      </w:r>
      <w:r>
        <w:rPr>
          <w:rFonts w:hint="eastAsia" w:eastAsia="宋体"/>
          <w:b/>
          <w:bCs/>
          <w:color w:val="auto"/>
          <w:spacing w:val="20"/>
          <w:sz w:val="24"/>
          <w:szCs w:val="24"/>
          <w:highlight w:val="none"/>
          <w:lang w:val="en-US" w:eastAsia="zh-CN"/>
        </w:rPr>
        <w:t>3</w:t>
      </w:r>
      <w:r>
        <w:rPr>
          <w:rFonts w:eastAsia="宋体"/>
          <w:b/>
          <w:bCs/>
          <w:color w:val="auto"/>
          <w:spacing w:val="20"/>
          <w:sz w:val="24"/>
          <w:szCs w:val="24"/>
          <w:highlight w:val="none"/>
        </w:rPr>
        <w:t>：</w:t>
      </w:r>
      <w:r>
        <w:rPr>
          <w:rFonts w:eastAsia="宋体"/>
          <w:b/>
          <w:bCs/>
          <w:color w:val="auto"/>
          <w:spacing w:val="20"/>
          <w:sz w:val="24"/>
          <w:szCs w:val="24"/>
          <w:highlight w:val="none"/>
          <w:u w:val="single"/>
        </w:rPr>
        <w:t>政策功能声明格式（请务必谨慎如实填报，如享受相关评审政策，需在报价函详细清单中一一对应，否则不予认可。）</w:t>
      </w:r>
    </w:p>
    <w:p w14:paraId="175F169A">
      <w:pPr>
        <w:spacing w:line="440" w:lineRule="exact"/>
        <w:rPr>
          <w:rFonts w:eastAsia="宋体"/>
          <w:color w:val="auto"/>
          <w:sz w:val="24"/>
          <w:szCs w:val="24"/>
          <w:highlight w:val="none"/>
        </w:rPr>
      </w:pPr>
      <w:r>
        <w:rPr>
          <w:rFonts w:eastAsia="宋体"/>
          <w:color w:val="auto"/>
          <w:sz w:val="24"/>
          <w:szCs w:val="24"/>
          <w:highlight w:val="none"/>
        </w:rPr>
        <w:t>企业声明函格式</w:t>
      </w:r>
    </w:p>
    <w:p w14:paraId="01EAC4F3">
      <w:pPr>
        <w:spacing w:line="360" w:lineRule="auto"/>
        <w:jc w:val="center"/>
        <w:rPr>
          <w:rFonts w:ascii="宋体" w:hAnsi="宋体" w:eastAsia="宋体" w:cs="宋体"/>
          <w:b/>
          <w:bCs/>
          <w:color w:val="auto"/>
          <w:sz w:val="24"/>
          <w:szCs w:val="24"/>
          <w:highlight w:val="none"/>
        </w:rPr>
      </w:pPr>
      <w:bookmarkStart w:id="1771" w:name="OLE_LINK14"/>
      <w:bookmarkStart w:id="1772" w:name="OLE_LINK13"/>
      <w:r>
        <w:rPr>
          <w:rFonts w:hint="eastAsia" w:ascii="宋体" w:hAnsi="宋体" w:eastAsia="宋体" w:cs="宋体"/>
          <w:b/>
          <w:bCs/>
          <w:color w:val="auto"/>
          <w:sz w:val="24"/>
          <w:szCs w:val="24"/>
          <w:highlight w:val="none"/>
        </w:rPr>
        <w:t>中小企业声明函（工程）</w:t>
      </w:r>
    </w:p>
    <w:p w14:paraId="29563845">
      <w:pPr>
        <w:spacing w:line="360" w:lineRule="auto"/>
        <w:ind w:firstLine="360" w:firstLineChars="150"/>
        <w:rPr>
          <w:rFonts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 xml:space="preserve">  </w:t>
      </w:r>
      <w:r>
        <w:rPr>
          <w:rFonts w:hint="eastAsia" w:ascii="宋体" w:hAnsi="宋体" w:eastAsia="宋体" w:cs="宋体"/>
          <w:color w:val="auto"/>
          <w:sz w:val="24"/>
          <w:szCs w:val="24"/>
          <w:highlight w:val="none"/>
        </w:rPr>
        <w:t>本公司郑重声明，根据《政府采购促进中小企业发展管理办法》(财库</w:t>
      </w:r>
      <w:r>
        <w:rPr>
          <w:rFonts w:hint="eastAsia" w:ascii="宋体" w:hAnsi="宋体" w:eastAsia="宋体" w:cs="宋体"/>
          <w:color w:val="auto"/>
          <w:sz w:val="24"/>
          <w:szCs w:val="24"/>
          <w:highlight w:val="none"/>
          <w:lang w:eastAsia="zh-CN"/>
        </w:rPr>
        <w:t>〔2020〕46号</w:t>
      </w:r>
      <w:r>
        <w:rPr>
          <w:rFonts w:hint="eastAsia" w:ascii="宋体" w:hAnsi="宋体" w:eastAsia="宋体" w:cs="宋体"/>
          <w:color w:val="auto"/>
          <w:sz w:val="24"/>
          <w:szCs w:val="24"/>
          <w:highlight w:val="none"/>
        </w:rPr>
        <w:t>)的规定，本公司（联合体）参加</w:t>
      </w:r>
      <w:r>
        <w:rPr>
          <w:rFonts w:hint="eastAsia" w:ascii="宋体" w:hAnsi="宋体" w:eastAsia="宋体" w:cs="宋体"/>
          <w:color w:val="auto"/>
          <w:sz w:val="24"/>
          <w:szCs w:val="24"/>
          <w:highlight w:val="none"/>
          <w:u w:val="single"/>
        </w:rPr>
        <w:t xml:space="preserve">  (采购人/采购代理机构)  </w:t>
      </w:r>
      <w:r>
        <w:rPr>
          <w:rFonts w:hint="eastAsia" w:ascii="宋体" w:hAnsi="宋体" w:eastAsia="宋体" w:cs="宋体"/>
          <w:color w:val="auto"/>
          <w:sz w:val="24"/>
          <w:szCs w:val="24"/>
          <w:highlight w:val="none"/>
        </w:rPr>
        <w:t>组织的</w:t>
      </w:r>
      <w:r>
        <w:rPr>
          <w:rFonts w:hint="eastAsia" w:ascii="宋体" w:hAnsi="宋体" w:eastAsia="宋体" w:cs="宋体"/>
          <w:i/>
          <w:color w:val="auto"/>
          <w:sz w:val="24"/>
          <w:szCs w:val="24"/>
          <w:highlight w:val="none"/>
          <w:u w:val="single"/>
        </w:rPr>
        <w:t>（单位名称）</w:t>
      </w:r>
      <w:r>
        <w:rPr>
          <w:rFonts w:hint="eastAsia" w:ascii="宋体" w:hAnsi="宋体" w:eastAsia="宋体" w:cs="宋体"/>
          <w:color w:val="auto"/>
          <w:sz w:val="24"/>
          <w:szCs w:val="24"/>
          <w:highlight w:val="none"/>
        </w:rPr>
        <w:t>采购编号为</w:t>
      </w:r>
      <w:r>
        <w:rPr>
          <w:rFonts w:hint="eastAsia" w:ascii="宋体" w:hAnsi="宋体" w:eastAsia="宋体" w:cs="宋体"/>
          <w:i/>
          <w:color w:val="auto"/>
          <w:sz w:val="24"/>
          <w:szCs w:val="24"/>
          <w:highlight w:val="none"/>
          <w:u w:val="single"/>
        </w:rPr>
        <w:t>* * *</w:t>
      </w:r>
      <w:r>
        <w:rPr>
          <w:rFonts w:hint="eastAsia" w:ascii="宋体" w:hAnsi="宋体" w:eastAsia="宋体" w:cs="宋体"/>
          <w:color w:val="auto"/>
          <w:sz w:val="24"/>
          <w:szCs w:val="24"/>
          <w:highlight w:val="none"/>
        </w:rPr>
        <w:t>，</w:t>
      </w:r>
      <w:r>
        <w:rPr>
          <w:rFonts w:hint="eastAsia" w:ascii="宋体" w:hAnsi="宋体" w:eastAsia="宋体" w:cs="宋体"/>
          <w:i/>
          <w:color w:val="auto"/>
          <w:sz w:val="24"/>
          <w:szCs w:val="24"/>
          <w:highlight w:val="none"/>
          <w:u w:val="single"/>
        </w:rPr>
        <w:t>（项目名称）</w:t>
      </w:r>
      <w:r>
        <w:rPr>
          <w:rFonts w:hint="eastAsia" w:ascii="宋体" w:hAnsi="宋体" w:eastAsia="宋体" w:cs="宋体"/>
          <w:color w:val="auto"/>
          <w:sz w:val="24"/>
          <w:szCs w:val="24"/>
          <w:highlight w:val="none"/>
        </w:rPr>
        <w:t>的采购活动</w:t>
      </w:r>
      <w:r>
        <w:rPr>
          <w:rFonts w:hint="eastAsia" w:ascii="宋体" w:hAnsi="宋体" w:eastAsia="宋体" w:cs="宋体"/>
          <w:snapToGrid w:val="0"/>
          <w:color w:val="auto"/>
          <w:kern w:val="0"/>
          <w:sz w:val="24"/>
          <w:szCs w:val="24"/>
          <w:highlight w:val="none"/>
        </w:rPr>
        <w:t>，提供的服务全部由符合政策要求的中小企业承接。</w:t>
      </w:r>
      <w:r>
        <w:rPr>
          <w:rFonts w:hint="eastAsia" w:ascii="宋体" w:hAnsi="宋体" w:eastAsia="宋体" w:cs="宋体"/>
          <w:color w:val="auto"/>
          <w:sz w:val="24"/>
          <w:szCs w:val="24"/>
          <w:highlight w:val="none"/>
        </w:rPr>
        <w:t>根据《工业和信息化部、国家统计局、国家发展和改革委员会、财政部关于印发中小企业划型标准规定的通知》(工信部联企业</w:t>
      </w:r>
      <w:r>
        <w:rPr>
          <w:rFonts w:hint="eastAsia" w:ascii="宋体" w:hAnsi="宋体" w:eastAsia="宋体" w:cs="宋体"/>
          <w:color w:val="auto"/>
          <w:sz w:val="24"/>
          <w:szCs w:val="24"/>
          <w:highlight w:val="none"/>
          <w:lang w:eastAsia="zh-CN"/>
        </w:rPr>
        <w:t>〔2011〕300号</w:t>
      </w:r>
      <w:r>
        <w:rPr>
          <w:rFonts w:hint="eastAsia" w:ascii="宋体" w:hAnsi="宋体" w:eastAsia="宋体" w:cs="宋体"/>
          <w:color w:val="auto"/>
          <w:sz w:val="24"/>
          <w:szCs w:val="24"/>
          <w:highlight w:val="none"/>
        </w:rPr>
        <w:t>)的规定，相关企业（含联合体中的中小企业、签订分包意向协议的中小企业）的具体情况如下：</w:t>
      </w:r>
    </w:p>
    <w:p w14:paraId="009ACBE2">
      <w:pPr>
        <w:spacing w:line="360" w:lineRule="auto"/>
        <w:jc w:val="left"/>
        <w:rPr>
          <w:rFonts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1、 [标的名称] ，属于</w:t>
      </w:r>
      <w:r>
        <w:rPr>
          <w:rFonts w:hint="eastAsia" w:ascii="宋体" w:hAnsi="宋体" w:eastAsia="宋体" w:cs="宋体"/>
          <w:b/>
          <w:bCs/>
          <w:snapToGrid w:val="0"/>
          <w:color w:val="auto"/>
          <w:kern w:val="0"/>
          <w:sz w:val="24"/>
          <w:szCs w:val="24"/>
          <w:highlight w:val="none"/>
          <w:u w:val="single"/>
        </w:rPr>
        <w:t xml:space="preserve">（需填入采购文件明确的所属行业） </w:t>
      </w:r>
      <w:r>
        <w:rPr>
          <w:rFonts w:hint="eastAsia" w:ascii="宋体" w:hAnsi="宋体" w:eastAsia="宋体" w:cs="宋体"/>
          <w:snapToGrid w:val="0"/>
          <w:color w:val="auto"/>
          <w:kern w:val="0"/>
          <w:sz w:val="24"/>
          <w:szCs w:val="24"/>
          <w:highlight w:val="none"/>
        </w:rPr>
        <w:t>行业；承接企业为</w:t>
      </w:r>
      <w:r>
        <w:rPr>
          <w:rFonts w:hint="eastAsia" w:ascii="宋体" w:hAnsi="宋体" w:eastAsia="宋体" w:cs="宋体"/>
          <w:snapToGrid w:val="0"/>
          <w:color w:val="auto"/>
          <w:kern w:val="0"/>
          <w:sz w:val="24"/>
          <w:szCs w:val="24"/>
          <w:highlight w:val="none"/>
          <w:u w:val="single"/>
        </w:rPr>
        <w:t xml:space="preserve">  [企业名称]  </w:t>
      </w:r>
      <w:r>
        <w:rPr>
          <w:rFonts w:hint="eastAsia" w:ascii="宋体" w:hAnsi="宋体" w:eastAsia="宋体" w:cs="宋体"/>
          <w:snapToGrid w:val="0"/>
          <w:color w:val="auto"/>
          <w:kern w:val="0"/>
          <w:sz w:val="24"/>
          <w:szCs w:val="24"/>
          <w:highlight w:val="none"/>
        </w:rPr>
        <w:t>，从业人员</w:t>
      </w:r>
      <w:r>
        <w:rPr>
          <w:rFonts w:hint="eastAsia" w:ascii="宋体" w:hAnsi="宋体" w:eastAsia="宋体" w:cs="宋体"/>
          <w:snapToGrid w:val="0"/>
          <w:color w:val="auto"/>
          <w:kern w:val="0"/>
          <w:sz w:val="24"/>
          <w:szCs w:val="24"/>
          <w:highlight w:val="none"/>
          <w:u w:val="single"/>
        </w:rPr>
        <w:t xml:space="preserve">    </w:t>
      </w:r>
      <w:r>
        <w:rPr>
          <w:rFonts w:hint="eastAsia" w:ascii="宋体" w:hAnsi="宋体" w:eastAsia="宋体" w:cs="宋体"/>
          <w:snapToGrid w:val="0"/>
          <w:color w:val="auto"/>
          <w:kern w:val="0"/>
          <w:sz w:val="24"/>
          <w:szCs w:val="24"/>
          <w:highlight w:val="none"/>
        </w:rPr>
        <w:t>人，营业收入为</w:t>
      </w:r>
      <w:r>
        <w:rPr>
          <w:rFonts w:hint="eastAsia" w:ascii="宋体" w:hAnsi="宋体" w:eastAsia="宋体" w:cs="宋体"/>
          <w:snapToGrid w:val="0"/>
          <w:color w:val="auto"/>
          <w:kern w:val="0"/>
          <w:sz w:val="24"/>
          <w:szCs w:val="24"/>
          <w:highlight w:val="none"/>
          <w:u w:val="single"/>
        </w:rPr>
        <w:t xml:space="preserve">     </w:t>
      </w:r>
      <w:r>
        <w:rPr>
          <w:rFonts w:hint="eastAsia" w:ascii="宋体" w:hAnsi="宋体" w:eastAsia="宋体" w:cs="宋体"/>
          <w:snapToGrid w:val="0"/>
          <w:color w:val="auto"/>
          <w:kern w:val="0"/>
          <w:sz w:val="24"/>
          <w:szCs w:val="24"/>
          <w:highlight w:val="none"/>
        </w:rPr>
        <w:t>万元，资产总额为</w:t>
      </w:r>
      <w:r>
        <w:rPr>
          <w:rFonts w:hint="eastAsia" w:ascii="宋体" w:hAnsi="宋体" w:eastAsia="宋体" w:cs="宋体"/>
          <w:snapToGrid w:val="0"/>
          <w:color w:val="auto"/>
          <w:kern w:val="0"/>
          <w:sz w:val="24"/>
          <w:szCs w:val="24"/>
          <w:highlight w:val="none"/>
          <w:u w:val="single"/>
        </w:rPr>
        <w:t xml:space="preserve">      </w:t>
      </w:r>
      <w:r>
        <w:rPr>
          <w:rFonts w:hint="eastAsia" w:ascii="宋体" w:hAnsi="宋体" w:eastAsia="宋体" w:cs="宋体"/>
          <w:snapToGrid w:val="0"/>
          <w:color w:val="auto"/>
          <w:kern w:val="0"/>
          <w:sz w:val="24"/>
          <w:szCs w:val="24"/>
          <w:highlight w:val="none"/>
        </w:rPr>
        <w:t>万元，属于</w:t>
      </w:r>
      <w:r>
        <w:rPr>
          <w:rFonts w:hint="eastAsia" w:ascii="宋体" w:hAnsi="宋体" w:eastAsia="宋体" w:cs="宋体"/>
          <w:snapToGrid w:val="0"/>
          <w:color w:val="auto"/>
          <w:kern w:val="0"/>
          <w:sz w:val="24"/>
          <w:szCs w:val="24"/>
          <w:highlight w:val="none"/>
          <w:u w:val="single"/>
        </w:rPr>
        <w:t xml:space="preserve">    (中型企业/小型企业/微型企业)    </w:t>
      </w:r>
      <w:r>
        <w:rPr>
          <w:rFonts w:hint="eastAsia" w:ascii="宋体" w:hAnsi="宋体" w:eastAsia="宋体" w:cs="宋体"/>
          <w:snapToGrid w:val="0"/>
          <w:color w:val="auto"/>
          <w:kern w:val="0"/>
          <w:sz w:val="24"/>
          <w:szCs w:val="24"/>
          <w:highlight w:val="none"/>
        </w:rPr>
        <w:t>；</w:t>
      </w:r>
    </w:p>
    <w:p w14:paraId="2615B397">
      <w:pPr>
        <w:spacing w:line="360" w:lineRule="auto"/>
        <w:jc w:val="left"/>
        <w:rPr>
          <w:rFonts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2、 [标的名称] ，属于</w:t>
      </w:r>
      <w:r>
        <w:rPr>
          <w:rFonts w:hint="eastAsia" w:ascii="宋体" w:hAnsi="宋体" w:eastAsia="宋体" w:cs="宋体"/>
          <w:b/>
          <w:bCs/>
          <w:snapToGrid w:val="0"/>
          <w:color w:val="auto"/>
          <w:kern w:val="0"/>
          <w:sz w:val="24"/>
          <w:szCs w:val="24"/>
          <w:highlight w:val="none"/>
          <w:u w:val="single"/>
        </w:rPr>
        <w:t>（需填入采购文件明确的所属行业）</w:t>
      </w:r>
      <w:r>
        <w:rPr>
          <w:rFonts w:hint="eastAsia" w:ascii="宋体" w:hAnsi="宋体" w:eastAsia="宋体" w:cs="宋体"/>
          <w:b w:val="0"/>
          <w:bCs w:val="0"/>
          <w:snapToGrid w:val="0"/>
          <w:color w:val="auto"/>
          <w:kern w:val="0"/>
          <w:sz w:val="24"/>
          <w:szCs w:val="24"/>
          <w:highlight w:val="none"/>
          <w:u w:val="single"/>
        </w:rPr>
        <w:t>行</w:t>
      </w:r>
      <w:r>
        <w:rPr>
          <w:rFonts w:hint="eastAsia" w:ascii="宋体" w:hAnsi="宋体" w:eastAsia="宋体" w:cs="宋体"/>
          <w:snapToGrid w:val="0"/>
          <w:color w:val="auto"/>
          <w:kern w:val="0"/>
          <w:sz w:val="24"/>
          <w:szCs w:val="24"/>
          <w:highlight w:val="none"/>
        </w:rPr>
        <w:t>业；承接企业为</w:t>
      </w:r>
      <w:r>
        <w:rPr>
          <w:rFonts w:hint="eastAsia" w:ascii="宋体" w:hAnsi="宋体" w:eastAsia="宋体" w:cs="宋体"/>
          <w:snapToGrid w:val="0"/>
          <w:color w:val="auto"/>
          <w:kern w:val="0"/>
          <w:sz w:val="24"/>
          <w:szCs w:val="24"/>
          <w:highlight w:val="none"/>
          <w:u w:val="single"/>
        </w:rPr>
        <w:t xml:space="preserve">  [企业名称]  </w:t>
      </w:r>
      <w:r>
        <w:rPr>
          <w:rFonts w:hint="eastAsia" w:ascii="宋体" w:hAnsi="宋体" w:eastAsia="宋体" w:cs="宋体"/>
          <w:snapToGrid w:val="0"/>
          <w:color w:val="auto"/>
          <w:kern w:val="0"/>
          <w:sz w:val="24"/>
          <w:szCs w:val="24"/>
          <w:highlight w:val="none"/>
        </w:rPr>
        <w:t>，从业人员</w:t>
      </w:r>
      <w:r>
        <w:rPr>
          <w:rFonts w:hint="eastAsia" w:ascii="宋体" w:hAnsi="宋体" w:eastAsia="宋体" w:cs="宋体"/>
          <w:snapToGrid w:val="0"/>
          <w:color w:val="auto"/>
          <w:kern w:val="0"/>
          <w:sz w:val="24"/>
          <w:szCs w:val="24"/>
          <w:highlight w:val="none"/>
          <w:u w:val="single"/>
        </w:rPr>
        <w:t xml:space="preserve">    </w:t>
      </w:r>
      <w:r>
        <w:rPr>
          <w:rFonts w:hint="eastAsia" w:ascii="宋体" w:hAnsi="宋体" w:eastAsia="宋体" w:cs="宋体"/>
          <w:snapToGrid w:val="0"/>
          <w:color w:val="auto"/>
          <w:kern w:val="0"/>
          <w:sz w:val="24"/>
          <w:szCs w:val="24"/>
          <w:highlight w:val="none"/>
        </w:rPr>
        <w:t>人，营业收入为</w:t>
      </w:r>
      <w:r>
        <w:rPr>
          <w:rFonts w:hint="eastAsia" w:ascii="宋体" w:hAnsi="宋体" w:eastAsia="宋体" w:cs="宋体"/>
          <w:snapToGrid w:val="0"/>
          <w:color w:val="auto"/>
          <w:kern w:val="0"/>
          <w:sz w:val="24"/>
          <w:szCs w:val="24"/>
          <w:highlight w:val="none"/>
          <w:u w:val="single"/>
        </w:rPr>
        <w:t xml:space="preserve">     </w:t>
      </w:r>
      <w:r>
        <w:rPr>
          <w:rFonts w:hint="eastAsia" w:ascii="宋体" w:hAnsi="宋体" w:eastAsia="宋体" w:cs="宋体"/>
          <w:snapToGrid w:val="0"/>
          <w:color w:val="auto"/>
          <w:kern w:val="0"/>
          <w:sz w:val="24"/>
          <w:szCs w:val="24"/>
          <w:highlight w:val="none"/>
        </w:rPr>
        <w:t>万元，资产总额为</w:t>
      </w:r>
      <w:r>
        <w:rPr>
          <w:rFonts w:hint="eastAsia" w:ascii="宋体" w:hAnsi="宋体" w:eastAsia="宋体" w:cs="宋体"/>
          <w:snapToGrid w:val="0"/>
          <w:color w:val="auto"/>
          <w:kern w:val="0"/>
          <w:sz w:val="24"/>
          <w:szCs w:val="24"/>
          <w:highlight w:val="none"/>
          <w:u w:val="single"/>
        </w:rPr>
        <w:t xml:space="preserve">      </w:t>
      </w:r>
      <w:r>
        <w:rPr>
          <w:rFonts w:hint="eastAsia" w:ascii="宋体" w:hAnsi="宋体" w:eastAsia="宋体" w:cs="宋体"/>
          <w:snapToGrid w:val="0"/>
          <w:color w:val="auto"/>
          <w:kern w:val="0"/>
          <w:sz w:val="24"/>
          <w:szCs w:val="24"/>
          <w:highlight w:val="none"/>
        </w:rPr>
        <w:t>万元，属于</w:t>
      </w:r>
      <w:r>
        <w:rPr>
          <w:rFonts w:hint="eastAsia" w:ascii="宋体" w:hAnsi="宋体" w:eastAsia="宋体" w:cs="宋体"/>
          <w:snapToGrid w:val="0"/>
          <w:color w:val="auto"/>
          <w:kern w:val="0"/>
          <w:sz w:val="24"/>
          <w:szCs w:val="24"/>
          <w:highlight w:val="none"/>
          <w:u w:val="single"/>
        </w:rPr>
        <w:t xml:space="preserve">    (中型企业/小型企业/微型企业)    </w:t>
      </w:r>
      <w:r>
        <w:rPr>
          <w:rFonts w:hint="eastAsia" w:ascii="宋体" w:hAnsi="宋体" w:eastAsia="宋体" w:cs="宋体"/>
          <w:snapToGrid w:val="0"/>
          <w:color w:val="auto"/>
          <w:kern w:val="0"/>
          <w:sz w:val="24"/>
          <w:szCs w:val="24"/>
          <w:highlight w:val="none"/>
        </w:rPr>
        <w:t>；</w:t>
      </w:r>
    </w:p>
    <w:p w14:paraId="0F76CFD3">
      <w:pPr>
        <w:spacing w:line="360" w:lineRule="auto"/>
        <w:jc w:val="center"/>
        <w:rPr>
          <w:rFonts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w:t>
      </w:r>
    </w:p>
    <w:p w14:paraId="03FF0909">
      <w:pPr>
        <w:spacing w:line="360" w:lineRule="auto"/>
        <w:ind w:firstLine="480" w:firstLineChars="200"/>
        <w:jc w:val="left"/>
        <w:rPr>
          <w:rFonts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以上企业，不属于大企业的分支机构，不存在控股股东为大企业的情形，也不存在与大企业的负责人为同一人的情形。</w:t>
      </w:r>
    </w:p>
    <w:p w14:paraId="2BEF146C">
      <w:pPr>
        <w:spacing w:line="360" w:lineRule="auto"/>
        <w:ind w:firstLine="480" w:firstLineChars="200"/>
        <w:jc w:val="left"/>
        <w:rPr>
          <w:rFonts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如组成联合体或者接受分包合同的中小企业与联合体内的其他企业，分包企业之间不存在直接控制、管理关系；</w:t>
      </w:r>
    </w:p>
    <w:p w14:paraId="5979D7D0">
      <w:pPr>
        <w:spacing w:line="360" w:lineRule="auto"/>
        <w:ind w:firstLine="480" w:firstLineChars="200"/>
        <w:jc w:val="left"/>
        <w:rPr>
          <w:rFonts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本企业对上述声明内容的真实性负责。如有虚假，将依法承担相应责任。</w:t>
      </w:r>
    </w:p>
    <w:p w14:paraId="1A7E85BB">
      <w:pPr>
        <w:spacing w:line="360" w:lineRule="auto"/>
        <w:jc w:val="left"/>
        <w:rPr>
          <w:rFonts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备注：</w:t>
      </w:r>
    </w:p>
    <w:p w14:paraId="19AF427E">
      <w:pPr>
        <w:spacing w:line="360" w:lineRule="auto"/>
        <w:jc w:val="left"/>
        <w:rPr>
          <w:rFonts w:ascii="宋体" w:hAnsi="宋体" w:eastAsia="宋体" w:cs="宋体"/>
          <w:b/>
          <w:bCs/>
          <w:snapToGrid w:val="0"/>
          <w:color w:val="auto"/>
          <w:kern w:val="0"/>
          <w:sz w:val="24"/>
          <w:szCs w:val="24"/>
          <w:highlight w:val="none"/>
        </w:rPr>
      </w:pPr>
      <w:r>
        <w:rPr>
          <w:rFonts w:hint="eastAsia" w:ascii="宋体" w:hAnsi="宋体" w:eastAsia="宋体" w:cs="宋体"/>
          <w:b/>
          <w:bCs/>
          <w:snapToGrid w:val="0"/>
          <w:color w:val="auto"/>
          <w:kern w:val="0"/>
          <w:sz w:val="24"/>
          <w:szCs w:val="24"/>
          <w:highlight w:val="none"/>
        </w:rPr>
        <w:t>(1)从业人员、营业收入、资产总额填报上一年度数据，无上一年度数据的新成立企业可不填报。</w:t>
      </w:r>
    </w:p>
    <w:p w14:paraId="18143F13">
      <w:pPr>
        <w:spacing w:line="360" w:lineRule="auto"/>
        <w:jc w:val="left"/>
        <w:rPr>
          <w:rFonts w:ascii="宋体" w:hAnsi="宋体" w:eastAsia="宋体" w:cs="宋体"/>
          <w:b/>
          <w:bCs/>
          <w:snapToGrid w:val="0"/>
          <w:color w:val="auto"/>
          <w:kern w:val="0"/>
          <w:sz w:val="24"/>
          <w:szCs w:val="24"/>
          <w:highlight w:val="none"/>
        </w:rPr>
      </w:pPr>
      <w:r>
        <w:rPr>
          <w:rFonts w:hint="eastAsia" w:ascii="宋体" w:hAnsi="宋体" w:eastAsia="宋体" w:cs="宋体"/>
          <w:b/>
          <w:bCs/>
          <w:snapToGrid w:val="0"/>
          <w:color w:val="auto"/>
          <w:kern w:val="0"/>
          <w:sz w:val="24"/>
          <w:szCs w:val="24"/>
          <w:highlight w:val="none"/>
        </w:rPr>
        <w:t>(2)上述“相关企业”包括：拟承接本项目全部服务的中小企业、联合体中的中小企业、签订分包意向协议的中小企业；</w:t>
      </w:r>
    </w:p>
    <w:p w14:paraId="2C15EF93">
      <w:pPr>
        <w:spacing w:line="360" w:lineRule="auto"/>
        <w:jc w:val="left"/>
        <w:rPr>
          <w:rFonts w:ascii="宋体" w:hAnsi="宋体" w:eastAsia="宋体" w:cs="宋体"/>
          <w:b/>
          <w:bCs/>
          <w:snapToGrid w:val="0"/>
          <w:color w:val="auto"/>
          <w:kern w:val="0"/>
          <w:sz w:val="24"/>
          <w:szCs w:val="24"/>
          <w:highlight w:val="none"/>
        </w:rPr>
      </w:pPr>
      <w:r>
        <w:rPr>
          <w:rFonts w:hint="eastAsia" w:ascii="宋体" w:hAnsi="宋体" w:eastAsia="宋体" w:cs="宋体"/>
          <w:b/>
          <w:bCs/>
          <w:snapToGrid w:val="0"/>
          <w:color w:val="auto"/>
          <w:kern w:val="0"/>
          <w:sz w:val="24"/>
          <w:szCs w:val="24"/>
          <w:highlight w:val="none"/>
        </w:rPr>
        <w:t>(3)供应商如未按要求提供此声明函，报价将不做相应扣除；中标（成交）供应商如享受本项目中小企业扶持政策的，其《中小企业声明函》将随本项目的中标（成交）结果同时公告，接受社会监督；</w:t>
      </w:r>
    </w:p>
    <w:p w14:paraId="3528FFC6">
      <w:pPr>
        <w:spacing w:line="360" w:lineRule="auto"/>
        <w:jc w:val="center"/>
        <w:rPr>
          <w:rFonts w:ascii="Times New Roman" w:hAnsi="Times New Roman" w:eastAsia="宋体" w:cs="Times New Roman"/>
          <w:color w:val="auto"/>
          <w:sz w:val="24"/>
          <w:szCs w:val="24"/>
          <w:highlight w:val="none"/>
        </w:rPr>
      </w:pPr>
      <w:r>
        <w:rPr>
          <w:rFonts w:hint="eastAsia" w:ascii="宋体" w:hAnsi="宋体" w:eastAsia="宋体" w:cs="宋体"/>
          <w:snapToGrid w:val="0"/>
          <w:color w:val="auto"/>
          <w:kern w:val="0"/>
          <w:sz w:val="24"/>
          <w:szCs w:val="24"/>
          <w:highlight w:val="none"/>
        </w:rPr>
        <w:t xml:space="preserve">                          企业名称（加盖CA电子公章）</w:t>
      </w:r>
      <w:r>
        <w:rPr>
          <w:rFonts w:hint="eastAsia" w:ascii="宋体" w:hAnsi="宋体" w:eastAsia="宋体" w:cs="宋体"/>
          <w:snapToGrid w:val="0"/>
          <w:color w:val="auto"/>
          <w:kern w:val="0"/>
          <w:sz w:val="24"/>
          <w:szCs w:val="24"/>
          <w:highlight w:val="none"/>
          <w:lang w:eastAsia="zh-CN"/>
        </w:rPr>
        <w:t>：</w:t>
      </w:r>
      <w:r>
        <w:rPr>
          <w:rFonts w:hint="eastAsia" w:ascii="宋体" w:hAnsi="宋体" w:eastAsia="宋体" w:cs="宋体"/>
          <w:snapToGrid w:val="0"/>
          <w:color w:val="auto"/>
          <w:kern w:val="0"/>
          <w:sz w:val="24"/>
          <w:szCs w:val="24"/>
          <w:highlight w:val="none"/>
          <w:lang w:val="en-US" w:eastAsia="zh-CN"/>
        </w:rPr>
        <w:t xml:space="preserve">        </w:t>
      </w:r>
      <w:r>
        <w:rPr>
          <w:rFonts w:hint="eastAsia" w:ascii="宋体" w:hAnsi="宋体" w:eastAsia="宋体" w:cs="宋体"/>
          <w:snapToGrid w:val="0"/>
          <w:color w:val="auto"/>
          <w:kern w:val="0"/>
          <w:sz w:val="24"/>
          <w:szCs w:val="24"/>
          <w:highlight w:val="none"/>
        </w:rPr>
        <w:t xml:space="preserve"> 日 期：</w:t>
      </w:r>
    </w:p>
    <w:p w14:paraId="7580C601">
      <w:pPr>
        <w:spacing w:line="440" w:lineRule="exact"/>
        <w:jc w:val="center"/>
        <w:rPr>
          <w:rFonts w:eastAsia="宋体"/>
          <w:color w:val="auto"/>
          <w:sz w:val="24"/>
          <w:szCs w:val="24"/>
          <w:highlight w:val="none"/>
        </w:rPr>
      </w:pPr>
      <w:r>
        <w:rPr>
          <w:rFonts w:eastAsia="宋体"/>
          <w:color w:val="auto"/>
          <w:sz w:val="24"/>
          <w:szCs w:val="24"/>
          <w:highlight w:val="none"/>
        </w:rPr>
        <w:t>残疾人福利性单位声明函</w:t>
      </w:r>
    </w:p>
    <w:bookmarkEnd w:id="1771"/>
    <w:bookmarkEnd w:id="1772"/>
    <w:p w14:paraId="2942C453">
      <w:pPr>
        <w:spacing w:line="440" w:lineRule="exact"/>
        <w:ind w:firstLine="480" w:firstLineChars="200"/>
        <w:rPr>
          <w:rFonts w:eastAsia="宋体"/>
          <w:color w:val="auto"/>
          <w:sz w:val="24"/>
          <w:szCs w:val="24"/>
          <w:highlight w:val="none"/>
        </w:rPr>
      </w:pPr>
      <w:r>
        <w:rPr>
          <w:rFonts w:eastAsia="宋体"/>
          <w:color w:val="auto"/>
          <w:sz w:val="24"/>
          <w:szCs w:val="24"/>
          <w:highlight w:val="none"/>
        </w:rPr>
        <w:t>本单位郑重声明，根据《财政部 民政部 中国残疾人联合会关于促进残疾人就业政府采购政策的通知》（财库</w:t>
      </w:r>
      <w:r>
        <w:rPr>
          <w:rFonts w:hint="eastAsia" w:eastAsia="宋体"/>
          <w:color w:val="auto"/>
          <w:sz w:val="24"/>
          <w:szCs w:val="24"/>
          <w:highlight w:val="none"/>
          <w:lang w:eastAsia="zh-CN"/>
        </w:rPr>
        <w:t>〔2017〕141号</w:t>
      </w:r>
      <w:r>
        <w:rPr>
          <w:rFonts w:eastAsia="宋体"/>
          <w:color w:val="auto"/>
          <w:sz w:val="24"/>
          <w:szCs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4B44F51">
      <w:pPr>
        <w:spacing w:line="440" w:lineRule="exact"/>
        <w:ind w:firstLine="480" w:firstLineChars="200"/>
        <w:rPr>
          <w:rFonts w:eastAsia="宋体"/>
          <w:color w:val="auto"/>
          <w:sz w:val="24"/>
          <w:szCs w:val="24"/>
          <w:highlight w:val="none"/>
        </w:rPr>
      </w:pPr>
      <w:r>
        <w:rPr>
          <w:rFonts w:eastAsia="宋体"/>
          <w:color w:val="auto"/>
          <w:sz w:val="24"/>
          <w:szCs w:val="24"/>
          <w:highlight w:val="none"/>
        </w:rPr>
        <w:t>本单位对上述声明的真实性负责。如有虚假，将依法承担相应责任。</w:t>
      </w:r>
    </w:p>
    <w:p w14:paraId="64BF42F9">
      <w:pPr>
        <w:spacing w:line="440" w:lineRule="exact"/>
        <w:ind w:firstLine="480" w:firstLineChars="200"/>
        <w:rPr>
          <w:rFonts w:eastAsia="宋体"/>
          <w:color w:val="auto"/>
          <w:sz w:val="24"/>
          <w:szCs w:val="24"/>
          <w:highlight w:val="none"/>
        </w:rPr>
      </w:pPr>
      <w:r>
        <w:rPr>
          <w:rFonts w:eastAsia="宋体"/>
          <w:color w:val="auto"/>
          <w:sz w:val="24"/>
          <w:szCs w:val="24"/>
          <w:highlight w:val="none"/>
        </w:rPr>
        <w:t>单位名称（</w:t>
      </w:r>
      <w:r>
        <w:rPr>
          <w:rFonts w:hint="eastAsia" w:eastAsia="宋体"/>
          <w:color w:val="auto"/>
          <w:sz w:val="24"/>
          <w:szCs w:val="24"/>
          <w:highlight w:val="none"/>
        </w:rPr>
        <w:t>加盖CA电子公章</w:t>
      </w:r>
      <w:r>
        <w:rPr>
          <w:rFonts w:eastAsia="宋体"/>
          <w:color w:val="auto"/>
          <w:sz w:val="24"/>
          <w:szCs w:val="24"/>
          <w:highlight w:val="none"/>
        </w:rPr>
        <w:t>）：</w:t>
      </w:r>
    </w:p>
    <w:p w14:paraId="5F5EF37E">
      <w:pPr>
        <w:spacing w:line="440" w:lineRule="exact"/>
        <w:ind w:firstLine="480" w:firstLineChars="200"/>
        <w:rPr>
          <w:rFonts w:eastAsia="宋体"/>
          <w:color w:val="auto"/>
          <w:sz w:val="24"/>
          <w:szCs w:val="24"/>
          <w:highlight w:val="none"/>
        </w:rPr>
      </w:pPr>
      <w:r>
        <w:rPr>
          <w:rFonts w:eastAsia="宋体"/>
          <w:color w:val="auto"/>
          <w:sz w:val="24"/>
          <w:szCs w:val="24"/>
          <w:highlight w:val="none"/>
        </w:rPr>
        <w:t>日  期：</w:t>
      </w:r>
    </w:p>
    <w:p w14:paraId="652AEABF">
      <w:pPr>
        <w:spacing w:line="440" w:lineRule="exact"/>
        <w:ind w:firstLine="480" w:firstLineChars="200"/>
        <w:rPr>
          <w:rFonts w:eastAsia="宋体"/>
          <w:color w:val="auto"/>
          <w:sz w:val="24"/>
          <w:szCs w:val="24"/>
          <w:highlight w:val="none"/>
        </w:rPr>
      </w:pPr>
    </w:p>
    <w:p w14:paraId="550D6F41">
      <w:pPr>
        <w:spacing w:line="440" w:lineRule="exact"/>
        <w:ind w:firstLine="480" w:firstLineChars="200"/>
        <w:rPr>
          <w:rFonts w:eastAsia="宋体"/>
          <w:color w:val="auto"/>
          <w:sz w:val="24"/>
          <w:szCs w:val="24"/>
          <w:highlight w:val="none"/>
        </w:rPr>
      </w:pPr>
    </w:p>
    <w:p w14:paraId="40255F86">
      <w:pPr>
        <w:spacing w:line="440" w:lineRule="exact"/>
        <w:ind w:firstLine="480" w:firstLineChars="200"/>
        <w:rPr>
          <w:rFonts w:eastAsia="宋体"/>
          <w:color w:val="auto"/>
          <w:sz w:val="24"/>
          <w:szCs w:val="24"/>
          <w:highlight w:val="none"/>
        </w:rPr>
      </w:pPr>
    </w:p>
    <w:p w14:paraId="68096B0C">
      <w:pPr>
        <w:spacing w:line="440" w:lineRule="exact"/>
        <w:ind w:firstLine="480" w:firstLineChars="200"/>
        <w:rPr>
          <w:rFonts w:eastAsia="宋体"/>
          <w:color w:val="auto"/>
          <w:sz w:val="24"/>
          <w:szCs w:val="24"/>
          <w:highlight w:val="none"/>
        </w:rPr>
      </w:pPr>
      <w:r>
        <w:rPr>
          <w:rFonts w:eastAsia="宋体"/>
          <w:color w:val="auto"/>
          <w:sz w:val="24"/>
          <w:szCs w:val="24"/>
          <w:highlight w:val="none"/>
        </w:rPr>
        <w:t>属于监狱企业的证明文件</w:t>
      </w:r>
    </w:p>
    <w:p w14:paraId="3AEAE18C">
      <w:pPr>
        <w:spacing w:line="440" w:lineRule="exact"/>
        <w:ind w:firstLine="480" w:firstLineChars="200"/>
        <w:rPr>
          <w:rFonts w:eastAsia="宋体"/>
          <w:color w:val="auto"/>
          <w:sz w:val="24"/>
          <w:szCs w:val="24"/>
          <w:highlight w:val="none"/>
        </w:rPr>
      </w:pPr>
      <w:r>
        <w:rPr>
          <w:rFonts w:eastAsia="宋体"/>
          <w:color w:val="auto"/>
          <w:sz w:val="24"/>
          <w:szCs w:val="24"/>
          <w:highlight w:val="none"/>
        </w:rPr>
        <w:t>（提供由省级以上监狱管理局、戒毒管理局（含新疆生产建设兵团）出具的属于监狱企业的证明文件）</w:t>
      </w:r>
    </w:p>
    <w:p w14:paraId="73C2958F">
      <w:pPr>
        <w:spacing w:line="440" w:lineRule="exact"/>
        <w:rPr>
          <w:rFonts w:eastAsia="宋体"/>
          <w:color w:val="auto"/>
          <w:sz w:val="24"/>
          <w:szCs w:val="24"/>
          <w:highlight w:val="none"/>
        </w:rPr>
      </w:pPr>
    </w:p>
    <w:p w14:paraId="15F66160">
      <w:pPr>
        <w:spacing w:line="440" w:lineRule="exact"/>
        <w:ind w:firstLine="480" w:firstLineChars="200"/>
        <w:rPr>
          <w:rFonts w:eastAsia="宋体"/>
          <w:color w:val="auto"/>
          <w:sz w:val="24"/>
          <w:szCs w:val="24"/>
          <w:highlight w:val="none"/>
        </w:rPr>
      </w:pPr>
    </w:p>
    <w:p w14:paraId="2B68E273">
      <w:pPr>
        <w:spacing w:line="440" w:lineRule="exact"/>
        <w:ind w:firstLine="480" w:firstLineChars="200"/>
        <w:rPr>
          <w:rFonts w:eastAsia="宋体"/>
          <w:color w:val="auto"/>
          <w:sz w:val="24"/>
          <w:szCs w:val="24"/>
          <w:highlight w:val="none"/>
        </w:rPr>
      </w:pPr>
    </w:p>
    <w:p w14:paraId="77301250">
      <w:pPr>
        <w:spacing w:line="440" w:lineRule="exact"/>
        <w:ind w:firstLine="480" w:firstLineChars="200"/>
        <w:rPr>
          <w:rFonts w:eastAsia="宋体"/>
          <w:color w:val="auto"/>
          <w:sz w:val="24"/>
          <w:szCs w:val="24"/>
          <w:highlight w:val="none"/>
        </w:rPr>
      </w:pPr>
      <w:r>
        <w:rPr>
          <w:rFonts w:eastAsia="宋体"/>
          <w:color w:val="auto"/>
          <w:sz w:val="24"/>
          <w:szCs w:val="24"/>
          <w:highlight w:val="none"/>
        </w:rPr>
        <w:t xml:space="preserve"> 节能产品认证证书</w:t>
      </w:r>
    </w:p>
    <w:p w14:paraId="36F1E598">
      <w:pPr>
        <w:spacing w:line="440" w:lineRule="exact"/>
        <w:ind w:firstLine="480" w:firstLineChars="200"/>
        <w:rPr>
          <w:rFonts w:eastAsia="宋体"/>
          <w:color w:val="auto"/>
          <w:sz w:val="24"/>
          <w:szCs w:val="24"/>
          <w:highlight w:val="none"/>
        </w:rPr>
      </w:pPr>
      <w:r>
        <w:rPr>
          <w:rFonts w:eastAsia="宋体"/>
          <w:color w:val="auto"/>
          <w:sz w:val="24"/>
          <w:szCs w:val="24"/>
          <w:highlight w:val="none"/>
        </w:rPr>
        <w:t>（提供国家确定的认证机构出具的、处于有效期之内的产品认证证书）</w:t>
      </w:r>
    </w:p>
    <w:p w14:paraId="0C7401C9">
      <w:pPr>
        <w:spacing w:line="440" w:lineRule="exact"/>
        <w:ind w:firstLine="480" w:firstLineChars="200"/>
        <w:rPr>
          <w:rFonts w:eastAsia="宋体"/>
          <w:color w:val="auto"/>
          <w:sz w:val="24"/>
          <w:szCs w:val="24"/>
          <w:highlight w:val="none"/>
        </w:rPr>
      </w:pPr>
    </w:p>
    <w:p w14:paraId="4B2EE962">
      <w:pPr>
        <w:spacing w:line="440" w:lineRule="exact"/>
        <w:rPr>
          <w:rFonts w:eastAsia="宋体"/>
          <w:color w:val="auto"/>
          <w:sz w:val="24"/>
          <w:szCs w:val="24"/>
          <w:highlight w:val="none"/>
        </w:rPr>
      </w:pPr>
    </w:p>
    <w:p w14:paraId="35D84010">
      <w:pPr>
        <w:spacing w:line="440" w:lineRule="exact"/>
        <w:ind w:firstLine="480" w:firstLineChars="200"/>
        <w:rPr>
          <w:rFonts w:eastAsia="宋体"/>
          <w:color w:val="auto"/>
          <w:sz w:val="24"/>
          <w:szCs w:val="24"/>
          <w:highlight w:val="none"/>
        </w:rPr>
      </w:pPr>
      <w:r>
        <w:rPr>
          <w:rFonts w:eastAsia="宋体"/>
          <w:color w:val="auto"/>
          <w:sz w:val="24"/>
          <w:szCs w:val="24"/>
          <w:highlight w:val="none"/>
        </w:rPr>
        <w:t xml:space="preserve">  环境标志产品认证证书</w:t>
      </w:r>
    </w:p>
    <w:p w14:paraId="73838D65">
      <w:pPr>
        <w:spacing w:line="440" w:lineRule="exact"/>
        <w:ind w:firstLine="480" w:firstLineChars="200"/>
        <w:rPr>
          <w:rFonts w:eastAsia="宋体"/>
          <w:color w:val="auto"/>
          <w:sz w:val="24"/>
          <w:szCs w:val="24"/>
          <w:highlight w:val="none"/>
        </w:rPr>
      </w:pPr>
      <w:r>
        <w:rPr>
          <w:rFonts w:eastAsia="宋体"/>
          <w:color w:val="auto"/>
          <w:sz w:val="24"/>
          <w:szCs w:val="24"/>
          <w:highlight w:val="none"/>
        </w:rPr>
        <w:t>（提供国家确定的认证机构出具的、处于有效期之内的产品认证证书）</w:t>
      </w:r>
    </w:p>
    <w:p w14:paraId="27E099C4">
      <w:pPr>
        <w:spacing w:line="440" w:lineRule="exact"/>
        <w:ind w:firstLine="480" w:firstLineChars="200"/>
        <w:rPr>
          <w:rFonts w:eastAsia="宋体"/>
          <w:color w:val="auto"/>
          <w:sz w:val="24"/>
          <w:szCs w:val="24"/>
          <w:highlight w:val="none"/>
        </w:rPr>
      </w:pPr>
    </w:p>
    <w:p w14:paraId="426E21B6">
      <w:pPr>
        <w:spacing w:line="440" w:lineRule="exact"/>
        <w:rPr>
          <w:rFonts w:eastAsia="宋体"/>
          <w:color w:val="auto"/>
          <w:sz w:val="24"/>
          <w:szCs w:val="24"/>
          <w:highlight w:val="none"/>
        </w:rPr>
      </w:pPr>
    </w:p>
    <w:p w14:paraId="7E2FF2D1">
      <w:pPr>
        <w:spacing w:line="440" w:lineRule="exact"/>
        <w:rPr>
          <w:rFonts w:eastAsia="宋体"/>
          <w:color w:val="auto"/>
          <w:sz w:val="24"/>
          <w:szCs w:val="24"/>
          <w:highlight w:val="none"/>
        </w:rPr>
      </w:pPr>
    </w:p>
    <w:p w14:paraId="25CBE84E">
      <w:pPr>
        <w:spacing w:line="440" w:lineRule="exact"/>
        <w:ind w:firstLine="480" w:firstLineChars="200"/>
        <w:rPr>
          <w:rFonts w:eastAsia="宋体"/>
          <w:color w:val="auto"/>
          <w:sz w:val="24"/>
          <w:szCs w:val="24"/>
          <w:highlight w:val="none"/>
        </w:rPr>
      </w:pPr>
      <w:r>
        <w:rPr>
          <w:rFonts w:eastAsia="宋体"/>
          <w:color w:val="auto"/>
          <w:sz w:val="24"/>
          <w:szCs w:val="24"/>
          <w:highlight w:val="none"/>
        </w:rPr>
        <w:t>进口产品转让技术、消化吸收再创新方案</w:t>
      </w:r>
    </w:p>
    <w:p w14:paraId="27E31973">
      <w:pPr>
        <w:spacing w:line="440" w:lineRule="exact"/>
        <w:ind w:firstLine="480" w:firstLineChars="200"/>
        <w:rPr>
          <w:rFonts w:eastAsia="宋体"/>
          <w:color w:val="auto"/>
          <w:sz w:val="24"/>
          <w:szCs w:val="24"/>
          <w:highlight w:val="none"/>
        </w:rPr>
      </w:pPr>
      <w:r>
        <w:rPr>
          <w:rFonts w:eastAsia="宋体"/>
          <w:color w:val="auto"/>
          <w:sz w:val="24"/>
          <w:szCs w:val="24"/>
          <w:highlight w:val="none"/>
        </w:rPr>
        <w:t>（对于允许进口产品参加的项目）</w:t>
      </w:r>
    </w:p>
    <w:p w14:paraId="4E00D30F">
      <w:pPr>
        <w:spacing w:line="440" w:lineRule="exact"/>
        <w:rPr>
          <w:rFonts w:eastAsia="宋体"/>
          <w:color w:val="auto"/>
          <w:sz w:val="24"/>
          <w:szCs w:val="24"/>
          <w:highlight w:val="none"/>
        </w:rPr>
      </w:pPr>
    </w:p>
    <w:p w14:paraId="15E74A29">
      <w:pPr>
        <w:pStyle w:val="2"/>
        <w:jc w:val="center"/>
        <w:rPr>
          <w:rFonts w:eastAsia="楷体"/>
          <w:color w:val="auto"/>
          <w:highlight w:val="none"/>
        </w:rPr>
      </w:pPr>
      <w:r>
        <w:rPr>
          <w:color w:val="auto"/>
          <w:highlight w:val="none"/>
        </w:rPr>
        <w:br w:type="page"/>
      </w:r>
      <w:bookmarkStart w:id="1773" w:name="_Toc715"/>
      <w:r>
        <w:rPr>
          <w:rFonts w:hint="eastAsia" w:eastAsia="楷体"/>
          <w:color w:val="auto"/>
          <w:highlight w:val="none"/>
        </w:rPr>
        <w:t>第六章  评审方法</w:t>
      </w:r>
      <w:bookmarkEnd w:id="1773"/>
    </w:p>
    <w:p w14:paraId="72C6F0B8">
      <w:pPr>
        <w:adjustRightInd w:val="0"/>
        <w:snapToGrid w:val="0"/>
        <w:spacing w:line="450" w:lineRule="exact"/>
        <w:outlineLvl w:val="1"/>
        <w:rPr>
          <w:rFonts w:eastAsia="宋体"/>
          <w:b/>
          <w:bCs/>
          <w:color w:val="auto"/>
          <w:sz w:val="24"/>
          <w:szCs w:val="24"/>
          <w:highlight w:val="none"/>
        </w:rPr>
      </w:pPr>
      <w:r>
        <w:rPr>
          <w:rFonts w:eastAsia="宋体"/>
          <w:b/>
          <w:bCs/>
          <w:color w:val="auto"/>
          <w:sz w:val="24"/>
          <w:szCs w:val="24"/>
          <w:highlight w:val="none"/>
        </w:rPr>
        <w:t>1、综合说明</w:t>
      </w:r>
    </w:p>
    <w:p w14:paraId="1751EF90">
      <w:pPr>
        <w:adjustRightInd w:val="0"/>
        <w:snapToGrid w:val="0"/>
        <w:spacing w:line="450" w:lineRule="exact"/>
        <w:ind w:firstLine="480" w:firstLineChars="200"/>
        <w:rPr>
          <w:rFonts w:eastAsia="宋体"/>
          <w:bCs/>
          <w:color w:val="auto"/>
          <w:sz w:val="24"/>
          <w:szCs w:val="24"/>
          <w:highlight w:val="none"/>
        </w:rPr>
      </w:pPr>
      <w:r>
        <w:rPr>
          <w:rFonts w:eastAsia="宋体"/>
          <w:bCs/>
          <w:color w:val="auto"/>
          <w:sz w:val="24"/>
          <w:szCs w:val="24"/>
          <w:highlight w:val="none"/>
        </w:rPr>
        <w:t>1.1报价包括：完成本项目的全部费用不限于包含人、材、机费、管理费、利润、税金等。在合同期内不做任何调整。</w:t>
      </w:r>
    </w:p>
    <w:p w14:paraId="5BEB5EB4">
      <w:pPr>
        <w:adjustRightInd w:val="0"/>
        <w:snapToGrid w:val="0"/>
        <w:spacing w:line="450" w:lineRule="exact"/>
        <w:ind w:firstLine="480" w:firstLineChars="200"/>
        <w:rPr>
          <w:rFonts w:eastAsia="宋体"/>
          <w:bCs/>
          <w:color w:val="auto"/>
          <w:sz w:val="24"/>
          <w:szCs w:val="24"/>
          <w:highlight w:val="none"/>
        </w:rPr>
      </w:pPr>
      <w:r>
        <w:rPr>
          <w:rFonts w:eastAsia="宋体"/>
          <w:bCs/>
          <w:color w:val="auto"/>
          <w:sz w:val="24"/>
          <w:szCs w:val="24"/>
          <w:highlight w:val="none"/>
        </w:rPr>
        <w:t>1.2供应商必须说明其是否响应采购文件中提出的全部服务内容与要求，如果以其中某些条款不响应时（其中加</w:t>
      </w:r>
      <w:r>
        <w:rPr>
          <w:rFonts w:ascii="Segoe UI Symbol" w:hAnsi="Segoe UI Symbol" w:eastAsia="宋体" w:cs="Segoe UI Symbol"/>
          <w:bCs/>
          <w:color w:val="auto"/>
          <w:sz w:val="24"/>
          <w:szCs w:val="24"/>
          <w:highlight w:val="none"/>
        </w:rPr>
        <w:t>★</w:t>
      </w:r>
      <w:r>
        <w:rPr>
          <w:rFonts w:eastAsia="宋体"/>
          <w:bCs/>
          <w:color w:val="auto"/>
          <w:sz w:val="24"/>
          <w:szCs w:val="24"/>
          <w:highlight w:val="none"/>
        </w:rPr>
        <w:t>条款为实质性条款不得负偏离），应在文件中逐条列出，未列出的视同响应。</w:t>
      </w:r>
    </w:p>
    <w:p w14:paraId="548470C7">
      <w:pPr>
        <w:adjustRightInd w:val="0"/>
        <w:snapToGrid w:val="0"/>
        <w:spacing w:line="450" w:lineRule="exact"/>
        <w:ind w:firstLine="480" w:firstLineChars="200"/>
        <w:rPr>
          <w:rFonts w:eastAsia="宋体"/>
          <w:bCs/>
          <w:color w:val="auto"/>
          <w:sz w:val="24"/>
          <w:szCs w:val="24"/>
          <w:highlight w:val="none"/>
        </w:rPr>
      </w:pPr>
      <w:r>
        <w:rPr>
          <w:rFonts w:eastAsia="宋体"/>
          <w:bCs/>
          <w:color w:val="auto"/>
          <w:sz w:val="24"/>
          <w:szCs w:val="24"/>
          <w:highlight w:val="none"/>
        </w:rPr>
        <w:t>1.3磋商说明：</w:t>
      </w:r>
    </w:p>
    <w:p w14:paraId="1A36C7C7">
      <w:pPr>
        <w:adjustRightInd w:val="0"/>
        <w:snapToGrid w:val="0"/>
        <w:spacing w:line="450" w:lineRule="exact"/>
        <w:ind w:firstLine="480" w:firstLineChars="200"/>
        <w:rPr>
          <w:rFonts w:eastAsia="宋体"/>
          <w:bCs/>
          <w:color w:val="auto"/>
          <w:sz w:val="24"/>
          <w:szCs w:val="24"/>
          <w:highlight w:val="none"/>
        </w:rPr>
      </w:pPr>
      <w:r>
        <w:rPr>
          <w:rFonts w:eastAsia="宋体"/>
          <w:bCs/>
          <w:color w:val="auto"/>
          <w:sz w:val="24"/>
          <w:szCs w:val="24"/>
          <w:highlight w:val="none"/>
        </w:rPr>
        <w:t>1.3.1不符合供应商资格要求的响应文件将被拒绝；</w:t>
      </w:r>
    </w:p>
    <w:p w14:paraId="2930CD89">
      <w:pPr>
        <w:adjustRightInd w:val="0"/>
        <w:snapToGrid w:val="0"/>
        <w:spacing w:line="450" w:lineRule="exact"/>
        <w:ind w:firstLine="480" w:firstLineChars="200"/>
        <w:rPr>
          <w:rFonts w:eastAsia="宋体"/>
          <w:bCs/>
          <w:color w:val="auto"/>
          <w:sz w:val="24"/>
          <w:szCs w:val="24"/>
          <w:highlight w:val="none"/>
        </w:rPr>
      </w:pPr>
      <w:r>
        <w:rPr>
          <w:rFonts w:eastAsia="宋体"/>
          <w:bCs/>
          <w:color w:val="auto"/>
          <w:sz w:val="24"/>
          <w:szCs w:val="24"/>
          <w:highlight w:val="none"/>
        </w:rPr>
        <w:t>1.3.2参加磋商的供应商必须提供磋商代表的身份证明和法人授权委托书（法定代表人（负责人）为磋商代表的可不提供）；</w:t>
      </w:r>
    </w:p>
    <w:p w14:paraId="079C84F1">
      <w:pPr>
        <w:adjustRightInd w:val="0"/>
        <w:snapToGrid w:val="0"/>
        <w:spacing w:line="450" w:lineRule="exact"/>
        <w:ind w:firstLine="480" w:firstLineChars="200"/>
        <w:rPr>
          <w:rFonts w:eastAsia="宋体"/>
          <w:bCs/>
          <w:color w:val="auto"/>
          <w:sz w:val="24"/>
          <w:szCs w:val="24"/>
          <w:highlight w:val="none"/>
        </w:rPr>
      </w:pPr>
      <w:r>
        <w:rPr>
          <w:rFonts w:eastAsia="宋体"/>
          <w:bCs/>
          <w:color w:val="auto"/>
          <w:sz w:val="24"/>
          <w:szCs w:val="24"/>
          <w:highlight w:val="none"/>
        </w:rPr>
        <w:t>1.3.3响应文件密封和签署不符合要求的，响应文件将被拒绝；</w:t>
      </w:r>
    </w:p>
    <w:p w14:paraId="0915B374">
      <w:pPr>
        <w:adjustRightInd w:val="0"/>
        <w:snapToGrid w:val="0"/>
        <w:spacing w:line="450" w:lineRule="exact"/>
        <w:ind w:firstLine="480" w:firstLineChars="200"/>
        <w:rPr>
          <w:rFonts w:eastAsia="宋体"/>
          <w:bCs/>
          <w:color w:val="auto"/>
          <w:sz w:val="24"/>
          <w:szCs w:val="24"/>
          <w:highlight w:val="none"/>
        </w:rPr>
      </w:pPr>
      <w:r>
        <w:rPr>
          <w:rFonts w:eastAsia="宋体"/>
          <w:bCs/>
          <w:color w:val="auto"/>
          <w:sz w:val="24"/>
          <w:szCs w:val="24"/>
          <w:highlight w:val="none"/>
        </w:rPr>
        <w:t>1.3.4最后报价超过采购</w:t>
      </w:r>
      <w:r>
        <w:rPr>
          <w:rFonts w:eastAsia="宋体"/>
          <w:b/>
          <w:bCs/>
          <w:color w:val="auto"/>
          <w:sz w:val="24"/>
          <w:szCs w:val="24"/>
          <w:highlight w:val="none"/>
        </w:rPr>
        <w:t>预算</w:t>
      </w:r>
      <w:r>
        <w:rPr>
          <w:rFonts w:eastAsia="宋体"/>
          <w:bCs/>
          <w:color w:val="auto"/>
          <w:sz w:val="24"/>
          <w:szCs w:val="24"/>
          <w:highlight w:val="none"/>
        </w:rPr>
        <w:t>的，不能成交；</w:t>
      </w:r>
    </w:p>
    <w:p w14:paraId="5C99C958">
      <w:pPr>
        <w:adjustRightInd w:val="0"/>
        <w:snapToGrid w:val="0"/>
        <w:spacing w:line="450" w:lineRule="exact"/>
        <w:ind w:firstLine="480" w:firstLineChars="200"/>
        <w:rPr>
          <w:rFonts w:eastAsia="宋体"/>
          <w:bCs/>
          <w:color w:val="auto"/>
          <w:sz w:val="24"/>
          <w:szCs w:val="24"/>
          <w:highlight w:val="none"/>
        </w:rPr>
      </w:pPr>
      <w:r>
        <w:rPr>
          <w:rFonts w:eastAsia="宋体"/>
          <w:bCs/>
          <w:color w:val="auto"/>
          <w:sz w:val="24"/>
          <w:szCs w:val="24"/>
          <w:highlight w:val="none"/>
        </w:rPr>
        <w:t>1.3.5不实质性响应磋商文件的不能成交；</w:t>
      </w:r>
    </w:p>
    <w:p w14:paraId="56310F65">
      <w:pPr>
        <w:adjustRightInd w:val="0"/>
        <w:snapToGrid w:val="0"/>
        <w:spacing w:line="450" w:lineRule="exact"/>
        <w:ind w:right="260" w:rightChars="100" w:firstLine="480" w:firstLineChars="200"/>
        <w:rPr>
          <w:rFonts w:eastAsia="宋体"/>
          <w:color w:val="auto"/>
          <w:sz w:val="24"/>
          <w:szCs w:val="24"/>
          <w:highlight w:val="none"/>
        </w:rPr>
      </w:pPr>
      <w:r>
        <w:rPr>
          <w:rFonts w:eastAsia="宋体"/>
          <w:bCs/>
          <w:color w:val="auto"/>
          <w:sz w:val="24"/>
          <w:szCs w:val="24"/>
          <w:highlight w:val="none"/>
        </w:rPr>
        <w:t>1.3.6实质性响应磋商文件</w:t>
      </w:r>
      <w:r>
        <w:rPr>
          <w:rFonts w:eastAsia="宋体"/>
          <w:b/>
          <w:bCs/>
          <w:color w:val="auto"/>
          <w:sz w:val="24"/>
          <w:szCs w:val="24"/>
          <w:highlight w:val="none"/>
        </w:rPr>
        <w:t>不满三家</w:t>
      </w:r>
      <w:r>
        <w:rPr>
          <w:rFonts w:eastAsia="宋体"/>
          <w:bCs/>
          <w:color w:val="auto"/>
          <w:sz w:val="24"/>
          <w:szCs w:val="24"/>
          <w:highlight w:val="none"/>
        </w:rPr>
        <w:t>或进入二次报价的</w:t>
      </w:r>
      <w:r>
        <w:rPr>
          <w:rFonts w:eastAsia="宋体"/>
          <w:b/>
          <w:bCs/>
          <w:color w:val="auto"/>
          <w:sz w:val="24"/>
          <w:szCs w:val="24"/>
          <w:highlight w:val="none"/>
        </w:rPr>
        <w:t>不满三家</w:t>
      </w:r>
      <w:r>
        <w:rPr>
          <w:rFonts w:eastAsia="宋体"/>
          <w:bCs/>
          <w:color w:val="auto"/>
          <w:sz w:val="24"/>
          <w:szCs w:val="24"/>
          <w:highlight w:val="none"/>
        </w:rPr>
        <w:t>或二次报价在采购</w:t>
      </w:r>
      <w:r>
        <w:rPr>
          <w:rFonts w:eastAsia="宋体"/>
          <w:b/>
          <w:color w:val="auto"/>
          <w:sz w:val="24"/>
          <w:highlight w:val="none"/>
        </w:rPr>
        <w:t>预算</w:t>
      </w:r>
      <w:r>
        <w:rPr>
          <w:rFonts w:hint="eastAsia" w:eastAsia="宋体"/>
          <w:b/>
          <w:color w:val="auto"/>
          <w:sz w:val="24"/>
          <w:highlight w:val="none"/>
          <w:lang w:val="en-US" w:eastAsia="zh-CN"/>
        </w:rPr>
        <w:t>和最高限价</w:t>
      </w:r>
      <w:r>
        <w:rPr>
          <w:rFonts w:eastAsia="宋体"/>
          <w:bCs/>
          <w:color w:val="auto"/>
          <w:sz w:val="24"/>
          <w:szCs w:val="24"/>
          <w:highlight w:val="none"/>
        </w:rPr>
        <w:t>内</w:t>
      </w:r>
      <w:r>
        <w:rPr>
          <w:rFonts w:eastAsia="宋体"/>
          <w:b/>
          <w:bCs/>
          <w:color w:val="auto"/>
          <w:sz w:val="24"/>
          <w:szCs w:val="24"/>
          <w:highlight w:val="none"/>
        </w:rPr>
        <w:t>不满三家</w:t>
      </w:r>
      <w:r>
        <w:rPr>
          <w:rFonts w:eastAsia="宋体"/>
          <w:bCs/>
          <w:color w:val="auto"/>
          <w:sz w:val="24"/>
          <w:szCs w:val="24"/>
          <w:highlight w:val="none"/>
        </w:rPr>
        <w:t>的，采购人（或采购代理机构）应当终止竞争性磋商采购活动，重新开展采购活动</w:t>
      </w:r>
      <w:r>
        <w:rPr>
          <w:rFonts w:eastAsia="宋体"/>
          <w:color w:val="auto"/>
          <w:sz w:val="24"/>
          <w:szCs w:val="24"/>
          <w:highlight w:val="none"/>
        </w:rPr>
        <w:t>（</w:t>
      </w:r>
      <w:r>
        <w:rPr>
          <w:rFonts w:eastAsia="宋体"/>
          <w:b/>
          <w:color w:val="auto"/>
          <w:sz w:val="24"/>
          <w:szCs w:val="24"/>
          <w:highlight w:val="none"/>
        </w:rPr>
        <w:t xml:space="preserve">其中满足财库 </w:t>
      </w:r>
      <w:r>
        <w:rPr>
          <w:rFonts w:hint="eastAsia" w:eastAsia="宋体"/>
          <w:b/>
          <w:color w:val="auto"/>
          <w:sz w:val="24"/>
          <w:szCs w:val="24"/>
          <w:highlight w:val="none"/>
          <w:lang w:eastAsia="zh-CN"/>
        </w:rPr>
        <w:t>〔2015〕124号</w:t>
      </w:r>
      <w:r>
        <w:rPr>
          <w:rFonts w:eastAsia="宋体"/>
          <w:b/>
          <w:color w:val="auto"/>
          <w:sz w:val="24"/>
          <w:szCs w:val="24"/>
          <w:highlight w:val="none"/>
        </w:rPr>
        <w:t>文规定，2家即可继续进行</w:t>
      </w:r>
      <w:r>
        <w:rPr>
          <w:rFonts w:eastAsia="宋体"/>
          <w:color w:val="auto"/>
          <w:sz w:val="24"/>
          <w:szCs w:val="24"/>
          <w:highlight w:val="none"/>
        </w:rPr>
        <w:t>）。</w:t>
      </w:r>
    </w:p>
    <w:p w14:paraId="5501FAFA">
      <w:pPr>
        <w:adjustRightInd w:val="0"/>
        <w:snapToGrid w:val="0"/>
        <w:spacing w:line="450" w:lineRule="exact"/>
        <w:ind w:firstLine="480" w:firstLineChars="200"/>
        <w:jc w:val="left"/>
        <w:rPr>
          <w:rFonts w:eastAsia="宋体"/>
          <w:bCs/>
          <w:color w:val="auto"/>
          <w:sz w:val="24"/>
          <w:szCs w:val="24"/>
          <w:highlight w:val="none"/>
        </w:rPr>
      </w:pPr>
      <w:r>
        <w:rPr>
          <w:rFonts w:eastAsia="宋体"/>
          <w:bCs/>
          <w:color w:val="auto"/>
          <w:sz w:val="24"/>
          <w:szCs w:val="24"/>
          <w:highlight w:val="none"/>
        </w:rPr>
        <w:t>1.3.7</w:t>
      </w:r>
      <w:r>
        <w:rPr>
          <w:rFonts w:eastAsia="宋体"/>
          <w:color w:val="auto"/>
          <w:sz w:val="24"/>
          <w:szCs w:val="24"/>
          <w:highlight w:val="none"/>
        </w:rPr>
        <w:t>最终合同单价按最终总报价同比例下（上）浮。（磋商过程中特殊说明除外）</w:t>
      </w:r>
    </w:p>
    <w:p w14:paraId="034F94C1">
      <w:pPr>
        <w:adjustRightInd w:val="0"/>
        <w:snapToGrid w:val="0"/>
        <w:spacing w:line="450" w:lineRule="exact"/>
        <w:outlineLvl w:val="1"/>
        <w:rPr>
          <w:rFonts w:eastAsia="宋体"/>
          <w:b/>
          <w:color w:val="auto"/>
          <w:sz w:val="24"/>
          <w:szCs w:val="24"/>
          <w:highlight w:val="none"/>
        </w:rPr>
      </w:pPr>
      <w:r>
        <w:rPr>
          <w:rFonts w:eastAsia="宋体"/>
          <w:b/>
          <w:color w:val="auto"/>
          <w:sz w:val="24"/>
          <w:szCs w:val="24"/>
          <w:highlight w:val="none"/>
        </w:rPr>
        <w:t>2、磋商成交原则及评审方法、标准</w:t>
      </w:r>
    </w:p>
    <w:p w14:paraId="17760C98">
      <w:pPr>
        <w:autoSpaceDE w:val="0"/>
        <w:autoSpaceDN w:val="0"/>
        <w:adjustRightInd w:val="0"/>
        <w:spacing w:line="450" w:lineRule="exact"/>
        <w:ind w:firstLine="480" w:firstLineChars="200"/>
        <w:outlineLvl w:val="2"/>
        <w:rPr>
          <w:rFonts w:eastAsia="宋体"/>
          <w:b/>
          <w:color w:val="auto"/>
          <w:kern w:val="0"/>
          <w:sz w:val="24"/>
          <w:szCs w:val="24"/>
          <w:highlight w:val="none"/>
        </w:rPr>
      </w:pPr>
      <w:r>
        <w:rPr>
          <w:rFonts w:eastAsia="宋体"/>
          <w:color w:val="auto"/>
          <w:kern w:val="0"/>
          <w:sz w:val="24"/>
          <w:szCs w:val="24"/>
          <w:highlight w:val="none"/>
        </w:rPr>
        <w:t>2.1</w:t>
      </w:r>
      <w:r>
        <w:rPr>
          <w:rFonts w:eastAsia="宋体"/>
          <w:b/>
          <w:color w:val="auto"/>
          <w:kern w:val="0"/>
          <w:sz w:val="24"/>
          <w:szCs w:val="24"/>
          <w:highlight w:val="none"/>
        </w:rPr>
        <w:t xml:space="preserve"> 评审方法采用综合评分法。</w:t>
      </w:r>
    </w:p>
    <w:p w14:paraId="01697607">
      <w:pPr>
        <w:autoSpaceDE w:val="0"/>
        <w:autoSpaceDN w:val="0"/>
        <w:adjustRightInd w:val="0"/>
        <w:spacing w:line="450" w:lineRule="exact"/>
        <w:ind w:firstLine="480" w:firstLineChars="200"/>
        <w:rPr>
          <w:rFonts w:eastAsia="宋体"/>
          <w:color w:val="auto"/>
          <w:kern w:val="0"/>
          <w:sz w:val="24"/>
          <w:szCs w:val="24"/>
          <w:highlight w:val="none"/>
        </w:rPr>
      </w:pPr>
      <w:r>
        <w:rPr>
          <w:rFonts w:eastAsia="宋体"/>
          <w:color w:val="auto"/>
          <w:kern w:val="0"/>
          <w:sz w:val="24"/>
          <w:szCs w:val="24"/>
          <w:highlight w:val="none"/>
        </w:rPr>
        <w:t>即在最大限度地满足竞争性磋商文件实质性要求前提下，按照竞争性磋商文件中规定的各项因素进行综合评审。</w:t>
      </w:r>
    </w:p>
    <w:p w14:paraId="24858568">
      <w:pPr>
        <w:autoSpaceDE w:val="0"/>
        <w:autoSpaceDN w:val="0"/>
        <w:adjustRightInd w:val="0"/>
        <w:spacing w:line="450" w:lineRule="exact"/>
        <w:ind w:firstLine="480" w:firstLineChars="200"/>
        <w:rPr>
          <w:rFonts w:eastAsia="宋体"/>
          <w:color w:val="auto"/>
          <w:kern w:val="0"/>
          <w:sz w:val="24"/>
          <w:szCs w:val="24"/>
          <w:highlight w:val="none"/>
        </w:rPr>
      </w:pPr>
      <w:r>
        <w:rPr>
          <w:rFonts w:eastAsia="宋体"/>
          <w:color w:val="auto"/>
          <w:kern w:val="0"/>
          <w:sz w:val="24"/>
          <w:szCs w:val="24"/>
          <w:highlight w:val="none"/>
        </w:rPr>
        <w:t>评审时，磋商小组分别对每个有效供应商的响应文件进行评价、打分并汇总；所有评审专家打分的算术平均值为供应商的最终评审得分，评审得分最高者为第一成交候选人。（四舍五入，保留小数点后2位）</w:t>
      </w:r>
    </w:p>
    <w:p w14:paraId="7B20D297">
      <w:pPr>
        <w:autoSpaceDE w:val="0"/>
        <w:autoSpaceDN w:val="0"/>
        <w:adjustRightInd w:val="0"/>
        <w:spacing w:line="450" w:lineRule="exact"/>
        <w:ind w:firstLine="480" w:firstLineChars="200"/>
        <w:rPr>
          <w:rFonts w:eastAsia="宋体"/>
          <w:color w:val="auto"/>
          <w:kern w:val="0"/>
          <w:sz w:val="24"/>
          <w:szCs w:val="24"/>
          <w:highlight w:val="none"/>
        </w:rPr>
      </w:pPr>
      <w:r>
        <w:rPr>
          <w:rFonts w:eastAsia="宋体"/>
          <w:color w:val="auto"/>
          <w:kern w:val="0"/>
          <w:sz w:val="24"/>
          <w:szCs w:val="24"/>
          <w:highlight w:val="none"/>
        </w:rPr>
        <w:t xml:space="preserve"> 如出现评审得分最高的供应商有两个或两个以上的，以磋商最后报价低者优先作为成交候选人。得分且磋商最后报价相同的，按技术指标优劣顺序排列。如果磋商最后报价、技术指标得分仍相同，则由磋商小组投票表决方式（少数服从多数）确定成交候选人。</w:t>
      </w:r>
    </w:p>
    <w:p w14:paraId="152072A5">
      <w:pPr>
        <w:adjustRightInd w:val="0"/>
        <w:snapToGrid w:val="0"/>
        <w:spacing w:line="450" w:lineRule="exact"/>
        <w:ind w:firstLine="482" w:firstLineChars="200"/>
        <w:outlineLvl w:val="2"/>
        <w:rPr>
          <w:rFonts w:eastAsia="宋体"/>
          <w:b/>
          <w:color w:val="auto"/>
          <w:sz w:val="24"/>
          <w:szCs w:val="24"/>
          <w:highlight w:val="none"/>
        </w:rPr>
      </w:pPr>
      <w:bookmarkStart w:id="1774" w:name="_Hlk170897029"/>
      <w:r>
        <w:rPr>
          <w:rFonts w:eastAsia="宋体"/>
          <w:b/>
          <w:color w:val="auto"/>
          <w:sz w:val="24"/>
          <w:szCs w:val="24"/>
          <w:highlight w:val="none"/>
        </w:rPr>
        <w:t>2.2 综合评分标准</w:t>
      </w:r>
    </w:p>
    <w:p w14:paraId="21A2FEEF">
      <w:pPr>
        <w:autoSpaceDE w:val="0"/>
        <w:autoSpaceDN w:val="0"/>
        <w:adjustRightInd w:val="0"/>
        <w:spacing w:line="450" w:lineRule="exact"/>
        <w:ind w:firstLine="480" w:firstLineChars="200"/>
        <w:rPr>
          <w:rFonts w:eastAsia="宋体"/>
          <w:color w:val="auto"/>
          <w:kern w:val="0"/>
          <w:sz w:val="24"/>
          <w:szCs w:val="24"/>
          <w:highlight w:val="none"/>
        </w:rPr>
      </w:pPr>
      <w:r>
        <w:rPr>
          <w:rFonts w:eastAsia="宋体"/>
          <w:color w:val="auto"/>
          <w:kern w:val="0"/>
          <w:sz w:val="24"/>
          <w:szCs w:val="24"/>
          <w:highlight w:val="none"/>
        </w:rPr>
        <w:t>本次采购的评审方法采用综合评分法，总分值为100分，分析总报价及各个分项报价是否合理，报价范围是否完整，有无重大错漏项，特别说明：如果某供应商的响应报价中有漏项，则该供应商的响应价格评审时需加上漏项部分，漏项部分的价格按所有供应商中相应部分所报的最高价格计算，如果该供应商成交，则其成交价不能调整，即漏项部分的价格需该供应商自行消化（如构成未实质性响应竞争性磋商文件要求的，将不得成交）。</w:t>
      </w:r>
    </w:p>
    <w:p w14:paraId="16AA09B3">
      <w:pPr>
        <w:autoSpaceDE w:val="0"/>
        <w:autoSpaceDN w:val="0"/>
        <w:adjustRightInd w:val="0"/>
        <w:spacing w:line="450" w:lineRule="exact"/>
        <w:ind w:firstLine="482" w:firstLineChars="200"/>
        <w:rPr>
          <w:rFonts w:eastAsia="宋体"/>
          <w:b/>
          <w:color w:val="auto"/>
          <w:kern w:val="0"/>
          <w:sz w:val="24"/>
          <w:szCs w:val="24"/>
          <w:highlight w:val="none"/>
        </w:rPr>
      </w:pPr>
      <w:r>
        <w:rPr>
          <w:rFonts w:eastAsia="宋体"/>
          <w:b/>
          <w:color w:val="auto"/>
          <w:kern w:val="0"/>
          <w:sz w:val="24"/>
          <w:szCs w:val="24"/>
          <w:highlight w:val="none"/>
        </w:rPr>
        <w:t>A.价格部分（</w:t>
      </w:r>
      <w:r>
        <w:rPr>
          <w:rFonts w:hint="eastAsia" w:eastAsia="宋体"/>
          <w:b/>
          <w:color w:val="auto"/>
          <w:kern w:val="0"/>
          <w:sz w:val="24"/>
          <w:szCs w:val="24"/>
          <w:highlight w:val="none"/>
          <w:lang w:val="en-US" w:eastAsia="zh-CN"/>
        </w:rPr>
        <w:t>30</w:t>
      </w:r>
      <w:r>
        <w:rPr>
          <w:rFonts w:eastAsia="宋体"/>
          <w:b/>
          <w:color w:val="auto"/>
          <w:kern w:val="0"/>
          <w:sz w:val="24"/>
          <w:szCs w:val="24"/>
          <w:highlight w:val="none"/>
        </w:rPr>
        <w:t>分）</w:t>
      </w:r>
    </w:p>
    <w:p w14:paraId="47C7BCF0">
      <w:pPr>
        <w:autoSpaceDE w:val="0"/>
        <w:autoSpaceDN w:val="0"/>
        <w:adjustRightInd w:val="0"/>
        <w:spacing w:line="450" w:lineRule="exact"/>
        <w:ind w:firstLine="480" w:firstLineChars="200"/>
        <w:rPr>
          <w:rFonts w:eastAsia="宋体"/>
          <w:color w:val="auto"/>
          <w:kern w:val="0"/>
          <w:sz w:val="24"/>
          <w:szCs w:val="24"/>
          <w:highlight w:val="none"/>
        </w:rPr>
      </w:pPr>
      <w:bookmarkStart w:id="1775" w:name="_Toc8349"/>
      <w:bookmarkStart w:id="1776" w:name="_Toc15851"/>
      <w:r>
        <w:rPr>
          <w:rFonts w:eastAsia="宋体"/>
          <w:color w:val="auto"/>
          <w:kern w:val="0"/>
          <w:sz w:val="24"/>
          <w:szCs w:val="24"/>
          <w:highlight w:val="none"/>
        </w:rPr>
        <w:t>磋商报价不高于采购预算</w:t>
      </w:r>
      <w:r>
        <w:rPr>
          <w:rFonts w:hint="eastAsia" w:eastAsia="宋体"/>
          <w:color w:val="auto"/>
          <w:kern w:val="0"/>
          <w:sz w:val="24"/>
          <w:szCs w:val="24"/>
          <w:highlight w:val="none"/>
          <w:lang w:val="en-US" w:eastAsia="zh-CN"/>
        </w:rPr>
        <w:t>和最高限价</w:t>
      </w:r>
      <w:r>
        <w:rPr>
          <w:rFonts w:eastAsia="宋体"/>
          <w:color w:val="auto"/>
          <w:kern w:val="0"/>
          <w:sz w:val="24"/>
          <w:szCs w:val="24"/>
          <w:highlight w:val="none"/>
        </w:rPr>
        <w:t>的，为有效磋商报价。高于采购预算</w:t>
      </w:r>
      <w:r>
        <w:rPr>
          <w:rFonts w:hint="eastAsia" w:eastAsia="宋体"/>
          <w:color w:val="auto"/>
          <w:kern w:val="0"/>
          <w:sz w:val="24"/>
          <w:szCs w:val="24"/>
          <w:highlight w:val="none"/>
          <w:lang w:val="en-US" w:eastAsia="zh-CN"/>
        </w:rPr>
        <w:t>和最高限价</w:t>
      </w:r>
      <w:r>
        <w:rPr>
          <w:rFonts w:eastAsia="宋体"/>
          <w:color w:val="auto"/>
          <w:kern w:val="0"/>
          <w:sz w:val="24"/>
          <w:szCs w:val="24"/>
          <w:highlight w:val="none"/>
        </w:rPr>
        <w:t>的磋商报价为无效报价，无效报价的响应文件不参与评审，也不得成交。以满足采购文件实质性要求且最后磋商价格最低的有效报价为磋商基准价，该供应商报价得分为满分，即</w:t>
      </w:r>
      <w:r>
        <w:rPr>
          <w:rFonts w:hint="eastAsia" w:eastAsia="宋体"/>
          <w:color w:val="auto"/>
          <w:kern w:val="0"/>
          <w:sz w:val="24"/>
          <w:szCs w:val="24"/>
          <w:highlight w:val="none"/>
          <w:lang w:val="en-US" w:eastAsia="zh-CN"/>
        </w:rPr>
        <w:t>30</w:t>
      </w:r>
      <w:r>
        <w:rPr>
          <w:rFonts w:eastAsia="宋体"/>
          <w:color w:val="auto"/>
          <w:kern w:val="0"/>
          <w:sz w:val="24"/>
          <w:szCs w:val="24"/>
          <w:highlight w:val="none"/>
        </w:rPr>
        <w:t>分。其他供应商有效磋商报价得分统一按照下列公式计算：</w:t>
      </w:r>
    </w:p>
    <w:p w14:paraId="30634F07">
      <w:pPr>
        <w:tabs>
          <w:tab w:val="left" w:pos="7920"/>
        </w:tabs>
        <w:autoSpaceDE w:val="0"/>
        <w:autoSpaceDN w:val="0"/>
        <w:adjustRightInd w:val="0"/>
        <w:spacing w:line="450" w:lineRule="exact"/>
        <w:ind w:firstLine="480" w:firstLineChars="200"/>
        <w:rPr>
          <w:rFonts w:eastAsia="宋体"/>
          <w:color w:val="auto"/>
          <w:kern w:val="0"/>
          <w:sz w:val="24"/>
          <w:szCs w:val="24"/>
          <w:highlight w:val="none"/>
        </w:rPr>
      </w:pPr>
      <w:r>
        <w:rPr>
          <w:rFonts w:eastAsia="宋体"/>
          <w:color w:val="auto"/>
          <w:kern w:val="0"/>
          <w:sz w:val="24"/>
          <w:szCs w:val="24"/>
          <w:highlight w:val="none"/>
        </w:rPr>
        <w:t>磋商报价得分＝（磋商基准价/最后磋商报价）×</w:t>
      </w:r>
      <w:r>
        <w:rPr>
          <w:rFonts w:hint="eastAsia" w:eastAsia="宋体"/>
          <w:color w:val="auto"/>
          <w:kern w:val="0"/>
          <w:sz w:val="24"/>
          <w:szCs w:val="24"/>
          <w:highlight w:val="none"/>
          <w:lang w:val="en-US" w:eastAsia="zh-CN"/>
        </w:rPr>
        <w:t>30</w:t>
      </w:r>
      <w:r>
        <w:rPr>
          <w:rFonts w:eastAsia="宋体"/>
          <w:color w:val="auto"/>
          <w:kern w:val="0"/>
          <w:sz w:val="24"/>
          <w:szCs w:val="24"/>
          <w:highlight w:val="none"/>
        </w:rPr>
        <w:t>%×100</w:t>
      </w:r>
      <w:r>
        <w:rPr>
          <w:rFonts w:hint="eastAsia" w:eastAsia="宋体"/>
          <w:color w:val="auto"/>
          <w:kern w:val="0"/>
          <w:sz w:val="24"/>
          <w:szCs w:val="24"/>
          <w:highlight w:val="none"/>
        </w:rPr>
        <w:t>（小数点保留2位）</w:t>
      </w:r>
      <w:r>
        <w:rPr>
          <w:rFonts w:eastAsia="宋体"/>
          <w:color w:val="auto"/>
          <w:kern w:val="0"/>
          <w:sz w:val="24"/>
          <w:szCs w:val="24"/>
          <w:highlight w:val="none"/>
        </w:rPr>
        <w:tab/>
      </w:r>
    </w:p>
    <w:p w14:paraId="2F71DD53">
      <w:pPr>
        <w:autoSpaceDE w:val="0"/>
        <w:autoSpaceDN w:val="0"/>
        <w:adjustRightInd w:val="0"/>
        <w:spacing w:line="450" w:lineRule="exact"/>
        <w:ind w:firstLine="482" w:firstLineChars="200"/>
        <w:rPr>
          <w:rFonts w:hint="default" w:eastAsia="宋体"/>
          <w:b/>
          <w:color w:val="auto"/>
          <w:kern w:val="0"/>
          <w:sz w:val="24"/>
          <w:szCs w:val="24"/>
          <w:highlight w:val="none"/>
          <w:lang w:val="en-US" w:eastAsia="zh-CN"/>
        </w:rPr>
      </w:pPr>
      <w:r>
        <w:rPr>
          <w:rFonts w:eastAsia="宋体"/>
          <w:b/>
          <w:color w:val="auto"/>
          <w:kern w:val="0"/>
          <w:sz w:val="24"/>
          <w:szCs w:val="24"/>
          <w:highlight w:val="none"/>
        </w:rPr>
        <w:t>B.技术及资信等部分（</w:t>
      </w:r>
      <w:r>
        <w:rPr>
          <w:rFonts w:hint="eastAsia" w:eastAsia="宋体"/>
          <w:b/>
          <w:color w:val="auto"/>
          <w:kern w:val="0"/>
          <w:sz w:val="24"/>
          <w:szCs w:val="24"/>
          <w:highlight w:val="none"/>
          <w:lang w:val="en-US" w:eastAsia="zh-CN"/>
        </w:rPr>
        <w:t>70</w:t>
      </w:r>
      <w:r>
        <w:rPr>
          <w:rFonts w:eastAsia="宋体"/>
          <w:b/>
          <w:color w:val="auto"/>
          <w:kern w:val="0"/>
          <w:sz w:val="24"/>
          <w:szCs w:val="24"/>
          <w:highlight w:val="none"/>
        </w:rPr>
        <w:t>分）</w:t>
      </w:r>
      <w:bookmarkEnd w:id="1775"/>
      <w:bookmarkEnd w:id="1776"/>
    </w:p>
    <w:tbl>
      <w:tblPr>
        <w:tblStyle w:val="27"/>
        <w:tblW w:w="971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14"/>
        <w:gridCol w:w="1559"/>
        <w:gridCol w:w="6157"/>
        <w:gridCol w:w="1186"/>
      </w:tblGrid>
      <w:tr w14:paraId="20BF40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8" w:hRule="atLeast"/>
          <w:tblHeader/>
          <w:jc w:val="center"/>
        </w:trPr>
        <w:tc>
          <w:tcPr>
            <w:tcW w:w="814" w:type="dxa"/>
            <w:tcBorders>
              <w:top w:val="single" w:color="auto" w:sz="12" w:space="0"/>
              <w:left w:val="single" w:color="auto" w:sz="12" w:space="0"/>
              <w:bottom w:val="single" w:color="auto" w:sz="4" w:space="0"/>
              <w:right w:val="single" w:color="auto" w:sz="4" w:space="0"/>
            </w:tcBorders>
            <w:vAlign w:val="center"/>
          </w:tcPr>
          <w:p w14:paraId="06DF72DC">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序号</w:t>
            </w:r>
          </w:p>
        </w:tc>
        <w:tc>
          <w:tcPr>
            <w:tcW w:w="1559" w:type="dxa"/>
            <w:tcBorders>
              <w:top w:val="single" w:color="auto" w:sz="12" w:space="0"/>
              <w:left w:val="single" w:color="auto" w:sz="4" w:space="0"/>
              <w:bottom w:val="single" w:color="auto" w:sz="4" w:space="0"/>
              <w:right w:val="single" w:color="auto" w:sz="4" w:space="0"/>
            </w:tcBorders>
            <w:vAlign w:val="center"/>
          </w:tcPr>
          <w:p w14:paraId="40A820F3">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赋分项目</w:t>
            </w:r>
          </w:p>
        </w:tc>
        <w:tc>
          <w:tcPr>
            <w:tcW w:w="6157" w:type="dxa"/>
            <w:tcBorders>
              <w:top w:val="single" w:color="auto" w:sz="12" w:space="0"/>
              <w:left w:val="single" w:color="auto" w:sz="4" w:space="0"/>
              <w:bottom w:val="single" w:color="auto" w:sz="4" w:space="0"/>
              <w:right w:val="single" w:color="auto" w:sz="4" w:space="0"/>
            </w:tcBorders>
            <w:vAlign w:val="center"/>
          </w:tcPr>
          <w:p w14:paraId="7E80594E">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赋分依据</w:t>
            </w:r>
          </w:p>
        </w:tc>
        <w:tc>
          <w:tcPr>
            <w:tcW w:w="1186" w:type="dxa"/>
            <w:tcBorders>
              <w:top w:val="single" w:color="auto" w:sz="12" w:space="0"/>
              <w:left w:val="single" w:color="auto" w:sz="4" w:space="0"/>
              <w:bottom w:val="single" w:color="auto" w:sz="4" w:space="0"/>
              <w:right w:val="single" w:color="auto" w:sz="12" w:space="0"/>
            </w:tcBorders>
            <w:vAlign w:val="center"/>
          </w:tcPr>
          <w:p w14:paraId="56FAB8A6">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赋分值</w:t>
            </w:r>
          </w:p>
        </w:tc>
      </w:tr>
      <w:tr w14:paraId="7798B8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4" w:type="dxa"/>
            <w:tcBorders>
              <w:top w:val="single" w:color="auto" w:sz="4" w:space="0"/>
              <w:left w:val="single" w:color="auto" w:sz="12" w:space="0"/>
              <w:bottom w:val="single" w:color="auto" w:sz="4" w:space="0"/>
              <w:right w:val="single" w:color="auto" w:sz="4" w:space="0"/>
            </w:tcBorders>
            <w:vAlign w:val="center"/>
          </w:tcPr>
          <w:p w14:paraId="1AB0E916">
            <w:pPr>
              <w:autoSpaceDE w:val="0"/>
              <w:autoSpaceDN w:val="0"/>
              <w:adjustRightInd w:val="0"/>
              <w:spacing w:line="450" w:lineRule="exact"/>
              <w:jc w:val="center"/>
              <w:rPr>
                <w:rFonts w:hint="eastAsia" w:ascii="等线" w:hAnsi="等线" w:eastAsia="宋体" w:cs="Times New Roman"/>
                <w:color w:val="auto"/>
                <w:kern w:val="0"/>
                <w:sz w:val="24"/>
                <w:szCs w:val="24"/>
                <w:highlight w:val="none"/>
                <w:lang w:val="en-US" w:eastAsia="zh-CN"/>
              </w:rPr>
            </w:pPr>
            <w:r>
              <w:rPr>
                <w:rFonts w:hint="eastAsia" w:ascii="等线" w:hAnsi="等线" w:eastAsia="宋体" w:cs="Times New Roman"/>
                <w:color w:val="auto"/>
                <w:kern w:val="0"/>
                <w:sz w:val="24"/>
                <w:szCs w:val="24"/>
                <w:highlight w:val="none"/>
                <w:lang w:val="en-US" w:eastAsia="zh-CN"/>
              </w:rPr>
              <w:t>1</w:t>
            </w:r>
          </w:p>
        </w:tc>
        <w:tc>
          <w:tcPr>
            <w:tcW w:w="1559" w:type="dxa"/>
            <w:tcBorders>
              <w:top w:val="single" w:color="auto" w:sz="4" w:space="0"/>
              <w:left w:val="single" w:color="auto" w:sz="4" w:space="0"/>
              <w:bottom w:val="single" w:color="auto" w:sz="4" w:space="0"/>
              <w:right w:val="single" w:color="auto" w:sz="4" w:space="0"/>
            </w:tcBorders>
            <w:vAlign w:val="center"/>
          </w:tcPr>
          <w:p w14:paraId="2D2E8498">
            <w:pPr>
              <w:rPr>
                <w:rFonts w:hint="eastAsia" w:ascii="宋体" w:hAnsi="宋体" w:eastAsia="宋体" w:cs="宋体"/>
                <w:color w:val="auto"/>
                <w:sz w:val="24"/>
                <w:highlight w:val="none"/>
              </w:rPr>
            </w:pPr>
            <w:r>
              <w:rPr>
                <w:rFonts w:hint="eastAsia" w:ascii="宋体" w:hAnsi="宋体" w:eastAsia="宋体" w:cs="宋体"/>
                <w:color w:val="auto"/>
                <w:sz w:val="24"/>
                <w:highlight w:val="none"/>
              </w:rPr>
              <w:t>施工现场布置及文明施工</w:t>
            </w:r>
          </w:p>
        </w:tc>
        <w:tc>
          <w:tcPr>
            <w:tcW w:w="6157" w:type="dxa"/>
            <w:tcBorders>
              <w:top w:val="single" w:color="auto" w:sz="4" w:space="0"/>
              <w:left w:val="single" w:color="auto" w:sz="4" w:space="0"/>
              <w:bottom w:val="single" w:color="auto" w:sz="4" w:space="0"/>
              <w:right w:val="single" w:color="auto" w:sz="4" w:space="0"/>
            </w:tcBorders>
            <w:vAlign w:val="center"/>
          </w:tcPr>
          <w:p w14:paraId="739C3AB6">
            <w:pPr>
              <w:adjustRightInd w:val="0"/>
              <w:snapToGrid w:val="0"/>
              <w:spacing w:line="400" w:lineRule="exact"/>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bidi="ar"/>
              </w:rPr>
              <w:t>施工现场布置合理且施工</w:t>
            </w:r>
            <w:r>
              <w:rPr>
                <w:rFonts w:hint="eastAsia" w:ascii="宋体" w:hAnsi="宋体" w:eastAsia="宋体" w:cs="宋体"/>
                <w:b/>
                <w:bCs/>
                <w:color w:val="auto"/>
                <w:kern w:val="0"/>
                <w:sz w:val="24"/>
                <w:szCs w:val="24"/>
                <w:highlight w:val="none"/>
                <w:lang w:bidi="ar"/>
              </w:rPr>
              <w:t>临时设施齐全得3分</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val="en-US" w:eastAsia="zh-CN" w:bidi="ar"/>
              </w:rPr>
              <w:t>较齐全得2</w:t>
            </w:r>
            <w:r>
              <w:rPr>
                <w:rFonts w:hint="eastAsia" w:ascii="宋体" w:hAnsi="宋体" w:eastAsia="宋体" w:cs="宋体"/>
                <w:color w:val="auto"/>
                <w:kern w:val="0"/>
                <w:sz w:val="24"/>
                <w:szCs w:val="24"/>
                <w:highlight w:val="none"/>
                <w:lang w:bidi="ar"/>
              </w:rPr>
              <w:t>分</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bidi="ar"/>
              </w:rPr>
              <w:t>措施有缺陷得1分</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bidi="ar"/>
              </w:rPr>
              <w:t>布置不合理</w:t>
            </w:r>
            <w:r>
              <w:rPr>
                <w:rFonts w:hint="eastAsia" w:ascii="宋体" w:hAnsi="宋体" w:eastAsia="宋体" w:cs="宋体"/>
                <w:color w:val="auto"/>
                <w:kern w:val="0"/>
                <w:sz w:val="24"/>
                <w:szCs w:val="24"/>
                <w:highlight w:val="none"/>
                <w:lang w:val="en-US" w:eastAsia="zh-CN" w:bidi="ar"/>
              </w:rPr>
              <w:t>或不提交</w:t>
            </w:r>
            <w:r>
              <w:rPr>
                <w:rFonts w:hint="eastAsia" w:ascii="宋体" w:hAnsi="宋体" w:eastAsia="宋体" w:cs="宋体"/>
                <w:color w:val="auto"/>
                <w:kern w:val="0"/>
                <w:sz w:val="24"/>
                <w:szCs w:val="24"/>
                <w:highlight w:val="none"/>
                <w:lang w:bidi="ar"/>
              </w:rPr>
              <w:t>不得分</w:t>
            </w:r>
            <w:r>
              <w:rPr>
                <w:rFonts w:hint="eastAsia" w:ascii="宋体" w:hAnsi="宋体" w:eastAsia="宋体" w:cs="宋体"/>
                <w:color w:val="auto"/>
                <w:kern w:val="0"/>
                <w:sz w:val="24"/>
                <w:szCs w:val="24"/>
                <w:highlight w:val="none"/>
                <w:lang w:eastAsia="zh-CN" w:bidi="ar"/>
              </w:rPr>
              <w:t>。</w:t>
            </w:r>
          </w:p>
          <w:p w14:paraId="57B66FA2">
            <w:pPr>
              <w:adjustRightInd w:val="0"/>
              <w:snapToGrid w:val="0"/>
              <w:spacing w:line="4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bidi="ar"/>
              </w:rPr>
              <w:t>文明施工措施（不得扰业主正常工作及设备保护等措施）全面且明确可行</w:t>
            </w:r>
            <w:r>
              <w:rPr>
                <w:rFonts w:hint="eastAsia" w:ascii="宋体" w:hAnsi="宋体" w:eastAsia="宋体" w:cs="宋体"/>
                <w:b/>
                <w:bCs/>
                <w:color w:val="auto"/>
                <w:kern w:val="0"/>
                <w:sz w:val="24"/>
                <w:szCs w:val="24"/>
                <w:highlight w:val="none"/>
                <w:lang w:bidi="ar"/>
              </w:rPr>
              <w:t>得3分</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bidi="ar"/>
              </w:rPr>
              <w:t>较齐全得2分</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bidi="ar"/>
              </w:rPr>
              <w:t>措施有缺陷得1分</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val="en-US" w:eastAsia="zh-CN" w:bidi="ar"/>
              </w:rPr>
              <w:t>不合理或不提交不得分</w:t>
            </w:r>
            <w:r>
              <w:rPr>
                <w:rFonts w:hint="eastAsia" w:ascii="宋体" w:hAnsi="宋体" w:eastAsia="宋体" w:cs="宋体"/>
                <w:color w:val="auto"/>
                <w:kern w:val="0"/>
                <w:sz w:val="24"/>
                <w:szCs w:val="24"/>
                <w:highlight w:val="none"/>
                <w:lang w:bidi="ar"/>
              </w:rPr>
              <w:t>。</w:t>
            </w:r>
          </w:p>
        </w:tc>
        <w:tc>
          <w:tcPr>
            <w:tcW w:w="1186" w:type="dxa"/>
            <w:tcBorders>
              <w:top w:val="single" w:color="auto" w:sz="4" w:space="0"/>
              <w:left w:val="single" w:color="auto" w:sz="4" w:space="0"/>
              <w:bottom w:val="single" w:color="auto" w:sz="4" w:space="0"/>
              <w:right w:val="single" w:color="auto" w:sz="12" w:space="0"/>
            </w:tcBorders>
            <w:vAlign w:val="center"/>
          </w:tcPr>
          <w:p w14:paraId="3D91E73C">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w:t>
            </w:r>
          </w:p>
        </w:tc>
      </w:tr>
      <w:tr w14:paraId="6B224D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4" w:type="dxa"/>
            <w:tcBorders>
              <w:top w:val="single" w:color="auto" w:sz="4" w:space="0"/>
              <w:left w:val="single" w:color="auto" w:sz="12" w:space="0"/>
              <w:bottom w:val="single" w:color="auto" w:sz="4" w:space="0"/>
              <w:right w:val="single" w:color="auto" w:sz="4" w:space="0"/>
            </w:tcBorders>
            <w:vAlign w:val="center"/>
          </w:tcPr>
          <w:p w14:paraId="59548166">
            <w:pPr>
              <w:autoSpaceDE w:val="0"/>
              <w:autoSpaceDN w:val="0"/>
              <w:adjustRightInd w:val="0"/>
              <w:spacing w:line="450" w:lineRule="exact"/>
              <w:jc w:val="center"/>
              <w:rPr>
                <w:rFonts w:hint="eastAsia" w:ascii="等线" w:hAnsi="等线" w:eastAsia="宋体" w:cs="Times New Roman"/>
                <w:color w:val="auto"/>
                <w:kern w:val="0"/>
                <w:sz w:val="24"/>
                <w:szCs w:val="24"/>
                <w:highlight w:val="none"/>
                <w:lang w:eastAsia="zh-CN"/>
              </w:rPr>
            </w:pPr>
            <w:r>
              <w:rPr>
                <w:rFonts w:hint="eastAsia" w:ascii="等线" w:hAnsi="等线" w:eastAsia="宋体" w:cs="Times New Roman"/>
                <w:color w:val="auto"/>
                <w:kern w:val="0"/>
                <w:sz w:val="24"/>
                <w:szCs w:val="24"/>
                <w:highlight w:val="none"/>
                <w:lang w:val="en-US" w:eastAsia="zh-CN"/>
              </w:rPr>
              <w:t>2</w:t>
            </w:r>
          </w:p>
        </w:tc>
        <w:tc>
          <w:tcPr>
            <w:tcW w:w="1559" w:type="dxa"/>
            <w:tcBorders>
              <w:top w:val="single" w:color="auto" w:sz="4" w:space="0"/>
              <w:left w:val="single" w:color="auto" w:sz="4" w:space="0"/>
              <w:bottom w:val="single" w:color="auto" w:sz="4" w:space="0"/>
              <w:right w:val="single" w:color="auto" w:sz="4" w:space="0"/>
            </w:tcBorders>
            <w:vAlign w:val="center"/>
          </w:tcPr>
          <w:p w14:paraId="0BEBE12B">
            <w:pPr>
              <w:spacing w:line="400" w:lineRule="exact"/>
              <w:rPr>
                <w:rFonts w:hint="eastAsia" w:ascii="宋体" w:hAnsi="宋体" w:eastAsia="宋体" w:cs="宋体"/>
                <w:color w:val="auto"/>
                <w:sz w:val="24"/>
                <w:highlight w:val="none"/>
              </w:rPr>
            </w:pPr>
            <w:r>
              <w:rPr>
                <w:rFonts w:hint="eastAsia" w:ascii="宋体" w:hAnsi="宋体" w:eastAsia="宋体" w:cs="Times New Roman"/>
                <w:color w:val="auto"/>
                <w:sz w:val="24"/>
                <w:szCs w:val="24"/>
                <w:highlight w:val="none"/>
                <w:lang w:eastAsia="zh-CN"/>
              </w:rPr>
              <w:t>施工组织、</w:t>
            </w:r>
            <w:r>
              <w:rPr>
                <w:rFonts w:hint="eastAsia" w:ascii="宋体" w:hAnsi="宋体" w:eastAsia="宋体" w:cs="Times New Roman"/>
                <w:color w:val="auto"/>
                <w:sz w:val="24"/>
                <w:szCs w:val="24"/>
                <w:highlight w:val="none"/>
              </w:rPr>
              <w:t>施工程序、工艺、技术措施</w:t>
            </w:r>
          </w:p>
        </w:tc>
        <w:tc>
          <w:tcPr>
            <w:tcW w:w="6157" w:type="dxa"/>
            <w:tcBorders>
              <w:top w:val="single" w:color="auto" w:sz="4" w:space="0"/>
              <w:left w:val="single" w:color="auto" w:sz="4" w:space="0"/>
              <w:bottom w:val="single" w:color="auto" w:sz="4" w:space="0"/>
              <w:right w:val="single" w:color="auto" w:sz="4" w:space="0"/>
            </w:tcBorders>
            <w:vAlign w:val="center"/>
          </w:tcPr>
          <w:p w14:paraId="6C66B4BB">
            <w:pPr>
              <w:numPr>
                <w:ilvl w:val="0"/>
                <w:numId w:val="0"/>
              </w:numPr>
              <w:spacing w:line="400" w:lineRule="exac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1.施工组织安排合理、描述准确、有针对性，满足施工要求</w:t>
            </w:r>
            <w:r>
              <w:rPr>
                <w:rFonts w:hint="eastAsia" w:ascii="宋体" w:hAnsi="宋体" w:eastAsia="宋体" w:cs="宋体"/>
                <w:b/>
                <w:bCs/>
                <w:color w:val="auto"/>
                <w:kern w:val="0"/>
                <w:sz w:val="24"/>
                <w:szCs w:val="24"/>
                <w:highlight w:val="none"/>
                <w:lang w:val="en-US" w:eastAsia="zh-CN" w:bidi="ar"/>
              </w:rPr>
              <w:t>得6分</w:t>
            </w:r>
            <w:r>
              <w:rPr>
                <w:rFonts w:hint="eastAsia" w:ascii="宋体" w:hAnsi="宋体" w:eastAsia="宋体" w:cs="宋体"/>
                <w:color w:val="auto"/>
                <w:kern w:val="0"/>
                <w:sz w:val="24"/>
                <w:szCs w:val="24"/>
                <w:highlight w:val="none"/>
                <w:lang w:val="en-US" w:eastAsia="zh-CN" w:bidi="ar"/>
              </w:rPr>
              <w:t>；较合理得4分；基本合理，描述不太准确，针对性不强得2分；不合理或不提交不得分。</w:t>
            </w:r>
          </w:p>
          <w:p w14:paraId="6EAFE705">
            <w:pPr>
              <w:numPr>
                <w:ilvl w:val="0"/>
                <w:numId w:val="0"/>
              </w:numPr>
              <w:spacing w:line="400" w:lineRule="exact"/>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2.施工程序安排合理、衔接得当、连续性强，满足施工要求</w:t>
            </w:r>
            <w:r>
              <w:rPr>
                <w:rFonts w:hint="eastAsia" w:ascii="宋体" w:hAnsi="宋体" w:eastAsia="宋体" w:cs="宋体"/>
                <w:b/>
                <w:bCs/>
                <w:color w:val="auto"/>
                <w:kern w:val="0"/>
                <w:sz w:val="24"/>
                <w:szCs w:val="24"/>
                <w:highlight w:val="none"/>
                <w:lang w:val="en-US" w:eastAsia="zh-CN" w:bidi="ar"/>
              </w:rPr>
              <w:t>得6分</w:t>
            </w:r>
            <w:r>
              <w:rPr>
                <w:rFonts w:hint="eastAsia" w:ascii="宋体" w:hAnsi="宋体" w:eastAsia="宋体" w:cs="宋体"/>
                <w:color w:val="auto"/>
                <w:kern w:val="0"/>
                <w:sz w:val="24"/>
                <w:szCs w:val="24"/>
                <w:highlight w:val="none"/>
                <w:lang w:val="en-US" w:eastAsia="zh-CN" w:bidi="ar"/>
              </w:rPr>
              <w:t>；较合理得4分；基本合理，衔接不得当，连续性不强得2分；不合理或不提交不得分。</w:t>
            </w:r>
          </w:p>
          <w:p w14:paraId="590407DD">
            <w:pPr>
              <w:numPr>
                <w:ilvl w:val="0"/>
                <w:numId w:val="0"/>
              </w:numPr>
              <w:spacing w:line="4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kern w:val="0"/>
                <w:sz w:val="24"/>
                <w:szCs w:val="24"/>
                <w:highlight w:val="none"/>
                <w:lang w:val="en-US" w:eastAsia="zh-CN" w:bidi="ar"/>
              </w:rPr>
              <w:t>3.施工工艺、技术措施安排合理、实用性强、针对性强，满足施工要求</w:t>
            </w:r>
            <w:r>
              <w:rPr>
                <w:rFonts w:hint="eastAsia" w:ascii="宋体" w:hAnsi="宋体" w:eastAsia="宋体" w:cs="宋体"/>
                <w:b/>
                <w:bCs/>
                <w:color w:val="auto"/>
                <w:kern w:val="0"/>
                <w:sz w:val="24"/>
                <w:szCs w:val="24"/>
                <w:highlight w:val="none"/>
                <w:lang w:val="en-US" w:eastAsia="zh-CN" w:bidi="ar"/>
              </w:rPr>
              <w:t>得6分</w:t>
            </w:r>
            <w:r>
              <w:rPr>
                <w:rFonts w:hint="eastAsia" w:ascii="宋体" w:hAnsi="宋体" w:eastAsia="宋体" w:cs="宋体"/>
                <w:color w:val="auto"/>
                <w:kern w:val="0"/>
                <w:sz w:val="24"/>
                <w:szCs w:val="24"/>
                <w:highlight w:val="none"/>
                <w:lang w:val="en-US" w:eastAsia="zh-CN" w:bidi="ar"/>
              </w:rPr>
              <w:t>；较合理得4分；实用性不强、针对性不强得2分；不合理或不提交不得分。</w:t>
            </w:r>
          </w:p>
        </w:tc>
        <w:tc>
          <w:tcPr>
            <w:tcW w:w="1186" w:type="dxa"/>
            <w:tcBorders>
              <w:top w:val="single" w:color="auto" w:sz="4" w:space="0"/>
              <w:left w:val="single" w:color="auto" w:sz="4" w:space="0"/>
              <w:bottom w:val="single" w:color="auto" w:sz="4" w:space="0"/>
              <w:right w:val="single" w:color="auto" w:sz="12" w:space="0"/>
            </w:tcBorders>
            <w:vAlign w:val="center"/>
          </w:tcPr>
          <w:p w14:paraId="14C7C778">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18</w:t>
            </w:r>
          </w:p>
        </w:tc>
      </w:tr>
      <w:tr w14:paraId="3C544D4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4" w:type="dxa"/>
            <w:tcBorders>
              <w:top w:val="single" w:color="auto" w:sz="4" w:space="0"/>
              <w:left w:val="single" w:color="auto" w:sz="12" w:space="0"/>
              <w:bottom w:val="single" w:color="auto" w:sz="4" w:space="0"/>
              <w:right w:val="single" w:color="auto" w:sz="4" w:space="0"/>
            </w:tcBorders>
            <w:vAlign w:val="center"/>
          </w:tcPr>
          <w:p w14:paraId="17B9AEED">
            <w:pPr>
              <w:autoSpaceDE w:val="0"/>
              <w:autoSpaceDN w:val="0"/>
              <w:adjustRightInd w:val="0"/>
              <w:spacing w:line="450" w:lineRule="exact"/>
              <w:jc w:val="center"/>
              <w:rPr>
                <w:rFonts w:hint="eastAsia" w:ascii="等线" w:hAnsi="等线" w:eastAsia="宋体" w:cs="Times New Roman"/>
                <w:color w:val="auto"/>
                <w:kern w:val="0"/>
                <w:sz w:val="24"/>
                <w:szCs w:val="24"/>
                <w:highlight w:val="none"/>
                <w:lang w:eastAsia="zh-CN"/>
              </w:rPr>
            </w:pPr>
            <w:r>
              <w:rPr>
                <w:rFonts w:hint="eastAsia" w:ascii="等线" w:hAnsi="等线" w:eastAsia="宋体" w:cs="Times New Roman"/>
                <w:color w:val="auto"/>
                <w:kern w:val="0"/>
                <w:sz w:val="24"/>
                <w:szCs w:val="24"/>
                <w:highlight w:val="none"/>
                <w:lang w:val="en-US" w:eastAsia="zh-CN"/>
              </w:rPr>
              <w:t>3</w:t>
            </w:r>
          </w:p>
        </w:tc>
        <w:tc>
          <w:tcPr>
            <w:tcW w:w="1559" w:type="dxa"/>
            <w:tcBorders>
              <w:top w:val="single" w:color="auto" w:sz="4" w:space="0"/>
              <w:left w:val="single" w:color="auto" w:sz="4" w:space="0"/>
              <w:bottom w:val="single" w:color="auto" w:sz="4" w:space="0"/>
              <w:right w:val="single" w:color="auto" w:sz="4" w:space="0"/>
            </w:tcBorders>
            <w:vAlign w:val="center"/>
          </w:tcPr>
          <w:p w14:paraId="6B555A9A">
            <w:pPr>
              <w:spacing w:line="400" w:lineRule="exact"/>
              <w:jc w:val="center"/>
              <w:rPr>
                <w:rFonts w:hint="eastAsia" w:ascii="宋体" w:hAnsi="宋体" w:eastAsia="宋体" w:cs="宋体"/>
                <w:color w:val="auto"/>
                <w:sz w:val="24"/>
                <w:highlight w:val="none"/>
              </w:rPr>
            </w:pPr>
            <w:r>
              <w:rPr>
                <w:rFonts w:hint="eastAsia" w:ascii="宋体" w:hAnsi="宋体" w:eastAsia="宋体" w:cs="Times New Roman"/>
                <w:color w:val="auto"/>
                <w:sz w:val="24"/>
                <w:szCs w:val="24"/>
                <w:highlight w:val="none"/>
              </w:rPr>
              <w:t>施工难点分析及应对措施</w:t>
            </w:r>
          </w:p>
        </w:tc>
        <w:tc>
          <w:tcPr>
            <w:tcW w:w="6157" w:type="dxa"/>
            <w:tcBorders>
              <w:top w:val="single" w:color="auto" w:sz="4" w:space="0"/>
              <w:left w:val="single" w:color="auto" w:sz="4" w:space="0"/>
              <w:bottom w:val="single" w:color="auto" w:sz="4" w:space="0"/>
              <w:right w:val="single" w:color="auto" w:sz="4" w:space="0"/>
            </w:tcBorders>
            <w:vAlign w:val="center"/>
          </w:tcPr>
          <w:p w14:paraId="3AEA5DD9">
            <w:pPr>
              <w:spacing w:line="400" w:lineRule="exact"/>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val="en-US" w:eastAsia="zh-CN" w:bidi="ar"/>
              </w:rPr>
              <w:t>1.施工难点分析全面准确、有针对性，满足施工要求</w:t>
            </w:r>
            <w:r>
              <w:rPr>
                <w:rFonts w:hint="eastAsia" w:ascii="宋体" w:hAnsi="宋体" w:eastAsia="宋体" w:cs="宋体"/>
                <w:b/>
                <w:bCs/>
                <w:color w:val="auto"/>
                <w:kern w:val="0"/>
                <w:sz w:val="24"/>
                <w:szCs w:val="24"/>
                <w:highlight w:val="none"/>
                <w:lang w:val="en-US" w:eastAsia="zh-CN" w:bidi="ar"/>
              </w:rPr>
              <w:t>得4分</w:t>
            </w:r>
            <w:r>
              <w:rPr>
                <w:rFonts w:hint="eastAsia" w:ascii="宋体" w:hAnsi="宋体" w:eastAsia="宋体" w:cs="宋体"/>
                <w:color w:val="auto"/>
                <w:kern w:val="0"/>
                <w:sz w:val="24"/>
                <w:szCs w:val="24"/>
                <w:highlight w:val="none"/>
                <w:lang w:val="en-US" w:eastAsia="zh-CN" w:bidi="ar"/>
              </w:rPr>
              <w:t>；较合理、较有针对性的得2分；不提交不得分。</w:t>
            </w:r>
          </w:p>
          <w:p w14:paraId="0631F8FF">
            <w:pPr>
              <w:spacing w:line="4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kern w:val="0"/>
                <w:sz w:val="24"/>
                <w:szCs w:val="24"/>
                <w:highlight w:val="none"/>
                <w:lang w:val="en-US" w:eastAsia="zh-CN" w:bidi="ar"/>
              </w:rPr>
              <w:t>2.施工难点应对措施制定详细、全面准确、有针对性，满足施工要求</w:t>
            </w:r>
            <w:r>
              <w:rPr>
                <w:rFonts w:hint="eastAsia" w:ascii="宋体" w:hAnsi="宋体" w:eastAsia="宋体" w:cs="宋体"/>
                <w:b/>
                <w:bCs/>
                <w:color w:val="auto"/>
                <w:kern w:val="0"/>
                <w:sz w:val="24"/>
                <w:szCs w:val="24"/>
                <w:highlight w:val="none"/>
                <w:lang w:val="en-US" w:eastAsia="zh-CN" w:bidi="ar"/>
              </w:rPr>
              <w:t>得4分</w:t>
            </w:r>
            <w:r>
              <w:rPr>
                <w:rFonts w:hint="eastAsia" w:ascii="宋体" w:hAnsi="宋体" w:eastAsia="宋体" w:cs="宋体"/>
                <w:color w:val="auto"/>
                <w:kern w:val="0"/>
                <w:sz w:val="24"/>
                <w:szCs w:val="24"/>
                <w:highlight w:val="none"/>
                <w:lang w:val="en-US" w:eastAsia="zh-CN" w:bidi="ar"/>
              </w:rPr>
              <w:t>；较详细，不全面准确，针对性不强得2分；不提交不得分。</w:t>
            </w:r>
          </w:p>
        </w:tc>
        <w:tc>
          <w:tcPr>
            <w:tcW w:w="1186" w:type="dxa"/>
            <w:tcBorders>
              <w:top w:val="single" w:color="auto" w:sz="4" w:space="0"/>
              <w:left w:val="single" w:color="auto" w:sz="4" w:space="0"/>
              <w:bottom w:val="single" w:color="auto" w:sz="4" w:space="0"/>
              <w:right w:val="single" w:color="auto" w:sz="12" w:space="0"/>
            </w:tcBorders>
            <w:vAlign w:val="center"/>
          </w:tcPr>
          <w:p w14:paraId="099555B7">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8</w:t>
            </w:r>
          </w:p>
        </w:tc>
      </w:tr>
      <w:tr w14:paraId="4520283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814" w:type="dxa"/>
            <w:tcBorders>
              <w:top w:val="single" w:color="auto" w:sz="4" w:space="0"/>
              <w:left w:val="single" w:color="auto" w:sz="12" w:space="0"/>
              <w:bottom w:val="single" w:color="auto" w:sz="4" w:space="0"/>
              <w:right w:val="single" w:color="auto" w:sz="4" w:space="0"/>
            </w:tcBorders>
            <w:vAlign w:val="center"/>
          </w:tcPr>
          <w:p w14:paraId="0D44F70C">
            <w:pPr>
              <w:autoSpaceDE w:val="0"/>
              <w:autoSpaceDN w:val="0"/>
              <w:adjustRightInd w:val="0"/>
              <w:spacing w:line="450" w:lineRule="exact"/>
              <w:jc w:val="center"/>
              <w:rPr>
                <w:rFonts w:hint="eastAsia" w:ascii="等线" w:hAnsi="等线" w:eastAsia="宋体" w:cs="Times New Roman"/>
                <w:color w:val="auto"/>
                <w:kern w:val="0"/>
                <w:sz w:val="24"/>
                <w:szCs w:val="24"/>
                <w:highlight w:val="none"/>
                <w:lang w:eastAsia="zh-CN"/>
              </w:rPr>
            </w:pPr>
            <w:r>
              <w:rPr>
                <w:rFonts w:hint="eastAsia" w:ascii="等线" w:hAnsi="等线" w:eastAsia="宋体" w:cs="Times New Roman"/>
                <w:color w:val="auto"/>
                <w:kern w:val="0"/>
                <w:sz w:val="24"/>
                <w:szCs w:val="24"/>
                <w:highlight w:val="none"/>
                <w:lang w:val="en-US" w:eastAsia="zh-CN"/>
                <w14:ligatures w14:val="standardContextual"/>
              </w:rPr>
              <w:t>4</w:t>
            </w:r>
          </w:p>
        </w:tc>
        <w:tc>
          <w:tcPr>
            <w:tcW w:w="1559" w:type="dxa"/>
            <w:tcBorders>
              <w:top w:val="single" w:color="auto" w:sz="4" w:space="0"/>
              <w:left w:val="single" w:color="auto" w:sz="4" w:space="0"/>
              <w:bottom w:val="single" w:color="auto" w:sz="4" w:space="0"/>
              <w:right w:val="single" w:color="auto" w:sz="4" w:space="0"/>
            </w:tcBorders>
            <w:vAlign w:val="center"/>
          </w:tcPr>
          <w:p w14:paraId="200BE116">
            <w:pPr>
              <w:spacing w:line="400" w:lineRule="exact"/>
              <w:jc w:val="center"/>
              <w:rPr>
                <w:rFonts w:hint="eastAsia" w:ascii="宋体" w:hAnsi="宋体" w:eastAsia="宋体" w:cs="宋体"/>
                <w:color w:val="auto"/>
                <w:sz w:val="24"/>
                <w:highlight w:val="none"/>
              </w:rPr>
            </w:pPr>
            <w:r>
              <w:rPr>
                <w:rFonts w:hint="eastAsia" w:ascii="宋体" w:hAnsi="宋体" w:eastAsia="宋体" w:cs="Times New Roman"/>
                <w:color w:val="auto"/>
                <w:sz w:val="24"/>
                <w:szCs w:val="24"/>
                <w:highlight w:val="none"/>
              </w:rPr>
              <w:t>施工机具及劳动力配置</w:t>
            </w:r>
          </w:p>
        </w:tc>
        <w:tc>
          <w:tcPr>
            <w:tcW w:w="6157" w:type="dxa"/>
            <w:tcBorders>
              <w:top w:val="single" w:color="auto" w:sz="4" w:space="0"/>
              <w:left w:val="single" w:color="auto" w:sz="4" w:space="0"/>
              <w:bottom w:val="single" w:color="auto" w:sz="4" w:space="0"/>
              <w:right w:val="single" w:color="auto" w:sz="4" w:space="0"/>
            </w:tcBorders>
            <w:vAlign w:val="center"/>
          </w:tcPr>
          <w:p w14:paraId="02720B21">
            <w:pPr>
              <w:spacing w:line="400" w:lineRule="exact"/>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val="en-US" w:eastAsia="zh-CN" w:bidi="ar"/>
              </w:rPr>
              <w:t>1.施工机具选择得当、完全满足施工要求</w:t>
            </w:r>
            <w:r>
              <w:rPr>
                <w:rFonts w:hint="eastAsia" w:ascii="宋体" w:hAnsi="宋体" w:eastAsia="宋体" w:cs="宋体"/>
                <w:b/>
                <w:bCs/>
                <w:color w:val="auto"/>
                <w:kern w:val="0"/>
                <w:sz w:val="24"/>
                <w:szCs w:val="24"/>
                <w:highlight w:val="none"/>
                <w:lang w:val="en-US" w:eastAsia="zh-CN" w:bidi="ar"/>
              </w:rPr>
              <w:t>得3分</w:t>
            </w:r>
            <w:r>
              <w:rPr>
                <w:rFonts w:hint="eastAsia" w:ascii="宋体" w:hAnsi="宋体" w:eastAsia="宋体" w:cs="宋体"/>
                <w:color w:val="auto"/>
                <w:kern w:val="0"/>
                <w:sz w:val="24"/>
                <w:szCs w:val="24"/>
                <w:highlight w:val="none"/>
                <w:lang w:val="en-US" w:eastAsia="zh-CN" w:bidi="ar"/>
              </w:rPr>
              <w:t>；较得当，基本满足要求得2分；有缺陷得1分；不满足要求或不提交不得分。</w:t>
            </w:r>
          </w:p>
          <w:p w14:paraId="2F603D7B">
            <w:pPr>
              <w:spacing w:line="400" w:lineRule="exact"/>
              <w:rPr>
                <w:rFonts w:hint="eastAsia" w:ascii="宋体" w:hAnsi="宋体" w:eastAsia="宋体" w:cs="宋体"/>
                <w:color w:val="auto"/>
                <w:sz w:val="24"/>
                <w:highlight w:val="none"/>
              </w:rPr>
            </w:pPr>
            <w:r>
              <w:rPr>
                <w:rFonts w:hint="eastAsia" w:ascii="宋体" w:hAnsi="宋体" w:eastAsia="宋体" w:cs="宋体"/>
                <w:color w:val="auto"/>
                <w:kern w:val="0"/>
                <w:sz w:val="24"/>
                <w:szCs w:val="24"/>
                <w:highlight w:val="none"/>
                <w:lang w:val="en-US" w:eastAsia="zh-CN" w:bidi="ar"/>
              </w:rPr>
              <w:t>2.劳动力配置计划详细、完全满足施工要求</w:t>
            </w:r>
            <w:r>
              <w:rPr>
                <w:rFonts w:hint="eastAsia" w:ascii="宋体" w:hAnsi="宋体" w:eastAsia="宋体" w:cs="宋体"/>
                <w:b/>
                <w:bCs/>
                <w:color w:val="auto"/>
                <w:kern w:val="0"/>
                <w:sz w:val="24"/>
                <w:szCs w:val="24"/>
                <w:highlight w:val="none"/>
                <w:lang w:val="en-US" w:eastAsia="zh-CN" w:bidi="ar"/>
              </w:rPr>
              <w:t>得3分</w:t>
            </w:r>
            <w:r>
              <w:rPr>
                <w:rFonts w:hint="eastAsia" w:ascii="宋体" w:hAnsi="宋体" w:eastAsia="宋体" w:cs="宋体"/>
                <w:color w:val="auto"/>
                <w:kern w:val="0"/>
                <w:sz w:val="24"/>
                <w:szCs w:val="24"/>
                <w:highlight w:val="none"/>
                <w:lang w:val="en-US" w:eastAsia="zh-CN" w:bidi="ar"/>
              </w:rPr>
              <w:t>；较详细，基本满足要求得2分；有缺陷得1分；不满足要求或不提交不得分。</w:t>
            </w:r>
          </w:p>
        </w:tc>
        <w:tc>
          <w:tcPr>
            <w:tcW w:w="1186" w:type="dxa"/>
            <w:tcBorders>
              <w:top w:val="single" w:color="auto" w:sz="4" w:space="0"/>
              <w:left w:val="single" w:color="auto" w:sz="4" w:space="0"/>
              <w:bottom w:val="single" w:color="auto" w:sz="4" w:space="0"/>
              <w:right w:val="single" w:color="auto" w:sz="12" w:space="0"/>
            </w:tcBorders>
            <w:vAlign w:val="center"/>
          </w:tcPr>
          <w:p w14:paraId="1F25A940">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6</w:t>
            </w:r>
          </w:p>
        </w:tc>
      </w:tr>
      <w:tr w14:paraId="0C100CF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814" w:type="dxa"/>
            <w:tcBorders>
              <w:top w:val="single" w:color="auto" w:sz="4" w:space="0"/>
              <w:left w:val="single" w:color="auto" w:sz="12" w:space="0"/>
              <w:bottom w:val="single" w:color="auto" w:sz="4" w:space="0"/>
              <w:right w:val="single" w:color="auto" w:sz="4" w:space="0"/>
            </w:tcBorders>
            <w:vAlign w:val="center"/>
          </w:tcPr>
          <w:p w14:paraId="1DD417DA">
            <w:pPr>
              <w:autoSpaceDE w:val="0"/>
              <w:autoSpaceDN w:val="0"/>
              <w:adjustRightInd w:val="0"/>
              <w:spacing w:line="450" w:lineRule="exact"/>
              <w:jc w:val="center"/>
              <w:rPr>
                <w:rFonts w:hint="default" w:ascii="等线" w:hAnsi="等线" w:eastAsia="宋体" w:cs="Times New Roman"/>
                <w:color w:val="auto"/>
                <w:kern w:val="0"/>
                <w:sz w:val="24"/>
                <w:szCs w:val="24"/>
                <w:highlight w:val="none"/>
                <w:lang w:val="en-US" w:eastAsia="zh-CN"/>
                <w14:ligatures w14:val="standardContextual"/>
              </w:rPr>
            </w:pPr>
            <w:r>
              <w:rPr>
                <w:rFonts w:hint="eastAsia" w:ascii="等线" w:hAnsi="等线" w:eastAsia="宋体" w:cs="Times New Roman"/>
                <w:color w:val="auto"/>
                <w:kern w:val="0"/>
                <w:sz w:val="24"/>
                <w:szCs w:val="24"/>
                <w:highlight w:val="none"/>
                <w:lang w:val="en-US" w:eastAsia="zh-CN"/>
                <w14:ligatures w14:val="standardContextual"/>
              </w:rPr>
              <w:t>5</w:t>
            </w:r>
          </w:p>
        </w:tc>
        <w:tc>
          <w:tcPr>
            <w:tcW w:w="1559" w:type="dxa"/>
            <w:tcBorders>
              <w:top w:val="single" w:color="auto" w:sz="4" w:space="0"/>
              <w:left w:val="single" w:color="auto" w:sz="4" w:space="0"/>
              <w:bottom w:val="single" w:color="auto" w:sz="4" w:space="0"/>
              <w:right w:val="single" w:color="auto" w:sz="4" w:space="0"/>
            </w:tcBorders>
            <w:vAlign w:val="center"/>
          </w:tcPr>
          <w:p w14:paraId="32DD5338">
            <w:pPr>
              <w:spacing w:line="400" w:lineRule="exac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施工进度及工期计划</w:t>
            </w:r>
          </w:p>
        </w:tc>
        <w:tc>
          <w:tcPr>
            <w:tcW w:w="6157" w:type="dxa"/>
            <w:tcBorders>
              <w:top w:val="single" w:color="auto" w:sz="4" w:space="0"/>
              <w:left w:val="single" w:color="auto" w:sz="4" w:space="0"/>
              <w:bottom w:val="single" w:color="auto" w:sz="4" w:space="0"/>
              <w:right w:val="single" w:color="auto" w:sz="4" w:space="0"/>
            </w:tcBorders>
            <w:vAlign w:val="center"/>
          </w:tcPr>
          <w:p w14:paraId="07F4F550">
            <w:pPr>
              <w:spacing w:line="400" w:lineRule="exact"/>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val="en-US" w:eastAsia="zh-CN" w:bidi="ar"/>
              </w:rPr>
              <w:t>1.施工进度安排合理、描述准确、</w:t>
            </w:r>
            <w:r>
              <w:rPr>
                <w:rFonts w:hint="eastAsia" w:ascii="宋体" w:hAnsi="宋体" w:eastAsia="宋体" w:cs="宋体"/>
                <w:color w:val="auto"/>
                <w:kern w:val="0"/>
                <w:sz w:val="24"/>
                <w:szCs w:val="24"/>
                <w:highlight w:val="none"/>
                <w:lang w:bidi="ar"/>
              </w:rPr>
              <w:t>附有施工进度表</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val="en-US" w:eastAsia="zh-CN" w:bidi="ar"/>
              </w:rPr>
              <w:t>满足施工要求</w:t>
            </w:r>
            <w:r>
              <w:rPr>
                <w:rFonts w:hint="eastAsia" w:ascii="宋体" w:hAnsi="宋体" w:eastAsia="宋体" w:cs="宋体"/>
                <w:b/>
                <w:bCs/>
                <w:color w:val="auto"/>
                <w:kern w:val="0"/>
                <w:sz w:val="24"/>
                <w:szCs w:val="24"/>
                <w:highlight w:val="none"/>
                <w:lang w:val="en-US" w:eastAsia="zh-CN" w:bidi="ar"/>
              </w:rPr>
              <w:t>得6分</w:t>
            </w:r>
            <w:r>
              <w:rPr>
                <w:rFonts w:hint="eastAsia" w:ascii="宋体" w:hAnsi="宋体" w:eastAsia="宋体" w:cs="宋体"/>
                <w:color w:val="auto"/>
                <w:kern w:val="0"/>
                <w:sz w:val="24"/>
                <w:szCs w:val="24"/>
                <w:highlight w:val="none"/>
                <w:lang w:val="en-US" w:eastAsia="zh-CN" w:bidi="ar"/>
              </w:rPr>
              <w:t>；较合理且</w:t>
            </w:r>
            <w:r>
              <w:rPr>
                <w:rFonts w:hint="eastAsia" w:ascii="宋体" w:hAnsi="宋体" w:eastAsia="宋体" w:cs="宋体"/>
                <w:color w:val="auto"/>
                <w:kern w:val="0"/>
                <w:sz w:val="24"/>
                <w:szCs w:val="24"/>
                <w:highlight w:val="none"/>
                <w:lang w:bidi="ar"/>
              </w:rPr>
              <w:t>附有施工进度表</w:t>
            </w:r>
            <w:r>
              <w:rPr>
                <w:rFonts w:hint="eastAsia" w:ascii="宋体" w:hAnsi="宋体" w:eastAsia="宋体" w:cs="宋体"/>
                <w:color w:val="auto"/>
                <w:kern w:val="0"/>
                <w:sz w:val="24"/>
                <w:szCs w:val="24"/>
                <w:highlight w:val="none"/>
                <w:lang w:val="en-US" w:eastAsia="zh-CN" w:bidi="ar"/>
              </w:rPr>
              <w:t>得4分；基本合理，描述不太准确得2分；不合理或不提交不得分。</w:t>
            </w:r>
          </w:p>
          <w:p w14:paraId="29EC6FEC">
            <w:pPr>
              <w:spacing w:line="400" w:lineRule="exact"/>
              <w:rPr>
                <w:rFonts w:hint="default"/>
                <w:color w:val="auto"/>
                <w:highlight w:val="none"/>
                <w:lang w:val="en-US" w:eastAsia="zh-CN"/>
              </w:rPr>
            </w:pPr>
            <w:r>
              <w:rPr>
                <w:rFonts w:hint="eastAsia" w:ascii="宋体" w:hAnsi="宋体" w:eastAsia="宋体" w:cs="宋体"/>
                <w:color w:val="auto"/>
                <w:kern w:val="0"/>
                <w:sz w:val="24"/>
                <w:szCs w:val="24"/>
                <w:highlight w:val="none"/>
                <w:lang w:val="en-US" w:eastAsia="zh-CN" w:bidi="ar"/>
              </w:rPr>
              <w:t>2.施工工期保证措施可行，关键工期节点明确，满足采购文件要求</w:t>
            </w:r>
            <w:r>
              <w:rPr>
                <w:rFonts w:hint="eastAsia" w:ascii="宋体" w:hAnsi="宋体" w:eastAsia="宋体" w:cs="宋体"/>
                <w:b/>
                <w:bCs/>
                <w:color w:val="auto"/>
                <w:kern w:val="0"/>
                <w:sz w:val="24"/>
                <w:szCs w:val="24"/>
                <w:highlight w:val="none"/>
                <w:lang w:val="en-US" w:eastAsia="zh-CN" w:bidi="ar"/>
              </w:rPr>
              <w:t>得6分</w:t>
            </w:r>
            <w:r>
              <w:rPr>
                <w:rFonts w:hint="eastAsia" w:ascii="宋体" w:hAnsi="宋体" w:eastAsia="宋体" w:cs="宋体"/>
                <w:color w:val="auto"/>
                <w:kern w:val="0"/>
                <w:sz w:val="24"/>
                <w:szCs w:val="24"/>
                <w:highlight w:val="none"/>
                <w:lang w:val="en-US" w:eastAsia="zh-CN" w:bidi="ar"/>
              </w:rPr>
              <w:t>；较可行得4分；仅满足采购文件要求，节点不明确得2分；不可行或不提交不得分。</w:t>
            </w:r>
          </w:p>
        </w:tc>
        <w:tc>
          <w:tcPr>
            <w:tcW w:w="1186" w:type="dxa"/>
            <w:tcBorders>
              <w:top w:val="single" w:color="auto" w:sz="4" w:space="0"/>
              <w:left w:val="single" w:color="auto" w:sz="4" w:space="0"/>
              <w:bottom w:val="single" w:color="auto" w:sz="4" w:space="0"/>
              <w:right w:val="single" w:color="auto" w:sz="12" w:space="0"/>
            </w:tcBorders>
            <w:vAlign w:val="center"/>
          </w:tcPr>
          <w:p w14:paraId="55D44D86">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12</w:t>
            </w:r>
          </w:p>
        </w:tc>
      </w:tr>
      <w:tr w14:paraId="307125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4" w:type="dxa"/>
            <w:tcBorders>
              <w:top w:val="single" w:color="auto" w:sz="4" w:space="0"/>
              <w:left w:val="single" w:color="auto" w:sz="12" w:space="0"/>
              <w:bottom w:val="single" w:color="auto" w:sz="4" w:space="0"/>
              <w:right w:val="single" w:color="auto" w:sz="4" w:space="0"/>
            </w:tcBorders>
            <w:vAlign w:val="center"/>
          </w:tcPr>
          <w:p w14:paraId="1E4BF516">
            <w:pPr>
              <w:spacing w:line="400" w:lineRule="exact"/>
              <w:jc w:val="center"/>
              <w:rPr>
                <w:rFonts w:hint="default" w:ascii="等线" w:hAnsi="等线" w:eastAsia="宋体" w:cs="Times New Roman"/>
                <w:color w:val="auto"/>
                <w:kern w:val="0"/>
                <w:sz w:val="24"/>
                <w:szCs w:val="24"/>
                <w:highlight w:val="none"/>
                <w:lang w:val="en-US" w:eastAsia="zh-CN"/>
              </w:rPr>
            </w:pPr>
            <w:r>
              <w:rPr>
                <w:rFonts w:hint="eastAsia" w:ascii="等线" w:hAnsi="等线" w:eastAsia="宋体" w:cs="Times New Roman"/>
                <w:color w:val="auto"/>
                <w:kern w:val="0"/>
                <w:sz w:val="24"/>
                <w:szCs w:val="24"/>
                <w:highlight w:val="none"/>
                <w:lang w:val="en-US" w:eastAsia="zh-CN"/>
              </w:rPr>
              <w:t>6</w:t>
            </w:r>
          </w:p>
        </w:tc>
        <w:tc>
          <w:tcPr>
            <w:tcW w:w="1559" w:type="dxa"/>
            <w:tcBorders>
              <w:top w:val="single" w:color="auto" w:sz="4" w:space="0"/>
              <w:left w:val="single" w:color="auto" w:sz="4" w:space="0"/>
              <w:bottom w:val="single" w:color="auto" w:sz="4" w:space="0"/>
              <w:right w:val="single" w:color="auto" w:sz="4" w:space="0"/>
            </w:tcBorders>
            <w:vAlign w:val="center"/>
          </w:tcPr>
          <w:p w14:paraId="6FE5EF10">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安全及环保措施</w:t>
            </w:r>
          </w:p>
        </w:tc>
        <w:tc>
          <w:tcPr>
            <w:tcW w:w="6157" w:type="dxa"/>
            <w:tcBorders>
              <w:top w:val="single" w:color="auto" w:sz="4" w:space="0"/>
              <w:left w:val="single" w:color="auto" w:sz="4" w:space="0"/>
              <w:bottom w:val="single" w:color="auto" w:sz="4" w:space="0"/>
              <w:right w:val="single" w:color="auto" w:sz="4" w:space="0"/>
            </w:tcBorders>
            <w:vAlign w:val="center"/>
          </w:tcPr>
          <w:p w14:paraId="52D4975D">
            <w:pPr>
              <w:spacing w:line="400" w:lineRule="exact"/>
              <w:rPr>
                <w:rFonts w:hint="eastAsia" w:ascii="宋体" w:hAnsi="宋体" w:eastAsia="宋体" w:cs="宋体"/>
                <w:color w:val="auto"/>
                <w:kern w:val="0"/>
                <w:sz w:val="24"/>
                <w:szCs w:val="24"/>
                <w:highlight w:val="none"/>
                <w:lang w:eastAsia="zh-CN" w:bidi="ar"/>
              </w:rPr>
            </w:pPr>
            <w:r>
              <w:rPr>
                <w:rFonts w:hint="eastAsia" w:ascii="宋体" w:hAnsi="宋体" w:eastAsia="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bidi="ar"/>
              </w:rPr>
              <w:t>安全措施（安全防护）可行、可靠</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b/>
                <w:bCs/>
                <w:color w:val="auto"/>
                <w:kern w:val="0"/>
                <w:sz w:val="24"/>
                <w:szCs w:val="24"/>
                <w:highlight w:val="none"/>
                <w:lang w:val="en-US" w:eastAsia="zh-CN" w:bidi="ar"/>
              </w:rPr>
              <w:t>得4分</w:t>
            </w:r>
            <w:r>
              <w:rPr>
                <w:rFonts w:hint="eastAsia" w:ascii="宋体" w:hAnsi="宋体" w:eastAsia="宋体" w:cs="宋体"/>
                <w:b w:val="0"/>
                <w:bCs w:val="0"/>
                <w:color w:val="auto"/>
                <w:kern w:val="0"/>
                <w:sz w:val="24"/>
                <w:szCs w:val="24"/>
                <w:highlight w:val="none"/>
                <w:lang w:eastAsia="zh-CN" w:bidi="ar"/>
              </w:rPr>
              <w:t>，</w:t>
            </w:r>
            <w:r>
              <w:rPr>
                <w:rFonts w:hint="eastAsia" w:ascii="宋体" w:hAnsi="宋体" w:eastAsia="宋体" w:cs="宋体"/>
                <w:b w:val="0"/>
                <w:bCs w:val="0"/>
                <w:color w:val="auto"/>
                <w:kern w:val="0"/>
                <w:sz w:val="24"/>
                <w:szCs w:val="24"/>
                <w:highlight w:val="none"/>
                <w:lang w:val="en-US" w:eastAsia="zh-CN" w:bidi="ar"/>
              </w:rPr>
              <w:t>可行性较低、可靠性一般</w:t>
            </w:r>
            <w:r>
              <w:rPr>
                <w:rFonts w:hint="eastAsia" w:ascii="宋体" w:hAnsi="宋体" w:eastAsia="宋体" w:cs="宋体"/>
                <w:color w:val="auto"/>
                <w:kern w:val="0"/>
                <w:sz w:val="24"/>
                <w:szCs w:val="24"/>
                <w:highlight w:val="none"/>
                <w:lang w:bidi="ar"/>
              </w:rPr>
              <w:t>得2分</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bidi="ar"/>
              </w:rPr>
              <w:t>其他不得分</w:t>
            </w:r>
            <w:r>
              <w:rPr>
                <w:rFonts w:hint="eastAsia" w:ascii="宋体" w:hAnsi="宋体" w:eastAsia="宋体" w:cs="宋体"/>
                <w:color w:val="auto"/>
                <w:kern w:val="0"/>
                <w:sz w:val="24"/>
                <w:szCs w:val="24"/>
                <w:highlight w:val="none"/>
                <w:lang w:eastAsia="zh-CN" w:bidi="ar"/>
              </w:rPr>
              <w:t>；</w:t>
            </w:r>
          </w:p>
          <w:p w14:paraId="49DB7216">
            <w:pPr>
              <w:spacing w:line="400" w:lineRule="exact"/>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bidi="ar"/>
              </w:rPr>
              <w:t>环保措施可行、可靠</w:t>
            </w:r>
            <w:r>
              <w:rPr>
                <w:rFonts w:hint="eastAsia" w:ascii="宋体" w:hAnsi="宋体" w:eastAsia="宋体" w:cs="宋体"/>
                <w:b/>
                <w:bCs/>
                <w:color w:val="auto"/>
                <w:kern w:val="0"/>
                <w:sz w:val="24"/>
                <w:szCs w:val="24"/>
                <w:highlight w:val="none"/>
                <w:lang w:val="en-US" w:eastAsia="zh-CN" w:bidi="ar"/>
              </w:rPr>
              <w:t>得2分</w:t>
            </w:r>
            <w:r>
              <w:rPr>
                <w:rFonts w:hint="eastAsia" w:ascii="宋体" w:hAnsi="宋体" w:eastAsia="宋体" w:cs="宋体"/>
                <w:b w:val="0"/>
                <w:bCs w:val="0"/>
                <w:color w:val="auto"/>
                <w:kern w:val="0"/>
                <w:sz w:val="24"/>
                <w:szCs w:val="24"/>
                <w:highlight w:val="none"/>
                <w:lang w:eastAsia="zh-CN" w:bidi="ar"/>
              </w:rPr>
              <w:t>，</w:t>
            </w:r>
            <w:r>
              <w:rPr>
                <w:rFonts w:hint="eastAsia" w:ascii="宋体" w:hAnsi="宋体" w:eastAsia="宋体" w:cs="宋体"/>
                <w:color w:val="auto"/>
                <w:kern w:val="0"/>
                <w:sz w:val="24"/>
                <w:szCs w:val="24"/>
                <w:highlight w:val="none"/>
                <w:lang w:bidi="ar"/>
              </w:rPr>
              <w:t>可行性较低、可靠性一般得1分</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bidi="ar"/>
              </w:rPr>
              <w:t>其他不得分。</w:t>
            </w:r>
          </w:p>
        </w:tc>
        <w:tc>
          <w:tcPr>
            <w:tcW w:w="1186" w:type="dxa"/>
            <w:tcBorders>
              <w:top w:val="single" w:color="auto" w:sz="4" w:space="0"/>
              <w:left w:val="single" w:color="auto" w:sz="4" w:space="0"/>
              <w:bottom w:val="single" w:color="auto" w:sz="4" w:space="0"/>
              <w:right w:val="single" w:color="auto" w:sz="12" w:space="0"/>
            </w:tcBorders>
            <w:vAlign w:val="center"/>
          </w:tcPr>
          <w:p w14:paraId="5C20EB83">
            <w:pPr>
              <w:jc w:val="center"/>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6</w:t>
            </w:r>
          </w:p>
        </w:tc>
      </w:tr>
      <w:tr w14:paraId="5DBFD1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4" w:type="dxa"/>
            <w:tcBorders>
              <w:top w:val="single" w:color="auto" w:sz="4" w:space="0"/>
              <w:left w:val="single" w:color="auto" w:sz="12" w:space="0"/>
              <w:bottom w:val="single" w:color="auto" w:sz="4" w:space="0"/>
              <w:right w:val="single" w:color="auto" w:sz="4" w:space="0"/>
            </w:tcBorders>
            <w:vAlign w:val="center"/>
          </w:tcPr>
          <w:p w14:paraId="4F67B804">
            <w:pPr>
              <w:spacing w:line="400" w:lineRule="exact"/>
              <w:jc w:val="center"/>
              <w:rPr>
                <w:rFonts w:hint="default" w:ascii="等线" w:hAnsi="等线" w:eastAsia="宋体" w:cs="Times New Roman"/>
                <w:color w:val="auto"/>
                <w:kern w:val="0"/>
                <w:sz w:val="24"/>
                <w:szCs w:val="24"/>
                <w:highlight w:val="none"/>
                <w:lang w:val="en-US" w:eastAsia="zh-CN"/>
              </w:rPr>
            </w:pPr>
            <w:r>
              <w:rPr>
                <w:rFonts w:hint="eastAsia" w:ascii="等线" w:hAnsi="等线" w:eastAsia="宋体" w:cs="Times New Roman"/>
                <w:color w:val="auto"/>
                <w:kern w:val="0"/>
                <w:sz w:val="24"/>
                <w:szCs w:val="24"/>
                <w:highlight w:val="none"/>
                <w:lang w:val="en-US" w:eastAsia="zh-CN"/>
              </w:rPr>
              <w:t>7</w:t>
            </w:r>
          </w:p>
        </w:tc>
        <w:tc>
          <w:tcPr>
            <w:tcW w:w="1559" w:type="dxa"/>
            <w:tcBorders>
              <w:top w:val="single" w:color="auto" w:sz="4" w:space="0"/>
              <w:left w:val="single" w:color="auto" w:sz="4" w:space="0"/>
              <w:bottom w:val="single" w:color="auto" w:sz="4" w:space="0"/>
              <w:right w:val="single" w:color="auto" w:sz="4" w:space="0"/>
            </w:tcBorders>
            <w:vAlign w:val="center"/>
          </w:tcPr>
          <w:p w14:paraId="21785B7C">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质保措施</w:t>
            </w:r>
          </w:p>
        </w:tc>
        <w:tc>
          <w:tcPr>
            <w:tcW w:w="6157" w:type="dxa"/>
            <w:tcBorders>
              <w:top w:val="single" w:color="auto" w:sz="4" w:space="0"/>
              <w:left w:val="single" w:color="auto" w:sz="4" w:space="0"/>
              <w:bottom w:val="single" w:color="auto" w:sz="4" w:space="0"/>
              <w:right w:val="single" w:color="auto" w:sz="4" w:space="0"/>
            </w:tcBorders>
            <w:vAlign w:val="center"/>
          </w:tcPr>
          <w:p w14:paraId="695A111F">
            <w:pPr>
              <w:spacing w:line="400" w:lineRule="exact"/>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质保体系（含质检手段）健全，质保措施全面可行</w:t>
            </w:r>
            <w:r>
              <w:rPr>
                <w:rFonts w:hint="eastAsia" w:ascii="宋体" w:hAnsi="宋体" w:eastAsia="宋体" w:cs="宋体"/>
                <w:b/>
                <w:bCs/>
                <w:color w:val="auto"/>
                <w:kern w:val="0"/>
                <w:sz w:val="24"/>
                <w:szCs w:val="24"/>
                <w:highlight w:val="none"/>
                <w:lang w:val="en-US" w:eastAsia="zh-CN" w:bidi="ar"/>
              </w:rPr>
              <w:t>（6分）</w:t>
            </w:r>
            <w:r>
              <w:rPr>
                <w:rFonts w:hint="eastAsia" w:ascii="宋体" w:hAnsi="宋体" w:eastAsia="宋体" w:cs="宋体"/>
                <w:color w:val="auto"/>
                <w:kern w:val="0"/>
                <w:sz w:val="24"/>
                <w:szCs w:val="24"/>
                <w:highlight w:val="none"/>
                <w:lang w:bidi="ar"/>
              </w:rPr>
              <w:t>：其中：</w:t>
            </w:r>
          </w:p>
          <w:p w14:paraId="69516C63">
            <w:pPr>
              <w:spacing w:line="400" w:lineRule="exact"/>
              <w:rPr>
                <w:rFonts w:hint="eastAsia" w:ascii="宋体" w:hAnsi="宋体" w:eastAsia="宋体" w:cs="宋体"/>
                <w:color w:val="auto"/>
                <w:kern w:val="0"/>
                <w:sz w:val="24"/>
                <w:szCs w:val="24"/>
                <w:highlight w:val="none"/>
                <w:lang w:eastAsia="zh-CN" w:bidi="ar"/>
              </w:rPr>
            </w:pPr>
            <w:r>
              <w:rPr>
                <w:rFonts w:hint="eastAsia" w:ascii="宋体" w:hAnsi="宋体" w:eastAsia="宋体" w:cs="宋体"/>
                <w:color w:val="auto"/>
                <w:kern w:val="0"/>
                <w:sz w:val="24"/>
                <w:szCs w:val="24"/>
                <w:highlight w:val="none"/>
                <w:lang w:bidi="ar"/>
              </w:rPr>
              <w:t>质保措施全面可行</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val="en-US" w:eastAsia="zh-CN" w:bidi="ar"/>
              </w:rPr>
              <w:t>针对性强</w:t>
            </w:r>
            <w:r>
              <w:rPr>
                <w:rFonts w:hint="eastAsia" w:ascii="宋体" w:hAnsi="宋体" w:eastAsia="宋体" w:cs="宋体"/>
                <w:b/>
                <w:bCs/>
                <w:color w:val="auto"/>
                <w:kern w:val="0"/>
                <w:sz w:val="24"/>
                <w:szCs w:val="24"/>
                <w:highlight w:val="none"/>
                <w:lang w:val="en-US" w:eastAsia="zh-CN" w:bidi="ar"/>
              </w:rPr>
              <w:t>得4分</w:t>
            </w:r>
            <w:r>
              <w:rPr>
                <w:rFonts w:hint="eastAsia" w:ascii="宋体" w:hAnsi="宋体" w:eastAsia="宋体" w:cs="宋体"/>
                <w:b w:val="0"/>
                <w:bCs w:val="0"/>
                <w:color w:val="auto"/>
                <w:kern w:val="0"/>
                <w:sz w:val="24"/>
                <w:szCs w:val="24"/>
                <w:highlight w:val="none"/>
                <w:lang w:bidi="ar"/>
              </w:rPr>
              <w:t>，</w:t>
            </w:r>
            <w:r>
              <w:rPr>
                <w:rFonts w:hint="eastAsia" w:ascii="宋体" w:hAnsi="宋体" w:eastAsia="宋体" w:cs="宋体"/>
                <w:color w:val="auto"/>
                <w:kern w:val="0"/>
                <w:sz w:val="24"/>
                <w:szCs w:val="24"/>
                <w:highlight w:val="none"/>
                <w:lang w:bidi="ar"/>
              </w:rPr>
              <w:t>有缺陷得2分，其他不得分</w:t>
            </w:r>
            <w:r>
              <w:rPr>
                <w:rFonts w:hint="eastAsia" w:ascii="宋体" w:hAnsi="宋体" w:eastAsia="宋体" w:cs="宋体"/>
                <w:color w:val="auto"/>
                <w:kern w:val="0"/>
                <w:sz w:val="24"/>
                <w:szCs w:val="24"/>
                <w:highlight w:val="none"/>
                <w:lang w:eastAsia="zh-CN" w:bidi="ar"/>
              </w:rPr>
              <w:t>；</w:t>
            </w:r>
          </w:p>
          <w:p w14:paraId="2C067576">
            <w:pPr>
              <w:spacing w:line="400" w:lineRule="exact"/>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bidi="ar"/>
              </w:rPr>
              <w:t>质保机构健全</w:t>
            </w:r>
            <w:r>
              <w:rPr>
                <w:rFonts w:hint="eastAsia" w:ascii="宋体" w:hAnsi="宋体" w:eastAsia="宋体" w:cs="宋体"/>
                <w:b/>
                <w:bCs/>
                <w:color w:val="auto"/>
                <w:kern w:val="0"/>
                <w:sz w:val="24"/>
                <w:szCs w:val="24"/>
                <w:highlight w:val="none"/>
                <w:lang w:val="en-US" w:eastAsia="zh-CN" w:bidi="ar"/>
              </w:rPr>
              <w:t>得2分</w:t>
            </w:r>
            <w:r>
              <w:rPr>
                <w:rFonts w:hint="eastAsia" w:ascii="宋体" w:hAnsi="宋体" w:eastAsia="宋体" w:cs="宋体"/>
                <w:b/>
                <w:bCs/>
                <w:color w:val="auto"/>
                <w:kern w:val="0"/>
                <w:sz w:val="24"/>
                <w:szCs w:val="24"/>
                <w:highlight w:val="none"/>
                <w:lang w:bidi="ar"/>
              </w:rPr>
              <w:t>，</w:t>
            </w:r>
            <w:r>
              <w:rPr>
                <w:rFonts w:hint="eastAsia" w:ascii="宋体" w:hAnsi="宋体" w:eastAsia="宋体" w:cs="宋体"/>
                <w:color w:val="auto"/>
                <w:kern w:val="0"/>
                <w:sz w:val="24"/>
                <w:szCs w:val="24"/>
                <w:highlight w:val="none"/>
                <w:lang w:bidi="ar"/>
              </w:rPr>
              <w:t>有缺陷得1.5分，其他不得分</w:t>
            </w:r>
            <w:r>
              <w:rPr>
                <w:rFonts w:hint="eastAsia" w:ascii="宋体" w:hAnsi="宋体" w:eastAsia="宋体" w:cs="宋体"/>
                <w:color w:val="auto"/>
                <w:kern w:val="0"/>
                <w:sz w:val="24"/>
                <w:szCs w:val="24"/>
                <w:highlight w:val="none"/>
                <w:lang w:eastAsia="zh-CN" w:bidi="ar"/>
              </w:rPr>
              <w:t>。</w:t>
            </w:r>
          </w:p>
        </w:tc>
        <w:tc>
          <w:tcPr>
            <w:tcW w:w="1186" w:type="dxa"/>
            <w:tcBorders>
              <w:top w:val="single" w:color="auto" w:sz="4" w:space="0"/>
              <w:left w:val="single" w:color="auto" w:sz="4" w:space="0"/>
              <w:bottom w:val="single" w:color="auto" w:sz="4" w:space="0"/>
              <w:right w:val="single" w:color="auto" w:sz="12" w:space="0"/>
            </w:tcBorders>
            <w:vAlign w:val="center"/>
          </w:tcPr>
          <w:p w14:paraId="09EAE9E1">
            <w:pPr>
              <w:jc w:val="center"/>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6</w:t>
            </w:r>
          </w:p>
        </w:tc>
      </w:tr>
      <w:tr w14:paraId="15AD2D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4" w:type="dxa"/>
            <w:tcBorders>
              <w:top w:val="single" w:color="auto" w:sz="4" w:space="0"/>
              <w:left w:val="single" w:color="auto" w:sz="12" w:space="0"/>
              <w:bottom w:val="single" w:color="auto" w:sz="4" w:space="0"/>
              <w:right w:val="single" w:color="auto" w:sz="4" w:space="0"/>
            </w:tcBorders>
            <w:vAlign w:val="center"/>
          </w:tcPr>
          <w:p w14:paraId="19705CAE">
            <w:pPr>
              <w:spacing w:line="400" w:lineRule="exact"/>
              <w:jc w:val="center"/>
              <w:rPr>
                <w:rFonts w:hint="default" w:ascii="等线" w:hAnsi="等线" w:eastAsia="宋体" w:cs="Times New Roman"/>
                <w:color w:val="auto"/>
                <w:kern w:val="0"/>
                <w:sz w:val="24"/>
                <w:szCs w:val="24"/>
                <w:highlight w:val="none"/>
                <w:lang w:val="en-US" w:eastAsia="zh-CN"/>
              </w:rPr>
            </w:pPr>
            <w:r>
              <w:rPr>
                <w:rFonts w:hint="eastAsia" w:ascii="等线" w:hAnsi="等线" w:eastAsia="宋体" w:cs="Times New Roman"/>
                <w:color w:val="auto"/>
                <w:kern w:val="0"/>
                <w:sz w:val="24"/>
                <w:szCs w:val="24"/>
                <w:highlight w:val="none"/>
                <w:lang w:val="en-US" w:eastAsia="zh-CN"/>
              </w:rPr>
              <w:t>8</w:t>
            </w:r>
          </w:p>
        </w:tc>
        <w:tc>
          <w:tcPr>
            <w:tcW w:w="1559" w:type="dxa"/>
            <w:tcBorders>
              <w:top w:val="single" w:color="auto" w:sz="4" w:space="0"/>
              <w:left w:val="single" w:color="auto" w:sz="4" w:space="0"/>
              <w:bottom w:val="single" w:color="auto" w:sz="4" w:space="0"/>
              <w:right w:val="single" w:color="auto" w:sz="4" w:space="0"/>
            </w:tcBorders>
            <w:vAlign w:val="center"/>
          </w:tcPr>
          <w:p w14:paraId="62097490">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供应商业绩要求</w:t>
            </w:r>
          </w:p>
        </w:tc>
        <w:tc>
          <w:tcPr>
            <w:tcW w:w="6157" w:type="dxa"/>
            <w:tcBorders>
              <w:top w:val="single" w:color="auto" w:sz="4" w:space="0"/>
              <w:left w:val="single" w:color="auto" w:sz="4" w:space="0"/>
              <w:bottom w:val="single" w:color="auto" w:sz="4" w:space="0"/>
              <w:right w:val="single" w:color="auto" w:sz="4" w:space="0"/>
            </w:tcBorders>
            <w:vAlign w:val="center"/>
          </w:tcPr>
          <w:p w14:paraId="4B4798F2">
            <w:pPr>
              <w:spacing w:line="400" w:lineRule="exact"/>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2018年1月1日以来（合同签订时间为准）供应商完成过类似混凝土护坡业绩的，膜袋混凝土护坡业绩每个得2分，其他混凝土</w:t>
            </w:r>
            <w:bookmarkStart w:id="1777" w:name="_GoBack"/>
            <w:bookmarkEnd w:id="1777"/>
            <w:r>
              <w:rPr>
                <w:rFonts w:hint="eastAsia" w:ascii="宋体" w:hAnsi="宋体" w:eastAsia="宋体" w:cs="宋体"/>
                <w:color w:val="auto"/>
                <w:kern w:val="0"/>
                <w:sz w:val="24"/>
                <w:szCs w:val="24"/>
                <w:highlight w:val="none"/>
                <w:lang w:val="en-US" w:eastAsia="zh-CN" w:bidi="ar"/>
              </w:rPr>
              <w:t>护坡业绩每个得1分，最多</w:t>
            </w:r>
            <w:r>
              <w:rPr>
                <w:rFonts w:hint="eastAsia" w:ascii="宋体" w:hAnsi="宋体" w:eastAsia="宋体" w:cs="宋体"/>
                <w:b/>
                <w:bCs/>
                <w:color w:val="auto"/>
                <w:kern w:val="0"/>
                <w:sz w:val="24"/>
                <w:szCs w:val="24"/>
                <w:highlight w:val="none"/>
                <w:lang w:val="en-US" w:eastAsia="zh-CN" w:bidi="ar"/>
              </w:rPr>
              <w:t>得6分。</w:t>
            </w:r>
          </w:p>
          <w:p w14:paraId="376566A8">
            <w:pPr>
              <w:spacing w:line="400" w:lineRule="exact"/>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注：提供施工合同、完工证明或竣工验收鉴定书</w:t>
            </w:r>
          </w:p>
        </w:tc>
        <w:tc>
          <w:tcPr>
            <w:tcW w:w="1186" w:type="dxa"/>
            <w:tcBorders>
              <w:top w:val="single" w:color="auto" w:sz="4" w:space="0"/>
              <w:left w:val="single" w:color="auto" w:sz="4" w:space="0"/>
              <w:bottom w:val="single" w:color="auto" w:sz="4" w:space="0"/>
              <w:right w:val="single" w:color="auto" w:sz="12" w:space="0"/>
            </w:tcBorders>
            <w:vAlign w:val="center"/>
          </w:tcPr>
          <w:p w14:paraId="701400E9">
            <w:pPr>
              <w:jc w:val="center"/>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6</w:t>
            </w:r>
          </w:p>
        </w:tc>
      </w:tr>
      <w:tr w14:paraId="264E4C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4" w:type="dxa"/>
            <w:tcBorders>
              <w:top w:val="single" w:color="auto" w:sz="4" w:space="0"/>
              <w:left w:val="single" w:color="auto" w:sz="12" w:space="0"/>
              <w:bottom w:val="single" w:color="auto" w:sz="4" w:space="0"/>
              <w:right w:val="single" w:color="auto" w:sz="4" w:space="0"/>
            </w:tcBorders>
            <w:vAlign w:val="center"/>
          </w:tcPr>
          <w:p w14:paraId="670C1E7A">
            <w:pPr>
              <w:spacing w:line="400" w:lineRule="exact"/>
              <w:jc w:val="center"/>
              <w:rPr>
                <w:rFonts w:hint="default" w:ascii="等线" w:hAnsi="等线" w:eastAsia="宋体" w:cs="Times New Roman"/>
                <w:color w:val="auto"/>
                <w:kern w:val="0"/>
                <w:sz w:val="24"/>
                <w:szCs w:val="24"/>
                <w:highlight w:val="none"/>
                <w:lang w:val="en-US" w:eastAsia="zh-CN"/>
              </w:rPr>
            </w:pPr>
            <w:r>
              <w:rPr>
                <w:rFonts w:hint="eastAsia" w:ascii="等线" w:hAnsi="等线" w:eastAsia="宋体" w:cs="Times New Roman"/>
                <w:color w:val="auto"/>
                <w:kern w:val="0"/>
                <w:sz w:val="24"/>
                <w:szCs w:val="24"/>
                <w:highlight w:val="none"/>
                <w:lang w:val="en-US" w:eastAsia="zh-CN"/>
              </w:rPr>
              <w:t>9</w:t>
            </w:r>
          </w:p>
        </w:tc>
        <w:tc>
          <w:tcPr>
            <w:tcW w:w="1559" w:type="dxa"/>
            <w:tcBorders>
              <w:top w:val="single" w:color="auto" w:sz="4" w:space="0"/>
              <w:left w:val="single" w:color="auto" w:sz="4" w:space="0"/>
              <w:bottom w:val="single" w:color="auto" w:sz="4" w:space="0"/>
              <w:right w:val="single" w:color="auto" w:sz="4" w:space="0"/>
            </w:tcBorders>
            <w:vAlign w:val="center"/>
          </w:tcPr>
          <w:p w14:paraId="46DCADC3">
            <w:pPr>
              <w:jc w:val="center"/>
              <w:rPr>
                <w:rFonts w:hint="eastAsia" w:ascii="宋体" w:hAnsi="宋体" w:eastAsia="宋体" w:cs="宋体"/>
                <w:color w:val="auto"/>
                <w:sz w:val="24"/>
                <w:highlight w:val="none"/>
              </w:rPr>
            </w:pPr>
            <w:r>
              <w:rPr>
                <w:rFonts w:ascii="Times New Roman" w:hAnsi="Times New Roman" w:eastAsia="宋体" w:cs="Times New Roman"/>
                <w:color w:val="auto"/>
                <w:sz w:val="24"/>
                <w:szCs w:val="24"/>
                <w:highlight w:val="none"/>
              </w:rPr>
              <w:t>项目经理资历</w:t>
            </w:r>
          </w:p>
        </w:tc>
        <w:tc>
          <w:tcPr>
            <w:tcW w:w="6157" w:type="dxa"/>
            <w:tcBorders>
              <w:top w:val="single" w:color="auto" w:sz="4" w:space="0"/>
              <w:left w:val="single" w:color="auto" w:sz="4" w:space="0"/>
              <w:bottom w:val="single" w:color="auto" w:sz="4" w:space="0"/>
              <w:right w:val="single" w:color="auto" w:sz="4" w:space="0"/>
            </w:tcBorders>
            <w:vAlign w:val="center"/>
          </w:tcPr>
          <w:p w14:paraId="1ADB955F">
            <w:pPr>
              <w:spacing w:line="312" w:lineRule="auto"/>
              <w:jc w:val="left"/>
              <w:rPr>
                <w:rFonts w:hint="eastAsia"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rPr>
              <w:t>拟任项目经理具有</w:t>
            </w:r>
            <w:r>
              <w:rPr>
                <w:rFonts w:hint="eastAsia" w:ascii="Times New Roman" w:hAnsi="Times New Roman" w:eastAsia="宋体" w:cs="Times New Roman"/>
                <w:color w:val="auto"/>
                <w:sz w:val="24"/>
                <w:szCs w:val="24"/>
                <w:highlight w:val="none"/>
                <w:lang w:val="en-US" w:eastAsia="zh-CN"/>
              </w:rPr>
              <w:t>水利相关专业高</w:t>
            </w:r>
            <w:r>
              <w:rPr>
                <w:rFonts w:ascii="Times New Roman" w:hAnsi="Times New Roman" w:eastAsia="宋体" w:cs="Times New Roman"/>
                <w:color w:val="auto"/>
                <w:sz w:val="24"/>
                <w:szCs w:val="24"/>
                <w:highlight w:val="none"/>
              </w:rPr>
              <w:t>级及以上职称</w:t>
            </w:r>
            <w:r>
              <w:rPr>
                <w:rFonts w:hint="eastAsia" w:ascii="Times New Roman" w:hAnsi="Times New Roman" w:eastAsia="宋体" w:cs="Times New Roman"/>
                <w:color w:val="auto"/>
                <w:sz w:val="24"/>
                <w:szCs w:val="24"/>
                <w:highlight w:val="none"/>
                <w:lang w:eastAsia="zh-CN"/>
              </w:rPr>
              <w:t>的</w:t>
            </w:r>
            <w:r>
              <w:rPr>
                <w:rFonts w:ascii="Times New Roman" w:hAnsi="Times New Roman" w:eastAsia="宋体" w:cs="Times New Roman"/>
                <w:b/>
                <w:bCs/>
                <w:color w:val="auto"/>
                <w:sz w:val="24"/>
                <w:szCs w:val="24"/>
                <w:highlight w:val="none"/>
              </w:rPr>
              <w:t>得2分</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水利相关专业中级</w:t>
            </w:r>
            <w:r>
              <w:rPr>
                <w:rFonts w:ascii="Times New Roman" w:hAnsi="Times New Roman" w:eastAsia="宋体" w:cs="Times New Roman"/>
                <w:color w:val="auto"/>
                <w:sz w:val="24"/>
                <w:szCs w:val="24"/>
                <w:highlight w:val="none"/>
              </w:rPr>
              <w:t>职称</w:t>
            </w:r>
            <w:r>
              <w:rPr>
                <w:rFonts w:hint="eastAsia" w:ascii="Times New Roman" w:hAnsi="Times New Roman" w:eastAsia="宋体" w:cs="Times New Roman"/>
                <w:color w:val="auto"/>
                <w:sz w:val="24"/>
                <w:szCs w:val="24"/>
                <w:highlight w:val="none"/>
                <w:lang w:eastAsia="zh-CN"/>
              </w:rPr>
              <w:t>的</w:t>
            </w:r>
            <w:r>
              <w:rPr>
                <w:rFonts w:ascii="Times New Roman" w:hAnsi="Times New Roman" w:eastAsia="宋体" w:cs="Times New Roman"/>
                <w:b/>
                <w:bCs/>
                <w:color w:val="auto"/>
                <w:sz w:val="24"/>
                <w:szCs w:val="24"/>
                <w:highlight w:val="none"/>
              </w:rPr>
              <w:t>得</w:t>
            </w:r>
            <w:r>
              <w:rPr>
                <w:rFonts w:hint="eastAsia" w:ascii="Times New Roman" w:hAnsi="Times New Roman" w:eastAsia="宋体" w:cs="Times New Roman"/>
                <w:b/>
                <w:bCs/>
                <w:color w:val="auto"/>
                <w:sz w:val="24"/>
                <w:szCs w:val="24"/>
                <w:highlight w:val="none"/>
                <w:lang w:val="en-US" w:eastAsia="zh-CN"/>
              </w:rPr>
              <w:t>1</w:t>
            </w:r>
            <w:r>
              <w:rPr>
                <w:rFonts w:ascii="Times New Roman" w:hAnsi="Times New Roman" w:eastAsia="宋体" w:cs="Times New Roman"/>
                <w:b/>
                <w:bCs/>
                <w:color w:val="auto"/>
                <w:sz w:val="24"/>
                <w:szCs w:val="24"/>
                <w:highlight w:val="none"/>
              </w:rPr>
              <w:t>分</w:t>
            </w:r>
            <w:r>
              <w:rPr>
                <w:rFonts w:hint="eastAsia" w:ascii="Times New Roman" w:hAnsi="Times New Roman" w:eastAsia="宋体" w:cs="Times New Roman"/>
                <w:b/>
                <w:bCs/>
                <w:color w:val="auto"/>
                <w:sz w:val="24"/>
                <w:szCs w:val="24"/>
                <w:highlight w:val="none"/>
                <w:lang w:val="en-US" w:eastAsia="zh-CN"/>
              </w:rPr>
              <w:t>；</w:t>
            </w:r>
            <w:r>
              <w:rPr>
                <w:rFonts w:ascii="Times New Roman" w:hAnsi="Times New Roman" w:eastAsia="宋体" w:cs="Times New Roman"/>
                <w:color w:val="auto"/>
                <w:sz w:val="24"/>
                <w:szCs w:val="24"/>
                <w:highlight w:val="none"/>
              </w:rPr>
              <w:t>其余不得分</w:t>
            </w:r>
            <w:r>
              <w:rPr>
                <w:rFonts w:hint="eastAsia" w:ascii="Times New Roman" w:hAnsi="Times New Roman" w:eastAsia="宋体" w:cs="Times New Roman"/>
                <w:color w:val="auto"/>
                <w:sz w:val="24"/>
                <w:szCs w:val="24"/>
                <w:highlight w:val="none"/>
                <w:lang w:eastAsia="zh-CN"/>
              </w:rPr>
              <w:t>。</w:t>
            </w:r>
          </w:p>
          <w:p w14:paraId="564A817C">
            <w:pPr>
              <w:spacing w:line="400" w:lineRule="exact"/>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注：提供相应职称证明材料及</w:t>
            </w:r>
            <w:r>
              <w:rPr>
                <w:rFonts w:hint="eastAsia" w:ascii="Times New Roman" w:hAnsi="Times New Roman" w:eastAsia="宋体" w:cs="Times New Roman"/>
                <w:b/>
                <w:bCs/>
                <w:color w:val="auto"/>
                <w:sz w:val="24"/>
                <w:szCs w:val="24"/>
                <w:highlight w:val="none"/>
              </w:rPr>
              <w:t>社保机构出具的近半年内至少一个月供应商为其缴纳的社会保险缴费证明材料。</w:t>
            </w:r>
          </w:p>
        </w:tc>
        <w:tc>
          <w:tcPr>
            <w:tcW w:w="1186" w:type="dxa"/>
            <w:tcBorders>
              <w:top w:val="single" w:color="auto" w:sz="4" w:space="0"/>
              <w:left w:val="single" w:color="auto" w:sz="4" w:space="0"/>
              <w:bottom w:val="single" w:color="auto" w:sz="4" w:space="0"/>
              <w:right w:val="single" w:color="auto" w:sz="12" w:space="0"/>
            </w:tcBorders>
            <w:vAlign w:val="center"/>
          </w:tcPr>
          <w:p w14:paraId="1279C6A5">
            <w:pPr>
              <w:jc w:val="center"/>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2</w:t>
            </w:r>
          </w:p>
        </w:tc>
      </w:tr>
    </w:tbl>
    <w:p w14:paraId="4ABB8071">
      <w:pPr>
        <w:autoSpaceDE w:val="0"/>
        <w:autoSpaceDN w:val="0"/>
        <w:adjustRightInd w:val="0"/>
        <w:spacing w:line="450" w:lineRule="exact"/>
        <w:ind w:firstLine="241" w:firstLineChars="100"/>
        <w:rPr>
          <w:rFonts w:eastAsia="宋体"/>
          <w:color w:val="auto"/>
          <w:kern w:val="0"/>
          <w:sz w:val="24"/>
          <w:szCs w:val="24"/>
          <w:highlight w:val="none"/>
        </w:rPr>
      </w:pPr>
      <w:r>
        <w:rPr>
          <w:rFonts w:hint="eastAsia" w:eastAsia="宋体"/>
          <w:b/>
          <w:bCs/>
          <w:color w:val="auto"/>
          <w:kern w:val="0"/>
          <w:sz w:val="24"/>
          <w:szCs w:val="24"/>
          <w:highlight w:val="none"/>
        </w:rPr>
        <w:t>*</w:t>
      </w:r>
      <w:r>
        <w:rPr>
          <w:rFonts w:hint="eastAsia" w:eastAsia="宋体"/>
          <w:b/>
          <w:bCs/>
          <w:color w:val="auto"/>
          <w:kern w:val="0"/>
          <w:sz w:val="24"/>
          <w:szCs w:val="24"/>
          <w:highlight w:val="none"/>
          <w:lang w:val="en-US" w:eastAsia="zh-CN"/>
        </w:rPr>
        <w:t>供应商</w:t>
      </w:r>
      <w:r>
        <w:rPr>
          <w:rFonts w:hint="eastAsia" w:eastAsia="宋体"/>
          <w:b/>
          <w:bCs/>
          <w:color w:val="auto"/>
          <w:kern w:val="0"/>
          <w:sz w:val="24"/>
          <w:szCs w:val="24"/>
          <w:highlight w:val="none"/>
        </w:rPr>
        <w:t>必须保证全部投标资料的真实性，如有虚假或对招标文件所要求说明的情况故意隐瞒或虚报，视为不实质性响应</w:t>
      </w:r>
      <w:r>
        <w:rPr>
          <w:rFonts w:hint="eastAsia" w:eastAsia="宋体"/>
          <w:b/>
          <w:bCs/>
          <w:color w:val="auto"/>
          <w:kern w:val="0"/>
          <w:sz w:val="24"/>
          <w:szCs w:val="24"/>
          <w:highlight w:val="none"/>
          <w:lang w:val="en-US" w:eastAsia="zh-CN"/>
        </w:rPr>
        <w:t>采购</w:t>
      </w:r>
      <w:r>
        <w:rPr>
          <w:rFonts w:hint="eastAsia" w:eastAsia="宋体"/>
          <w:b/>
          <w:bCs/>
          <w:color w:val="auto"/>
          <w:kern w:val="0"/>
          <w:sz w:val="24"/>
          <w:szCs w:val="24"/>
          <w:highlight w:val="none"/>
        </w:rPr>
        <w:t>文件，为无效投标。已中标的将取消中标资格，并按《中华人民共和国政府采购法》等法律法规处理。</w:t>
      </w:r>
    </w:p>
    <w:p w14:paraId="4CD7ECBC">
      <w:pPr>
        <w:autoSpaceDE w:val="0"/>
        <w:autoSpaceDN w:val="0"/>
        <w:adjustRightInd w:val="0"/>
        <w:spacing w:line="450" w:lineRule="exact"/>
        <w:ind w:firstLine="240" w:firstLineChars="100"/>
        <w:rPr>
          <w:rFonts w:eastAsia="宋体"/>
          <w:color w:val="auto"/>
          <w:kern w:val="0"/>
          <w:sz w:val="24"/>
          <w:szCs w:val="24"/>
          <w:highlight w:val="none"/>
        </w:rPr>
      </w:pPr>
      <w:r>
        <w:rPr>
          <w:rFonts w:eastAsia="宋体"/>
          <w:color w:val="auto"/>
          <w:kern w:val="0"/>
          <w:sz w:val="24"/>
          <w:szCs w:val="24"/>
          <w:highlight w:val="none"/>
        </w:rPr>
        <w:t>注： 1</w:t>
      </w:r>
      <w:r>
        <w:rPr>
          <w:rFonts w:hint="eastAsia" w:eastAsia="宋体"/>
          <w:color w:val="auto"/>
          <w:kern w:val="0"/>
          <w:sz w:val="24"/>
          <w:szCs w:val="24"/>
          <w:highlight w:val="none"/>
        </w:rPr>
        <w:t>.</w:t>
      </w:r>
      <w:r>
        <w:rPr>
          <w:rFonts w:eastAsia="宋体"/>
          <w:color w:val="auto"/>
          <w:kern w:val="0"/>
          <w:sz w:val="24"/>
          <w:szCs w:val="24"/>
          <w:highlight w:val="none"/>
        </w:rPr>
        <w:t>以上评分标准中的各评分要点，各响应供应商均应提供相关的证明材料并做出相应的对比（列表）供评委评判。（提供得分索引表）</w:t>
      </w:r>
    </w:p>
    <w:p w14:paraId="7D4B081A">
      <w:pPr>
        <w:autoSpaceDE w:val="0"/>
        <w:autoSpaceDN w:val="0"/>
        <w:adjustRightInd w:val="0"/>
        <w:spacing w:line="450" w:lineRule="exact"/>
        <w:ind w:firstLine="720" w:firstLineChars="300"/>
        <w:rPr>
          <w:rFonts w:eastAsia="宋体"/>
          <w:color w:val="auto"/>
          <w:kern w:val="0"/>
          <w:sz w:val="24"/>
          <w:szCs w:val="24"/>
          <w:highlight w:val="none"/>
        </w:rPr>
      </w:pPr>
      <w:r>
        <w:rPr>
          <w:rFonts w:hint="eastAsia" w:eastAsia="宋体"/>
          <w:color w:val="auto"/>
          <w:kern w:val="0"/>
          <w:sz w:val="24"/>
          <w:szCs w:val="24"/>
          <w:highlight w:val="none"/>
        </w:rPr>
        <w:t>2</w:t>
      </w:r>
      <w:r>
        <w:rPr>
          <w:rFonts w:eastAsia="宋体"/>
          <w:color w:val="auto"/>
          <w:kern w:val="0"/>
          <w:sz w:val="24"/>
          <w:szCs w:val="24"/>
          <w:highlight w:val="none"/>
        </w:rPr>
        <w:t>.所需所有证明材料、资质材料等只需复印件加盖公章即可。</w:t>
      </w:r>
    </w:p>
    <w:p w14:paraId="6984431D">
      <w:pPr>
        <w:autoSpaceDE w:val="0"/>
        <w:autoSpaceDN w:val="0"/>
        <w:adjustRightInd w:val="0"/>
        <w:spacing w:line="450" w:lineRule="exact"/>
        <w:ind w:firstLine="720" w:firstLineChars="300"/>
        <w:rPr>
          <w:color w:val="auto"/>
          <w:highlight w:val="none"/>
        </w:rPr>
      </w:pPr>
      <w:r>
        <w:rPr>
          <w:rFonts w:eastAsia="宋体"/>
          <w:color w:val="auto"/>
          <w:kern w:val="0"/>
          <w:sz w:val="24"/>
          <w:szCs w:val="24"/>
          <w:highlight w:val="none"/>
        </w:rPr>
        <w:t>3.按中小企业划分标准本项目采购标的物属于</w:t>
      </w:r>
      <w:bookmarkEnd w:id="0"/>
      <w:bookmarkEnd w:id="1774"/>
      <w:r>
        <w:rPr>
          <w:rFonts w:hint="eastAsia" w:eastAsia="宋体"/>
          <w:b/>
          <w:bCs/>
          <w:color w:val="auto"/>
          <w:kern w:val="0"/>
          <w:sz w:val="24"/>
          <w:szCs w:val="24"/>
          <w:highlight w:val="none"/>
          <w:u w:val="single"/>
        </w:rPr>
        <w:t>建筑业。</w:t>
      </w:r>
    </w:p>
    <w:sectPr>
      <w:headerReference r:id="rId9" w:type="default"/>
      <w:footerReference r:id="rId10" w:type="default"/>
      <w:pgSz w:w="11906" w:h="16838"/>
      <w:pgMar w:top="1134" w:right="1134" w:bottom="1077" w:left="1134" w:header="851" w:footer="992" w:gutter="0"/>
      <w:pgNumType w:fmt="decimal" w:start="1"/>
      <w:cols w:space="720" w:num="1"/>
      <w:docGrid w:linePitch="358" w:charSpace="148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华文中宋">
    <w:panose1 w:val="02010600040101010101"/>
    <w:charset w:val="86"/>
    <w:family w:val="auto"/>
    <w:pitch w:val="default"/>
    <w:sig w:usb0="00000287" w:usb1="080F0000" w:usb2="00000000" w:usb3="00000000" w:csb0="0004009F" w:csb1="DFD70000"/>
  </w:font>
  <w:font w:name="MingLiU_HKSCS">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Segoe UI Symbol">
    <w:panose1 w:val="020B0502040204020203"/>
    <w:charset w:val="00"/>
    <w:family w:val="swiss"/>
    <w:pitch w:val="default"/>
    <w:sig w:usb0="800001E3" w:usb1="1200FFEF" w:usb2="00040000" w:usb3="04000000" w:csb0="00000001" w:csb1="4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EE178">
    <w:pPr>
      <w:pStyle w:val="20"/>
      <w:tabs>
        <w:tab w:val="center" w:pos="4410"/>
        <w:tab w:val="clear" w:pos="4153"/>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15875">
                        <a:noFill/>
                      </a:ln>
                    </wps:spPr>
                    <wps:txbx>
                      <w:txbxContent>
                        <w:p w14:paraId="25F9DFE9">
                          <w:pPr>
                            <w:pStyle w:val="20"/>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QAzHgNQAAAADAQAADwAAAAAAAAABACAAAAAiAAAAZHJz&#10;L2Rvd25yZXYueG1sUEsBAhQAFAAAAAgAh07iQHtJpsbPAQAAlQMAAA4AAAAAAAAAAQAgAAAAIwEA&#10;AGRycy9lMm9Eb2MueG1sUEsFBgAAAAAGAAYAWQEAAGQFAAAAAA==&#10;">
              <v:fill on="f" focussize="0,0"/>
              <v:stroke on="f" weight="1.25pt"/>
              <v:imagedata o:title=""/>
              <o:lock v:ext="edit" aspectratio="f"/>
              <v:textbox inset="0mm,0mm,0mm,0mm" style="mso-fit-shape-to-text:t;">
                <w:txbxContent>
                  <w:p w14:paraId="25F9DFE9">
                    <w:pPr>
                      <w:pStyle w:val="20"/>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v:textbox>
            </v:shape>
          </w:pict>
        </mc:Fallback>
      </mc:AlternateContent>
    </w: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6C7318">
    <w:pPr>
      <w:pStyle w:val="2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2"/>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15875">
                        <a:noFill/>
                      </a:ln>
                    </wps:spPr>
                    <wps:txbx>
                      <w:txbxContent>
                        <w:p w14:paraId="52B90B02">
                          <w:pPr>
                            <w:pStyle w:val="20"/>
                          </w:pPr>
                          <w:r>
                            <w:rPr>
                              <w:rFonts w:hint="eastAsia"/>
                            </w:rPr>
                            <w:fldChar w:fldCharType="begin"/>
                          </w:r>
                          <w:r>
                            <w:rPr>
                              <w:rFonts w:hint="eastAsia"/>
                            </w:rPr>
                            <w:instrText xml:space="preserve"> PAGE  \* MERGEFORMAT </w:instrText>
                          </w:r>
                          <w:r>
                            <w:rPr>
                              <w:rFonts w:hint="eastAsia"/>
                            </w:rPr>
                            <w:fldChar w:fldCharType="separate"/>
                          </w:r>
                          <w:r>
                            <w:t>18</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EAMx4DUAAAAAwEAAA8AAAAAAAAAAQAgAAAAIgAAAGRy&#10;cy9kb3ducmV2LnhtbFBLAQIUABQAAAAIAIdO4kAhYgOT0AEAAJUDAAAOAAAAAAAAAAEAIAAAACMB&#10;AABkcnMvZTJvRG9jLnhtbFBLBQYAAAAABgAGAFkBAABlBQAAAAA=&#10;">
              <v:fill on="f" focussize="0,0"/>
              <v:stroke on="f" weight="1.25pt"/>
              <v:imagedata o:title=""/>
              <o:lock v:ext="edit" aspectratio="f"/>
              <v:textbox inset="0mm,0mm,0mm,0mm" style="mso-fit-shape-to-text:t;">
                <w:txbxContent>
                  <w:p w14:paraId="52B90B02">
                    <w:pPr>
                      <w:pStyle w:val="20"/>
                    </w:pPr>
                    <w:r>
                      <w:rPr>
                        <w:rFonts w:hint="eastAsia"/>
                      </w:rPr>
                      <w:fldChar w:fldCharType="begin"/>
                    </w:r>
                    <w:r>
                      <w:rPr>
                        <w:rFonts w:hint="eastAsia"/>
                      </w:rPr>
                      <w:instrText xml:space="preserve"> PAGE  \* MERGEFORMAT </w:instrText>
                    </w:r>
                    <w:r>
                      <w:rPr>
                        <w:rFonts w:hint="eastAsia"/>
                      </w:rPr>
                      <w:fldChar w:fldCharType="separate"/>
                    </w:r>
                    <w:r>
                      <w:t>18</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AF2793">
    <w:pPr>
      <w:pStyle w:val="20"/>
      <w:ind w:firstLine="400"/>
      <w:jc w:val="center"/>
      <w:rPr>
        <w:rStyle w:val="30"/>
        <w:rFonts w:hint="eastAsia"/>
        <w:sz w:val="20"/>
        <w:szCs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9A1572">
                          <w:pPr>
                            <w:pStyle w:val="20"/>
                            <w:ind w:firstLine="400"/>
                            <w:jc w:val="center"/>
                          </w:pPr>
                          <w:r>
                            <w:rPr>
                              <w:rStyle w:val="30"/>
                              <w:sz w:val="20"/>
                              <w:szCs w:val="20"/>
                            </w:rPr>
                            <w:fldChar w:fldCharType="begin"/>
                          </w:r>
                          <w:r>
                            <w:rPr>
                              <w:rStyle w:val="30"/>
                              <w:sz w:val="20"/>
                              <w:szCs w:val="20"/>
                            </w:rPr>
                            <w:instrText xml:space="preserve"> PAGE </w:instrText>
                          </w:r>
                          <w:r>
                            <w:rPr>
                              <w:rStyle w:val="30"/>
                              <w:sz w:val="20"/>
                              <w:szCs w:val="20"/>
                            </w:rPr>
                            <w:fldChar w:fldCharType="separate"/>
                          </w:r>
                          <w:r>
                            <w:rPr>
                              <w:rStyle w:val="30"/>
                              <w:sz w:val="20"/>
                              <w:szCs w:val="20"/>
                            </w:rPr>
                            <w:t>19</w:t>
                          </w:r>
                          <w:r>
                            <w:rPr>
                              <w:rStyle w:val="30"/>
                              <w:sz w:val="20"/>
                              <w:szCs w:val="20"/>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jHpww4AgAAb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mMenDDgCAABvBAAADgAAAAAAAAABACAAAAAfAQAAZHJzL2Uyb0RvYy54&#10;bWxQSwUGAAAAAAYABgBZAQAAyQUAAAAA&#10;">
              <v:fill on="f" focussize="0,0"/>
              <v:stroke on="f" weight="0.5pt"/>
              <v:imagedata o:title=""/>
              <o:lock v:ext="edit" aspectratio="f"/>
              <v:textbox inset="0mm,0mm,0mm,0mm" style="mso-fit-shape-to-text:t;">
                <w:txbxContent>
                  <w:p w14:paraId="339A1572">
                    <w:pPr>
                      <w:pStyle w:val="20"/>
                      <w:ind w:firstLine="400"/>
                      <w:jc w:val="center"/>
                    </w:pPr>
                    <w:r>
                      <w:rPr>
                        <w:rStyle w:val="30"/>
                        <w:sz w:val="20"/>
                        <w:szCs w:val="20"/>
                      </w:rPr>
                      <w:fldChar w:fldCharType="begin"/>
                    </w:r>
                    <w:r>
                      <w:rPr>
                        <w:rStyle w:val="30"/>
                        <w:sz w:val="20"/>
                        <w:szCs w:val="20"/>
                      </w:rPr>
                      <w:instrText xml:space="preserve"> PAGE </w:instrText>
                    </w:r>
                    <w:r>
                      <w:rPr>
                        <w:rStyle w:val="30"/>
                        <w:sz w:val="20"/>
                        <w:szCs w:val="20"/>
                      </w:rPr>
                      <w:fldChar w:fldCharType="separate"/>
                    </w:r>
                    <w:r>
                      <w:rPr>
                        <w:rStyle w:val="30"/>
                        <w:sz w:val="20"/>
                        <w:szCs w:val="20"/>
                      </w:rPr>
                      <w:t>19</w:t>
                    </w:r>
                    <w:r>
                      <w:rPr>
                        <w:rStyle w:val="30"/>
                        <w:sz w:val="20"/>
                        <w:szCs w:val="20"/>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279F2">
    <w:pPr>
      <w:pStyle w:val="20"/>
      <w:rPr>
        <w:rFonts w:hint="eastAsia" w:hAnsi="宋体" w:eastAsia="宋体"/>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15875">
                        <a:noFill/>
                      </a:ln>
                    </wps:spPr>
                    <wps:txbx>
                      <w:txbxContent>
                        <w:p w14:paraId="675AA2AF">
                          <w:pPr>
                            <w:pStyle w:val="20"/>
                            <w:rPr>
                              <w:sz w:val="24"/>
                            </w:rPr>
                          </w:pPr>
                          <w:r>
                            <w:rPr>
                              <w:rFonts w:hint="eastAsia"/>
                              <w:sz w:val="24"/>
                            </w:rPr>
                            <w:fldChar w:fldCharType="begin"/>
                          </w:r>
                          <w:r>
                            <w:rPr>
                              <w:rFonts w:hint="eastAsia"/>
                              <w:sz w:val="24"/>
                            </w:rPr>
                            <w:instrText xml:space="preserve"> PAGE  \* MERGEFORMAT </w:instrText>
                          </w:r>
                          <w:r>
                            <w:rPr>
                              <w:rFonts w:hint="eastAsia"/>
                              <w:sz w:val="24"/>
                            </w:rPr>
                            <w:fldChar w:fldCharType="separate"/>
                          </w:r>
                          <w:r>
                            <w:rPr>
                              <w:sz w:val="24"/>
                            </w:rPr>
                            <w:t>18</w:t>
                          </w:r>
                          <w:r>
                            <w:rPr>
                              <w:rFonts w:hint="eastAsia"/>
                              <w:sz w:val="24"/>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1312;mso-width-relative:page;mso-height-relative:page;" filled="f" stroked="f" coordsize="21600,21600" o:gfxdata="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EAMx4DUAAAAAwEAAA8AAAAAAAAAAQAgAAAAIgAAAGRy&#10;cy9kb3ducmV2LnhtbFBLAQIUABQAAAAIAIdO4kAXe2Cg0AEAAJUDAAAOAAAAAAAAAAEAIAAAACMB&#10;AABkcnMvZTJvRG9jLnhtbFBLBQYAAAAABgAGAFkBAABlBQAAAAA=&#10;">
              <v:fill on="f" focussize="0,0"/>
              <v:stroke on="f" weight="1.25pt"/>
              <v:imagedata o:title=""/>
              <o:lock v:ext="edit" aspectratio="f"/>
              <v:textbox inset="0mm,0mm,0mm,0mm" style="mso-fit-shape-to-text:t;">
                <w:txbxContent>
                  <w:p w14:paraId="675AA2AF">
                    <w:pPr>
                      <w:pStyle w:val="20"/>
                      <w:rPr>
                        <w:sz w:val="24"/>
                      </w:rPr>
                    </w:pPr>
                    <w:r>
                      <w:rPr>
                        <w:rFonts w:hint="eastAsia"/>
                        <w:sz w:val="24"/>
                      </w:rPr>
                      <w:fldChar w:fldCharType="begin"/>
                    </w:r>
                    <w:r>
                      <w:rPr>
                        <w:rFonts w:hint="eastAsia"/>
                        <w:sz w:val="24"/>
                      </w:rPr>
                      <w:instrText xml:space="preserve"> PAGE  \* MERGEFORMAT </w:instrText>
                    </w:r>
                    <w:r>
                      <w:rPr>
                        <w:rFonts w:hint="eastAsia"/>
                        <w:sz w:val="24"/>
                      </w:rPr>
                      <w:fldChar w:fldCharType="separate"/>
                    </w:r>
                    <w:r>
                      <w:rPr>
                        <w:sz w:val="24"/>
                      </w:rPr>
                      <w:t>18</w:t>
                    </w:r>
                    <w:r>
                      <w:rPr>
                        <w:rFonts w:hint="eastAsia"/>
                        <w:sz w:val="24"/>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E94EE0">
    <w:pPr>
      <w:pStyle w:val="21"/>
      <w:rPr>
        <w:rFonts w:hint="eastAsia"/>
      </w:rPr>
    </w:pPr>
    <w:r>
      <w:rPr>
        <w:rFonts w:hint="eastAsia"/>
        <w:lang w:eastAsia="zh-CN"/>
      </w:rPr>
      <w:t>五里窑闸上游清淤及护坡整治</w:t>
    </w:r>
    <w:r>
      <w:rPr>
        <w:rFonts w:hint="eastAsia"/>
      </w:rPr>
      <w:t xml:space="preserve"> </w:t>
    </w:r>
    <w: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F31899">
    <w:pPr>
      <w:pStyle w:val="45"/>
      <w:ind w:firstLine="48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AB979E">
    <w:pPr>
      <w:widowControl w:val="0"/>
      <w:pBdr>
        <w:bottom w:val="single" w:color="auto" w:sz="6" w:space="1"/>
      </w:pBdr>
      <w:snapToGrid w:val="0"/>
      <w:ind w:firstLine="0" w:firstLineChars="0"/>
      <w:jc w:val="center"/>
      <w:rPr>
        <w:rFonts w:hint="eastAsia" w:ascii="Times New Roman" w:hAnsi="宋体" w:eastAsia="宋体" w:cs="Times New Roman"/>
        <w:bCs/>
        <w:color w:val="000000"/>
        <w:spacing w:val="-6"/>
        <w:kern w:val="2"/>
        <w:sz w:val="18"/>
        <w:szCs w:val="18"/>
        <w:lang w:val="en-US" w:eastAsia="zh-CN" w:bidi="ar-SA"/>
      </w:rPr>
    </w:pPr>
    <w:r>
      <w:rPr>
        <w:rFonts w:hint="eastAsia" w:ascii="Times New Roman" w:hAnsi="宋体" w:eastAsia="宋体" w:cs="Times New Roman"/>
        <w:b w:val="0"/>
        <w:bCs w:val="0"/>
        <w:color w:val="auto"/>
        <w:spacing w:val="-6"/>
        <w:kern w:val="2"/>
        <w:sz w:val="18"/>
        <w:szCs w:val="18"/>
        <w:highlight w:val="none"/>
        <w:lang w:val="en-US" w:eastAsia="zh-CN" w:bidi="ar-SA"/>
      </w:rPr>
      <w:t>五里窑闸上游清淤及护坡整治 竞争性磋商文件</w:t>
    </w:r>
    <w:r>
      <w:rPr>
        <w:rFonts w:hint="eastAsia" w:ascii="Times New Roman" w:hAnsi="宋体" w:eastAsia="宋体" w:cs="Times New Roman"/>
        <w:b w:val="0"/>
        <w:bCs w:val="0"/>
        <w:color w:val="000000"/>
        <w:spacing w:val="-6"/>
        <w:kern w:val="2"/>
        <w:sz w:val="18"/>
        <w:szCs w:val="18"/>
        <w:lang w:val="en-US" w:eastAsia="zh-CN" w:bidi="ar-SA"/>
      </w:rPr>
      <w:t xml:space="preserve">  </w:t>
    </w:r>
    <w:r>
      <w:rPr>
        <w:rFonts w:hint="eastAsia" w:ascii="Times New Roman" w:hAnsi="宋体" w:eastAsia="宋体" w:cs="Times New Roman"/>
        <w:bCs/>
        <w:color w:val="000000"/>
        <w:spacing w:val="-6"/>
        <w:kern w:val="2"/>
        <w:sz w:val="18"/>
        <w:szCs w:val="18"/>
        <w:lang w:val="en-US" w:eastAsia="zh-CN" w:bidi="ar-SA"/>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C7C9A">
    <w:pPr>
      <w:pStyle w:val="21"/>
      <w:ind w:firstLine="0" w:firstLineChars="0"/>
      <w:rPr>
        <w:rFonts w:hint="eastAsia"/>
      </w:rPr>
    </w:pPr>
    <w:r>
      <w:rPr>
        <w:rFonts w:hint="eastAsia"/>
        <w:b w:val="0"/>
        <w:bCs w:val="0"/>
        <w:color w:val="auto"/>
        <w:sz w:val="18"/>
        <w:szCs w:val="18"/>
        <w:highlight w:val="none"/>
        <w:lang w:eastAsia="zh-CN"/>
      </w:rPr>
      <w:t>五里窑闸上游清淤及护坡整治</w:t>
    </w:r>
    <w:r>
      <w:rPr>
        <w:rFonts w:hint="eastAsia"/>
        <w:b w:val="0"/>
        <w:bCs w:val="0"/>
        <w:color w:val="auto"/>
        <w:sz w:val="18"/>
        <w:szCs w:val="18"/>
        <w:highlight w:val="none"/>
        <w:lang w:val="en-US" w:eastAsia="zh-CN"/>
      </w:rPr>
      <w:t xml:space="preserve"> 竞争性磋商文件</w:t>
    </w:r>
    <w:r>
      <w:rPr>
        <w:rFonts w:hint="eastAsia"/>
        <w:b w:val="0"/>
        <w:bCs w:val="0"/>
        <w:sz w:val="18"/>
        <w:szCs w:val="18"/>
      </w:rPr>
      <w:t xml:space="preserve">  </w:t>
    </w: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suff w:val="nothing"/>
      <w:lvlText w:val="第%1章"/>
      <w:lvlJc w:val="left"/>
      <w:pPr>
        <w:ind w:left="0" w:firstLine="0"/>
      </w:p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VhZjRiZDZjYjM0NTliYmU4OTc2MzJjODY3NTc2YmMifQ=="/>
  </w:docVars>
  <w:rsids>
    <w:rsidRoot w:val="1CD25440"/>
    <w:rsid w:val="00024AAD"/>
    <w:rsid w:val="00033161"/>
    <w:rsid w:val="00037FC5"/>
    <w:rsid w:val="00042B93"/>
    <w:rsid w:val="000478DB"/>
    <w:rsid w:val="00050DCE"/>
    <w:rsid w:val="000544E2"/>
    <w:rsid w:val="00057E6E"/>
    <w:rsid w:val="00062F2A"/>
    <w:rsid w:val="00073854"/>
    <w:rsid w:val="000805AF"/>
    <w:rsid w:val="000932F0"/>
    <w:rsid w:val="000968EE"/>
    <w:rsid w:val="000D5E7E"/>
    <w:rsid w:val="000F0CB8"/>
    <w:rsid w:val="000F1C63"/>
    <w:rsid w:val="00131014"/>
    <w:rsid w:val="0014134E"/>
    <w:rsid w:val="001551EA"/>
    <w:rsid w:val="00171B28"/>
    <w:rsid w:val="001722DC"/>
    <w:rsid w:val="001751BA"/>
    <w:rsid w:val="001C36A5"/>
    <w:rsid w:val="001C7954"/>
    <w:rsid w:val="001C7971"/>
    <w:rsid w:val="001D5AC6"/>
    <w:rsid w:val="001E7608"/>
    <w:rsid w:val="001F2FEF"/>
    <w:rsid w:val="001F522E"/>
    <w:rsid w:val="00205DA8"/>
    <w:rsid w:val="0021435F"/>
    <w:rsid w:val="0023341E"/>
    <w:rsid w:val="00242FA6"/>
    <w:rsid w:val="00243B7F"/>
    <w:rsid w:val="00252CBB"/>
    <w:rsid w:val="00256B3A"/>
    <w:rsid w:val="00266545"/>
    <w:rsid w:val="002745C3"/>
    <w:rsid w:val="00276832"/>
    <w:rsid w:val="00287164"/>
    <w:rsid w:val="00290ABA"/>
    <w:rsid w:val="00290D19"/>
    <w:rsid w:val="002C1786"/>
    <w:rsid w:val="002C1848"/>
    <w:rsid w:val="002C1B8A"/>
    <w:rsid w:val="002C1CCD"/>
    <w:rsid w:val="002F6A11"/>
    <w:rsid w:val="003240B6"/>
    <w:rsid w:val="003407C2"/>
    <w:rsid w:val="00344092"/>
    <w:rsid w:val="00345F58"/>
    <w:rsid w:val="00357A2F"/>
    <w:rsid w:val="00372D82"/>
    <w:rsid w:val="00373D77"/>
    <w:rsid w:val="003768DD"/>
    <w:rsid w:val="003951B4"/>
    <w:rsid w:val="00396449"/>
    <w:rsid w:val="003B12DC"/>
    <w:rsid w:val="003B2BAA"/>
    <w:rsid w:val="003B350B"/>
    <w:rsid w:val="003C673E"/>
    <w:rsid w:val="003C7131"/>
    <w:rsid w:val="003F360E"/>
    <w:rsid w:val="003F6BFA"/>
    <w:rsid w:val="00400673"/>
    <w:rsid w:val="00412F80"/>
    <w:rsid w:val="00413859"/>
    <w:rsid w:val="004358A2"/>
    <w:rsid w:val="00451C75"/>
    <w:rsid w:val="00452B4F"/>
    <w:rsid w:val="00462155"/>
    <w:rsid w:val="0046395F"/>
    <w:rsid w:val="004641DF"/>
    <w:rsid w:val="00464CC8"/>
    <w:rsid w:val="004809D5"/>
    <w:rsid w:val="00481665"/>
    <w:rsid w:val="004C4841"/>
    <w:rsid w:val="004D5152"/>
    <w:rsid w:val="00502EBC"/>
    <w:rsid w:val="005113C6"/>
    <w:rsid w:val="00525503"/>
    <w:rsid w:val="00527D62"/>
    <w:rsid w:val="00530501"/>
    <w:rsid w:val="005320F1"/>
    <w:rsid w:val="00540370"/>
    <w:rsid w:val="005541DA"/>
    <w:rsid w:val="005673B7"/>
    <w:rsid w:val="005706E8"/>
    <w:rsid w:val="005766C8"/>
    <w:rsid w:val="00592CD0"/>
    <w:rsid w:val="005964F3"/>
    <w:rsid w:val="005B505E"/>
    <w:rsid w:val="005D1EAC"/>
    <w:rsid w:val="005D5F69"/>
    <w:rsid w:val="005E244E"/>
    <w:rsid w:val="00617273"/>
    <w:rsid w:val="00640957"/>
    <w:rsid w:val="006475EE"/>
    <w:rsid w:val="00655899"/>
    <w:rsid w:val="006664AD"/>
    <w:rsid w:val="0067016F"/>
    <w:rsid w:val="00673F4F"/>
    <w:rsid w:val="00682959"/>
    <w:rsid w:val="006866F0"/>
    <w:rsid w:val="00693872"/>
    <w:rsid w:val="00694600"/>
    <w:rsid w:val="006A1C6E"/>
    <w:rsid w:val="006A2401"/>
    <w:rsid w:val="006A41A0"/>
    <w:rsid w:val="006C0DEA"/>
    <w:rsid w:val="006D2D1A"/>
    <w:rsid w:val="006D5E87"/>
    <w:rsid w:val="006D7FB4"/>
    <w:rsid w:val="0071612D"/>
    <w:rsid w:val="00725566"/>
    <w:rsid w:val="007550B0"/>
    <w:rsid w:val="00757CA8"/>
    <w:rsid w:val="00763C38"/>
    <w:rsid w:val="0076731E"/>
    <w:rsid w:val="00773AF9"/>
    <w:rsid w:val="00776457"/>
    <w:rsid w:val="00782C24"/>
    <w:rsid w:val="007958E0"/>
    <w:rsid w:val="007A7D7E"/>
    <w:rsid w:val="00802F62"/>
    <w:rsid w:val="008160BA"/>
    <w:rsid w:val="00816DA6"/>
    <w:rsid w:val="00821834"/>
    <w:rsid w:val="008509A1"/>
    <w:rsid w:val="00881B25"/>
    <w:rsid w:val="00884ACB"/>
    <w:rsid w:val="00886424"/>
    <w:rsid w:val="008D1AA1"/>
    <w:rsid w:val="008D5F59"/>
    <w:rsid w:val="008E4937"/>
    <w:rsid w:val="008F700E"/>
    <w:rsid w:val="00914337"/>
    <w:rsid w:val="00921E3C"/>
    <w:rsid w:val="00941CE3"/>
    <w:rsid w:val="00955A1B"/>
    <w:rsid w:val="0098375E"/>
    <w:rsid w:val="00985132"/>
    <w:rsid w:val="009C5D68"/>
    <w:rsid w:val="009C6B07"/>
    <w:rsid w:val="009D2741"/>
    <w:rsid w:val="009D6ABA"/>
    <w:rsid w:val="009E29E6"/>
    <w:rsid w:val="009F4575"/>
    <w:rsid w:val="00A02C65"/>
    <w:rsid w:val="00A10FFE"/>
    <w:rsid w:val="00A463B5"/>
    <w:rsid w:val="00A472CE"/>
    <w:rsid w:val="00A57655"/>
    <w:rsid w:val="00A61620"/>
    <w:rsid w:val="00A81A36"/>
    <w:rsid w:val="00AD06BF"/>
    <w:rsid w:val="00AE6A5E"/>
    <w:rsid w:val="00B07A18"/>
    <w:rsid w:val="00B24A8A"/>
    <w:rsid w:val="00B3601B"/>
    <w:rsid w:val="00B77A45"/>
    <w:rsid w:val="00BA4FAA"/>
    <w:rsid w:val="00BA639F"/>
    <w:rsid w:val="00BA67CF"/>
    <w:rsid w:val="00BA763F"/>
    <w:rsid w:val="00BB43A9"/>
    <w:rsid w:val="00BB7C80"/>
    <w:rsid w:val="00BC2BC1"/>
    <w:rsid w:val="00BE4BAB"/>
    <w:rsid w:val="00BE749C"/>
    <w:rsid w:val="00BF4B18"/>
    <w:rsid w:val="00BF5399"/>
    <w:rsid w:val="00C0458E"/>
    <w:rsid w:val="00C1521C"/>
    <w:rsid w:val="00C246B6"/>
    <w:rsid w:val="00C2766A"/>
    <w:rsid w:val="00C730A6"/>
    <w:rsid w:val="00C76503"/>
    <w:rsid w:val="00C77604"/>
    <w:rsid w:val="00C914A8"/>
    <w:rsid w:val="00CB0886"/>
    <w:rsid w:val="00CB1440"/>
    <w:rsid w:val="00CB2D02"/>
    <w:rsid w:val="00CB5878"/>
    <w:rsid w:val="00CB70F6"/>
    <w:rsid w:val="00CC682B"/>
    <w:rsid w:val="00CD3E4A"/>
    <w:rsid w:val="00CE4836"/>
    <w:rsid w:val="00D47ACD"/>
    <w:rsid w:val="00D55B6B"/>
    <w:rsid w:val="00D70684"/>
    <w:rsid w:val="00D856F5"/>
    <w:rsid w:val="00D966D5"/>
    <w:rsid w:val="00DC1971"/>
    <w:rsid w:val="00DC7776"/>
    <w:rsid w:val="00DD6F5B"/>
    <w:rsid w:val="00DE1DBF"/>
    <w:rsid w:val="00DE4D1E"/>
    <w:rsid w:val="00E13B94"/>
    <w:rsid w:val="00E20CD7"/>
    <w:rsid w:val="00E61998"/>
    <w:rsid w:val="00E6781C"/>
    <w:rsid w:val="00E82F21"/>
    <w:rsid w:val="00E96992"/>
    <w:rsid w:val="00EA0FEA"/>
    <w:rsid w:val="00EB5849"/>
    <w:rsid w:val="00EE4326"/>
    <w:rsid w:val="00EF0C62"/>
    <w:rsid w:val="00F1462F"/>
    <w:rsid w:val="00F23D1F"/>
    <w:rsid w:val="00F4102E"/>
    <w:rsid w:val="00F60EC7"/>
    <w:rsid w:val="00F653B5"/>
    <w:rsid w:val="00F77A8F"/>
    <w:rsid w:val="00F80858"/>
    <w:rsid w:val="00F83373"/>
    <w:rsid w:val="00F8799D"/>
    <w:rsid w:val="00F90248"/>
    <w:rsid w:val="00FE6B97"/>
    <w:rsid w:val="00FF1FE6"/>
    <w:rsid w:val="0139502F"/>
    <w:rsid w:val="017F6D8E"/>
    <w:rsid w:val="01844D0B"/>
    <w:rsid w:val="019977F4"/>
    <w:rsid w:val="01D90E22"/>
    <w:rsid w:val="026348C2"/>
    <w:rsid w:val="02FD2CCB"/>
    <w:rsid w:val="0369230D"/>
    <w:rsid w:val="036E1A02"/>
    <w:rsid w:val="03CF7DEF"/>
    <w:rsid w:val="04357BCA"/>
    <w:rsid w:val="04763EE5"/>
    <w:rsid w:val="04EF4078"/>
    <w:rsid w:val="04F476D4"/>
    <w:rsid w:val="057013AC"/>
    <w:rsid w:val="05B41169"/>
    <w:rsid w:val="05C35430"/>
    <w:rsid w:val="06410E6B"/>
    <w:rsid w:val="065C34F5"/>
    <w:rsid w:val="068774DF"/>
    <w:rsid w:val="06CF5A81"/>
    <w:rsid w:val="073475CC"/>
    <w:rsid w:val="074F2874"/>
    <w:rsid w:val="07D97A64"/>
    <w:rsid w:val="08305436"/>
    <w:rsid w:val="089B5C78"/>
    <w:rsid w:val="08A076B7"/>
    <w:rsid w:val="08C23B9D"/>
    <w:rsid w:val="093A7BD7"/>
    <w:rsid w:val="09BC45F6"/>
    <w:rsid w:val="09F36C33"/>
    <w:rsid w:val="0A13145B"/>
    <w:rsid w:val="0A1977EC"/>
    <w:rsid w:val="0A386C78"/>
    <w:rsid w:val="0ABE63AC"/>
    <w:rsid w:val="0B4E7969"/>
    <w:rsid w:val="0C004893"/>
    <w:rsid w:val="0C3757E0"/>
    <w:rsid w:val="0C5C26E9"/>
    <w:rsid w:val="0C836ED2"/>
    <w:rsid w:val="0CB51C35"/>
    <w:rsid w:val="0D357E8B"/>
    <w:rsid w:val="0D3E3E9F"/>
    <w:rsid w:val="0D483BFF"/>
    <w:rsid w:val="0DB428DA"/>
    <w:rsid w:val="0DDA7292"/>
    <w:rsid w:val="0E4F1A2E"/>
    <w:rsid w:val="0ECB456A"/>
    <w:rsid w:val="0EE505E5"/>
    <w:rsid w:val="0FD7617F"/>
    <w:rsid w:val="0FE76221"/>
    <w:rsid w:val="101E362A"/>
    <w:rsid w:val="109101A8"/>
    <w:rsid w:val="109D1512"/>
    <w:rsid w:val="11731DDD"/>
    <w:rsid w:val="11C12C43"/>
    <w:rsid w:val="11FF13EE"/>
    <w:rsid w:val="12165929"/>
    <w:rsid w:val="12B35216"/>
    <w:rsid w:val="13CA1B57"/>
    <w:rsid w:val="141C0605"/>
    <w:rsid w:val="14337FB3"/>
    <w:rsid w:val="143E4B76"/>
    <w:rsid w:val="14891E28"/>
    <w:rsid w:val="1491421F"/>
    <w:rsid w:val="14D438F5"/>
    <w:rsid w:val="14DC1398"/>
    <w:rsid w:val="15752DAE"/>
    <w:rsid w:val="15C96AB7"/>
    <w:rsid w:val="15CF1D8E"/>
    <w:rsid w:val="16101AC2"/>
    <w:rsid w:val="168B4EAB"/>
    <w:rsid w:val="16BB08D6"/>
    <w:rsid w:val="16C95A76"/>
    <w:rsid w:val="16D52BFB"/>
    <w:rsid w:val="17115D53"/>
    <w:rsid w:val="171C774F"/>
    <w:rsid w:val="17326391"/>
    <w:rsid w:val="173E6AE4"/>
    <w:rsid w:val="17D426A8"/>
    <w:rsid w:val="19337AF8"/>
    <w:rsid w:val="197D6833"/>
    <w:rsid w:val="1A277D35"/>
    <w:rsid w:val="1A311065"/>
    <w:rsid w:val="1A970BE8"/>
    <w:rsid w:val="1B8E3619"/>
    <w:rsid w:val="1B9211AC"/>
    <w:rsid w:val="1BB512CE"/>
    <w:rsid w:val="1BB60E47"/>
    <w:rsid w:val="1C267E5A"/>
    <w:rsid w:val="1C920D2A"/>
    <w:rsid w:val="1CD25440"/>
    <w:rsid w:val="1CE1063D"/>
    <w:rsid w:val="1CE83979"/>
    <w:rsid w:val="1D316F57"/>
    <w:rsid w:val="1DE531B9"/>
    <w:rsid w:val="1E4B36B5"/>
    <w:rsid w:val="1EA77056"/>
    <w:rsid w:val="1EB4148D"/>
    <w:rsid w:val="1EC72883"/>
    <w:rsid w:val="1ED2326A"/>
    <w:rsid w:val="1F1D4152"/>
    <w:rsid w:val="1FAD6552"/>
    <w:rsid w:val="1FCA7497"/>
    <w:rsid w:val="200E7E4F"/>
    <w:rsid w:val="20BF0C96"/>
    <w:rsid w:val="21396212"/>
    <w:rsid w:val="214C62A1"/>
    <w:rsid w:val="21AB6CDE"/>
    <w:rsid w:val="21DD2040"/>
    <w:rsid w:val="21F906BD"/>
    <w:rsid w:val="22220448"/>
    <w:rsid w:val="22782AB8"/>
    <w:rsid w:val="230A7D6C"/>
    <w:rsid w:val="23374FDC"/>
    <w:rsid w:val="23892362"/>
    <w:rsid w:val="23A1067B"/>
    <w:rsid w:val="23AB3671"/>
    <w:rsid w:val="2464000D"/>
    <w:rsid w:val="24B931D5"/>
    <w:rsid w:val="250C6B43"/>
    <w:rsid w:val="25876154"/>
    <w:rsid w:val="25E01C4D"/>
    <w:rsid w:val="25F56F08"/>
    <w:rsid w:val="26603302"/>
    <w:rsid w:val="26EC2D8F"/>
    <w:rsid w:val="270214CD"/>
    <w:rsid w:val="273016F2"/>
    <w:rsid w:val="27AD58FC"/>
    <w:rsid w:val="28434B0E"/>
    <w:rsid w:val="28AC0FA4"/>
    <w:rsid w:val="293F71C4"/>
    <w:rsid w:val="29424EDD"/>
    <w:rsid w:val="294A30C6"/>
    <w:rsid w:val="298E67FE"/>
    <w:rsid w:val="29AC127A"/>
    <w:rsid w:val="29F959EB"/>
    <w:rsid w:val="2A201147"/>
    <w:rsid w:val="2A352623"/>
    <w:rsid w:val="2A6049A4"/>
    <w:rsid w:val="2ACE2692"/>
    <w:rsid w:val="2B1832E4"/>
    <w:rsid w:val="2BD7593C"/>
    <w:rsid w:val="2BD94BFC"/>
    <w:rsid w:val="2C33078A"/>
    <w:rsid w:val="2C4B162F"/>
    <w:rsid w:val="2C924669"/>
    <w:rsid w:val="2C9C6642"/>
    <w:rsid w:val="2CAE7768"/>
    <w:rsid w:val="2CE37ABA"/>
    <w:rsid w:val="2D9E028C"/>
    <w:rsid w:val="2E117BA3"/>
    <w:rsid w:val="2E876B6B"/>
    <w:rsid w:val="2E9512D3"/>
    <w:rsid w:val="2EFF4B88"/>
    <w:rsid w:val="2F301607"/>
    <w:rsid w:val="2FEC3220"/>
    <w:rsid w:val="308A51D5"/>
    <w:rsid w:val="30CE0A81"/>
    <w:rsid w:val="30FA5EEC"/>
    <w:rsid w:val="320F4EAD"/>
    <w:rsid w:val="321E3855"/>
    <w:rsid w:val="32497D31"/>
    <w:rsid w:val="32DF10B8"/>
    <w:rsid w:val="33BC56DC"/>
    <w:rsid w:val="34475FA0"/>
    <w:rsid w:val="35451D21"/>
    <w:rsid w:val="356B1732"/>
    <w:rsid w:val="35837605"/>
    <w:rsid w:val="35D2705F"/>
    <w:rsid w:val="35D66D30"/>
    <w:rsid w:val="361E756D"/>
    <w:rsid w:val="3687363A"/>
    <w:rsid w:val="36CC3001"/>
    <w:rsid w:val="36FA4330"/>
    <w:rsid w:val="373D05E4"/>
    <w:rsid w:val="377D76E4"/>
    <w:rsid w:val="378E1E24"/>
    <w:rsid w:val="385303F8"/>
    <w:rsid w:val="38532952"/>
    <w:rsid w:val="387D3881"/>
    <w:rsid w:val="38B31777"/>
    <w:rsid w:val="38C2537E"/>
    <w:rsid w:val="38F17EA6"/>
    <w:rsid w:val="38F40D81"/>
    <w:rsid w:val="39AF7317"/>
    <w:rsid w:val="39F70C81"/>
    <w:rsid w:val="3A94445D"/>
    <w:rsid w:val="3AB61282"/>
    <w:rsid w:val="3AF30D6B"/>
    <w:rsid w:val="3AF50C40"/>
    <w:rsid w:val="3B3A4DDC"/>
    <w:rsid w:val="3B7256DB"/>
    <w:rsid w:val="3B7624AB"/>
    <w:rsid w:val="3C68749C"/>
    <w:rsid w:val="3D932F0A"/>
    <w:rsid w:val="3E2E2B5F"/>
    <w:rsid w:val="3E3444BC"/>
    <w:rsid w:val="3E864A53"/>
    <w:rsid w:val="3E9A53C1"/>
    <w:rsid w:val="3F6C250F"/>
    <w:rsid w:val="3FAF1C9A"/>
    <w:rsid w:val="3FB03189"/>
    <w:rsid w:val="3FB66B56"/>
    <w:rsid w:val="3FE5D040"/>
    <w:rsid w:val="3FEF1D74"/>
    <w:rsid w:val="40324B88"/>
    <w:rsid w:val="40A8048F"/>
    <w:rsid w:val="40BF2194"/>
    <w:rsid w:val="40D03D17"/>
    <w:rsid w:val="40DB02C3"/>
    <w:rsid w:val="40E465B1"/>
    <w:rsid w:val="41555E72"/>
    <w:rsid w:val="4180161E"/>
    <w:rsid w:val="41BE5866"/>
    <w:rsid w:val="42DB33D1"/>
    <w:rsid w:val="4350731A"/>
    <w:rsid w:val="435A293B"/>
    <w:rsid w:val="43894EAB"/>
    <w:rsid w:val="43AD3DBC"/>
    <w:rsid w:val="43BE1880"/>
    <w:rsid w:val="43D47FB7"/>
    <w:rsid w:val="44706741"/>
    <w:rsid w:val="45043EE4"/>
    <w:rsid w:val="453756FD"/>
    <w:rsid w:val="454D7D6F"/>
    <w:rsid w:val="45770DFE"/>
    <w:rsid w:val="458063F1"/>
    <w:rsid w:val="45B32F00"/>
    <w:rsid w:val="460E1055"/>
    <w:rsid w:val="46223D04"/>
    <w:rsid w:val="46294746"/>
    <w:rsid w:val="466B3056"/>
    <w:rsid w:val="46EC15CE"/>
    <w:rsid w:val="47151421"/>
    <w:rsid w:val="479577FF"/>
    <w:rsid w:val="47C3735D"/>
    <w:rsid w:val="48231267"/>
    <w:rsid w:val="486D3A9A"/>
    <w:rsid w:val="48DF4A18"/>
    <w:rsid w:val="491A440C"/>
    <w:rsid w:val="4923114E"/>
    <w:rsid w:val="494C5A2D"/>
    <w:rsid w:val="4A05330E"/>
    <w:rsid w:val="4A6C2E50"/>
    <w:rsid w:val="4A807A71"/>
    <w:rsid w:val="4A8E24C0"/>
    <w:rsid w:val="4A902825"/>
    <w:rsid w:val="4A964046"/>
    <w:rsid w:val="4ACA313A"/>
    <w:rsid w:val="4AE433A3"/>
    <w:rsid w:val="4B0451CF"/>
    <w:rsid w:val="4B0F391C"/>
    <w:rsid w:val="4B4E2A92"/>
    <w:rsid w:val="4B797B0F"/>
    <w:rsid w:val="4B9E091B"/>
    <w:rsid w:val="4BAF4676"/>
    <w:rsid w:val="4BFB6776"/>
    <w:rsid w:val="4C4327BE"/>
    <w:rsid w:val="4C4F1B89"/>
    <w:rsid w:val="4CC4250A"/>
    <w:rsid w:val="4DCA6223"/>
    <w:rsid w:val="4DF47921"/>
    <w:rsid w:val="4E541E88"/>
    <w:rsid w:val="4E824CA4"/>
    <w:rsid w:val="4E850579"/>
    <w:rsid w:val="4E9063BD"/>
    <w:rsid w:val="4E965BF7"/>
    <w:rsid w:val="4EA605AE"/>
    <w:rsid w:val="4EAA4E86"/>
    <w:rsid w:val="4EC831E2"/>
    <w:rsid w:val="4ED11D00"/>
    <w:rsid w:val="4EF14018"/>
    <w:rsid w:val="4F055E11"/>
    <w:rsid w:val="4F21742B"/>
    <w:rsid w:val="4F8F4266"/>
    <w:rsid w:val="507C479E"/>
    <w:rsid w:val="51233058"/>
    <w:rsid w:val="518B605C"/>
    <w:rsid w:val="520742D6"/>
    <w:rsid w:val="52095087"/>
    <w:rsid w:val="524321E3"/>
    <w:rsid w:val="539A14F0"/>
    <w:rsid w:val="539D7FF6"/>
    <w:rsid w:val="53E638A9"/>
    <w:rsid w:val="53E73A84"/>
    <w:rsid w:val="53FE204B"/>
    <w:rsid w:val="544B69F4"/>
    <w:rsid w:val="54641104"/>
    <w:rsid w:val="54650190"/>
    <w:rsid w:val="55155E46"/>
    <w:rsid w:val="55723AE0"/>
    <w:rsid w:val="56D56DB4"/>
    <w:rsid w:val="570C5D6D"/>
    <w:rsid w:val="572F6556"/>
    <w:rsid w:val="575A657B"/>
    <w:rsid w:val="578F360F"/>
    <w:rsid w:val="57BF11A9"/>
    <w:rsid w:val="58AA6F2A"/>
    <w:rsid w:val="58C9317A"/>
    <w:rsid w:val="58EE6122"/>
    <w:rsid w:val="59295E4C"/>
    <w:rsid w:val="5A353CE3"/>
    <w:rsid w:val="5A494606"/>
    <w:rsid w:val="5A4F7C8D"/>
    <w:rsid w:val="5A6568BA"/>
    <w:rsid w:val="5A811090"/>
    <w:rsid w:val="5A90452E"/>
    <w:rsid w:val="5B2F59EE"/>
    <w:rsid w:val="5B7F0C50"/>
    <w:rsid w:val="5BD3386D"/>
    <w:rsid w:val="5BEC4ED5"/>
    <w:rsid w:val="5BF8003B"/>
    <w:rsid w:val="5C285F37"/>
    <w:rsid w:val="5C5F52A8"/>
    <w:rsid w:val="5C832079"/>
    <w:rsid w:val="5CBD7501"/>
    <w:rsid w:val="5CCF1A14"/>
    <w:rsid w:val="5D407683"/>
    <w:rsid w:val="5E0201A3"/>
    <w:rsid w:val="5E082F75"/>
    <w:rsid w:val="5E2812E4"/>
    <w:rsid w:val="5E5672E6"/>
    <w:rsid w:val="5E5D42B0"/>
    <w:rsid w:val="5ED85D1A"/>
    <w:rsid w:val="5EE23BE3"/>
    <w:rsid w:val="5EE634F6"/>
    <w:rsid w:val="5EF62079"/>
    <w:rsid w:val="5F015B06"/>
    <w:rsid w:val="5F3A0C6C"/>
    <w:rsid w:val="5F574448"/>
    <w:rsid w:val="5FD96878"/>
    <w:rsid w:val="5FF65EA4"/>
    <w:rsid w:val="601C22F6"/>
    <w:rsid w:val="605008DF"/>
    <w:rsid w:val="61D06B90"/>
    <w:rsid w:val="622F6D22"/>
    <w:rsid w:val="6298145C"/>
    <w:rsid w:val="629E4509"/>
    <w:rsid w:val="62A0621D"/>
    <w:rsid w:val="63FB5F93"/>
    <w:rsid w:val="64360E48"/>
    <w:rsid w:val="6441650E"/>
    <w:rsid w:val="648670E2"/>
    <w:rsid w:val="650C2ACA"/>
    <w:rsid w:val="654650D1"/>
    <w:rsid w:val="65D207AD"/>
    <w:rsid w:val="65D33E68"/>
    <w:rsid w:val="66353E92"/>
    <w:rsid w:val="66A83B90"/>
    <w:rsid w:val="66D50A60"/>
    <w:rsid w:val="67071556"/>
    <w:rsid w:val="6727668D"/>
    <w:rsid w:val="67794DA6"/>
    <w:rsid w:val="679D3626"/>
    <w:rsid w:val="67C47F0C"/>
    <w:rsid w:val="683C5CF5"/>
    <w:rsid w:val="684B5445"/>
    <w:rsid w:val="685B48D7"/>
    <w:rsid w:val="689D2BC5"/>
    <w:rsid w:val="68D8760B"/>
    <w:rsid w:val="68E349D8"/>
    <w:rsid w:val="69562DE6"/>
    <w:rsid w:val="699851AD"/>
    <w:rsid w:val="69A1759A"/>
    <w:rsid w:val="69ED5218"/>
    <w:rsid w:val="6A08164B"/>
    <w:rsid w:val="6A333F49"/>
    <w:rsid w:val="6A516D7C"/>
    <w:rsid w:val="6A5A3E08"/>
    <w:rsid w:val="6A6F5DAA"/>
    <w:rsid w:val="6A7465BC"/>
    <w:rsid w:val="6A811B1F"/>
    <w:rsid w:val="6A99147B"/>
    <w:rsid w:val="6B1A08B4"/>
    <w:rsid w:val="6BD97E2B"/>
    <w:rsid w:val="6C9D33EB"/>
    <w:rsid w:val="6CEA229B"/>
    <w:rsid w:val="6CF02B48"/>
    <w:rsid w:val="6D2B74AA"/>
    <w:rsid w:val="6D3D55D2"/>
    <w:rsid w:val="6D5A0FC0"/>
    <w:rsid w:val="6D7A2E9C"/>
    <w:rsid w:val="6D884D88"/>
    <w:rsid w:val="6E3254C3"/>
    <w:rsid w:val="6F1F1ECC"/>
    <w:rsid w:val="6FE729EA"/>
    <w:rsid w:val="70161236"/>
    <w:rsid w:val="70B85568"/>
    <w:rsid w:val="71410EE9"/>
    <w:rsid w:val="715B3690"/>
    <w:rsid w:val="71BA54B1"/>
    <w:rsid w:val="71D6197B"/>
    <w:rsid w:val="72BF4055"/>
    <w:rsid w:val="741B4FF7"/>
    <w:rsid w:val="742647F6"/>
    <w:rsid w:val="7500625D"/>
    <w:rsid w:val="751D0BA3"/>
    <w:rsid w:val="75AF7C79"/>
    <w:rsid w:val="7607540F"/>
    <w:rsid w:val="76081125"/>
    <w:rsid w:val="76402E54"/>
    <w:rsid w:val="768C6099"/>
    <w:rsid w:val="76A357EE"/>
    <w:rsid w:val="76BA143A"/>
    <w:rsid w:val="77110DED"/>
    <w:rsid w:val="774003E6"/>
    <w:rsid w:val="77547D04"/>
    <w:rsid w:val="779C479C"/>
    <w:rsid w:val="77D40C0B"/>
    <w:rsid w:val="77FBAEFE"/>
    <w:rsid w:val="77FF0DFC"/>
    <w:rsid w:val="78A243E5"/>
    <w:rsid w:val="78CE5028"/>
    <w:rsid w:val="79590B5C"/>
    <w:rsid w:val="7A005E33"/>
    <w:rsid w:val="7A4647B1"/>
    <w:rsid w:val="7AD7365B"/>
    <w:rsid w:val="7B115AF3"/>
    <w:rsid w:val="7B1E128A"/>
    <w:rsid w:val="7B504401"/>
    <w:rsid w:val="7BAB423F"/>
    <w:rsid w:val="7C0F2533"/>
    <w:rsid w:val="7C272B2B"/>
    <w:rsid w:val="7C397563"/>
    <w:rsid w:val="7D2B6770"/>
    <w:rsid w:val="7D8B701D"/>
    <w:rsid w:val="7DC32A1F"/>
    <w:rsid w:val="7DCA74A7"/>
    <w:rsid w:val="7E7E5E60"/>
    <w:rsid w:val="7EDF4CB5"/>
    <w:rsid w:val="7EF76378"/>
    <w:rsid w:val="7F17671C"/>
    <w:rsid w:val="7F722E84"/>
    <w:rsid w:val="7F8D155F"/>
    <w:rsid w:val="7FF2F0AB"/>
    <w:rsid w:val="A9F9132A"/>
    <w:rsid w:val="BD5EFA84"/>
    <w:rsid w:val="D8BF9745"/>
    <w:rsid w:val="EE2B0C17"/>
    <w:rsid w:val="FFFA86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qFormat="1"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楷体_GB2312" w:cs="Times New Roman"/>
      <w:kern w:val="2"/>
      <w:sz w:val="26"/>
      <w:lang w:val="en-US" w:eastAsia="zh-CN" w:bidi="ar-SA"/>
    </w:rPr>
  </w:style>
  <w:style w:type="paragraph" w:styleId="2">
    <w:name w:val="heading 1"/>
    <w:basedOn w:val="1"/>
    <w:next w:val="1"/>
    <w:link w:val="35"/>
    <w:qFormat/>
    <w:uiPriority w:val="0"/>
    <w:pPr>
      <w:keepNext/>
      <w:keepLines/>
      <w:spacing w:before="340" w:after="330" w:line="578" w:lineRule="auto"/>
      <w:outlineLvl w:val="0"/>
    </w:pPr>
    <w:rPr>
      <w:b/>
      <w:kern w:val="44"/>
      <w:sz w:val="44"/>
    </w:rPr>
  </w:style>
  <w:style w:type="paragraph" w:styleId="3">
    <w:name w:val="heading 2"/>
    <w:basedOn w:val="1"/>
    <w:next w:val="1"/>
    <w:qFormat/>
    <w:uiPriority w:val="0"/>
    <w:pPr>
      <w:keepNext/>
      <w:keepLines/>
      <w:spacing w:before="260" w:after="260" w:line="416" w:lineRule="auto"/>
      <w:outlineLvl w:val="1"/>
    </w:pPr>
    <w:rPr>
      <w:rFonts w:ascii="Cambria" w:hAnsi="Cambria" w:eastAsia="宋体"/>
      <w:b/>
      <w:bCs/>
      <w:sz w:val="32"/>
      <w:szCs w:val="32"/>
    </w:rPr>
  </w:style>
  <w:style w:type="paragraph" w:styleId="4">
    <w:name w:val="heading 3"/>
    <w:basedOn w:val="1"/>
    <w:next w:val="1"/>
    <w:qFormat/>
    <w:uiPriority w:val="0"/>
    <w:pPr>
      <w:keepNext/>
      <w:keepLines/>
      <w:ind w:firstLine="0" w:firstLineChars="0"/>
      <w:outlineLvl w:val="2"/>
    </w:pPr>
    <w:rPr>
      <w:rFonts w:eastAsia="黑体"/>
      <w:bCs/>
      <w:sz w:val="24"/>
      <w:szCs w:val="24"/>
    </w:rPr>
  </w:style>
  <w:style w:type="paragraph" w:styleId="5">
    <w:name w:val="heading 4"/>
    <w:basedOn w:val="1"/>
    <w:next w:val="1"/>
    <w:qFormat/>
    <w:uiPriority w:val="99"/>
    <w:pPr>
      <w:keepNext/>
      <w:keepLines/>
      <w:numPr>
        <w:ilvl w:val="3"/>
        <w:numId w:val="1"/>
      </w:numPr>
      <w:spacing w:before="120" w:after="120"/>
      <w:outlineLvl w:val="3"/>
    </w:pPr>
    <w:rPr>
      <w:rFonts w:ascii="Cambria" w:hAnsi="Cambria" w:eastAsia="宋体"/>
      <w:b/>
      <w:bCs/>
      <w:kern w:val="0"/>
      <w:sz w:val="28"/>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6">
    <w:name w:val="table of authorities"/>
    <w:basedOn w:val="1"/>
    <w:next w:val="1"/>
    <w:qFormat/>
    <w:uiPriority w:val="0"/>
    <w:pPr>
      <w:ind w:left="420" w:leftChars="200"/>
    </w:pPr>
  </w:style>
  <w:style w:type="paragraph" w:styleId="7">
    <w:name w:val="Normal Indent"/>
    <w:basedOn w:val="1"/>
    <w:next w:val="8"/>
    <w:unhideWhenUsed/>
    <w:qFormat/>
    <w:uiPriority w:val="0"/>
    <w:pPr>
      <w:adjustRightInd w:val="0"/>
      <w:ind w:firstLine="420"/>
      <w:jc w:val="left"/>
      <w:textAlignment w:val="baseline"/>
    </w:pPr>
    <w:rPr>
      <w:sz w:val="24"/>
    </w:rPr>
  </w:style>
  <w:style w:type="paragraph" w:customStyle="1" w:styleId="8">
    <w:name w:val="居中"/>
    <w:next w:val="9"/>
    <w:qFormat/>
    <w:uiPriority w:val="0"/>
    <w:pPr>
      <w:spacing w:line="360" w:lineRule="auto"/>
      <w:jc w:val="center"/>
    </w:pPr>
    <w:rPr>
      <w:rFonts w:ascii="Times New Roman" w:hAnsi="Times New Roman" w:eastAsia="宋体" w:cs="Times New Roman"/>
      <w:sz w:val="18"/>
      <w:szCs w:val="24"/>
      <w:lang w:val="en-US" w:eastAsia="zh-CN" w:bidi="ar-SA"/>
    </w:rPr>
  </w:style>
  <w:style w:type="paragraph" w:styleId="9">
    <w:name w:val="index 5"/>
    <w:basedOn w:val="1"/>
    <w:next w:val="1"/>
    <w:qFormat/>
    <w:uiPriority w:val="0"/>
    <w:pPr>
      <w:ind w:left="800" w:leftChars="800"/>
    </w:pPr>
  </w:style>
  <w:style w:type="paragraph" w:styleId="10">
    <w:name w:val="Document Map"/>
    <w:basedOn w:val="1"/>
    <w:qFormat/>
    <w:uiPriority w:val="99"/>
    <w:pPr>
      <w:shd w:val="clear" w:color="auto" w:fill="000080"/>
    </w:pPr>
  </w:style>
  <w:style w:type="paragraph" w:styleId="11">
    <w:name w:val="annotation text"/>
    <w:basedOn w:val="1"/>
    <w:qFormat/>
    <w:uiPriority w:val="0"/>
    <w:pPr>
      <w:jc w:val="left"/>
    </w:pPr>
  </w:style>
  <w:style w:type="paragraph" w:styleId="12">
    <w:name w:val="Body Text"/>
    <w:basedOn w:val="1"/>
    <w:next w:val="13"/>
    <w:qFormat/>
    <w:uiPriority w:val="0"/>
    <w:pPr>
      <w:spacing w:after="120"/>
    </w:pPr>
    <w:rPr>
      <w:rFonts w:ascii="Calibri" w:hAnsi="Calibri"/>
    </w:rPr>
  </w:style>
  <w:style w:type="paragraph" w:styleId="13">
    <w:name w:val="Body Text First Indent"/>
    <w:basedOn w:val="1"/>
    <w:next w:val="1"/>
    <w:qFormat/>
    <w:uiPriority w:val="0"/>
    <w:pPr>
      <w:spacing w:line="360" w:lineRule="auto"/>
      <w:ind w:firstLine="200" w:firstLineChars="200"/>
    </w:pPr>
    <w:rPr>
      <w:rFonts w:ascii="仿宋_GB2312" w:hAnsi="Arial" w:eastAsia="仿宋_GB2312"/>
      <w:sz w:val="30"/>
      <w:szCs w:val="30"/>
    </w:rPr>
  </w:style>
  <w:style w:type="paragraph" w:styleId="14">
    <w:name w:val="Body Text Indent"/>
    <w:basedOn w:val="1"/>
    <w:next w:val="15"/>
    <w:unhideWhenUsed/>
    <w:qFormat/>
    <w:uiPriority w:val="0"/>
    <w:pPr>
      <w:ind w:firstLine="570"/>
    </w:pPr>
    <w:rPr>
      <w:rFonts w:ascii="宋体" w:eastAsia="宋体"/>
      <w:sz w:val="28"/>
    </w:rPr>
  </w:style>
  <w:style w:type="paragraph" w:styleId="15">
    <w:name w:val="envelope return"/>
    <w:basedOn w:val="1"/>
    <w:unhideWhenUsed/>
    <w:qFormat/>
    <w:uiPriority w:val="99"/>
    <w:pPr>
      <w:snapToGrid w:val="0"/>
    </w:pPr>
    <w:rPr>
      <w:rFonts w:ascii="Arial" w:hAnsi="Arial"/>
    </w:rPr>
  </w:style>
  <w:style w:type="paragraph" w:styleId="16">
    <w:name w:val="Block Text"/>
    <w:basedOn w:val="1"/>
    <w:unhideWhenUsed/>
    <w:qFormat/>
    <w:uiPriority w:val="99"/>
    <w:pPr>
      <w:spacing w:after="120"/>
      <w:ind w:left="25" w:leftChars="-1" w:hanging="27" w:hangingChars="13"/>
      <w:jc w:val="center"/>
    </w:pPr>
  </w:style>
  <w:style w:type="paragraph" w:styleId="17">
    <w:name w:val="index 4"/>
    <w:next w:val="1"/>
    <w:qFormat/>
    <w:uiPriority w:val="0"/>
    <w:pPr>
      <w:widowControl w:val="0"/>
      <w:ind w:left="600" w:leftChars="600"/>
      <w:jc w:val="both"/>
    </w:pPr>
    <w:rPr>
      <w:rFonts w:ascii="Times New Roman" w:hAnsi="Times New Roman" w:eastAsia="宋体" w:cs="Times New Roman"/>
      <w:kern w:val="2"/>
      <w:sz w:val="21"/>
      <w:szCs w:val="24"/>
      <w:lang w:val="en-US" w:eastAsia="zh-CN" w:bidi="ar-SA"/>
    </w:rPr>
  </w:style>
  <w:style w:type="paragraph" w:styleId="18">
    <w:name w:val="toc 3"/>
    <w:basedOn w:val="1"/>
    <w:next w:val="1"/>
    <w:qFormat/>
    <w:uiPriority w:val="0"/>
    <w:pPr>
      <w:ind w:left="840" w:leftChars="400"/>
    </w:pPr>
  </w:style>
  <w:style w:type="paragraph" w:styleId="19">
    <w:name w:val="Plain Text"/>
    <w:basedOn w:val="1"/>
    <w:qFormat/>
    <w:uiPriority w:val="0"/>
    <w:rPr>
      <w:rFonts w:ascii="宋体" w:hAnsi="Courier New"/>
      <w:szCs w:val="22"/>
    </w:rPr>
  </w:style>
  <w:style w:type="paragraph" w:styleId="20">
    <w:name w:val="footer"/>
    <w:basedOn w:val="1"/>
    <w:unhideWhenUsed/>
    <w:qFormat/>
    <w:uiPriority w:val="99"/>
    <w:pPr>
      <w:tabs>
        <w:tab w:val="center" w:pos="4153"/>
        <w:tab w:val="right" w:pos="8306"/>
      </w:tabs>
      <w:snapToGrid w:val="0"/>
      <w:jc w:val="left"/>
    </w:pPr>
    <w:rPr>
      <w:sz w:val="18"/>
    </w:rPr>
  </w:style>
  <w:style w:type="paragraph" w:styleId="21">
    <w:name w:val="header"/>
    <w:basedOn w:val="1"/>
    <w:unhideWhenUsed/>
    <w:qFormat/>
    <w:uiPriority w:val="0"/>
    <w:pPr>
      <w:pBdr>
        <w:bottom w:val="single" w:color="auto" w:sz="6" w:space="1"/>
      </w:pBdr>
      <w:tabs>
        <w:tab w:val="center" w:pos="4153"/>
        <w:tab w:val="right" w:pos="8306"/>
      </w:tabs>
      <w:snapToGrid w:val="0"/>
      <w:jc w:val="center"/>
    </w:pPr>
    <w:rPr>
      <w:rFonts w:hAnsi="宋体" w:eastAsia="宋体"/>
      <w:bCs/>
      <w:color w:val="000000"/>
      <w:spacing w:val="-6"/>
      <w:sz w:val="18"/>
      <w:szCs w:val="18"/>
    </w:rPr>
  </w:style>
  <w:style w:type="paragraph" w:styleId="22">
    <w:name w:val="toc 1"/>
    <w:basedOn w:val="1"/>
    <w:next w:val="1"/>
    <w:link w:val="59"/>
    <w:unhideWhenUsed/>
    <w:qFormat/>
    <w:uiPriority w:val="39"/>
    <w:pPr>
      <w:adjustRightInd w:val="0"/>
      <w:jc w:val="left"/>
      <w:textAlignment w:val="baseline"/>
    </w:pPr>
    <w:rPr>
      <w:sz w:val="24"/>
    </w:rPr>
  </w:style>
  <w:style w:type="paragraph" w:styleId="23">
    <w:name w:val="toc 4"/>
    <w:basedOn w:val="1"/>
    <w:next w:val="1"/>
    <w:link w:val="58"/>
    <w:qFormat/>
    <w:uiPriority w:val="0"/>
    <w:pPr>
      <w:ind w:left="1260" w:leftChars="600"/>
    </w:pPr>
  </w:style>
  <w:style w:type="paragraph" w:styleId="24">
    <w:name w:val="toc 2"/>
    <w:basedOn w:val="1"/>
    <w:next w:val="1"/>
    <w:qFormat/>
    <w:uiPriority w:val="0"/>
    <w:pPr>
      <w:ind w:left="420" w:leftChars="200"/>
    </w:pPr>
  </w:style>
  <w:style w:type="paragraph" w:styleId="25">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26">
    <w:name w:val="Body Text First Indent 2"/>
    <w:basedOn w:val="14"/>
    <w:qFormat/>
    <w:uiPriority w:val="0"/>
    <w:pPr>
      <w:widowControl/>
      <w:spacing w:after="120"/>
      <w:ind w:left="420" w:leftChars="200" w:firstLine="420" w:firstLineChars="200"/>
      <w:jc w:val="left"/>
    </w:pPr>
    <w:rPr>
      <w:rFonts w:ascii="Times New Roman"/>
      <w:kern w:val="0"/>
      <w:sz w:val="20"/>
      <w:szCs w:val="24"/>
    </w:rPr>
  </w:style>
  <w:style w:type="table" w:styleId="28">
    <w:name w:val="Table Grid"/>
    <w:basedOn w:val="2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page number"/>
    <w:basedOn w:val="29"/>
    <w:qFormat/>
    <w:uiPriority w:val="0"/>
  </w:style>
  <w:style w:type="character" w:styleId="31">
    <w:name w:val="annotation reference"/>
    <w:basedOn w:val="29"/>
    <w:qFormat/>
    <w:uiPriority w:val="0"/>
    <w:rPr>
      <w:sz w:val="21"/>
      <w:szCs w:val="21"/>
    </w:rPr>
  </w:style>
  <w:style w:type="character" w:customStyle="1" w:styleId="32">
    <w:name w:val="NormalCharacter"/>
    <w:qFormat/>
    <w:uiPriority w:val="0"/>
  </w:style>
  <w:style w:type="paragraph" w:customStyle="1" w:styleId="33">
    <w:name w:val="Default"/>
    <w:qFormat/>
    <w:uiPriority w:val="99"/>
    <w:pPr>
      <w:widowControl w:val="0"/>
      <w:autoSpaceDE w:val="0"/>
      <w:autoSpaceDN w:val="0"/>
      <w:adjustRightInd w:val="0"/>
      <w:spacing w:before="120" w:after="120" w:line="360" w:lineRule="auto"/>
      <w:jc w:val="both"/>
    </w:pPr>
    <w:rPr>
      <w:rFonts w:ascii="黑体" w:hAnsi="Cambria" w:eastAsia="黑体" w:cs="黑体"/>
      <w:color w:val="000000"/>
      <w:sz w:val="24"/>
      <w:szCs w:val="24"/>
      <w:lang w:val="en-US" w:eastAsia="zh-CN" w:bidi="ar-SA"/>
    </w:rPr>
  </w:style>
  <w:style w:type="paragraph" w:customStyle="1" w:styleId="34">
    <w:name w:val="普通正文"/>
    <w:basedOn w:val="1"/>
    <w:qFormat/>
    <w:uiPriority w:val="0"/>
    <w:pPr>
      <w:adjustRightInd w:val="0"/>
      <w:spacing w:before="120" w:after="120" w:line="360" w:lineRule="auto"/>
      <w:ind w:firstLine="480"/>
      <w:jc w:val="left"/>
      <w:textAlignment w:val="baseline"/>
    </w:pPr>
    <w:rPr>
      <w:rFonts w:ascii="Arial" w:hAnsi="Arial" w:eastAsia="宋体"/>
      <w:kern w:val="0"/>
      <w:sz w:val="24"/>
      <w:szCs w:val="24"/>
    </w:rPr>
  </w:style>
  <w:style w:type="character" w:customStyle="1" w:styleId="35">
    <w:name w:val="标题 1 字符"/>
    <w:link w:val="2"/>
    <w:qFormat/>
    <w:uiPriority w:val="0"/>
    <w:rPr>
      <w:b/>
      <w:kern w:val="44"/>
      <w:sz w:val="44"/>
    </w:rPr>
  </w:style>
  <w:style w:type="paragraph" w:customStyle="1" w:styleId="36">
    <w:name w:val="正文文本11"/>
    <w:basedOn w:val="37"/>
    <w:next w:val="39"/>
    <w:qFormat/>
    <w:uiPriority w:val="0"/>
    <w:rPr>
      <w:rFonts w:ascii="楷体_GB2312" w:hAnsi="Arial" w:eastAsia="楷体_GB2312"/>
      <w:sz w:val="28"/>
      <w:szCs w:val="28"/>
    </w:rPr>
  </w:style>
  <w:style w:type="paragraph" w:customStyle="1" w:styleId="37">
    <w:name w:val="正文11"/>
    <w:next w:val="38"/>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8">
    <w:name w:val="正文1"/>
    <w:next w:val="1"/>
    <w:qFormat/>
    <w:uiPriority w:val="0"/>
    <w:pPr>
      <w:widowControl w:val="0"/>
      <w:jc w:val="both"/>
    </w:pPr>
    <w:rPr>
      <w:rFonts w:ascii="Times New Roman" w:hAnsi="Times New Roman" w:eastAsia="Times New Roman" w:cs="Times New Roman"/>
      <w:color w:val="000000"/>
      <w:kern w:val="2"/>
      <w:sz w:val="21"/>
      <w:szCs w:val="21"/>
      <w:lang w:val="en-US" w:eastAsia="zh-CN" w:bidi="ar-SA"/>
    </w:rPr>
  </w:style>
  <w:style w:type="paragraph" w:customStyle="1" w:styleId="39">
    <w:name w:val="正文文本 31"/>
    <w:basedOn w:val="37"/>
    <w:next w:val="37"/>
    <w:qFormat/>
    <w:uiPriority w:val="0"/>
    <w:pPr>
      <w:tabs>
        <w:tab w:val="left" w:pos="-142"/>
        <w:tab w:val="left" w:pos="993"/>
        <w:tab w:val="left" w:pos="1134"/>
      </w:tabs>
      <w:spacing w:line="360" w:lineRule="auto"/>
    </w:pPr>
    <w:rPr>
      <w:rFonts w:eastAsia="仿宋_GB2312"/>
      <w:b/>
      <w:bCs/>
      <w:sz w:val="28"/>
      <w:u w:val="single"/>
    </w:rPr>
  </w:style>
  <w:style w:type="paragraph" w:customStyle="1" w:styleId="40">
    <w:name w:val="正文文本缩进 21"/>
    <w:basedOn w:val="37"/>
    <w:qFormat/>
    <w:uiPriority w:val="0"/>
    <w:pPr>
      <w:spacing w:line="520" w:lineRule="exact"/>
      <w:ind w:firstLine="510"/>
    </w:pPr>
    <w:rPr>
      <w:rFonts w:ascii="华文仿宋" w:eastAsia="华文仿宋"/>
      <w:sz w:val="28"/>
    </w:rPr>
  </w:style>
  <w:style w:type="paragraph" w:customStyle="1" w:styleId="41">
    <w:name w:val="正文文本 211"/>
    <w:basedOn w:val="37"/>
    <w:qFormat/>
    <w:uiPriority w:val="0"/>
    <w:pPr>
      <w:spacing w:after="120" w:line="480" w:lineRule="auto"/>
    </w:pPr>
  </w:style>
  <w:style w:type="paragraph" w:customStyle="1" w:styleId="42">
    <w:name w:val="xl27"/>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eastAsia="宋体"/>
      <w:kern w:val="0"/>
      <w:sz w:val="24"/>
      <w:szCs w:val="24"/>
    </w:rPr>
  </w:style>
  <w:style w:type="paragraph" w:customStyle="1" w:styleId="43">
    <w:name w:val="Plain Text1"/>
    <w:basedOn w:val="1"/>
    <w:qFormat/>
    <w:uiPriority w:val="0"/>
    <w:pPr>
      <w:adjustRightInd w:val="0"/>
    </w:pPr>
    <w:rPr>
      <w:rFonts w:ascii="宋体" w:hAnsi="Courier New"/>
      <w:sz w:val="28"/>
    </w:rPr>
  </w:style>
  <w:style w:type="paragraph" w:customStyle="1" w:styleId="44">
    <w:name w:val="图表目录1"/>
    <w:basedOn w:val="37"/>
    <w:next w:val="37"/>
    <w:qFormat/>
    <w:uiPriority w:val="0"/>
    <w:pPr>
      <w:tabs>
        <w:tab w:val="left" w:pos="1270"/>
      </w:tabs>
      <w:spacing w:line="360" w:lineRule="auto"/>
      <w:ind w:left="1270" w:hanging="420"/>
      <w:jc w:val="left"/>
    </w:pPr>
    <w:rPr>
      <w:smallCaps/>
      <w:sz w:val="20"/>
      <w:szCs w:val="20"/>
    </w:rPr>
  </w:style>
  <w:style w:type="paragraph" w:customStyle="1" w:styleId="45">
    <w:name w:val="+正文"/>
    <w:basedOn w:val="1"/>
    <w:qFormat/>
    <w:uiPriority w:val="99"/>
    <w:pPr>
      <w:spacing w:line="360" w:lineRule="auto"/>
      <w:ind w:firstLine="200" w:firstLineChars="200"/>
    </w:pPr>
    <w:rPr>
      <w:rFonts w:eastAsia="宋体"/>
      <w:sz w:val="24"/>
    </w:rPr>
  </w:style>
  <w:style w:type="paragraph" w:customStyle="1" w:styleId="46">
    <w:name w:val="表名"/>
    <w:basedOn w:val="1"/>
    <w:qFormat/>
    <w:uiPriority w:val="0"/>
    <w:pPr>
      <w:autoSpaceDE w:val="0"/>
      <w:autoSpaceDN w:val="0"/>
      <w:adjustRightInd w:val="0"/>
      <w:spacing w:beforeLines="20" w:line="288" w:lineRule="auto"/>
      <w:jc w:val="center"/>
      <w:textAlignment w:val="baseline"/>
    </w:pPr>
    <w:rPr>
      <w:kern w:val="0"/>
      <w:sz w:val="24"/>
    </w:rPr>
  </w:style>
  <w:style w:type="paragraph" w:customStyle="1" w:styleId="47">
    <w:name w:val="表格"/>
    <w:basedOn w:val="1"/>
    <w:qFormat/>
    <w:uiPriority w:val="0"/>
    <w:pPr>
      <w:adjustRightInd w:val="0"/>
      <w:jc w:val="center"/>
      <w:textAlignment w:val="baseline"/>
    </w:pPr>
  </w:style>
  <w:style w:type="paragraph" w:customStyle="1" w:styleId="48">
    <w:name w:val="小正文"/>
    <w:basedOn w:val="12"/>
    <w:unhideWhenUsed/>
    <w:qFormat/>
    <w:uiPriority w:val="0"/>
    <w:pPr>
      <w:spacing w:after="0" w:line="360" w:lineRule="auto"/>
      <w:ind w:firstLine="200" w:firstLineChars="200"/>
    </w:pPr>
    <w:rPr>
      <w:rFonts w:ascii="Times New Roman" w:hAnsi="Times New Roman"/>
      <w:sz w:val="24"/>
      <w:lang w:val="zh-CN"/>
    </w:rPr>
  </w:style>
  <w:style w:type="paragraph" w:customStyle="1" w:styleId="49">
    <w:name w:val="段"/>
    <w:next w:val="1"/>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paragraph" w:styleId="50">
    <w:name w:val="List Paragraph"/>
    <w:basedOn w:val="1"/>
    <w:unhideWhenUsed/>
    <w:qFormat/>
    <w:uiPriority w:val="99"/>
    <w:pPr>
      <w:ind w:firstLine="420" w:firstLineChars="200"/>
    </w:pPr>
  </w:style>
  <w:style w:type="paragraph" w:customStyle="1" w:styleId="51">
    <w:name w:val="修订1"/>
    <w:hidden/>
    <w:unhideWhenUsed/>
    <w:qFormat/>
    <w:uiPriority w:val="99"/>
    <w:rPr>
      <w:rFonts w:ascii="Times New Roman" w:hAnsi="Times New Roman" w:eastAsia="楷体_GB2312" w:cs="Times New Roman"/>
      <w:kern w:val="2"/>
      <w:sz w:val="26"/>
      <w:lang w:val="en-US" w:eastAsia="zh-CN" w:bidi="ar-SA"/>
    </w:rPr>
  </w:style>
  <w:style w:type="paragraph" w:customStyle="1" w:styleId="52">
    <w:name w:val="修订2"/>
    <w:hidden/>
    <w:unhideWhenUsed/>
    <w:qFormat/>
    <w:uiPriority w:val="99"/>
    <w:rPr>
      <w:rFonts w:ascii="Times New Roman" w:hAnsi="Times New Roman" w:eastAsia="楷体_GB2312" w:cs="Times New Roman"/>
      <w:kern w:val="2"/>
      <w:sz w:val="26"/>
      <w:lang w:val="en-US" w:eastAsia="zh-CN" w:bidi="ar-SA"/>
    </w:rPr>
  </w:style>
  <w:style w:type="character" w:customStyle="1" w:styleId="53">
    <w:name w:val="fontstyle01"/>
    <w:qFormat/>
    <w:uiPriority w:val="0"/>
    <w:rPr>
      <w:rFonts w:hint="eastAsia" w:ascii="宋体" w:hAnsi="宋体" w:eastAsia="宋体"/>
      <w:color w:val="000000"/>
      <w:sz w:val="24"/>
      <w:szCs w:val="24"/>
    </w:rPr>
  </w:style>
  <w:style w:type="table" w:customStyle="1" w:styleId="54">
    <w:name w:val="TableGrid"/>
    <w:qFormat/>
    <w:uiPriority w:val="0"/>
    <w:tblPr>
      <w:tblCellMar>
        <w:top w:w="0" w:type="dxa"/>
        <w:left w:w="0" w:type="dxa"/>
        <w:bottom w:w="0" w:type="dxa"/>
        <w:right w:w="0" w:type="dxa"/>
      </w:tblCellMar>
    </w:tblPr>
  </w:style>
  <w:style w:type="paragraph" w:customStyle="1" w:styleId="55">
    <w:name w:val="Table Paragraph"/>
    <w:basedOn w:val="1"/>
    <w:qFormat/>
    <w:uiPriority w:val="1"/>
    <w:pPr>
      <w:autoSpaceDE w:val="0"/>
      <w:autoSpaceDN w:val="0"/>
      <w:jc w:val="left"/>
    </w:pPr>
    <w:rPr>
      <w:rFonts w:ascii="宋体" w:hAnsi="宋体" w:eastAsia="宋体" w:cs="宋体"/>
      <w:kern w:val="0"/>
      <w:sz w:val="22"/>
      <w:szCs w:val="22"/>
      <w:lang w:eastAsia="en-US"/>
    </w:rPr>
  </w:style>
  <w:style w:type="character" w:customStyle="1" w:styleId="56">
    <w:name w:val="font11"/>
    <w:qFormat/>
    <w:uiPriority w:val="0"/>
    <w:rPr>
      <w:rFonts w:hint="eastAsia" w:ascii="宋体" w:hAnsi="宋体" w:eastAsia="宋体" w:cs="宋体"/>
      <w:color w:val="000000"/>
      <w:sz w:val="18"/>
      <w:szCs w:val="18"/>
      <w:u w:val="none"/>
    </w:rPr>
  </w:style>
  <w:style w:type="paragraph" w:customStyle="1" w:styleId="57">
    <w:name w:val=" Char Char Char Char Char Char Char Char Char Char"/>
    <w:basedOn w:val="1"/>
    <w:qFormat/>
    <w:uiPriority w:val="0"/>
    <w:pPr>
      <w:autoSpaceDE/>
      <w:autoSpaceDN/>
      <w:spacing w:after="160" w:line="240" w:lineRule="exact"/>
      <w:ind w:firstLine="0" w:firstLineChars="0"/>
      <w:textAlignment w:val="baseline"/>
    </w:pPr>
    <w:rPr>
      <w:rFonts w:ascii="Verdana" w:hAnsi="Verdana"/>
      <w:sz w:val="20"/>
      <w:szCs w:val="20"/>
      <w:lang w:eastAsia="en-US"/>
    </w:rPr>
  </w:style>
  <w:style w:type="character" w:customStyle="1" w:styleId="58">
    <w:name w:val="目录 4 Char"/>
    <w:link w:val="23"/>
    <w:qFormat/>
    <w:uiPriority w:val="0"/>
  </w:style>
  <w:style w:type="character" w:customStyle="1" w:styleId="59">
    <w:name w:val="目录 1 Char"/>
    <w:link w:val="22"/>
    <w:qFormat/>
    <w:uiPriority w:val="39"/>
    <w:rPr>
      <w:sz w:val="24"/>
    </w:rPr>
  </w:style>
  <w:style w:type="paragraph" w:customStyle="1" w:styleId="60">
    <w:name w:val="正文文本1"/>
    <w:next w:val="33"/>
    <w:qFormat/>
    <w:uiPriority w:val="99"/>
    <w:rPr>
      <w:rFonts w:hint="default" w:ascii="Arial" w:hAnsi="Arial" w:eastAsia="Arial" w:cs="Arial"/>
      <w:sz w:val="20"/>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135</Pages>
  <Words>28928</Words>
  <Characters>30741</Characters>
  <Lines>1050</Lines>
  <Paragraphs>987</Paragraphs>
  <TotalTime>35</TotalTime>
  <ScaleCrop>false</ScaleCrop>
  <LinksUpToDate>false</LinksUpToDate>
  <CharactersWithSpaces>31091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2025-05-08T23:12:00Z</dcterms:created>
  <dc:creator>dc</dc:creator>
  <cp:lastModifiedBy>Hello小琳子</cp:lastModifiedBy>
  <cp:lastPrinted>2024-12-13T22:53:00Z</cp:lastPrinted>
  <dcterms:modified xsi:type="dcterms:W3CDTF">2026-09-22T02:48:08Z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AA7E6C5642F64268A61929FBFEDBD822_13</vt:lpwstr>
  </property>
  <property fmtid="{D5CDD505-2E9C-101B-9397-08002B2CF9AE}" pid="4" name="KSOTemplateDocerSaveRecord">
    <vt:lpwstr>eyJoZGlkIjoiYTMxMWU0NDA2OTQwODJmNGNmYWNhY2QwNGU3YjA1YmEiLCJ1c2VySWQiOiI4MTkwMDQ3ODIifQ==</vt:lpwstr>
  </property>
</Properties>
</file>