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jc w:val="center"/>
        <w:tabs>
          <w:tab w:val="right" w:pos="9094" w:leader="dot"/>
        </w:tabs>
        <w:rPr>
          <w:b/>
          <w:bCs/>
          <w:sz w:val="36"/>
          <w:szCs w:val="36"/>
        </w:rPr>
      </w:pPr>
      <w:r>
        <w:rPr>
          <w:b/>
          <w:bCs/>
          <w:sz w:val="36"/>
          <w:szCs w:val="36"/>
        </w:rPr>
      </w:r>
      <w:r/>
    </w:p>
    <w:p>
      <w:pPr>
        <w:pStyle w:val="998"/>
        <w:jc w:val="center"/>
        <w:tabs>
          <w:tab w:val="right" w:pos="9094" w:leader="dot"/>
        </w:tabs>
        <w:rPr>
          <w:b/>
          <w:bCs/>
          <w:sz w:val="32"/>
          <w:szCs w:val="32"/>
        </w:rPr>
      </w:pPr>
      <w:r>
        <w:rPr>
          <w:b/>
          <w:bCs/>
          <w:sz w:val="32"/>
          <w:szCs w:val="32"/>
        </w:rPr>
      </w:r>
      <w:r/>
    </w:p>
    <w:p>
      <w:pPr>
        <w:pStyle w:val="998"/>
        <w:jc w:val="center"/>
        <w:tabs>
          <w:tab w:val="right" w:pos="9094" w:leader="dot"/>
        </w:tabs>
        <w:rPr>
          <w:b/>
          <w:bCs/>
          <w:sz w:val="36"/>
          <w:szCs w:val="36"/>
        </w:rPr>
      </w:pPr>
      <w:r>
        <w:rPr>
          <w:b/>
          <w:bCs/>
          <w:sz w:val="36"/>
          <w:szCs w:val="36"/>
        </w:rPr>
      </w:r>
      <w:r/>
    </w:p>
    <w:p>
      <w:pPr>
        <w:pStyle w:val="720"/>
        <w:jc w:val="center"/>
        <w:rPr>
          <w:sz w:val="36"/>
          <w:szCs w:val="36"/>
        </w:rPr>
      </w:pPr>
      <w:r>
        <w:rPr>
          <w:rFonts w:hint="eastAsia"/>
          <w:spacing w:val="1"/>
          <w:sz w:val="28"/>
          <w:szCs w:val="28"/>
        </w:rPr>
        <w:t xml:space="preserve">靖江市人民医院数据中心机房升级改造基础环境集成实施服务项</w:t>
      </w:r>
      <w:r>
        <w:rPr>
          <w:rFonts w:hint="eastAsia"/>
          <w:spacing w:val="24"/>
          <w:sz w:val="28"/>
          <w:szCs w:val="28"/>
        </w:rPr>
        <w:t xml:space="preserve">目</w:t>
      </w: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jc w:val="center"/>
        <w:rPr>
          <w:rFonts w:ascii="方正小标宋简体" w:hAnsi="方正小标宋简体" w:eastAsia="方正小标宋简体" w:cs="方正小标宋简体"/>
          <w:sz w:val="72"/>
          <w:szCs w:val="72"/>
        </w:rPr>
      </w:pPr>
      <w:r>
        <w:rPr>
          <w:rFonts w:ascii="方正小标宋简体" w:hAnsi="方正小标宋简体" w:eastAsia="方正小标宋简体" w:cs="方正小标宋简体"/>
          <w:sz w:val="72"/>
          <w:szCs w:val="72"/>
        </w:rPr>
      </w:r>
      <w:r/>
    </w:p>
    <w:p>
      <w:pPr>
        <w:jc w:val="center"/>
        <w:rPr>
          <w:rFonts w:ascii="方正小标宋简体" w:hAnsi="方正小标宋简体" w:eastAsia="方正小标宋简体" w:cs="方正小标宋简体"/>
          <w:sz w:val="60"/>
          <w:szCs w:val="60"/>
        </w:rPr>
      </w:pPr>
      <w:r>
        <w:rPr>
          <w:rFonts w:ascii="方正小标宋简体" w:hAnsi="方正小标宋简体" w:eastAsia="方正小标宋简体" w:cs="方正小标宋简体"/>
          <w:sz w:val="60"/>
          <w:szCs w:val="60"/>
        </w:rPr>
      </w:r>
      <w:r>
        <w:rPr>
          <w:rFonts w:ascii="方正小标宋简体" w:hAnsi="方正小标宋简体" w:eastAsia="方正小标宋简体" w:cs="方正小标宋简体"/>
          <w:sz w:val="60"/>
          <w:szCs w:val="60"/>
        </w:rPr>
      </w:r>
      <w:r/>
    </w:p>
    <w:p>
      <w:pPr>
        <w:jc w:val="center"/>
        <w:rPr>
          <w:rFonts w:ascii="方正小标宋简体" w:hAnsi="方正小标宋简体" w:eastAsia="方正小标宋简体" w:cs="方正小标宋简体"/>
          <w:sz w:val="60"/>
          <w:szCs w:val="60"/>
        </w:rPr>
      </w:pPr>
      <w:r>
        <w:rPr>
          <w:rFonts w:ascii="方正小标宋简体" w:hAnsi="方正小标宋简体" w:eastAsia="方正小标宋简体" w:cs="方正小标宋简体"/>
          <w:sz w:val="60"/>
          <w:szCs w:val="60"/>
        </w:rPr>
      </w:r>
      <w:r>
        <w:rPr>
          <w:rFonts w:ascii="方正小标宋简体" w:hAnsi="方正小标宋简体" w:eastAsia="方正小标宋简体" w:cs="方正小标宋简体"/>
          <w:sz w:val="60"/>
          <w:szCs w:val="60"/>
        </w:rPr>
      </w:r>
      <w:r/>
    </w:p>
    <w:p>
      <w:pPr>
        <w:pStyle w:val="720"/>
        <w:jc w:val="center"/>
        <w:rPr>
          <w:rFonts w:ascii="方正小标宋简体" w:hAnsi="方正小标宋简体" w:eastAsia="方正小标宋简体" w:cs="方正小标宋简体"/>
          <w:sz w:val="60"/>
          <w:szCs w:val="60"/>
        </w:rPr>
      </w:pPr>
      <w:r>
        <w:rPr>
          <w:rFonts w:ascii="方正小标宋简体" w:hAnsi="方正小标宋简体" w:eastAsia="方正小标宋简体" w:cs="方正小标宋简体"/>
          <w:sz w:val="60"/>
          <w:szCs w:val="60"/>
        </w:rPr>
      </w:r>
      <w:r/>
    </w:p>
    <w:p>
      <w:pPr>
        <w:pStyle w:val="720"/>
        <w:jc w:val="center"/>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 xml:space="preserve">招  标 文 件</w:t>
      </w:r>
      <w:r>
        <w:rPr>
          <w:rFonts w:ascii="方正小标宋简体" w:hAnsi="方正小标宋简体" w:eastAsia="方正小标宋简体" w:cs="方正小标宋简体"/>
          <w:sz w:val="72"/>
          <w:szCs w:val="72"/>
        </w:rPr>
      </w:r>
      <w:r/>
    </w:p>
    <w:p>
      <w:pPr>
        <w:pStyle w:val="720"/>
        <w:ind w:firstLine="320"/>
        <w:spacing w:line="360" w:lineRule="auto"/>
        <w:rPr>
          <w:sz w:val="32"/>
          <w:szCs w:val="32"/>
        </w:rPr>
      </w:pPr>
      <w:r>
        <w:rPr>
          <w:sz w:val="32"/>
          <w:szCs w:val="32"/>
        </w:rPr>
      </w:r>
      <w:r/>
    </w:p>
    <w:p>
      <w:pPr>
        <w:pStyle w:val="720"/>
        <w:ind w:firstLine="1120"/>
        <w:spacing w:line="360" w:lineRule="auto"/>
        <w:rPr>
          <w:sz w:val="32"/>
          <w:szCs w:val="32"/>
        </w:rPr>
      </w:pPr>
      <w:r>
        <w:rPr>
          <w:sz w:val="32"/>
          <w:szCs w:val="32"/>
        </w:rPr>
      </w:r>
      <w:r/>
    </w:p>
    <w:p>
      <w:pPr>
        <w:pStyle w:val="983"/>
      </w:pPr>
      <w:r/>
      <w:r/>
    </w:p>
    <w:p>
      <w:pPr>
        <w:pStyle w:val="983"/>
      </w:pPr>
      <w:r/>
      <w:r/>
    </w:p>
    <w:p>
      <w:pPr>
        <w:pStyle w:val="720"/>
        <w:ind w:firstLine="560"/>
        <w:spacing w:before="156" w:after="156"/>
        <w:rPr>
          <w:rFonts w:ascii="宋体" w:hAnsi="宋体"/>
          <w:sz w:val="28"/>
          <w:szCs w:val="28"/>
        </w:rPr>
      </w:pPr>
      <w:r>
        <w:rPr>
          <w:rFonts w:ascii="宋体" w:hAnsi="宋体"/>
          <w:sz w:val="28"/>
          <w:szCs w:val="28"/>
        </w:rPr>
      </w:r>
      <w:r/>
    </w:p>
    <w:p>
      <w:pPr>
        <w:pStyle w:val="720"/>
        <w:ind w:firstLine="560"/>
        <w:spacing w:before="156" w:after="156"/>
        <w:rPr>
          <w:rFonts w:ascii="宋体" w:hAnsi="宋体"/>
          <w:sz w:val="28"/>
          <w:szCs w:val="28"/>
          <w:u w:val="single"/>
        </w:rPr>
      </w:pPr>
      <w:r>
        <w:rPr>
          <w:rFonts w:ascii="宋体" w:hAnsi="宋体"/>
          <w:sz w:val="28"/>
          <w:szCs w:val="28"/>
          <w:u w:val="single"/>
        </w:rPr>
      </w:r>
      <w:r/>
    </w:p>
    <w:p>
      <w:pPr>
        <w:pStyle w:val="720"/>
        <w:ind w:firstLine="560"/>
        <w:spacing w:before="156" w:after="156"/>
        <w:rPr>
          <w:rFonts w:ascii="宋体" w:hAnsi="宋体"/>
          <w:sz w:val="28"/>
          <w:szCs w:val="28"/>
          <w:u w:val="single"/>
        </w:rPr>
      </w:pPr>
      <w:r>
        <w:rPr>
          <w:rFonts w:ascii="宋体" w:hAnsi="宋体"/>
          <w:sz w:val="28"/>
          <w:szCs w:val="28"/>
          <w:u w:val="single"/>
        </w:rPr>
      </w:r>
      <w:r/>
    </w:p>
    <w:p>
      <w:pPr>
        <w:pStyle w:val="720"/>
        <w:ind w:firstLine="560"/>
        <w:spacing w:before="156" w:after="156"/>
        <w:rPr>
          <w:rFonts w:ascii="宋体" w:hAnsi="宋体"/>
          <w:sz w:val="28"/>
          <w:szCs w:val="28"/>
          <w:u w:val="single"/>
        </w:rPr>
      </w:pPr>
      <w:r>
        <w:rPr>
          <w:rFonts w:hint="eastAsia" w:ascii="宋体" w:hAnsi="宋体"/>
          <w:sz w:val="28"/>
          <w:szCs w:val="28"/>
        </w:rPr>
        <w:t xml:space="preserve">招   标   人（盖章）：</w:t>
      </w:r>
      <w:r>
        <w:rPr>
          <w:rFonts w:hint="eastAsia" w:ascii="宋体" w:hAnsi="宋体"/>
          <w:sz w:val="28"/>
          <w:szCs w:val="28"/>
          <w:u w:val="single"/>
        </w:rPr>
        <w:t xml:space="preserve">    靖江市人民医院               </w:t>
      </w:r>
      <w:r>
        <w:rPr>
          <w:rFonts w:ascii="宋体" w:hAnsi="宋体"/>
          <w:sz w:val="28"/>
          <w:szCs w:val="28"/>
          <w:u w:val="single"/>
        </w:rPr>
      </w:r>
      <w:r/>
    </w:p>
    <w:p>
      <w:pPr>
        <w:pStyle w:val="983"/>
      </w:pPr>
      <w:r/>
      <w:r/>
    </w:p>
    <w:p>
      <w:pPr>
        <w:pStyle w:val="720"/>
        <w:ind w:firstLine="560"/>
        <w:spacing w:before="156" w:after="156"/>
        <w:rPr>
          <w:rFonts w:ascii="宋体" w:hAnsi="宋体"/>
          <w:sz w:val="28"/>
          <w:szCs w:val="28"/>
        </w:rPr>
      </w:pPr>
      <w:r/>
      <w:bookmarkStart w:id="0" w:name="_Toc2344"/>
      <w:r>
        <w:rPr>
          <w:rFonts w:ascii="宋体" w:hAnsi="宋体"/>
          <w:sz w:val="28"/>
          <w:szCs w:val="28"/>
        </w:rPr>
      </w:r>
      <w:r/>
    </w:p>
    <w:p>
      <w:pPr>
        <w:pStyle w:val="720"/>
        <w:ind w:firstLine="560"/>
        <w:spacing w:before="156" w:after="156"/>
        <w:rPr>
          <w:rFonts w:ascii="宋体" w:hAnsi="宋体"/>
          <w:sz w:val="28"/>
          <w:szCs w:val="28"/>
        </w:rPr>
      </w:pPr>
      <w:r>
        <w:rPr>
          <w:rFonts w:ascii="宋体" w:hAnsi="宋体"/>
          <w:sz w:val="28"/>
          <w:szCs w:val="28"/>
        </w:rPr>
      </w:r>
      <w:r/>
    </w:p>
    <w:p>
      <w:pPr>
        <w:pStyle w:val="720"/>
        <w:ind w:firstLine="560"/>
        <w:spacing w:before="156" w:after="156"/>
        <w:rPr>
          <w:rFonts w:ascii="宋体" w:hAnsi="宋体"/>
          <w:sz w:val="28"/>
          <w:szCs w:val="28"/>
        </w:rPr>
      </w:pPr>
      <w:r>
        <w:rPr>
          <w:rFonts w:hint="eastAsia" w:ascii="宋体" w:hAnsi="宋体"/>
          <w:sz w:val="28"/>
          <w:szCs w:val="28"/>
        </w:rPr>
        <w:t xml:space="preserve">采购代理机构（盖章）：</w:t>
      </w:r>
      <w:bookmarkEnd w:id="0"/>
      <w:r>
        <w:rPr>
          <w:rFonts w:hint="eastAsia" w:ascii="宋体" w:hAnsi="宋体"/>
          <w:sz w:val="28"/>
          <w:szCs w:val="28"/>
          <w:u w:val="single"/>
        </w:rPr>
        <w:t xml:space="preserve"> </w:t>
      </w:r>
      <w:bookmarkStart w:id="1" w:name="OLE_LINK7"/>
      <w:r/>
      <w:bookmarkStart w:id="2" w:name="OLE_LINK6"/>
      <w:r>
        <w:rPr>
          <w:rFonts w:hint="eastAsia" w:ascii="宋体" w:hAnsi="宋体"/>
          <w:sz w:val="28"/>
          <w:szCs w:val="28"/>
          <w:u w:val="single"/>
        </w:rPr>
        <w:t xml:space="preserve">江苏智汇锡建工程项目管理有限公司</w:t>
      </w:r>
      <w:bookmarkEnd w:id="1"/>
      <w:r/>
      <w:bookmarkEnd w:id="2"/>
      <w:r>
        <w:rPr>
          <w:rFonts w:hint="eastAsia" w:ascii="宋体" w:hAnsi="宋体"/>
          <w:sz w:val="28"/>
          <w:szCs w:val="28"/>
          <w:u w:val="single"/>
        </w:rPr>
        <w:t xml:space="preserve">  </w:t>
      </w:r>
      <w:r>
        <w:rPr>
          <w:rFonts w:hint="eastAsia" w:ascii="宋体" w:hAnsi="宋体"/>
          <w:sz w:val="28"/>
          <w:szCs w:val="28"/>
        </w:rPr>
        <w:t xml:space="preserve"> </w:t>
      </w:r>
      <w:r>
        <w:rPr>
          <w:rFonts w:ascii="宋体" w:hAnsi="宋体"/>
          <w:sz w:val="28"/>
          <w:szCs w:val="28"/>
        </w:rPr>
      </w:r>
      <w:r/>
    </w:p>
    <w:p>
      <w:pPr>
        <w:pStyle w:val="998"/>
        <w:jc w:val="center"/>
        <w:tabs>
          <w:tab w:val="right" w:pos="9094" w:leader="dot"/>
        </w:tabs>
        <w:rPr>
          <w:rFonts w:ascii="宋体" w:hAnsi="宋体"/>
          <w:b/>
          <w:sz w:val="32"/>
          <w:szCs w:val="32"/>
        </w:rPr>
      </w:pPr>
      <w:r>
        <w:rPr>
          <w:rFonts w:hint="eastAsia" w:ascii="宋体" w:hAnsi="宋体"/>
          <w:b/>
          <w:sz w:val="32"/>
          <w:szCs w:val="32"/>
        </w:rPr>
        <w:t xml:space="preserve"> </w:t>
      </w:r>
      <w:bookmarkStart w:id="3" w:name="_Toc21097"/>
      <w:r>
        <w:rPr>
          <w:rFonts w:ascii="宋体" w:hAnsi="宋体"/>
          <w:b/>
          <w:sz w:val="32"/>
          <w:szCs w:val="32"/>
        </w:rPr>
      </w:r>
      <w:r/>
    </w:p>
    <w:p>
      <w:pPr>
        <w:pStyle w:val="998"/>
        <w:jc w:val="center"/>
        <w:tabs>
          <w:tab w:val="right" w:pos="9094" w:leader="dot"/>
        </w:tabs>
        <w:rPr>
          <w:rFonts w:ascii="宋体" w:hAnsi="宋体"/>
          <w:sz w:val="32"/>
          <w:szCs w:val="32"/>
        </w:rPr>
      </w:pPr>
      <w:r>
        <w:rPr>
          <w:rFonts w:hint="eastAsia" w:ascii="宋体" w:hAnsi="宋体"/>
          <w:sz w:val="32"/>
          <w:szCs w:val="32"/>
        </w:rPr>
        <w:t xml:space="preserve">20</w:t>
      </w:r>
      <w:bookmarkStart w:id="4" w:name="_Toc6218"/>
      <w:r/>
      <w:bookmarkStart w:id="5" w:name="_Toc23445"/>
      <w:r/>
      <w:bookmarkStart w:id="6" w:name="_Toc7487"/>
      <w:r>
        <w:rPr>
          <w:rFonts w:hint="eastAsia" w:ascii="宋体" w:hAnsi="宋体"/>
          <w:sz w:val="32"/>
          <w:szCs w:val="32"/>
        </w:rPr>
        <w:t xml:space="preserve">26年10月</w:t>
      </w:r>
      <w:bookmarkEnd w:id="3"/>
      <w:r/>
      <w:bookmarkEnd w:id="4"/>
      <w:r/>
      <w:bookmarkEnd w:id="5"/>
      <w:r/>
      <w:bookmarkEnd w:id="6"/>
      <w:r>
        <w:rPr>
          <w:rFonts w:ascii="宋体" w:hAnsi="宋体"/>
          <w:sz w:val="32"/>
          <w:szCs w:val="32"/>
        </w:rPr>
      </w:r>
      <w:r/>
    </w:p>
    <w:p>
      <w:pPr>
        <w:pStyle w:val="720"/>
      </w:pPr>
      <w:r/>
      <w:r/>
    </w:p>
    <w:p>
      <w:pPr>
        <w:pStyle w:val="720"/>
      </w:pPr>
      <w:r/>
      <w:r/>
    </w:p>
    <w:p>
      <w:pPr>
        <w:pStyle w:val="998"/>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755"/>
        <w:tabs>
          <w:tab w:val="right" w:pos="8810" w:leader="dot"/>
        </w:tabs>
        <w:rPr>
          <w:rFonts w:ascii="宋体" w:hAnsi="宋体"/>
          <w:sz w:val="21"/>
        </w:rPr>
      </w:pPr>
      <w:r>
        <w:rPr>
          <w:rFonts w:ascii="宋体" w:hAnsi="宋体"/>
          <w:sz w:val="21"/>
        </w:rPr>
      </w:r>
      <w:r/>
    </w:p>
    <w:p>
      <w:pPr>
        <w:pStyle w:val="755"/>
        <w:tabs>
          <w:tab w:val="right" w:pos="8810" w:leader="dot"/>
        </w:tabs>
        <w:rPr>
          <w:rFonts w:ascii="Times New Roman" w:hAnsi="Times New Roman" w:eastAsia="宋体" w:cs="Times New Roman"/>
          <w:sz w:val="22"/>
          <w:szCs w:val="22"/>
          <w:lang w:val="en-US" w:eastAsia="zh-CN" w:bidi="ar-SA"/>
        </w:rPr>
      </w:pPr>
      <w:r>
        <w:fldChar w:fldCharType="begin"/>
      </w:r>
      <w:r>
        <w:instrText xml:space="preserve">TOC \o "1-3" \h \u </w:instrText>
      </w:r>
      <w:r>
        <w:fldChar w:fldCharType="separate"/>
      </w:r>
      <w:r>
        <w:rPr>
          <w:rFonts w:ascii="Times New Roman" w:hAnsi="Times New Roman" w:eastAsia="宋体" w:cs="Times New Roman"/>
          <w:sz w:val="22"/>
          <w:szCs w:val="22"/>
          <w:lang w:val="en-US" w:eastAsia="zh-CN" w:bidi="ar-SA"/>
        </w:rPr>
      </w:r>
      <w:r/>
    </w:p>
    <w:p>
      <w:pPr>
        <w:pStyle w:val="755"/>
        <w:tabs>
          <w:tab w:val="right" w:pos="8810" w:leader="dot"/>
        </w:tabs>
      </w:pPr>
      <w:r>
        <w:fldChar w:fldCharType="begin"/>
      </w:r>
      <w:r>
        <w:instrText xml:space="preserve"> HYPERLINK \l _Toc13029 </w:instrText>
      </w:r>
      <w:r>
        <w:fldChar w:fldCharType="separate"/>
      </w:r>
      <w:r>
        <w:rPr>
          <w:rFonts w:hint="eastAsia" w:ascii="微软雅黑" w:hAnsi="微软雅黑" w:eastAsia="微软雅黑" w:cs="微软雅黑"/>
          <w:bCs w:val="0"/>
          <w:szCs w:val="36"/>
        </w:rPr>
        <w:t xml:space="preserve">投标人CA数字证书和电子签章办理特别提醒</w:t>
      </w:r>
      <w:r>
        <w:tab/>
      </w:r>
      <w:r>
        <w:fldChar w:fldCharType="begin"/>
      </w:r>
      <w:r>
        <w:instrText xml:space="preserve"> PAGEREF _Toc13029 \h </w:instrText>
      </w:r>
      <w:r>
        <w:fldChar w:fldCharType="separate"/>
      </w:r>
      <w:r>
        <w:t xml:space="preserve">1</w:t>
      </w:r>
      <w:r>
        <w:fldChar w:fldCharType="end"/>
      </w:r>
      <w:r>
        <w:fldChar w:fldCharType="end"/>
      </w:r>
      <w:r/>
    </w:p>
    <w:p>
      <w:pPr>
        <w:pStyle w:val="755"/>
        <w:tabs>
          <w:tab w:val="right" w:pos="8810" w:leader="dot"/>
        </w:tabs>
      </w:pPr>
      <w:r>
        <w:fldChar w:fldCharType="begin"/>
      </w:r>
      <w:r>
        <w:instrText xml:space="preserve"> HYPERLINK \l _Toc31552 </w:instrText>
      </w:r>
      <w:r>
        <w:fldChar w:fldCharType="separate"/>
      </w:r>
      <w:r>
        <w:rPr>
          <w:rFonts w:ascii="微软雅黑" w:hAnsi="微软雅黑" w:eastAsia="微软雅黑" w:cs="微软雅黑"/>
          <w:bCs w:val="0"/>
          <w:szCs w:val="36"/>
        </w:rPr>
        <w:t xml:space="preserve">关于政府采购线上合同信用融资功能告知提醒</w:t>
      </w:r>
      <w:r>
        <w:tab/>
      </w:r>
      <w:r>
        <w:fldChar w:fldCharType="begin"/>
      </w:r>
      <w:r>
        <w:instrText xml:space="preserve"> PAGEREF _Toc31552 \h </w:instrText>
      </w:r>
      <w:r>
        <w:fldChar w:fldCharType="separate"/>
      </w:r>
      <w:r>
        <w:t xml:space="preserve">2</w:t>
      </w:r>
      <w:r>
        <w:fldChar w:fldCharType="end"/>
      </w:r>
      <w:r>
        <w:fldChar w:fldCharType="end"/>
      </w:r>
      <w:r/>
    </w:p>
    <w:p>
      <w:pPr>
        <w:pStyle w:val="755"/>
        <w:tabs>
          <w:tab w:val="right" w:pos="8810" w:leader="dot"/>
        </w:tabs>
      </w:pPr>
      <w:r>
        <w:fldChar w:fldCharType="begin"/>
      </w:r>
      <w:r>
        <w:instrText xml:space="preserve"> HYPERLINK \l _Toc29260 </w:instrText>
      </w:r>
      <w:r>
        <w:fldChar w:fldCharType="separate"/>
      </w:r>
      <w:r>
        <w:rPr>
          <w:rFonts w:hint="eastAsia" w:ascii="微软雅黑" w:hAnsi="微软雅黑" w:eastAsia="微软雅黑" w:cs="微软雅黑"/>
          <w:bCs w:val="0"/>
          <w:szCs w:val="36"/>
        </w:rPr>
        <w:t xml:space="preserve">第一章 招标公告</w:t>
      </w:r>
      <w:r>
        <w:tab/>
      </w:r>
      <w:r>
        <w:fldChar w:fldCharType="begin"/>
      </w:r>
      <w:r>
        <w:instrText xml:space="preserve"> PAGEREF _Toc29260 \h </w:instrText>
      </w:r>
      <w:r>
        <w:fldChar w:fldCharType="separate"/>
      </w:r>
      <w:r>
        <w:t xml:space="preserve">4</w:t>
      </w:r>
      <w:r>
        <w:fldChar w:fldCharType="end"/>
      </w:r>
      <w:r>
        <w:fldChar w:fldCharType="end"/>
      </w:r>
      <w:r/>
    </w:p>
    <w:p>
      <w:pPr>
        <w:pStyle w:val="755"/>
        <w:tabs>
          <w:tab w:val="right" w:pos="8810" w:leader="dot"/>
        </w:tabs>
      </w:pPr>
      <w:r>
        <w:fldChar w:fldCharType="begin"/>
      </w:r>
      <w:r>
        <w:instrText xml:space="preserve"> HYPERLINK \l _Toc17345 </w:instrText>
      </w:r>
      <w:r>
        <w:fldChar w:fldCharType="separate"/>
      </w:r>
      <w:r>
        <w:rPr>
          <w:rFonts w:hint="eastAsia" w:ascii="微软雅黑" w:hAnsi="微软雅黑" w:eastAsia="微软雅黑" w:cs="微软雅黑"/>
          <w:bCs w:val="0"/>
          <w:szCs w:val="36"/>
        </w:rPr>
        <w:t xml:space="preserve">第二章  投标人须知</w:t>
      </w:r>
      <w:r>
        <w:tab/>
      </w:r>
      <w:r>
        <w:fldChar w:fldCharType="begin"/>
      </w:r>
      <w:r>
        <w:instrText xml:space="preserve"> PAGEREF _Toc17345 \h </w:instrText>
      </w:r>
      <w:r>
        <w:fldChar w:fldCharType="separate"/>
      </w:r>
      <w:r>
        <w:t xml:space="preserve">7</w:t>
      </w:r>
      <w:r>
        <w:fldChar w:fldCharType="end"/>
      </w:r>
      <w:r>
        <w:fldChar w:fldCharType="end"/>
      </w:r>
      <w:r/>
    </w:p>
    <w:p>
      <w:pPr>
        <w:pStyle w:val="746"/>
        <w:tabs>
          <w:tab w:val="right" w:pos="8810" w:leader="dot"/>
        </w:tabs>
      </w:pPr>
      <w:r>
        <w:fldChar w:fldCharType="begin"/>
      </w:r>
      <w:r>
        <w:instrText xml:space="preserve"> HYPERLINK \l _Toc30406 </w:instrText>
      </w:r>
      <w:r>
        <w:fldChar w:fldCharType="separate"/>
      </w:r>
      <w:r>
        <w:rPr>
          <w:rFonts w:hint="eastAsia"/>
          <w:szCs w:val="21"/>
        </w:rPr>
        <w:t xml:space="preserve">投标人须知前附表</w:t>
      </w:r>
      <w:r>
        <w:tab/>
      </w:r>
      <w:r>
        <w:fldChar w:fldCharType="begin"/>
      </w:r>
      <w:r>
        <w:instrText xml:space="preserve"> PAGEREF _Toc30406 \h </w:instrText>
      </w:r>
      <w:r>
        <w:fldChar w:fldCharType="separate"/>
      </w:r>
      <w:r>
        <w:t xml:space="preserve">7</w:t>
      </w:r>
      <w:r>
        <w:fldChar w:fldCharType="end"/>
      </w:r>
      <w:r>
        <w:fldChar w:fldCharType="end"/>
      </w:r>
      <w:r/>
    </w:p>
    <w:p>
      <w:pPr>
        <w:pStyle w:val="746"/>
        <w:tabs>
          <w:tab w:val="right" w:pos="8810" w:leader="dot"/>
        </w:tabs>
      </w:pPr>
      <w:r>
        <w:fldChar w:fldCharType="begin"/>
      </w:r>
      <w:r>
        <w:instrText xml:space="preserve"> HYPERLINK \l _Toc17914 </w:instrText>
      </w:r>
      <w:r>
        <w:fldChar w:fldCharType="separate"/>
      </w:r>
      <w:r>
        <w:rPr>
          <w:rFonts w:hint="eastAsia"/>
          <w:szCs w:val="21"/>
        </w:rPr>
        <w:t xml:space="preserve">投标人须知</w:t>
      </w:r>
      <w:r>
        <w:tab/>
      </w:r>
      <w:r>
        <w:fldChar w:fldCharType="begin"/>
      </w:r>
      <w:r>
        <w:instrText xml:space="preserve"> PAGEREF _Toc17914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_Toc17481 </w:instrText>
      </w:r>
      <w:r>
        <w:fldChar w:fldCharType="separate"/>
      </w:r>
      <w:r>
        <w:rPr>
          <w:rFonts w:hint="eastAsia" w:ascii="宋体" w:hAnsi="宋体" w:eastAsia="宋体" w:cs="宋体"/>
          <w:bCs/>
        </w:rPr>
        <w:t xml:space="preserve">一、总 则</w:t>
      </w:r>
      <w:r>
        <w:tab/>
      </w:r>
      <w:r>
        <w:fldChar w:fldCharType="begin"/>
      </w:r>
      <w:r>
        <w:instrText xml:space="preserve"> PAGEREF _Toc17481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_Toc22408 </w:instrText>
      </w:r>
      <w:r>
        <w:fldChar w:fldCharType="separate"/>
      </w:r>
      <w:r>
        <w:rPr>
          <w:rFonts w:hint="eastAsia"/>
          <w:bCs/>
          <w:szCs w:val="22"/>
        </w:rPr>
        <w:t xml:space="preserve">1.1 项目概况</w:t>
      </w:r>
      <w:r>
        <w:tab/>
      </w:r>
      <w:r>
        <w:fldChar w:fldCharType="begin"/>
      </w:r>
      <w:r>
        <w:instrText xml:space="preserve"> PAGEREF _Toc22408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_Toc15732 </w:instrText>
      </w:r>
      <w:r>
        <w:fldChar w:fldCharType="separate"/>
      </w:r>
      <w:r>
        <w:rPr>
          <w:rFonts w:hint="eastAsia" w:ascii="黑体" w:cs="黑体"/>
          <w:bCs/>
          <w:szCs w:val="22"/>
        </w:rPr>
        <w:t xml:space="preserve">1.2合同履行期限及验收要求</w:t>
      </w:r>
      <w:r>
        <w:tab/>
      </w:r>
      <w:r>
        <w:fldChar w:fldCharType="begin"/>
      </w:r>
      <w:r>
        <w:instrText xml:space="preserve"> PAGEREF _Toc15732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_Toc3620 </w:instrText>
      </w:r>
      <w:r>
        <w:fldChar w:fldCharType="separate"/>
      </w:r>
      <w:r>
        <w:rPr>
          <w:rFonts w:hint="eastAsia" w:ascii="黑体" w:cs="黑体"/>
          <w:bCs/>
          <w:szCs w:val="22"/>
        </w:rPr>
        <w:t xml:space="preserve">1.3 本项目所属行业</w:t>
      </w:r>
      <w:r>
        <w:tab/>
      </w:r>
      <w:r>
        <w:fldChar w:fldCharType="begin"/>
      </w:r>
      <w:r>
        <w:instrText xml:space="preserve"> PAGEREF _Toc3620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_Toc12395 </w:instrText>
      </w:r>
      <w:r>
        <w:fldChar w:fldCharType="separate"/>
      </w:r>
      <w:r>
        <w:rPr>
          <w:rFonts w:hint="eastAsia" w:ascii="黑体" w:cs="黑体"/>
          <w:bCs/>
          <w:szCs w:val="22"/>
        </w:rPr>
        <w:t xml:space="preserve">1.4 投标人的资格条件</w:t>
      </w:r>
      <w:r>
        <w:tab/>
      </w:r>
      <w:r>
        <w:fldChar w:fldCharType="begin"/>
      </w:r>
      <w:r>
        <w:instrText xml:space="preserve"> PAGEREF _Toc12395 \h </w:instrText>
      </w:r>
      <w:r>
        <w:fldChar w:fldCharType="separate"/>
      </w:r>
      <w:r>
        <w:t xml:space="preserve">10</w:t>
      </w:r>
      <w:r>
        <w:fldChar w:fldCharType="end"/>
      </w:r>
      <w:r>
        <w:fldChar w:fldCharType="end"/>
      </w:r>
      <w:r/>
    </w:p>
    <w:p>
      <w:pPr>
        <w:pStyle w:val="746"/>
        <w:tabs>
          <w:tab w:val="right" w:pos="8810" w:leader="dot"/>
        </w:tabs>
      </w:pPr>
      <w:r>
        <w:fldChar w:fldCharType="begin"/>
      </w:r>
      <w:r>
        <w:instrText xml:space="preserve"> HYPERLINK \l _Toc31106 </w:instrText>
      </w:r>
      <w:r>
        <w:fldChar w:fldCharType="separate"/>
      </w:r>
      <w:r>
        <w:rPr>
          <w:rFonts w:hint="eastAsia" w:ascii="黑体" w:cs="黑体"/>
          <w:bCs/>
          <w:szCs w:val="22"/>
        </w:rPr>
        <w:t xml:space="preserve">1.5 投标费用</w:t>
      </w:r>
      <w:r>
        <w:tab/>
      </w:r>
      <w:r>
        <w:fldChar w:fldCharType="begin"/>
      </w:r>
      <w:r>
        <w:instrText xml:space="preserve"> PAGEREF _Toc31106 \h </w:instrText>
      </w:r>
      <w:r>
        <w:fldChar w:fldCharType="separate"/>
      </w:r>
      <w:r>
        <w:t xml:space="preserve">11</w:t>
      </w:r>
      <w:r>
        <w:fldChar w:fldCharType="end"/>
      </w:r>
      <w:r>
        <w:fldChar w:fldCharType="end"/>
      </w:r>
      <w:r/>
    </w:p>
    <w:p>
      <w:pPr>
        <w:pStyle w:val="746"/>
        <w:tabs>
          <w:tab w:val="right" w:pos="8810" w:leader="dot"/>
        </w:tabs>
      </w:pPr>
      <w:r>
        <w:fldChar w:fldCharType="begin"/>
      </w:r>
      <w:r>
        <w:instrText xml:space="preserve"> HYPERLINK \l _Toc1959 </w:instrText>
      </w:r>
      <w:r>
        <w:fldChar w:fldCharType="separate"/>
      </w:r>
      <w:r>
        <w:rPr>
          <w:rFonts w:hint="eastAsia" w:ascii="黑体" w:cs="黑体"/>
          <w:bCs/>
          <w:szCs w:val="22"/>
        </w:rPr>
        <w:t xml:space="preserve">1.6 政府采购政策功能落实</w:t>
      </w:r>
      <w:r>
        <w:tab/>
      </w:r>
      <w:r>
        <w:fldChar w:fldCharType="begin"/>
      </w:r>
      <w:r>
        <w:instrText xml:space="preserve"> PAGEREF _Toc1959 \h </w:instrText>
      </w:r>
      <w:r>
        <w:fldChar w:fldCharType="separate"/>
      </w:r>
      <w:r>
        <w:t xml:space="preserve">11</w:t>
      </w:r>
      <w:r>
        <w:fldChar w:fldCharType="end"/>
      </w:r>
      <w:r>
        <w:fldChar w:fldCharType="end"/>
      </w:r>
      <w:r/>
    </w:p>
    <w:p>
      <w:pPr>
        <w:pStyle w:val="746"/>
        <w:tabs>
          <w:tab w:val="right" w:pos="8810" w:leader="dot"/>
        </w:tabs>
      </w:pPr>
      <w:r>
        <w:fldChar w:fldCharType="begin"/>
      </w:r>
      <w:r>
        <w:instrText xml:space="preserve"> HYPERLINK \l _Toc30058 </w:instrText>
      </w:r>
      <w:r>
        <w:fldChar w:fldCharType="separate"/>
      </w:r>
      <w:r>
        <w:rPr>
          <w:rFonts w:hint="eastAsia" w:ascii="宋体" w:hAnsi="宋体" w:eastAsia="宋体" w:cs="宋体"/>
          <w:bCs/>
        </w:rPr>
        <w:t xml:space="preserve">二、招标文件</w:t>
      </w:r>
      <w:r>
        <w:tab/>
      </w:r>
      <w:r>
        <w:fldChar w:fldCharType="begin"/>
      </w:r>
      <w:r>
        <w:instrText xml:space="preserve"> PAGEREF _Toc30058 \h </w:instrText>
      </w:r>
      <w:r>
        <w:fldChar w:fldCharType="separate"/>
      </w:r>
      <w:r>
        <w:t xml:space="preserve">13</w:t>
      </w:r>
      <w:r>
        <w:fldChar w:fldCharType="end"/>
      </w:r>
      <w:r>
        <w:fldChar w:fldCharType="end"/>
      </w:r>
      <w:r/>
    </w:p>
    <w:p>
      <w:pPr>
        <w:pStyle w:val="746"/>
        <w:tabs>
          <w:tab w:val="right" w:pos="8810" w:leader="dot"/>
        </w:tabs>
      </w:pPr>
      <w:r>
        <w:fldChar w:fldCharType="begin"/>
      </w:r>
      <w:r>
        <w:instrText xml:space="preserve"> HYPERLINK \l _Toc9790 </w:instrText>
      </w:r>
      <w:r>
        <w:fldChar w:fldCharType="separate"/>
      </w:r>
      <w:r>
        <w:rPr>
          <w:rFonts w:hint="eastAsia" w:ascii="黑体" w:cs="黑体"/>
          <w:bCs/>
          <w:szCs w:val="22"/>
        </w:rPr>
        <w:t xml:space="preserve">2.1 招标文件构成</w:t>
      </w:r>
      <w:r>
        <w:tab/>
      </w:r>
      <w:r>
        <w:fldChar w:fldCharType="begin"/>
      </w:r>
      <w:r>
        <w:instrText xml:space="preserve"> PAGEREF _Toc9790 \h </w:instrText>
      </w:r>
      <w:r>
        <w:fldChar w:fldCharType="separate"/>
      </w:r>
      <w:r>
        <w:t xml:space="preserve">13</w:t>
      </w:r>
      <w:r>
        <w:fldChar w:fldCharType="end"/>
      </w:r>
      <w:r>
        <w:fldChar w:fldCharType="end"/>
      </w:r>
      <w:r/>
    </w:p>
    <w:p>
      <w:pPr>
        <w:pStyle w:val="746"/>
        <w:tabs>
          <w:tab w:val="right" w:pos="8810" w:leader="dot"/>
        </w:tabs>
      </w:pPr>
      <w:r>
        <w:fldChar w:fldCharType="begin"/>
      </w:r>
      <w:r>
        <w:instrText xml:space="preserve"> HYPERLINK \l _Toc7514 </w:instrText>
      </w:r>
      <w:r>
        <w:fldChar w:fldCharType="separate"/>
      </w:r>
      <w:r>
        <w:rPr>
          <w:rFonts w:hint="eastAsia" w:ascii="黑体" w:cs="黑体"/>
          <w:bCs/>
          <w:szCs w:val="22"/>
        </w:rPr>
        <w:t xml:space="preserve">2.2 招标文件的澄清</w:t>
      </w:r>
      <w:r>
        <w:tab/>
      </w:r>
      <w:r>
        <w:fldChar w:fldCharType="begin"/>
      </w:r>
      <w:r>
        <w:instrText xml:space="preserve"> PAGEREF _Toc7514 \h </w:instrText>
      </w:r>
      <w:r>
        <w:fldChar w:fldCharType="separate"/>
      </w:r>
      <w:r>
        <w:t xml:space="preserve">13</w:t>
      </w:r>
      <w:r>
        <w:fldChar w:fldCharType="end"/>
      </w:r>
      <w:r>
        <w:fldChar w:fldCharType="end"/>
      </w:r>
      <w:r/>
    </w:p>
    <w:p>
      <w:pPr>
        <w:pStyle w:val="746"/>
        <w:tabs>
          <w:tab w:val="right" w:pos="8810" w:leader="dot"/>
        </w:tabs>
      </w:pPr>
      <w:r>
        <w:fldChar w:fldCharType="begin"/>
      </w:r>
      <w:r>
        <w:instrText xml:space="preserve"> HYPERLINK \l _Toc29549 </w:instrText>
      </w:r>
      <w:r>
        <w:fldChar w:fldCharType="separate"/>
      </w:r>
      <w:r>
        <w:rPr>
          <w:rFonts w:hint="eastAsia" w:ascii="黑体" w:cs="黑体"/>
          <w:bCs/>
          <w:szCs w:val="22"/>
        </w:rPr>
        <w:t xml:space="preserve">2.3 招标文件的修改</w:t>
      </w:r>
      <w:r>
        <w:tab/>
      </w:r>
      <w:r>
        <w:fldChar w:fldCharType="begin"/>
      </w:r>
      <w:r>
        <w:instrText xml:space="preserve"> PAGEREF _Toc29549 \h </w:instrText>
      </w:r>
      <w:r>
        <w:fldChar w:fldCharType="separate"/>
      </w:r>
      <w:r>
        <w:t xml:space="preserve">14</w:t>
      </w:r>
      <w:r>
        <w:fldChar w:fldCharType="end"/>
      </w:r>
      <w:r>
        <w:fldChar w:fldCharType="end"/>
      </w:r>
      <w:r/>
    </w:p>
    <w:p>
      <w:pPr>
        <w:pStyle w:val="746"/>
        <w:tabs>
          <w:tab w:val="right" w:pos="8810" w:leader="dot"/>
        </w:tabs>
      </w:pPr>
      <w:r>
        <w:fldChar w:fldCharType="begin"/>
      </w:r>
      <w:r>
        <w:instrText xml:space="preserve"> HYPERLINK \l _Toc30319 </w:instrText>
      </w:r>
      <w:r>
        <w:fldChar w:fldCharType="separate"/>
      </w:r>
      <w:r>
        <w:rPr>
          <w:rFonts w:hint="eastAsia" w:ascii="宋体" w:hAnsi="宋体" w:eastAsia="宋体" w:cs="宋体"/>
          <w:bCs/>
        </w:rPr>
        <w:t xml:space="preserve">三、投标文件</w:t>
      </w:r>
      <w:r>
        <w:tab/>
      </w:r>
      <w:r>
        <w:fldChar w:fldCharType="begin"/>
      </w:r>
      <w:r>
        <w:instrText xml:space="preserve"> PAGEREF _Toc30319 \h </w:instrText>
      </w:r>
      <w:r>
        <w:fldChar w:fldCharType="separate"/>
      </w:r>
      <w:r>
        <w:t xml:space="preserve">14</w:t>
      </w:r>
      <w:r>
        <w:fldChar w:fldCharType="end"/>
      </w:r>
      <w:r>
        <w:fldChar w:fldCharType="end"/>
      </w:r>
      <w:r/>
    </w:p>
    <w:p>
      <w:pPr>
        <w:pStyle w:val="746"/>
        <w:tabs>
          <w:tab w:val="right" w:pos="8810" w:leader="dot"/>
        </w:tabs>
      </w:pPr>
      <w:r>
        <w:fldChar w:fldCharType="begin"/>
      </w:r>
      <w:r>
        <w:instrText xml:space="preserve"> HYPERLINK \l _Toc30569 </w:instrText>
      </w:r>
      <w:r>
        <w:fldChar w:fldCharType="separate"/>
      </w:r>
      <w:r>
        <w:rPr>
          <w:rFonts w:hint="eastAsia" w:ascii="黑体" w:cs="黑体"/>
          <w:bCs/>
          <w:szCs w:val="22"/>
        </w:rPr>
        <w:t xml:space="preserve">3.1 投标文件构成</w:t>
      </w:r>
      <w:r>
        <w:tab/>
      </w:r>
      <w:r>
        <w:fldChar w:fldCharType="begin"/>
      </w:r>
      <w:r>
        <w:instrText xml:space="preserve"> PAGEREF _Toc30569 \h </w:instrText>
      </w:r>
      <w:r>
        <w:fldChar w:fldCharType="separate"/>
      </w:r>
      <w:r>
        <w:t xml:space="preserve">14</w:t>
      </w:r>
      <w:r>
        <w:fldChar w:fldCharType="end"/>
      </w:r>
      <w:r>
        <w:fldChar w:fldCharType="end"/>
      </w:r>
      <w:r/>
    </w:p>
    <w:p>
      <w:pPr>
        <w:pStyle w:val="746"/>
        <w:tabs>
          <w:tab w:val="right" w:pos="8810" w:leader="dot"/>
        </w:tabs>
      </w:pPr>
      <w:r>
        <w:fldChar w:fldCharType="begin"/>
      </w:r>
      <w:r>
        <w:instrText xml:space="preserve"> HYPERLINK \l _Toc18796 </w:instrText>
      </w:r>
      <w:r>
        <w:fldChar w:fldCharType="separate"/>
      </w:r>
      <w:r>
        <w:rPr>
          <w:rFonts w:hint="eastAsia" w:ascii="黑体" w:cs="黑体"/>
          <w:bCs/>
          <w:szCs w:val="22"/>
        </w:rPr>
        <w:t xml:space="preserve">3.2.投标报价</w:t>
      </w:r>
      <w:r>
        <w:tab/>
      </w:r>
      <w:r>
        <w:fldChar w:fldCharType="begin"/>
      </w:r>
      <w:r>
        <w:instrText xml:space="preserve"> PAGEREF _Toc18796 \h </w:instrText>
      </w:r>
      <w:r>
        <w:fldChar w:fldCharType="separate"/>
      </w:r>
      <w:r>
        <w:t xml:space="preserve">14</w:t>
      </w:r>
      <w:r>
        <w:fldChar w:fldCharType="end"/>
      </w:r>
      <w:r>
        <w:fldChar w:fldCharType="end"/>
      </w:r>
      <w:r/>
    </w:p>
    <w:p>
      <w:pPr>
        <w:pStyle w:val="746"/>
        <w:tabs>
          <w:tab w:val="right" w:pos="8810" w:leader="dot"/>
        </w:tabs>
      </w:pPr>
      <w:r>
        <w:fldChar w:fldCharType="begin"/>
      </w:r>
      <w:r>
        <w:instrText xml:space="preserve"> HYPERLINK \l _Toc15297 </w:instrText>
      </w:r>
      <w:r>
        <w:fldChar w:fldCharType="separate"/>
      </w:r>
      <w:r>
        <w:rPr>
          <w:rFonts w:hint="eastAsia" w:ascii="黑体" w:cs="黑体"/>
          <w:bCs/>
          <w:szCs w:val="22"/>
        </w:rPr>
        <w:t xml:space="preserve">3.3 投标有效期</w:t>
      </w:r>
      <w:r>
        <w:tab/>
      </w:r>
      <w:r>
        <w:fldChar w:fldCharType="begin"/>
      </w:r>
      <w:r>
        <w:instrText xml:space="preserve"> PAGEREF _Toc15297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_Toc13842 </w:instrText>
      </w:r>
      <w:r>
        <w:fldChar w:fldCharType="separate"/>
      </w:r>
      <w:r>
        <w:rPr>
          <w:rFonts w:hint="eastAsia" w:ascii="黑体" w:cs="黑体"/>
          <w:bCs/>
          <w:szCs w:val="22"/>
        </w:rPr>
        <w:t xml:space="preserve">3.4 投标文件的编制</w:t>
      </w:r>
      <w:r>
        <w:tab/>
      </w:r>
      <w:r>
        <w:fldChar w:fldCharType="begin"/>
      </w:r>
      <w:r>
        <w:instrText xml:space="preserve"> PAGEREF _Toc13842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_Toc29664 </w:instrText>
      </w:r>
      <w:r>
        <w:fldChar w:fldCharType="separate"/>
      </w:r>
      <w:r>
        <w:rPr>
          <w:rFonts w:hint="eastAsia" w:ascii="宋体" w:hAnsi="宋体" w:eastAsia="宋体" w:cs="宋体"/>
          <w:bCs/>
        </w:rPr>
        <w:t xml:space="preserve">四、投标文件的提交</w:t>
      </w:r>
      <w:r>
        <w:tab/>
      </w:r>
      <w:r>
        <w:fldChar w:fldCharType="begin"/>
      </w:r>
      <w:r>
        <w:instrText xml:space="preserve"> PAGEREF _Toc29664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_Toc4650 </w:instrText>
      </w:r>
      <w:r>
        <w:fldChar w:fldCharType="separate"/>
      </w:r>
      <w:r>
        <w:rPr>
          <w:rFonts w:hint="eastAsia" w:ascii="黑体" w:cs="黑体"/>
          <w:bCs/>
          <w:szCs w:val="22"/>
        </w:rPr>
        <w:t xml:space="preserve">4.1投标文件的提交</w:t>
      </w:r>
      <w:r>
        <w:tab/>
      </w:r>
      <w:r>
        <w:fldChar w:fldCharType="begin"/>
      </w:r>
      <w:r>
        <w:instrText xml:space="preserve"> PAGEREF _Toc4650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_Toc22112 </w:instrText>
      </w:r>
      <w:r>
        <w:fldChar w:fldCharType="separate"/>
      </w:r>
      <w:r>
        <w:rPr>
          <w:rFonts w:hint="eastAsia" w:ascii="黑体" w:cs="黑体"/>
          <w:bCs/>
          <w:szCs w:val="22"/>
        </w:rPr>
        <w:t xml:space="preserve">4.2 投标文件的修改和撤回</w:t>
      </w:r>
      <w:r>
        <w:tab/>
      </w:r>
      <w:r>
        <w:fldChar w:fldCharType="begin"/>
      </w:r>
      <w:r>
        <w:instrText xml:space="preserve"> PAGEREF _Toc22112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_Toc31216 </w:instrText>
      </w:r>
      <w:r>
        <w:fldChar w:fldCharType="separate"/>
      </w:r>
      <w:r>
        <w:rPr>
          <w:rFonts w:hint="eastAsia" w:ascii="宋体" w:hAnsi="宋体" w:eastAsia="宋体" w:cs="宋体"/>
          <w:bCs/>
        </w:rPr>
        <w:t xml:space="preserve">五、开标、评标</w:t>
      </w:r>
      <w:r>
        <w:tab/>
      </w:r>
      <w:r>
        <w:fldChar w:fldCharType="begin"/>
      </w:r>
      <w:r>
        <w:instrText xml:space="preserve"> PAGEREF _Toc31216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_Toc5722 </w:instrText>
      </w:r>
      <w:r>
        <w:fldChar w:fldCharType="separate"/>
      </w:r>
      <w:r>
        <w:rPr>
          <w:rFonts w:hint="eastAsia" w:ascii="黑体" w:cs="黑体"/>
          <w:bCs/>
          <w:szCs w:val="22"/>
        </w:rPr>
        <w:t xml:space="preserve">5.1 开标</w:t>
      </w:r>
      <w:r>
        <w:tab/>
      </w:r>
      <w:r>
        <w:fldChar w:fldCharType="begin"/>
      </w:r>
      <w:r>
        <w:instrText xml:space="preserve"> PAGEREF _Toc5722 \h </w:instrText>
      </w:r>
      <w:r>
        <w:fldChar w:fldCharType="separate"/>
      </w:r>
      <w:r>
        <w:t xml:space="preserve">15</w:t>
      </w:r>
      <w:r>
        <w:fldChar w:fldCharType="end"/>
      </w:r>
      <w:r>
        <w:fldChar w:fldCharType="end"/>
      </w:r>
      <w:r/>
    </w:p>
    <w:p>
      <w:pPr>
        <w:pStyle w:val="746"/>
        <w:tabs>
          <w:tab w:val="right" w:pos="8810" w:leader="dot"/>
        </w:tabs>
      </w:pPr>
      <w:r>
        <w:fldChar w:fldCharType="begin"/>
      </w:r>
      <w:r>
        <w:instrText xml:space="preserve"> HYPERLINK \l _Toc25790 </w:instrText>
      </w:r>
      <w:r>
        <w:fldChar w:fldCharType="separate"/>
      </w:r>
      <w:r>
        <w:rPr>
          <w:rFonts w:hint="eastAsia" w:ascii="黑体" w:cs="黑体"/>
          <w:bCs/>
          <w:szCs w:val="22"/>
        </w:rPr>
        <w:t xml:space="preserve">5.2 资格评审</w:t>
      </w:r>
      <w:r>
        <w:tab/>
      </w:r>
      <w:r>
        <w:fldChar w:fldCharType="begin"/>
      </w:r>
      <w:r>
        <w:instrText xml:space="preserve"> PAGEREF _Toc25790 \h </w:instrText>
      </w:r>
      <w:r>
        <w:fldChar w:fldCharType="separate"/>
      </w:r>
      <w:r>
        <w:t xml:space="preserve">16</w:t>
      </w:r>
      <w:r>
        <w:fldChar w:fldCharType="end"/>
      </w:r>
      <w:r>
        <w:fldChar w:fldCharType="end"/>
      </w:r>
      <w:r/>
    </w:p>
    <w:p>
      <w:pPr>
        <w:pStyle w:val="746"/>
        <w:tabs>
          <w:tab w:val="right" w:pos="8810" w:leader="dot"/>
        </w:tabs>
      </w:pPr>
      <w:r>
        <w:fldChar w:fldCharType="begin"/>
      </w:r>
      <w:r>
        <w:instrText xml:space="preserve"> HYPERLINK \l _Toc9176 </w:instrText>
      </w:r>
      <w:r>
        <w:fldChar w:fldCharType="separate"/>
      </w:r>
      <w:r>
        <w:rPr>
          <w:rFonts w:hint="eastAsia" w:ascii="黑体" w:cs="黑体"/>
          <w:bCs/>
          <w:szCs w:val="22"/>
        </w:rPr>
        <w:t xml:space="preserve">5.3 评标委员会</w:t>
      </w:r>
      <w:r>
        <w:tab/>
      </w:r>
      <w:r>
        <w:fldChar w:fldCharType="begin"/>
      </w:r>
      <w:r>
        <w:instrText xml:space="preserve"> PAGEREF _Toc9176 \h </w:instrText>
      </w:r>
      <w:r>
        <w:fldChar w:fldCharType="separate"/>
      </w:r>
      <w:r>
        <w:t xml:space="preserve">16</w:t>
      </w:r>
      <w:r>
        <w:fldChar w:fldCharType="end"/>
      </w:r>
      <w:r>
        <w:fldChar w:fldCharType="end"/>
      </w:r>
      <w:r/>
    </w:p>
    <w:p>
      <w:pPr>
        <w:pStyle w:val="746"/>
        <w:tabs>
          <w:tab w:val="right" w:pos="8810" w:leader="dot"/>
        </w:tabs>
      </w:pPr>
      <w:r>
        <w:fldChar w:fldCharType="begin"/>
      </w:r>
      <w:r>
        <w:instrText xml:space="preserve"> HYPERLINK \l _Toc26665 </w:instrText>
      </w:r>
      <w:r>
        <w:fldChar w:fldCharType="separate"/>
      </w:r>
      <w:r>
        <w:rPr>
          <w:rFonts w:hint="eastAsia" w:ascii="黑体" w:cs="黑体"/>
          <w:bCs/>
          <w:szCs w:val="22"/>
        </w:rPr>
        <w:t xml:space="preserve">5.4 评标</w:t>
      </w:r>
      <w:r>
        <w:tab/>
      </w:r>
      <w:r>
        <w:fldChar w:fldCharType="begin"/>
      </w:r>
      <w:r>
        <w:instrText xml:space="preserve"> PAGEREF _Toc26665 \h </w:instrText>
      </w:r>
      <w:r>
        <w:fldChar w:fldCharType="separate"/>
      </w:r>
      <w:r>
        <w:t xml:space="preserve">17</w:t>
      </w:r>
      <w:r>
        <w:fldChar w:fldCharType="end"/>
      </w:r>
      <w:r>
        <w:fldChar w:fldCharType="end"/>
      </w:r>
      <w:r/>
    </w:p>
    <w:p>
      <w:pPr>
        <w:pStyle w:val="746"/>
        <w:tabs>
          <w:tab w:val="right" w:pos="8810" w:leader="dot"/>
        </w:tabs>
      </w:pPr>
      <w:r>
        <w:fldChar w:fldCharType="begin"/>
      </w:r>
      <w:r>
        <w:instrText xml:space="preserve"> HYPERLINK \l _Toc21766 </w:instrText>
      </w:r>
      <w:r>
        <w:fldChar w:fldCharType="separate"/>
      </w:r>
      <w:r>
        <w:rPr>
          <w:rFonts w:hint="eastAsia" w:ascii="宋体" w:hAnsi="宋体" w:eastAsia="宋体" w:cs="宋体"/>
          <w:bCs/>
        </w:rPr>
        <w:t xml:space="preserve">六、中标和合同</w:t>
      </w:r>
      <w:r>
        <w:tab/>
      </w:r>
      <w:r>
        <w:fldChar w:fldCharType="begin"/>
      </w:r>
      <w:r>
        <w:instrText xml:space="preserve"> PAGEREF _Toc21766 \h </w:instrText>
      </w:r>
      <w:r>
        <w:fldChar w:fldCharType="separate"/>
      </w:r>
      <w:r>
        <w:t xml:space="preserve">17</w:t>
      </w:r>
      <w:r>
        <w:fldChar w:fldCharType="end"/>
      </w:r>
      <w:r>
        <w:fldChar w:fldCharType="end"/>
      </w:r>
      <w:r/>
    </w:p>
    <w:p>
      <w:pPr>
        <w:pStyle w:val="746"/>
        <w:tabs>
          <w:tab w:val="right" w:pos="8810" w:leader="dot"/>
        </w:tabs>
      </w:pPr>
      <w:r>
        <w:fldChar w:fldCharType="begin"/>
      </w:r>
      <w:r>
        <w:instrText xml:space="preserve"> HYPERLINK \l _Toc25841 </w:instrText>
      </w:r>
      <w:r>
        <w:fldChar w:fldCharType="separate"/>
      </w:r>
      <w:r>
        <w:rPr>
          <w:rFonts w:hint="eastAsia" w:ascii="黑体" w:cs="黑体"/>
          <w:bCs/>
          <w:szCs w:val="22"/>
        </w:rPr>
        <w:t xml:space="preserve">6.1 定标</w:t>
      </w:r>
      <w:r>
        <w:tab/>
      </w:r>
      <w:r>
        <w:fldChar w:fldCharType="begin"/>
      </w:r>
      <w:r>
        <w:instrText xml:space="preserve"> PAGEREF _Toc25841 \h </w:instrText>
      </w:r>
      <w:r>
        <w:fldChar w:fldCharType="separate"/>
      </w:r>
      <w:r>
        <w:t xml:space="preserve">17</w:t>
      </w:r>
      <w:r>
        <w:fldChar w:fldCharType="end"/>
      </w:r>
      <w:r>
        <w:fldChar w:fldCharType="end"/>
      </w:r>
      <w:r/>
    </w:p>
    <w:p>
      <w:pPr>
        <w:pStyle w:val="746"/>
        <w:tabs>
          <w:tab w:val="right" w:pos="8810" w:leader="dot"/>
        </w:tabs>
      </w:pPr>
      <w:r>
        <w:fldChar w:fldCharType="begin"/>
      </w:r>
      <w:r>
        <w:instrText xml:space="preserve"> HYPERLINK \l _Toc26082 </w:instrText>
      </w:r>
      <w:r>
        <w:fldChar w:fldCharType="separate"/>
      </w:r>
      <w:r>
        <w:rPr>
          <w:rFonts w:hint="eastAsia" w:ascii="黑体" w:cs="黑体"/>
          <w:bCs/>
          <w:szCs w:val="22"/>
        </w:rPr>
        <w:t xml:space="preserve">6.2 中标通知</w:t>
      </w:r>
      <w:r>
        <w:tab/>
      </w:r>
      <w:r>
        <w:fldChar w:fldCharType="begin"/>
      </w:r>
      <w:r>
        <w:instrText xml:space="preserve"> PAGEREF _Toc26082 \h </w:instrText>
      </w:r>
      <w:r>
        <w:fldChar w:fldCharType="separate"/>
      </w:r>
      <w:r>
        <w:t xml:space="preserve">18</w:t>
      </w:r>
      <w:r>
        <w:fldChar w:fldCharType="end"/>
      </w:r>
      <w:r>
        <w:fldChar w:fldCharType="end"/>
      </w:r>
      <w:r/>
    </w:p>
    <w:p>
      <w:pPr>
        <w:pStyle w:val="746"/>
        <w:tabs>
          <w:tab w:val="right" w:pos="8810" w:leader="dot"/>
        </w:tabs>
      </w:pPr>
      <w:r>
        <w:fldChar w:fldCharType="begin"/>
      </w:r>
      <w:r>
        <w:instrText xml:space="preserve"> HYPERLINK \l _Toc29800 </w:instrText>
      </w:r>
      <w:r>
        <w:fldChar w:fldCharType="separate"/>
      </w:r>
      <w:r>
        <w:rPr>
          <w:rFonts w:hint="eastAsia" w:ascii="黑体" w:cs="黑体"/>
          <w:bCs/>
          <w:szCs w:val="22"/>
        </w:rPr>
        <w:t xml:space="preserve">6.3 签订合同</w:t>
      </w:r>
      <w:r>
        <w:tab/>
      </w:r>
      <w:r>
        <w:fldChar w:fldCharType="begin"/>
      </w:r>
      <w:r>
        <w:instrText xml:space="preserve"> PAGEREF _Toc29800 \h </w:instrText>
      </w:r>
      <w:r>
        <w:fldChar w:fldCharType="separate"/>
      </w:r>
      <w:r>
        <w:t xml:space="preserve">18</w:t>
      </w:r>
      <w:r>
        <w:fldChar w:fldCharType="end"/>
      </w:r>
      <w:r>
        <w:fldChar w:fldCharType="end"/>
      </w:r>
      <w:r/>
    </w:p>
    <w:p>
      <w:pPr>
        <w:pStyle w:val="746"/>
        <w:tabs>
          <w:tab w:val="right" w:pos="8810" w:leader="dot"/>
        </w:tabs>
      </w:pPr>
      <w:r>
        <w:fldChar w:fldCharType="begin"/>
      </w:r>
      <w:r>
        <w:instrText xml:space="preserve"> HYPERLINK \l _Toc27257 </w:instrText>
      </w:r>
      <w:r>
        <w:fldChar w:fldCharType="separate"/>
      </w:r>
      <w:r>
        <w:rPr>
          <w:rFonts w:hint="eastAsia" w:ascii="宋体" w:hAnsi="宋体" w:eastAsia="宋体" w:cs="宋体"/>
          <w:bCs/>
        </w:rPr>
        <w:t xml:space="preserve">七、废标、质疑与投诉</w:t>
      </w:r>
      <w:r>
        <w:tab/>
      </w:r>
      <w:r>
        <w:fldChar w:fldCharType="begin"/>
      </w:r>
      <w:r>
        <w:instrText xml:space="preserve"> PAGEREF _Toc27257 \h </w:instrText>
      </w:r>
      <w:r>
        <w:fldChar w:fldCharType="separate"/>
      </w:r>
      <w:r>
        <w:t xml:space="preserve">18</w:t>
      </w:r>
      <w:r>
        <w:fldChar w:fldCharType="end"/>
      </w:r>
      <w:r>
        <w:fldChar w:fldCharType="end"/>
      </w:r>
      <w:r/>
    </w:p>
    <w:p>
      <w:pPr>
        <w:pStyle w:val="746"/>
        <w:tabs>
          <w:tab w:val="right" w:pos="8810" w:leader="dot"/>
        </w:tabs>
      </w:pPr>
      <w:r>
        <w:fldChar w:fldCharType="begin"/>
      </w:r>
      <w:r>
        <w:instrText xml:space="preserve"> HYPERLINK \l _Toc25163 </w:instrText>
      </w:r>
      <w:r>
        <w:fldChar w:fldCharType="separate"/>
      </w:r>
      <w:r>
        <w:rPr>
          <w:rFonts w:hint="eastAsia" w:ascii="黑体" w:cs="黑体"/>
          <w:bCs/>
          <w:szCs w:val="22"/>
        </w:rPr>
        <w:t xml:space="preserve">7.1 废标</w:t>
      </w:r>
      <w:r>
        <w:tab/>
      </w:r>
      <w:r>
        <w:fldChar w:fldCharType="begin"/>
      </w:r>
      <w:r>
        <w:instrText xml:space="preserve"> PAGEREF _Toc25163 \h </w:instrText>
      </w:r>
      <w:r>
        <w:fldChar w:fldCharType="separate"/>
      </w:r>
      <w:r>
        <w:t xml:space="preserve">18</w:t>
      </w:r>
      <w:r>
        <w:fldChar w:fldCharType="end"/>
      </w:r>
      <w:r>
        <w:fldChar w:fldCharType="end"/>
      </w:r>
      <w:r/>
    </w:p>
    <w:p>
      <w:pPr>
        <w:pStyle w:val="746"/>
        <w:tabs>
          <w:tab w:val="right" w:pos="8810" w:leader="dot"/>
        </w:tabs>
      </w:pPr>
      <w:r>
        <w:fldChar w:fldCharType="begin"/>
      </w:r>
      <w:r>
        <w:instrText xml:space="preserve"> HYPERLINK \l _Toc28657 </w:instrText>
      </w:r>
      <w:r>
        <w:fldChar w:fldCharType="separate"/>
      </w:r>
      <w:r>
        <w:rPr>
          <w:rFonts w:hint="eastAsia" w:ascii="黑体" w:cs="黑体"/>
          <w:bCs/>
          <w:szCs w:val="22"/>
        </w:rPr>
        <w:t xml:space="preserve">7.2 质疑</w:t>
      </w:r>
      <w:r>
        <w:tab/>
      </w:r>
      <w:r>
        <w:fldChar w:fldCharType="begin"/>
      </w:r>
      <w:r>
        <w:instrText xml:space="preserve"> PAGEREF _Toc28657 \h </w:instrText>
      </w:r>
      <w:r>
        <w:fldChar w:fldCharType="separate"/>
      </w:r>
      <w:r>
        <w:t xml:space="preserve">19</w:t>
      </w:r>
      <w:r>
        <w:fldChar w:fldCharType="end"/>
      </w:r>
      <w:r>
        <w:fldChar w:fldCharType="end"/>
      </w:r>
      <w:r/>
    </w:p>
    <w:p>
      <w:pPr>
        <w:pStyle w:val="746"/>
        <w:tabs>
          <w:tab w:val="right" w:pos="8810" w:leader="dot"/>
        </w:tabs>
      </w:pPr>
      <w:r>
        <w:fldChar w:fldCharType="begin"/>
      </w:r>
      <w:r>
        <w:instrText xml:space="preserve"> HYPERLINK \l _Toc7709 </w:instrText>
      </w:r>
      <w:r>
        <w:fldChar w:fldCharType="separate"/>
      </w:r>
      <w:r>
        <w:rPr>
          <w:rFonts w:hint="eastAsia" w:ascii="宋体" w:hAnsi="宋体" w:eastAsia="宋体" w:cs="宋体"/>
          <w:bCs/>
        </w:rPr>
        <w:t xml:space="preserve">八、其他事宜</w:t>
      </w:r>
      <w:r>
        <w:tab/>
      </w:r>
      <w:r>
        <w:fldChar w:fldCharType="begin"/>
      </w:r>
      <w:r>
        <w:instrText xml:space="preserve"> PAGEREF _Toc7709 \h </w:instrText>
      </w:r>
      <w:r>
        <w:fldChar w:fldCharType="separate"/>
      </w:r>
      <w:r>
        <w:t xml:space="preserve">20</w:t>
      </w:r>
      <w:r>
        <w:fldChar w:fldCharType="end"/>
      </w:r>
      <w:r>
        <w:fldChar w:fldCharType="end"/>
      </w:r>
      <w:r/>
    </w:p>
    <w:p>
      <w:pPr>
        <w:pStyle w:val="746"/>
        <w:tabs>
          <w:tab w:val="right" w:pos="8810" w:leader="dot"/>
        </w:tabs>
      </w:pPr>
      <w:r>
        <w:fldChar w:fldCharType="begin"/>
      </w:r>
      <w:r>
        <w:instrText xml:space="preserve"> HYPERLINK \l _Toc10987 </w:instrText>
      </w:r>
      <w:r>
        <w:fldChar w:fldCharType="separate"/>
      </w:r>
      <w:r>
        <w:rPr>
          <w:rFonts w:hint="eastAsia" w:ascii="黑体" w:cs="黑体"/>
          <w:bCs/>
          <w:szCs w:val="22"/>
        </w:rPr>
        <w:t xml:space="preserve">8.1 补充的其他内容</w:t>
      </w:r>
      <w:r>
        <w:tab/>
      </w:r>
      <w:r>
        <w:fldChar w:fldCharType="begin"/>
      </w:r>
      <w:r>
        <w:instrText xml:space="preserve"> PAGEREF _Toc10987 \h </w:instrText>
      </w:r>
      <w:r>
        <w:fldChar w:fldCharType="separate"/>
      </w:r>
      <w:r>
        <w:t xml:space="preserve">20</w:t>
      </w:r>
      <w:r>
        <w:fldChar w:fldCharType="end"/>
      </w:r>
      <w:r>
        <w:fldChar w:fldCharType="end"/>
      </w:r>
      <w:r/>
    </w:p>
    <w:p>
      <w:pPr>
        <w:pStyle w:val="755"/>
        <w:tabs>
          <w:tab w:val="right" w:pos="8810" w:leader="dot"/>
        </w:tabs>
      </w:pPr>
      <w:r>
        <w:fldChar w:fldCharType="begin"/>
      </w:r>
      <w:r>
        <w:instrText xml:space="preserve"> HYPERLINK \l _Toc10363 </w:instrText>
      </w:r>
      <w:r>
        <w:fldChar w:fldCharType="separate"/>
      </w:r>
      <w:r>
        <w:rPr>
          <w:rFonts w:hint="eastAsia" w:ascii="微软雅黑" w:hAnsi="微软雅黑" w:eastAsia="微软雅黑" w:cs="微软雅黑"/>
          <w:bCs w:val="0"/>
          <w:szCs w:val="36"/>
        </w:rPr>
        <w:t xml:space="preserve">第三章 资格审查办法</w:t>
      </w:r>
      <w:r>
        <w:tab/>
      </w:r>
      <w:r>
        <w:fldChar w:fldCharType="begin"/>
      </w:r>
      <w:r>
        <w:instrText xml:space="preserve"> PAGEREF _Toc10363 \h </w:instrText>
      </w:r>
      <w:r>
        <w:fldChar w:fldCharType="separate"/>
      </w:r>
      <w:r>
        <w:t xml:space="preserve">21</w:t>
      </w:r>
      <w:r>
        <w:fldChar w:fldCharType="end"/>
      </w:r>
      <w:r>
        <w:fldChar w:fldCharType="end"/>
      </w:r>
      <w:r/>
    </w:p>
    <w:p>
      <w:pPr>
        <w:pStyle w:val="746"/>
        <w:tabs>
          <w:tab w:val="right" w:pos="8810" w:leader="dot"/>
        </w:tabs>
      </w:pPr>
      <w:r>
        <w:fldChar w:fldCharType="begin"/>
      </w:r>
      <w:r>
        <w:instrText xml:space="preserve"> HYPERLINK \l _Toc17931 </w:instrText>
      </w:r>
      <w:r>
        <w:fldChar w:fldCharType="separate"/>
      </w:r>
      <w:r>
        <w:rPr>
          <w:rFonts w:hint="eastAsia" w:ascii="黑体" w:cs="黑体"/>
          <w:szCs w:val="18"/>
        </w:rPr>
        <w:t xml:space="preserve">1.审查方法</w:t>
      </w:r>
      <w:r>
        <w:tab/>
      </w:r>
      <w:r>
        <w:fldChar w:fldCharType="begin"/>
      </w:r>
      <w:r>
        <w:instrText xml:space="preserve"> PAGEREF _Toc17931 \h </w:instrText>
      </w:r>
      <w:r>
        <w:fldChar w:fldCharType="separate"/>
      </w:r>
      <w:r>
        <w:t xml:space="preserve">21</w:t>
      </w:r>
      <w:r>
        <w:fldChar w:fldCharType="end"/>
      </w:r>
      <w:r>
        <w:fldChar w:fldCharType="end"/>
      </w:r>
      <w:r/>
    </w:p>
    <w:p>
      <w:pPr>
        <w:pStyle w:val="746"/>
        <w:tabs>
          <w:tab w:val="right" w:pos="8810" w:leader="dot"/>
        </w:tabs>
      </w:pPr>
      <w:r>
        <w:fldChar w:fldCharType="begin"/>
      </w:r>
      <w:r>
        <w:instrText xml:space="preserve"> HYPERLINK \l _Toc25613 </w:instrText>
      </w:r>
      <w:r>
        <w:fldChar w:fldCharType="separate"/>
      </w:r>
      <w:r>
        <w:rPr>
          <w:rFonts w:hint="eastAsia" w:ascii="黑体" w:cs="黑体"/>
        </w:rPr>
        <w:t xml:space="preserve">2.审查标准</w:t>
      </w:r>
      <w:r>
        <w:tab/>
      </w:r>
      <w:r>
        <w:fldChar w:fldCharType="begin"/>
      </w:r>
      <w:r>
        <w:instrText xml:space="preserve"> PAGEREF _Toc25613 \h </w:instrText>
      </w:r>
      <w:r>
        <w:fldChar w:fldCharType="separate"/>
      </w:r>
      <w:r>
        <w:t xml:space="preserve">21</w:t>
      </w:r>
      <w:r>
        <w:fldChar w:fldCharType="end"/>
      </w:r>
      <w:r>
        <w:fldChar w:fldCharType="end"/>
      </w:r>
      <w:r/>
    </w:p>
    <w:p>
      <w:pPr>
        <w:pStyle w:val="746"/>
        <w:tabs>
          <w:tab w:val="right" w:pos="8810" w:leader="dot"/>
        </w:tabs>
      </w:pPr>
      <w:r>
        <w:fldChar w:fldCharType="begin"/>
      </w:r>
      <w:r>
        <w:instrText xml:space="preserve"> HYPERLINK \l _Toc14756 </w:instrText>
      </w:r>
      <w:r>
        <w:fldChar w:fldCharType="separate"/>
      </w:r>
      <w:r>
        <w:rPr>
          <w:rFonts w:hint="eastAsia" w:ascii="黑体" w:cs="黑体"/>
          <w:szCs w:val="18"/>
        </w:rPr>
        <w:t xml:space="preserve">3.澄清、说明或者补正</w:t>
      </w:r>
      <w:r>
        <w:tab/>
      </w:r>
      <w:r>
        <w:fldChar w:fldCharType="begin"/>
      </w:r>
      <w:r>
        <w:instrText xml:space="preserve"> PAGEREF _Toc14756 \h </w:instrText>
      </w:r>
      <w:r>
        <w:fldChar w:fldCharType="separate"/>
      </w:r>
      <w:r>
        <w:t xml:space="preserve">21</w:t>
      </w:r>
      <w:r>
        <w:fldChar w:fldCharType="end"/>
      </w:r>
      <w:r>
        <w:fldChar w:fldCharType="end"/>
      </w:r>
      <w:r/>
    </w:p>
    <w:p>
      <w:pPr>
        <w:pStyle w:val="746"/>
        <w:tabs>
          <w:tab w:val="right" w:pos="8810" w:leader="dot"/>
        </w:tabs>
      </w:pPr>
      <w:r>
        <w:fldChar w:fldCharType="begin"/>
      </w:r>
      <w:r>
        <w:instrText xml:space="preserve"> HYPERLINK \l _Toc12026 </w:instrText>
      </w:r>
      <w:r>
        <w:fldChar w:fldCharType="separate"/>
      </w:r>
      <w:r>
        <w:rPr>
          <w:rFonts w:hint="eastAsia" w:ascii="黑体" w:cs="黑体"/>
          <w:szCs w:val="18"/>
        </w:rPr>
        <w:t xml:space="preserve">4.审查结果</w:t>
      </w:r>
      <w:r>
        <w:tab/>
      </w:r>
      <w:r>
        <w:fldChar w:fldCharType="begin"/>
      </w:r>
      <w:r>
        <w:instrText xml:space="preserve"> PAGEREF _Toc12026 \h </w:instrText>
      </w:r>
      <w:r>
        <w:fldChar w:fldCharType="separate"/>
      </w:r>
      <w:r>
        <w:t xml:space="preserve">21</w:t>
      </w:r>
      <w:r>
        <w:fldChar w:fldCharType="end"/>
      </w:r>
      <w:r>
        <w:fldChar w:fldCharType="end"/>
      </w:r>
      <w:r/>
    </w:p>
    <w:p>
      <w:pPr>
        <w:pStyle w:val="755"/>
        <w:tabs>
          <w:tab w:val="right" w:pos="8810" w:leader="dot"/>
        </w:tabs>
      </w:pPr>
      <w:r>
        <w:fldChar w:fldCharType="begin"/>
      </w:r>
      <w:r>
        <w:instrText xml:space="preserve"> HYPERLINK \l _Toc7640 </w:instrText>
      </w:r>
      <w:r>
        <w:fldChar w:fldCharType="separate"/>
      </w:r>
      <w:r>
        <w:rPr>
          <w:rFonts w:hint="eastAsia" w:ascii="微软雅黑" w:hAnsi="微软雅黑" w:eastAsia="微软雅黑" w:cs="微软雅黑"/>
          <w:bCs w:val="0"/>
          <w:szCs w:val="36"/>
        </w:rPr>
        <w:t xml:space="preserve">第四章 评标办法</w:t>
      </w:r>
      <w:r>
        <w:tab/>
      </w:r>
      <w:r>
        <w:fldChar w:fldCharType="begin"/>
      </w:r>
      <w:r>
        <w:instrText xml:space="preserve"> PAGEREF _Toc7640 \h </w:instrText>
      </w:r>
      <w:r>
        <w:fldChar w:fldCharType="separate"/>
      </w:r>
      <w:r>
        <w:t xml:space="preserve">22</w:t>
      </w:r>
      <w:r>
        <w:fldChar w:fldCharType="end"/>
      </w:r>
      <w:r>
        <w:fldChar w:fldCharType="end"/>
      </w:r>
      <w:r/>
    </w:p>
    <w:p>
      <w:pPr>
        <w:pStyle w:val="746"/>
        <w:tabs>
          <w:tab w:val="right" w:pos="8810" w:leader="dot"/>
        </w:tabs>
      </w:pPr>
      <w:r>
        <w:fldChar w:fldCharType="begin"/>
      </w:r>
      <w:r>
        <w:instrText xml:space="preserve"> HYPERLINK \l _Toc4365 </w:instrText>
      </w:r>
      <w:r>
        <w:fldChar w:fldCharType="separate"/>
      </w:r>
      <w:r>
        <w:rPr>
          <w:rFonts w:hint="eastAsia"/>
        </w:rPr>
        <w:t xml:space="preserve">评标办法前附表</w:t>
      </w:r>
      <w:r>
        <w:tab/>
      </w:r>
      <w:r>
        <w:fldChar w:fldCharType="begin"/>
      </w:r>
      <w:r>
        <w:instrText xml:space="preserve"> PAGEREF _Toc4365 \h </w:instrText>
      </w:r>
      <w:r>
        <w:fldChar w:fldCharType="separate"/>
      </w:r>
      <w:r>
        <w:t xml:space="preserve">22</w:t>
      </w:r>
      <w:r>
        <w:fldChar w:fldCharType="end"/>
      </w:r>
      <w:r>
        <w:fldChar w:fldCharType="end"/>
      </w:r>
      <w:r/>
    </w:p>
    <w:p>
      <w:pPr>
        <w:pStyle w:val="746"/>
        <w:tabs>
          <w:tab w:val="right" w:pos="8810" w:leader="dot"/>
        </w:tabs>
      </w:pPr>
      <w:r>
        <w:fldChar w:fldCharType="begin"/>
      </w:r>
      <w:r>
        <w:instrText xml:space="preserve"> HYPERLINK \l _Toc12977 </w:instrText>
      </w:r>
      <w:r>
        <w:fldChar w:fldCharType="separate"/>
      </w:r>
      <w:r>
        <w:rPr>
          <w:rFonts w:hint="eastAsia" w:ascii="黑体" w:cs="黑体"/>
          <w:szCs w:val="22"/>
        </w:rPr>
        <w:t xml:space="preserve">1. 评标方法</w:t>
      </w:r>
      <w:r>
        <w:tab/>
      </w:r>
      <w:r>
        <w:fldChar w:fldCharType="begin"/>
      </w:r>
      <w:r>
        <w:instrText xml:space="preserve"> PAGEREF _Toc12977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_Toc27628 </w:instrText>
      </w:r>
      <w:r>
        <w:fldChar w:fldCharType="separate"/>
      </w:r>
      <w:r>
        <w:rPr>
          <w:rFonts w:hint="eastAsia" w:ascii="黑体" w:cs="黑体"/>
          <w:szCs w:val="22"/>
        </w:rPr>
        <w:t xml:space="preserve">2. 评审标准</w:t>
      </w:r>
      <w:r>
        <w:tab/>
      </w:r>
      <w:r>
        <w:fldChar w:fldCharType="begin"/>
      </w:r>
      <w:r>
        <w:instrText xml:space="preserve"> PAGEREF _Toc27628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_Toc30201 </w:instrText>
      </w:r>
      <w:r>
        <w:fldChar w:fldCharType="separate"/>
      </w:r>
      <w:r>
        <w:rPr>
          <w:rFonts w:hint="eastAsia" w:ascii="宋体" w:hAnsi="宋体" w:eastAsia="宋体" w:cs="宋体"/>
          <w:bCs/>
          <w:szCs w:val="22"/>
        </w:rPr>
        <w:t xml:space="preserve">2.1 符合性评审标准</w:t>
      </w:r>
      <w:r>
        <w:tab/>
      </w:r>
      <w:r>
        <w:fldChar w:fldCharType="begin"/>
      </w:r>
      <w:r>
        <w:instrText xml:space="preserve"> PAGEREF _Toc30201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_Toc17930 </w:instrText>
      </w:r>
      <w:r>
        <w:fldChar w:fldCharType="separate"/>
      </w:r>
      <w:r>
        <w:rPr>
          <w:rFonts w:hint="eastAsia" w:ascii="宋体" w:hAnsi="宋体" w:eastAsia="宋体" w:cs="宋体"/>
          <w:bCs/>
          <w:szCs w:val="22"/>
        </w:rPr>
        <w:t xml:space="preserve">2.2 分值构成与评分标准</w:t>
      </w:r>
      <w:r>
        <w:tab/>
      </w:r>
      <w:r>
        <w:fldChar w:fldCharType="begin"/>
      </w:r>
      <w:r>
        <w:instrText xml:space="preserve"> PAGEREF _Toc17930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_Toc7387 </w:instrText>
      </w:r>
      <w:r>
        <w:fldChar w:fldCharType="separate"/>
      </w:r>
      <w:r>
        <w:rPr>
          <w:rFonts w:hint="eastAsia" w:ascii="黑体" w:cs="黑体"/>
          <w:szCs w:val="22"/>
        </w:rPr>
        <w:t xml:space="preserve">3. 评标程序</w:t>
      </w:r>
      <w:r>
        <w:tab/>
      </w:r>
      <w:r>
        <w:fldChar w:fldCharType="begin"/>
      </w:r>
      <w:r>
        <w:instrText xml:space="preserve"> PAGEREF _Toc7387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_Toc20039 </w:instrText>
      </w:r>
      <w:r>
        <w:fldChar w:fldCharType="separate"/>
      </w:r>
      <w:r>
        <w:rPr>
          <w:rFonts w:hint="eastAsia" w:ascii="宋体" w:hAnsi="宋体" w:eastAsia="宋体" w:cs="宋体"/>
          <w:bCs/>
          <w:szCs w:val="22"/>
        </w:rPr>
        <w:t xml:space="preserve">3.1 符合性评审</w:t>
      </w:r>
      <w:r>
        <w:tab/>
      </w:r>
      <w:r>
        <w:fldChar w:fldCharType="begin"/>
      </w:r>
      <w:r>
        <w:instrText xml:space="preserve"> PAGEREF _Toc20039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_Toc14234 </w:instrText>
      </w:r>
      <w:r>
        <w:fldChar w:fldCharType="separate"/>
      </w:r>
      <w:r>
        <w:rPr>
          <w:rFonts w:hint="eastAsia" w:ascii="宋体" w:hAnsi="宋体" w:eastAsia="宋体" w:cs="宋体"/>
          <w:bCs/>
          <w:szCs w:val="22"/>
        </w:rPr>
        <w:t xml:space="preserve">3.2 异常低价投标审查</w:t>
      </w:r>
      <w:r>
        <w:tab/>
      </w:r>
      <w:r>
        <w:fldChar w:fldCharType="begin"/>
      </w:r>
      <w:r>
        <w:instrText xml:space="preserve"> PAGEREF _Toc14234 \h </w:instrText>
      </w:r>
      <w:r>
        <w:fldChar w:fldCharType="separate"/>
      </w:r>
      <w:r>
        <w:t xml:space="preserve">29</w:t>
      </w:r>
      <w:r>
        <w:fldChar w:fldCharType="end"/>
      </w:r>
      <w:r>
        <w:fldChar w:fldCharType="end"/>
      </w:r>
      <w:r/>
    </w:p>
    <w:p>
      <w:pPr>
        <w:pStyle w:val="746"/>
        <w:tabs>
          <w:tab w:val="right" w:pos="8810" w:leader="dot"/>
        </w:tabs>
      </w:pPr>
      <w:r>
        <w:fldChar w:fldCharType="begin"/>
      </w:r>
      <w:r>
        <w:instrText xml:space="preserve"> HYPERLINK \l _Toc25933 </w:instrText>
      </w:r>
      <w:r>
        <w:fldChar w:fldCharType="separate"/>
      </w:r>
      <w:r>
        <w:rPr>
          <w:rFonts w:hint="eastAsia" w:ascii="宋体" w:hAnsi="宋体" w:eastAsia="宋体" w:cs="宋体"/>
          <w:bCs/>
          <w:szCs w:val="22"/>
        </w:rPr>
        <w:t xml:space="preserve">3.3 澄清和补正</w:t>
      </w:r>
      <w:r>
        <w:tab/>
      </w:r>
      <w:r>
        <w:fldChar w:fldCharType="begin"/>
      </w:r>
      <w:r>
        <w:instrText xml:space="preserve"> PAGEREF _Toc25933 \h </w:instrText>
      </w:r>
      <w:r>
        <w:fldChar w:fldCharType="separate"/>
      </w:r>
      <w:r>
        <w:t xml:space="preserve">30</w:t>
      </w:r>
      <w:r>
        <w:fldChar w:fldCharType="end"/>
      </w:r>
      <w:r>
        <w:fldChar w:fldCharType="end"/>
      </w:r>
      <w:r/>
    </w:p>
    <w:p>
      <w:pPr>
        <w:pStyle w:val="746"/>
        <w:tabs>
          <w:tab w:val="right" w:pos="8810" w:leader="dot"/>
        </w:tabs>
      </w:pPr>
      <w:r>
        <w:fldChar w:fldCharType="begin"/>
      </w:r>
      <w:r>
        <w:instrText xml:space="preserve"> HYPERLINK \l _Toc14298 </w:instrText>
      </w:r>
      <w:r>
        <w:fldChar w:fldCharType="separate"/>
      </w:r>
      <w:r>
        <w:rPr>
          <w:rFonts w:hint="eastAsia" w:ascii="宋体" w:hAnsi="宋体" w:eastAsia="宋体" w:cs="宋体"/>
          <w:bCs/>
          <w:szCs w:val="22"/>
        </w:rPr>
        <w:t xml:space="preserve">3.4 详细评审</w:t>
      </w:r>
      <w:r>
        <w:tab/>
      </w:r>
      <w:r>
        <w:fldChar w:fldCharType="begin"/>
      </w:r>
      <w:r>
        <w:instrText xml:space="preserve"> PAGEREF _Toc14298 \h </w:instrText>
      </w:r>
      <w:r>
        <w:fldChar w:fldCharType="separate"/>
      </w:r>
      <w:r>
        <w:t xml:space="preserve">31</w:t>
      </w:r>
      <w:r>
        <w:fldChar w:fldCharType="end"/>
      </w:r>
      <w:r>
        <w:fldChar w:fldCharType="end"/>
      </w:r>
      <w:r/>
    </w:p>
    <w:p>
      <w:pPr>
        <w:pStyle w:val="746"/>
        <w:tabs>
          <w:tab w:val="right" w:pos="8810" w:leader="dot"/>
        </w:tabs>
      </w:pPr>
      <w:r>
        <w:fldChar w:fldCharType="begin"/>
      </w:r>
      <w:r>
        <w:instrText xml:space="preserve"> HYPERLINK \l _Toc9014 </w:instrText>
      </w:r>
      <w:r>
        <w:fldChar w:fldCharType="separate"/>
      </w:r>
      <w:r>
        <w:rPr>
          <w:rFonts w:hint="eastAsia" w:ascii="宋体" w:hAnsi="宋体" w:eastAsia="宋体" w:cs="宋体"/>
          <w:bCs/>
          <w:szCs w:val="22"/>
        </w:rPr>
        <w:t xml:space="preserve">3.5 串通、虚假投标</w:t>
      </w:r>
      <w:r>
        <w:tab/>
      </w:r>
      <w:r>
        <w:fldChar w:fldCharType="begin"/>
      </w:r>
      <w:r>
        <w:instrText xml:space="preserve"> PAGEREF _Toc9014 \h </w:instrText>
      </w:r>
      <w:r>
        <w:fldChar w:fldCharType="separate"/>
      </w:r>
      <w:r>
        <w:t xml:space="preserve">31</w:t>
      </w:r>
      <w:r>
        <w:fldChar w:fldCharType="end"/>
      </w:r>
      <w:r>
        <w:fldChar w:fldCharType="end"/>
      </w:r>
      <w:r/>
    </w:p>
    <w:p>
      <w:pPr>
        <w:pStyle w:val="746"/>
        <w:tabs>
          <w:tab w:val="right" w:pos="8810" w:leader="dot"/>
        </w:tabs>
      </w:pPr>
      <w:r>
        <w:fldChar w:fldCharType="begin"/>
      </w:r>
      <w:r>
        <w:instrText xml:space="preserve"> HYPERLINK \l _Toc5707 </w:instrText>
      </w:r>
      <w:r>
        <w:fldChar w:fldCharType="separate"/>
      </w:r>
      <w:r>
        <w:rPr>
          <w:rFonts w:hint="eastAsia" w:ascii="宋体" w:hAnsi="宋体" w:eastAsia="宋体" w:cs="宋体"/>
          <w:bCs/>
          <w:szCs w:val="22"/>
        </w:rPr>
        <w:t xml:space="preserve">3.6 评标结果</w:t>
      </w:r>
      <w:r>
        <w:tab/>
      </w:r>
      <w:r>
        <w:fldChar w:fldCharType="begin"/>
      </w:r>
      <w:r>
        <w:instrText xml:space="preserve"> PAGEREF _Toc5707 \h </w:instrText>
      </w:r>
      <w:r>
        <w:fldChar w:fldCharType="separate"/>
      </w:r>
      <w:r>
        <w:t xml:space="preserve">31</w:t>
      </w:r>
      <w:r>
        <w:fldChar w:fldCharType="end"/>
      </w:r>
      <w:r>
        <w:fldChar w:fldCharType="end"/>
      </w:r>
      <w:r/>
    </w:p>
    <w:p>
      <w:pPr>
        <w:pStyle w:val="755"/>
        <w:tabs>
          <w:tab w:val="right" w:pos="8810" w:leader="dot"/>
        </w:tabs>
      </w:pPr>
      <w:r>
        <w:fldChar w:fldCharType="begin"/>
      </w:r>
      <w:r>
        <w:instrText xml:space="preserve"> HYPERLINK \l _Toc17149 </w:instrText>
      </w:r>
      <w:r>
        <w:fldChar w:fldCharType="separate"/>
      </w:r>
      <w:r>
        <w:rPr>
          <w:rFonts w:hint="eastAsia" w:ascii="微软雅黑" w:hAnsi="微软雅黑" w:eastAsia="微软雅黑" w:cs="微软雅黑"/>
          <w:bCs w:val="0"/>
          <w:szCs w:val="36"/>
        </w:rPr>
        <w:t xml:space="preserve">第五章 合同格式及条款</w:t>
      </w:r>
      <w:r>
        <w:tab/>
      </w:r>
      <w:r>
        <w:fldChar w:fldCharType="begin"/>
      </w:r>
      <w:r>
        <w:instrText xml:space="preserve"> PAGEREF _Toc17149 \h </w:instrText>
      </w:r>
      <w:r>
        <w:fldChar w:fldCharType="separate"/>
      </w:r>
      <w:r>
        <w:t xml:space="preserve">32</w:t>
      </w:r>
      <w:r>
        <w:fldChar w:fldCharType="end"/>
      </w:r>
      <w:r>
        <w:fldChar w:fldCharType="end"/>
      </w:r>
      <w:r/>
    </w:p>
    <w:p>
      <w:pPr>
        <w:pStyle w:val="746"/>
        <w:tabs>
          <w:tab w:val="right" w:pos="8810" w:leader="dot"/>
        </w:tabs>
      </w:pPr>
      <w:r>
        <w:fldChar w:fldCharType="begin"/>
      </w:r>
      <w:r>
        <w:instrText xml:space="preserve"> HYPERLINK \l _Toc31429 </w:instrText>
      </w:r>
      <w:r>
        <w:fldChar w:fldCharType="separate"/>
      </w:r>
      <w:r>
        <w:rPr>
          <w:rFonts w:hint="eastAsia" w:ascii="黑体" w:hAnsi="黑体" w:eastAsia="黑体" w:cs="黑体"/>
          <w:szCs w:val="22"/>
        </w:rPr>
        <w:t xml:space="preserve">第一条 项目概况与服务范围</w:t>
      </w:r>
      <w:r>
        <w:tab/>
      </w:r>
      <w:r>
        <w:fldChar w:fldCharType="begin"/>
      </w:r>
      <w:r>
        <w:instrText xml:space="preserve"> PAGEREF _Toc31429 \h </w:instrText>
      </w:r>
      <w:r>
        <w:fldChar w:fldCharType="separate"/>
      </w:r>
      <w:r>
        <w:t xml:space="preserve">32</w:t>
      </w:r>
      <w:r>
        <w:fldChar w:fldCharType="end"/>
      </w:r>
      <w:r>
        <w:fldChar w:fldCharType="end"/>
      </w:r>
      <w:r/>
    </w:p>
    <w:p>
      <w:pPr>
        <w:pStyle w:val="746"/>
        <w:tabs>
          <w:tab w:val="right" w:pos="8810" w:leader="dot"/>
        </w:tabs>
      </w:pPr>
      <w:r>
        <w:fldChar w:fldCharType="begin"/>
      </w:r>
      <w:r>
        <w:instrText xml:space="preserve"> HYPERLINK \l _Toc27328 </w:instrText>
      </w:r>
      <w:r>
        <w:fldChar w:fldCharType="separate"/>
      </w:r>
      <w:r>
        <w:rPr>
          <w:rFonts w:hint="eastAsia" w:ascii="黑体" w:hAnsi="黑体" w:eastAsia="黑体" w:cs="黑体"/>
          <w:szCs w:val="22"/>
        </w:rPr>
        <w:t xml:space="preserve">第二条 合同履行期限与实施要求</w:t>
      </w:r>
      <w:r>
        <w:tab/>
      </w:r>
      <w:r>
        <w:fldChar w:fldCharType="begin"/>
      </w:r>
      <w:r>
        <w:instrText xml:space="preserve"> PAGEREF _Toc27328 \h </w:instrText>
      </w:r>
      <w:r>
        <w:fldChar w:fldCharType="separate"/>
      </w:r>
      <w:r>
        <w:t xml:space="preserve">33</w:t>
      </w:r>
      <w:r>
        <w:fldChar w:fldCharType="end"/>
      </w:r>
      <w:r>
        <w:fldChar w:fldCharType="end"/>
      </w:r>
      <w:r/>
    </w:p>
    <w:p>
      <w:pPr>
        <w:pStyle w:val="746"/>
        <w:tabs>
          <w:tab w:val="right" w:pos="8810" w:leader="dot"/>
        </w:tabs>
      </w:pPr>
      <w:r>
        <w:fldChar w:fldCharType="begin"/>
      </w:r>
      <w:r>
        <w:instrText xml:space="preserve"> HYPERLINK \l _Toc8715 </w:instrText>
      </w:r>
      <w:r>
        <w:fldChar w:fldCharType="separate"/>
      </w:r>
      <w:r>
        <w:rPr>
          <w:rFonts w:hint="eastAsia" w:ascii="黑体" w:hAnsi="黑体" w:eastAsia="黑体" w:cs="黑体"/>
          <w:szCs w:val="22"/>
        </w:rPr>
        <w:t xml:space="preserve">第三条 合同价款与支付方式</w:t>
      </w:r>
      <w:r>
        <w:tab/>
      </w:r>
      <w:r>
        <w:fldChar w:fldCharType="begin"/>
      </w:r>
      <w:r>
        <w:instrText xml:space="preserve"> PAGEREF _Toc8715 \h </w:instrText>
      </w:r>
      <w:r>
        <w:fldChar w:fldCharType="separate"/>
      </w:r>
      <w:r>
        <w:t xml:space="preserve">33</w:t>
      </w:r>
      <w:r>
        <w:fldChar w:fldCharType="end"/>
      </w:r>
      <w:r>
        <w:fldChar w:fldCharType="end"/>
      </w:r>
      <w:r/>
    </w:p>
    <w:p>
      <w:pPr>
        <w:pStyle w:val="746"/>
        <w:tabs>
          <w:tab w:val="right" w:pos="8810" w:leader="dot"/>
        </w:tabs>
      </w:pPr>
      <w:r>
        <w:fldChar w:fldCharType="begin"/>
      </w:r>
      <w:r>
        <w:instrText xml:space="preserve"> HYPERLINK \l _Toc16102 </w:instrText>
      </w:r>
      <w:r>
        <w:fldChar w:fldCharType="separate"/>
      </w:r>
      <w:r>
        <w:rPr>
          <w:rFonts w:hint="eastAsia" w:ascii="黑体" w:hAnsi="黑体" w:eastAsia="黑体" w:cs="黑体"/>
          <w:szCs w:val="22"/>
        </w:rPr>
        <w:t xml:space="preserve">第四条 设备材料与质量要求</w:t>
      </w:r>
      <w:r>
        <w:tab/>
      </w:r>
      <w:r>
        <w:fldChar w:fldCharType="begin"/>
      </w:r>
      <w:r>
        <w:instrText xml:space="preserve"> PAGEREF _Toc16102 \h </w:instrText>
      </w:r>
      <w:r>
        <w:fldChar w:fldCharType="separate"/>
      </w:r>
      <w:r>
        <w:t xml:space="preserve">34</w:t>
      </w:r>
      <w:r>
        <w:fldChar w:fldCharType="end"/>
      </w:r>
      <w:r>
        <w:fldChar w:fldCharType="end"/>
      </w:r>
      <w:r/>
    </w:p>
    <w:p>
      <w:pPr>
        <w:pStyle w:val="746"/>
        <w:tabs>
          <w:tab w:val="right" w:pos="8810" w:leader="dot"/>
        </w:tabs>
      </w:pPr>
      <w:r>
        <w:fldChar w:fldCharType="begin"/>
      </w:r>
      <w:r>
        <w:instrText xml:space="preserve"> HYPERLINK \l _Toc22221 </w:instrText>
      </w:r>
      <w:r>
        <w:fldChar w:fldCharType="separate"/>
      </w:r>
      <w:r>
        <w:rPr>
          <w:rFonts w:hint="eastAsia" w:ascii="黑体" w:hAnsi="黑体" w:eastAsia="黑体" w:cs="黑体"/>
          <w:szCs w:val="22"/>
        </w:rPr>
        <w:t xml:space="preserve">第五条 成果交付与竣工验收</w:t>
      </w:r>
      <w:r>
        <w:tab/>
      </w:r>
      <w:r>
        <w:fldChar w:fldCharType="begin"/>
      </w:r>
      <w:r>
        <w:instrText xml:space="preserve"> PAGEREF _Toc22221 \h </w:instrText>
      </w:r>
      <w:r>
        <w:fldChar w:fldCharType="separate"/>
      </w:r>
      <w:r>
        <w:t xml:space="preserve">34</w:t>
      </w:r>
      <w:r>
        <w:fldChar w:fldCharType="end"/>
      </w:r>
      <w:r>
        <w:fldChar w:fldCharType="end"/>
      </w:r>
      <w:r/>
    </w:p>
    <w:p>
      <w:pPr>
        <w:pStyle w:val="746"/>
        <w:tabs>
          <w:tab w:val="right" w:pos="8810" w:leader="dot"/>
        </w:tabs>
      </w:pPr>
      <w:r>
        <w:fldChar w:fldCharType="begin"/>
      </w:r>
      <w:r>
        <w:instrText xml:space="preserve"> HYPERLINK \l _Toc24485 </w:instrText>
      </w:r>
      <w:r>
        <w:fldChar w:fldCharType="separate"/>
      </w:r>
      <w:r>
        <w:rPr>
          <w:rFonts w:hint="eastAsia" w:ascii="黑体" w:hAnsi="黑体" w:eastAsia="黑体" w:cs="黑体"/>
          <w:szCs w:val="22"/>
        </w:rPr>
        <w:t xml:space="preserve">第六条 双方权利与义务</w:t>
      </w:r>
      <w:r>
        <w:tab/>
      </w:r>
      <w:r>
        <w:fldChar w:fldCharType="begin"/>
      </w:r>
      <w:r>
        <w:instrText xml:space="preserve"> PAGEREF _Toc24485 \h </w:instrText>
      </w:r>
      <w:r>
        <w:fldChar w:fldCharType="separate"/>
      </w:r>
      <w:r>
        <w:t xml:space="preserve">35</w:t>
      </w:r>
      <w:r>
        <w:fldChar w:fldCharType="end"/>
      </w:r>
      <w:r>
        <w:fldChar w:fldCharType="end"/>
      </w:r>
      <w:r/>
    </w:p>
    <w:p>
      <w:pPr>
        <w:pStyle w:val="746"/>
        <w:tabs>
          <w:tab w:val="right" w:pos="8810" w:leader="dot"/>
        </w:tabs>
      </w:pPr>
      <w:r>
        <w:fldChar w:fldCharType="begin"/>
      </w:r>
      <w:r>
        <w:instrText xml:space="preserve"> HYPERLINK \l _Toc16294 </w:instrText>
      </w:r>
      <w:r>
        <w:fldChar w:fldCharType="separate"/>
      </w:r>
      <w:r>
        <w:rPr>
          <w:rFonts w:hint="eastAsia" w:ascii="黑体" w:hAnsi="黑体" w:eastAsia="黑体" w:cs="黑体"/>
          <w:szCs w:val="22"/>
        </w:rPr>
        <w:t xml:space="preserve">第七条 质保期与售后服务</w:t>
      </w:r>
      <w:r>
        <w:tab/>
      </w:r>
      <w:r>
        <w:fldChar w:fldCharType="begin"/>
      </w:r>
      <w:r>
        <w:instrText xml:space="preserve"> PAGEREF _Toc16294 \h </w:instrText>
      </w:r>
      <w:r>
        <w:fldChar w:fldCharType="separate"/>
      </w:r>
      <w:r>
        <w:t xml:space="preserve">35</w:t>
      </w:r>
      <w:r>
        <w:fldChar w:fldCharType="end"/>
      </w:r>
      <w:r>
        <w:fldChar w:fldCharType="end"/>
      </w:r>
      <w:r/>
    </w:p>
    <w:p>
      <w:pPr>
        <w:pStyle w:val="746"/>
        <w:tabs>
          <w:tab w:val="right" w:pos="8810" w:leader="dot"/>
        </w:tabs>
      </w:pPr>
      <w:r>
        <w:fldChar w:fldCharType="begin"/>
      </w:r>
      <w:r>
        <w:instrText xml:space="preserve"> HYPERLINK \l _Toc11128 </w:instrText>
      </w:r>
      <w:r>
        <w:fldChar w:fldCharType="separate"/>
      </w:r>
      <w:r>
        <w:rPr>
          <w:rFonts w:hint="eastAsia" w:ascii="黑体" w:hAnsi="黑体" w:eastAsia="黑体" w:cs="黑体"/>
          <w:szCs w:val="22"/>
        </w:rPr>
        <w:t xml:space="preserve">第八条 知识产权与保密约定</w:t>
      </w:r>
      <w:r>
        <w:tab/>
      </w:r>
      <w:r>
        <w:fldChar w:fldCharType="begin"/>
      </w:r>
      <w:r>
        <w:instrText xml:space="preserve"> PAGEREF _Toc11128 \h </w:instrText>
      </w:r>
      <w:r>
        <w:fldChar w:fldCharType="separate"/>
      </w:r>
      <w:r>
        <w:t xml:space="preserve">36</w:t>
      </w:r>
      <w:r>
        <w:fldChar w:fldCharType="end"/>
      </w:r>
      <w:r>
        <w:fldChar w:fldCharType="end"/>
      </w:r>
      <w:r/>
    </w:p>
    <w:p>
      <w:pPr>
        <w:pStyle w:val="746"/>
        <w:tabs>
          <w:tab w:val="right" w:pos="8810" w:leader="dot"/>
        </w:tabs>
      </w:pPr>
      <w:r>
        <w:fldChar w:fldCharType="begin"/>
      </w:r>
      <w:r>
        <w:instrText xml:space="preserve"> HYPERLINK \l _Toc4651 </w:instrText>
      </w:r>
      <w:r>
        <w:fldChar w:fldCharType="separate"/>
      </w:r>
      <w:r>
        <w:rPr>
          <w:rFonts w:hint="eastAsia" w:ascii="黑体" w:hAnsi="黑体" w:eastAsia="黑体" w:cs="黑体"/>
          <w:szCs w:val="22"/>
        </w:rPr>
        <w:t xml:space="preserve">第九条 违约责任</w:t>
      </w:r>
      <w:r>
        <w:tab/>
      </w:r>
      <w:r>
        <w:fldChar w:fldCharType="begin"/>
      </w:r>
      <w:r>
        <w:instrText xml:space="preserve"> PAGEREF _Toc4651 \h </w:instrText>
      </w:r>
      <w:r>
        <w:fldChar w:fldCharType="separate"/>
      </w:r>
      <w:r>
        <w:t xml:space="preserve">36</w:t>
      </w:r>
      <w:r>
        <w:fldChar w:fldCharType="end"/>
      </w:r>
      <w:r>
        <w:fldChar w:fldCharType="end"/>
      </w:r>
      <w:r/>
    </w:p>
    <w:p>
      <w:pPr>
        <w:pStyle w:val="746"/>
        <w:tabs>
          <w:tab w:val="right" w:pos="8810" w:leader="dot"/>
        </w:tabs>
      </w:pPr>
      <w:r>
        <w:fldChar w:fldCharType="begin"/>
      </w:r>
      <w:r>
        <w:instrText xml:space="preserve"> HYPERLINK \l _Toc13960 </w:instrText>
      </w:r>
      <w:r>
        <w:fldChar w:fldCharType="separate"/>
      </w:r>
      <w:r>
        <w:rPr>
          <w:rFonts w:hint="eastAsia" w:ascii="黑体" w:hAnsi="黑体" w:eastAsia="黑体" w:cs="黑体"/>
          <w:szCs w:val="22"/>
        </w:rPr>
        <w:t xml:space="preserve">第十条 合同变更、中止与终止</w:t>
      </w:r>
      <w:r>
        <w:tab/>
      </w:r>
      <w:r>
        <w:fldChar w:fldCharType="begin"/>
      </w:r>
      <w:r>
        <w:instrText xml:space="preserve"> PAGEREF _Toc13960 \h </w:instrText>
      </w:r>
      <w:r>
        <w:fldChar w:fldCharType="separate"/>
      </w:r>
      <w:r>
        <w:t xml:space="preserve">37</w:t>
      </w:r>
      <w:r>
        <w:fldChar w:fldCharType="end"/>
      </w:r>
      <w:r>
        <w:fldChar w:fldCharType="end"/>
      </w:r>
      <w:r/>
    </w:p>
    <w:p>
      <w:pPr>
        <w:pStyle w:val="746"/>
        <w:tabs>
          <w:tab w:val="right" w:pos="8810" w:leader="dot"/>
        </w:tabs>
      </w:pPr>
      <w:r>
        <w:fldChar w:fldCharType="begin"/>
      </w:r>
      <w:r>
        <w:instrText xml:space="preserve"> HYPERLINK \l _Toc31554 </w:instrText>
      </w:r>
      <w:r>
        <w:fldChar w:fldCharType="separate"/>
      </w:r>
      <w:r>
        <w:rPr>
          <w:rFonts w:hint="eastAsia" w:ascii="黑体" w:hAnsi="黑体" w:eastAsia="黑体" w:cs="黑体"/>
          <w:szCs w:val="22"/>
        </w:rPr>
        <w:t xml:space="preserve">第十一条 争议解决</w:t>
      </w:r>
      <w:r>
        <w:tab/>
      </w:r>
      <w:r>
        <w:fldChar w:fldCharType="begin"/>
      </w:r>
      <w:r>
        <w:instrText xml:space="preserve"> PAGEREF _Toc31554 \h </w:instrText>
      </w:r>
      <w:r>
        <w:fldChar w:fldCharType="separate"/>
      </w:r>
      <w:r>
        <w:t xml:space="preserve">37</w:t>
      </w:r>
      <w:r>
        <w:fldChar w:fldCharType="end"/>
      </w:r>
      <w:r>
        <w:fldChar w:fldCharType="end"/>
      </w:r>
      <w:r/>
    </w:p>
    <w:p>
      <w:pPr>
        <w:pStyle w:val="746"/>
        <w:tabs>
          <w:tab w:val="right" w:pos="8810" w:leader="dot"/>
        </w:tabs>
      </w:pPr>
      <w:r>
        <w:fldChar w:fldCharType="begin"/>
      </w:r>
      <w:r>
        <w:instrText xml:space="preserve"> HYPERLINK \l _Toc9747 </w:instrText>
      </w:r>
      <w:r>
        <w:fldChar w:fldCharType="separate"/>
      </w:r>
      <w:r>
        <w:rPr>
          <w:rFonts w:hint="eastAsia" w:ascii="黑体" w:hAnsi="黑体" w:eastAsia="黑体" w:cs="黑体"/>
          <w:szCs w:val="22"/>
        </w:rPr>
        <w:t xml:space="preserve">第十二条 其他约定</w:t>
      </w:r>
      <w:r>
        <w:tab/>
      </w:r>
      <w:r>
        <w:fldChar w:fldCharType="begin"/>
      </w:r>
      <w:r>
        <w:instrText xml:space="preserve"> PAGEREF _Toc9747 \h </w:instrText>
      </w:r>
      <w:r>
        <w:fldChar w:fldCharType="separate"/>
      </w:r>
      <w:r>
        <w:t xml:space="preserve">38</w:t>
      </w:r>
      <w:r>
        <w:fldChar w:fldCharType="end"/>
      </w:r>
      <w:r>
        <w:fldChar w:fldCharType="end"/>
      </w:r>
      <w:r/>
    </w:p>
    <w:p>
      <w:pPr>
        <w:pStyle w:val="746"/>
        <w:tabs>
          <w:tab w:val="right" w:pos="8810" w:leader="dot"/>
        </w:tabs>
      </w:pPr>
      <w:r>
        <w:fldChar w:fldCharType="begin"/>
      </w:r>
      <w:r>
        <w:instrText xml:space="preserve"> HYPERLINK \l _Toc20311 </w:instrText>
      </w:r>
      <w:r>
        <w:fldChar w:fldCharType="separate"/>
      </w:r>
      <w:r>
        <w:rPr>
          <w:rFonts w:hint="eastAsia" w:ascii="黑体" w:hAnsi="黑体" w:eastAsia="黑体" w:cs="黑体"/>
          <w:szCs w:val="22"/>
        </w:rPr>
        <w:t xml:space="preserve">第十三条 附件（与合同正文同等效力）</w:t>
      </w:r>
      <w:r>
        <w:tab/>
      </w:r>
      <w:r>
        <w:fldChar w:fldCharType="begin"/>
      </w:r>
      <w:r>
        <w:instrText xml:space="preserve"> PAGEREF _Toc20311 \h </w:instrText>
      </w:r>
      <w:r>
        <w:fldChar w:fldCharType="separate"/>
      </w:r>
      <w:r>
        <w:t xml:space="preserve">38</w:t>
      </w:r>
      <w:r>
        <w:fldChar w:fldCharType="end"/>
      </w:r>
      <w:r>
        <w:fldChar w:fldCharType="end"/>
      </w:r>
      <w:r/>
    </w:p>
    <w:p>
      <w:pPr>
        <w:pStyle w:val="755"/>
        <w:tabs>
          <w:tab w:val="right" w:pos="8810" w:leader="dot"/>
        </w:tabs>
      </w:pPr>
      <w:r>
        <w:fldChar w:fldCharType="begin"/>
      </w:r>
      <w:r>
        <w:instrText xml:space="preserve"> HYPERLINK \l _Toc22611 </w:instrText>
      </w:r>
      <w:r>
        <w:fldChar w:fldCharType="separate"/>
      </w:r>
      <w:r>
        <w:rPr>
          <w:rFonts w:hint="eastAsia" w:ascii="微软雅黑" w:hAnsi="微软雅黑" w:eastAsia="微软雅黑" w:cs="微软雅黑"/>
          <w:bCs w:val="0"/>
          <w:szCs w:val="36"/>
        </w:rPr>
        <w:t xml:space="preserve">第六章 项目采购需求</w:t>
      </w:r>
      <w:r>
        <w:tab/>
      </w:r>
      <w:r>
        <w:fldChar w:fldCharType="begin"/>
      </w:r>
      <w:r>
        <w:instrText xml:space="preserve"> PAGEREF _Toc22611 \h </w:instrText>
      </w:r>
      <w:r>
        <w:fldChar w:fldCharType="separate"/>
      </w:r>
      <w:r>
        <w:t xml:space="preserve">39</w:t>
      </w:r>
      <w:r>
        <w:fldChar w:fldCharType="end"/>
      </w:r>
      <w:r>
        <w:fldChar w:fldCharType="end"/>
      </w:r>
      <w:r/>
    </w:p>
    <w:p>
      <w:pPr>
        <w:pStyle w:val="746"/>
        <w:tabs>
          <w:tab w:val="right" w:pos="8810" w:leader="dot"/>
        </w:tabs>
      </w:pPr>
      <w:r>
        <w:fldChar w:fldCharType="begin"/>
      </w:r>
      <w:r>
        <w:instrText xml:space="preserve"> HYPERLINK \l _Toc26932 </w:instrText>
      </w:r>
      <w:r>
        <w:fldChar w:fldCharType="separate"/>
      </w:r>
      <w:r>
        <w:rPr>
          <w:rFonts w:hint="eastAsia" w:ascii="黑体" w:hAnsi="黑体" w:eastAsia="黑体" w:cs="黑体"/>
          <w:szCs w:val="24"/>
        </w:rPr>
        <w:t xml:space="preserve">一、项目内容</w:t>
      </w:r>
      <w:r>
        <w:tab/>
      </w:r>
      <w:r>
        <w:fldChar w:fldCharType="begin"/>
      </w:r>
      <w:r>
        <w:instrText xml:space="preserve"> PAGEREF _Toc26932 \h </w:instrText>
      </w:r>
      <w:r>
        <w:fldChar w:fldCharType="separate"/>
      </w:r>
      <w:r>
        <w:t xml:space="preserve">39</w:t>
      </w:r>
      <w:r>
        <w:fldChar w:fldCharType="end"/>
      </w:r>
      <w:r>
        <w:fldChar w:fldCharType="end"/>
      </w:r>
      <w:r/>
    </w:p>
    <w:p>
      <w:pPr>
        <w:pStyle w:val="746"/>
        <w:tabs>
          <w:tab w:val="right" w:pos="8810" w:leader="dot"/>
        </w:tabs>
      </w:pPr>
      <w:r>
        <w:fldChar w:fldCharType="begin"/>
      </w:r>
      <w:r>
        <w:instrText xml:space="preserve"> HYPERLINK \l _Toc17538 </w:instrText>
      </w:r>
      <w:r>
        <w:fldChar w:fldCharType="separate"/>
      </w:r>
      <w:r>
        <w:rPr>
          <w:rFonts w:hint="eastAsia" w:ascii="宋体" w:hAnsi="宋体" w:eastAsia="宋体" w:cs="宋体"/>
          <w:bCs/>
          <w:szCs w:val="22"/>
        </w:rPr>
        <w:t xml:space="preserve">1、项目概况</w:t>
      </w:r>
      <w:r>
        <w:tab/>
      </w:r>
      <w:r>
        <w:fldChar w:fldCharType="begin"/>
      </w:r>
      <w:r>
        <w:instrText xml:space="preserve"> PAGEREF _Toc17538 \h </w:instrText>
      </w:r>
      <w:r>
        <w:fldChar w:fldCharType="separate"/>
      </w:r>
      <w:r>
        <w:t xml:space="preserve">39</w:t>
      </w:r>
      <w:r>
        <w:fldChar w:fldCharType="end"/>
      </w:r>
      <w:r>
        <w:fldChar w:fldCharType="end"/>
      </w:r>
      <w:r/>
    </w:p>
    <w:p>
      <w:pPr>
        <w:pStyle w:val="746"/>
        <w:tabs>
          <w:tab w:val="right" w:pos="8810" w:leader="dot"/>
        </w:tabs>
      </w:pPr>
      <w:r>
        <w:fldChar w:fldCharType="begin"/>
      </w:r>
      <w:r>
        <w:instrText xml:space="preserve"> HYPERLINK \l _Toc5243 </w:instrText>
      </w:r>
      <w:r>
        <w:fldChar w:fldCharType="separate"/>
      </w:r>
      <w:r>
        <w:rPr>
          <w:rFonts w:hint="eastAsia" w:ascii="宋体" w:hAnsi="宋体" w:eastAsia="宋体" w:cs="宋体"/>
          <w:bCs/>
          <w:szCs w:val="22"/>
        </w:rPr>
        <w:t xml:space="preserve">2、集成实施服务内容</w:t>
      </w:r>
      <w:r>
        <w:tab/>
      </w:r>
      <w:r>
        <w:fldChar w:fldCharType="begin"/>
      </w:r>
      <w:r>
        <w:instrText xml:space="preserve"> PAGEREF _Toc5243 \h </w:instrText>
      </w:r>
      <w:r>
        <w:fldChar w:fldCharType="separate"/>
      </w:r>
      <w:r>
        <w:t xml:space="preserve">39</w:t>
      </w:r>
      <w:r>
        <w:fldChar w:fldCharType="end"/>
      </w:r>
      <w:r>
        <w:fldChar w:fldCharType="end"/>
      </w:r>
      <w:r/>
    </w:p>
    <w:p>
      <w:pPr>
        <w:pStyle w:val="746"/>
        <w:tabs>
          <w:tab w:val="right" w:pos="8810" w:leader="dot"/>
        </w:tabs>
      </w:pPr>
      <w:r>
        <w:fldChar w:fldCharType="begin"/>
      </w:r>
      <w:r>
        <w:instrText xml:space="preserve"> HYPERLINK \l _Toc7128 </w:instrText>
      </w:r>
      <w:r>
        <w:fldChar w:fldCharType="separate"/>
      </w:r>
      <w:r>
        <w:rPr>
          <w:rFonts w:hint="eastAsia" w:ascii="宋体" w:hAnsi="宋体" w:eastAsia="宋体" w:cs="宋体"/>
          <w:bCs/>
          <w:szCs w:val="22"/>
        </w:rPr>
        <w:t xml:space="preserve">3、机房平面图（其他图纸详见附件）</w:t>
      </w:r>
      <w:r>
        <w:tab/>
      </w:r>
      <w:r>
        <w:fldChar w:fldCharType="begin"/>
      </w:r>
      <w:r>
        <w:instrText xml:space="preserve"> PAGEREF _Toc7128 \h </w:instrText>
      </w:r>
      <w:r>
        <w:fldChar w:fldCharType="separate"/>
      </w:r>
      <w:r>
        <w:t xml:space="preserve">39</w:t>
      </w:r>
      <w:r>
        <w:fldChar w:fldCharType="end"/>
      </w:r>
      <w:r>
        <w:fldChar w:fldCharType="end"/>
      </w:r>
      <w:r/>
    </w:p>
    <w:p>
      <w:pPr>
        <w:pStyle w:val="746"/>
        <w:tabs>
          <w:tab w:val="right" w:pos="8810" w:leader="dot"/>
        </w:tabs>
      </w:pPr>
      <w:r>
        <w:fldChar w:fldCharType="begin"/>
      </w:r>
      <w:r>
        <w:instrText xml:space="preserve"> HYPERLINK \l _Toc2328 </w:instrText>
      </w:r>
      <w:r>
        <w:fldChar w:fldCharType="separate"/>
      </w:r>
      <w:r>
        <w:rPr>
          <w:rFonts w:hint="eastAsia" w:ascii="宋体" w:hAnsi="宋体" w:eastAsia="宋体" w:cs="宋体"/>
          <w:bCs/>
          <w:szCs w:val="22"/>
        </w:rPr>
        <w:t xml:space="preserve">4、集成实施服务范围</w:t>
      </w:r>
      <w:r>
        <w:tab/>
      </w:r>
      <w:r>
        <w:fldChar w:fldCharType="begin"/>
      </w:r>
      <w:r>
        <w:instrText xml:space="preserve"> PAGEREF _Toc2328 \h </w:instrText>
      </w:r>
      <w:r>
        <w:fldChar w:fldCharType="separate"/>
      </w:r>
      <w:r>
        <w:t xml:space="preserve">40</w:t>
      </w:r>
      <w:r>
        <w:fldChar w:fldCharType="end"/>
      </w:r>
      <w:r>
        <w:fldChar w:fldCharType="end"/>
      </w:r>
      <w:r/>
    </w:p>
    <w:p>
      <w:pPr>
        <w:pStyle w:val="746"/>
        <w:tabs>
          <w:tab w:val="right" w:pos="8810" w:leader="dot"/>
        </w:tabs>
      </w:pPr>
      <w:r>
        <w:fldChar w:fldCharType="begin"/>
      </w:r>
      <w:r>
        <w:instrText xml:space="preserve"> HYPERLINK \l _Toc15301 </w:instrText>
      </w:r>
      <w:r>
        <w:fldChar w:fldCharType="separate"/>
      </w:r>
      <w:r>
        <w:rPr>
          <w:rFonts w:hint="eastAsia" w:ascii="黑体" w:hAnsi="黑体" w:eastAsia="黑体" w:cs="黑体"/>
          <w:szCs w:val="24"/>
        </w:rPr>
        <w:t xml:space="preserve">二、集成实施服务要求</w:t>
      </w:r>
      <w:r>
        <w:tab/>
      </w:r>
      <w:r>
        <w:fldChar w:fldCharType="begin"/>
      </w:r>
      <w:r>
        <w:instrText xml:space="preserve"> PAGEREF _Toc15301 \h </w:instrText>
      </w:r>
      <w:r>
        <w:fldChar w:fldCharType="separate"/>
      </w:r>
      <w:r>
        <w:t xml:space="preserve">40</w:t>
      </w:r>
      <w:r>
        <w:fldChar w:fldCharType="end"/>
      </w:r>
      <w:r>
        <w:fldChar w:fldCharType="end"/>
      </w:r>
      <w:r/>
    </w:p>
    <w:p>
      <w:pPr>
        <w:pStyle w:val="746"/>
        <w:tabs>
          <w:tab w:val="right" w:pos="8810" w:leader="dot"/>
        </w:tabs>
      </w:pPr>
      <w:r>
        <w:fldChar w:fldCharType="begin"/>
      </w:r>
      <w:r>
        <w:instrText xml:space="preserve"> HYPERLINK \l _Toc26407 </w:instrText>
      </w:r>
      <w:r>
        <w:fldChar w:fldCharType="separate"/>
      </w:r>
      <w:r>
        <w:rPr>
          <w:rFonts w:hint="eastAsia" w:ascii="宋体" w:hAnsi="宋体" w:eastAsia="宋体" w:cs="宋体"/>
          <w:bCs/>
          <w:szCs w:val="22"/>
        </w:rPr>
        <w:t xml:space="preserve">1、依据和规范标准</w:t>
      </w:r>
      <w:r>
        <w:tab/>
      </w:r>
      <w:r>
        <w:fldChar w:fldCharType="begin"/>
      </w:r>
      <w:r>
        <w:instrText xml:space="preserve"> PAGEREF _Toc26407 \h </w:instrText>
      </w:r>
      <w:r>
        <w:fldChar w:fldCharType="separate"/>
      </w:r>
      <w:r>
        <w:t xml:space="preserve">40</w:t>
      </w:r>
      <w:r>
        <w:fldChar w:fldCharType="end"/>
      </w:r>
      <w:r>
        <w:fldChar w:fldCharType="end"/>
      </w:r>
      <w:r/>
    </w:p>
    <w:p>
      <w:pPr>
        <w:pStyle w:val="746"/>
        <w:tabs>
          <w:tab w:val="right" w:pos="8810" w:leader="dot"/>
        </w:tabs>
      </w:pPr>
      <w:r>
        <w:fldChar w:fldCharType="begin"/>
      </w:r>
      <w:r>
        <w:instrText xml:space="preserve"> HYPERLINK \l _Toc17076 </w:instrText>
      </w:r>
      <w:r>
        <w:fldChar w:fldCharType="separate"/>
      </w:r>
      <w:r>
        <w:rPr>
          <w:rFonts w:hint="eastAsia" w:ascii="宋体" w:hAnsi="宋体" w:eastAsia="宋体" w:cs="宋体"/>
          <w:bCs/>
          <w:szCs w:val="22"/>
        </w:rPr>
        <w:t xml:space="preserve">2、总体要求</w:t>
      </w:r>
      <w:r>
        <w:tab/>
      </w:r>
      <w:r>
        <w:fldChar w:fldCharType="begin"/>
      </w:r>
      <w:r>
        <w:instrText xml:space="preserve"> PAGEREF _Toc17076 \h </w:instrText>
      </w:r>
      <w:r>
        <w:fldChar w:fldCharType="separate"/>
      </w:r>
      <w:r>
        <w:t xml:space="preserve">42</w:t>
      </w:r>
      <w:r>
        <w:fldChar w:fldCharType="end"/>
      </w:r>
      <w:r>
        <w:fldChar w:fldCharType="end"/>
      </w:r>
      <w:r/>
    </w:p>
    <w:p>
      <w:pPr>
        <w:pStyle w:val="746"/>
        <w:tabs>
          <w:tab w:val="right" w:pos="8810" w:leader="dot"/>
        </w:tabs>
      </w:pPr>
      <w:r>
        <w:fldChar w:fldCharType="begin"/>
      </w:r>
      <w:r>
        <w:instrText xml:space="preserve"> HYPERLINK \l _Toc24352 </w:instrText>
      </w:r>
      <w:r>
        <w:fldChar w:fldCharType="separate"/>
      </w:r>
      <w:r>
        <w:rPr>
          <w:rFonts w:hint="eastAsia" w:ascii="宋体" w:hAnsi="宋体" w:eastAsia="宋体" w:cs="宋体"/>
          <w:bCs/>
          <w:szCs w:val="22"/>
        </w:rPr>
        <w:t xml:space="preserve">3、具体要求</w:t>
      </w:r>
      <w:r>
        <w:tab/>
      </w:r>
      <w:r>
        <w:fldChar w:fldCharType="begin"/>
      </w:r>
      <w:r>
        <w:instrText xml:space="preserve"> PAGEREF _Toc24352 \h </w:instrText>
      </w:r>
      <w:r>
        <w:fldChar w:fldCharType="separate"/>
      </w:r>
      <w:r>
        <w:t xml:space="preserve">42</w:t>
      </w:r>
      <w:r>
        <w:fldChar w:fldCharType="end"/>
      </w:r>
      <w:r>
        <w:fldChar w:fldCharType="end"/>
      </w:r>
      <w:r/>
    </w:p>
    <w:p>
      <w:pPr>
        <w:pStyle w:val="746"/>
        <w:tabs>
          <w:tab w:val="right" w:pos="8810" w:leader="dot"/>
        </w:tabs>
      </w:pPr>
      <w:r>
        <w:fldChar w:fldCharType="begin"/>
      </w:r>
      <w:r>
        <w:instrText xml:space="preserve"> HYPERLINK \l _Toc25619 </w:instrText>
      </w:r>
      <w:r>
        <w:fldChar w:fldCharType="separate"/>
      </w:r>
      <w:r>
        <w:rPr>
          <w:rFonts w:hint="eastAsia" w:ascii="宋体" w:hAnsi="宋体" w:eastAsia="宋体" w:cs="宋体"/>
          <w:bCs/>
          <w:szCs w:val="22"/>
        </w:rPr>
        <w:t xml:space="preserve">4、设计图纸（另附）</w:t>
      </w:r>
      <w:r>
        <w:tab/>
      </w:r>
      <w:r>
        <w:fldChar w:fldCharType="begin"/>
      </w:r>
      <w:r>
        <w:instrText xml:space="preserve"> PAGEREF _Toc25619 \h </w:instrText>
      </w:r>
      <w:r>
        <w:fldChar w:fldCharType="separate"/>
      </w:r>
      <w:r>
        <w:t xml:space="preserve">50</w:t>
      </w:r>
      <w:r>
        <w:fldChar w:fldCharType="end"/>
      </w:r>
      <w:r>
        <w:fldChar w:fldCharType="end"/>
      </w:r>
      <w:r/>
    </w:p>
    <w:p>
      <w:pPr>
        <w:pStyle w:val="746"/>
        <w:tabs>
          <w:tab w:val="right" w:pos="8810" w:leader="dot"/>
        </w:tabs>
      </w:pPr>
      <w:r>
        <w:fldChar w:fldCharType="begin"/>
      </w:r>
      <w:r>
        <w:instrText xml:space="preserve"> HYPERLINK \l _Toc20550 </w:instrText>
      </w:r>
      <w:r>
        <w:fldChar w:fldCharType="separate"/>
      </w:r>
      <w:r>
        <w:rPr>
          <w:rFonts w:hint="eastAsia" w:ascii="黑体" w:hAnsi="黑体" w:eastAsia="黑体" w:cs="黑体"/>
          <w:szCs w:val="24"/>
        </w:rPr>
        <w:t xml:space="preserve">三、技术服务要求</w:t>
      </w:r>
      <w:r>
        <w:tab/>
      </w:r>
      <w:r>
        <w:fldChar w:fldCharType="begin"/>
      </w:r>
      <w:r>
        <w:instrText xml:space="preserve"> PAGEREF _Toc20550 \h </w:instrText>
      </w:r>
      <w:r>
        <w:fldChar w:fldCharType="separate"/>
      </w:r>
      <w:r>
        <w:t xml:space="preserve">50</w:t>
      </w:r>
      <w:r>
        <w:fldChar w:fldCharType="end"/>
      </w:r>
      <w:r>
        <w:fldChar w:fldCharType="end"/>
      </w:r>
      <w:r/>
    </w:p>
    <w:p>
      <w:pPr>
        <w:pStyle w:val="746"/>
        <w:tabs>
          <w:tab w:val="right" w:pos="8810" w:leader="dot"/>
        </w:tabs>
      </w:pPr>
      <w:r>
        <w:fldChar w:fldCharType="begin"/>
      </w:r>
      <w:r>
        <w:instrText xml:space="preserve"> HYPERLINK \l _Toc15737 </w:instrText>
      </w:r>
      <w:r>
        <w:fldChar w:fldCharType="separate"/>
      </w:r>
      <w:r>
        <w:rPr>
          <w:rFonts w:hint="eastAsia" w:ascii="宋体" w:hAnsi="宋体" w:eastAsia="宋体" w:cs="宋体"/>
          <w:bCs/>
          <w:szCs w:val="22"/>
        </w:rPr>
        <w:t xml:space="preserve">1、技术配合要求</w:t>
      </w:r>
      <w:r>
        <w:tab/>
      </w:r>
      <w:r>
        <w:fldChar w:fldCharType="begin"/>
      </w:r>
      <w:r>
        <w:instrText xml:space="preserve"> PAGEREF _Toc15737 \h </w:instrText>
      </w:r>
      <w:r>
        <w:fldChar w:fldCharType="separate"/>
      </w:r>
      <w:r>
        <w:t xml:space="preserve">50</w:t>
      </w:r>
      <w:r>
        <w:fldChar w:fldCharType="end"/>
      </w:r>
      <w:r>
        <w:fldChar w:fldCharType="end"/>
      </w:r>
      <w:r/>
    </w:p>
    <w:p>
      <w:pPr>
        <w:pStyle w:val="746"/>
        <w:tabs>
          <w:tab w:val="right" w:pos="8810" w:leader="dot"/>
        </w:tabs>
      </w:pPr>
      <w:r>
        <w:fldChar w:fldCharType="begin"/>
      </w:r>
      <w:r>
        <w:instrText xml:space="preserve"> HYPERLINK \l _Toc14252 </w:instrText>
      </w:r>
      <w:r>
        <w:fldChar w:fldCharType="separate"/>
      </w:r>
      <w:r>
        <w:rPr>
          <w:rFonts w:hint="eastAsia" w:ascii="宋体" w:hAnsi="宋体" w:eastAsia="宋体" w:cs="宋体"/>
          <w:bCs/>
          <w:szCs w:val="22"/>
        </w:rPr>
        <w:t xml:space="preserve">2、项目管理要求</w:t>
      </w:r>
      <w:r>
        <w:tab/>
      </w:r>
      <w:r>
        <w:fldChar w:fldCharType="begin"/>
      </w:r>
      <w:r>
        <w:instrText xml:space="preserve"> PAGEREF _Toc14252 \h </w:instrText>
      </w:r>
      <w:r>
        <w:fldChar w:fldCharType="separate"/>
      </w:r>
      <w:r>
        <w:t xml:space="preserve">51</w:t>
      </w:r>
      <w:r>
        <w:fldChar w:fldCharType="end"/>
      </w:r>
      <w:r>
        <w:fldChar w:fldCharType="end"/>
      </w:r>
      <w:r/>
    </w:p>
    <w:p>
      <w:pPr>
        <w:pStyle w:val="746"/>
        <w:tabs>
          <w:tab w:val="right" w:pos="8810" w:leader="dot"/>
        </w:tabs>
      </w:pPr>
      <w:r>
        <w:fldChar w:fldCharType="begin"/>
      </w:r>
      <w:r>
        <w:instrText xml:space="preserve"> HYPERLINK \l _Toc15903 </w:instrText>
      </w:r>
      <w:r>
        <w:fldChar w:fldCharType="separate"/>
      </w:r>
      <w:r>
        <w:rPr>
          <w:rFonts w:hint="eastAsia" w:ascii="宋体" w:hAnsi="宋体" w:eastAsia="宋体" w:cs="宋体"/>
          <w:bCs/>
          <w:szCs w:val="22"/>
        </w:rPr>
        <w:t xml:space="preserve">3、项目实施要求</w:t>
      </w:r>
      <w:r>
        <w:tab/>
      </w:r>
      <w:r>
        <w:fldChar w:fldCharType="begin"/>
      </w:r>
      <w:r>
        <w:instrText xml:space="preserve"> PAGEREF _Toc15903 \h </w:instrText>
      </w:r>
      <w:r>
        <w:fldChar w:fldCharType="separate"/>
      </w:r>
      <w:r>
        <w:t xml:space="preserve">51</w:t>
      </w:r>
      <w:r>
        <w:fldChar w:fldCharType="end"/>
      </w:r>
      <w:r>
        <w:fldChar w:fldCharType="end"/>
      </w:r>
      <w:r/>
    </w:p>
    <w:p>
      <w:pPr>
        <w:pStyle w:val="746"/>
        <w:tabs>
          <w:tab w:val="right" w:pos="8810" w:leader="dot"/>
        </w:tabs>
      </w:pPr>
      <w:r>
        <w:fldChar w:fldCharType="begin"/>
      </w:r>
      <w:r>
        <w:instrText xml:space="preserve"> HYPERLINK \l _Toc23633 </w:instrText>
      </w:r>
      <w:r>
        <w:fldChar w:fldCharType="separate"/>
      </w:r>
      <w:r>
        <w:rPr>
          <w:rFonts w:hint="eastAsia" w:ascii="宋体" w:hAnsi="宋体" w:eastAsia="宋体" w:cs="宋体"/>
          <w:bCs/>
          <w:szCs w:val="22"/>
        </w:rPr>
        <w:t xml:space="preserve">4、项目培训要求</w:t>
      </w:r>
      <w:r>
        <w:tab/>
      </w:r>
      <w:r>
        <w:fldChar w:fldCharType="begin"/>
      </w:r>
      <w:r>
        <w:instrText xml:space="preserve"> PAGEREF _Toc23633 \h </w:instrText>
      </w:r>
      <w:r>
        <w:fldChar w:fldCharType="separate"/>
      </w:r>
      <w:r>
        <w:t xml:space="preserve">51</w:t>
      </w:r>
      <w:r>
        <w:fldChar w:fldCharType="end"/>
      </w:r>
      <w:r>
        <w:fldChar w:fldCharType="end"/>
      </w:r>
      <w:r/>
    </w:p>
    <w:p>
      <w:pPr>
        <w:pStyle w:val="746"/>
        <w:tabs>
          <w:tab w:val="right" w:pos="8810" w:leader="dot"/>
        </w:tabs>
      </w:pPr>
      <w:r>
        <w:fldChar w:fldCharType="begin"/>
      </w:r>
      <w:r>
        <w:instrText xml:space="preserve"> HYPERLINK \l _Toc31500 </w:instrText>
      </w:r>
      <w:r>
        <w:fldChar w:fldCharType="separate"/>
      </w:r>
      <w:r>
        <w:rPr>
          <w:rFonts w:hint="eastAsia" w:ascii="宋体" w:hAnsi="宋体" w:eastAsia="宋体" w:cs="宋体"/>
          <w:bCs/>
          <w:szCs w:val="22"/>
        </w:rPr>
        <w:t xml:space="preserve">5、售后服务要求</w:t>
      </w:r>
      <w:r>
        <w:tab/>
      </w:r>
      <w:r>
        <w:fldChar w:fldCharType="begin"/>
      </w:r>
      <w:r>
        <w:instrText xml:space="preserve"> PAGEREF _Toc31500 \h </w:instrText>
      </w:r>
      <w:r>
        <w:fldChar w:fldCharType="separate"/>
      </w:r>
      <w:r>
        <w:t xml:space="preserve">51</w:t>
      </w:r>
      <w:r>
        <w:fldChar w:fldCharType="end"/>
      </w:r>
      <w:r>
        <w:fldChar w:fldCharType="end"/>
      </w:r>
      <w:r/>
    </w:p>
    <w:p>
      <w:pPr>
        <w:pStyle w:val="746"/>
        <w:tabs>
          <w:tab w:val="right" w:pos="8810" w:leader="dot"/>
        </w:tabs>
      </w:pPr>
      <w:r>
        <w:fldChar w:fldCharType="begin"/>
      </w:r>
      <w:r>
        <w:instrText xml:space="preserve"> HYPERLINK \l _Toc18715 </w:instrText>
      </w:r>
      <w:r>
        <w:fldChar w:fldCharType="separate"/>
      </w:r>
      <w:r>
        <w:rPr>
          <w:rFonts w:hint="eastAsia" w:ascii="黑体" w:hAnsi="黑体" w:eastAsia="黑体" w:cs="黑体"/>
          <w:szCs w:val="24"/>
        </w:rPr>
        <w:t xml:space="preserve">四、现场踏勘</w:t>
      </w:r>
      <w:r>
        <w:tab/>
      </w:r>
      <w:r>
        <w:fldChar w:fldCharType="begin"/>
      </w:r>
      <w:r>
        <w:instrText xml:space="preserve"> PAGEREF _Toc18715 \h </w:instrText>
      </w:r>
      <w:r>
        <w:fldChar w:fldCharType="separate"/>
      </w:r>
      <w:r>
        <w:t xml:space="preserve">52</w:t>
      </w:r>
      <w:r>
        <w:fldChar w:fldCharType="end"/>
      </w:r>
      <w:r>
        <w:fldChar w:fldCharType="end"/>
      </w:r>
      <w:r/>
    </w:p>
    <w:p>
      <w:pPr>
        <w:pStyle w:val="746"/>
        <w:tabs>
          <w:tab w:val="right" w:pos="8810" w:leader="dot"/>
        </w:tabs>
      </w:pPr>
      <w:r>
        <w:fldChar w:fldCharType="begin"/>
      </w:r>
      <w:r>
        <w:instrText xml:space="preserve"> HYPERLINK \l _Toc23963 </w:instrText>
      </w:r>
      <w:r>
        <w:fldChar w:fldCharType="separate"/>
      </w:r>
      <w:r>
        <w:rPr>
          <w:rFonts w:hint="eastAsia" w:ascii="黑体" w:hAnsi="黑体" w:eastAsia="黑体" w:cs="黑体"/>
          <w:szCs w:val="24"/>
        </w:rPr>
        <w:t xml:space="preserve">五、项目验收要求</w:t>
      </w:r>
      <w:r>
        <w:tab/>
      </w:r>
      <w:r>
        <w:fldChar w:fldCharType="begin"/>
      </w:r>
      <w:r>
        <w:instrText xml:space="preserve"> PAGEREF _Toc23963 \h </w:instrText>
      </w:r>
      <w:r>
        <w:fldChar w:fldCharType="separate"/>
      </w:r>
      <w:r>
        <w:t xml:space="preserve">52</w:t>
      </w:r>
      <w:r>
        <w:fldChar w:fldCharType="end"/>
      </w:r>
      <w:r>
        <w:fldChar w:fldCharType="end"/>
      </w:r>
      <w:r/>
    </w:p>
    <w:p>
      <w:pPr>
        <w:pStyle w:val="746"/>
        <w:tabs>
          <w:tab w:val="right" w:pos="8810" w:leader="dot"/>
        </w:tabs>
      </w:pPr>
      <w:r>
        <w:fldChar w:fldCharType="begin"/>
      </w:r>
      <w:r>
        <w:instrText xml:space="preserve"> HYPERLINK \l _Toc27586 </w:instrText>
      </w:r>
      <w:r>
        <w:fldChar w:fldCharType="separate"/>
      </w:r>
      <w:r>
        <w:rPr>
          <w:rFonts w:hint="eastAsia" w:ascii="宋体" w:hAnsi="宋体" w:eastAsia="宋体" w:cs="宋体"/>
          <w:bCs/>
          <w:szCs w:val="22"/>
        </w:rPr>
        <w:t xml:space="preserve">1、项目验收标准</w:t>
      </w:r>
      <w:r>
        <w:tab/>
      </w:r>
      <w:r>
        <w:fldChar w:fldCharType="begin"/>
      </w:r>
      <w:r>
        <w:instrText xml:space="preserve"> PAGEREF _Toc27586 \h </w:instrText>
      </w:r>
      <w:r>
        <w:fldChar w:fldCharType="separate"/>
      </w:r>
      <w:r>
        <w:t xml:space="preserve">52</w:t>
      </w:r>
      <w:r>
        <w:fldChar w:fldCharType="end"/>
      </w:r>
      <w:r>
        <w:fldChar w:fldCharType="end"/>
      </w:r>
      <w:r/>
    </w:p>
    <w:p>
      <w:pPr>
        <w:pStyle w:val="746"/>
        <w:tabs>
          <w:tab w:val="right" w:pos="8810" w:leader="dot"/>
        </w:tabs>
      </w:pPr>
      <w:r>
        <w:fldChar w:fldCharType="begin"/>
      </w:r>
      <w:r>
        <w:instrText xml:space="preserve"> HYPERLINK \l _Toc18251 </w:instrText>
      </w:r>
      <w:r>
        <w:fldChar w:fldCharType="separate"/>
      </w:r>
      <w:r>
        <w:rPr>
          <w:rFonts w:hint="eastAsia" w:ascii="宋体" w:hAnsi="宋体" w:eastAsia="宋体" w:cs="宋体"/>
          <w:bCs/>
          <w:szCs w:val="22"/>
        </w:rPr>
        <w:t xml:space="preserve">2、项目质量标准与验收要求</w:t>
      </w:r>
      <w:r>
        <w:tab/>
      </w:r>
      <w:r>
        <w:fldChar w:fldCharType="begin"/>
      </w:r>
      <w:r>
        <w:instrText xml:space="preserve"> PAGEREF _Toc18251 \h </w:instrText>
      </w:r>
      <w:r>
        <w:fldChar w:fldCharType="separate"/>
      </w:r>
      <w:r>
        <w:t xml:space="preserve">52</w:t>
      </w:r>
      <w:r>
        <w:fldChar w:fldCharType="end"/>
      </w:r>
      <w:r>
        <w:fldChar w:fldCharType="end"/>
      </w:r>
      <w:r/>
    </w:p>
    <w:p>
      <w:pPr>
        <w:pStyle w:val="746"/>
        <w:tabs>
          <w:tab w:val="right" w:pos="8810" w:leader="dot"/>
        </w:tabs>
      </w:pPr>
      <w:r>
        <w:fldChar w:fldCharType="begin"/>
      </w:r>
      <w:r>
        <w:instrText xml:space="preserve"> HYPERLINK \l _Toc10209 </w:instrText>
      </w:r>
      <w:r>
        <w:fldChar w:fldCharType="separate"/>
      </w:r>
      <w:r>
        <w:rPr>
          <w:rFonts w:hint="eastAsia" w:ascii="黑体" w:hAnsi="黑体" w:eastAsia="黑体" w:cs="黑体"/>
          <w:szCs w:val="24"/>
        </w:rPr>
        <w:t xml:space="preserve">六、项目交付要求</w:t>
      </w:r>
      <w:r>
        <w:tab/>
      </w:r>
      <w:r>
        <w:fldChar w:fldCharType="begin"/>
      </w:r>
      <w:r>
        <w:instrText xml:space="preserve"> PAGEREF _Toc10209 \h </w:instrText>
      </w:r>
      <w:r>
        <w:fldChar w:fldCharType="separate"/>
      </w:r>
      <w:r>
        <w:t xml:space="preserve">53</w:t>
      </w:r>
      <w:r>
        <w:fldChar w:fldCharType="end"/>
      </w:r>
      <w:r>
        <w:fldChar w:fldCharType="end"/>
      </w:r>
      <w:r/>
    </w:p>
    <w:p>
      <w:pPr>
        <w:pStyle w:val="746"/>
        <w:tabs>
          <w:tab w:val="right" w:pos="8810" w:leader="dot"/>
        </w:tabs>
      </w:pPr>
      <w:r>
        <w:fldChar w:fldCharType="begin"/>
      </w:r>
      <w:r>
        <w:instrText xml:space="preserve"> HYPERLINK \l _Toc23802 </w:instrText>
      </w:r>
      <w:r>
        <w:fldChar w:fldCharType="separate"/>
      </w:r>
      <w:r>
        <w:rPr>
          <w:rFonts w:hint="eastAsia" w:ascii="宋体" w:hAnsi="宋体" w:eastAsia="宋体" w:cs="宋体"/>
          <w:bCs/>
          <w:szCs w:val="22"/>
        </w:rPr>
        <w:t xml:space="preserve">1、交付时间</w:t>
      </w:r>
      <w:r>
        <w:tab/>
      </w:r>
      <w:r>
        <w:fldChar w:fldCharType="begin"/>
      </w:r>
      <w:r>
        <w:instrText xml:space="preserve"> PAGEREF _Toc23802 \h </w:instrText>
      </w:r>
      <w:r>
        <w:fldChar w:fldCharType="separate"/>
      </w:r>
      <w:r>
        <w:t xml:space="preserve">53</w:t>
      </w:r>
      <w:r>
        <w:fldChar w:fldCharType="end"/>
      </w:r>
      <w:r>
        <w:fldChar w:fldCharType="end"/>
      </w:r>
      <w:r/>
    </w:p>
    <w:p>
      <w:pPr>
        <w:pStyle w:val="746"/>
        <w:tabs>
          <w:tab w:val="right" w:pos="8810" w:leader="dot"/>
        </w:tabs>
      </w:pPr>
      <w:r>
        <w:fldChar w:fldCharType="begin"/>
      </w:r>
      <w:r>
        <w:instrText xml:space="preserve"> HYPERLINK \l _Toc26572 </w:instrText>
      </w:r>
      <w:r>
        <w:fldChar w:fldCharType="separate"/>
      </w:r>
      <w:r>
        <w:rPr>
          <w:rFonts w:hint="eastAsia" w:ascii="宋体" w:hAnsi="宋体" w:eastAsia="宋体" w:cs="宋体"/>
          <w:bCs/>
          <w:szCs w:val="22"/>
        </w:rPr>
        <w:t xml:space="preserve">2、交付地点</w:t>
      </w:r>
      <w:r>
        <w:tab/>
      </w:r>
      <w:r>
        <w:fldChar w:fldCharType="begin"/>
      </w:r>
      <w:r>
        <w:instrText xml:space="preserve"> PAGEREF _Toc26572 \h </w:instrText>
      </w:r>
      <w:r>
        <w:fldChar w:fldCharType="separate"/>
      </w:r>
      <w:r>
        <w:t xml:space="preserve">53</w:t>
      </w:r>
      <w:r>
        <w:fldChar w:fldCharType="end"/>
      </w:r>
      <w:r>
        <w:fldChar w:fldCharType="end"/>
      </w:r>
      <w:r/>
    </w:p>
    <w:p>
      <w:pPr>
        <w:pStyle w:val="746"/>
        <w:tabs>
          <w:tab w:val="right" w:pos="8810" w:leader="dot"/>
        </w:tabs>
      </w:pPr>
      <w:r>
        <w:fldChar w:fldCharType="begin"/>
      </w:r>
      <w:r>
        <w:instrText xml:space="preserve"> HYPERLINK \l _Toc31987 </w:instrText>
      </w:r>
      <w:r>
        <w:fldChar w:fldCharType="separate"/>
      </w:r>
      <w:r>
        <w:rPr>
          <w:rFonts w:hint="eastAsia" w:ascii="黑体" w:hAnsi="黑体" w:eastAsia="黑体" w:cs="黑体"/>
          <w:szCs w:val="24"/>
        </w:rPr>
        <w:t xml:space="preserve">七、违约责任</w:t>
      </w:r>
      <w:r>
        <w:tab/>
      </w:r>
      <w:r>
        <w:fldChar w:fldCharType="begin"/>
      </w:r>
      <w:r>
        <w:instrText xml:space="preserve"> PAGEREF _Toc31987 \h </w:instrText>
      </w:r>
      <w:r>
        <w:fldChar w:fldCharType="separate"/>
      </w:r>
      <w:r>
        <w:t xml:space="preserve">53</w:t>
      </w:r>
      <w:r>
        <w:fldChar w:fldCharType="end"/>
      </w:r>
      <w:r>
        <w:fldChar w:fldCharType="end"/>
      </w:r>
      <w:r/>
    </w:p>
    <w:p>
      <w:pPr>
        <w:pStyle w:val="746"/>
        <w:tabs>
          <w:tab w:val="right" w:pos="8810" w:leader="dot"/>
        </w:tabs>
      </w:pPr>
      <w:r>
        <w:fldChar w:fldCharType="begin"/>
      </w:r>
      <w:r>
        <w:instrText xml:space="preserve"> HYPERLINK \l _Toc16602 </w:instrText>
      </w:r>
      <w:r>
        <w:fldChar w:fldCharType="separate"/>
      </w:r>
      <w:r>
        <w:rPr>
          <w:rFonts w:hint="eastAsia" w:ascii="黑体" w:hAnsi="黑体" w:eastAsia="黑体" w:cs="黑体"/>
          <w:szCs w:val="24"/>
        </w:rPr>
        <w:t xml:space="preserve">八、付款方式</w:t>
      </w:r>
      <w:r>
        <w:tab/>
      </w:r>
      <w:r>
        <w:fldChar w:fldCharType="begin"/>
      </w:r>
      <w:r>
        <w:instrText xml:space="preserve"> PAGEREF _Toc16602 \h </w:instrText>
      </w:r>
      <w:r>
        <w:fldChar w:fldCharType="separate"/>
      </w:r>
      <w:r>
        <w:t xml:space="preserve">54</w:t>
      </w:r>
      <w:r>
        <w:fldChar w:fldCharType="end"/>
      </w:r>
      <w:r>
        <w:fldChar w:fldCharType="end"/>
      </w:r>
      <w:r/>
    </w:p>
    <w:p>
      <w:pPr>
        <w:pStyle w:val="746"/>
        <w:tabs>
          <w:tab w:val="right" w:pos="8810" w:leader="dot"/>
        </w:tabs>
      </w:pPr>
      <w:r>
        <w:fldChar w:fldCharType="begin"/>
      </w:r>
      <w:r>
        <w:instrText xml:space="preserve"> HYPERLINK \l _Toc15995 </w:instrText>
      </w:r>
      <w:r>
        <w:fldChar w:fldCharType="separate"/>
      </w:r>
      <w:r>
        <w:rPr>
          <w:rFonts w:hint="eastAsia" w:ascii="黑体" w:hAnsi="黑体" w:eastAsia="黑体" w:cs="黑体"/>
          <w:szCs w:val="24"/>
          <w:lang w:val="en-US" w:eastAsia="zh-CN"/>
        </w:rPr>
        <w:t xml:space="preserve">九、</w:t>
      </w:r>
      <w:r>
        <w:rPr>
          <w:rFonts w:hint="eastAsia" w:ascii="黑体" w:hAnsi="黑体" w:eastAsia="黑体" w:cs="黑体"/>
          <w:szCs w:val="24"/>
        </w:rPr>
        <w:t xml:space="preserve">采购清单及技术规格要求</w:t>
      </w:r>
      <w:r>
        <w:tab/>
      </w:r>
      <w:r>
        <w:fldChar w:fldCharType="begin"/>
      </w:r>
      <w:r>
        <w:instrText xml:space="preserve"> PAGEREF _Toc15995 \h </w:instrText>
      </w:r>
      <w:r>
        <w:fldChar w:fldCharType="separate"/>
      </w:r>
      <w:r>
        <w:t xml:space="preserve">54</w:t>
      </w:r>
      <w:r>
        <w:fldChar w:fldCharType="end"/>
      </w:r>
      <w:r>
        <w:fldChar w:fldCharType="end"/>
      </w:r>
      <w:r/>
    </w:p>
    <w:p>
      <w:pPr>
        <w:pStyle w:val="746"/>
        <w:tabs>
          <w:tab w:val="right" w:pos="8810" w:leader="dot"/>
        </w:tabs>
      </w:pPr>
      <w:r>
        <w:fldChar w:fldCharType="begin"/>
      </w:r>
      <w:r>
        <w:instrText xml:space="preserve"> HYPERLINK \l _Toc12105 </w:instrText>
      </w:r>
      <w:r>
        <w:fldChar w:fldCharType="separate"/>
      </w:r>
      <w:r>
        <w:rPr>
          <w:rFonts w:hint="eastAsia" w:ascii="黑体" w:hAnsi="黑体" w:eastAsia="黑体" w:cs="黑体"/>
          <w:szCs w:val="24"/>
          <w:lang w:val="en-US" w:eastAsia="zh-CN"/>
        </w:rPr>
        <w:t xml:space="preserve">十、</w:t>
      </w:r>
      <w:r>
        <w:rPr>
          <w:rFonts w:hint="eastAsia" w:ascii="黑体" w:hAnsi="黑体" w:eastAsia="黑体" w:cs="黑体"/>
          <w:szCs w:val="24"/>
        </w:rPr>
        <w:t xml:space="preserve">本国产品政府采购政策</w:t>
      </w:r>
      <w:r>
        <w:tab/>
      </w:r>
      <w:r>
        <w:fldChar w:fldCharType="begin"/>
      </w:r>
      <w:r>
        <w:instrText xml:space="preserve"> PAGEREF _Toc12105 \h </w:instrText>
      </w:r>
      <w:r>
        <w:fldChar w:fldCharType="separate"/>
      </w:r>
      <w:r>
        <w:t xml:space="preserve">93</w:t>
      </w:r>
      <w:r>
        <w:fldChar w:fldCharType="end"/>
      </w:r>
      <w:r>
        <w:fldChar w:fldCharType="end"/>
      </w:r>
      <w:r/>
    </w:p>
    <w:p>
      <w:pPr>
        <w:pStyle w:val="755"/>
        <w:tabs>
          <w:tab w:val="right" w:pos="8810" w:leader="dot"/>
        </w:tabs>
      </w:pPr>
      <w:r>
        <w:fldChar w:fldCharType="begin"/>
      </w:r>
      <w:r>
        <w:instrText xml:space="preserve"> HYPERLINK \l _Toc3777 </w:instrText>
      </w:r>
      <w:r>
        <w:fldChar w:fldCharType="separate"/>
      </w:r>
      <w:r>
        <w:rPr>
          <w:rFonts w:hint="eastAsia" w:ascii="微软雅黑" w:hAnsi="微软雅黑" w:eastAsia="微软雅黑" w:cs="微软雅黑"/>
          <w:bCs w:val="0"/>
          <w:szCs w:val="36"/>
        </w:rPr>
        <w:t xml:space="preserve">第七章 电子投标文件格式</w:t>
      </w:r>
      <w:r>
        <w:tab/>
      </w:r>
      <w:r>
        <w:fldChar w:fldCharType="begin"/>
      </w:r>
      <w:r>
        <w:instrText xml:space="preserve"> PAGEREF _Toc3777 \h </w:instrText>
      </w:r>
      <w:r>
        <w:fldChar w:fldCharType="separate"/>
      </w:r>
      <w:r>
        <w:t xml:space="preserve">99</w:t>
      </w:r>
      <w:r>
        <w:fldChar w:fldCharType="end"/>
      </w:r>
      <w:r>
        <w:fldChar w:fldCharType="end"/>
      </w:r>
      <w:r/>
    </w:p>
    <w:p>
      <w:pPr>
        <w:pStyle w:val="755"/>
        <w:tabs>
          <w:tab w:val="right" w:pos="8810" w:leader="dot"/>
        </w:tabs>
      </w:pPr>
      <w:r>
        <w:fldChar w:fldCharType="end"/>
      </w:r>
      <w:r/>
    </w:p>
    <w:p>
      <w:pPr>
        <w:pStyle w:val="998"/>
        <w:ind w:right="420" w:firstLine="720"/>
        <w:spacing w:line="360" w:lineRule="auto"/>
        <w:tabs>
          <w:tab w:val="right" w:pos="9151" w:leader="dot"/>
        </w:tabs>
        <w:rPr>
          <w:rFonts w:ascii="华文中宋" w:hAnsi="华文中宋" w:eastAsia="华文中宋" w:cs="华文中宋"/>
          <w:sz w:val="28"/>
          <w:szCs w:val="28"/>
        </w:rPr>
      </w:pPr>
      <w:r>
        <w:rPr>
          <w:rFonts w:ascii="华文中宋" w:hAnsi="华文中宋" w:eastAsia="华文中宋" w:cs="华文中宋"/>
          <w:sz w:val="28"/>
          <w:szCs w:val="28"/>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969"/>
        <w:jc w:val="center"/>
        <w:spacing w:before="0" w:after="0" w:line="240" w:lineRule="auto"/>
        <w:rPr>
          <w:rFonts w:ascii="微软雅黑" w:hAnsi="微软雅黑" w:eastAsia="微软雅黑" w:cs="微软雅黑"/>
          <w:b w:val="0"/>
          <w:bCs w:val="0"/>
          <w:sz w:val="32"/>
          <w:szCs w:val="36"/>
        </w:rPr>
        <w:sectPr>
          <w:footnotePr/>
          <w:endnotePr/>
          <w:type w:val="nextPage"/>
          <w:pgSz w:w="11906" w:h="16838" w:orient="portrait"/>
          <w:pgMar w:top="1440" w:right="1463" w:bottom="1440" w:left="1633" w:header="851" w:footer="850" w:gutter="0"/>
          <w:cols w:num="1" w:sep="0" w:space="1701" w:equalWidth="1"/>
          <w:docGrid w:linePitch="360"/>
        </w:sectPr>
      </w:pPr>
      <w:r/>
      <w:bookmarkStart w:id="7" w:name="_Toc150280159"/>
      <w:r>
        <w:rPr>
          <w:rFonts w:ascii="微软雅黑" w:hAnsi="微软雅黑" w:eastAsia="微软雅黑" w:cs="微软雅黑"/>
          <w:b w:val="0"/>
          <w:bCs w:val="0"/>
          <w:sz w:val="32"/>
          <w:szCs w:val="36"/>
        </w:rPr>
      </w:r>
      <w:r/>
    </w:p>
    <w:p>
      <w:pPr>
        <w:pStyle w:val="969"/>
        <w:jc w:val="center"/>
        <w:spacing w:before="0" w:after="0" w:line="240" w:lineRule="auto"/>
        <w:rPr>
          <w:rFonts w:ascii="微软雅黑" w:hAnsi="微软雅黑" w:eastAsia="微软雅黑" w:cs="微软雅黑"/>
          <w:b w:val="0"/>
          <w:bCs w:val="0"/>
          <w:sz w:val="32"/>
          <w:szCs w:val="36"/>
        </w:rPr>
      </w:pPr>
      <w:r/>
      <w:bookmarkStart w:id="8" w:name="_Toc26661"/>
      <w:r/>
      <w:bookmarkStart w:id="9" w:name="_Toc13029"/>
      <w:r>
        <w:rPr>
          <w:rFonts w:hint="eastAsia" w:ascii="微软雅黑" w:hAnsi="微软雅黑" w:eastAsia="微软雅黑" w:cs="微软雅黑"/>
          <w:b w:val="0"/>
          <w:bCs w:val="0"/>
          <w:sz w:val="32"/>
          <w:szCs w:val="36"/>
        </w:rPr>
        <w:t xml:space="preserve">投标人CA数字证书和电子签章办理特别提醒</w:t>
      </w:r>
      <w:bookmarkEnd w:id="7"/>
      <w:r/>
      <w:bookmarkEnd w:id="8"/>
      <w:r/>
      <w:bookmarkEnd w:id="9"/>
      <w:r>
        <w:rPr>
          <w:rFonts w:ascii="微软雅黑" w:hAnsi="微软雅黑" w:eastAsia="微软雅黑" w:cs="微软雅黑"/>
          <w:b w:val="0"/>
          <w:bCs w:val="0"/>
          <w:sz w:val="32"/>
          <w:szCs w:val="36"/>
        </w:rPr>
      </w:r>
      <w:r/>
    </w:p>
    <w:p>
      <w:pPr>
        <w:pStyle w:val="720"/>
        <w:ind w:firstLine="470"/>
        <w:spacing w:line="520" w:lineRule="exact"/>
        <w:rPr>
          <w:rFonts w:ascii="宋体" w:hAnsi="宋体" w:eastAsia="宋体" w:cs="宋体"/>
          <w:sz w:val="24"/>
          <w:szCs w:val="24"/>
        </w:rPr>
      </w:pPr>
      <w:r>
        <w:rPr>
          <w:rFonts w:hint="eastAsia" w:ascii="宋体" w:hAnsi="宋体" w:eastAsia="宋体" w:cs="宋体"/>
          <w:sz w:val="24"/>
          <w:szCs w:val="24"/>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rPr>
          <w:rFonts w:ascii="宋体" w:hAnsi="宋体" w:eastAsia="宋体" w:cs="宋体"/>
          <w:sz w:val="24"/>
          <w:szCs w:val="24"/>
        </w:rPr>
      </w:r>
      <w:r/>
    </w:p>
    <w:p>
      <w:pPr>
        <w:pStyle w:val="720"/>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1.投标人需办理“CA数字证书”，“苏采云”系统仅支持江苏省电子政务证书认证中心CA(由江苏意源科技有限公司提供服务)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rFonts w:ascii="宋体" w:hAnsi="宋体" w:eastAsia="宋体" w:cs="宋体"/>
          <w:sz w:val="24"/>
          <w:szCs w:val="24"/>
        </w:rPr>
      </w:r>
      <w:r/>
    </w:p>
    <w:p>
      <w:pPr>
        <w:pStyle w:val="720"/>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rFonts w:ascii="宋体" w:hAnsi="宋体" w:eastAsia="宋体" w:cs="宋体"/>
          <w:sz w:val="24"/>
          <w:szCs w:val="24"/>
        </w:rPr>
      </w:r>
      <w:r/>
    </w:p>
    <w:p>
      <w:pPr>
        <w:pStyle w:val="720"/>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3. “CA数字证书”和电子签章办理或更换的办理方式为现场办理。各投标人需填写“投标人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rFonts w:ascii="宋体" w:hAnsi="宋体" w:eastAsia="宋体" w:cs="宋体"/>
          <w:sz w:val="24"/>
          <w:szCs w:val="24"/>
        </w:rPr>
      </w:r>
      <w:r/>
    </w:p>
    <w:p>
      <w:pPr>
        <w:pStyle w:val="720"/>
        <w:ind w:firstLine="480"/>
        <w:spacing w:line="520" w:lineRule="exact"/>
        <w:rPr>
          <w:rStyle w:val="1015"/>
          <w:rFonts w:ascii="宋体" w:hAnsi="宋体" w:cs="宋体"/>
          <w:color w:val="000000"/>
          <w:sz w:val="24"/>
          <w:szCs w:val="24"/>
        </w:rPr>
      </w:pPr>
      <w:r>
        <w:rPr>
          <w:rFonts w:hint="eastAsia" w:ascii="宋体" w:hAnsi="宋体" w:eastAsia="宋体" w:cs="宋体"/>
          <w:sz w:val="24"/>
          <w:szCs w:val="24"/>
        </w:rPr>
        <w:t xml:space="preserve">4. “CA数字证书”的办理、注册、安装、解绑，详见投标人操作指南，具体网址：“江苏政府采购网”-“办事指南”-“资料下载”-“江苏省政府采购管理交易系统（苏采云）投标人操作指南”。</w:t>
      </w:r>
      <w:r>
        <w:rPr>
          <w:rStyle w:val="1015"/>
          <w:rFonts w:ascii="宋体" w:hAnsi="宋体" w:cs="宋体"/>
          <w:color w:val="000000"/>
          <w:sz w:val="24"/>
          <w:szCs w:val="24"/>
        </w:rPr>
      </w:r>
      <w:r/>
    </w:p>
    <w:p>
      <w:pPr>
        <w:pStyle w:val="720"/>
        <w:rPr>
          <w:rFonts w:ascii="微软雅黑" w:hAnsi="微软雅黑" w:eastAsia="微软雅黑" w:cs="微软雅黑"/>
          <w:b/>
          <w:bCs/>
          <w:sz w:val="24"/>
        </w:rPr>
      </w:pPr>
      <w:r>
        <w:rPr>
          <w:rFonts w:ascii="微软雅黑" w:hAnsi="微软雅黑" w:eastAsia="微软雅黑" w:cs="微软雅黑"/>
          <w:b/>
          <w:bCs/>
          <w:sz w:val="24"/>
        </w:rPr>
      </w:r>
      <w:r/>
    </w:p>
    <w:p>
      <w:pPr>
        <w:pStyle w:val="720"/>
        <w:rPr>
          <w:rFonts w:ascii="微软雅黑" w:hAnsi="微软雅黑" w:eastAsia="微软雅黑" w:cs="微软雅黑"/>
          <w:b/>
          <w:bCs/>
          <w:sz w:val="24"/>
        </w:rPr>
      </w:pPr>
      <w:r>
        <w:rPr>
          <w:rFonts w:ascii="微软雅黑" w:hAnsi="微软雅黑" w:eastAsia="微软雅黑" w:cs="微软雅黑"/>
          <w:b/>
          <w:bCs/>
          <w:sz w:val="24"/>
        </w:rPr>
      </w:r>
      <w:r/>
    </w:p>
    <w:p>
      <w:pPr>
        <w:pStyle w:val="720"/>
        <w:jc w:val="center"/>
        <w:rPr>
          <w:sz w:val="36"/>
          <w:szCs w:val="36"/>
        </w:rPr>
      </w:pPr>
      <w:r>
        <w:rPr>
          <w:rFonts w:hint="eastAsia" w:ascii="微软雅黑" w:hAnsi="微软雅黑" w:eastAsia="微软雅黑" w:cs="微软雅黑"/>
          <w:b/>
          <w:bCs/>
          <w:sz w:val="24"/>
        </w:rPr>
        <w:t xml:space="preserve">如潜在投标人未按上述要求操作，将自行承担所产生的风险。</w:t>
      </w: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720"/>
        <w:rPr>
          <w:sz w:val="36"/>
          <w:szCs w:val="36"/>
        </w:rPr>
      </w:pPr>
      <w:r>
        <w:rPr>
          <w:sz w:val="36"/>
          <w:szCs w:val="36"/>
        </w:rPr>
      </w:r>
      <w:r/>
    </w:p>
    <w:p>
      <w:pPr>
        <w:pStyle w:val="969"/>
        <w:jc w:val="center"/>
        <w:spacing w:before="0" w:after="0" w:line="360" w:lineRule="auto"/>
        <w:rPr>
          <w:rFonts w:ascii="黑体" w:hAnsi="黑体" w:eastAsia="黑体"/>
          <w:bCs w:val="0"/>
          <w:sz w:val="28"/>
          <w:szCs w:val="28"/>
        </w:rPr>
      </w:pPr>
      <w:r/>
      <w:bookmarkStart w:id="10" w:name="_Toc31552"/>
      <w:r/>
      <w:bookmarkStart w:id="11" w:name="_Toc19342"/>
      <w:r>
        <w:rPr>
          <w:rFonts w:ascii="微软雅黑" w:hAnsi="微软雅黑" w:eastAsia="微软雅黑" w:cs="微软雅黑"/>
          <w:b w:val="0"/>
          <w:bCs w:val="0"/>
          <w:sz w:val="32"/>
          <w:szCs w:val="36"/>
        </w:rPr>
        <w:t xml:space="preserve">关于政府采购线上合同信用融资功能告知提醒</w:t>
      </w:r>
      <w:bookmarkEnd w:id="10"/>
      <w:r/>
      <w:bookmarkEnd w:id="11"/>
      <w:r>
        <w:rPr>
          <w:rFonts w:ascii="黑体" w:hAnsi="黑体" w:eastAsia="黑体"/>
          <w:bCs w:val="0"/>
          <w:sz w:val="28"/>
          <w:szCs w:val="28"/>
        </w:rPr>
      </w:r>
      <w:r/>
    </w:p>
    <w:p>
      <w:pPr>
        <w:pStyle w:val="980"/>
        <w:ind w:firstLine="0"/>
        <w:spacing w:line="360" w:lineRule="auto"/>
        <w:rPr>
          <w:rFonts w:ascii="宋体" w:hAnsi="宋体" w:eastAsia="宋体" w:cs="宋体"/>
          <w:sz w:val="24"/>
          <w:szCs w:val="28"/>
        </w:rPr>
      </w:pPr>
      <w:r>
        <w:rPr>
          <w:rFonts w:hint="eastAsia" w:ascii="宋体" w:hAnsi="宋体" w:eastAsia="宋体" w:cs="宋体"/>
          <w:sz w:val="24"/>
          <w:szCs w:val="28"/>
        </w:rPr>
        <w:t xml:space="preserve">各政府采购投标人：</w:t>
      </w:r>
      <w:r>
        <w:rPr>
          <w:rFonts w:ascii="宋体" w:hAnsi="宋体" w:eastAsia="宋体" w:cs="宋体"/>
          <w:sz w:val="24"/>
          <w:szCs w:val="28"/>
        </w:rPr>
      </w:r>
      <w:r/>
    </w:p>
    <w:p>
      <w:pPr>
        <w:pStyle w:val="980"/>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今年我市已正式启用“苏采云”系统，目前已全面开通政府采购线上合同信用融资（以下简称“政采贷”）功能。成交投标人可凭政府采购合同在中征平台发起贷款申请贷款。</w:t>
      </w:r>
      <w:r>
        <w:rPr>
          <w:rFonts w:ascii="宋体" w:hAnsi="宋体" w:eastAsia="宋体" w:cs="宋体"/>
          <w:sz w:val="24"/>
          <w:szCs w:val="28"/>
        </w:rPr>
      </w:r>
      <w:r/>
    </w:p>
    <w:p>
      <w:pPr>
        <w:pStyle w:val="980"/>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“政采贷”业务流程</w:t>
      </w:r>
      <w:r>
        <w:rPr>
          <w:rFonts w:ascii="宋体" w:hAnsi="宋体" w:eastAsia="宋体" w:cs="宋体"/>
          <w:sz w:val="24"/>
          <w:szCs w:val="28"/>
        </w:rPr>
      </w:r>
      <w:r/>
    </w:p>
    <w:p>
      <w:pPr>
        <w:pStyle w:val="980"/>
        <w:ind w:firstLine="560"/>
        <w:jc w:val="center"/>
        <w:spacing w:line="360" w:lineRule="auto"/>
        <w:rPr>
          <w:rFonts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4576534" cy="17450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4pt;height:137.4pt;mso-wrap-distance-left:0.0pt;mso-wrap-distance-top:0.0pt;mso-wrap-distance-right:0.0pt;mso-wrap-distance-bottom:0.0pt;" stroked="f">
                <v:path textboxrect="0,0,0,0"/>
                <v:imagedata r:id="rId10" o:title=""/>
              </v:shape>
            </w:pict>
          </mc:Fallback>
        </mc:AlternateContent>
      </w:r>
      <w:r>
        <w:rPr>
          <w:rFonts w:ascii="宋体" w:hAnsi="宋体" w:eastAsia="宋体" w:cs="宋体"/>
          <w:sz w:val="28"/>
          <w:szCs w:val="28"/>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常见问题</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Q1：哪些企业能申请“政采贷”？</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答：江苏省内采用国库集中支付的政府采购项目的中标投标人，可凭政府采购合同申请"政采贷"。</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Q2：投标人在哪里申请“政采贷”？</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答：中标投标人在“中征应收账款融资服务平台”（简称“中征平台”）上向意向银行发起融资申请</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Q3：中标投标人要注意什么？</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答：中标投标人要加强和采购人的沟通协调，尽早确定融资需求。需要“政采贷”融资的，政府采购合同付款账号应当空置。</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Q4：采购人要做什么？</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答：采购人在“苏采云”系统中公示政府采购合同时，要勾选融资标识，为中标投标人融资提供便利。如后续融资失败，采购人要及时维护中标投标人相关账号信息，按时支付款项。</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Q5：“政采贷”融资失败怎么办？</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政采贷：</w:t>
      </w:r>
      <w:r>
        <w:fldChar w:fldCharType="begin"/>
      </w:r>
      <w:r>
        <w:instrText xml:space="preserve"> HYPERLINK "http://www.ccgp-jiangsu.gov.cn/jiangsu/paying.html" </w:instrText>
      </w:r>
      <w:r>
        <w:fldChar w:fldCharType="separate"/>
      </w:r>
      <w:r>
        <w:rPr>
          <w:rFonts w:hint="eastAsia" w:ascii="宋体" w:hAnsi="宋体" w:eastAsia="宋体" w:cs="宋体"/>
          <w:sz w:val="24"/>
        </w:rPr>
        <w:t xml:space="preserve">http://www.ccgp-jiangsu.gov.cn/jiangsu/paying.html</w:t>
      </w:r>
      <w:r>
        <w:rPr>
          <w:rFonts w:hint="eastAsia" w:ascii="宋体" w:hAnsi="宋体" w:eastAsia="宋体" w:cs="宋体"/>
          <w:sz w:val="24"/>
        </w:rPr>
        <w:fldChar w:fldCharType="end"/>
      </w:r>
      <w:r>
        <w:rPr>
          <w:rFonts w:ascii="宋体" w:hAnsi="宋体" w:eastAsia="宋体" w:cs="宋体"/>
          <w:sz w:val="24"/>
        </w:rPr>
      </w:r>
      <w:r/>
    </w:p>
    <w:p>
      <w:pPr>
        <w:pStyle w:val="980"/>
        <w:ind w:firstLine="480"/>
        <w:spacing w:line="360" w:lineRule="auto"/>
        <w:rPr>
          <w:rFonts w:ascii="宋体" w:hAnsi="宋体" w:eastAsia="宋体" w:cs="宋体"/>
          <w:sz w:val="24"/>
        </w:rPr>
      </w:pPr>
      <w:r>
        <w:rPr>
          <w:rFonts w:hint="eastAsia" w:ascii="宋体" w:hAnsi="宋体" w:eastAsia="宋体" w:cs="宋体"/>
          <w:sz w:val="24"/>
        </w:rPr>
        <w:t xml:space="preserve">中征平台：</w:t>
      </w:r>
      <w:r>
        <w:fldChar w:fldCharType="begin"/>
      </w:r>
      <w:r>
        <w:instrText xml:space="preserve"> HYPERLINK "https://www.crcrfsp.com/" </w:instrText>
      </w:r>
      <w:r>
        <w:fldChar w:fldCharType="separate"/>
      </w:r>
      <w:r>
        <w:rPr>
          <w:rFonts w:hint="eastAsia" w:ascii="宋体" w:hAnsi="宋体" w:eastAsia="宋体" w:cs="宋体"/>
          <w:sz w:val="24"/>
        </w:rPr>
        <w:t xml:space="preserve">https://www.crcrfsp.com/</w:t>
      </w:r>
      <w:r>
        <w:rPr>
          <w:rFonts w:hint="eastAsia" w:ascii="宋体" w:hAnsi="宋体" w:eastAsia="宋体" w:cs="宋体"/>
          <w:sz w:val="24"/>
        </w:rPr>
        <w:fldChar w:fldCharType="end"/>
      </w:r>
      <w:r>
        <w:rPr>
          <w:rFonts w:ascii="宋体" w:hAnsi="宋体" w:eastAsia="宋体" w:cs="宋体"/>
          <w:sz w:val="24"/>
        </w:rPr>
      </w:r>
      <w:r/>
    </w:p>
    <w:p>
      <w:pPr>
        <w:pStyle w:val="980"/>
        <w:ind w:firstLine="480"/>
        <w:spacing w:line="360" w:lineRule="auto"/>
        <w:rPr>
          <w:rFonts w:ascii="华文中宋" w:hAnsi="华文中宋" w:eastAsia="华文中宋"/>
          <w:b/>
          <w:bCs/>
          <w:sz w:val="24"/>
        </w:rPr>
      </w:pPr>
      <w:r>
        <w:rPr>
          <w:rFonts w:hint="eastAsia" w:ascii="宋体" w:hAnsi="宋体" w:eastAsia="宋体" w:cs="宋体"/>
          <w:sz w:val="24"/>
        </w:rPr>
        <w:t xml:space="preserve">联系电话：0523-84821917</w:t>
      </w:r>
      <w:r>
        <w:rPr>
          <w:rFonts w:ascii="华文中宋" w:hAnsi="华文中宋" w:eastAsia="华文中宋"/>
          <w:b/>
          <w:bCs/>
          <w:sz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720"/>
        <w:rPr>
          <w:sz w:val="24"/>
          <w:szCs w:val="24"/>
        </w:rPr>
      </w:pPr>
      <w:r>
        <w:rPr>
          <w:sz w:val="24"/>
          <w:szCs w:val="24"/>
        </w:rPr>
      </w:r>
      <w:r/>
    </w:p>
    <w:p>
      <w:pPr>
        <w:pStyle w:val="969"/>
        <w:jc w:val="center"/>
        <w:spacing w:before="0" w:after="0" w:line="240" w:lineRule="auto"/>
        <w:rPr>
          <w:sz w:val="36"/>
          <w:szCs w:val="36"/>
        </w:rPr>
      </w:pPr>
      <w:r/>
      <w:bookmarkStart w:id="12" w:name="_Toc20248"/>
      <w:r/>
      <w:bookmarkStart w:id="13" w:name="_Toc29260"/>
      <w:r/>
      <w:bookmarkStart w:id="14" w:name="_Toc4915"/>
      <w:r>
        <w:rPr>
          <w:rFonts w:hint="eastAsia" w:ascii="微软雅黑" w:hAnsi="微软雅黑" w:eastAsia="微软雅黑" w:cs="微软雅黑"/>
          <w:b w:val="0"/>
          <w:bCs w:val="0"/>
          <w:sz w:val="36"/>
          <w:szCs w:val="36"/>
        </w:rPr>
        <w:t xml:space="preserve">第一章 招标公告</w:t>
      </w:r>
      <w:bookmarkEnd w:id="12"/>
      <w:r/>
      <w:bookmarkEnd w:id="13"/>
      <w:r/>
      <w:bookmarkEnd w:id="14"/>
      <w:r>
        <w:rPr>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6"/>
      </w:tblGrid>
      <w:tr>
        <w:trPr>
          <w:trHeight w:val="1500"/>
        </w:trPr>
        <w:tc>
          <w:tcPr>
            <w:tcW w:w="9040" w:type="dxa"/>
            <w:vAlign w:val="center"/>
            <w:textDirection w:val="lrTb"/>
            <w:noWrap w:val="false"/>
          </w:tcPr>
          <w:p>
            <w:pPr>
              <w:pStyle w:val="720"/>
              <w:ind w:firstLine="442"/>
              <w:spacing w:line="360" w:lineRule="auto"/>
            </w:pPr>
            <w:r>
              <w:rPr>
                <w:rFonts w:hint="eastAsia"/>
              </w:rPr>
              <w:t xml:space="preserve">靖江市人民医院数据中心机房升级改造基础环境集成实施服务项目</w:t>
            </w:r>
            <w:r>
              <w:t xml:space="preserve"> </w:t>
            </w:r>
            <w:r>
              <w:rPr>
                <w:rFonts w:hint="eastAsia"/>
              </w:rPr>
              <w:t xml:space="preserve">JSZC-321282-JSZH-G2026-</w:t>
            </w:r>
            <w:r>
              <w:rPr>
                <w:rFonts w:hint="eastAsia"/>
                <w:u w:val="none"/>
              </w:rPr>
              <w:t xml:space="preserve">0096</w:t>
            </w:r>
            <w:r>
              <w:t xml:space="preserve"> 招标项目的潜在投标人应在“苏采云”系统（http://jszfcg.jsczt.cn） 获取招标文件，并于2026-</w:t>
            </w:r>
            <w:r>
              <w:rPr>
                <w:rFonts w:hint="eastAsia"/>
              </w:rPr>
              <w:t xml:space="preserve">11</w:t>
            </w:r>
            <w:r>
              <w:t xml:space="preserve">-</w:t>
            </w:r>
            <w:r>
              <w:rPr>
                <w:rFonts w:hint="eastAsia"/>
                <w:highlight w:val="none"/>
              </w:rPr>
              <w:t xml:space="preserve">20</w:t>
            </w:r>
            <w:r>
              <w:t xml:space="preserve"> </w:t>
            </w:r>
            <w:r>
              <w:rPr>
                <w:rFonts w:hint="eastAsia"/>
              </w:rPr>
              <w:t xml:space="preserve"> </w:t>
            </w:r>
            <w:r>
              <w:t xml:space="preserve">14:00（北京时间）前递交投标文件</w:t>
            </w:r>
            <w:r>
              <w:rPr>
                <w:rFonts w:hint="eastAsia"/>
              </w:rPr>
              <w:t xml:space="preserve">。</w:t>
            </w:r>
            <w:r/>
          </w:p>
        </w:tc>
      </w:tr>
    </w:tbl>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项目基本情况</w:t>
      </w:r>
      <w:r>
        <w:rPr>
          <w:rFonts w:ascii="黑体" w:hAnsi="黑体" w:eastAsia="黑体" w:cs="黑体"/>
        </w:rPr>
      </w:r>
      <w:r/>
    </w:p>
    <w:p>
      <w:pPr>
        <w:pStyle w:val="720"/>
        <w:ind w:firstLine="440"/>
        <w:jc w:val="left"/>
        <w:spacing w:line="360" w:lineRule="auto"/>
        <w:widowControl/>
        <w:rPr>
          <w:rFonts w:ascii="宋体" w:cs="宋体"/>
        </w:rPr>
      </w:pPr>
      <w:r>
        <w:rPr>
          <w:rFonts w:hint="eastAsia" w:ascii="宋体" w:cs="宋体"/>
        </w:rPr>
        <w:t xml:space="preserve">项目名称：</w:t>
      </w:r>
      <w:bookmarkStart w:id="15" w:name="_Hlk243406666"/>
      <w:r>
        <w:rPr>
          <w:rFonts w:hint="eastAsia" w:ascii="宋体" w:cs="宋体"/>
        </w:rPr>
        <w:t xml:space="preserve">靖江市人民医院数据中心机房升级改造基础环境集成实施服务项目</w:t>
      </w:r>
      <w:bookmarkEnd w:id="15"/>
      <w:r>
        <w:rPr>
          <w:rFonts w:ascii="宋体" w:cs="宋体"/>
        </w:rPr>
      </w:r>
      <w:r/>
    </w:p>
    <w:p>
      <w:pPr>
        <w:pStyle w:val="720"/>
        <w:ind w:firstLine="440"/>
        <w:jc w:val="left"/>
        <w:spacing w:line="360" w:lineRule="auto"/>
        <w:widowControl/>
        <w:rPr>
          <w:rFonts w:ascii="黑体" w:hAnsi="黑体" w:cs="黑体"/>
        </w:rPr>
      </w:pPr>
      <w:r>
        <w:rPr>
          <w:rFonts w:hint="eastAsia" w:ascii="宋体" w:cs="宋体"/>
        </w:rPr>
        <w:t xml:space="preserve">项目编号：JSZC-321282-JSZH-G2026-0096    </w:t>
      </w:r>
      <w:r>
        <w:rPr>
          <w:rFonts w:ascii="黑体" w:hAnsi="黑体" w:cs="黑体"/>
        </w:rPr>
      </w:r>
      <w:r/>
    </w:p>
    <w:p>
      <w:pPr>
        <w:pStyle w:val="720"/>
        <w:ind w:firstLine="440"/>
        <w:jc w:val="left"/>
        <w:spacing w:line="360" w:lineRule="auto"/>
        <w:widowControl/>
        <w:rPr>
          <w:rFonts w:ascii="宋体" w:cs="宋体"/>
        </w:rPr>
      </w:pPr>
      <w:r>
        <w:rPr>
          <w:rFonts w:hint="eastAsia" w:ascii="宋体" w:cs="宋体"/>
        </w:rPr>
        <w:t xml:space="preserve">采购方式：公开招标</w:t>
      </w:r>
      <w:r>
        <w:rPr>
          <w:rFonts w:ascii="宋体" w:cs="宋体"/>
        </w:rPr>
      </w:r>
      <w:r/>
    </w:p>
    <w:p>
      <w:pPr>
        <w:pStyle w:val="720"/>
        <w:ind w:firstLine="440"/>
        <w:jc w:val="left"/>
        <w:spacing w:line="360" w:lineRule="auto"/>
        <w:widowControl/>
        <w:rPr>
          <w:rFonts w:ascii="宋体" w:cs="宋体"/>
          <w:u w:val="none"/>
        </w:rPr>
      </w:pPr>
      <w:r>
        <w:rPr>
          <w:rFonts w:hint="eastAsia" w:ascii="宋体" w:cs="宋体"/>
        </w:rPr>
        <w:t xml:space="preserve">预算金额：</w:t>
      </w:r>
      <w:r>
        <w:rPr>
          <w:rFonts w:hint="eastAsia" w:ascii="宋体" w:cs="宋体"/>
          <w:u w:val="none"/>
        </w:rPr>
        <w:t xml:space="preserve">390 </w:t>
      </w:r>
      <w:r>
        <w:rPr>
          <w:rFonts w:hint="eastAsia" w:ascii="宋体" w:cs="宋体"/>
          <w:u w:val="none"/>
        </w:rPr>
        <w:t xml:space="preserve">万元</w:t>
      </w:r>
      <w:r>
        <w:rPr>
          <w:u w:val="none"/>
        </w:rPr>
      </w:r>
      <w:r/>
    </w:p>
    <w:p>
      <w:pPr>
        <w:pStyle w:val="720"/>
        <w:ind w:firstLine="440"/>
        <w:jc w:val="left"/>
        <w:spacing w:line="360" w:lineRule="auto"/>
        <w:widowControl/>
        <w:rPr>
          <w:rFonts w:ascii="宋体" w:cs="宋体"/>
          <w:u w:val="none"/>
        </w:rPr>
      </w:pPr>
      <w:r>
        <w:rPr>
          <w:rFonts w:hint="eastAsia" w:ascii="宋体" w:cs="宋体"/>
          <w:u w:val="none"/>
        </w:rPr>
        <w:t xml:space="preserve">最高限价：</w:t>
      </w:r>
      <w:r>
        <w:rPr>
          <w:rFonts w:hint="eastAsia" w:ascii="宋体" w:cs="宋体"/>
          <w:u w:val="none"/>
        </w:rPr>
        <w:t xml:space="preserve">387</w:t>
      </w:r>
      <w:r>
        <w:rPr>
          <w:rFonts w:hint="eastAsia" w:ascii="宋体" w:cs="宋体"/>
          <w:u w:val="none"/>
        </w:rPr>
        <w:t xml:space="preserve"> 万元</w:t>
      </w:r>
      <w:r>
        <w:rPr>
          <w:u w:val="none"/>
        </w:rPr>
      </w:r>
      <w:r/>
    </w:p>
    <w:p>
      <w:pPr>
        <w:pStyle w:val="720"/>
        <w:ind w:firstLine="440"/>
        <w:jc w:val="left"/>
        <w:spacing w:line="360" w:lineRule="auto"/>
        <w:widowControl/>
        <w:rPr>
          <w:rFonts w:ascii="宋体" w:cs="宋体"/>
        </w:rPr>
      </w:pPr>
      <w:r>
        <w:rPr>
          <w:rFonts w:hint="eastAsia" w:ascii="宋体" w:cs="宋体"/>
          <w:u w:val="none"/>
        </w:rPr>
        <w:t xml:space="preserve">采购需求：</w:t>
      </w:r>
      <w:r>
        <w:rPr>
          <w:rFonts w:hint="eastAsia"/>
          <w:u w:val="single"/>
        </w:rPr>
        <w:t xml:space="preserve">靖江市人民医院根据业务需要对现有数据中心机房进行升级改造实施</w:t>
      </w:r>
      <w:r>
        <w:rPr>
          <w:rFonts w:hint="eastAsia" w:ascii="宋体" w:cs="宋体"/>
          <w:u w:val="single"/>
        </w:rPr>
        <w:t xml:space="preserve">数据中心机房升级改造基础环境集成实施服务项目，项目包含机房装修、供配电、防雷接地、微模块UPS/空调、冷通道、新风排烟、气体消防、综合布线、动环监控、安防门禁等全套集成、安装、调试、检测、验收、培训及质保运维服务。改造后的数据中心机房符合《数据中心设计规范》（GB50174-2017）B级机房标准、《全国医院信息化建设标准与规范》三级甲等医院机房标准并顺利通过国家权威测评机构的B级机房认证评测和中国质量认证中心（CQC）的现场核验</w:t>
      </w:r>
      <w:r>
        <w:rPr>
          <w:rFonts w:hint="eastAsia" w:ascii="宋体" w:cs="宋体"/>
          <w:u w:val="none"/>
        </w:rPr>
        <w:t xml:space="preserve">。</w:t>
      </w:r>
      <w:r>
        <w:rPr>
          <w:rFonts w:ascii="宋体" w:cs="宋体"/>
          <w:u w:val="none"/>
        </w:rPr>
      </w:r>
      <w:r/>
    </w:p>
    <w:p>
      <w:pPr>
        <w:pStyle w:val="720"/>
        <w:ind w:firstLine="440"/>
        <w:jc w:val="left"/>
        <w:spacing w:line="360" w:lineRule="auto"/>
        <w:widowControl/>
        <w:rPr>
          <w:rFonts w:ascii="宋体" w:cs="宋体"/>
          <w:u w:val="none"/>
        </w:rPr>
      </w:pPr>
      <w:r>
        <w:rPr>
          <w:rFonts w:hint="eastAsia" w:ascii="宋体" w:cs="宋体"/>
        </w:rPr>
        <w:t xml:space="preserve">合同履行期限</w:t>
      </w:r>
      <w:r>
        <w:rPr>
          <w:rFonts w:hint="eastAsia" w:ascii="宋体" w:cs="宋体"/>
          <w:u w:val="none"/>
        </w:rPr>
        <w:t xml:space="preserve">：</w:t>
      </w:r>
      <w:r>
        <w:rPr>
          <w:rFonts w:hint="eastAsia" w:ascii="宋体" w:cs="宋体"/>
          <w:u w:val="single"/>
        </w:rPr>
        <w:t xml:space="preserve"> 1</w:t>
      </w:r>
      <w:r>
        <w:rPr>
          <w:rFonts w:ascii="宋体" w:cs="宋体"/>
          <w:u w:val="single"/>
        </w:rPr>
        <w:t xml:space="preserve">2</w:t>
      </w:r>
      <w:r>
        <w:rPr>
          <w:rFonts w:hint="eastAsia" w:ascii="宋体" w:cs="宋体"/>
          <w:u w:val="single"/>
        </w:rPr>
        <w:t xml:space="preserve">0 </w:t>
      </w:r>
      <w:r>
        <w:rPr>
          <w:rFonts w:hint="eastAsia" w:ascii="宋体" w:cs="宋体"/>
          <w:u w:val="none"/>
        </w:rPr>
        <w:t xml:space="preserve">日历天。具体要求：</w:t>
      </w:r>
      <w:r>
        <w:rPr>
          <w:u w:val="none"/>
        </w:rPr>
      </w:r>
      <w:r/>
    </w:p>
    <w:p>
      <w:pPr>
        <w:pStyle w:val="720"/>
        <w:ind w:firstLine="440"/>
        <w:jc w:val="left"/>
        <w:spacing w:line="360" w:lineRule="auto"/>
        <w:widowControl/>
        <w:rPr>
          <w:rFonts w:ascii="宋体" w:cs="宋体"/>
          <w:u w:val="single"/>
        </w:rPr>
      </w:pPr>
      <w:r>
        <w:rPr>
          <w:rFonts w:hint="eastAsia" w:ascii="宋体" w:cs="宋体"/>
          <w:u w:val="single"/>
        </w:rPr>
        <w:t xml:space="preserve">(1)项目初验时间：合同签订后75日历天完成本项目集成实施服务并取得B级机房认证评测报告</w:t>
      </w:r>
      <w:r>
        <w:rPr>
          <w:rFonts w:hint="eastAsia" w:ascii="宋体" w:cs="宋体"/>
          <w:u w:val="single"/>
        </w:rPr>
        <w:t xml:space="preserve">；</w:t>
      </w:r>
      <w:r>
        <w:rPr>
          <w:u w:val="single"/>
        </w:rPr>
      </w:r>
      <w:r/>
    </w:p>
    <w:p>
      <w:pPr>
        <w:pStyle w:val="720"/>
        <w:ind w:firstLine="440"/>
        <w:jc w:val="left"/>
        <w:spacing w:line="360" w:lineRule="auto"/>
        <w:widowControl/>
        <w:rPr>
          <w:rFonts w:ascii="宋体" w:cs="宋体"/>
        </w:rPr>
      </w:pPr>
      <w:r>
        <w:rPr>
          <w:rFonts w:hint="eastAsia" w:ascii="宋体" w:cs="宋体"/>
          <w:u w:val="single"/>
        </w:rPr>
        <w:t xml:space="preserve">(2)项目交付时间：合同签订后1</w:t>
      </w:r>
      <w:r>
        <w:rPr>
          <w:rFonts w:ascii="宋体" w:cs="宋体"/>
          <w:u w:val="single"/>
        </w:rPr>
        <w:t xml:space="preserve">2</w:t>
      </w:r>
      <w:r>
        <w:rPr>
          <w:rFonts w:hint="eastAsia" w:ascii="宋体" w:cs="宋体"/>
          <w:u w:val="single"/>
        </w:rPr>
        <w:t xml:space="preserve">0日历天通过中国质量认证中心（CQC）的现场核验并取得B级《数据中心场地基础设施认证证书》</w:t>
      </w:r>
      <w:r>
        <w:rPr>
          <w:rFonts w:hint="eastAsia" w:ascii="宋体" w:cs="宋体"/>
          <w:u w:val="none"/>
        </w:rPr>
        <w:t xml:space="preserve">。</w:t>
      </w:r>
      <w:r>
        <w:rPr>
          <w:rFonts w:ascii="宋体" w:cs="宋体"/>
          <w:u w:val="none"/>
        </w:rPr>
      </w:r>
      <w:r/>
    </w:p>
    <w:p>
      <w:pPr>
        <w:pStyle w:val="720"/>
        <w:ind w:firstLine="440"/>
        <w:jc w:val="left"/>
        <w:spacing w:line="360" w:lineRule="auto"/>
        <w:widowControl/>
        <w:rPr>
          <w:rFonts w:ascii="宋体" w:cs="宋体"/>
        </w:rPr>
      </w:pPr>
      <w:r>
        <w:rPr>
          <w:rFonts w:hint="eastAsia" w:ascii="宋体" w:cs="宋体"/>
        </w:rPr>
        <w:t xml:space="preserve">本项目不接受联合体。</w:t>
      </w:r>
      <w:r>
        <w:rPr>
          <w:rFonts w:asci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申请人资格条件</w:t>
      </w:r>
      <w:r>
        <w:rPr>
          <w:rFonts w:ascii="黑体" w:hAnsi="黑体" w:eastAsia="黑体" w:cs="黑体"/>
        </w:rPr>
      </w:r>
      <w:r/>
    </w:p>
    <w:p>
      <w:pPr>
        <w:pStyle w:val="720"/>
        <w:ind w:firstLine="440"/>
        <w:jc w:val="left"/>
        <w:spacing w:line="360" w:lineRule="auto"/>
        <w:widowControl/>
        <w:rPr>
          <w:rFonts w:ascii="宋体" w:cs="宋体"/>
        </w:rPr>
      </w:pPr>
      <w:r>
        <w:rPr>
          <w:rFonts w:hint="eastAsia" w:ascii="宋体" w:cs="宋体"/>
        </w:rPr>
        <w:t xml:space="preserve">（一）满足《中华人民共和国政府采购法》第二十二条规定；</w:t>
      </w:r>
      <w:r>
        <w:rPr>
          <w:rFonts w:ascii="宋体" w:cs="宋体"/>
        </w:rPr>
      </w:r>
      <w:r/>
    </w:p>
    <w:p>
      <w:pPr>
        <w:pStyle w:val="720"/>
        <w:ind w:firstLine="440"/>
        <w:spacing w:line="360" w:lineRule="auto"/>
        <w:rPr>
          <w:rFonts w:ascii="宋体" w:hAnsi="宋体" w:cs="宋体"/>
          <w:b/>
          <w:bCs/>
        </w:rPr>
      </w:pPr>
      <w:r>
        <w:rPr>
          <w:rFonts w:hint="eastAsia" w:ascii="宋体" w:hAnsi="宋体" w:cs="宋体"/>
          <w:b/>
          <w:bCs/>
        </w:rPr>
        <w:t xml:space="preserve">1.具有独立承担民事责任的能力（提供有效的法人或者其他组织的营业执照等证明文件原件扫描件）；</w:t>
      </w:r>
      <w:r>
        <w:rPr>
          <w:rFonts w:ascii="宋体" w:hAnsi="宋体" w:cs="宋体"/>
          <w:b/>
          <w:bCs/>
        </w:rPr>
      </w:r>
      <w:r/>
    </w:p>
    <w:p>
      <w:pPr>
        <w:pStyle w:val="720"/>
        <w:ind w:firstLine="440"/>
        <w:spacing w:line="360" w:lineRule="auto"/>
        <w:rPr>
          <w:rFonts w:ascii="宋体" w:hAnsi="宋体" w:cs="宋体"/>
        </w:rPr>
      </w:pPr>
      <w:r>
        <w:rPr>
          <w:rFonts w:hint="eastAsia" w:ascii="宋体" w:hAnsi="宋体" w:cs="宋体"/>
          <w:b/>
          <w:bCs/>
        </w:rPr>
        <w:t xml:space="preserve">2.具有《政府采购法》第二十二条第（二）、（三）、（四）、（五）项规定的基本资格条件（按投标文件格式要求提供了《基本资格条件声明函》）。</w:t>
      </w:r>
      <w:r>
        <w:rPr>
          <w:rFonts w:ascii="宋体" w:hAnsi="宋体" w:cs="宋体"/>
        </w:rPr>
      </w:r>
      <w:r/>
    </w:p>
    <w:p>
      <w:pPr>
        <w:pStyle w:val="720"/>
        <w:ind w:firstLine="440"/>
        <w:spacing w:line="360" w:lineRule="auto"/>
        <w:rPr>
          <w:rFonts w:ascii="宋体" w:hAnsi="宋体" w:cs="宋体"/>
          <w:u w:val="single"/>
        </w:rPr>
      </w:pPr>
      <w:r>
        <w:rPr>
          <w:rFonts w:hint="eastAsia" w:ascii="宋体" w:hAnsi="宋体" w:cs="宋体"/>
        </w:rPr>
        <w:t xml:space="preserve">（二）落实政府采购政策需满足的资格要求：</w:t>
      </w:r>
      <w:r>
        <w:rPr>
          <w:rFonts w:hint="eastAsia" w:ascii="宋体" w:hAnsi="宋体" w:cs="宋体"/>
          <w:b/>
          <w:bCs/>
          <w:u w:val="single"/>
        </w:rPr>
        <w:t xml:space="preserve">无</w:t>
      </w:r>
      <w:r>
        <w:rPr>
          <w:rFonts w:hint="eastAsia" w:ascii="宋体" w:hAnsi="宋体" w:cs="宋体"/>
          <w:b/>
          <w:bCs/>
        </w:rPr>
        <w:t xml:space="preserve">。</w:t>
      </w:r>
      <w:r>
        <w:rPr>
          <w:rFonts w:ascii="宋体" w:hAnsi="宋体" w:cs="宋体"/>
          <w:u w:val="single"/>
        </w:rPr>
      </w:r>
      <w:r/>
    </w:p>
    <w:p>
      <w:pPr>
        <w:pStyle w:val="720"/>
        <w:ind w:firstLine="440"/>
        <w:spacing w:line="360" w:lineRule="auto"/>
        <w:rPr>
          <w:rFonts w:ascii="宋体" w:cs="宋体"/>
        </w:rPr>
      </w:pPr>
      <w:r>
        <w:rPr>
          <w:rFonts w:hint="eastAsia" w:ascii="宋体" w:cs="宋体"/>
        </w:rPr>
        <w:t xml:space="preserve">（三）本项目的特定资格要求：</w:t>
      </w:r>
      <w:r>
        <w:rPr>
          <w:rFonts w:hint="eastAsia" w:ascii="宋体" w:cs="宋体"/>
          <w:b/>
          <w:bCs/>
          <w:u w:val="single"/>
        </w:rPr>
        <w:t xml:space="preserve"> 无 </w:t>
      </w:r>
      <w:r>
        <w:rPr>
          <w:rFonts w:hint="eastAsia" w:ascii="宋体" w:cs="宋体"/>
        </w:rPr>
        <w:t xml:space="preserve">。</w:t>
      </w:r>
      <w:r>
        <w:rPr>
          <w:rFonts w:ascii="宋体" w:cs="宋体"/>
        </w:rPr>
      </w:r>
      <w:r/>
    </w:p>
    <w:p>
      <w:pPr>
        <w:pStyle w:val="720"/>
        <w:ind w:firstLine="440"/>
        <w:spacing w:line="360" w:lineRule="auto"/>
        <w:rPr>
          <w:rFonts w:ascii="宋体" w:cs="宋体"/>
        </w:rPr>
      </w:pPr>
      <w:r>
        <w:rPr>
          <w:rFonts w:hint="eastAsia" w:ascii="宋体" w:cs="宋体"/>
        </w:rPr>
        <w:t xml:space="preserve">（四）投标截止时间当日，投标人有下列情形之一的，不得参加本采购项目招标投标活动：</w:t>
      </w:r>
      <w:r>
        <w:rPr>
          <w:rFonts w:ascii="宋体" w:cs="宋体"/>
        </w:rPr>
      </w:r>
      <w:r/>
    </w:p>
    <w:p>
      <w:pPr>
        <w:pStyle w:val="720"/>
        <w:ind w:firstLine="440"/>
        <w:spacing w:line="360" w:lineRule="auto"/>
        <w:rPr>
          <w:rFonts w:ascii="宋体" w:cs="宋体"/>
        </w:rPr>
      </w:pPr>
      <w:r>
        <w:rPr>
          <w:rFonts w:hint="eastAsia" w:ascii="宋体" w:cs="宋体"/>
        </w:rPr>
        <w:t xml:space="preserve">1.单位负责人为同一人或者存在直接控股、管理关系的不同投标人；</w:t>
      </w:r>
      <w:r>
        <w:rPr>
          <w:rFonts w:ascii="宋体" w:cs="宋体"/>
        </w:rPr>
      </w:r>
      <w:r/>
    </w:p>
    <w:p>
      <w:pPr>
        <w:pStyle w:val="720"/>
        <w:ind w:firstLine="440"/>
        <w:spacing w:line="360" w:lineRule="auto"/>
        <w:rPr>
          <w:rFonts w:ascii="宋体" w:cs="宋体"/>
        </w:rPr>
      </w:pPr>
      <w:r>
        <w:rPr>
          <w:rFonts w:hint="eastAsia" w:ascii="宋体" w:cs="宋体"/>
        </w:rPr>
        <w:t xml:space="preserve">2.被各级财政主管部门取消采购项目所在地的投标资格且处于有效期内；</w:t>
      </w:r>
      <w:r>
        <w:rPr>
          <w:rFonts w:ascii="宋体" w:cs="宋体"/>
        </w:rPr>
      </w:r>
      <w:r/>
    </w:p>
    <w:p>
      <w:pPr>
        <w:pStyle w:val="720"/>
        <w:ind w:firstLine="440"/>
        <w:spacing w:line="360" w:lineRule="auto"/>
        <w:rPr>
          <w:rFonts w:ascii="宋体" w:cs="宋体"/>
        </w:rPr>
      </w:pPr>
      <w:r>
        <w:rPr>
          <w:rFonts w:hint="eastAsia" w:ascii="宋体" w:cs="宋体"/>
        </w:rPr>
        <w:t xml:space="preserve">3.被责令停业，暂扣或吊销营业执照，或吊销资质证书；</w:t>
      </w:r>
      <w:r>
        <w:rPr>
          <w:rFonts w:ascii="宋体" w:cs="宋体"/>
        </w:rPr>
      </w:r>
      <w:r/>
    </w:p>
    <w:p>
      <w:pPr>
        <w:pStyle w:val="720"/>
        <w:ind w:firstLine="440"/>
        <w:spacing w:line="360" w:lineRule="auto"/>
        <w:rPr>
          <w:rFonts w:ascii="宋体" w:cs="宋体"/>
        </w:rPr>
      </w:pPr>
      <w:r>
        <w:rPr>
          <w:rFonts w:hint="eastAsia" w:ascii="宋体" w:cs="宋体"/>
        </w:rPr>
        <w:t xml:space="preserve">4.进入清算程序，或被宣告破产，或其他丧失履约能力的情形；</w:t>
      </w:r>
      <w:r>
        <w:rPr>
          <w:rFonts w:ascii="宋体" w:cs="宋体"/>
        </w:rPr>
      </w:r>
      <w:r/>
    </w:p>
    <w:p>
      <w:pPr>
        <w:pStyle w:val="720"/>
        <w:ind w:firstLine="440"/>
        <w:spacing w:line="360" w:lineRule="auto"/>
        <w:rPr>
          <w:rFonts w:ascii="宋体" w:cs="宋体"/>
        </w:rPr>
      </w:pPr>
      <w:r>
        <w:rPr>
          <w:rFonts w:hint="eastAsia" w:ascii="宋体" w:cs="宋体"/>
        </w:rPr>
        <w:t xml:space="preserve">5.在“中国政府采购网(www.ccgp.gov.cn)”中被列入“政府采购严重违法失信行为记录名单》”（以采购人或采购代理机构在资格审查时，通过相关网站查询为准）；</w:t>
      </w:r>
      <w:r>
        <w:rPr>
          <w:rFonts w:ascii="宋体" w:cs="宋体"/>
        </w:rPr>
      </w:r>
      <w:r/>
    </w:p>
    <w:p>
      <w:pPr>
        <w:pStyle w:val="720"/>
        <w:ind w:firstLine="440"/>
        <w:spacing w:line="360" w:lineRule="auto"/>
        <w:rPr>
          <w:rFonts w:ascii="宋体" w:cs="宋体"/>
        </w:rPr>
      </w:pPr>
      <w:r>
        <w:rPr>
          <w:rFonts w:hint="eastAsia" w:ascii="宋体" w:cs="宋体"/>
        </w:rPr>
        <w:t xml:space="preserve">6.在“信用中国（http://www.creditchina.gov.cn/）”网站中被列入“失信被执行人名单”或“税收违法黑名单”（以采购人或采购代理机构在资格审查时，通过相关网站查询为准）；</w:t>
      </w:r>
      <w:r>
        <w:rPr>
          <w:rFonts w:ascii="宋体" w:cs="宋体"/>
        </w:rPr>
      </w:r>
      <w:r/>
    </w:p>
    <w:p>
      <w:pPr>
        <w:pStyle w:val="720"/>
        <w:ind w:firstLine="440"/>
        <w:spacing w:line="360" w:lineRule="auto"/>
        <w:rPr>
          <w:rFonts w:ascii="宋体" w:cs="宋体"/>
        </w:rPr>
      </w:pPr>
      <w:r>
        <w:rPr>
          <w:rFonts w:hint="eastAsia" w:ascii="宋体" w:cs="宋体"/>
        </w:rPr>
        <w:t xml:space="preserve">7.为采购项目提供整体设计、规范编制或者项目管理、监理、检测等服务的；</w:t>
      </w:r>
      <w:r>
        <w:rPr>
          <w:rFonts w:ascii="宋体" w:cs="宋体"/>
        </w:rPr>
      </w:r>
      <w:r/>
    </w:p>
    <w:p>
      <w:pPr>
        <w:pStyle w:val="720"/>
        <w:ind w:firstLine="440"/>
        <w:spacing w:line="360" w:lineRule="auto"/>
        <w:rPr>
          <w:rFonts w:ascii="宋体" w:cs="宋体"/>
        </w:rPr>
      </w:pPr>
      <w:r>
        <w:rPr>
          <w:rFonts w:hint="eastAsia" w:ascii="宋体" w:cs="宋体"/>
        </w:rPr>
        <w:t xml:space="preserve">8.法律、法规规定的其他情形。</w:t>
      </w:r>
      <w:r>
        <w:rPr>
          <w:rFonts w:asci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获取招标文件</w:t>
      </w:r>
      <w:r>
        <w:rPr>
          <w:rFonts w:ascii="黑体" w:hAnsi="黑体" w:eastAsia="黑体" w:cs="黑体"/>
        </w:rPr>
      </w:r>
      <w:r/>
    </w:p>
    <w:p>
      <w:pPr>
        <w:pStyle w:val="720"/>
        <w:ind w:firstLine="480"/>
        <w:spacing w:line="360" w:lineRule="auto"/>
        <w:rPr>
          <w:rFonts w:ascii="宋体" w:hAnsi="宋体" w:eastAsia="宋体" w:cs="宋体"/>
          <w:bCs/>
        </w:rPr>
      </w:pPr>
      <w:r>
        <w:rPr>
          <w:rFonts w:hint="eastAsia" w:ascii="宋体" w:hAnsi="宋体" w:eastAsia="宋体" w:cs="宋体"/>
          <w:bCs/>
        </w:rPr>
        <w:t xml:space="preserve">时间：自招标文件公告发布之日起5个工作日 </w:t>
      </w:r>
      <w:r>
        <w:rPr>
          <w:rFonts w:ascii="宋体" w:hAnsi="宋体" w:eastAsia="宋体" w:cs="宋体"/>
          <w:bCs/>
        </w:rPr>
      </w:r>
      <w:r/>
    </w:p>
    <w:p>
      <w:pPr>
        <w:pStyle w:val="720"/>
        <w:ind w:firstLine="480"/>
        <w:spacing w:line="360" w:lineRule="auto"/>
        <w:rPr>
          <w:rFonts w:ascii="宋体" w:hAnsi="宋体" w:eastAsia="宋体" w:cs="宋体"/>
          <w:bCs/>
        </w:rPr>
      </w:pPr>
      <w:r>
        <w:rPr>
          <w:rFonts w:hint="eastAsia" w:ascii="宋体" w:hAnsi="宋体" w:eastAsia="宋体" w:cs="宋体"/>
          <w:bCs/>
        </w:rPr>
        <w:t xml:space="preserve">地点：“苏采云”系统（http://jszfcg.jsczt.cn） </w:t>
      </w:r>
      <w:r>
        <w:rPr>
          <w:rFonts w:ascii="宋体" w:hAnsi="宋体" w:eastAsia="宋体" w:cs="宋体"/>
          <w:bCs/>
        </w:rPr>
      </w:r>
      <w:r/>
    </w:p>
    <w:p>
      <w:pPr>
        <w:pStyle w:val="720"/>
        <w:ind w:firstLine="480"/>
        <w:spacing w:line="360" w:lineRule="auto"/>
        <w:rPr>
          <w:rFonts w:ascii="宋体" w:hAnsi="宋体" w:eastAsia="宋体" w:cs="宋体"/>
          <w:bCs/>
        </w:rPr>
      </w:pPr>
      <w:r>
        <w:rPr>
          <w:rFonts w:hint="eastAsia" w:ascii="宋体" w:hAnsi="宋体" w:eastAsia="宋体" w:cs="宋体"/>
          <w:bCs/>
        </w:rPr>
        <w:t xml:space="preserve">方式：“苏采云”系统（http://jszfcg.jsczt.cn） </w:t>
      </w:r>
      <w:r>
        <w:rPr>
          <w:rFonts w:ascii="宋体" w:hAnsi="宋体" w:eastAsia="宋体" w:cs="宋体"/>
          <w:bCs/>
        </w:rPr>
      </w:r>
      <w:r/>
    </w:p>
    <w:p>
      <w:pPr>
        <w:pStyle w:val="720"/>
        <w:ind w:firstLine="440"/>
        <w:spacing w:line="360" w:lineRule="auto"/>
        <w:rPr>
          <w:rFonts w:ascii="宋体" w:cs="宋体"/>
        </w:rPr>
      </w:pPr>
      <w:r>
        <w:rPr>
          <w:rFonts w:hint="eastAsia" w:ascii="宋体" w:hAnsi="宋体" w:eastAsia="宋体" w:cs="宋体"/>
          <w:bCs/>
        </w:rPr>
        <w:t xml:space="preserve">售价：0.00元 </w:t>
      </w:r>
      <w:r>
        <w:rPr>
          <w:rFonts w:asci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提交投标文件截止时间、开标时间和地点</w:t>
      </w:r>
      <w:r>
        <w:rPr>
          <w:rFonts w:ascii="黑体" w:hAnsi="黑体" w:eastAsia="黑体" w:cs="黑体"/>
        </w:rPr>
      </w:r>
      <w:r/>
    </w:p>
    <w:p>
      <w:pPr>
        <w:pStyle w:val="720"/>
        <w:ind w:firstLine="480"/>
        <w:spacing w:line="360" w:lineRule="auto"/>
      </w:pPr>
      <w:r>
        <w:rPr>
          <w:rFonts w:hint="eastAsia" w:ascii="宋体" w:hAnsi="宋体" w:eastAsia="宋体" w:cs="宋体"/>
          <w:highlight w:val="none"/>
        </w:rPr>
        <w:t xml:space="preserve">2026-11-20   14:00 </w:t>
      </w:r>
      <w:r>
        <w:rPr>
          <w:rFonts w:hint="eastAsia" w:ascii="宋体" w:hAnsi="宋体" w:eastAsia="宋体" w:cs="宋体"/>
          <w:highlight w:val="none"/>
        </w:rPr>
        <w:t xml:space="preserve">（北</w:t>
      </w:r>
      <w:r>
        <w:rPr>
          <w:rFonts w:hint="eastAsia" w:ascii="宋体" w:hAnsi="宋体" w:eastAsia="宋体" w:cs="宋体"/>
        </w:rPr>
        <w:t xml:space="preserve">京时间）</w:t>
      </w:r>
      <w:r/>
    </w:p>
    <w:p>
      <w:pPr>
        <w:pStyle w:val="720"/>
        <w:ind w:firstLine="440"/>
        <w:spacing w:line="360" w:lineRule="auto"/>
        <w:rPr>
          <w:rFonts w:ascii="宋体" w:cs="宋体"/>
        </w:rPr>
      </w:pPr>
      <w:r>
        <w:rPr>
          <w:rFonts w:hint="eastAsia" w:ascii="宋体" w:hAnsi="宋体" w:eastAsia="宋体" w:cs="宋体"/>
        </w:rPr>
        <w:t xml:space="preserve">地点：“苏采云”系统（http://jszfcg.jsczt.cn）</w:t>
      </w:r>
      <w:r>
        <w:rPr>
          <w:rFonts w:asci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公告期限</w:t>
      </w:r>
      <w:r>
        <w:rPr>
          <w:rFonts w:ascii="黑体" w:hAnsi="黑体" w:eastAsia="黑体" w:cs="黑体"/>
        </w:rPr>
      </w:r>
      <w:r/>
    </w:p>
    <w:p>
      <w:pPr>
        <w:pStyle w:val="720"/>
        <w:ind w:firstLine="440"/>
        <w:spacing w:line="360" w:lineRule="auto"/>
        <w:rPr>
          <w:rFonts w:ascii="宋体" w:cs="宋体"/>
        </w:rPr>
      </w:pPr>
      <w:r>
        <w:rPr>
          <w:rFonts w:hint="eastAsia" w:ascii="宋体" w:cs="宋体"/>
        </w:rPr>
        <w:t xml:space="preserve">自本公告发布之日起5个工作日</w:t>
      </w:r>
      <w:r>
        <w:rPr>
          <w:rFonts w:asci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其他补充事宜</w:t>
      </w:r>
      <w:r>
        <w:rPr>
          <w:rFonts w:ascii="黑体" w:hAnsi="黑体" w:eastAsia="黑体" w:cs="黑体"/>
        </w:rPr>
      </w:r>
      <w:r/>
    </w:p>
    <w:p>
      <w:pPr>
        <w:pStyle w:val="720"/>
        <w:ind w:firstLine="440"/>
        <w:spacing w:line="360" w:lineRule="auto"/>
        <w:rPr>
          <w:rFonts w:ascii="宋体" w:hAnsi="宋体" w:cs="宋体"/>
        </w:rPr>
      </w:pPr>
      <w:r>
        <w:rPr>
          <w:rFonts w:hint="eastAsia" w:ascii="宋体" w:hAnsi="宋体" w:cs="宋体"/>
        </w:rPr>
        <w:t xml:space="preserve">1.本项目采用全流程电子化方式，潜在投标人访问电子招标投标交易平台的网络地址和方法：</w:t>
      </w:r>
      <w:r>
        <w:rPr>
          <w:rFonts w:ascii="宋体" w:hAnsi="宋体" w:cs="宋体"/>
        </w:rPr>
      </w:r>
      <w:r/>
    </w:p>
    <w:p>
      <w:pPr>
        <w:pStyle w:val="720"/>
        <w:ind w:firstLine="440"/>
        <w:spacing w:line="360" w:lineRule="auto"/>
        <w:rPr>
          <w:rFonts w:ascii="宋体" w:hAnsi="宋体" w:cs="宋体"/>
        </w:rPr>
      </w:pPr>
      <w:r>
        <w:rPr>
          <w:rFonts w:hint="eastAsia" w:ascii="宋体" w:hAnsi="宋体" w:cs="宋体"/>
        </w:rPr>
        <w:t xml:space="preserve">（1）登录 http://jszfcg.jsczt.cn/，点击“苏采云”进入系统；</w:t>
      </w:r>
      <w:r>
        <w:rPr>
          <w:rFonts w:ascii="宋体" w:hAnsi="宋体" w:cs="宋体"/>
        </w:rPr>
      </w:r>
      <w:r/>
    </w:p>
    <w:p>
      <w:pPr>
        <w:pStyle w:val="720"/>
        <w:ind w:firstLine="440"/>
        <w:spacing w:line="360" w:lineRule="auto"/>
        <w:rPr>
          <w:rFonts w:ascii="宋体" w:hAnsi="宋体" w:cs="宋体"/>
        </w:rPr>
      </w:pPr>
      <w:r>
        <w:rPr>
          <w:rFonts w:hint="eastAsia" w:ascii="宋体" w:hAnsi="宋体" w:cs="宋体"/>
        </w:rPr>
        <w:t xml:space="preserve">（2）投标客户端工具及投标人操作手册可访问江苏省政府采购网，选中“业务工作”，“下载专区”进行下载《江苏省政府采购管理交易系统（苏采云）投标人操作手册及政府采购客户端》。</w:t>
      </w:r>
      <w:r>
        <w:rPr>
          <w:rFonts w:ascii="宋体" w:hAnsi="宋体" w:cs="宋体"/>
        </w:rPr>
      </w:r>
      <w:r/>
    </w:p>
    <w:p>
      <w:pPr>
        <w:pStyle w:val="720"/>
        <w:ind w:firstLine="440"/>
        <w:spacing w:line="360" w:lineRule="auto"/>
        <w:rPr>
          <w:rFonts w:ascii="宋体" w:hAnsi="宋体" w:cs="宋体"/>
        </w:rPr>
      </w:pPr>
      <w:r>
        <w:rPr>
          <w:rFonts w:hint="eastAsia" w:ascii="宋体" w:hAnsi="宋体" w:cs="宋体"/>
        </w:rPr>
        <w:t xml:space="preserve">2.采购代理机构将数据电文形式的招标文件加载至电子招标投标交易平台，供潜在投标人下载或者查阅。如果项目采购文件变更并发布更正公告，需要重新下载采购文件。</w:t>
      </w:r>
      <w:r>
        <w:rPr>
          <w:rFonts w:ascii="宋体" w:hAnsi="宋体" w:cs="宋体"/>
        </w:rPr>
      </w:r>
      <w:r/>
    </w:p>
    <w:p>
      <w:pPr>
        <w:pStyle w:val="720"/>
        <w:ind w:firstLine="440"/>
        <w:spacing w:line="360" w:lineRule="auto"/>
        <w:rPr>
          <w:rFonts w:ascii="宋体" w:hAnsi="宋体" w:cs="宋体"/>
        </w:rPr>
      </w:pPr>
      <w:r>
        <w:rPr>
          <w:rFonts w:hint="eastAsia" w:ascii="宋体" w:hAnsi="宋体" w:cs="宋体"/>
        </w:rPr>
        <w:t xml:space="preserve">3.如在制作电子投标文件中有任何疑问，请拨打电子化政府采购技术支持电话：0523-86897512。</w:t>
      </w:r>
      <w:r>
        <w:rPr>
          <w:rFonts w:ascii="宋体" w:hAnsi="宋体" w:cs="宋体"/>
        </w:rPr>
      </w:r>
      <w:r/>
    </w:p>
    <w:p>
      <w:pPr>
        <w:pStyle w:val="720"/>
        <w:ind w:firstLine="440"/>
        <w:spacing w:line="360" w:lineRule="auto"/>
        <w:rPr>
          <w:rFonts w:ascii="宋体" w:hAnsi="宋体" w:cs="宋体"/>
        </w:rPr>
      </w:pPr>
      <w:r>
        <w:rPr>
          <w:rFonts w:hint="eastAsia" w:ascii="宋体" w:hAnsi="宋体" w:cs="宋体"/>
        </w:rPr>
        <w:t xml:space="preserve">4.如潜在投标人未按上述要求操作，将自行承担所产生的风险。</w:t>
      </w:r>
      <w:r>
        <w:rPr>
          <w:rFonts w:ascii="宋体" w:hAnsi="宋体" w:cs="宋体"/>
        </w:rPr>
      </w:r>
      <w:r/>
    </w:p>
    <w:p>
      <w:pPr>
        <w:pStyle w:val="720"/>
        <w:numPr>
          <w:ilvl w:val="0"/>
          <w:numId w:val="1"/>
        </w:numPr>
        <w:ind w:firstLine="440"/>
        <w:spacing w:line="360" w:lineRule="auto"/>
        <w:rPr>
          <w:rFonts w:ascii="黑体" w:hAnsi="黑体" w:eastAsia="黑体" w:cs="黑体"/>
        </w:rPr>
      </w:pPr>
      <w:r>
        <w:rPr>
          <w:rFonts w:hint="eastAsia" w:ascii="黑体" w:hAnsi="黑体" w:eastAsia="黑体" w:cs="黑体"/>
        </w:rPr>
        <w:t xml:space="preserve">凡对本次采购提出询问，请按以下方式联系。</w:t>
      </w:r>
      <w:r>
        <w:rPr>
          <w:rFonts w:ascii="黑体" w:hAnsi="黑体" w:eastAsia="黑体" w:cs="黑体"/>
        </w:rPr>
      </w:r>
      <w:r/>
    </w:p>
    <w:p>
      <w:pPr>
        <w:pStyle w:val="720"/>
        <w:ind w:firstLine="440"/>
        <w:spacing w:line="360" w:lineRule="auto"/>
        <w:rPr>
          <w:rFonts w:ascii="宋体" w:hAnsi="宋体" w:cs="宋体"/>
        </w:rPr>
      </w:pPr>
      <w:r>
        <w:rPr>
          <w:rFonts w:hint="eastAsia" w:ascii="宋体" w:hAnsi="宋体" w:cs="宋体"/>
        </w:rPr>
        <w:t xml:space="preserve">1、采购人信息</w:t>
      </w:r>
      <w:r>
        <w:rPr>
          <w:rFonts w:ascii="宋体" w:hAnsi="宋体" w:cs="宋体"/>
        </w:rPr>
      </w:r>
      <w:r/>
    </w:p>
    <w:p>
      <w:pPr>
        <w:pStyle w:val="720"/>
        <w:ind w:right="-374" w:firstLine="480"/>
        <w:spacing w:line="360" w:lineRule="auto"/>
        <w:tabs>
          <w:tab w:val="left" w:pos="8460" w:leader="none"/>
        </w:tabs>
        <w:rPr>
          <w:rFonts w:ascii="宋体" w:hAnsi="宋体" w:cs="宋体"/>
        </w:rPr>
      </w:pPr>
      <w:r>
        <w:rPr>
          <w:rFonts w:hint="eastAsia" w:ascii="宋体" w:hAnsi="宋体" w:cs="宋体"/>
        </w:rPr>
        <w:t xml:space="preserve">单位名称：靖江市人民医院</w:t>
      </w:r>
      <w:r>
        <w:rPr>
          <w:rFonts w:ascii="宋体" w:hAnsi="宋体" w:cs="宋体"/>
        </w:rPr>
      </w:r>
      <w:r/>
    </w:p>
    <w:p>
      <w:pPr>
        <w:pStyle w:val="720"/>
        <w:ind w:right="-374" w:firstLine="480"/>
        <w:spacing w:line="360" w:lineRule="auto"/>
        <w:tabs>
          <w:tab w:val="left" w:pos="8460" w:leader="none"/>
        </w:tabs>
        <w:rPr>
          <w:rFonts w:ascii="宋体" w:hAnsi="宋体" w:cs="宋体"/>
        </w:rPr>
      </w:pPr>
      <w:r>
        <w:rPr>
          <w:rFonts w:hint="eastAsia" w:ascii="宋体" w:hAnsi="宋体" w:cs="宋体"/>
        </w:rPr>
        <w:t xml:space="preserve">单位地址：靖江市中洲东路28号</w:t>
      </w:r>
      <w:r>
        <w:rPr>
          <w:rFonts w:ascii="宋体" w:hAnsi="宋体" w:cs="宋体"/>
        </w:rPr>
      </w:r>
      <w:r/>
    </w:p>
    <w:p>
      <w:pPr>
        <w:pStyle w:val="720"/>
        <w:ind w:right="-374" w:firstLine="480"/>
        <w:spacing w:line="360" w:lineRule="auto"/>
        <w:tabs>
          <w:tab w:val="left" w:pos="8460" w:leader="none"/>
        </w:tabs>
        <w:rPr>
          <w:rFonts w:ascii="宋体" w:hAnsi="宋体" w:cs="宋体"/>
        </w:rPr>
      </w:pPr>
      <w:r>
        <w:rPr>
          <w:rFonts w:hint="eastAsia" w:ascii="宋体" w:hAnsi="宋体" w:cs="宋体"/>
        </w:rPr>
        <w:t xml:space="preserve">联系人：陈先生</w:t>
      </w:r>
      <w:r>
        <w:rPr>
          <w:rFonts w:ascii="宋体" w:hAnsi="宋体" w:cs="宋体"/>
        </w:rPr>
      </w:r>
      <w:r/>
    </w:p>
    <w:p>
      <w:pPr>
        <w:pStyle w:val="720"/>
        <w:ind w:right="-374" w:firstLine="480"/>
        <w:spacing w:line="360" w:lineRule="auto"/>
        <w:tabs>
          <w:tab w:val="left" w:pos="8460" w:leader="none"/>
        </w:tabs>
        <w:rPr>
          <w:rFonts w:ascii="宋体" w:cs="宋体"/>
        </w:rPr>
      </w:pPr>
      <w:r>
        <w:rPr>
          <w:rFonts w:hint="eastAsia" w:ascii="宋体" w:hAnsi="宋体" w:cs="宋体"/>
        </w:rPr>
        <w:t xml:space="preserve">联系电话：0523-84995905</w:t>
      </w:r>
      <w:r>
        <w:rPr>
          <w:rFonts w:ascii="宋体" w:cs="宋体"/>
        </w:rPr>
      </w:r>
      <w:r/>
    </w:p>
    <w:p>
      <w:pPr>
        <w:pStyle w:val="720"/>
        <w:ind w:firstLine="440"/>
        <w:spacing w:line="360" w:lineRule="auto"/>
        <w:rPr>
          <w:rFonts w:ascii="宋体" w:cs="宋体"/>
        </w:rPr>
      </w:pPr>
      <w:r>
        <w:rPr>
          <w:rFonts w:hint="eastAsia" w:ascii="宋体" w:cs="宋体"/>
        </w:rPr>
        <w:t xml:space="preserve">2、采购代理机构信息</w:t>
      </w:r>
      <w:r>
        <w:rPr>
          <w:rFonts w:ascii="宋体" w:cs="宋体"/>
        </w:rPr>
      </w:r>
      <w:r/>
    </w:p>
    <w:p>
      <w:pPr>
        <w:pStyle w:val="720"/>
        <w:ind w:firstLine="440"/>
        <w:spacing w:line="360" w:lineRule="auto"/>
        <w:rPr>
          <w:rFonts w:ascii="宋体" w:cs="宋体"/>
        </w:rPr>
      </w:pPr>
      <w:r>
        <w:rPr>
          <w:rFonts w:hint="eastAsia" w:ascii="宋体" w:cs="宋体"/>
        </w:rPr>
        <w:t xml:space="preserve">名称：</w:t>
      </w:r>
      <w:r>
        <w:rPr>
          <w:rFonts w:hint="eastAsia" w:ascii="宋体" w:hAnsi="宋体" w:cs="宋体"/>
          <w:lang w:val="zh-CN"/>
        </w:rPr>
        <w:t xml:space="preserve">江苏智汇锡建工程项目管理有限公司</w:t>
      </w:r>
      <w:r>
        <w:rPr>
          <w:rFonts w:ascii="宋体" w:cs="宋体"/>
        </w:rPr>
      </w:r>
      <w:r/>
    </w:p>
    <w:p>
      <w:pPr>
        <w:pStyle w:val="720"/>
        <w:ind w:firstLine="440"/>
        <w:spacing w:line="360" w:lineRule="auto"/>
        <w:rPr>
          <w:rFonts w:ascii="宋体" w:cs="宋体"/>
        </w:rPr>
      </w:pPr>
      <w:r>
        <w:rPr>
          <w:rFonts w:hint="eastAsia" w:ascii="宋体" w:cs="宋体"/>
        </w:rPr>
        <w:t xml:space="preserve">地址：靖江市晨阳社区南区22幢-9号</w:t>
      </w:r>
      <w:r>
        <w:rPr>
          <w:rFonts w:ascii="宋体" w:cs="宋体"/>
        </w:rPr>
      </w:r>
      <w:r/>
    </w:p>
    <w:p>
      <w:pPr>
        <w:pStyle w:val="720"/>
        <w:ind w:firstLine="440"/>
        <w:spacing w:line="360" w:lineRule="auto"/>
        <w:rPr>
          <w:rFonts w:ascii="宋体" w:cs="宋体"/>
        </w:rPr>
      </w:pPr>
      <w:r>
        <w:rPr>
          <w:rFonts w:hint="eastAsia" w:ascii="宋体" w:hAnsi="宋体" w:cs="宋体"/>
        </w:rPr>
        <w:t xml:space="preserve">联系人：闻先生</w:t>
      </w:r>
      <w:r>
        <w:rPr>
          <w:rFonts w:ascii="宋体" w:cs="宋体"/>
        </w:rPr>
      </w:r>
      <w:r/>
    </w:p>
    <w:p>
      <w:pPr>
        <w:pStyle w:val="720"/>
        <w:ind w:firstLine="480"/>
        <w:spacing w:line="360" w:lineRule="auto"/>
        <w:rPr>
          <w:rFonts w:ascii="宋体" w:hAnsi="宋体" w:eastAsia="宋体" w:cs="宋体"/>
          <w:sz w:val="24"/>
          <w:szCs w:val="24"/>
        </w:rPr>
      </w:pPr>
      <w:r>
        <w:rPr>
          <w:rFonts w:hint="eastAsia" w:ascii="宋体" w:cs="宋体"/>
        </w:rPr>
        <w:t xml:space="preserve">联系方式：13809011110</w:t>
      </w:r>
      <w:r>
        <w:rPr>
          <w:rFonts w:ascii="宋体" w:hAnsi="宋体" w:eastAsia="宋体" w:cs="宋体"/>
          <w:sz w:val="24"/>
          <w:szCs w:val="24"/>
        </w:rPr>
      </w:r>
      <w:r/>
    </w:p>
    <w:p>
      <w:pPr>
        <w:pStyle w:val="720"/>
        <w:ind w:firstLine="440"/>
        <w:spacing w:line="440" w:lineRule="exact"/>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794"/>
        <w:rPr>
          <w:rFonts w:ascii="华文中宋" w:hAnsi="华文中宋" w:eastAsia="华文中宋" w:cs="华文中宋"/>
          <w:sz w:val="24"/>
          <w:szCs w:val="24"/>
        </w:rPr>
      </w:pPr>
      <w:r>
        <w:rPr>
          <w:rFonts w:ascii="华文中宋" w:hAnsi="华文中宋" w:eastAsia="华文中宋" w:cs="华文中宋"/>
          <w:sz w:val="24"/>
          <w:szCs w:val="24"/>
        </w:rPr>
      </w:r>
      <w:r/>
    </w:p>
    <w:p>
      <w:pPr>
        <w:pStyle w:val="969"/>
        <w:jc w:val="center"/>
        <w:spacing w:before="0" w:after="0" w:line="360" w:lineRule="auto"/>
        <w:rPr>
          <w:rFonts w:ascii="微软雅黑" w:hAnsi="微软雅黑" w:eastAsia="微软雅黑" w:cs="微软雅黑"/>
          <w:b w:val="0"/>
          <w:bCs w:val="0"/>
          <w:sz w:val="36"/>
          <w:szCs w:val="36"/>
        </w:rPr>
      </w:pPr>
      <w:r/>
      <w:bookmarkStart w:id="16" w:name="_Toc27291"/>
      <w:r/>
      <w:bookmarkStart w:id="17" w:name="_Toc387526177"/>
      <w:r/>
      <w:bookmarkStart w:id="18" w:name="_Toc2936"/>
      <w:r/>
      <w:bookmarkStart w:id="19" w:name="_Toc387526281"/>
      <w:r/>
      <w:bookmarkStart w:id="20" w:name="_Toc363326679"/>
      <w:r/>
      <w:bookmarkStart w:id="21" w:name="_Toc184635069"/>
      <w:r/>
      <w:bookmarkStart w:id="22" w:name="_Toc387526373"/>
      <w:r/>
      <w:bookmarkStart w:id="23" w:name="_Toc369077558"/>
      <w:r/>
      <w:bookmarkStart w:id="24" w:name="_Toc6770"/>
      <w:r/>
      <w:bookmarkStart w:id="25" w:name="_Toc6984"/>
      <w:r/>
      <w:bookmarkStart w:id="26" w:name="_Toc17345"/>
      <w:r/>
      <w:bookmarkStart w:id="27" w:name="_Toc368759512"/>
      <w:r>
        <w:rPr>
          <w:rFonts w:hint="eastAsia" w:ascii="微软雅黑" w:hAnsi="微软雅黑" w:eastAsia="微软雅黑" w:cs="微软雅黑"/>
          <w:b w:val="0"/>
          <w:bCs w:val="0"/>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rPr>
          <w:rFonts w:ascii="微软雅黑" w:hAnsi="微软雅黑" w:eastAsia="微软雅黑" w:cs="微软雅黑"/>
          <w:b w:val="0"/>
          <w:bCs w:val="0"/>
          <w:sz w:val="36"/>
          <w:szCs w:val="36"/>
        </w:rPr>
      </w:r>
      <w:r/>
    </w:p>
    <w:p>
      <w:pPr>
        <w:pStyle w:val="973"/>
        <w:ind w:firstLine="0"/>
        <w:jc w:val="center"/>
        <w:spacing w:before="0" w:after="0" w:line="360" w:lineRule="auto"/>
        <w:rPr>
          <w:sz w:val="28"/>
          <w:szCs w:val="21"/>
        </w:rPr>
      </w:pPr>
      <w:r/>
      <w:bookmarkStart w:id="28" w:name="_Toc16205"/>
      <w:r/>
      <w:bookmarkStart w:id="29" w:name="_Toc369077559"/>
      <w:r/>
      <w:bookmarkStart w:id="30" w:name="_Toc9578"/>
      <w:r/>
      <w:bookmarkStart w:id="31" w:name="_Toc387526374"/>
      <w:r/>
      <w:bookmarkStart w:id="32" w:name="_Toc3882"/>
      <w:r/>
      <w:bookmarkStart w:id="33" w:name="_Toc30406"/>
      <w:r/>
      <w:bookmarkStart w:id="34" w:name="_Toc387526282"/>
      <w:r/>
      <w:bookmarkStart w:id="35" w:name="_Toc387526178"/>
      <w:r>
        <w:rPr>
          <w:rFonts w:hint="eastAsia"/>
          <w:sz w:val="28"/>
          <w:szCs w:val="21"/>
        </w:rPr>
        <w:t xml:space="preserve">投标人须知前附表</w:t>
      </w:r>
      <w:bookmarkEnd w:id="28"/>
      <w:r/>
      <w:bookmarkEnd w:id="29"/>
      <w:r/>
      <w:bookmarkEnd w:id="30"/>
      <w:r/>
      <w:bookmarkEnd w:id="31"/>
      <w:r/>
      <w:bookmarkEnd w:id="32"/>
      <w:r/>
      <w:bookmarkEnd w:id="33"/>
      <w:r/>
      <w:bookmarkEnd w:id="34"/>
      <w:r/>
      <w:bookmarkEnd w:id="35"/>
      <w:r>
        <w:rPr>
          <w:sz w:val="28"/>
          <w:szCs w:val="21"/>
        </w:rPr>
      </w:r>
      <w:r/>
    </w:p>
    <w:tbl>
      <w:tblPr>
        <w:tblW w:w="9321"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68"/>
        <w:gridCol w:w="5618"/>
      </w:tblGrid>
      <w:tr>
        <w:trPr>
          <w:trHeight w:val="530"/>
        </w:trPr>
        <w:tc>
          <w:tcPr>
            <w:tcW w:w="1135" w:type="dxa"/>
            <w:vAlign w:val="center"/>
            <w:textDirection w:val="lrTb"/>
            <w:noWrap w:val="false"/>
          </w:tcPr>
          <w:p>
            <w:pPr>
              <w:pStyle w:val="720"/>
              <w:jc w:val="center"/>
              <w:spacing w:line="360" w:lineRule="atLeast"/>
              <w:rPr>
                <w:rFonts w:ascii="宋体" w:hAnsi="宋体" w:eastAsia="宋体" w:cs="宋体"/>
                <w:b/>
                <w:bCs/>
              </w:rPr>
            </w:pPr>
            <w:r>
              <w:rPr>
                <w:rFonts w:hint="eastAsia" w:ascii="宋体" w:hAnsi="宋体" w:eastAsia="宋体" w:cs="宋体"/>
                <w:b/>
                <w:bCs/>
              </w:rPr>
              <w:t xml:space="preserve">条款号</w:t>
            </w:r>
            <w:r>
              <w:rPr>
                <w:rFonts w:ascii="宋体" w:hAnsi="宋体" w:eastAsia="宋体" w:cs="宋体"/>
                <w:b/>
                <w:bCs/>
              </w:rPr>
            </w:r>
            <w:r/>
          </w:p>
        </w:tc>
        <w:tc>
          <w:tcPr>
            <w:tcW w:w="2568" w:type="dxa"/>
            <w:vAlign w:val="center"/>
            <w:textDirection w:val="lrTb"/>
            <w:noWrap w:val="false"/>
          </w:tcPr>
          <w:p>
            <w:pPr>
              <w:pStyle w:val="720"/>
              <w:jc w:val="center"/>
              <w:spacing w:line="360" w:lineRule="atLeast"/>
              <w:rPr>
                <w:rFonts w:ascii="宋体" w:hAnsi="宋体" w:eastAsia="宋体" w:cs="宋体"/>
                <w:b/>
                <w:bCs/>
              </w:rPr>
            </w:pPr>
            <w:r>
              <w:rPr>
                <w:rFonts w:hint="eastAsia" w:ascii="宋体" w:hAnsi="宋体" w:eastAsia="宋体" w:cs="宋体"/>
                <w:b/>
                <w:bCs/>
              </w:rPr>
              <w:t xml:space="preserve">条款名称</w:t>
            </w:r>
            <w:r>
              <w:rPr>
                <w:rFonts w:ascii="宋体" w:hAnsi="宋体" w:eastAsia="宋体" w:cs="宋体"/>
                <w:b/>
                <w:bCs/>
              </w:rPr>
            </w:r>
            <w:r/>
          </w:p>
        </w:tc>
        <w:tc>
          <w:tcPr>
            <w:tcW w:w="5618" w:type="dxa"/>
            <w:vAlign w:val="center"/>
            <w:textDirection w:val="lrTb"/>
            <w:noWrap w:val="false"/>
          </w:tcPr>
          <w:p>
            <w:pPr>
              <w:pStyle w:val="720"/>
              <w:jc w:val="center"/>
              <w:spacing w:line="360" w:lineRule="atLeast"/>
              <w:rPr>
                <w:rFonts w:ascii="宋体" w:hAnsi="宋体" w:eastAsia="宋体" w:cs="宋体"/>
                <w:b/>
                <w:bCs/>
              </w:rPr>
            </w:pPr>
            <w:r>
              <w:rPr>
                <w:rFonts w:hint="eastAsia" w:ascii="宋体" w:hAnsi="宋体" w:eastAsia="宋体" w:cs="宋体"/>
                <w:b/>
                <w:bCs/>
              </w:rPr>
              <w:t xml:space="preserve">编列内容</w:t>
            </w:r>
            <w:r>
              <w:rPr>
                <w:rFonts w:ascii="宋体" w:hAnsi="宋体" w:eastAsia="宋体" w:cs="宋体"/>
                <w:b/>
                <w:bCs/>
              </w:rPr>
            </w:r>
            <w:r/>
          </w:p>
        </w:tc>
      </w:tr>
      <w:tr>
        <w:trPr>
          <w:trHeight w:val="747"/>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1.1.2</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采购人</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名称：靖江市人民医院</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地  址：靖江市中洲路28号</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联系人：陈先生</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电话：</w:t>
            </w:r>
            <w:r>
              <w:rPr>
                <w:rFonts w:hint="eastAsia" w:ascii="宋体" w:hAnsi="宋体" w:eastAsia="宋体" w:cs="宋体"/>
                <w:lang w:val="zh-CN"/>
              </w:rPr>
              <w:t xml:space="preserve">0523-</w:t>
            </w:r>
            <w:r>
              <w:rPr>
                <w:rFonts w:hint="eastAsia" w:ascii="宋体" w:hAnsi="宋体" w:eastAsia="宋体" w:cs="宋体"/>
              </w:rPr>
              <w:t xml:space="preserve">84995905</w:t>
            </w:r>
            <w:r>
              <w:rPr>
                <w:rFonts w:ascii="宋体" w:hAnsi="宋体" w:eastAsia="宋体" w:cs="宋体"/>
              </w:rPr>
            </w:r>
            <w:r/>
          </w:p>
        </w:tc>
      </w:tr>
      <w:tr>
        <w:trPr>
          <w:trHeight w:val="747"/>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1.1.3</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采购代理机构</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名称：江苏智汇锡建工程项目管理有限公司</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地址：靖江市晨阳社区22幢-9号</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联 系 人：闻先生</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联系方式：13809011110</w:t>
            </w:r>
            <w:r>
              <w:rPr>
                <w:rFonts w:ascii="宋体" w:hAnsi="宋体" w:eastAsia="宋体" w:cs="宋体"/>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1.1.4</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项目名称</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靖江市人民医院数据中心机房升级改造基础环境集成实施服务项目</w:t>
            </w:r>
            <w:r>
              <w:rPr>
                <w:rFonts w:ascii="宋体" w:hAnsi="宋体" w:eastAsia="宋体" w:cs="宋体"/>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1.1.5</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项目编号</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JSZC-321282-JSZH-G2026-0096    </w:t>
            </w:r>
            <w:r>
              <w:rPr>
                <w:rFonts w:ascii="宋体" w:hAnsi="宋体" w:eastAsia="宋体" w:cs="宋体"/>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1.1.6</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政府采购品目</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u w:val="single"/>
              </w:rPr>
              <w:t xml:space="preserve">C16020100基础环境集成实施服务</w:t>
            </w:r>
            <w:r>
              <w:rPr>
                <w:rFonts w:ascii="宋体" w:hAnsi="宋体" w:eastAsia="宋体" w:cs="宋体"/>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1.1.7</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采购预算</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u w:val="single"/>
              </w:rPr>
              <w:t xml:space="preserve">390</w:t>
            </w:r>
            <w:r>
              <w:rPr>
                <w:rFonts w:hint="eastAsia" w:ascii="宋体" w:hAnsi="宋体" w:eastAsia="宋体" w:cs="宋体"/>
              </w:rPr>
              <w:t xml:space="preserve">万元</w:t>
            </w:r>
            <w:r>
              <w:rPr>
                <w:rFonts w:ascii="宋体" w:hAnsi="宋体" w:eastAsia="宋体" w:cs="宋体"/>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1.1.8</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最高限价</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u w:val="single"/>
              </w:rPr>
            </w:pPr>
            <w:r>
              <w:rPr>
                <w:rFonts w:hint="eastAsia" w:ascii="宋体" w:hAnsi="宋体" w:eastAsia="宋体" w:cs="宋体"/>
                <w:u w:val="single"/>
              </w:rPr>
              <w:t xml:space="preserve">387</w:t>
            </w:r>
            <w:r>
              <w:rPr>
                <w:rFonts w:hint="eastAsia" w:ascii="宋体" w:hAnsi="宋体" w:eastAsia="宋体" w:cs="宋体"/>
              </w:rPr>
              <w:t xml:space="preserve">万元</w:t>
            </w:r>
            <w:r>
              <w:rPr>
                <w:rFonts w:ascii="宋体" w:hAnsi="宋体" w:eastAsia="宋体" w:cs="宋体"/>
                <w:u w:val="single"/>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1.1.9</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是否接受进口</w:t>
            </w:r>
            <w:r>
              <w:rPr>
                <w:rFonts w:ascii="宋体" w:hAnsi="宋体" w:eastAsia="宋体" w:cs="宋体"/>
              </w:rPr>
            </w:r>
            <w:r/>
          </w:p>
          <w:p>
            <w:pPr>
              <w:pStyle w:val="720"/>
              <w:jc w:val="center"/>
              <w:spacing w:line="360" w:lineRule="atLeast"/>
              <w:rPr>
                <w:rFonts w:ascii="宋体" w:hAnsi="宋体" w:eastAsia="宋体" w:cs="宋体"/>
              </w:rPr>
            </w:pPr>
            <w:r>
              <w:rPr>
                <w:rFonts w:hint="eastAsia" w:ascii="宋体" w:hAnsi="宋体" w:eastAsia="宋体" w:cs="宋体"/>
              </w:rPr>
              <w:t xml:space="preserve">产品投标</w:t>
            </w:r>
            <w:r>
              <w:rPr>
                <w:rFonts w:ascii="宋体" w:hAnsi="宋体" w:eastAsia="宋体" w:cs="宋体"/>
              </w:rPr>
            </w:r>
            <w:r/>
          </w:p>
        </w:tc>
        <w:tc>
          <w:tcPr>
            <w:tcW w:w="5618" w:type="dxa"/>
            <w:vAlign w:val="center"/>
            <w:textDirection w:val="lrTb"/>
            <w:noWrap w:val="false"/>
          </w:tcPr>
          <w:p>
            <w:pPr>
              <w:pStyle w:val="720"/>
              <w:ind w:right="113"/>
              <w:jc w:val="left"/>
              <w:spacing w:line="360" w:lineRule="atLeast"/>
              <w:rPr>
                <w:rFonts w:ascii="宋体" w:hAnsi="宋体" w:eastAsia="宋体" w:cs="宋体"/>
              </w:rPr>
            </w:pPr>
            <w:r>
              <w:rPr>
                <w:rFonts w:ascii="宋体" w:hAnsi="宋体" w:cs="宋体"/>
                <w:color w:val="000000"/>
              </w:rPr>
              <w:t xml:space="preserve">□</w:t>
            </w:r>
            <w:r>
              <w:rPr>
                <w:rFonts w:hint="eastAsia" w:ascii="宋体" w:hAnsi="宋体" w:eastAsia="宋体" w:cs="宋体"/>
              </w:rPr>
              <w:t xml:space="preserve">接受</w:t>
            </w:r>
            <w:r>
              <w:rPr>
                <w:rFonts w:ascii="宋体" w:hAnsi="宋体" w:eastAsia="宋体" w:cs="宋体"/>
              </w:rPr>
            </w:r>
            <w:r/>
          </w:p>
          <w:p>
            <w:pPr>
              <w:pStyle w:val="720"/>
              <w:ind w:right="113"/>
              <w:jc w:val="left"/>
              <w:spacing w:line="360" w:lineRule="atLeast"/>
              <w:rPr>
                <w:rFonts w:ascii="宋体" w:hAnsi="宋体" w:eastAsia="宋体" w:cs="宋体"/>
                <w:u w:val="single"/>
              </w:rPr>
            </w:pPr>
            <w:r>
              <w:rPr>
                <w:rFonts w:ascii="宋体" w:hAnsi="宋体" w:cs="宋体"/>
                <w:color w:val="000000"/>
              </w:rPr>
              <w:t xml:space="preserve">☑不</w:t>
            </w:r>
            <w:r>
              <w:rPr>
                <w:rFonts w:hint="eastAsia" w:ascii="宋体" w:hAnsi="宋体" w:eastAsia="宋体" w:cs="宋体"/>
              </w:rPr>
              <w:t xml:space="preserve">接受</w:t>
            </w:r>
            <w:r>
              <w:rPr>
                <w:rFonts w:ascii="宋体" w:hAnsi="宋体" w:eastAsia="宋体" w:cs="宋体"/>
                <w:u w:val="single"/>
              </w:rPr>
            </w:r>
            <w:r/>
          </w:p>
        </w:tc>
      </w:tr>
      <w:tr>
        <w:trPr>
          <w:trHeight w:val="1117"/>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1.2.1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合同履行期限</w:t>
            </w:r>
            <w:r>
              <w:rPr>
                <w:rFonts w:ascii="宋体" w:hAnsi="宋体" w:eastAsia="宋体" w:cs="宋体"/>
              </w:rPr>
            </w:r>
            <w:r/>
          </w:p>
        </w:tc>
        <w:tc>
          <w:tcPr>
            <w:tcW w:w="5618" w:type="dxa"/>
            <w:vAlign w:val="center"/>
            <w:textDirection w:val="lrTb"/>
            <w:noWrap w:val="false"/>
          </w:tcPr>
          <w:p>
            <w:pPr>
              <w:pStyle w:val="720"/>
              <w:jc w:val="left"/>
              <w:spacing w:line="360" w:lineRule="atLeast"/>
              <w:rPr>
                <w:rFonts w:ascii="宋体" w:hAnsi="宋体" w:eastAsia="宋体" w:cs="宋体"/>
                <w:bCs/>
              </w:rPr>
            </w:pPr>
            <w:r>
              <w:rPr>
                <w:rFonts w:hint="eastAsia" w:ascii="宋体" w:hAnsi="宋体" w:eastAsia="宋体" w:cs="宋体"/>
                <w:bCs/>
              </w:rPr>
              <w:t xml:space="preserve">合同履行期限：</w:t>
            </w:r>
            <w:r>
              <w:rPr>
                <w:rFonts w:hint="eastAsia" w:ascii="宋体" w:hAnsi="宋体" w:eastAsia="宋体" w:cs="宋体"/>
                <w:bCs/>
                <w:u w:val="single"/>
              </w:rPr>
              <w:t xml:space="preserve"> 1</w:t>
            </w:r>
            <w:r>
              <w:rPr>
                <w:rFonts w:ascii="宋体" w:hAnsi="宋体" w:eastAsia="宋体" w:cs="宋体"/>
                <w:bCs/>
                <w:u w:val="single"/>
              </w:rPr>
              <w:t xml:space="preserve">2</w:t>
            </w:r>
            <w:r>
              <w:rPr>
                <w:rFonts w:hint="eastAsia" w:ascii="宋体" w:hAnsi="宋体" w:eastAsia="宋体" w:cs="宋体"/>
                <w:bCs/>
                <w:u w:val="single"/>
              </w:rPr>
              <w:t xml:space="preserve">0 </w:t>
            </w:r>
            <w:r>
              <w:rPr>
                <w:rFonts w:hint="eastAsia" w:ascii="宋体" w:hAnsi="宋体" w:eastAsia="宋体" w:cs="宋体"/>
                <w:bCs/>
              </w:rPr>
              <w:t xml:space="preserve">日历天。具体要求：</w:t>
            </w:r>
            <w:r>
              <w:rPr>
                <w:rFonts w:ascii="宋体" w:hAnsi="宋体" w:eastAsia="宋体" w:cs="宋体"/>
                <w:bCs/>
              </w:rPr>
            </w:r>
            <w:r/>
          </w:p>
          <w:p>
            <w:pPr>
              <w:pStyle w:val="720"/>
              <w:jc w:val="left"/>
              <w:spacing w:line="360" w:lineRule="atLeast"/>
              <w:widowControl/>
              <w:rPr>
                <w:rFonts w:ascii="宋体" w:cs="宋体"/>
                <w:u w:val="single"/>
              </w:rPr>
            </w:pPr>
            <w:r>
              <w:rPr>
                <w:rFonts w:hint="eastAsia" w:ascii="宋体" w:cs="宋体"/>
                <w:u w:val="single"/>
              </w:rPr>
              <w:t xml:space="preserve">(1)项目初验时间：合同签订后75日历天完成本项目集成实施服务并取得B级机房认证评测报告</w:t>
            </w:r>
            <w:r>
              <w:rPr>
                <w:rFonts w:hint="eastAsia" w:ascii="宋体" w:cs="宋体"/>
                <w:u w:val="single"/>
              </w:rPr>
              <w:t xml:space="preserve">；</w:t>
            </w:r>
            <w:r>
              <w:rPr>
                <w:rFonts w:ascii="宋体" w:cs="宋体"/>
                <w:u w:val="single"/>
              </w:rPr>
            </w:r>
            <w:r/>
          </w:p>
          <w:p>
            <w:pPr>
              <w:pStyle w:val="720"/>
              <w:jc w:val="left"/>
              <w:spacing w:line="360" w:lineRule="atLeast"/>
              <w:widowControl/>
              <w:rPr>
                <w:rFonts w:ascii="宋体" w:hAnsi="宋体" w:eastAsia="宋体" w:cs="宋体"/>
                <w:b/>
              </w:rPr>
            </w:pPr>
            <w:r>
              <w:rPr>
                <w:rFonts w:hint="eastAsia" w:ascii="宋体" w:cs="宋体"/>
                <w:u w:val="single"/>
              </w:rPr>
              <w:t xml:space="preserve">(2)项目交付时间：合同签订后1</w:t>
            </w:r>
            <w:r>
              <w:rPr>
                <w:rFonts w:ascii="宋体" w:cs="宋体"/>
                <w:u w:val="single"/>
              </w:rPr>
              <w:t xml:space="preserve">2</w:t>
            </w:r>
            <w:r>
              <w:rPr>
                <w:rFonts w:hint="eastAsia" w:ascii="宋体" w:cs="宋体"/>
                <w:u w:val="single"/>
              </w:rPr>
              <w:t xml:space="preserve">0日历天通过中国质量认证中心（CQC）的现场核验并取得B级《数据中心场地基础设施认证证书》。</w:t>
            </w:r>
            <w:r>
              <w:rPr>
                <w:rFonts w:ascii="宋体" w:hAnsi="宋体" w:eastAsia="宋体" w:cs="宋体"/>
                <w:b/>
              </w:rPr>
            </w:r>
            <w:r/>
          </w:p>
        </w:tc>
      </w:tr>
      <w:tr>
        <w:trPr>
          <w:trHeight w:val="455"/>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1.2.2</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验收要求</w:t>
            </w:r>
            <w:r>
              <w:rPr>
                <w:rFonts w:ascii="宋体" w:hAnsi="宋体" w:eastAsia="宋体" w:cs="宋体"/>
              </w:rPr>
            </w:r>
            <w:r/>
          </w:p>
        </w:tc>
        <w:tc>
          <w:tcPr>
            <w:tcW w:w="5618" w:type="dxa"/>
            <w:vAlign w:val="center"/>
            <w:textDirection w:val="lrTb"/>
            <w:noWrap w:val="false"/>
          </w:tcPr>
          <w:p>
            <w:pPr>
              <w:pStyle w:val="720"/>
              <w:jc w:val="left"/>
              <w:spacing w:line="360" w:lineRule="atLeast"/>
              <w:rPr>
                <w:rFonts w:ascii="宋体" w:hAnsi="宋体" w:eastAsia="宋体" w:cs="宋体"/>
                <w:bCs/>
                <w:u w:val="single"/>
              </w:rPr>
            </w:pPr>
            <w:r>
              <w:rPr>
                <w:rFonts w:hint="eastAsia" w:ascii="宋体" w:hAnsi="宋体" w:eastAsia="宋体" w:cs="宋体"/>
                <w:bCs/>
                <w:u w:val="single"/>
              </w:rPr>
              <w:t xml:space="preserve">符合国家有关标准和招标文件要求。</w:t>
            </w:r>
            <w:r>
              <w:rPr>
                <w:rFonts w:ascii="宋体" w:hAnsi="宋体" w:eastAsia="宋体" w:cs="宋体"/>
                <w:bCs/>
                <w:u w:val="single"/>
              </w:rPr>
            </w:r>
            <w:r/>
          </w:p>
        </w:tc>
      </w:tr>
      <w:tr>
        <w:trPr>
          <w:trHeight w:val="465"/>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1.3.1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本项目标的所属行业</w:t>
            </w:r>
            <w:r>
              <w:rPr>
                <w:rFonts w:ascii="宋体" w:hAnsi="宋体" w:eastAsia="宋体" w:cs="宋体"/>
              </w:rPr>
            </w:r>
            <w:r/>
          </w:p>
        </w:tc>
        <w:tc>
          <w:tcPr>
            <w:tcW w:w="5618" w:type="dxa"/>
            <w:vAlign w:val="center"/>
            <w:textDirection w:val="lrTb"/>
            <w:noWrap w:val="false"/>
          </w:tcPr>
          <w:p>
            <w:pPr>
              <w:pStyle w:val="720"/>
              <w:jc w:val="left"/>
              <w:spacing w:line="360" w:lineRule="atLeast"/>
              <w:rPr>
                <w:rFonts w:ascii="宋体" w:hAnsi="宋体" w:eastAsia="宋体" w:cs="宋体"/>
                <w:bCs/>
              </w:rPr>
            </w:pPr>
            <w:r>
              <w:rPr>
                <w:rFonts w:hint="eastAsia" w:ascii="宋体" w:hAnsi="宋体" w:eastAsia="宋体" w:cs="宋体"/>
                <w:bCs/>
                <w:u w:val="single"/>
              </w:rPr>
              <w:t xml:space="preserve">软件和信息技术服务业</w:t>
            </w:r>
            <w:r>
              <w:rPr>
                <w:rFonts w:hint="eastAsia" w:ascii="宋体" w:hAnsi="宋体" w:eastAsia="宋体" w:cs="宋体"/>
                <w:bCs/>
              </w:rPr>
              <w:t xml:space="preserve"> </w:t>
            </w:r>
            <w:r>
              <w:rPr>
                <w:rFonts w:ascii="宋体" w:hAnsi="宋体" w:eastAsia="宋体" w:cs="宋体"/>
                <w:bCs/>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1.4.1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基本资格条件</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见《第一章招标公告》</w:t>
            </w:r>
            <w:r>
              <w:rPr>
                <w:rFonts w:ascii="宋体" w:hAnsi="宋体" w:eastAsia="宋体" w:cs="宋体"/>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1.4.2</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特定资格条件</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见《第一章招标公告》</w:t>
            </w:r>
            <w:r>
              <w:rPr>
                <w:rFonts w:ascii="宋体" w:hAnsi="宋体" w:eastAsia="宋体" w:cs="宋体"/>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1.4.4</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是否接受联合体投标</w:t>
            </w:r>
            <w:r>
              <w:rPr>
                <w:rFonts w:ascii="宋体" w:hAnsi="宋体" w:eastAsia="宋体" w:cs="宋体"/>
              </w:rPr>
            </w:r>
            <w:r/>
          </w:p>
        </w:tc>
        <w:tc>
          <w:tcPr>
            <w:tcW w:w="5618" w:type="dxa"/>
            <w:vAlign w:val="center"/>
            <w:textDirection w:val="lrTb"/>
            <w:noWrap w:val="false"/>
          </w:tcPr>
          <w:p>
            <w:pPr>
              <w:pStyle w:val="720"/>
              <w:ind w:right="113"/>
              <w:jc w:val="left"/>
              <w:spacing w:line="360" w:lineRule="atLeast"/>
              <w:rPr>
                <w:rFonts w:ascii="宋体" w:hAnsi="宋体" w:eastAsia="宋体" w:cs="宋体"/>
              </w:rPr>
            </w:pPr>
            <w:r>
              <w:rPr>
                <w:rFonts w:ascii="宋体" w:hAnsi="宋体" w:cs="宋体"/>
                <w:color w:val="000000"/>
              </w:rPr>
              <w:t xml:space="preserve">□</w:t>
            </w:r>
            <w:r>
              <w:rPr>
                <w:rFonts w:hint="eastAsia" w:ascii="宋体" w:hAnsi="宋体" w:eastAsia="宋体" w:cs="宋体"/>
              </w:rPr>
              <w:t xml:space="preserve">接受</w:t>
            </w:r>
            <w:r>
              <w:rPr>
                <w:rFonts w:ascii="宋体" w:hAnsi="宋体" w:eastAsia="宋体" w:cs="宋体"/>
              </w:rPr>
            </w:r>
            <w:r/>
          </w:p>
          <w:p>
            <w:pPr>
              <w:pStyle w:val="720"/>
              <w:ind w:right="113"/>
              <w:jc w:val="left"/>
              <w:spacing w:line="360" w:lineRule="atLeast"/>
              <w:rPr>
                <w:rFonts w:ascii="宋体" w:hAnsi="宋体" w:eastAsia="宋体" w:cs="宋体"/>
              </w:rPr>
            </w:pPr>
            <w:r>
              <w:rPr>
                <w:rFonts w:hint="eastAsia" w:ascii="宋体" w:hAnsi="宋体" w:eastAsia="宋体" w:cs="宋体"/>
              </w:rPr>
              <w:t xml:space="preserve">☑不接受</w:t>
            </w:r>
            <w:r>
              <w:rPr>
                <w:rFonts w:ascii="宋体" w:hAnsi="宋体" w:eastAsia="宋体" w:cs="宋体"/>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2.2.1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投标人提交</w:t>
            </w:r>
            <w:r>
              <w:rPr>
                <w:rFonts w:ascii="宋体" w:hAnsi="宋体" w:eastAsia="宋体" w:cs="宋体"/>
              </w:rPr>
            </w:r>
            <w:r/>
          </w:p>
          <w:p>
            <w:pPr>
              <w:pStyle w:val="720"/>
              <w:jc w:val="center"/>
              <w:spacing w:line="360" w:lineRule="atLeast"/>
              <w:rPr>
                <w:rFonts w:ascii="宋体" w:hAnsi="宋体" w:eastAsia="宋体" w:cs="宋体"/>
              </w:rPr>
            </w:pPr>
            <w:r>
              <w:rPr>
                <w:rFonts w:hint="eastAsia" w:ascii="宋体" w:hAnsi="宋体" w:eastAsia="宋体" w:cs="宋体"/>
              </w:rPr>
              <w:t xml:space="preserve">询问截止时间</w:t>
            </w:r>
            <w:r>
              <w:rPr>
                <w:rFonts w:ascii="宋体" w:hAnsi="宋体" w:eastAsia="宋体" w:cs="宋体"/>
              </w:rPr>
            </w:r>
            <w:r/>
          </w:p>
        </w:tc>
        <w:tc>
          <w:tcPr>
            <w:tcW w:w="5618" w:type="dxa"/>
            <w:vAlign w:val="center"/>
            <w:textDirection w:val="lrTb"/>
            <w:noWrap w:val="false"/>
          </w:tcPr>
          <w:p>
            <w:pPr>
              <w:pStyle w:val="720"/>
              <w:ind w:right="113"/>
              <w:jc w:val="left"/>
              <w:spacing w:line="360" w:lineRule="atLeast"/>
              <w:rPr>
                <w:rFonts w:ascii="宋体" w:hAnsi="宋体" w:eastAsia="宋体" w:cs="宋体"/>
                <w:b/>
              </w:rPr>
            </w:pPr>
            <w:r>
              <w:rPr>
                <w:rFonts w:hint="eastAsia" w:ascii="宋体" w:hAnsi="宋体" w:eastAsia="宋体" w:cs="宋体"/>
              </w:rPr>
              <w:t xml:space="preserve">采购公告届满后2个工作日内</w:t>
            </w:r>
            <w:r>
              <w:rPr>
                <w:rFonts w:ascii="宋体" w:hAnsi="宋体" w:eastAsia="宋体" w:cs="宋体"/>
                <w:b/>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3.3.1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投标有效期</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bCs/>
              </w:rPr>
            </w:pPr>
            <w:r>
              <w:rPr>
                <w:rFonts w:hint="eastAsia" w:ascii="宋体" w:hAnsi="宋体" w:eastAsia="宋体" w:cs="宋体"/>
                <w:bCs/>
                <w:u w:val="single"/>
              </w:rPr>
              <w:t xml:space="preserve"> 90 </w:t>
            </w:r>
            <w:r>
              <w:rPr>
                <w:rFonts w:hint="eastAsia" w:ascii="宋体" w:hAnsi="宋体" w:eastAsia="宋体" w:cs="宋体"/>
                <w:bCs/>
                <w:lang w:val="zh-CN"/>
              </w:rPr>
              <w:t xml:space="preserve">日（从投标截止日起算）</w:t>
            </w:r>
            <w:r>
              <w:rPr>
                <w:rFonts w:ascii="宋体" w:hAnsi="宋体" w:eastAsia="宋体" w:cs="宋体"/>
                <w:bCs/>
              </w:rPr>
            </w:r>
            <w:r/>
          </w:p>
        </w:tc>
      </w:tr>
      <w:tr>
        <w:trPr>
          <w:trHeight w:val="388"/>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4.1.1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投标文件提交</w:t>
            </w:r>
            <w:r>
              <w:rPr>
                <w:rFonts w:ascii="宋体" w:hAnsi="宋体" w:eastAsia="宋体" w:cs="宋体"/>
              </w:rPr>
            </w:r>
            <w:r/>
          </w:p>
          <w:p>
            <w:pPr>
              <w:pStyle w:val="720"/>
              <w:jc w:val="center"/>
              <w:spacing w:line="360" w:lineRule="atLeast"/>
              <w:rPr>
                <w:rFonts w:ascii="宋体" w:hAnsi="宋体" w:eastAsia="宋体" w:cs="宋体"/>
              </w:rPr>
            </w:pPr>
            <w:r>
              <w:rPr>
                <w:rFonts w:hint="eastAsia" w:ascii="宋体" w:hAnsi="宋体" w:eastAsia="宋体" w:cs="宋体"/>
              </w:rPr>
              <w:t xml:space="preserve">截止时间</w:t>
            </w:r>
            <w:r>
              <w:rPr>
                <w:rFonts w:ascii="宋体" w:hAnsi="宋体" w:eastAsia="宋体" w:cs="宋体"/>
              </w:rPr>
            </w:r>
            <w:r/>
          </w:p>
        </w:tc>
        <w:tc>
          <w:tcPr>
            <w:tcW w:w="5618" w:type="dxa"/>
            <w:vAlign w:val="center"/>
            <w:textDirection w:val="lrTb"/>
            <w:noWrap w:val="false"/>
          </w:tcPr>
          <w:p>
            <w:pPr>
              <w:pStyle w:val="720"/>
              <w:jc w:val="left"/>
              <w:spacing w:line="360" w:lineRule="atLeast"/>
              <w:rPr>
                <w:rFonts w:ascii="宋体" w:hAnsi="宋体" w:eastAsia="宋体" w:cs="宋体"/>
                <w:bCs/>
              </w:rPr>
            </w:pPr>
            <w:r>
              <w:rPr>
                <w:rFonts w:hint="eastAsia" w:ascii="宋体" w:hAnsi="宋体" w:eastAsia="宋体" w:cs="宋体"/>
                <w:bCs/>
              </w:rPr>
              <w:t xml:space="preserve">时间：</w:t>
            </w:r>
            <w:r>
              <w:rPr>
                <w:rFonts w:hint="eastAsia" w:ascii="宋体" w:hAnsi="宋体" w:eastAsia="宋体" w:cs="宋体"/>
                <w:bCs/>
                <w:u w:val="single"/>
              </w:rPr>
              <w:t xml:space="preserve">见招标公告</w:t>
            </w:r>
            <w:r>
              <w:rPr>
                <w:rFonts w:ascii="宋体" w:hAnsi="宋体" w:eastAsia="宋体" w:cs="宋体"/>
                <w:bCs/>
              </w:rPr>
            </w:r>
            <w:r/>
          </w:p>
          <w:p>
            <w:pPr>
              <w:pStyle w:val="720"/>
              <w:jc w:val="left"/>
              <w:spacing w:line="360" w:lineRule="atLeast"/>
              <w:rPr>
                <w:rFonts w:ascii="宋体" w:hAnsi="宋体" w:eastAsia="宋体" w:cs="宋体"/>
                <w:bCs/>
              </w:rPr>
            </w:pPr>
            <w:r>
              <w:rPr>
                <w:rFonts w:hint="eastAsia" w:ascii="宋体" w:hAnsi="宋体" w:eastAsia="宋体" w:cs="宋体"/>
                <w:bCs/>
              </w:rPr>
              <w:t xml:space="preserve">地点：</w:t>
            </w:r>
            <w:r>
              <w:rPr>
                <w:rFonts w:hint="eastAsia" w:ascii="宋体" w:hAnsi="宋体" w:eastAsia="宋体" w:cs="宋体"/>
                <w:bCs/>
                <w:u w:val="single"/>
              </w:rPr>
              <w:t xml:space="preserve">见招标公告</w:t>
            </w:r>
            <w:r>
              <w:rPr>
                <w:rFonts w:ascii="宋体" w:hAnsi="宋体" w:eastAsia="宋体" w:cs="宋体"/>
                <w:bCs/>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5.1.1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开标时间和地点</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bCs/>
                <w:u w:val="single"/>
              </w:rPr>
            </w:pPr>
            <w:r>
              <w:rPr>
                <w:rFonts w:hint="eastAsia" w:ascii="宋体" w:hAnsi="宋体" w:eastAsia="宋体" w:cs="宋体"/>
                <w:bCs/>
              </w:rPr>
              <w:t xml:space="preserve">开标时间：</w:t>
            </w:r>
            <w:r>
              <w:rPr>
                <w:rFonts w:hint="eastAsia" w:ascii="宋体" w:hAnsi="宋体" w:eastAsia="宋体" w:cs="宋体"/>
                <w:bCs/>
                <w:u w:val="single"/>
              </w:rPr>
              <w:t xml:space="preserve">同投标文件提交截止时间</w:t>
            </w:r>
            <w:r>
              <w:rPr>
                <w:rFonts w:ascii="宋体" w:hAnsi="宋体" w:eastAsia="宋体" w:cs="宋体"/>
                <w:bCs/>
                <w:u w:val="single"/>
              </w:rPr>
            </w:r>
            <w:r/>
          </w:p>
          <w:p>
            <w:pPr>
              <w:pStyle w:val="720"/>
              <w:spacing w:line="360" w:lineRule="atLeast"/>
              <w:rPr>
                <w:rFonts w:ascii="宋体" w:hAnsi="宋体" w:eastAsia="宋体" w:cs="宋体"/>
                <w:bCs/>
              </w:rPr>
            </w:pPr>
            <w:r>
              <w:rPr>
                <w:rFonts w:hint="eastAsia" w:ascii="宋体" w:hAnsi="宋体" w:eastAsia="宋体" w:cs="宋体"/>
                <w:bCs/>
              </w:rPr>
              <w:t xml:space="preserve">开标地点：</w:t>
            </w:r>
            <w:r>
              <w:rPr>
                <w:rFonts w:hint="eastAsia" w:ascii="宋体" w:hAnsi="宋体" w:eastAsia="宋体" w:cs="宋体"/>
                <w:bCs/>
                <w:u w:val="single"/>
              </w:rPr>
              <w:t xml:space="preserve"> 同投标文件提交地点 </w:t>
            </w:r>
            <w:r>
              <w:rPr>
                <w:rFonts w:ascii="宋体" w:hAnsi="宋体" w:eastAsia="宋体" w:cs="宋体"/>
                <w:bCs/>
              </w:rPr>
            </w:r>
            <w:r/>
          </w:p>
        </w:tc>
      </w:tr>
      <w:tr>
        <w:trPr>
          <w:trHeight w:val="19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5.1.3</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解密时长</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bCs/>
              </w:rPr>
            </w:pPr>
            <w:r>
              <w:rPr>
                <w:rFonts w:hint="eastAsia" w:ascii="宋体" w:hAnsi="宋体" w:eastAsia="宋体" w:cs="宋体"/>
                <w:bCs/>
                <w:u w:val="single"/>
              </w:rPr>
              <w:t xml:space="preserve">30</w:t>
            </w:r>
            <w:r>
              <w:rPr>
                <w:rFonts w:hint="eastAsia" w:ascii="宋体" w:hAnsi="宋体" w:eastAsia="宋体" w:cs="宋体"/>
                <w:bCs/>
              </w:rPr>
              <w:t xml:space="preserve">分钟</w:t>
            </w:r>
            <w:r>
              <w:rPr>
                <w:rFonts w:ascii="宋体" w:hAnsi="宋体" w:eastAsia="宋体" w:cs="宋体"/>
                <w:bCs/>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5.3.1</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评标委员会成员</w:t>
            </w:r>
            <w:r>
              <w:rPr>
                <w:rFonts w:ascii="宋体" w:hAnsi="宋体" w:eastAsia="宋体" w:cs="宋体"/>
              </w:rPr>
            </w:r>
            <w:r/>
          </w:p>
        </w:tc>
        <w:tc>
          <w:tcPr>
            <w:tcW w:w="5618" w:type="dxa"/>
            <w:vAlign w:val="center"/>
            <w:textDirection w:val="lrTb"/>
            <w:noWrap w:val="false"/>
          </w:tcPr>
          <w:p>
            <w:pPr>
              <w:pStyle w:val="720"/>
              <w:jc w:val="left"/>
              <w:spacing w:line="360" w:lineRule="atLeast"/>
              <w:rPr>
                <w:rFonts w:ascii="宋体" w:hAnsi="宋体" w:eastAsia="宋体" w:cs="宋体"/>
                <w:bCs/>
              </w:rPr>
            </w:pPr>
            <w:r>
              <w:rPr>
                <w:rFonts w:hint="eastAsia" w:ascii="宋体" w:hAnsi="宋体" w:eastAsia="宋体" w:cs="宋体"/>
                <w:bCs/>
              </w:rPr>
              <w:t xml:space="preserve">评标委员会人数：</w:t>
            </w:r>
            <w:r>
              <w:rPr>
                <w:rFonts w:hint="eastAsia" w:ascii="宋体" w:hAnsi="宋体" w:eastAsia="宋体" w:cs="宋体"/>
                <w:bCs/>
                <w:u w:val="single"/>
              </w:rPr>
              <w:t xml:space="preserve"> 5 </w:t>
            </w:r>
            <w:r>
              <w:rPr>
                <w:rFonts w:hint="eastAsia" w:ascii="宋体" w:hAnsi="宋体" w:eastAsia="宋体" w:cs="宋体"/>
                <w:bCs/>
              </w:rPr>
              <w:t xml:space="preserve">人；其中：采购人代表</w:t>
            </w:r>
            <w:r>
              <w:rPr>
                <w:rFonts w:hint="eastAsia" w:ascii="宋体" w:hAnsi="宋体" w:eastAsia="宋体" w:cs="宋体"/>
                <w:bCs/>
                <w:u w:val="single"/>
              </w:rPr>
              <w:t xml:space="preserve"> 1 </w:t>
            </w:r>
            <w:r>
              <w:rPr>
                <w:rFonts w:hint="eastAsia" w:ascii="宋体" w:hAnsi="宋体" w:eastAsia="宋体" w:cs="宋体"/>
                <w:bCs/>
              </w:rPr>
              <w:t xml:space="preserve">人，评审专家</w:t>
            </w:r>
            <w:r>
              <w:rPr>
                <w:rFonts w:hint="eastAsia" w:ascii="宋体" w:hAnsi="宋体" w:eastAsia="宋体" w:cs="宋体"/>
                <w:bCs/>
                <w:u w:val="single"/>
              </w:rPr>
              <w:t xml:space="preserve"> 4 </w:t>
            </w:r>
            <w:r>
              <w:rPr>
                <w:rFonts w:hint="eastAsia" w:ascii="宋体" w:hAnsi="宋体" w:eastAsia="宋体" w:cs="宋体"/>
                <w:bCs/>
              </w:rPr>
              <w:t xml:space="preserve">人；或</w:t>
            </w:r>
            <w:r>
              <w:rPr>
                <w:rFonts w:hint="eastAsia" w:ascii="宋体" w:hAnsi="宋体" w:eastAsia="宋体" w:cs="宋体"/>
                <w:bCs/>
                <w:u w:val="single"/>
              </w:rPr>
              <w:t xml:space="preserve">全部由评审专家</w:t>
            </w:r>
            <w:r>
              <w:rPr>
                <w:rFonts w:hint="eastAsia" w:ascii="宋体" w:hAnsi="宋体" w:eastAsia="宋体" w:cs="宋体"/>
                <w:bCs/>
              </w:rPr>
              <w:t xml:space="preserve">组成。 </w:t>
            </w:r>
            <w:r>
              <w:rPr>
                <w:rFonts w:ascii="宋体" w:hAnsi="宋体" w:eastAsia="宋体" w:cs="宋体"/>
                <w:bCs/>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5.4.2</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评标委员会确定的</w:t>
            </w:r>
            <w:r>
              <w:rPr>
                <w:rFonts w:ascii="宋体" w:hAnsi="宋体" w:eastAsia="宋体" w:cs="宋体"/>
              </w:rPr>
            </w:r>
            <w:r/>
          </w:p>
          <w:p>
            <w:pPr>
              <w:pStyle w:val="720"/>
              <w:jc w:val="center"/>
              <w:spacing w:line="360" w:lineRule="atLeast"/>
              <w:rPr>
                <w:rFonts w:ascii="宋体" w:hAnsi="宋体" w:eastAsia="宋体" w:cs="宋体"/>
              </w:rPr>
            </w:pPr>
            <w:r>
              <w:rPr>
                <w:rFonts w:hint="eastAsia" w:ascii="宋体" w:hAnsi="宋体" w:eastAsia="宋体" w:cs="宋体"/>
              </w:rPr>
              <w:t xml:space="preserve">中标候选人名单数量</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bCs/>
              </w:rPr>
            </w:pPr>
            <w:r>
              <w:rPr>
                <w:rFonts w:hint="eastAsia" w:ascii="宋体" w:hAnsi="宋体" w:eastAsia="宋体" w:cs="宋体"/>
                <w:bCs/>
                <w:u w:val="single"/>
              </w:rPr>
              <w:t xml:space="preserve"> 3 </w:t>
            </w:r>
            <w:r>
              <w:rPr>
                <w:rFonts w:hint="eastAsia" w:ascii="宋体" w:hAnsi="宋体" w:eastAsia="宋体" w:cs="宋体"/>
                <w:bCs/>
              </w:rPr>
              <w:t xml:space="preserve">名</w:t>
            </w:r>
            <w:r>
              <w:rPr>
                <w:rFonts w:ascii="宋体" w:hAnsi="宋体" w:eastAsia="宋体" w:cs="宋体"/>
                <w:bCs/>
              </w:rPr>
            </w:r>
            <w:r/>
          </w:p>
        </w:tc>
      </w:tr>
      <w:tr>
        <w:trPr>
          <w:trHeight w:val="376"/>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6.1.2</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是否委托评标委员会</w:t>
            </w:r>
            <w:r>
              <w:rPr>
                <w:rFonts w:ascii="宋体" w:hAnsi="宋体" w:eastAsia="宋体" w:cs="宋体"/>
              </w:rPr>
            </w:r>
            <w:r/>
          </w:p>
          <w:p>
            <w:pPr>
              <w:pStyle w:val="720"/>
              <w:jc w:val="center"/>
              <w:spacing w:line="360" w:lineRule="atLeast"/>
              <w:rPr>
                <w:rFonts w:ascii="宋体" w:hAnsi="宋体" w:eastAsia="宋体" w:cs="宋体"/>
              </w:rPr>
            </w:pPr>
            <w:r>
              <w:rPr>
                <w:rFonts w:hint="eastAsia" w:ascii="宋体" w:hAnsi="宋体" w:eastAsia="宋体" w:cs="宋体"/>
              </w:rPr>
              <w:t xml:space="preserve">直接确定中标人</w:t>
            </w:r>
            <w:r>
              <w:rPr>
                <w:rFonts w:ascii="宋体" w:hAnsi="宋体" w:eastAsia="宋体" w:cs="宋体"/>
              </w:rPr>
            </w:r>
            <w:r/>
          </w:p>
        </w:tc>
        <w:tc>
          <w:tcPr>
            <w:tcW w:w="5618" w:type="dxa"/>
            <w:vAlign w:val="center"/>
            <w:textDirection w:val="lrTb"/>
            <w:noWrap w:val="false"/>
          </w:tcPr>
          <w:p>
            <w:pPr>
              <w:pStyle w:val="720"/>
              <w:ind w:right="113"/>
              <w:jc w:val="left"/>
              <w:spacing w:line="360" w:lineRule="atLeast"/>
              <w:rPr>
                <w:bCs/>
              </w:rPr>
            </w:pPr>
            <w:r>
              <w:rPr>
                <w:rFonts w:ascii="宋体" w:hAnsi="宋体" w:cs="宋体"/>
                <w:bCs/>
                <w:color w:val="000000"/>
              </w:rPr>
              <w:t xml:space="preserve">□</w:t>
            </w:r>
            <w:r>
              <w:rPr>
                <w:rFonts w:hint="eastAsia" w:ascii="宋体" w:hAnsi="宋体" w:eastAsia="宋体" w:cs="宋体"/>
                <w:bCs/>
              </w:rPr>
              <w:t xml:space="preserve">是</w:t>
            </w:r>
            <w:r>
              <w:rPr>
                <w:bCs/>
              </w:rPr>
            </w:r>
            <w:r/>
          </w:p>
          <w:p>
            <w:pPr>
              <w:pStyle w:val="720"/>
              <w:ind w:right="113"/>
              <w:spacing w:line="360" w:lineRule="atLeast"/>
              <w:rPr>
                <w:rFonts w:ascii="宋体" w:hAnsi="宋体" w:eastAsia="宋体" w:cs="宋体"/>
                <w:bCs/>
              </w:rPr>
            </w:pPr>
            <w:r>
              <w:rPr>
                <w:rFonts w:hint="eastAsia" w:ascii="宋体" w:hAnsi="宋体" w:eastAsia="宋体" w:cs="宋体"/>
                <w:bCs/>
              </w:rPr>
              <w:t xml:space="preserve">☑否</w:t>
            </w:r>
            <w:r>
              <w:rPr>
                <w:rFonts w:ascii="宋体" w:hAnsi="宋体" w:eastAsia="宋体" w:cs="宋体"/>
                <w:bCs/>
              </w:rPr>
            </w:r>
            <w:r/>
          </w:p>
        </w:tc>
      </w:tr>
      <w:tr>
        <w:trPr>
          <w:trHeight w:val="561"/>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7.2.8</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投诉受理部门</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bCs/>
              </w:rPr>
            </w:pPr>
            <w:r>
              <w:rPr>
                <w:rFonts w:hint="eastAsia" w:ascii="宋体" w:hAnsi="宋体" w:eastAsia="宋体" w:cs="宋体"/>
                <w:bCs/>
              </w:rPr>
              <w:t xml:space="preserve">名称：靖江市财政局</w:t>
            </w:r>
            <w:r>
              <w:rPr>
                <w:rFonts w:ascii="宋体" w:hAnsi="宋体" w:eastAsia="宋体" w:cs="宋体"/>
                <w:bCs/>
              </w:rPr>
            </w:r>
            <w:r/>
          </w:p>
          <w:p>
            <w:pPr>
              <w:pStyle w:val="720"/>
              <w:spacing w:line="360" w:lineRule="atLeast"/>
              <w:rPr>
                <w:rFonts w:ascii="宋体" w:hAnsi="宋体" w:eastAsia="宋体" w:cs="宋体"/>
                <w:bCs/>
              </w:rPr>
            </w:pPr>
            <w:r>
              <w:rPr>
                <w:rFonts w:hint="eastAsia" w:ascii="宋体" w:hAnsi="宋体" w:eastAsia="宋体" w:cs="宋体"/>
                <w:bCs/>
              </w:rPr>
              <w:t xml:space="preserve">地址：靖江市政务服务中心4楼</w:t>
            </w:r>
            <w:r>
              <w:rPr>
                <w:rFonts w:ascii="宋体" w:hAnsi="宋体" w:eastAsia="宋体" w:cs="宋体"/>
                <w:bCs/>
              </w:rPr>
            </w:r>
            <w:r/>
          </w:p>
          <w:p>
            <w:pPr>
              <w:pStyle w:val="720"/>
              <w:spacing w:line="360" w:lineRule="atLeast"/>
              <w:rPr>
                <w:rFonts w:ascii="宋体" w:hAnsi="宋体" w:eastAsia="宋体" w:cs="宋体"/>
                <w:bCs/>
              </w:rPr>
            </w:pPr>
            <w:r>
              <w:rPr>
                <w:rFonts w:hint="eastAsia" w:ascii="宋体" w:hAnsi="宋体" w:eastAsia="宋体" w:cs="宋体"/>
                <w:bCs/>
              </w:rPr>
              <w:t xml:space="preserve">电话：0523-89182489</w:t>
            </w:r>
            <w:r>
              <w:rPr>
                <w:rFonts w:ascii="宋体" w:hAnsi="宋体" w:eastAsia="宋体" w:cs="宋体"/>
                <w:bCs/>
              </w:rPr>
            </w:r>
            <w:r/>
          </w:p>
        </w:tc>
      </w:tr>
      <w:tr>
        <w:trPr>
          <w:trHeight w:val="1857"/>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8.1.3</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踏勘现场</w:t>
            </w:r>
            <w:r>
              <w:rPr>
                <w:rFonts w:ascii="宋体" w:hAnsi="宋体" w:eastAsia="宋体" w:cs="宋体"/>
              </w:rPr>
            </w:r>
            <w:r/>
          </w:p>
        </w:tc>
        <w:tc>
          <w:tcPr>
            <w:tcW w:w="5618" w:type="dxa"/>
            <w:vAlign w:val="center"/>
            <w:textDirection w:val="lrTb"/>
            <w:noWrap w:val="false"/>
          </w:tcPr>
          <w:p>
            <w:pPr>
              <w:pStyle w:val="720"/>
              <w:numPr>
                <w:ilvl w:val="0"/>
                <w:numId w:val="2"/>
              </w:numPr>
              <w:spacing w:line="360" w:lineRule="atLeast"/>
              <w:rPr>
                <w:rFonts w:ascii="宋体" w:hAnsi="宋体" w:eastAsia="宋体" w:cs="宋体"/>
              </w:rPr>
            </w:pPr>
            <w:r>
              <w:rPr>
                <w:rFonts w:hint="eastAsia" w:ascii="宋体" w:hAnsi="宋体" w:eastAsia="宋体" w:cs="宋体"/>
              </w:rPr>
              <w:t xml:space="preserve">本项目招标人不统一组织踏勘现场，投标人可自行踏勘项目现场，招标人提供配合，踏勘产生的一切费用、安全责任均由投标人自行承担。</w:t>
            </w:r>
            <w:r>
              <w:rPr>
                <w:rFonts w:ascii="宋体" w:hAnsi="宋体" w:eastAsia="宋体" w:cs="宋体"/>
              </w:rPr>
            </w:r>
            <w:r/>
          </w:p>
          <w:p>
            <w:pPr>
              <w:pStyle w:val="720"/>
              <w:numPr>
                <w:ilvl w:val="0"/>
                <w:numId w:val="2"/>
              </w:numPr>
              <w:spacing w:line="360" w:lineRule="atLeast"/>
              <w:rPr>
                <w:rFonts w:ascii="宋体" w:hAnsi="宋体" w:eastAsia="宋体" w:cs="宋体"/>
              </w:rPr>
            </w:pPr>
            <w:r>
              <w:rPr>
                <w:rFonts w:hint="eastAsia" w:ascii="宋体" w:hAnsi="宋体" w:eastAsia="宋体" w:cs="宋体"/>
              </w:rPr>
              <w:t xml:space="preserve">投标人自行踏勘现场时，应充分了解项目场地、复核图纸、识别图纸与现场实际条件存在的冲突、管线保护、夜间割接施工等各类风险。因踏勘不充分、图纸理解不到位、漏项、少算产生的一切风险、费用，均由中标人自行承担。任何因忽视或误解现场情况而导致的索赔、工期增加或其他风险均由投标人自行负责。</w:t>
            </w:r>
            <w:r>
              <w:rPr>
                <w:rFonts w:ascii="宋体" w:hAnsi="宋体" w:eastAsia="宋体" w:cs="宋体"/>
              </w:rPr>
            </w:r>
            <w:r/>
          </w:p>
        </w:tc>
      </w:tr>
      <w:tr>
        <w:trPr>
          <w:trHeight w:val="1337"/>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8.1.4</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报价要求</w:t>
            </w:r>
            <w:r>
              <w:rPr>
                <w:rFonts w:ascii="宋体" w:hAnsi="宋体" w:eastAsia="宋体" w:cs="宋体"/>
              </w:rPr>
            </w:r>
            <w:r/>
          </w:p>
        </w:tc>
        <w:tc>
          <w:tcPr>
            <w:tcW w:w="5618" w:type="dxa"/>
            <w:vAlign w:val="center"/>
            <w:textDirection w:val="lrTb"/>
            <w:noWrap w:val="false"/>
          </w:tcPr>
          <w:p>
            <w:pPr>
              <w:pStyle w:val="720"/>
              <w:numPr>
                <w:ilvl w:val="0"/>
                <w:numId w:val="3"/>
              </w:numPr>
              <w:spacing w:line="360" w:lineRule="atLeast"/>
              <w:rPr>
                <w:rFonts w:ascii="宋体" w:hAnsi="宋体" w:eastAsia="宋体" w:cs="宋体"/>
              </w:rPr>
            </w:pPr>
            <w:r>
              <w:rPr>
                <w:rFonts w:hint="eastAsia" w:ascii="宋体" w:hAnsi="宋体" w:eastAsia="宋体" w:cs="宋体"/>
              </w:rPr>
              <w:t xml:space="preserve">本项目为基础环境集成实施服务项目，投标人报价应包含完成本项目全部建设内容，实现系统全部功能，直至通过最终验收、取得 B 级机房认证及质保期服务所必需的一切费用。</w:t>
            </w:r>
            <w:r>
              <w:rPr>
                <w:rFonts w:ascii="宋体" w:hAnsi="宋体" w:eastAsia="宋体" w:cs="宋体"/>
              </w:rPr>
            </w:r>
            <w:r/>
          </w:p>
          <w:p>
            <w:pPr>
              <w:pStyle w:val="720"/>
              <w:numPr>
                <w:ilvl w:val="0"/>
                <w:numId w:val="3"/>
              </w:numPr>
              <w:spacing w:line="360" w:lineRule="atLeast"/>
              <w:rPr>
                <w:rFonts w:ascii="宋体" w:hAnsi="宋体" w:eastAsia="宋体" w:cs="宋体"/>
              </w:rPr>
            </w:pPr>
            <w:r>
              <w:rPr>
                <w:rFonts w:hint="eastAsia" w:ascii="宋体" w:hAnsi="宋体" w:eastAsia="宋体" w:cs="宋体"/>
              </w:rPr>
              <w:t xml:space="preserve">本项目施工、安装和集成过程中所必需但项目需求清单未列明的其他费用（包括但不限于：零配件、辅材、机柜附件、理线件、跳线、光纤熔接耗材、接头、扎带、标识标签、专用工具、调试软件与工具、测试耗材、场内二次搬运、吊装、开孔、开槽、孔洞封堵、</w:t>
            </w:r>
            <w:r>
              <w:rPr>
                <w:rFonts w:hint="eastAsia" w:ascii="宋体" w:hAnsi="宋体" w:eastAsia="宋体" w:cs="宋体"/>
              </w:rPr>
              <w:t xml:space="preserve">墙面地面修补、等电位接地、线缆端接、原有管线 / 设备保护性拆除、成品保护、单点调试、跨系统联调测试、系统试运行保障、竣工图纸、竣工资料编制、软件配置、策略调试、B级机房认证所需检测、资料编制、整改、评审、取证、现场交叉施工配合、施工垃圾清运、人员及设备保险、夜间 / 节假日施工、第三方测评配合、验收配合、使用培训、质保期备品备件等全部相关费用）。投标人应充分踏勘现场，充分理解现场环境、原有信息化基础设施条件、多系统交叉集成约束，须将上述所有费用全部分摊至相应清单子目中综合报价，采购人不再另行支付任何费用。</w:t>
            </w:r>
            <w:r>
              <w:rPr>
                <w:rFonts w:ascii="宋体" w:hAnsi="宋体" w:eastAsia="宋体" w:cs="宋体"/>
              </w:rPr>
            </w:r>
            <w:r/>
          </w:p>
          <w:p>
            <w:pPr>
              <w:pStyle w:val="720"/>
              <w:numPr>
                <w:ilvl w:val="0"/>
                <w:numId w:val="3"/>
              </w:numPr>
              <w:spacing w:line="360" w:lineRule="atLeast"/>
              <w:rPr>
                <w:rFonts w:ascii="宋体" w:hAnsi="宋体" w:eastAsia="宋体" w:cs="宋体"/>
              </w:rPr>
            </w:pPr>
            <w:r>
              <w:rPr>
                <w:rFonts w:hint="eastAsia" w:ascii="宋体" w:hAnsi="宋体" w:eastAsia="宋体" w:cs="宋体"/>
              </w:rPr>
              <w:t xml:space="preserve">实施过程中，凡因投标人深化设计疏漏、现场勘查不到位、集成方案缺陷、产品配套缺失、施工工艺错误、对系统接口需求理解偏差、机房建设指标不满足 B 级机房认证要求等非采购人原因发生的变更、工程量增加、额外整改工作，合同总价不予调整，相关工作由投标人无偿完成。</w:t>
            </w:r>
            <w:r>
              <w:rPr>
                <w:rFonts w:ascii="宋体" w:hAnsi="宋体" w:eastAsia="宋体" w:cs="宋体"/>
              </w:rPr>
            </w:r>
            <w:r/>
          </w:p>
          <w:p>
            <w:pPr>
              <w:pStyle w:val="720"/>
              <w:numPr>
                <w:ilvl w:val="0"/>
                <w:numId w:val="3"/>
              </w:numPr>
              <w:spacing w:line="360" w:lineRule="atLeast"/>
              <w:rPr>
                <w:rFonts w:ascii="宋体" w:hAnsi="宋体" w:eastAsia="宋体" w:cs="宋体"/>
              </w:rPr>
            </w:pPr>
            <w:r>
              <w:rPr>
                <w:rFonts w:hint="eastAsia" w:ascii="宋体" w:hAnsi="宋体" w:eastAsia="宋体" w:cs="宋体"/>
              </w:rPr>
              <w:t xml:space="preserve">采购人负责提供现场集成用水、用电接驳点，用水、用电费用由采购人承担。中标人负责接驳点之后的支管、电缆、计量表具安装、运维、拆除、安全防护等全部工作及费用，包含在合同总价内。中标人应按采购人要求安装计量水表、电表，配合采购人抄表核查；因中标人违规使用、私拉乱接造成的损耗、罚款、安全责任由中标人承担。生活区用水用电由中标人自行承担。</w:t>
            </w:r>
            <w:r>
              <w:rPr>
                <w:rFonts w:ascii="宋体" w:hAnsi="宋体" w:eastAsia="宋体" w:cs="宋体"/>
              </w:rPr>
            </w:r>
            <w:r/>
          </w:p>
          <w:p>
            <w:pPr>
              <w:pStyle w:val="720"/>
              <w:numPr>
                <w:ilvl w:val="0"/>
                <w:numId w:val="3"/>
              </w:numPr>
              <w:spacing w:line="360" w:lineRule="atLeast"/>
              <w:rPr>
                <w:rFonts w:ascii="宋体" w:hAnsi="宋体" w:eastAsia="宋体" w:cs="宋体"/>
              </w:rPr>
            </w:pPr>
            <w:r>
              <w:rPr>
                <w:rFonts w:hint="eastAsia" w:ascii="宋体" w:hAnsi="宋体" w:eastAsia="宋体" w:cs="宋体"/>
              </w:rPr>
              <w:t xml:space="preserve">投标人报价视为已充分考虑各子系统接口、协议兼容性、机房各项指标满足 B 级机房认证要求，保证系统整体互联互通，达到招标文件、B 级机房认证规范及验收标准，不得以清单未列明、接口调试工作量超出预期、机房指标不达标需整改等理由提出追加费用。</w:t>
            </w:r>
            <w:r>
              <w:rPr>
                <w:rFonts w:ascii="宋体" w:hAnsi="宋体" w:eastAsia="宋体" w:cs="宋体"/>
              </w:rPr>
            </w:r>
            <w:r/>
          </w:p>
        </w:tc>
      </w:tr>
      <w:tr>
        <w:trPr>
          <w:trHeight w:val="1302"/>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8.1.5</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招标代理费</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（1）根据采购人与招标代理人签订的《委托代理合同》的约定，本项目招标代理服务费用由中标人承担。标准为苏政采协[2024]20号文标准的60%。</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（2）招标代理费不单独列项，无论投标人如何报价，均视为包含在投标人投标报价中。</w:t>
            </w:r>
            <w:r>
              <w:rPr>
                <w:rFonts w:ascii="宋体" w:hAnsi="宋体" w:eastAsia="宋体" w:cs="宋体"/>
              </w:rPr>
            </w:r>
            <w:r/>
          </w:p>
          <w:p>
            <w:pPr>
              <w:pStyle w:val="720"/>
              <w:spacing w:line="360" w:lineRule="atLeast"/>
              <w:rPr>
                <w:rFonts w:ascii="宋体" w:hAnsi="宋体" w:eastAsia="宋体" w:cs="宋体"/>
              </w:rPr>
            </w:pPr>
            <w:r>
              <w:rPr>
                <w:rFonts w:hint="eastAsia" w:ascii="宋体" w:hAnsi="宋体" w:eastAsia="宋体" w:cs="宋体"/>
              </w:rPr>
              <w:t xml:space="preserve">（3）中标人在领取中标通知书前需将招标代理费用一次性支付给招标代理人。</w:t>
            </w:r>
            <w:r>
              <w:rPr>
                <w:rFonts w:ascii="宋体" w:hAnsi="宋体" w:eastAsia="宋体" w:cs="宋体"/>
              </w:rPr>
            </w:r>
            <w:r/>
          </w:p>
        </w:tc>
      </w:tr>
      <w:tr>
        <w:trPr>
          <w:trHeight w:val="960"/>
        </w:trPr>
        <w:tc>
          <w:tcPr>
            <w:tcW w:w="1135"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8.1.6</w:t>
            </w:r>
            <w:r>
              <w:rPr>
                <w:rFonts w:ascii="宋体" w:hAnsi="宋体" w:eastAsia="宋体" w:cs="宋体"/>
              </w:rPr>
            </w:r>
            <w:r/>
          </w:p>
        </w:tc>
        <w:tc>
          <w:tcPr>
            <w:tcW w:w="2568" w:type="dxa"/>
            <w:vAlign w:val="center"/>
            <w:textDirection w:val="lrTb"/>
            <w:noWrap w:val="false"/>
          </w:tcPr>
          <w:p>
            <w:pPr>
              <w:pStyle w:val="720"/>
              <w:jc w:val="center"/>
              <w:spacing w:line="360" w:lineRule="atLeast"/>
              <w:rPr>
                <w:rFonts w:ascii="宋体" w:hAnsi="宋体" w:eastAsia="宋体" w:cs="宋体"/>
              </w:rPr>
            </w:pPr>
            <w:r>
              <w:rPr>
                <w:rFonts w:hint="eastAsia" w:ascii="宋体" w:hAnsi="宋体" w:eastAsia="宋体" w:cs="宋体"/>
              </w:rPr>
              <w:t xml:space="preserve">其他说明</w:t>
            </w:r>
            <w:r>
              <w:rPr>
                <w:rFonts w:ascii="宋体" w:hAnsi="宋体" w:eastAsia="宋体" w:cs="宋体"/>
              </w:rPr>
            </w:r>
            <w:r/>
          </w:p>
        </w:tc>
        <w:tc>
          <w:tcPr>
            <w:tcW w:w="5618" w:type="dxa"/>
            <w:vAlign w:val="center"/>
            <w:textDirection w:val="lrTb"/>
            <w:noWrap w:val="false"/>
          </w:tcPr>
          <w:p>
            <w:pPr>
              <w:pStyle w:val="720"/>
              <w:spacing w:line="360" w:lineRule="atLeast"/>
              <w:rPr>
                <w:rFonts w:ascii="宋体" w:hAnsi="宋体" w:eastAsia="宋体" w:cs="宋体"/>
              </w:rPr>
            </w:pPr>
            <w:r>
              <w:rPr>
                <w:rFonts w:hint="eastAsia" w:ascii="宋体" w:hAnsi="宋体" w:eastAsia="宋体" w:cs="宋体"/>
              </w:rPr>
              <w:t xml:space="preserve">构成本招标文件的各组成文件互为解释、互为说明。对同一事项、同一技术指标（参数、功能）存在多处表述不一致时，取其中标准、要求较高的条款执行；不同条款对同一指标（参数、功能）存在差异，投标人投标响应及后续履约均应按最高标准满足。</w:t>
            </w:r>
            <w:r>
              <w:rPr>
                <w:rFonts w:ascii="宋体" w:hAnsi="宋体" w:eastAsia="宋体" w:cs="宋体"/>
              </w:rPr>
            </w:r>
            <w:r/>
          </w:p>
        </w:tc>
      </w:tr>
    </w:tbl>
    <w:p>
      <w:pPr>
        <w:pStyle w:val="720"/>
        <w:jc w:val="center"/>
        <w:spacing w:line="440" w:lineRule="exact"/>
        <w:rPr>
          <w:rFonts w:ascii="黑体" w:hAnsi="黑体" w:eastAsia="黑体" w:cs="黑体"/>
          <w:sz w:val="32"/>
          <w:szCs w:val="32"/>
        </w:rPr>
      </w:pPr>
      <w:r>
        <w:rPr>
          <w:rFonts w:ascii="黑体" w:hAnsi="黑体" w:eastAsia="黑体" w:cs="黑体"/>
          <w:sz w:val="32"/>
          <w:szCs w:val="32"/>
        </w:rPr>
      </w:r>
      <w:r/>
    </w:p>
    <w:p>
      <w:pPr>
        <w:pStyle w:val="720"/>
        <w:jc w:val="center"/>
        <w:spacing w:line="440" w:lineRule="exact"/>
        <w:rPr>
          <w:rFonts w:ascii="黑体" w:hAnsi="黑体" w:eastAsia="黑体" w:cs="黑体"/>
          <w:sz w:val="32"/>
          <w:szCs w:val="32"/>
        </w:rPr>
      </w:pPr>
      <w:r>
        <w:rPr>
          <w:rFonts w:ascii="黑体" w:hAnsi="黑体" w:eastAsia="黑体" w:cs="黑体"/>
          <w:sz w:val="32"/>
          <w:szCs w:val="32"/>
        </w:rPr>
      </w:r>
      <w:r/>
    </w:p>
    <w:p>
      <w:pPr>
        <w:pStyle w:val="720"/>
        <w:jc w:val="center"/>
        <w:spacing w:line="440" w:lineRule="exact"/>
        <w:rPr>
          <w:rFonts w:ascii="黑体" w:hAnsi="黑体" w:eastAsia="黑体" w:cs="黑体"/>
          <w:sz w:val="32"/>
          <w:szCs w:val="32"/>
        </w:rPr>
      </w:pPr>
      <w:r>
        <w:rPr>
          <w:rFonts w:ascii="黑体" w:hAnsi="黑体" w:eastAsia="黑体" w:cs="黑体"/>
          <w:sz w:val="32"/>
          <w:szCs w:val="32"/>
        </w:rPr>
      </w:r>
      <w:r/>
    </w:p>
    <w:p>
      <w:pPr>
        <w:pStyle w:val="973"/>
        <w:ind w:firstLine="0"/>
        <w:jc w:val="center"/>
        <w:spacing w:before="0" w:after="0" w:line="360" w:lineRule="auto"/>
        <w:rPr>
          <w:sz w:val="28"/>
          <w:szCs w:val="21"/>
        </w:rPr>
      </w:pPr>
      <w:r/>
      <w:bookmarkStart w:id="36" w:name="_Toc17914"/>
      <w:r>
        <w:rPr>
          <w:rFonts w:hint="eastAsia"/>
          <w:sz w:val="28"/>
          <w:szCs w:val="21"/>
        </w:rPr>
        <w:t xml:space="preserve">投标人须知</w:t>
      </w:r>
      <w:bookmarkEnd w:id="36"/>
      <w:r>
        <w:rPr>
          <w:sz w:val="28"/>
          <w:szCs w:val="21"/>
        </w:rPr>
      </w:r>
      <w:r/>
    </w:p>
    <w:p>
      <w:pPr>
        <w:pStyle w:val="973"/>
        <w:ind w:firstLine="0"/>
        <w:jc w:val="center"/>
        <w:spacing w:before="0" w:after="0" w:line="360" w:lineRule="auto"/>
        <w:rPr>
          <w:rFonts w:ascii="宋体" w:hAnsi="宋体" w:cs="宋体"/>
          <w:b/>
          <w:bCs/>
          <w:sz w:val="22"/>
          <w:szCs w:val="24"/>
        </w:rPr>
      </w:pPr>
      <w:r/>
      <w:bookmarkStart w:id="37" w:name="_Toc17481"/>
      <w:r>
        <w:rPr>
          <w:rFonts w:hint="eastAsia" w:ascii="宋体" w:hAnsi="宋体" w:eastAsia="宋体" w:cs="宋体"/>
          <w:b/>
          <w:bCs/>
        </w:rPr>
        <w:t xml:space="preserve">一、总 则</w:t>
      </w:r>
      <w:bookmarkEnd w:id="37"/>
      <w:r>
        <w:rPr>
          <w:rFonts w:ascii="宋体" w:hAnsi="宋体" w:cs="宋体"/>
          <w:b/>
          <w:bCs/>
          <w:sz w:val="22"/>
          <w:szCs w:val="24"/>
        </w:rPr>
      </w:r>
      <w:r/>
    </w:p>
    <w:p>
      <w:pPr>
        <w:pStyle w:val="973"/>
        <w:ind w:firstLine="482"/>
        <w:spacing w:before="0" w:after="0" w:line="440" w:lineRule="exact"/>
        <w:rPr>
          <w:b/>
          <w:bCs/>
          <w:sz w:val="22"/>
          <w:szCs w:val="22"/>
        </w:rPr>
      </w:pPr>
      <w:r/>
      <w:bookmarkStart w:id="38" w:name="_Toc387526180"/>
      <w:r/>
      <w:bookmarkStart w:id="39" w:name="_Toc22408"/>
      <w:r/>
      <w:bookmarkStart w:id="40" w:name="_Toc3640"/>
      <w:r/>
      <w:bookmarkStart w:id="41" w:name="_Toc387526284"/>
      <w:r/>
      <w:bookmarkStart w:id="42" w:name="_Toc387526376"/>
      <w:r/>
      <w:bookmarkStart w:id="43" w:name="_Toc8645"/>
      <w:r/>
      <w:bookmarkStart w:id="44" w:name="_Toc5365"/>
      <w:r/>
      <w:bookmarkStart w:id="45" w:name="_Toc3629"/>
      <w:r/>
      <w:bookmarkStart w:id="46" w:name="_Toc29754"/>
      <w:r/>
      <w:bookmarkStart w:id="47" w:name="_Toc9727"/>
      <w:r>
        <w:rPr>
          <w:rFonts w:hint="eastAsia"/>
          <w:b/>
          <w:bCs/>
          <w:sz w:val="22"/>
          <w:szCs w:val="22"/>
        </w:rPr>
        <w:t xml:space="preserve">1.1 项目概况</w:t>
      </w:r>
      <w:bookmarkEnd w:id="38"/>
      <w:r/>
      <w:bookmarkEnd w:id="39"/>
      <w:r/>
      <w:bookmarkEnd w:id="40"/>
      <w:r/>
      <w:bookmarkEnd w:id="41"/>
      <w:r/>
      <w:bookmarkEnd w:id="42"/>
      <w:r/>
      <w:bookmarkEnd w:id="43"/>
      <w:r/>
      <w:bookmarkEnd w:id="44"/>
      <w:r/>
      <w:bookmarkEnd w:id="45"/>
      <w:r/>
      <w:bookmarkEnd w:id="46"/>
      <w:r/>
      <w:bookmarkEnd w:id="47"/>
      <w:r>
        <w:rPr>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1.1.1 根据《中华人民共和国政府采购法》、《中华人民共和国政府采购法实施条例》等有关法律、法规和规章的规定，现对本项目进行公开招标采购。</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1.1.2采购人：见投标人须知前附表。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1.1.3采购代理机构：见投标人须知前附表。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1.1.4项目名称：见投标人须知前附表。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1.1.5项目编号：见投标人须知前附表。</w:t>
      </w:r>
      <w:bookmarkStart w:id="48" w:name="_Toc30088"/>
      <w:r/>
      <w:bookmarkStart w:id="49" w:name="_Toc10060"/>
      <w:r/>
      <w:bookmarkStart w:id="50" w:name="_Toc12333"/>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1.1.6项目采购品目：见投标人须知前附表。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1.1.7采购预算：见投标人须知前附表。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1.1.8最高限价：见投标人须知前附表</w:t>
      </w:r>
      <w:r>
        <w:rPr>
          <w:rFonts w:ascii="宋体" w:hAnsi="宋体" w:eastAsia="宋体" w:cs="宋体"/>
        </w:rPr>
      </w:r>
      <w:r/>
    </w:p>
    <w:p>
      <w:pPr>
        <w:pStyle w:val="720"/>
        <w:ind w:firstLine="482"/>
        <w:spacing w:line="400" w:lineRule="exact"/>
        <w:rPr>
          <w:rFonts w:ascii="华文中宋" w:hAnsi="华文中宋" w:eastAsia="华文中宋" w:cs="宋体"/>
        </w:rPr>
      </w:pPr>
      <w:r>
        <w:rPr>
          <w:rFonts w:hint="eastAsia" w:ascii="宋体" w:hAnsi="宋体" w:eastAsia="宋体" w:cs="宋体"/>
        </w:rPr>
        <w:t xml:space="preserve">1.1.9是否接受进口产品投标：见投标人须知前附表。进口产品是指通过中国海关报关验放进入中国境内且产自关境外的产品。</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51" w:name="_Toc15732"/>
      <w:r>
        <w:rPr>
          <w:rFonts w:hint="eastAsia" w:ascii="黑体" w:cs="黑体"/>
          <w:b/>
          <w:bCs/>
          <w:sz w:val="22"/>
          <w:szCs w:val="22"/>
        </w:rPr>
        <w:t xml:space="preserve">1.2</w:t>
      </w:r>
      <w:bookmarkEnd w:id="48"/>
      <w:r/>
      <w:bookmarkEnd w:id="49"/>
      <w:r/>
      <w:bookmarkEnd w:id="50"/>
      <w:r>
        <w:rPr>
          <w:rFonts w:hint="eastAsia" w:ascii="黑体" w:cs="黑体"/>
          <w:b/>
          <w:bCs/>
          <w:sz w:val="22"/>
          <w:szCs w:val="22"/>
        </w:rPr>
        <w:t xml:space="preserve">合同履行期限及验收要求</w:t>
      </w:r>
      <w:bookmarkEnd w:id="51"/>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1.2.1合同履行期限：见投标须知前附表。</w:t>
      </w:r>
      <w:r>
        <w:rPr>
          <w:rFonts w:ascii="宋体" w:hAnsi="宋体" w:eastAsia="宋体" w:cs="宋体"/>
        </w:rPr>
      </w:r>
      <w:r/>
    </w:p>
    <w:p>
      <w:pPr>
        <w:pStyle w:val="720"/>
        <w:ind w:firstLine="482"/>
        <w:spacing w:line="400" w:lineRule="exact"/>
        <w:rPr>
          <w:rFonts w:ascii="华文中宋" w:hAnsi="华文中宋" w:eastAsia="华文中宋" w:cs="宋体"/>
        </w:rPr>
      </w:pPr>
      <w:r>
        <w:rPr>
          <w:rFonts w:hint="eastAsia" w:ascii="宋体" w:hAnsi="宋体" w:eastAsia="宋体" w:cs="宋体"/>
        </w:rPr>
        <w:t xml:space="preserve">1.2.2 验收要求：见投标须知前附表。</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52" w:name="_Toc3620"/>
      <w:r/>
      <w:bookmarkStart w:id="53" w:name="_Toc23392"/>
      <w:r/>
      <w:bookmarkStart w:id="54" w:name="_Toc19315"/>
      <w:r/>
      <w:bookmarkStart w:id="55" w:name="_Toc10223"/>
      <w:r>
        <w:rPr>
          <w:rFonts w:hint="eastAsia" w:ascii="黑体" w:cs="黑体"/>
          <w:b/>
          <w:bCs/>
          <w:sz w:val="22"/>
          <w:szCs w:val="22"/>
        </w:rPr>
        <w:t xml:space="preserve">1.3 本项目所属行业</w:t>
      </w:r>
      <w:bookmarkEnd w:id="52"/>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1.3.1 本项目所属行业：见投标人须知前附表。</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56" w:name="_Toc12395"/>
      <w:r>
        <w:rPr>
          <w:rFonts w:hint="eastAsia" w:ascii="黑体" w:cs="黑体"/>
          <w:b/>
          <w:bCs/>
          <w:sz w:val="22"/>
          <w:szCs w:val="22"/>
        </w:rPr>
        <w:t xml:space="preserve">1.4 投标人的资格条件</w:t>
      </w:r>
      <w:bookmarkEnd w:id="53"/>
      <w:r/>
      <w:bookmarkEnd w:id="54"/>
      <w:r/>
      <w:bookmarkEnd w:id="55"/>
      <w:r/>
      <w:bookmarkEnd w:id="56"/>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1.4.1 参加本次政府采购活动的投标人应当具备的资格条件：见“投标人须知前附表”。</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1.4.2 参加本次政府采购活动的投标人应当具备的特定资格条件：见“投标人须知前附表”。</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1.4.3 投标截止时间当日，投标人有下列情形之一的，不得参加本采购项目招标投标活动：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（1）单位负责人为同一人或者存在直接控股、管理关系的不同投标人；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（2）被各级财政主管部门取消采购项目所在地的投标资格且处于有效期内；</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（3）被责令停业，暂扣或吊销营业执照，或吊销资质证书；</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（4）进入清算程序，或被宣告破产，或其他丧失履约能力的情形；</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（5）在“中国政府采购网(www.ccgp.gov.cn)”中被列入“政府采购严重违法失信行为记录名单》” （由采购人或采购代理机构在资格审查时，通过相关网站查询为准）；</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（6）在“信用中国（http://www.creditchina.gov.cn/）”网站中被列入“失信被执行人名单”或“税收违法黑名单”（由采购人或采购代理机构在资格审查时，通过相关网站查询为准）；</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（7）为采购项目提供整体设计、规范编制或者项目管理、监理、检测等服务的投标人，不得再参加该采购项目的其他采购活动；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（8）法律、法规规定的其他情形。</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1.4.4 本项目是否接受联合体投标：见投标人须知前附表。</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57" w:name="_Toc9211"/>
      <w:r/>
      <w:bookmarkStart w:id="58" w:name="_Toc31106"/>
      <w:r/>
      <w:bookmarkStart w:id="59" w:name="_Toc2634"/>
      <w:r/>
      <w:bookmarkStart w:id="60" w:name="_Toc4763"/>
      <w:r>
        <w:rPr>
          <w:rFonts w:hint="eastAsia" w:ascii="黑体" w:cs="黑体"/>
          <w:b/>
          <w:bCs/>
          <w:sz w:val="22"/>
          <w:szCs w:val="22"/>
        </w:rPr>
        <w:t xml:space="preserve">1.5 投标费用</w:t>
      </w:r>
      <w:bookmarkEnd w:id="57"/>
      <w:r/>
      <w:bookmarkEnd w:id="58"/>
      <w:r/>
      <w:bookmarkEnd w:id="59"/>
      <w:r/>
      <w:bookmarkEnd w:id="60"/>
      <w:r>
        <w:rPr>
          <w:rFonts w:ascii="黑体" w:cs="黑体"/>
          <w:b/>
          <w:bCs/>
          <w:sz w:val="22"/>
          <w:szCs w:val="22"/>
        </w:rPr>
      </w:r>
      <w:r/>
    </w:p>
    <w:p>
      <w:pPr>
        <w:pStyle w:val="720"/>
        <w:ind w:firstLine="480"/>
        <w:spacing w:line="440" w:lineRule="exact"/>
        <w:rPr>
          <w:rFonts w:ascii="华文中宋" w:hAnsi="华文中宋" w:eastAsia="华文中宋" w:cs="宋体"/>
        </w:rPr>
      </w:pPr>
      <w:r>
        <w:rPr>
          <w:rFonts w:hint="eastAsia" w:ascii="宋体" w:hAnsi="宋体" w:eastAsia="宋体" w:cs="宋体"/>
        </w:rPr>
        <w:t xml:space="preserve">投标人应自行承担所有与编写、提交投标文件等有关费用。采购人和采购人代理人在任何情况下均无义务和责任承担这些费用。</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61" w:name="_Toc11299"/>
      <w:r/>
      <w:bookmarkStart w:id="62" w:name="_Toc27420"/>
      <w:r/>
      <w:bookmarkStart w:id="63" w:name="_Toc14340"/>
      <w:r/>
      <w:bookmarkStart w:id="64" w:name="_Toc1959"/>
      <w:r>
        <w:rPr>
          <w:rFonts w:hint="eastAsia" w:ascii="黑体" w:cs="黑体"/>
          <w:b/>
          <w:bCs/>
          <w:sz w:val="22"/>
          <w:szCs w:val="22"/>
        </w:rPr>
        <w:t xml:space="preserve">1.6</w:t>
      </w:r>
      <w:bookmarkEnd w:id="61"/>
      <w:r>
        <w:rPr>
          <w:rFonts w:hint="eastAsia" w:ascii="黑体" w:cs="黑体"/>
          <w:b/>
          <w:bCs/>
          <w:sz w:val="22"/>
          <w:szCs w:val="22"/>
        </w:rPr>
        <w:t xml:space="preserve"> </w:t>
      </w:r>
      <w:bookmarkEnd w:id="62"/>
      <w:r/>
      <w:bookmarkEnd w:id="63"/>
      <w:r>
        <w:rPr>
          <w:rFonts w:hint="eastAsia" w:ascii="黑体" w:cs="黑体"/>
          <w:b/>
          <w:bCs/>
          <w:sz w:val="22"/>
          <w:szCs w:val="22"/>
        </w:rPr>
        <w:t xml:space="preserve">政府采购政策功能落实</w:t>
      </w:r>
      <w:bookmarkEnd w:id="64"/>
      <w:r>
        <w:rPr>
          <w:rFonts w:ascii="黑体" w:cs="黑体"/>
          <w:b/>
          <w:bCs/>
          <w:sz w:val="22"/>
          <w:szCs w:val="22"/>
        </w:rPr>
      </w:r>
      <w:r/>
    </w:p>
    <w:p>
      <w:pPr>
        <w:pStyle w:val="720"/>
        <w:ind w:firstLine="480"/>
        <w:spacing w:line="400" w:lineRule="exact"/>
        <w:rPr>
          <w:rFonts w:ascii="宋体" w:hAnsi="宋体" w:eastAsia="宋体" w:cs="宋体"/>
        </w:rPr>
      </w:pPr>
      <w:r>
        <w:rPr>
          <w:rFonts w:hint="eastAsia" w:ascii="宋体" w:hAnsi="宋体" w:eastAsia="宋体" w:cs="宋体"/>
        </w:rPr>
        <w:t xml:space="preserve">1.6.1 中小企业</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根据《政府采购促进中小企业发展管理办法》（财库〔2020〕46号）、《政府采购促进中小企业发展政策问答》（财政部2021年2月20日）规定，在政府采购活动中，享受中小企业扶持政策的供应商应当满足下列条件：</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a.在货物采购项目中，货物应当由中小企业制造，不对其中涉及的服务的承接商作出要求；</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b.在工程采购项目中，工程应当由中小企业承建，不对其中涉及的货物的制造商和服务的承接商作出要求；</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c.在服务采购项目中，服务的承接商应当为中小企业，不对其中涉及的货物的制造商作出要求。</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（2）采购人、采购代理机构将对符合规定的小微企业报价给予10%的价格扣除，用扣除后的价格参与评审。</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（3）中小企业参加政府采购活动，应当出具符合要求的《中小企业声明函》。否则不得享受相关中小企业扶持政策。</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1.6.2 残疾人福利性单位</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根据《关于促进残疾人就业政府采购政策的通知》（财库〔2017〕141号）的规定，残疾人福利性单位视同小型、微型企业,享受评审中价格扣除政策。残疾人福利性单位属于小型、微型企业的，不重复享受政策。</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（2）残疾人福利性单位在参加政府采购活动时，应当按招标文件要求提供《残疾人福利性单位声明函》，并对声明的真实性负责。否则不得享受相关中小企业扶持政策。</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1.6.3 监狱企业</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（1）根据《财政部 司法部关于政府采购支持监狱企业发展有关问题的通知》（财库〔2014〕68号）的规定，监狱企业视同小型、微型企业，享受评审中价格扣除政策。监狱企业属于小型、微型企业的，不重复享受政策。</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（2）监狱企业参加政府采购活动时，应当提供由省级以上监狱管理局、戒毒管理局（含新疆生产建设兵团）出具的属于监狱企业的证明文件。否则不得享受相关中小企业扶持政策。</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1.6.4 本国产品</w:t>
      </w:r>
      <w:r>
        <w:rPr>
          <w:rFonts w:ascii="宋体" w:hAnsi="宋体" w:eastAsia="宋体" w:cs="宋体"/>
        </w:rPr>
      </w:r>
      <w:r/>
    </w:p>
    <w:p>
      <w:pPr>
        <w:pStyle w:val="720"/>
        <w:ind w:firstLine="480"/>
        <w:spacing w:line="400" w:lineRule="exact"/>
        <w:rPr>
          <w:rFonts w:hint="eastAsia" w:ascii="宋体" w:hAnsi="宋体" w:eastAsia="宋体" w:cs="宋体"/>
        </w:rPr>
      </w:pPr>
      <w:r>
        <w:rPr>
          <w:rFonts w:hint="eastAsia" w:ascii="宋体" w:hAnsi="宋体" w:eastAsia="宋体" w:cs="宋体"/>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720"/>
        <w:ind w:firstLine="480"/>
        <w:spacing w:line="400" w:lineRule="exact"/>
        <w:rPr>
          <w:rFonts w:ascii="宋体" w:hAnsi="宋体" w:eastAsia="宋体" w:cs="宋体"/>
          <w:lang w:val="en-US"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eastAsia="宋体" w:cs="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lang w:val="en-US" w:eastAsia="zh-CN"/>
        </w:rPr>
      </w:r>
      <w:r/>
    </w:p>
    <w:p>
      <w:pPr>
        <w:pStyle w:val="720"/>
        <w:ind w:firstLine="480"/>
        <w:spacing w:line="400" w:lineRule="exact"/>
        <w:rPr>
          <w:rFonts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eastAsia="宋体" w:cs="宋体"/>
        </w:rPr>
        <w:t xml:space="preserve">采购人、采购代理机构应当在采购文件中明确要求供应商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ascii="宋体" w:hAnsi="宋体" w:eastAsia="宋体" w:cs="宋体"/>
        </w:rPr>
      </w:r>
      <w:r/>
    </w:p>
    <w:p>
      <w:pPr>
        <w:pStyle w:val="720"/>
        <w:ind w:firstLine="480"/>
        <w:spacing w:line="40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）采购人、采购代理机构应当随中标、成交结果同时公告中标、成交供应商提供的《声明函》或有关证明文件。</w:t>
      </w:r>
      <w:r>
        <w:rPr>
          <w:rFonts w:hint="eastAsia" w:ascii="宋体" w:hAnsi="宋体" w:eastAsia="宋体" w:cs="宋体"/>
        </w:rPr>
      </w:r>
      <w:r/>
    </w:p>
    <w:p>
      <w:pPr>
        <w:pStyle w:val="720"/>
        <w:ind w:firstLine="480"/>
        <w:spacing w:line="400" w:lineRule="exact"/>
        <w:rPr>
          <w:rFonts w:ascii="宋体" w:hAnsi="宋体" w:eastAsia="宋体" w:cs="宋体"/>
          <w:lang w:val="en-US"/>
        </w:rPr>
      </w:pPr>
      <w:r>
        <w:rPr>
          <w:rFonts w:hint="eastAsia" w:ascii="宋体" w:hAnsi="宋体" w:cs="宋体"/>
          <w:b/>
          <w:bCs/>
          <w:color w:val="000000"/>
          <w:sz w:val="21"/>
          <w:szCs w:val="21"/>
        </w:rPr>
        <w:t xml:space="preserve">注：根据《国务院办公厅关于在政府采购中实施本国产品标准及相关政策的通知》（国办发〔2025〕34 号）规定：本国产品标准适用于货物，包括政府采购货物项目和服务项目中涉及的货物。本项目中机房装修系统分项属于工程，机房装修系统分项下的主材，不</w:t>
      </w:r>
      <w:r>
        <w:rPr>
          <w:rFonts w:hint="eastAsia" w:ascii="宋体" w:hAnsi="宋体" w:cs="宋体"/>
          <w:b/>
          <w:bCs/>
          <w:color w:val="000000"/>
          <w:sz w:val="21"/>
          <w:szCs w:val="21"/>
          <w:lang w:val="en-US" w:eastAsia="zh-CN"/>
        </w:rPr>
        <w:t xml:space="preserve">适用</w:t>
      </w:r>
      <w:r>
        <w:rPr>
          <w:rFonts w:hint="eastAsia" w:ascii="宋体" w:hAnsi="宋体" w:cs="宋体"/>
          <w:b/>
          <w:bCs/>
          <w:color w:val="000000"/>
          <w:sz w:val="21"/>
          <w:szCs w:val="21"/>
        </w:rPr>
        <w:t xml:space="preserve">本国产品采购政策</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本项目适用</w:t>
      </w:r>
      <w:r>
        <w:rPr>
          <w:rFonts w:hint="eastAsia" w:ascii="宋体" w:hAnsi="宋体" w:cs="宋体"/>
          <w:b/>
          <w:bCs/>
          <w:color w:val="000000"/>
          <w:sz w:val="21"/>
          <w:szCs w:val="21"/>
        </w:rPr>
        <w:t xml:space="preserve">本国产品采购政策</w:t>
      </w:r>
      <w:r>
        <w:rPr>
          <w:rFonts w:hint="eastAsia" w:ascii="宋体" w:hAnsi="宋体" w:cs="宋体"/>
          <w:b/>
          <w:bCs/>
          <w:color w:val="000000"/>
          <w:sz w:val="21"/>
          <w:szCs w:val="21"/>
          <w:lang w:val="en-US" w:eastAsia="zh-CN"/>
        </w:rPr>
        <w:t xml:space="preserve">的产品见：第六章项目采购需求“十、《适用本国产品采购政策产品一览表》”。对同时存在本国产品、非本国产品竞争，且</w:t>
      </w:r>
      <w:r>
        <w:rPr>
          <w:rFonts w:hint="eastAsia" w:ascii="宋体" w:hAnsi="宋体" w:cs="宋体"/>
          <w:b/>
          <w:bCs/>
          <w:color w:val="000000"/>
          <w:sz w:val="21"/>
          <w:szCs w:val="21"/>
        </w:rPr>
        <w:t xml:space="preserve">《适用本国产品采购政策产品一览表》中符合本国产品标准的产品成本之和占该</w:t>
      </w:r>
      <w:r>
        <w:rPr>
          <w:rFonts w:hint="eastAsia" w:ascii="宋体" w:hAnsi="宋体" w:cs="宋体"/>
          <w:b/>
          <w:bCs/>
          <w:color w:val="000000"/>
          <w:sz w:val="21"/>
          <w:szCs w:val="21"/>
          <w:lang w:val="en-US" w:eastAsia="zh-CN"/>
        </w:rPr>
        <w:t xml:space="preserve">投标人</w:t>
      </w:r>
      <w:r>
        <w:rPr>
          <w:rFonts w:hint="eastAsia" w:ascii="宋体" w:hAnsi="宋体" w:cs="宋体"/>
          <w:b/>
          <w:bCs/>
          <w:color w:val="000000"/>
          <w:sz w:val="21"/>
          <w:szCs w:val="21"/>
        </w:rPr>
        <w:t xml:space="preserve">提供的《适用本国产品采购政策产品一览表》中全部产品成本之和的比例达到80%以上时，对该投标人的投标总价给予20%的价格扣除，用扣除后的价格参与评审。</w:t>
      </w:r>
      <w:r>
        <w:rPr>
          <w:rFonts w:ascii="宋体" w:hAnsi="宋体" w:eastAsia="宋体" w:cs="宋体"/>
          <w:lang w:val="en-US"/>
        </w:rPr>
      </w:r>
      <w:r/>
    </w:p>
    <w:p>
      <w:pPr>
        <w:pStyle w:val="720"/>
        <w:ind w:firstLine="480"/>
        <w:spacing w:line="400" w:lineRule="exact"/>
        <w:rPr>
          <w:rFonts w:ascii="宋体" w:hAnsi="宋体" w:eastAsia="宋体" w:cs="宋体"/>
        </w:rPr>
      </w:pPr>
      <w:r>
        <w:rPr>
          <w:rFonts w:hint="eastAsia" w:ascii="宋体" w:hAnsi="宋体" w:eastAsia="宋体" w:cs="宋体"/>
        </w:rPr>
        <w:t xml:space="preserve">1.6.5 节能产品</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本项目落实节能产品政府采购政策（财库〔2019〕9 号、财库〔2019〕19 号）：</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投标产品属于《节能产品政府采购品目清单》中以“★”标注的政府强制采购产品，投标人所投该类产品必须具有国家确定的认证机构出具、开标时处于有效期内的节能产品认证证书原件扫描件或全国认证认可信息公共服务平台查询打印件作为证明材料（证书所载产品型号、制造商应与投标产品一致；处于暂停、注销状态的不予认可）；未提供有效证明材料的，</w:t>
      </w:r>
      <w:r>
        <w:rPr>
          <w:rFonts w:hint="eastAsia" w:ascii="隶书" w:hAnsi="隶书" w:eastAsia="隶书" w:cs="隶书"/>
          <w:i/>
          <w:iCs/>
          <w:sz w:val="24"/>
          <w:szCs w:val="24"/>
        </w:rPr>
        <w:t xml:space="preserve">其投标无效</w:t>
      </w:r>
      <w:r>
        <w:rPr>
          <w:rFonts w:hint="eastAsia" w:ascii="宋体" w:hAnsi="宋体" w:eastAsia="宋体" w:cs="宋体"/>
        </w:rPr>
        <w:t xml:space="preserve">。</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2）投标产品属于《节能产品政府采购品目清单》中非以“★”标注的产品，投标人所投该类产品提供了国家确定的认证机构出具、开标时处于有效期内的节能产品认证证书原件扫描件或全国认证认可信息公共服务平台查询打印件作为证明材料（证书所载产品型号、制造商应与投标产品一致；处于暂停、注销状态的不予认可），可享受节能产品优先采购政策（加分）；未提供有效证明材料的，不享受节能产品优先采购政策（加分），投标有效。</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1.6.6 环境标志产品</w:t>
      </w:r>
      <w:r>
        <w:rPr>
          <w:rFonts w:ascii="宋体" w:hAnsi="宋体" w:eastAsia="宋体" w:cs="宋体"/>
        </w:rPr>
      </w:r>
      <w:r/>
    </w:p>
    <w:p>
      <w:pPr>
        <w:pStyle w:val="720"/>
        <w:ind w:firstLine="480"/>
        <w:spacing w:line="400" w:lineRule="exact"/>
        <w:rPr>
          <w:rFonts w:ascii="宋体" w:hAnsi="宋体" w:eastAsia="宋体" w:cs="宋体"/>
        </w:rPr>
      </w:pPr>
      <w:r>
        <w:rPr>
          <w:rFonts w:hint="eastAsia" w:ascii="宋体" w:hAnsi="宋体" w:eastAsia="宋体" w:cs="宋体"/>
        </w:rPr>
        <w:t xml:space="preserve">本项目落实环境标志产品政府采购政策（（财库〔2019〕9号）（财库〔2019〕18号）），投标产品属于《环境标志产品政府采购品目清单》中的产品，投标人所投该类产品提供了国家确定的认证机构出具、开标时处于有效期内的环境标志产品认证证书原件扫描件或全国认证认可信息公共服务平台查询打印件作为证明材料（证书所载产品型号、制造商应与投标产品一致；处于暂停、注销状态的不予认可），可享受环境标志产品优先采购政策（加分）；未提供有效证明材料的，不享受环境标志产品优先采购政策（加分）。</w:t>
      </w:r>
      <w:r>
        <w:rPr>
          <w:rFonts w:ascii="宋体" w:hAnsi="宋体" w:eastAsia="宋体" w:cs="宋体"/>
        </w:rPr>
      </w:r>
      <w:r/>
    </w:p>
    <w:p>
      <w:pPr>
        <w:pStyle w:val="720"/>
        <w:ind w:firstLine="480"/>
        <w:spacing w:line="400" w:lineRule="exact"/>
        <w:rPr>
          <w:rFonts w:ascii="黑体" w:cs="黑体"/>
          <w:b/>
          <w:bCs/>
          <w:sz w:val="21"/>
        </w:rPr>
      </w:pPr>
      <w:r/>
      <w:bookmarkStart w:id="65" w:name="_Toc1291"/>
      <w:r/>
      <w:bookmarkStart w:id="66" w:name="_Toc11883"/>
      <w:r/>
      <w:bookmarkStart w:id="67" w:name="_Toc20762"/>
      <w:r>
        <w:rPr>
          <w:rFonts w:hint="eastAsia" w:ascii="黑体" w:cs="黑体"/>
          <w:b/>
          <w:bCs/>
          <w:sz w:val="21"/>
        </w:rPr>
        <w:t xml:space="preserve">1.7  投标语言及计量单位</w:t>
      </w:r>
      <w:r>
        <w:rPr>
          <w:rFonts w:ascii="黑体" w:cs="黑体"/>
          <w:b/>
          <w:bCs/>
          <w:sz w:val="21"/>
        </w:rPr>
      </w:r>
      <w:r/>
    </w:p>
    <w:p>
      <w:pPr>
        <w:pStyle w:val="720"/>
        <w:ind w:firstLine="480"/>
        <w:jc w:val="left"/>
        <w:spacing w:line="400" w:lineRule="exact"/>
        <w:rPr>
          <w:rFonts w:ascii="宋体" w:hAnsi="宋体" w:eastAsia="宋体" w:cs="宋体"/>
        </w:rPr>
      </w:pPr>
      <w:r>
        <w:rPr>
          <w:rFonts w:hint="eastAsia" w:ascii="宋体" w:hAnsi="宋体" w:eastAsia="宋体" w:cs="宋体"/>
        </w:rPr>
        <w:t xml:space="preserve">1.7.1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1.7.2 投标文件中所使用的计量单位，除招标文件有特殊规定外，应使用中华人民共和国法定计量单位。</w:t>
      </w:r>
      <w:bookmarkEnd w:id="65"/>
      <w:r/>
      <w:bookmarkEnd w:id="66"/>
      <w:r/>
      <w:bookmarkEnd w:id="67"/>
      <w:r>
        <w:rPr>
          <w:rFonts w:ascii="宋体" w:hAnsi="宋体" w:eastAsia="宋体" w:cs="宋体"/>
        </w:rPr>
      </w:r>
      <w:r/>
    </w:p>
    <w:p>
      <w:pPr>
        <w:pStyle w:val="973"/>
        <w:ind w:firstLine="0"/>
        <w:jc w:val="center"/>
        <w:spacing w:before="120" w:after="0" w:line="360" w:lineRule="auto"/>
        <w:rPr>
          <w:rFonts w:ascii="宋体" w:hAnsi="宋体" w:eastAsia="宋体" w:cs="宋体"/>
          <w:b/>
          <w:bCs/>
        </w:rPr>
      </w:pPr>
      <w:r/>
      <w:bookmarkStart w:id="68" w:name="_Toc30058"/>
      <w:r>
        <w:rPr>
          <w:rFonts w:hint="eastAsia" w:ascii="宋体" w:hAnsi="宋体" w:eastAsia="宋体" w:cs="宋体"/>
          <w:b/>
          <w:bCs/>
        </w:rPr>
        <w:t xml:space="preserve">二、招标文件</w:t>
      </w:r>
      <w:bookmarkEnd w:id="68"/>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69" w:name="_Toc27315"/>
      <w:r/>
      <w:bookmarkStart w:id="70" w:name="_Toc23238"/>
      <w:r/>
      <w:bookmarkStart w:id="71" w:name="_Toc20640"/>
      <w:r/>
      <w:bookmarkStart w:id="72" w:name="_Toc9790"/>
      <w:r>
        <w:rPr>
          <w:rFonts w:hint="eastAsia" w:ascii="黑体" w:cs="黑体"/>
          <w:b/>
          <w:bCs/>
          <w:sz w:val="22"/>
          <w:szCs w:val="22"/>
        </w:rPr>
        <w:t xml:space="preserve">2.1 招标文件构成</w:t>
      </w:r>
      <w:bookmarkEnd w:id="69"/>
      <w:r/>
      <w:bookmarkEnd w:id="70"/>
      <w:r/>
      <w:bookmarkEnd w:id="71"/>
      <w:r/>
      <w:bookmarkEnd w:id="72"/>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2.1.1 本招标文件包括（但并不仅限于）：</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第一章 招标公告</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第二章 投标人须知及前附表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第三章 资格审查办法</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第四章 评标办法</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第五章 合同格式及条款</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第六章 采购项目需求</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第七章 投标文件格式</w:t>
      </w:r>
      <w:r>
        <w:rPr>
          <w:rFonts w:ascii="宋体" w:hAnsi="宋体" w:eastAsia="宋体" w:cs="宋体"/>
        </w:rPr>
      </w:r>
      <w:r/>
    </w:p>
    <w:p>
      <w:pPr>
        <w:pStyle w:val="720"/>
        <w:ind w:firstLine="482"/>
        <w:spacing w:line="400" w:lineRule="exact"/>
        <w:rPr>
          <w:rFonts w:ascii="华文中宋" w:hAnsi="华文中宋" w:eastAsia="华文中宋" w:cs="华文中宋"/>
        </w:rPr>
      </w:pPr>
      <w:r>
        <w:rPr>
          <w:rFonts w:hint="eastAsia" w:ascii="宋体" w:hAnsi="宋体" w:eastAsia="宋体" w:cs="宋体"/>
        </w:rPr>
        <w:t xml:space="preserve">2.1.2 对采购文件所作的答疑、澄清、修改，构成招标文件的组成部分。当上述文件相互之间发生矛盾时，以后发出的文件为准。</w:t>
      </w:r>
      <w:r>
        <w:rPr>
          <w:rFonts w:ascii="华文中宋" w:hAnsi="华文中宋" w:eastAsia="华文中宋" w:cs="华文中宋"/>
        </w:rPr>
      </w:r>
      <w:r/>
    </w:p>
    <w:p>
      <w:pPr>
        <w:pStyle w:val="973"/>
        <w:ind w:firstLine="482"/>
        <w:spacing w:before="0" w:after="0" w:line="440" w:lineRule="exact"/>
        <w:rPr>
          <w:rFonts w:ascii="黑体" w:cs="黑体"/>
          <w:b/>
          <w:bCs/>
          <w:sz w:val="22"/>
          <w:szCs w:val="22"/>
        </w:rPr>
      </w:pPr>
      <w:r/>
      <w:bookmarkStart w:id="73" w:name="_Toc7514"/>
      <w:r/>
      <w:bookmarkStart w:id="74" w:name="_Toc1392"/>
      <w:r/>
      <w:bookmarkStart w:id="75" w:name="_Toc19552"/>
      <w:r/>
      <w:bookmarkStart w:id="76" w:name="_Toc17142"/>
      <w:r>
        <w:rPr>
          <w:rFonts w:hint="eastAsia" w:ascii="黑体" w:cs="黑体"/>
          <w:b/>
          <w:bCs/>
          <w:sz w:val="22"/>
          <w:szCs w:val="22"/>
        </w:rPr>
        <w:t xml:space="preserve">2.2 招标文件的澄清</w:t>
      </w:r>
      <w:bookmarkEnd w:id="73"/>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2.2.1 投标人对已依法获取的招标文件发现问题、或产生疑问，应当在投标须知前附表规定的截止时间前，采用书面形式向采购人或采购代理机构提出询问或澄清要求。</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2.2.2招标文件的澄清将通过“江苏政府采购网（http://www.ccgp-jiangsu.gov.cn/）”公开发布。澄清是构成招标文件的组成部分。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2.2.3 如果澄清的内容影响投标文件编制且不能满足投标人编制投标文件时间，采购人将视情况可能适当延长投标截止时间。</w:t>
      </w:r>
      <w:r>
        <w:rPr>
          <w:rFonts w:ascii="宋体" w:hAnsi="宋体" w:eastAsia="宋体" w:cs="宋体"/>
        </w:rPr>
      </w:r>
      <w:r/>
    </w:p>
    <w:p>
      <w:pPr>
        <w:pStyle w:val="720"/>
        <w:ind w:firstLine="482"/>
        <w:jc w:val="left"/>
        <w:spacing w:line="400" w:lineRule="exact"/>
        <w:rPr>
          <w:rFonts w:ascii="华文中宋" w:hAnsi="华文中宋" w:eastAsia="华文中宋" w:cs="华文中宋"/>
        </w:rPr>
      </w:pPr>
      <w:r>
        <w:rPr>
          <w:rFonts w:hint="eastAsia" w:ascii="宋体" w:hAnsi="宋体" w:eastAsia="宋体" w:cs="宋体"/>
        </w:rPr>
        <w:t xml:space="preserve">2.2.4 投标人应及时通过“江苏政府采购网（http://www.ccgp-jiangsu.gov.cn/）”查询和下载澄清文件，查询和下载如有遗漏，其风险由投标人自行承担。</w:t>
      </w:r>
      <w:r>
        <w:rPr>
          <w:rFonts w:ascii="华文中宋" w:hAnsi="华文中宋" w:eastAsia="华文中宋" w:cs="华文中宋"/>
        </w:rPr>
      </w:r>
      <w:r/>
    </w:p>
    <w:p>
      <w:pPr>
        <w:pStyle w:val="973"/>
        <w:ind w:firstLine="482"/>
        <w:spacing w:before="0" w:after="0" w:line="440" w:lineRule="exact"/>
        <w:rPr>
          <w:rFonts w:ascii="黑体" w:cs="黑体"/>
          <w:b/>
          <w:bCs/>
          <w:sz w:val="22"/>
          <w:szCs w:val="22"/>
        </w:rPr>
      </w:pPr>
      <w:r/>
      <w:bookmarkStart w:id="77" w:name="_Toc29549"/>
      <w:r>
        <w:rPr>
          <w:rFonts w:hint="eastAsia" w:ascii="黑体" w:cs="黑体"/>
          <w:b/>
          <w:bCs/>
          <w:sz w:val="22"/>
          <w:szCs w:val="22"/>
        </w:rPr>
        <w:t xml:space="preserve">2.3 招标文件的修改</w:t>
      </w:r>
      <w:bookmarkEnd w:id="74"/>
      <w:r/>
      <w:bookmarkEnd w:id="75"/>
      <w:r/>
      <w:bookmarkEnd w:id="76"/>
      <w:r/>
      <w:bookmarkEnd w:id="77"/>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2.3.1 采购人或者采购代理机构可以对已发出的招标文件进行必要的修改。招标文件的修改将通过“江苏政府采购网（http://www.ccgp-jiangsu.gov.cn/）”公开发布。招标文件的修改是构成招标文件的组成部分。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2.3.2 如果修改内容影响投标文件编制且不能满足投标人编制投标文件时间，采购人将视情况可能适当延长投标截止时间。</w:t>
      </w:r>
      <w:r>
        <w:rPr>
          <w:rFonts w:ascii="宋体" w:hAnsi="宋体" w:eastAsia="宋体" w:cs="宋体"/>
        </w:rPr>
      </w:r>
      <w:r/>
    </w:p>
    <w:p>
      <w:pPr>
        <w:pStyle w:val="720"/>
        <w:ind w:firstLine="482"/>
        <w:jc w:val="left"/>
        <w:spacing w:line="400" w:lineRule="exact"/>
        <w:rPr>
          <w:rFonts w:ascii="华文中宋" w:hAnsi="华文中宋" w:eastAsia="华文中宋" w:cs="华文中宋"/>
        </w:rPr>
      </w:pPr>
      <w:r>
        <w:rPr>
          <w:rFonts w:hint="eastAsia" w:ascii="宋体" w:hAnsi="宋体" w:eastAsia="宋体" w:cs="宋体"/>
        </w:rPr>
        <w:t xml:space="preserve">2.3.3 投标人应及时通过“江苏政府采购网（http://www.ccgp-jiangsu.gov.cn/）”查询和下载招标文件的修改，查询和下载如有遗漏，其风险由投标人自行承担。</w:t>
      </w:r>
      <w:r>
        <w:rPr>
          <w:rFonts w:ascii="华文中宋" w:hAnsi="华文中宋" w:eastAsia="华文中宋" w:cs="华文中宋"/>
        </w:rPr>
      </w:r>
      <w:r/>
    </w:p>
    <w:p>
      <w:pPr>
        <w:pStyle w:val="973"/>
        <w:ind w:firstLine="0"/>
        <w:jc w:val="center"/>
        <w:spacing w:before="120" w:after="0" w:line="360" w:lineRule="auto"/>
        <w:rPr>
          <w:rFonts w:ascii="宋体" w:hAnsi="宋体" w:eastAsia="宋体" w:cs="宋体"/>
          <w:b/>
          <w:bCs/>
        </w:rPr>
      </w:pPr>
      <w:r/>
      <w:bookmarkStart w:id="78" w:name="_Toc30319"/>
      <w:r>
        <w:rPr>
          <w:rFonts w:hint="eastAsia" w:ascii="宋体" w:hAnsi="宋体" w:eastAsia="宋体" w:cs="宋体"/>
          <w:b/>
          <w:bCs/>
        </w:rPr>
        <w:t xml:space="preserve">三、投标文件</w:t>
      </w:r>
      <w:bookmarkEnd w:id="78"/>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79" w:name="_Toc30569"/>
      <w:r/>
      <w:bookmarkStart w:id="80" w:name="_Toc32403"/>
      <w:r/>
      <w:bookmarkStart w:id="81" w:name="_Toc19018"/>
      <w:r/>
      <w:bookmarkStart w:id="82" w:name="_Toc23314"/>
      <w:r>
        <w:rPr>
          <w:rFonts w:hint="eastAsia" w:ascii="黑体" w:cs="黑体"/>
          <w:b/>
          <w:bCs/>
          <w:sz w:val="22"/>
          <w:szCs w:val="22"/>
        </w:rPr>
        <w:t xml:space="preserve">3.1 投标文件构成</w:t>
      </w:r>
      <w:bookmarkEnd w:id="79"/>
      <w:r/>
      <w:bookmarkEnd w:id="80"/>
      <w:r/>
      <w:bookmarkEnd w:id="81"/>
      <w:r/>
      <w:bookmarkEnd w:id="82"/>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3.1.1 投标人编写的投标文件应包括资格证明文件、实质性要求响应及偏离表、投标分项报价表、技术要求响应及偏离表、商务要求响应及偏离表、其他证明文件、投标函、开标一览表等部分。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3.1.2 如标书制作工具中格式和内容与“江苏政府采购网”发布的招标文件不一致，请以“江苏政府采购网”发布的招标文件为准。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3.1.3 评标过程中，投标人根据评标委员会要求作出的澄清、修改，构成投标文件的组成部分。</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3.1.4 第七章“投标文件格式”中要求提供相关证明材料作为附件的，投标人应按要求在投标文件中提供相应证明材料。否则，不予认可。</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83" w:name="_Toc10094"/>
      <w:r/>
      <w:bookmarkStart w:id="84" w:name="_Toc18796"/>
      <w:r/>
      <w:bookmarkStart w:id="85" w:name="_Toc11397"/>
      <w:r/>
      <w:bookmarkStart w:id="86" w:name="_Toc25754"/>
      <w:r>
        <w:rPr>
          <w:rFonts w:hint="eastAsia" w:ascii="黑体" w:cs="黑体"/>
          <w:b/>
          <w:bCs/>
          <w:sz w:val="22"/>
          <w:szCs w:val="22"/>
        </w:rPr>
        <w:t xml:space="preserve">3.2.投标报价</w:t>
      </w:r>
      <w:bookmarkEnd w:id="83"/>
      <w:r/>
      <w:bookmarkEnd w:id="84"/>
      <w:r/>
      <w:bookmarkEnd w:id="85"/>
      <w:r/>
      <w:bookmarkEnd w:id="86"/>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3.2.1 投标报价为完成本项目所需的全部费用。</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3.2.2 投标报价为一次不得更改报价，投标人只有一次报价的机会。投标报价不得有选择性报价和附有条件的报价，</w:t>
      </w:r>
      <w:r>
        <w:rPr>
          <w:rFonts w:hint="eastAsia" w:ascii="隶书" w:hAnsi="隶书" w:eastAsia="隶书" w:cs="隶书"/>
          <w:i/>
          <w:iCs/>
          <w:sz w:val="24"/>
          <w:szCs w:val="24"/>
        </w:rPr>
        <w:t xml:space="preserve">否则其投标无效</w:t>
      </w:r>
      <w:r>
        <w:rPr>
          <w:rFonts w:hint="eastAsia" w:ascii="宋体" w:hAnsi="宋体" w:eastAsia="宋体" w:cs="宋体"/>
        </w:rPr>
        <w:t xml:space="preserve">。</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3.2.4 在合同实施期间，中标投标人的中标单价不因任何因素变化而调整。以可调整中标单价的投标文件，</w:t>
      </w:r>
      <w:r>
        <w:rPr>
          <w:rFonts w:hint="eastAsia" w:ascii="隶书" w:hAnsi="隶书" w:eastAsia="隶书" w:cs="隶书"/>
          <w:i/>
          <w:iCs/>
          <w:sz w:val="24"/>
          <w:szCs w:val="24"/>
        </w:rPr>
        <w:t xml:space="preserve">其投标无效</w:t>
      </w:r>
      <w:r>
        <w:rPr>
          <w:rFonts w:hint="eastAsia" w:ascii="宋体" w:hAnsi="宋体" w:eastAsia="宋体" w:cs="宋体"/>
        </w:rPr>
        <w:t xml:space="preserve">。</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87" w:name="_Toc21868"/>
      <w:r/>
      <w:bookmarkStart w:id="88" w:name="_Toc15297"/>
      <w:r/>
      <w:bookmarkStart w:id="89" w:name="_Toc15276"/>
      <w:r/>
      <w:bookmarkStart w:id="90" w:name="_Toc10338"/>
      <w:r/>
      <w:bookmarkStart w:id="91" w:name="_Toc27515"/>
      <w:r/>
      <w:bookmarkStart w:id="92" w:name="_Toc5062"/>
      <w:r/>
      <w:bookmarkStart w:id="93" w:name="_Toc11258"/>
      <w:r/>
      <w:bookmarkStart w:id="94" w:name="_Toc17381"/>
      <w:r>
        <w:rPr>
          <w:rFonts w:hint="eastAsia" w:ascii="黑体" w:cs="黑体"/>
          <w:b/>
          <w:bCs/>
          <w:sz w:val="22"/>
          <w:szCs w:val="22"/>
        </w:rPr>
        <w:t xml:space="preserve">3.3 投标有效期</w:t>
      </w:r>
      <w:bookmarkEnd w:id="87"/>
      <w:r/>
      <w:bookmarkEnd w:id="88"/>
      <w:r/>
      <w:bookmarkEnd w:id="89"/>
      <w:r/>
      <w:bookmarkEnd w:id="90"/>
      <w:r/>
      <w:bookmarkEnd w:id="91"/>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3.3.1 在投标须知前附表规定的有效期内，投标文件应保持有效。有效期短于该规定期限的投标，将作为</w:t>
      </w:r>
      <w:r>
        <w:rPr>
          <w:rFonts w:hint="eastAsia" w:ascii="隶书" w:hAnsi="隶书" w:eastAsia="隶书" w:cs="隶书"/>
          <w:i/>
          <w:iCs/>
          <w:sz w:val="24"/>
          <w:szCs w:val="24"/>
        </w:rPr>
        <w:t xml:space="preserve">无效投标处理</w:t>
      </w:r>
      <w:r>
        <w:rPr>
          <w:rFonts w:hint="eastAsia" w:ascii="宋体" w:hAnsi="宋体" w:eastAsia="宋体" w:cs="宋体"/>
        </w:rPr>
        <w:t xml:space="preserve">。</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95" w:name="_Toc13842"/>
      <w:r/>
      <w:bookmarkStart w:id="96" w:name="_Toc15008"/>
      <w:r>
        <w:rPr>
          <w:rFonts w:hint="eastAsia" w:ascii="黑体" w:cs="黑体"/>
          <w:b/>
          <w:bCs/>
          <w:sz w:val="22"/>
          <w:szCs w:val="22"/>
        </w:rPr>
        <w:t xml:space="preserve">3.4 投标文件的编制</w:t>
      </w:r>
      <w:bookmarkEnd w:id="95"/>
      <w:r/>
      <w:bookmarkEnd w:id="96"/>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3.4.1 投标人应将下载的采购文件导入“政府采购客户端”，并按照《苏采云平台投标人操作手册》和第七章“投标文件格式”的要求制作投标文件。</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3.4.2 投标文件制作完成后导出投标文件（文件后缀为 zip）用于上传。</w:t>
      </w:r>
      <w:bookmarkEnd w:id="92"/>
      <w:r/>
      <w:bookmarkEnd w:id="93"/>
      <w:r/>
      <w:bookmarkEnd w:id="94"/>
      <w:r>
        <w:rPr>
          <w:rFonts w:ascii="华文中宋" w:hAnsi="华文中宋" w:eastAsia="华文中宋" w:cs="宋体"/>
        </w:rPr>
      </w:r>
      <w:r/>
    </w:p>
    <w:p>
      <w:pPr>
        <w:pStyle w:val="973"/>
        <w:ind w:firstLine="0"/>
        <w:jc w:val="center"/>
        <w:spacing w:before="120" w:after="0" w:line="360" w:lineRule="auto"/>
        <w:rPr>
          <w:rFonts w:ascii="宋体" w:hAnsi="宋体" w:eastAsia="宋体" w:cs="宋体"/>
          <w:b/>
          <w:bCs/>
        </w:rPr>
      </w:pPr>
      <w:r/>
      <w:bookmarkStart w:id="97" w:name="_Toc29664"/>
      <w:r>
        <w:rPr>
          <w:rFonts w:hint="eastAsia" w:ascii="宋体" w:hAnsi="宋体" w:eastAsia="宋体" w:cs="宋体"/>
          <w:b/>
          <w:bCs/>
        </w:rPr>
        <w:t xml:space="preserve">四、投标文件的提交</w:t>
      </w:r>
      <w:bookmarkEnd w:id="97"/>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98" w:name="_Toc24836"/>
      <w:r/>
      <w:bookmarkStart w:id="99" w:name="_Toc16990"/>
      <w:r/>
      <w:bookmarkStart w:id="100" w:name="_Toc4650"/>
      <w:r/>
      <w:bookmarkStart w:id="101" w:name="_Toc17014"/>
      <w:r/>
      <w:bookmarkStart w:id="102" w:name="_Toc11648"/>
      <w:r>
        <w:rPr>
          <w:rFonts w:hint="eastAsia" w:ascii="黑体" w:cs="黑体"/>
          <w:b/>
          <w:bCs/>
          <w:sz w:val="22"/>
          <w:szCs w:val="22"/>
        </w:rPr>
        <w:t xml:space="preserve">4.1</w:t>
      </w:r>
      <w:bookmarkEnd w:id="98"/>
      <w:r/>
      <w:bookmarkStart w:id="103" w:name="_Toc19436"/>
      <w:r>
        <w:rPr>
          <w:rFonts w:hint="eastAsia" w:ascii="黑体" w:cs="黑体"/>
          <w:b/>
          <w:bCs/>
          <w:sz w:val="22"/>
          <w:szCs w:val="22"/>
        </w:rPr>
        <w:t xml:space="preserve">投标文件的</w:t>
      </w:r>
      <w:bookmarkEnd w:id="103"/>
      <w:r>
        <w:rPr>
          <w:rFonts w:hint="eastAsia" w:ascii="黑体" w:cs="黑体"/>
          <w:b/>
          <w:bCs/>
          <w:sz w:val="22"/>
          <w:szCs w:val="22"/>
        </w:rPr>
        <w:t xml:space="preserve">提交</w:t>
      </w:r>
      <w:bookmarkEnd w:id="100"/>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4.1.1 投标人必须在投标须知前附表规定的提交投标文件截止时间前，进入“参与详情”页面，点击“上传文件”，上传已制作完成的投标文件，等待开标。</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4.1.2 投标人有下列情形之一的，采购人将拒绝接受其投标文件：</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（1）投标截止时间后上传的投标文件；</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（2）未上传至指定系统的投标文件。</w:t>
      </w:r>
      <w:bookmarkEnd w:id="99"/>
      <w:r/>
      <w:bookmarkEnd w:id="101"/>
      <w:r/>
      <w:bookmarkEnd w:id="102"/>
      <w:r>
        <w:rPr>
          <w:rFonts w:ascii="宋体" w:hAnsi="宋体" w:eastAsia="宋体" w:cs="宋体"/>
        </w:rPr>
      </w:r>
      <w:r/>
    </w:p>
    <w:p>
      <w:pPr>
        <w:pStyle w:val="973"/>
        <w:ind w:firstLine="482"/>
        <w:spacing w:before="0" w:after="0" w:line="440" w:lineRule="exact"/>
        <w:rPr>
          <w:rFonts w:ascii="黑体" w:cs="黑体"/>
          <w:b/>
          <w:bCs/>
          <w:sz w:val="22"/>
          <w:szCs w:val="22"/>
        </w:rPr>
      </w:pPr>
      <w:r/>
      <w:bookmarkStart w:id="104" w:name="_Toc22112"/>
      <w:r/>
      <w:bookmarkStart w:id="105" w:name="_Toc15834"/>
      <w:r/>
      <w:bookmarkStart w:id="106" w:name="_Toc4761"/>
      <w:r/>
      <w:bookmarkStart w:id="107" w:name="_Toc13169"/>
      <w:r>
        <w:rPr>
          <w:rFonts w:hint="eastAsia" w:ascii="黑体" w:cs="黑体"/>
          <w:b/>
          <w:bCs/>
          <w:sz w:val="22"/>
          <w:szCs w:val="22"/>
        </w:rPr>
        <w:t xml:space="preserve">4.2 投标文件的修改和撤回</w:t>
      </w:r>
      <w:bookmarkEnd w:id="104"/>
      <w:r/>
      <w:bookmarkEnd w:id="105"/>
      <w:r/>
      <w:bookmarkEnd w:id="106"/>
      <w:r/>
      <w:bookmarkEnd w:id="107"/>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4.2.1 投标人在投标截止时间前，可以对所提交的投标文件进行补充、修改或者撤回。</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4.2.2 如果投标文件在客户端重新修改过了，需要重新导出和上传新投标文件。可将原先上传的投标文件撤回，撤回后，重新上传新投标文件。</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4.2.3 在投标有效期内，投标人不得撤回投标文件。投标人之间恶意串通而撤回投标的，将受到根据政府采购法律法规的有关规定做出的处理。</w:t>
      </w:r>
      <w:r>
        <w:rPr>
          <w:rFonts w:ascii="华文中宋" w:hAnsi="华文中宋" w:eastAsia="华文中宋" w:cs="宋体"/>
        </w:rPr>
      </w:r>
      <w:r/>
    </w:p>
    <w:p>
      <w:pPr>
        <w:pStyle w:val="973"/>
        <w:ind w:firstLine="0"/>
        <w:jc w:val="center"/>
        <w:spacing w:before="120" w:after="0" w:line="360" w:lineRule="auto"/>
        <w:rPr>
          <w:rFonts w:ascii="宋体" w:hAnsi="宋体" w:eastAsia="宋体" w:cs="宋体"/>
          <w:b/>
          <w:bCs/>
        </w:rPr>
      </w:pPr>
      <w:r/>
      <w:bookmarkStart w:id="108" w:name="_Toc31216"/>
      <w:r>
        <w:rPr>
          <w:rFonts w:hint="eastAsia" w:ascii="宋体" w:hAnsi="宋体" w:eastAsia="宋体" w:cs="宋体"/>
          <w:b/>
          <w:bCs/>
        </w:rPr>
        <w:t xml:space="preserve">五、开标、评标</w:t>
      </w:r>
      <w:bookmarkEnd w:id="108"/>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109" w:name="_Toc5282"/>
      <w:r/>
      <w:bookmarkStart w:id="110" w:name="_Toc5722"/>
      <w:r/>
      <w:bookmarkStart w:id="111" w:name="_Toc26293"/>
      <w:r/>
      <w:bookmarkStart w:id="112" w:name="_Toc21656"/>
      <w:r>
        <w:rPr>
          <w:rFonts w:hint="eastAsia" w:ascii="黑体" w:cs="黑体"/>
          <w:b/>
          <w:bCs/>
          <w:sz w:val="22"/>
          <w:szCs w:val="22"/>
        </w:rPr>
        <w:t xml:space="preserve">5.1 开标</w:t>
      </w:r>
      <w:bookmarkEnd w:id="109"/>
      <w:r/>
      <w:bookmarkEnd w:id="110"/>
      <w:r/>
      <w:bookmarkEnd w:id="111"/>
      <w:r/>
      <w:bookmarkEnd w:id="112"/>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5.1.1 采购人或采购代理机构在投标人须知前附表规定的开标时间和地点公开开标。投标人不足3家的，不得开标。</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5.1.2 投标人应当按照《操作手册》规定，参加开标活动和在苏采云系统规定的时间内对投标文件进行解密。投标人在开、评标全过程中应保持通讯畅通，及时登录苏采云系统查阅、答复相关信息，并安排专人与采购人及评标委员会联系。</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5.1.3 开标程序：</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（1）登录苏采云系统，点击“工作台”，选中“开标大厅”，选择对应项目；</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开标流程进入【解锁】环节点击【解锁】图标，并在投标须知前附表规定的解密时长内，使用CA证书进行标书解密，解锁完成后及时关注开标大厅，等待后续多次报价、答疑澄清等提示；在解密时长倒计时结束前，投标人可进行解密操作，当剩余时间为0后，投标人则不可以进行解密操作，系统会自动进入下一节点【唱标】</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（3）投标人在倒计时结束前点击【唱标确认】按钮进行开标记录确认，倒计时结束后系统将会视为已确认；</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（4）开标会议结束。</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5.1.4 开标时，投标文件中“开标一览表”内容与投标文件中相应内容不一致的，以“开标一览表”为准；大写金额与小写金额不一致的，以大写金额为准。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5.1.5 投标人代表对开标过程和开标记录有疑义，以及认为采购人、采购代理机构相关工作人员有需要回避的情形的，可通过【留言板】功能进行提出；请投标人谨慎发言以免被禁言。采购人或采购代理机构对投标人代表提出的询问或者回避申请应当及时处理。</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113" w:name="_Toc31967"/>
      <w:r/>
      <w:bookmarkStart w:id="114" w:name="_Toc15880"/>
      <w:r/>
      <w:bookmarkStart w:id="115" w:name="_Toc25790"/>
      <w:r/>
      <w:bookmarkStart w:id="116" w:name="_Toc3693"/>
      <w:r>
        <w:rPr>
          <w:rFonts w:hint="eastAsia" w:ascii="黑体" w:cs="黑体"/>
          <w:b/>
          <w:bCs/>
          <w:sz w:val="22"/>
          <w:szCs w:val="22"/>
        </w:rPr>
        <w:t xml:space="preserve">5.2 资格</w:t>
      </w:r>
      <w:bookmarkEnd w:id="113"/>
      <w:r/>
      <w:bookmarkEnd w:id="114"/>
      <w:r>
        <w:rPr>
          <w:rFonts w:hint="eastAsia" w:ascii="黑体" w:cs="黑体"/>
          <w:b/>
          <w:bCs/>
          <w:sz w:val="22"/>
          <w:szCs w:val="22"/>
        </w:rPr>
        <w:t xml:space="preserve">评审</w:t>
      </w:r>
      <w:bookmarkEnd w:id="115"/>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5.2.1 开标结束后，采购人或者采购代理机构依法对投标人的资格进行审查。</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5.2.2 采购人或者采购代理机构应当按照第三章“资格审查办法”规定的资格评审标准对投标文件进行资格评审。</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5.2.3 资格评审结束后，合格投标人不足3家的，不得评标。</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117" w:name="_Toc27848"/>
      <w:r/>
      <w:bookmarkStart w:id="118" w:name="_Toc26733"/>
      <w:r/>
      <w:bookmarkStart w:id="119" w:name="_Toc9176"/>
      <w:r>
        <w:rPr>
          <w:rFonts w:hint="eastAsia" w:ascii="黑体" w:cs="黑体"/>
          <w:b/>
          <w:bCs/>
          <w:sz w:val="22"/>
          <w:szCs w:val="22"/>
        </w:rPr>
        <w:t xml:space="preserve">5.3 评标</w:t>
      </w:r>
      <w:bookmarkEnd w:id="116"/>
      <w:r/>
      <w:bookmarkEnd w:id="117"/>
      <w:r/>
      <w:bookmarkEnd w:id="118"/>
      <w:r>
        <w:rPr>
          <w:rFonts w:hint="eastAsia" w:ascii="黑体" w:cs="黑体"/>
          <w:b/>
          <w:bCs/>
          <w:sz w:val="22"/>
          <w:szCs w:val="22"/>
        </w:rPr>
        <w:t xml:space="preserve">委员会</w:t>
      </w:r>
      <w:bookmarkEnd w:id="119"/>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5.3.1 评标委员会由采购人代表和评审专家组成，成员人数见投标须知前附表。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5.3.2 评标委员会成员有下列情形之一的，应当回避；已经进入的，应当退出: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（1）投标人或者投标人主要负责人的近亲属；</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（2）项目主管部门或者行政监督部门的人员；</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（3）与投标人有经济利益关系；</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（4）曾因在招标、评标以及其他与招标投标有关系活动中从事违法行为而受到行政处罚或者刑事处罚的；</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（5）与投标人有其他利害关系与投标人有利害关系。</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5.3.3 特殊情况处置</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（1）评标活动终止</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 MERGEFORMAT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2 \* GB3 \* MERGEFORMAT </w:instrText>
      </w:r>
      <w:r>
        <w:rPr>
          <w:rFonts w:hint="eastAsia" w:ascii="宋体" w:hAnsi="宋体" w:eastAsia="宋体" w:cs="宋体"/>
        </w:rPr>
        <w:fldChar w:fldCharType="separate"/>
      </w:r>
      <w:r>
        <w:rPr>
          <w:rFonts w:hint="eastAsia" w:ascii="宋体" w:hAnsi="宋体" w:eastAsia="宋体" w:cs="宋体"/>
        </w:rPr>
        <w:t xml:space="preserve">②</w:t>
      </w:r>
      <w:r>
        <w:rPr>
          <w:rFonts w:hint="eastAsia" w:ascii="宋体" w:hAnsi="宋体" w:eastAsia="宋体" w:cs="宋体"/>
        </w:rPr>
        <w:fldChar w:fldCharType="end"/>
      </w:r>
      <w:r>
        <w:rPr>
          <w:rFonts w:hint="eastAsia" w:ascii="宋体" w:hAnsi="宋体" w:eastAsia="宋体" w:cs="宋体"/>
        </w:rPr>
        <w:t xml:space="preserve">发生下列情况之一的，评标委员会应终止评标并按照废标处理：</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a.发生了不可抗力事件；</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b.评标委员会名单泄密或者评标委员成员无法中途更换的；</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c.发生评标信息泄露或者出现非法干预评审、谈判工作的；</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d.监督人员现场发现评标委员会或者成员未按照招标文件规定评审或者存在违反法律法规规定行为，且拒绝改正的。</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出现上述情形的，评标委员会有权予以废标或者建议采购人和采购代理机构封存招标文件和所有投标或投标文件，择期重新组建评标委员会进行评审。</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(2)评标委员会中途更换成员</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 MERGEFORMAT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除非发生下列情况之一，评标委员会成员不得中途更换：</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a.因不可抗拒的客观原因，不能到场或者需在评标过程中退出评标活动；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b.根据法律法规规定，某个或者某几个评标委员会成员需要回避；</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2 \* GB3 \* MERGEFORMAT </w:instrText>
      </w:r>
      <w:r>
        <w:rPr>
          <w:rFonts w:hint="eastAsia" w:ascii="宋体" w:hAnsi="宋体" w:eastAsia="宋体" w:cs="宋体"/>
        </w:rPr>
        <w:fldChar w:fldCharType="separate"/>
      </w:r>
      <w:r>
        <w:rPr>
          <w:rFonts w:hint="eastAsia" w:ascii="宋体" w:hAnsi="宋体" w:eastAsia="宋体" w:cs="宋体"/>
        </w:rPr>
        <w:t xml:space="preserve">②</w:t>
      </w:r>
      <w:r>
        <w:rPr>
          <w:rFonts w:hint="eastAsia" w:ascii="宋体" w:hAnsi="宋体" w:eastAsia="宋体" w:cs="宋体"/>
        </w:rPr>
        <w:fldChar w:fldCharType="end"/>
      </w:r>
      <w:r>
        <w:rPr>
          <w:rFonts w:hint="eastAsia" w:ascii="宋体" w:hAnsi="宋体" w:eastAsia="宋体" w:cs="宋体"/>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(3)评委争议</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120" w:name="_Toc26665"/>
      <w:r>
        <w:rPr>
          <w:rFonts w:hint="eastAsia" w:ascii="黑体" w:cs="黑体"/>
          <w:b/>
          <w:bCs/>
          <w:sz w:val="22"/>
          <w:szCs w:val="22"/>
        </w:rPr>
        <w:t xml:space="preserve">5.4 评标</w:t>
      </w:r>
      <w:bookmarkEnd w:id="120"/>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5.4.1评标委员会对符合资格的投标人的投标文件，按照第四章“评标办法”规定的评标方法、评审因素、标准和程序对投标文件进行评审。</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ascii="宋体" w:hAnsi="宋体" w:eastAsia="宋体" w:cs="宋体"/>
        </w:rPr>
      </w:r>
      <w:r/>
    </w:p>
    <w:p>
      <w:pPr>
        <w:pStyle w:val="720"/>
        <w:ind w:firstLine="482"/>
        <w:spacing w:line="400" w:lineRule="exact"/>
        <w:rPr>
          <w:rFonts w:ascii="华文中宋" w:hAnsi="华文中宋" w:eastAsia="华文中宋" w:cs="宋体"/>
        </w:rPr>
      </w:pPr>
      <w:r>
        <w:rPr>
          <w:rFonts w:hint="eastAsia" w:ascii="宋体" w:hAnsi="宋体" w:eastAsia="宋体" w:cs="宋体"/>
        </w:rPr>
        <w:t xml:space="preserve">5.4.3 评标完成后，评标委员会根据全体评标成员签字的原始评标记录和评标结果编写评标报告。评标委员会推荐的中标候选人名单数量见投标人须知前附表。</w:t>
      </w:r>
      <w:r>
        <w:rPr>
          <w:rFonts w:ascii="华文中宋" w:hAnsi="华文中宋" w:eastAsia="华文中宋" w:cs="宋体"/>
        </w:rPr>
      </w:r>
      <w:r/>
    </w:p>
    <w:p>
      <w:pPr>
        <w:pStyle w:val="973"/>
        <w:ind w:firstLine="0"/>
        <w:jc w:val="center"/>
        <w:spacing w:before="120" w:after="0" w:line="360" w:lineRule="auto"/>
        <w:rPr>
          <w:rFonts w:ascii="宋体" w:hAnsi="宋体" w:eastAsia="宋体" w:cs="宋体"/>
          <w:b/>
          <w:bCs/>
        </w:rPr>
      </w:pPr>
      <w:r/>
      <w:bookmarkStart w:id="121" w:name="_Toc21766"/>
      <w:r>
        <w:rPr>
          <w:rFonts w:hint="eastAsia" w:ascii="宋体" w:hAnsi="宋体" w:eastAsia="宋体" w:cs="宋体"/>
          <w:b/>
          <w:bCs/>
        </w:rPr>
        <w:t xml:space="preserve">六、中标和合同</w:t>
      </w:r>
      <w:bookmarkEnd w:id="121"/>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122" w:name="_Toc25841"/>
      <w:r/>
      <w:bookmarkStart w:id="123" w:name="_Toc8673"/>
      <w:r/>
      <w:bookmarkStart w:id="124" w:name="_Toc29296"/>
      <w:r/>
      <w:bookmarkStart w:id="125" w:name="_Toc29521"/>
      <w:r/>
      <w:bookmarkStart w:id="126" w:name="_Toc21641"/>
      <w:r/>
      <w:bookmarkStart w:id="127" w:name="_Toc11984"/>
      <w:r/>
      <w:bookmarkStart w:id="128" w:name="_Toc1623"/>
      <w:r>
        <w:rPr>
          <w:rFonts w:hint="eastAsia" w:ascii="黑体" w:cs="黑体"/>
          <w:b/>
          <w:bCs/>
          <w:sz w:val="22"/>
          <w:szCs w:val="22"/>
        </w:rPr>
        <w:t xml:space="preserve">6.1 定标</w:t>
      </w:r>
      <w:bookmarkEnd w:id="122"/>
      <w:r/>
      <w:bookmarkEnd w:id="123"/>
      <w:r/>
      <w:bookmarkEnd w:id="124"/>
      <w:r/>
      <w:bookmarkEnd w:id="125"/>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6.1.1采购代理机构应当在评标结束后2个工作日内将评标报告送采购人。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eastAsia="宋体" w:cs="宋体"/>
        </w:rPr>
      </w:r>
      <w:r/>
    </w:p>
    <w:p>
      <w:pPr>
        <w:pStyle w:val="720"/>
        <w:ind w:firstLine="482"/>
        <w:spacing w:line="400" w:lineRule="exact"/>
        <w:rPr>
          <w:rFonts w:ascii="华文中宋" w:hAnsi="华文中宋" w:eastAsia="华文中宋" w:cs="宋体"/>
        </w:rPr>
      </w:pPr>
      <w:r>
        <w:rPr>
          <w:rFonts w:hint="eastAsia" w:ascii="宋体" w:hAnsi="宋体" w:eastAsia="宋体" w:cs="宋体"/>
        </w:rPr>
        <w:t xml:space="preserve">采购人在收到评标报告5个工作日内未按评标报告推荐的中标候选人顺序确定中标人，又不能说明合法理由的，视同按评标报告推荐的顺序确定排名第一的中标候选人为中标人。</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129" w:name="_Toc26082"/>
      <w:r>
        <w:rPr>
          <w:rFonts w:hint="eastAsia" w:ascii="黑体" w:cs="黑体"/>
          <w:b/>
          <w:bCs/>
          <w:sz w:val="22"/>
          <w:szCs w:val="22"/>
        </w:rPr>
        <w:t xml:space="preserve">6.2 中标通知</w:t>
      </w:r>
      <w:bookmarkEnd w:id="129"/>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rPr>
          <w:rFonts w:ascii="宋体" w:hAnsi="宋体" w:eastAsia="宋体" w:cs="宋体"/>
        </w:rPr>
      </w:r>
      <w:r/>
    </w:p>
    <w:p>
      <w:pPr>
        <w:pStyle w:val="973"/>
        <w:ind w:firstLine="482"/>
        <w:spacing w:before="0" w:after="0" w:line="440" w:lineRule="exact"/>
        <w:rPr>
          <w:rFonts w:ascii="黑体" w:cs="黑体"/>
          <w:b/>
          <w:bCs/>
          <w:sz w:val="22"/>
          <w:szCs w:val="22"/>
        </w:rPr>
      </w:pPr>
      <w:r/>
      <w:bookmarkStart w:id="130" w:name="_Toc29800"/>
      <w:r>
        <w:rPr>
          <w:rFonts w:hint="eastAsia" w:ascii="黑体" w:cs="黑体"/>
          <w:b/>
          <w:bCs/>
          <w:sz w:val="22"/>
          <w:szCs w:val="22"/>
        </w:rPr>
        <w:t xml:space="preserve">6.3 签订合同</w:t>
      </w:r>
      <w:bookmarkEnd w:id="130"/>
      <w:r>
        <w:rPr>
          <w:rFonts w:ascii="黑体" w:cs="黑体"/>
          <w:b/>
          <w:bCs/>
          <w:sz w:val="22"/>
          <w:szCs w:val="22"/>
        </w:rPr>
      </w:r>
      <w:r/>
    </w:p>
    <w:p>
      <w:pPr>
        <w:pStyle w:val="720"/>
        <w:ind w:firstLine="482"/>
        <w:spacing w:line="400" w:lineRule="exact"/>
        <w:rPr>
          <w:rFonts w:ascii="宋体" w:hAnsi="宋体" w:eastAsia="宋体" w:cs="宋体"/>
        </w:rPr>
      </w:pPr>
      <w:r>
        <w:rPr>
          <w:rFonts w:hint="eastAsia" w:ascii="宋体" w:hAnsi="宋体" w:eastAsia="宋体" w:cs="宋体"/>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6.3.3 中标人拒绝与采购人签订合同的，采购人可以按照评审报告推荐的中标候选人名单排序，确定下一候选人为中标人，也可以重新开展政府采购活动。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6.3.4采购人不得向中标人提出任何不合理的要求，作为签订合同的条件，不得与中标人私下订立背离合同实质性内容的协议。</w:t>
      </w:r>
      <w:r>
        <w:rPr>
          <w:rFonts w:ascii="宋体" w:hAnsi="宋体" w:eastAsia="宋体" w:cs="宋体"/>
        </w:rPr>
      </w:r>
      <w:r/>
    </w:p>
    <w:p>
      <w:pPr>
        <w:pStyle w:val="720"/>
        <w:ind w:firstLine="482"/>
        <w:spacing w:line="400" w:lineRule="exact"/>
        <w:rPr>
          <w:rFonts w:ascii="宋体" w:hAnsi="宋体" w:cs="宋体"/>
        </w:rPr>
      </w:pPr>
      <w:r>
        <w:rPr>
          <w:rFonts w:hint="eastAsia" w:ascii="宋体" w:hAnsi="宋体" w:eastAsia="宋体" w:cs="宋体"/>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26"/>
      <w:r/>
      <w:bookmarkEnd w:id="127"/>
      <w:r/>
      <w:bookmarkEnd w:id="128"/>
      <w:r>
        <w:rPr>
          <w:rFonts w:ascii="宋体" w:hAnsi="宋体" w:cs="宋体"/>
        </w:rPr>
      </w:r>
      <w:r/>
    </w:p>
    <w:p>
      <w:pPr>
        <w:pStyle w:val="973"/>
        <w:ind w:firstLine="0"/>
        <w:jc w:val="center"/>
        <w:spacing w:before="120" w:after="0" w:line="360" w:lineRule="auto"/>
        <w:rPr>
          <w:rFonts w:ascii="宋体" w:hAnsi="宋体" w:eastAsia="宋体" w:cs="宋体"/>
          <w:b/>
          <w:bCs/>
        </w:rPr>
      </w:pPr>
      <w:r/>
      <w:bookmarkStart w:id="131" w:name="_Toc27257"/>
      <w:r>
        <w:rPr>
          <w:rFonts w:hint="eastAsia" w:ascii="宋体" w:hAnsi="宋体" w:eastAsia="宋体" w:cs="宋体"/>
          <w:b/>
          <w:bCs/>
        </w:rPr>
        <w:t xml:space="preserve">七、废标、质疑与投诉</w:t>
      </w:r>
      <w:bookmarkEnd w:id="131"/>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132" w:name="_Toc10664"/>
      <w:r/>
      <w:bookmarkStart w:id="133" w:name="_Toc2774"/>
      <w:r/>
      <w:bookmarkStart w:id="134" w:name="_Toc22258"/>
      <w:r/>
      <w:bookmarkStart w:id="135" w:name="_Toc25163"/>
      <w:r>
        <w:rPr>
          <w:rFonts w:hint="eastAsia" w:ascii="黑体" w:cs="黑体"/>
          <w:b/>
          <w:bCs/>
          <w:sz w:val="22"/>
          <w:szCs w:val="22"/>
        </w:rPr>
        <w:t xml:space="preserve">7.1 废标</w:t>
      </w:r>
      <w:bookmarkEnd w:id="132"/>
      <w:r/>
      <w:bookmarkEnd w:id="133"/>
      <w:r/>
      <w:bookmarkEnd w:id="134"/>
      <w:r/>
      <w:bookmarkEnd w:id="135"/>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7.1.1 在招标采购过程中，有下列情况之一时，采购人应当予以废标，并将理由通知所有投标人：</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（1）符合专业条件的投标人或招标文件作实质响应的投标人不足三家的；</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（2）出现影响采购公正的违法、违规行为的；</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（3）投标人的报价均超过了采购预算，采购人不能支付的；</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（4）因重大变故，采购任务取消的。</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7.1.2 废标后，除采购任务取消情形外，招标采购人应当重新组织招标；需要采取其他采购方式的，应当在采购活动开始前获得财政部门的批准。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7.1.3 公开招标数额标准以上的采购项目，投标截止后投标人不足3家或者招标文件作实质响应的投标人不足3家的，除采购任务取消情形外，按照以下方式处理：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rPr>
          <w:rFonts w:ascii="宋体" w:hAnsi="宋体" w:eastAsia="宋体" w:cs="宋体"/>
        </w:rPr>
      </w:r>
      <w:r/>
    </w:p>
    <w:p>
      <w:pPr>
        <w:pStyle w:val="720"/>
        <w:ind w:firstLine="482"/>
        <w:spacing w:line="400" w:lineRule="exact"/>
        <w:rPr>
          <w:rFonts w:ascii="华文中宋" w:hAnsi="华文中宋" w:eastAsia="华文中宋" w:cs="宋体"/>
        </w:rPr>
      </w:pPr>
      <w:r>
        <w:rPr>
          <w:rFonts w:hint="eastAsia" w:ascii="宋体" w:hAnsi="宋体" w:eastAsia="宋体" w:cs="宋体"/>
        </w:rPr>
        <w:t xml:space="preserve">（2）招标文件没有不合理条款、招标程序符合规定，需要采用其他采购方式采购的，采购人应当依法报财政部门批准。</w:t>
      </w:r>
      <w:r>
        <w:rPr>
          <w:rFonts w:ascii="华文中宋" w:hAnsi="华文中宋" w:eastAsia="华文中宋" w:cs="宋体"/>
        </w:rPr>
      </w:r>
      <w:r/>
    </w:p>
    <w:p>
      <w:pPr>
        <w:pStyle w:val="973"/>
        <w:ind w:firstLine="482"/>
        <w:spacing w:before="0" w:after="0" w:line="440" w:lineRule="exact"/>
        <w:rPr>
          <w:rFonts w:ascii="黑体" w:cs="黑体"/>
          <w:b/>
          <w:bCs/>
          <w:sz w:val="22"/>
          <w:szCs w:val="22"/>
        </w:rPr>
      </w:pPr>
      <w:r/>
      <w:bookmarkStart w:id="136" w:name="_Toc8333"/>
      <w:r/>
      <w:bookmarkStart w:id="137" w:name="_Toc28657"/>
      <w:r/>
      <w:bookmarkStart w:id="138" w:name="_Toc26328"/>
      <w:r/>
      <w:bookmarkStart w:id="139" w:name="_Toc30375"/>
      <w:r>
        <w:rPr>
          <w:rFonts w:hint="eastAsia" w:ascii="黑体" w:cs="黑体"/>
          <w:b/>
          <w:bCs/>
          <w:sz w:val="22"/>
          <w:szCs w:val="22"/>
        </w:rPr>
        <w:t xml:space="preserve">7.2 质疑</w:t>
      </w:r>
      <w:bookmarkEnd w:id="136"/>
      <w:r/>
      <w:bookmarkEnd w:id="137"/>
      <w:r/>
      <w:bookmarkEnd w:id="138"/>
      <w:r/>
      <w:bookmarkEnd w:id="139"/>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7.2.2 提出质疑的投标人应当是参与本项目采购活动的投标人。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（1）对采购文件提出质疑的，潜在投标人应当在按规定获取采购文件之日起7个工作日内提出。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（2）对采购过程提出质疑的，应在各采购程序环节结束之日起7个工作日内提出。</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（3）对中标结果提出质疑的，应当在中标结果公告届满之日起7个工作日内提出。</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7.2.3 投标人提出质疑应当提交质疑函和必要的证明材料。质疑函应当包括下列内容：</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（1）投标人的姓名或者名称、地址、邮编、联系人及联系电话；</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（2）质疑项目的名称、编号；</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（3）具体、明确的质疑事项和与质疑事项相关的请求；</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（4）事实依据；</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（5）必要的法律依据；</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（6）提出质疑的日期。</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7.2.5 除书面形式外，其他任何方式的质疑，采购人或者采购代理机构均不予接收和答复。</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7.2.6 采购人、采购代理机构在收到质疑函后七个工作日内做出答复，并以书面形式通知质疑人和其他有关投标人；但质疑答复的内容不得涉及商业秘密。</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7.2.7 采购人、采购代理机构认为投标人质疑不成立，或者成立但未对中标结果构成影响的，继续开展采购活动；认为投标人质疑成立且影响或者可能影响中标结果的，按照下列情况处理：</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（1）对采购文件提出的质疑，依法通过澄清或者修改可以继续开展采购活动的，澄清或者修改采购文件后继续开展采购活动；否则应当修改采购文件后重新开展采购活动。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（2）对采购过程、中标结果提出的质疑，合格投标人符合法定数量时，可以从合格的中标候选人中另行确定中标人的，应当依法另行确定中标人；否则应当重新开展采购活动。</w:t>
      </w:r>
      <w:r>
        <w:rPr>
          <w:rFonts w:ascii="宋体" w:hAnsi="宋体" w:eastAsia="宋体" w:cs="宋体"/>
        </w:rPr>
      </w:r>
      <w:r/>
    </w:p>
    <w:p>
      <w:pPr>
        <w:pStyle w:val="720"/>
        <w:ind w:firstLine="482"/>
        <w:spacing w:line="400" w:lineRule="exact"/>
        <w:rPr>
          <w:rFonts w:ascii="宋体" w:hAnsi="宋体" w:eastAsia="宋体" w:cs="宋体"/>
        </w:rPr>
      </w:pPr>
      <w:r>
        <w:rPr>
          <w:rFonts w:hint="eastAsia" w:ascii="宋体" w:hAnsi="宋体" w:eastAsia="宋体" w:cs="宋体"/>
        </w:rPr>
        <w:t xml:space="preserve">质疑答复导致中标结果改变的，采购人或者采购代理机构应当将有关情况书面报告本级财政部门。</w:t>
      </w:r>
      <w:r>
        <w:rPr>
          <w:rFonts w:ascii="宋体" w:hAnsi="宋体" w:eastAsia="宋体" w:cs="宋体"/>
        </w:rPr>
      </w:r>
      <w:r/>
    </w:p>
    <w:p>
      <w:pPr>
        <w:pStyle w:val="720"/>
        <w:ind w:firstLine="482"/>
        <w:jc w:val="left"/>
        <w:spacing w:line="400" w:lineRule="exact"/>
        <w:rPr>
          <w:rFonts w:ascii="华文中宋" w:hAnsi="华文中宋" w:eastAsia="华文中宋" w:cs="宋体"/>
        </w:rPr>
      </w:pPr>
      <w:r>
        <w:rPr>
          <w:rFonts w:hint="eastAsia" w:ascii="宋体" w:hAnsi="宋体" w:eastAsia="宋体" w:cs="宋体"/>
        </w:rPr>
        <w:t xml:space="preserve">7.2.8 质疑人对采购人、采购代理机构的答复不满意，或者采购人、采购代理机构未在规定的时间内做出答复的，可以在答复期满后15个工作日内，向投标人须知前附表规定的财政部门提起投诉。</w:t>
      </w:r>
      <w:r>
        <w:rPr>
          <w:rFonts w:ascii="华文中宋" w:hAnsi="华文中宋" w:eastAsia="华文中宋" w:cs="宋体"/>
        </w:rPr>
      </w:r>
      <w:r/>
    </w:p>
    <w:p>
      <w:pPr>
        <w:pStyle w:val="973"/>
        <w:ind w:firstLine="0"/>
        <w:jc w:val="center"/>
        <w:spacing w:before="120" w:after="0" w:line="360" w:lineRule="auto"/>
        <w:rPr>
          <w:rFonts w:ascii="宋体" w:hAnsi="宋体" w:eastAsia="宋体" w:cs="宋体"/>
          <w:b/>
          <w:bCs/>
        </w:rPr>
      </w:pPr>
      <w:r/>
      <w:bookmarkStart w:id="140" w:name="_Toc7709"/>
      <w:r>
        <w:rPr>
          <w:rFonts w:hint="eastAsia" w:ascii="宋体" w:hAnsi="宋体" w:eastAsia="宋体" w:cs="宋体"/>
          <w:b/>
          <w:bCs/>
        </w:rPr>
        <w:t xml:space="preserve">八、其他事宜</w:t>
      </w:r>
      <w:bookmarkEnd w:id="140"/>
      <w:r>
        <w:rPr>
          <w:rFonts w:ascii="宋体" w:hAnsi="宋体" w:eastAsia="宋体" w:cs="宋体"/>
          <w:b/>
          <w:bCs/>
        </w:rPr>
      </w:r>
      <w:r/>
    </w:p>
    <w:p>
      <w:pPr>
        <w:pStyle w:val="973"/>
        <w:ind w:firstLine="482"/>
        <w:spacing w:before="0" w:after="0" w:line="440" w:lineRule="exact"/>
        <w:rPr>
          <w:rFonts w:ascii="黑体" w:cs="黑体"/>
          <w:b/>
          <w:bCs/>
          <w:sz w:val="22"/>
          <w:szCs w:val="22"/>
        </w:rPr>
      </w:pPr>
      <w:r/>
      <w:bookmarkStart w:id="141" w:name="_Toc21692"/>
      <w:r/>
      <w:bookmarkStart w:id="142" w:name="_Toc6452"/>
      <w:r/>
      <w:bookmarkStart w:id="143" w:name="_Toc10386"/>
      <w:r/>
      <w:bookmarkStart w:id="144" w:name="_Toc10987"/>
      <w:r>
        <w:rPr>
          <w:rFonts w:hint="eastAsia" w:ascii="黑体" w:cs="黑体"/>
          <w:b/>
          <w:bCs/>
          <w:sz w:val="22"/>
          <w:szCs w:val="22"/>
        </w:rPr>
        <w:t xml:space="preserve">8.1 </w:t>
      </w:r>
      <w:bookmarkEnd w:id="141"/>
      <w:r/>
      <w:bookmarkEnd w:id="142"/>
      <w:r/>
      <w:bookmarkEnd w:id="143"/>
      <w:r>
        <w:rPr>
          <w:rFonts w:hint="eastAsia" w:ascii="黑体" w:cs="黑体"/>
          <w:b/>
          <w:bCs/>
          <w:sz w:val="22"/>
          <w:szCs w:val="22"/>
        </w:rPr>
        <w:t xml:space="preserve">补充的其他内容</w:t>
      </w:r>
      <w:bookmarkEnd w:id="144"/>
      <w:r>
        <w:rPr>
          <w:rFonts w:ascii="黑体" w:cs="黑体"/>
          <w:b/>
          <w:bCs/>
          <w:sz w:val="22"/>
          <w:szCs w:val="22"/>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8.1.1 自获取招标文件之日起，投标人与招标人之间与投标有关的所有往来通知、函件和文件，均应采用书面形式。投标人与招标人之间口头沟通无效，不能作为采购活动有效依据。</w:t>
      </w:r>
      <w:r>
        <w:rPr>
          <w:rFonts w:ascii="宋体" w:hAnsi="宋体" w:eastAsia="宋体" w:cs="宋体"/>
        </w:rPr>
      </w:r>
      <w:r/>
    </w:p>
    <w:p>
      <w:pPr>
        <w:pStyle w:val="720"/>
        <w:ind w:firstLine="482"/>
        <w:jc w:val="left"/>
        <w:spacing w:line="400" w:lineRule="exact"/>
        <w:rPr>
          <w:rFonts w:ascii="宋体" w:hAnsi="宋体" w:eastAsia="宋体" w:cs="宋体"/>
        </w:rPr>
      </w:pPr>
      <w:r>
        <w:rPr>
          <w:rFonts w:hint="eastAsia" w:ascii="宋体" w:hAnsi="宋体" w:eastAsia="宋体" w:cs="宋体"/>
        </w:rPr>
        <w:t xml:space="preserve">8.1.2 其他未尽事宜按照《中华人民共和国政府采购法》及相关法律、法规、规章的有关规定执行。</w:t>
      </w:r>
      <w:r>
        <w:rPr>
          <w:rFonts w:ascii="宋体" w:hAnsi="宋体" w:eastAsia="宋体" w:cs="宋体"/>
        </w:rPr>
      </w:r>
      <w:r/>
    </w:p>
    <w:p>
      <w:pPr>
        <w:pStyle w:val="720"/>
        <w:ind w:firstLine="482"/>
        <w:spacing w:line="400" w:lineRule="exact"/>
        <w:rPr>
          <w:rFonts w:ascii="华文中宋" w:hAnsi="华文中宋" w:eastAsia="宋体" w:cs="宋体"/>
        </w:rPr>
      </w:pPr>
      <w:r>
        <w:rPr>
          <w:rFonts w:hint="eastAsia" w:ascii="宋体" w:hAnsi="宋体" w:eastAsia="宋体" w:cs="宋体"/>
        </w:rPr>
        <w:t xml:space="preserve">采购人需要补充的其他内容：见投标人须知前附表。</w:t>
      </w:r>
      <w:r>
        <w:rPr>
          <w:rFonts w:ascii="华文中宋" w:hAnsi="华文中宋" w:eastAsia="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720"/>
        <w:ind w:firstLine="420"/>
        <w:spacing w:line="440" w:lineRule="exact"/>
        <w:rPr>
          <w:rFonts w:ascii="宋体" w:hAnsi="宋体" w:cs="宋体"/>
        </w:rPr>
      </w:pPr>
      <w:r>
        <w:rPr>
          <w:rFonts w:ascii="宋体" w:hAnsi="宋体" w:cs="宋体"/>
        </w:rPr>
      </w:r>
      <w:r/>
    </w:p>
    <w:p>
      <w:pPr>
        <w:pStyle w:val="969"/>
        <w:jc w:val="center"/>
        <w:spacing w:after="20" w:line="360" w:lineRule="auto"/>
        <w:rPr>
          <w:rFonts w:ascii="微软雅黑" w:hAnsi="微软雅黑" w:eastAsia="微软雅黑" w:cs="微软雅黑"/>
          <w:b w:val="0"/>
          <w:bCs w:val="0"/>
          <w:sz w:val="36"/>
          <w:szCs w:val="36"/>
        </w:rPr>
      </w:pPr>
      <w:r/>
      <w:bookmarkStart w:id="145" w:name="_Toc10363"/>
      <w:r/>
      <w:bookmarkStart w:id="146" w:name="_Toc765"/>
      <w:r/>
      <w:bookmarkStart w:id="147" w:name="_Toc22368"/>
      <w:r>
        <w:rPr>
          <w:rFonts w:hint="eastAsia" w:ascii="微软雅黑" w:hAnsi="微软雅黑" w:eastAsia="微软雅黑" w:cs="微软雅黑"/>
          <w:b w:val="0"/>
          <w:bCs w:val="0"/>
          <w:sz w:val="36"/>
          <w:szCs w:val="36"/>
        </w:rPr>
        <w:t xml:space="preserve">第三章 资格审查办法</w:t>
      </w:r>
      <w:bookmarkEnd w:id="145"/>
      <w:r/>
      <w:bookmarkEnd w:id="146"/>
      <w:r/>
      <w:bookmarkEnd w:id="147"/>
      <w:r>
        <w:rPr>
          <w:rFonts w:ascii="微软雅黑" w:hAnsi="微软雅黑" w:eastAsia="微软雅黑" w:cs="微软雅黑"/>
          <w:b w:val="0"/>
          <w:bCs w:val="0"/>
          <w:sz w:val="36"/>
          <w:szCs w:val="36"/>
        </w:rPr>
      </w:r>
      <w:r/>
    </w:p>
    <w:p>
      <w:pPr>
        <w:pStyle w:val="973"/>
        <w:contextualSpacing w:val="0"/>
        <w:ind w:firstLine="0"/>
        <w:jc w:val="left"/>
        <w:spacing w:before="0" w:after="0" w:line="240" w:lineRule="auto"/>
        <w:rPr>
          <w:rFonts w:ascii="黑体" w:cs="黑体"/>
          <w:sz w:val="22"/>
          <w:szCs w:val="18"/>
        </w:rPr>
        <w:suppressLineNumbers w:val="0"/>
      </w:pPr>
      <w:r/>
      <w:bookmarkStart w:id="148" w:name="_Toc144974438"/>
      <w:r/>
      <w:bookmarkStart w:id="149" w:name="_Toc179715727"/>
      <w:r/>
      <w:bookmarkStart w:id="150" w:name="_Toc152047234"/>
      <w:r/>
      <w:bookmarkStart w:id="151" w:name="_Toc17931"/>
      <w:r/>
      <w:bookmarkStart w:id="152" w:name="_Toc28292"/>
      <w:r/>
      <w:bookmarkStart w:id="153" w:name="_Toc4791"/>
      <w:r/>
      <w:bookmarkStart w:id="154" w:name="_Toc234382664"/>
      <w:r>
        <w:rPr>
          <w:rFonts w:hint="eastAsia" w:ascii="黑体" w:cs="黑体"/>
          <w:sz w:val="22"/>
          <w:szCs w:val="18"/>
        </w:rPr>
        <w:t xml:space="preserve">1.审查方法</w:t>
      </w:r>
      <w:bookmarkEnd w:id="148"/>
      <w:r/>
      <w:bookmarkEnd w:id="149"/>
      <w:r/>
      <w:bookmarkEnd w:id="150"/>
      <w:r/>
      <w:bookmarkEnd w:id="151"/>
      <w:r>
        <w:rPr>
          <w:rFonts w:ascii="黑体" w:cs="黑体"/>
          <w:sz w:val="22"/>
          <w:szCs w:val="18"/>
        </w:rPr>
      </w:r>
      <w:r/>
    </w:p>
    <w:p>
      <w:pPr>
        <w:pStyle w:val="720"/>
        <w:contextualSpacing w:val="0"/>
        <w:ind w:firstLine="396"/>
        <w:jc w:val="left"/>
        <w:spacing w:before="0" w:after="0" w:line="240" w:lineRule="auto"/>
        <w:rPr>
          <w:rFonts w:ascii="宋体" w:hAnsi="宋体" w:cs="宋体"/>
        </w:rPr>
        <w:suppressLineNumbers w:val="0"/>
      </w:pPr>
      <w:r>
        <w:rPr>
          <w:rFonts w:hint="eastAsia" w:ascii="宋体" w:hAnsi="宋体" w:cs="宋体"/>
        </w:rPr>
        <w:t xml:space="preserve">1.1 资格审查由采购人或者采购代理机构组成的评审小组依法对投标人的资格进行审查。</w:t>
      </w:r>
      <w:r>
        <w:rPr>
          <w:rFonts w:ascii="宋体" w:hAnsi="宋体" w:cs="宋体"/>
        </w:rPr>
      </w:r>
      <w:r/>
    </w:p>
    <w:p>
      <w:pPr>
        <w:pStyle w:val="720"/>
        <w:contextualSpacing w:val="0"/>
        <w:ind w:firstLine="396"/>
        <w:jc w:val="left"/>
        <w:spacing w:before="0" w:after="0" w:line="240" w:lineRule="auto"/>
        <w:rPr>
          <w:rFonts w:ascii="宋体" w:hAnsi="宋体" w:cs="宋体"/>
          <w:sz w:val="24"/>
          <w:szCs w:val="24"/>
        </w:rPr>
        <w:suppressLineNumbers w:val="0"/>
      </w:pPr>
      <w:r>
        <w:rPr>
          <w:rFonts w:hint="eastAsia" w:ascii="宋体" w:hAnsi="宋体" w:cs="宋体"/>
        </w:rPr>
        <w:t xml:space="preserve">1.2 凡符合本章资格审查标准的投标人均通过资格审查，并进入评标。</w:t>
      </w:r>
      <w:r>
        <w:rPr>
          <w:rFonts w:ascii="宋体" w:hAnsi="宋体" w:cs="宋体"/>
          <w:sz w:val="24"/>
          <w:szCs w:val="24"/>
        </w:rPr>
      </w:r>
      <w:r/>
    </w:p>
    <w:p>
      <w:pPr>
        <w:pStyle w:val="973"/>
        <w:contextualSpacing w:val="0"/>
        <w:ind w:firstLine="0"/>
        <w:jc w:val="left"/>
        <w:spacing w:before="0" w:after="0" w:line="240" w:lineRule="auto"/>
        <w:rPr>
          <w:rFonts w:ascii="黑体" w:cs="黑体"/>
        </w:rPr>
        <w:suppressLineNumbers w:val="0"/>
      </w:pPr>
      <w:r/>
      <w:bookmarkStart w:id="155" w:name="_Toc144974439"/>
      <w:r/>
      <w:bookmarkStart w:id="156" w:name="_Toc152047235"/>
      <w:r/>
      <w:bookmarkStart w:id="157" w:name="_Toc179715728"/>
      <w:r/>
      <w:bookmarkStart w:id="158" w:name="_Toc25613"/>
      <w:r>
        <w:rPr>
          <w:rFonts w:hint="eastAsia" w:ascii="黑体" w:cs="黑体"/>
        </w:rPr>
        <w:t xml:space="preserve">2.审查标准</w:t>
      </w:r>
      <w:bookmarkEnd w:id="155"/>
      <w:r/>
      <w:bookmarkEnd w:id="156"/>
      <w:r/>
      <w:bookmarkEnd w:id="157"/>
      <w:r/>
      <w:bookmarkEnd w:id="158"/>
      <w:r>
        <w:rPr>
          <w:rFonts w:ascii="黑体" w:cs="黑体"/>
        </w:rPr>
      </w:r>
      <w:r/>
    </w:p>
    <w:p>
      <w:pPr>
        <w:pStyle w:val="720"/>
        <w:contextualSpacing w:val="0"/>
        <w:ind w:firstLine="442"/>
        <w:jc w:val="left"/>
        <w:spacing w:before="0" w:after="0" w:line="240" w:lineRule="auto"/>
        <w:rPr>
          <w:rFonts w:ascii="黑体" w:hAnsi="黑体" w:eastAsia="黑体" w:cs="宋体"/>
          <w:b/>
          <w:bCs/>
          <w:i/>
          <w:iCs/>
          <w:sz w:val="21"/>
          <w:szCs w:val="21"/>
        </w:rPr>
        <w:suppressLineNumbers w:val="0"/>
      </w:pPr>
      <w:r>
        <w:rPr>
          <w:rFonts w:hint="eastAsia" w:ascii="宋体" w:hAnsi="宋体" w:cs="宋体"/>
        </w:rPr>
        <w:t xml:space="preserve">2.1 投标人有不符合下列情形之一的，不能通过资格审查，</w:t>
      </w:r>
      <w:r>
        <w:rPr>
          <w:rFonts w:hint="eastAsia" w:ascii="隶书" w:hAnsi="隶书" w:eastAsia="隶书" w:cs="隶书"/>
          <w:i/>
          <w:iCs/>
          <w:sz w:val="24"/>
          <w:szCs w:val="24"/>
        </w:rPr>
        <w:t xml:space="preserve">其投标无效</w:t>
      </w:r>
      <w:r>
        <w:rPr>
          <w:rFonts w:hint="eastAsia" w:ascii="隶书" w:hAnsi="隶书" w:eastAsia="隶书" w:cs="隶书"/>
          <w:b/>
          <w:bCs/>
        </w:rPr>
        <w:t xml:space="preserve">：</w:t>
      </w:r>
      <w:r>
        <w:rPr>
          <w:rFonts w:ascii="黑体" w:hAnsi="黑体" w:eastAsia="黑体" w:cs="宋体"/>
          <w:b/>
          <w:bCs/>
          <w:i/>
          <w:iCs/>
          <w:sz w:val="21"/>
          <w:szCs w:val="21"/>
        </w:rPr>
      </w:r>
      <w:r/>
    </w:p>
    <w:tbl>
      <w:tblPr>
        <w:tblW w:w="848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4018"/>
        <w:gridCol w:w="3729"/>
      </w:tblGrid>
      <w:tr>
        <w:trPr>
          <w:trHeight w:val="503"/>
        </w:trPr>
        <w:tc>
          <w:tcPr>
            <w:tcW w:w="736" w:type="dxa"/>
            <w:vAlign w:val="center"/>
            <w:textDirection w:val="lrTb"/>
            <w:noWrap w:val="false"/>
          </w:tcPr>
          <w:p>
            <w:pPr>
              <w:pStyle w:val="720"/>
              <w:contextualSpacing w:val="0"/>
              <w:jc w:val="center"/>
              <w:spacing w:before="0" w:after="0" w:line="240" w:lineRule="auto"/>
              <w:rPr>
                <w:rFonts w:ascii="宋体" w:hAnsi="宋体" w:eastAsia="宋体" w:cs="宋体"/>
                <w:b/>
                <w:bCs/>
                <w:sz w:val="20"/>
                <w:szCs w:val="20"/>
              </w:rPr>
              <w:suppressLineNumbers w:val="0"/>
            </w:pPr>
            <w:r>
              <w:rPr>
                <w:rFonts w:hint="eastAsia" w:ascii="宋体" w:hAnsi="宋体" w:eastAsia="宋体" w:cs="宋体"/>
                <w:b/>
                <w:bCs/>
                <w:sz w:val="20"/>
                <w:szCs w:val="20"/>
              </w:rPr>
              <w:t xml:space="preserve">序号</w:t>
            </w:r>
            <w:r>
              <w:rPr>
                <w:b/>
                <w:bCs/>
              </w:rPr>
            </w:r>
            <w:r/>
          </w:p>
        </w:tc>
        <w:tc>
          <w:tcPr>
            <w:tcW w:w="4018" w:type="dxa"/>
            <w:vAlign w:val="center"/>
            <w:textDirection w:val="lrTb"/>
            <w:noWrap w:val="false"/>
          </w:tcPr>
          <w:p>
            <w:pPr>
              <w:pStyle w:val="720"/>
              <w:contextualSpacing w:val="0"/>
              <w:jc w:val="center"/>
              <w:spacing w:before="0" w:after="0" w:line="240" w:lineRule="auto"/>
              <w:rPr>
                <w:rFonts w:ascii="宋体" w:hAnsi="宋体" w:eastAsia="宋体" w:cs="宋体"/>
                <w:b/>
                <w:bCs/>
                <w:sz w:val="20"/>
                <w:szCs w:val="20"/>
              </w:rPr>
              <w:suppressLineNumbers w:val="0"/>
            </w:pPr>
            <w:r>
              <w:rPr>
                <w:rFonts w:hint="eastAsia" w:ascii="宋体" w:hAnsi="宋体" w:eastAsia="宋体" w:cs="宋体"/>
                <w:b/>
                <w:bCs/>
                <w:sz w:val="20"/>
                <w:szCs w:val="20"/>
              </w:rPr>
              <w:t xml:space="preserve">评审因素</w:t>
            </w:r>
            <w:r>
              <w:rPr>
                <w:b/>
                <w:bCs/>
              </w:rPr>
            </w:r>
            <w:r/>
          </w:p>
        </w:tc>
        <w:tc>
          <w:tcPr>
            <w:tcW w:w="3729" w:type="dxa"/>
            <w:vAlign w:val="center"/>
            <w:textDirection w:val="lrTb"/>
            <w:noWrap w:val="false"/>
          </w:tcPr>
          <w:p>
            <w:pPr>
              <w:pStyle w:val="720"/>
              <w:contextualSpacing w:val="0"/>
              <w:jc w:val="center"/>
              <w:spacing w:before="0" w:after="0" w:line="240" w:lineRule="auto"/>
              <w:rPr>
                <w:rFonts w:ascii="宋体" w:hAnsi="宋体" w:eastAsia="宋体" w:cs="宋体"/>
                <w:b/>
                <w:bCs/>
                <w:sz w:val="20"/>
                <w:szCs w:val="20"/>
              </w:rPr>
              <w:suppressLineNumbers w:val="0"/>
            </w:pPr>
            <w:r>
              <w:rPr>
                <w:rFonts w:hint="eastAsia" w:ascii="宋体" w:hAnsi="宋体" w:eastAsia="宋体" w:cs="宋体"/>
                <w:b/>
                <w:bCs/>
                <w:sz w:val="20"/>
                <w:szCs w:val="20"/>
              </w:rPr>
              <w:t xml:space="preserve">评审标准</w:t>
            </w:r>
            <w:r>
              <w:rPr>
                <w:b/>
                <w:bCs/>
              </w:rPr>
            </w:r>
            <w:r/>
          </w:p>
        </w:tc>
      </w:tr>
      <w:tr>
        <w:trPr>
          <w:trHeight w:val="539"/>
        </w:trPr>
        <w:tc>
          <w:tcPr>
            <w:tcW w:w="736"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1</w:t>
            </w:r>
            <w:r>
              <w:rPr>
                <w:rFonts w:ascii="宋体" w:hAnsi="宋体" w:eastAsia="宋体" w:cs="宋体"/>
                <w:sz w:val="20"/>
                <w:szCs w:val="20"/>
              </w:rPr>
            </w:r>
            <w:r/>
          </w:p>
        </w:tc>
        <w:tc>
          <w:tcPr>
            <w:tcW w:w="4018"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具有独立承担民事责任的能力</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提供了有效的营业执照或事业单位法人登记证书原件扫描件。</w:t>
            </w:r>
            <w:r>
              <w:rPr>
                <w:rFonts w:ascii="宋体" w:hAnsi="宋体" w:eastAsia="宋体" w:cs="宋体"/>
                <w:sz w:val="20"/>
                <w:szCs w:val="20"/>
              </w:rPr>
            </w:r>
            <w:r/>
          </w:p>
        </w:tc>
      </w:tr>
      <w:tr>
        <w:trPr>
          <w:trHeight w:val="448"/>
        </w:trPr>
        <w:tc>
          <w:tcPr>
            <w:tcW w:w="736"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2</w:t>
            </w:r>
            <w:r>
              <w:rPr>
                <w:rFonts w:ascii="宋体" w:hAnsi="宋体" w:eastAsia="宋体" w:cs="宋体"/>
                <w:sz w:val="20"/>
                <w:szCs w:val="20"/>
              </w:rPr>
            </w:r>
            <w:r/>
          </w:p>
        </w:tc>
        <w:tc>
          <w:tcPr>
            <w:tcW w:w="4018"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具有良好的商业信誉和健全的财务会计制度</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按投标文件格式要求提供了声明函。</w:t>
            </w:r>
            <w:r>
              <w:rPr>
                <w:rFonts w:ascii="宋体" w:hAnsi="宋体" w:eastAsia="宋体" w:cs="宋体"/>
                <w:sz w:val="20"/>
                <w:szCs w:val="20"/>
              </w:rPr>
            </w:r>
            <w:r/>
          </w:p>
        </w:tc>
      </w:tr>
      <w:tr>
        <w:trPr>
          <w:trHeight w:val="466"/>
        </w:trPr>
        <w:tc>
          <w:tcPr>
            <w:tcW w:w="736"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3</w:t>
            </w:r>
            <w:r>
              <w:rPr>
                <w:rFonts w:ascii="宋体" w:hAnsi="宋体" w:eastAsia="宋体" w:cs="宋体"/>
                <w:sz w:val="20"/>
                <w:szCs w:val="20"/>
              </w:rPr>
            </w:r>
            <w:r/>
          </w:p>
        </w:tc>
        <w:tc>
          <w:tcPr>
            <w:tcW w:w="4018"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具有履行合同所必需的设备和专业技术能力</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按投标文件格式要求提供了声明函。</w:t>
            </w:r>
            <w:r>
              <w:rPr>
                <w:rFonts w:ascii="宋体" w:hAnsi="宋体" w:eastAsia="宋体" w:cs="宋体"/>
                <w:sz w:val="20"/>
                <w:szCs w:val="20"/>
              </w:rPr>
            </w:r>
            <w:r/>
          </w:p>
        </w:tc>
      </w:tr>
      <w:tr>
        <w:trPr>
          <w:trHeight w:val="485"/>
        </w:trPr>
        <w:tc>
          <w:tcPr>
            <w:tcW w:w="736"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4</w:t>
            </w:r>
            <w:r>
              <w:rPr>
                <w:rFonts w:ascii="宋体" w:hAnsi="宋体" w:eastAsia="宋体" w:cs="宋体"/>
                <w:sz w:val="20"/>
                <w:szCs w:val="20"/>
              </w:rPr>
            </w:r>
            <w:r/>
          </w:p>
        </w:tc>
        <w:tc>
          <w:tcPr>
            <w:tcW w:w="4018"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有依法缴纳税收和社会保障资金的良好记录</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按投标文件格式要求提供了声明函。</w:t>
            </w:r>
            <w:r>
              <w:rPr>
                <w:rFonts w:ascii="宋体" w:hAnsi="宋体" w:eastAsia="宋体" w:cs="宋体"/>
                <w:sz w:val="20"/>
                <w:szCs w:val="20"/>
              </w:rPr>
            </w:r>
            <w:r/>
          </w:p>
        </w:tc>
      </w:tr>
      <w:tr>
        <w:trPr>
          <w:trHeight w:val="530"/>
        </w:trPr>
        <w:tc>
          <w:tcPr>
            <w:tcW w:w="736"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5</w:t>
            </w:r>
            <w:r>
              <w:rPr>
                <w:rFonts w:ascii="宋体" w:hAnsi="宋体" w:eastAsia="宋体" w:cs="宋体"/>
                <w:sz w:val="20"/>
                <w:szCs w:val="20"/>
              </w:rPr>
            </w:r>
            <w:r/>
          </w:p>
        </w:tc>
        <w:tc>
          <w:tcPr>
            <w:tcW w:w="4018"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参加政府采购活动前3年内在经营活动中没有重大违法记录</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按投标文件格式要求提供了声明函。</w:t>
            </w:r>
            <w:r>
              <w:rPr>
                <w:rFonts w:ascii="宋体" w:hAnsi="宋体" w:eastAsia="宋体" w:cs="宋体"/>
                <w:sz w:val="20"/>
                <w:szCs w:val="20"/>
              </w:rPr>
            </w:r>
            <w:r/>
          </w:p>
        </w:tc>
      </w:tr>
      <w:tr>
        <w:trPr>
          <w:trHeight w:val="430"/>
        </w:trPr>
        <w:tc>
          <w:tcPr>
            <w:tcW w:w="736" w:type="dxa"/>
            <w:vAlign w:val="center"/>
            <w:vMerge w:val="restart"/>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6</w:t>
            </w:r>
            <w:r>
              <w:rPr>
                <w:rFonts w:ascii="宋体" w:hAnsi="宋体" w:eastAsia="宋体" w:cs="宋体"/>
                <w:sz w:val="20"/>
                <w:szCs w:val="20"/>
              </w:rPr>
            </w:r>
            <w:r/>
          </w:p>
        </w:tc>
        <w:tc>
          <w:tcPr>
            <w:tcW w:w="4018" w:type="dxa"/>
            <w:vAlign w:val="center"/>
            <w:vMerge w:val="restart"/>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其他条件</w:t>
            </w: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投标人单独投标，未组成联合体。</w:t>
            </w:r>
            <w:r>
              <w:rPr>
                <w:rFonts w:ascii="宋体" w:hAnsi="宋体" w:eastAsia="宋体" w:cs="宋体"/>
                <w:sz w:val="20"/>
                <w:szCs w:val="20"/>
              </w:rPr>
            </w:r>
            <w:r/>
          </w:p>
        </w:tc>
      </w:tr>
      <w:tr>
        <w:trPr>
          <w:trHeight w:val="640"/>
        </w:trPr>
        <w:tc>
          <w:tcPr>
            <w:tcW w:w="736" w:type="dxa"/>
            <w:vAlign w:val="center"/>
            <w:vMerge w:val="continue"/>
            <w:textDirection w:val="lrTb"/>
            <w:noWrap w:val="false"/>
          </w:tcPr>
          <w:p>
            <w:pPr>
              <w:pStyle w:val="720"/>
              <w:jc w:val="center"/>
              <w:spacing w:line="240" w:lineRule="atLeast"/>
              <w:rPr>
                <w:rFonts w:ascii="宋体" w:hAnsi="宋体" w:eastAsia="宋体" w:cs="宋体"/>
                <w:sz w:val="20"/>
                <w:szCs w:val="20"/>
              </w:rPr>
            </w:pPr>
            <w:r>
              <w:rPr>
                <w:rFonts w:ascii="宋体" w:hAnsi="宋体" w:eastAsia="宋体" w:cs="宋体"/>
                <w:sz w:val="20"/>
                <w:szCs w:val="20"/>
              </w:rPr>
            </w:r>
            <w:r/>
          </w:p>
        </w:tc>
        <w:tc>
          <w:tcPr>
            <w:tcW w:w="4018" w:type="dxa"/>
            <w:vAlign w:val="center"/>
            <w:vMerge w:val="continue"/>
            <w:textDirection w:val="lrTb"/>
            <w:noWrap w:val="false"/>
          </w:tcPr>
          <w:p>
            <w:pPr>
              <w:pStyle w:val="720"/>
              <w:jc w:val="center"/>
              <w:spacing w:line="240" w:lineRule="atLeast"/>
              <w:rPr>
                <w:rFonts w:ascii="宋体" w:hAnsi="宋体" w:eastAsia="宋体" w:cs="宋体"/>
                <w:sz w:val="20"/>
                <w:szCs w:val="20"/>
              </w:rPr>
            </w:pPr>
            <w:r>
              <w:rPr>
                <w:rFonts w:ascii="宋体" w:hAnsi="宋体" w:eastAsia="宋体" w:cs="宋体"/>
                <w:sz w:val="20"/>
                <w:szCs w:val="20"/>
              </w:rPr>
            </w:r>
            <w:r/>
          </w:p>
        </w:tc>
        <w:tc>
          <w:tcPr>
            <w:tcW w:w="3729" w:type="dxa"/>
            <w:vAlign w:val="center"/>
            <w:textDirection w:val="lrTb"/>
            <w:noWrap w:val="false"/>
          </w:tcPr>
          <w:p>
            <w:pPr>
              <w:pStyle w:val="720"/>
              <w:contextualSpacing w:val="0"/>
              <w:jc w:val="left"/>
              <w:spacing w:before="0" w:after="0" w:line="240" w:lineRule="auto"/>
              <w:rPr>
                <w:rFonts w:ascii="宋体" w:hAnsi="宋体" w:eastAsia="宋体" w:cs="宋体"/>
                <w:sz w:val="20"/>
                <w:szCs w:val="20"/>
              </w:rPr>
              <w:suppressLineNumbers w:val="0"/>
            </w:pPr>
            <w:r>
              <w:rPr>
                <w:rFonts w:hint="eastAsia" w:ascii="宋体" w:hAnsi="宋体" w:eastAsia="宋体" w:cs="宋体"/>
                <w:sz w:val="20"/>
                <w:szCs w:val="20"/>
              </w:rPr>
              <w:t xml:space="preserve">按投标文件格式要求提供了政府采购诚信投标承诺书。</w:t>
            </w:r>
            <w:r>
              <w:rPr>
                <w:rFonts w:ascii="宋体" w:hAnsi="宋体" w:eastAsia="宋体" w:cs="宋体"/>
                <w:sz w:val="20"/>
                <w:szCs w:val="20"/>
              </w:rPr>
            </w:r>
            <w:r/>
          </w:p>
        </w:tc>
      </w:tr>
    </w:tbl>
    <w:p>
      <w:pPr>
        <w:pStyle w:val="720"/>
        <w:contextualSpacing w:val="0"/>
        <w:ind w:firstLine="442"/>
        <w:jc w:val="left"/>
        <w:spacing w:before="0" w:after="0" w:line="240" w:lineRule="auto"/>
        <w:rPr>
          <w:rFonts w:ascii="黑体" w:hAnsi="黑体" w:eastAsia="黑体" w:cs="宋体"/>
          <w:b/>
          <w:bCs/>
        </w:rPr>
        <w:suppressLineNumbers w:val="0"/>
      </w:pPr>
      <w:r>
        <w:rPr>
          <w:rFonts w:hint="eastAsia" w:ascii="隶书" w:hAnsi="隶书" w:eastAsia="隶书" w:cs="隶书"/>
          <w:i/>
          <w:iCs/>
        </w:rPr>
        <w:t xml:space="preserve">2.2 </w:t>
      </w:r>
      <w:r>
        <w:rPr>
          <w:rFonts w:hint="eastAsia" w:ascii="隶书" w:hAnsi="隶书" w:eastAsia="隶书" w:cs="隶书"/>
          <w:sz w:val="24"/>
          <w:szCs w:val="24"/>
        </w:rPr>
        <w:t xml:space="preserve">未能通过资格审查的投标文件作无效投标文件处理，其投标文件不再提交评标委员会进行评标</w:t>
      </w:r>
      <w:r>
        <w:rPr>
          <w:rFonts w:hint="eastAsia" w:ascii="隶书" w:hAnsi="隶书" w:eastAsia="隶书" w:cs="隶书"/>
          <w:b/>
          <w:bCs/>
          <w:sz w:val="24"/>
          <w:szCs w:val="24"/>
        </w:rPr>
        <w:t xml:space="preserve">。</w:t>
      </w:r>
      <w:r>
        <w:rPr>
          <w:rFonts w:ascii="黑体" w:hAnsi="黑体" w:eastAsia="黑体" w:cs="宋体"/>
          <w:b/>
          <w:bCs/>
        </w:rPr>
      </w:r>
      <w:r/>
    </w:p>
    <w:p>
      <w:pPr>
        <w:pStyle w:val="973"/>
        <w:contextualSpacing w:val="0"/>
        <w:ind w:firstLine="0"/>
        <w:jc w:val="left"/>
        <w:spacing w:before="0" w:after="0" w:line="240" w:lineRule="auto"/>
        <w:rPr>
          <w:rFonts w:ascii="黑体" w:cs="黑体"/>
          <w:sz w:val="22"/>
          <w:szCs w:val="18"/>
        </w:rPr>
        <w:suppressLineNumbers w:val="0"/>
      </w:pPr>
      <w:r/>
      <w:bookmarkStart w:id="159" w:name="_Toc14756"/>
      <w:r>
        <w:rPr>
          <w:rFonts w:hint="eastAsia" w:ascii="黑体" w:cs="黑体"/>
          <w:sz w:val="22"/>
          <w:szCs w:val="18"/>
        </w:rPr>
        <w:t xml:space="preserve">3.澄清、说明或者补正</w:t>
      </w:r>
      <w:bookmarkEnd w:id="159"/>
      <w:r>
        <w:rPr>
          <w:rFonts w:ascii="黑体" w:cs="黑体"/>
          <w:sz w:val="22"/>
          <w:szCs w:val="18"/>
        </w:rPr>
      </w:r>
      <w:r/>
    </w:p>
    <w:p>
      <w:pPr>
        <w:pStyle w:val="720"/>
        <w:contextualSpacing w:val="0"/>
        <w:ind w:firstLine="396"/>
        <w:jc w:val="left"/>
        <w:spacing w:before="0" w:after="0" w:line="240" w:lineRule="auto"/>
        <w:rPr>
          <w:rFonts w:ascii="宋体" w:hAnsi="宋体" w:cs="宋体"/>
        </w:rPr>
        <w:suppressLineNumbers w:val="0"/>
      </w:pPr>
      <w:r>
        <w:rPr>
          <w:rFonts w:hint="eastAsia" w:ascii="宋体" w:hAnsi="宋体" w:cs="宋体"/>
        </w:rPr>
        <w:t xml:space="preserve">3.1在资格审查过程中，资格评审小组可以通过【询标】按钮要求投标人对所提交的资格证明文件中不明确的内容进行必要的澄清、说明或者补正。</w:t>
      </w:r>
      <w:r>
        <w:rPr>
          <w:rFonts w:ascii="宋体" w:hAnsi="宋体" w:cs="宋体"/>
        </w:rPr>
      </w:r>
      <w:r/>
    </w:p>
    <w:p>
      <w:pPr>
        <w:pStyle w:val="720"/>
        <w:contextualSpacing w:val="0"/>
        <w:ind w:firstLine="396"/>
        <w:jc w:val="left"/>
        <w:spacing w:before="0" w:after="0" w:line="240" w:lineRule="auto"/>
        <w:rPr>
          <w:rFonts w:ascii="宋体" w:hAnsi="宋体" w:cs="宋体"/>
        </w:rPr>
        <w:suppressLineNumbers w:val="0"/>
      </w:pPr>
      <w:r>
        <w:rPr>
          <w:rFonts w:hint="eastAsia" w:ascii="宋体" w:hAnsi="宋体" w:cs="宋体"/>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rPr>
          <w:rFonts w:ascii="宋体" w:hAnsi="宋体" w:cs="宋体"/>
        </w:rPr>
      </w:r>
      <w:r/>
    </w:p>
    <w:p>
      <w:pPr>
        <w:pStyle w:val="720"/>
        <w:contextualSpacing w:val="0"/>
        <w:ind w:firstLine="396"/>
        <w:jc w:val="left"/>
        <w:spacing w:before="0" w:after="0" w:line="240" w:lineRule="auto"/>
        <w:rPr>
          <w:rFonts w:ascii="宋体" w:hAnsi="宋体" w:cs="宋体"/>
        </w:rPr>
        <w:suppressLineNumbers w:val="0"/>
      </w:pPr>
      <w:r>
        <w:rPr>
          <w:rFonts w:hint="eastAsia" w:ascii="宋体" w:hAnsi="宋体" w:cs="宋体"/>
        </w:rPr>
        <w:t xml:space="preserve">3.2 资格评审小组不接受投标人主动提出的澄清、说明或者补正。投标人不按资格评审小组的要求澄清、说明或补正的，资格评审小组将</w:t>
      </w:r>
      <w:r>
        <w:rPr>
          <w:rFonts w:hint="eastAsia" w:ascii="隶书" w:hAnsi="隶书" w:eastAsia="隶书" w:cs="隶书"/>
          <w:sz w:val="24"/>
          <w:szCs w:val="24"/>
        </w:rPr>
        <w:t xml:space="preserve">否决其投标</w:t>
      </w:r>
      <w:r>
        <w:rPr>
          <w:rFonts w:hint="eastAsia" w:ascii="宋体" w:hAnsi="宋体" w:cs="宋体"/>
        </w:rPr>
        <w:t xml:space="preserve">。</w:t>
      </w:r>
      <w:r>
        <w:rPr>
          <w:rFonts w:ascii="宋体" w:hAnsi="宋体" w:cs="宋体"/>
        </w:rPr>
      </w:r>
      <w:r/>
    </w:p>
    <w:p>
      <w:pPr>
        <w:pStyle w:val="973"/>
        <w:contextualSpacing w:val="0"/>
        <w:ind w:firstLine="0"/>
        <w:jc w:val="left"/>
        <w:spacing w:before="0" w:after="0" w:line="240" w:lineRule="auto"/>
        <w:rPr>
          <w:rFonts w:ascii="黑体" w:cs="黑体"/>
          <w:sz w:val="22"/>
          <w:szCs w:val="18"/>
        </w:rPr>
        <w:suppressLineNumbers w:val="0"/>
      </w:pPr>
      <w:r/>
      <w:bookmarkStart w:id="160" w:name="_Toc12026"/>
      <w:r>
        <w:rPr>
          <w:rFonts w:hint="eastAsia" w:ascii="黑体" w:cs="黑体"/>
          <w:sz w:val="22"/>
          <w:szCs w:val="18"/>
        </w:rPr>
        <w:t xml:space="preserve">4.审查结果</w:t>
      </w:r>
      <w:bookmarkEnd w:id="160"/>
      <w:r>
        <w:rPr>
          <w:rFonts w:ascii="黑体" w:cs="黑体"/>
          <w:sz w:val="22"/>
          <w:szCs w:val="18"/>
        </w:rPr>
      </w:r>
      <w:r/>
    </w:p>
    <w:p>
      <w:pPr>
        <w:pStyle w:val="720"/>
        <w:contextualSpacing w:val="0"/>
        <w:ind w:firstLine="396"/>
        <w:jc w:val="left"/>
        <w:spacing w:before="0" w:after="0" w:line="240" w:lineRule="auto"/>
        <w:rPr>
          <w:rFonts w:ascii="宋体" w:hAnsi="宋体" w:cs="宋体"/>
        </w:rPr>
        <w:suppressLineNumbers w:val="0"/>
      </w:pPr>
      <w:r>
        <w:rPr>
          <w:rFonts w:hint="eastAsia" w:ascii="宋体" w:hAnsi="宋体" w:cs="宋体"/>
        </w:rPr>
        <w:t xml:space="preserve">4.1 资格评审小组完成资格审查后，确定通过资格审查的投标人名单，并编制书面资格审查报告。</w:t>
      </w:r>
      <w:r>
        <w:rPr>
          <w:rFonts w:ascii="宋体" w:hAnsi="宋体" w:cs="宋体"/>
        </w:rPr>
      </w:r>
      <w:r/>
    </w:p>
    <w:p>
      <w:pPr>
        <w:pStyle w:val="720"/>
        <w:contextualSpacing w:val="0"/>
        <w:ind w:firstLine="396"/>
        <w:jc w:val="left"/>
        <w:spacing w:before="0" w:after="0" w:line="240" w:lineRule="auto"/>
        <w:rPr>
          <w:rFonts w:ascii="宋体" w:hAnsi="宋体" w:cs="宋体"/>
          <w:sz w:val="24"/>
          <w:szCs w:val="24"/>
        </w:rPr>
        <w:suppressLineNumbers w:val="0"/>
      </w:pPr>
      <w:r>
        <w:rPr>
          <w:rFonts w:hint="eastAsia" w:ascii="宋体" w:hAnsi="宋体" w:cs="宋体"/>
        </w:rPr>
        <w:t xml:space="preserve">4.2 通过资格审查的投标人数量不足3个的，不再进行评标。</w:t>
      </w:r>
      <w:r>
        <w:rPr>
          <w:rFonts w:hint="eastAsia" w:ascii="宋体" w:hAnsi="宋体" w:cs="宋体"/>
        </w:rPr>
        <w:t xml:space="preserve"> </w:t>
      </w:r>
      <w:r>
        <w:rPr>
          <w:rFonts w:ascii="宋体" w:hAnsi="宋体" w:cs="宋体"/>
          <w:sz w:val="24"/>
          <w:szCs w:val="24"/>
        </w:rPr>
      </w:r>
      <w:r/>
    </w:p>
    <w:p>
      <w:pPr>
        <w:pStyle w:val="720"/>
        <w:contextualSpacing w:val="0"/>
        <w:ind w:firstLine="440"/>
        <w:jc w:val="left"/>
        <w:spacing w:after="0" w:line="240" w:lineRule="auto"/>
        <w:rPr>
          <w:rFonts w:ascii="宋体" w:hAnsi="宋体" w:cs="宋体"/>
        </w:rPr>
        <w:suppressLineNumbers w:val="0"/>
      </w:pPr>
      <w:r>
        <w:rPr>
          <w:rFonts w:hint="eastAsia" w:ascii="宋体" w:hAnsi="宋体" w:cs="宋体"/>
        </w:rPr>
        <w:t xml:space="preserve"> </w:t>
      </w:r>
      <w:r>
        <w:rPr>
          <w:rFonts w:ascii="宋体" w:hAnsi="宋体" w:cs="宋体"/>
        </w:rPr>
      </w:r>
      <w:r/>
    </w:p>
    <w:p>
      <w:pPr>
        <w:ind w:firstLine="440"/>
        <w:spacing w:line="360" w:lineRule="auto"/>
        <w:rPr>
          <w:rFonts w:ascii="宋体" w:hAnsi="宋体" w:cs="宋体"/>
        </w:rPr>
      </w:pPr>
      <w:r>
        <w:rPr>
          <w:rFonts w:ascii="宋体" w:hAnsi="宋体" w:cs="宋体"/>
        </w:rPr>
      </w:r>
      <w:r>
        <w:rPr>
          <w:rFonts w:ascii="宋体" w:hAnsi="宋体" w:cs="宋体"/>
        </w:rPr>
      </w:r>
      <w:r/>
    </w:p>
    <w:p>
      <w:pPr>
        <w:ind w:firstLine="440"/>
        <w:spacing w:line="360" w:lineRule="auto"/>
        <w:rPr>
          <w:rFonts w:ascii="宋体" w:hAnsi="宋体" w:cs="宋体"/>
        </w:rPr>
      </w:pPr>
      <w:r>
        <w:rPr>
          <w:rFonts w:ascii="宋体" w:hAnsi="宋体" w:cs="宋体"/>
        </w:rPr>
      </w:r>
      <w:r>
        <w:rPr>
          <w:rFonts w:ascii="宋体" w:hAnsi="宋体" w:cs="宋体"/>
        </w:rPr>
      </w:r>
      <w:r/>
    </w:p>
    <w:p>
      <w:pPr>
        <w:pStyle w:val="720"/>
        <w:ind w:firstLine="440"/>
        <w:spacing w:line="360" w:lineRule="auto"/>
        <w:rPr>
          <w:rFonts w:ascii="宋体" w:hAnsi="宋体" w:cs="宋体"/>
        </w:rPr>
      </w:pPr>
      <w:r>
        <w:rPr>
          <w:rFonts w:ascii="宋体" w:hAnsi="宋体" w:cs="宋体"/>
        </w:rPr>
      </w:r>
      <w:r/>
    </w:p>
    <w:p>
      <w:pPr>
        <w:pStyle w:val="969"/>
        <w:jc w:val="center"/>
        <w:spacing w:after="20" w:line="240" w:lineRule="auto"/>
        <w:rPr>
          <w:rFonts w:ascii="微软雅黑" w:hAnsi="微软雅黑" w:eastAsia="微软雅黑" w:cs="微软雅黑"/>
          <w:b w:val="0"/>
          <w:bCs w:val="0"/>
          <w:sz w:val="36"/>
          <w:szCs w:val="36"/>
        </w:rPr>
      </w:pPr>
      <w:r/>
      <w:bookmarkStart w:id="161" w:name="_Toc7640"/>
      <w:r/>
      <w:bookmarkStart w:id="162" w:name="_Toc32280"/>
      <w:r>
        <w:rPr>
          <w:rFonts w:hint="eastAsia" w:ascii="微软雅黑" w:hAnsi="微软雅黑" w:eastAsia="微软雅黑" w:cs="微软雅黑"/>
          <w:b w:val="0"/>
          <w:bCs w:val="0"/>
          <w:sz w:val="36"/>
          <w:szCs w:val="36"/>
        </w:rPr>
        <w:t xml:space="preserve">第四章 评标办法</w:t>
      </w:r>
      <w:bookmarkEnd w:id="161"/>
      <w:r/>
      <w:bookmarkEnd w:id="162"/>
      <w:r>
        <w:rPr>
          <w:rFonts w:ascii="微软雅黑" w:hAnsi="微软雅黑" w:eastAsia="微软雅黑" w:cs="微软雅黑"/>
          <w:b w:val="0"/>
          <w:bCs w:val="0"/>
          <w:sz w:val="36"/>
          <w:szCs w:val="36"/>
        </w:rPr>
      </w:r>
      <w:r/>
    </w:p>
    <w:p>
      <w:pPr>
        <w:pStyle w:val="973"/>
        <w:ind w:firstLine="0"/>
        <w:jc w:val="center"/>
        <w:spacing w:before="0" w:after="0" w:line="360" w:lineRule="auto"/>
        <w:rPr>
          <w:sz w:val="22"/>
          <w:szCs w:val="18"/>
        </w:rPr>
      </w:pPr>
      <w:r/>
      <w:bookmarkStart w:id="163" w:name="_Toc4365"/>
      <w:r>
        <w:rPr>
          <w:rFonts w:hint="eastAsia"/>
        </w:rPr>
        <w:t xml:space="preserve">评标办法前附表</w:t>
      </w:r>
      <w:bookmarkEnd w:id="163"/>
      <w:r>
        <w:rPr>
          <w:sz w:val="22"/>
          <w:szCs w:val="18"/>
        </w:rPr>
      </w:r>
      <w:r/>
    </w:p>
    <w:tbl>
      <w:tblPr>
        <w:tblW w:w="8923"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73"/>
        <w:gridCol w:w="6549"/>
      </w:tblGrid>
      <w:tr>
        <w:trPr>
          <w:trHeight w:val="486"/>
        </w:trPr>
        <w:tc>
          <w:tcPr>
            <w:gridSpan w:val="2"/>
            <w:tcW w:w="2374" w:type="dxa"/>
            <w:vAlign w:val="center"/>
            <w:textDirection w:val="lrTb"/>
            <w:noWrap w:val="false"/>
          </w:tcPr>
          <w:p>
            <w:pPr>
              <w:pStyle w:val="720"/>
              <w:jc w:val="center"/>
              <w:rPr>
                <w:rFonts w:ascii="宋体" w:hAnsi="宋体" w:eastAsia="宋体" w:cs="宋体"/>
                <w:b/>
                <w:bCs/>
              </w:rPr>
            </w:pPr>
            <w:r>
              <w:rPr>
                <w:rFonts w:hint="eastAsia" w:ascii="宋体" w:hAnsi="宋体" w:eastAsia="宋体" w:cs="宋体"/>
                <w:b/>
                <w:bCs/>
              </w:rPr>
              <w:t xml:space="preserve">条款号</w:t>
            </w:r>
            <w:r>
              <w:rPr>
                <w:rFonts w:ascii="宋体" w:hAnsi="宋体" w:eastAsia="宋体" w:cs="宋体"/>
                <w:b/>
                <w:bCs/>
              </w:rPr>
            </w:r>
            <w:r/>
          </w:p>
        </w:tc>
        <w:tc>
          <w:tcPr>
            <w:tcW w:w="6549" w:type="dxa"/>
            <w:vAlign w:val="center"/>
            <w:textDirection w:val="lrTb"/>
            <w:noWrap w:val="false"/>
          </w:tcPr>
          <w:p>
            <w:pPr>
              <w:pStyle w:val="720"/>
              <w:jc w:val="center"/>
              <w:rPr>
                <w:rFonts w:ascii="宋体" w:hAnsi="宋体" w:eastAsia="宋体" w:cs="宋体"/>
                <w:b/>
                <w:bCs/>
              </w:rPr>
            </w:pPr>
            <w:r>
              <w:rPr>
                <w:rFonts w:hint="eastAsia" w:ascii="宋体" w:hAnsi="宋体" w:eastAsia="宋体" w:cs="宋体"/>
                <w:b/>
                <w:bCs/>
              </w:rPr>
              <w:t xml:space="preserve">评审因素与评审标准</w:t>
            </w:r>
            <w:r>
              <w:rPr>
                <w:rFonts w:ascii="宋体" w:hAnsi="宋体" w:eastAsia="宋体" w:cs="宋体"/>
                <w:b/>
                <w:bCs/>
              </w:rPr>
            </w:r>
            <w:r/>
          </w:p>
        </w:tc>
      </w:tr>
      <w:tr>
        <w:trPr>
          <w:trHeight w:val="90"/>
        </w:trPr>
        <w:tc>
          <w:tcPr>
            <w:tcW w:w="1101" w:type="dxa"/>
            <w:vAlign w:val="center"/>
            <w:textDirection w:val="lrTb"/>
            <w:noWrap w:val="false"/>
          </w:tcPr>
          <w:p>
            <w:pPr>
              <w:pStyle w:val="720"/>
              <w:jc w:val="center"/>
              <w:rPr>
                <w:rFonts w:ascii="宋体" w:hAnsi="宋体" w:eastAsia="宋体" w:cs="宋体"/>
                <w:b/>
                <w:bCs/>
              </w:rPr>
            </w:pPr>
            <w:r>
              <w:rPr>
                <w:rFonts w:hint="eastAsia" w:ascii="宋体" w:hAnsi="宋体" w:eastAsia="宋体" w:cs="宋体"/>
                <w:b/>
                <w:bCs/>
              </w:rPr>
              <w:t xml:space="preserve">2.1.1</w:t>
            </w:r>
            <w:r>
              <w:rPr>
                <w:rFonts w:ascii="宋体" w:hAnsi="宋体" w:eastAsia="宋体" w:cs="宋体"/>
                <w:b/>
                <w:bCs/>
              </w:rPr>
            </w:r>
            <w:r/>
          </w:p>
        </w:tc>
        <w:tc>
          <w:tcPr>
            <w:tcW w:w="1273" w:type="dxa"/>
            <w:vAlign w:val="center"/>
            <w:textDirection w:val="lrTb"/>
            <w:noWrap w:val="false"/>
          </w:tcPr>
          <w:p>
            <w:pPr>
              <w:pStyle w:val="720"/>
              <w:jc w:val="center"/>
              <w:rPr>
                <w:rFonts w:ascii="宋体" w:hAnsi="宋体" w:eastAsia="宋体" w:cs="宋体"/>
                <w:b/>
                <w:bCs/>
              </w:rPr>
            </w:pPr>
            <w:r>
              <w:rPr>
                <w:rFonts w:hint="eastAsia" w:ascii="宋体" w:hAnsi="宋体" w:eastAsia="宋体" w:cs="宋体"/>
                <w:b/>
                <w:bCs/>
              </w:rPr>
              <w:t xml:space="preserve">符</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合</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性</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评</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审</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标</w:t>
            </w:r>
            <w:r>
              <w:rPr>
                <w:rFonts w:ascii="宋体" w:hAnsi="宋体" w:eastAsia="宋体" w:cs="宋体"/>
                <w:b/>
                <w:bCs/>
              </w:rPr>
            </w:r>
            <w:r/>
          </w:p>
          <w:p>
            <w:pPr>
              <w:pStyle w:val="720"/>
              <w:jc w:val="center"/>
              <w:rPr>
                <w:rFonts w:ascii="宋体" w:hAnsi="宋体" w:eastAsia="宋体" w:cs="宋体"/>
                <w:b/>
                <w:bCs/>
              </w:rPr>
            </w:pPr>
            <w:r>
              <w:rPr>
                <w:rFonts w:hint="eastAsia" w:ascii="宋体" w:hAnsi="宋体" w:eastAsia="宋体" w:cs="宋体"/>
                <w:b/>
                <w:bCs/>
              </w:rPr>
              <w:t xml:space="preserve">准</w:t>
            </w:r>
            <w:r>
              <w:rPr>
                <w:rFonts w:ascii="宋体" w:hAnsi="宋体" w:eastAsia="宋体" w:cs="宋体"/>
                <w:b/>
                <w:bCs/>
              </w:rPr>
            </w:r>
            <w:r/>
          </w:p>
        </w:tc>
        <w:tc>
          <w:tcPr>
            <w:tcW w:w="6549" w:type="dxa"/>
            <w:vAlign w:val="top"/>
            <w:textDirection w:val="lrTb"/>
            <w:noWrap w:val="false"/>
          </w:tcPr>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（1）投标文件按照招标文件规定的格式、内容填写，关键字迹清晰可辨：</w:t>
            </w:r>
            <w:r>
              <w:rPr>
                <w:rFonts w:ascii="隶书" w:hAnsi="隶书" w:eastAsia="隶书" w:cs="隶书"/>
                <w:b/>
                <w:bCs/>
                <w:i/>
                <w:iCs/>
                <w:sz w:val="21"/>
                <w:szCs w:val="21"/>
              </w:rPr>
            </w:r>
            <w:r/>
          </w:p>
          <w:p>
            <w:pPr>
              <w:pStyle w:val="720"/>
              <w:ind w:firstLine="402"/>
              <w:spacing w:line="400" w:lineRule="exact"/>
              <w:rPr>
                <w:rFonts w:ascii="隶书" w:hAnsi="隶书" w:eastAsia="隶书" w:cs="隶书"/>
                <w:b/>
                <w:bCs/>
                <w:i/>
                <w:iCs/>
                <w:sz w:val="20"/>
                <w:szCs w:val="20"/>
              </w:rPr>
            </w:pPr>
            <w:r>
              <w:rPr>
                <w:rFonts w:hint="eastAsia" w:ascii="隶书" w:hAnsi="隶书" w:eastAsia="隶书" w:cs="隶书"/>
                <w:b/>
                <w:bCs/>
                <w:i/>
                <w:iCs/>
                <w:sz w:val="20"/>
                <w:szCs w:val="20"/>
              </w:rPr>
              <w:t xml:space="preserve">a.开标一览表填写了投标总价，且投标报价的大写金额能够确定具体数值；</w:t>
            </w:r>
            <w:r>
              <w:rPr>
                <w:rFonts w:ascii="隶书" w:hAnsi="隶书" w:eastAsia="隶书" w:cs="隶书"/>
                <w:b/>
                <w:bCs/>
                <w:i/>
                <w:iCs/>
                <w:sz w:val="20"/>
                <w:szCs w:val="20"/>
              </w:rPr>
            </w:r>
            <w:r/>
          </w:p>
          <w:p>
            <w:pPr>
              <w:pStyle w:val="720"/>
              <w:ind w:firstLine="402"/>
              <w:spacing w:line="400" w:lineRule="exact"/>
              <w:rPr>
                <w:rFonts w:ascii="隶书" w:hAnsi="隶书" w:eastAsia="隶书" w:cs="隶书"/>
                <w:b/>
                <w:bCs/>
                <w:i/>
                <w:iCs/>
                <w:sz w:val="20"/>
                <w:szCs w:val="20"/>
              </w:rPr>
            </w:pPr>
            <w:r>
              <w:rPr>
                <w:rFonts w:hint="eastAsia" w:ascii="隶书" w:hAnsi="隶书" w:eastAsia="隶书" w:cs="隶书"/>
                <w:b/>
                <w:bCs/>
                <w:i/>
                <w:iCs/>
                <w:sz w:val="20"/>
                <w:szCs w:val="20"/>
              </w:rPr>
              <w:t xml:space="preserve">b.投标人未擅自修改投标报价分项表中序号、系统/产品名称、数量和计量单位；</w:t>
            </w:r>
            <w:r>
              <w:rPr>
                <w:rFonts w:ascii="隶书" w:hAnsi="隶书" w:eastAsia="隶书" w:cs="隶书"/>
                <w:b/>
                <w:bCs/>
                <w:i/>
                <w:iCs/>
                <w:sz w:val="20"/>
                <w:szCs w:val="20"/>
              </w:rPr>
            </w:r>
            <w:r/>
          </w:p>
          <w:p>
            <w:pPr>
              <w:pStyle w:val="720"/>
              <w:ind w:firstLine="402"/>
              <w:spacing w:line="400" w:lineRule="exact"/>
              <w:rPr>
                <w:rFonts w:ascii="隶书" w:hAnsi="隶书" w:eastAsia="隶书" w:cs="隶书"/>
                <w:b/>
                <w:bCs/>
                <w:i/>
                <w:iCs/>
                <w:sz w:val="20"/>
                <w:szCs w:val="20"/>
              </w:rPr>
            </w:pPr>
            <w:r>
              <w:rPr>
                <w:rFonts w:hint="eastAsia" w:ascii="隶书" w:hAnsi="隶书" w:eastAsia="隶书" w:cs="隶书"/>
                <w:b/>
                <w:bCs/>
                <w:i/>
                <w:iCs/>
                <w:sz w:val="20"/>
                <w:szCs w:val="20"/>
              </w:rPr>
              <w:t xml:space="preserve">c.投标报价分项表中的品牌、规格型号、制造商名称与“技术条款响应表”中对应的产品品牌、规格型号、制造商名称一致；</w:t>
            </w:r>
            <w:r>
              <w:rPr>
                <w:rFonts w:ascii="隶书" w:hAnsi="隶书" w:eastAsia="隶书" w:cs="隶书"/>
                <w:b/>
                <w:bCs/>
                <w:i/>
                <w:iCs/>
                <w:sz w:val="20"/>
                <w:szCs w:val="20"/>
              </w:rPr>
            </w:r>
            <w:r/>
          </w:p>
          <w:p>
            <w:pPr>
              <w:pStyle w:val="720"/>
              <w:ind w:firstLine="402"/>
              <w:spacing w:line="400" w:lineRule="exact"/>
              <w:rPr>
                <w:rFonts w:ascii="隶书" w:hAnsi="隶书" w:eastAsia="隶书" w:cs="隶书"/>
                <w:b/>
                <w:bCs/>
                <w:i/>
                <w:iCs/>
                <w:sz w:val="21"/>
                <w:szCs w:val="21"/>
              </w:rPr>
            </w:pPr>
            <w:r>
              <w:rPr>
                <w:rFonts w:hint="eastAsia" w:ascii="隶书" w:hAnsi="隶书" w:eastAsia="隶书" w:cs="隶书"/>
                <w:b/>
                <w:bCs/>
                <w:i/>
                <w:iCs/>
                <w:sz w:val="20"/>
                <w:szCs w:val="20"/>
              </w:rPr>
              <w:t xml:space="preserve">d.投标文件组成齐全完整，内容均按规定填写。</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（2）投标文件格式中要求加盖单位或个人电子签章的，投标人单位和个人电子签章齐全，符合招标文件规定；</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（3）投标报价未有选择性报价或附有条件的报价；</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（4）投标人按评标委员会要求确认修正后投标报价（如有）；</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（5）投标报价或修正后价格（如有）未高于最高限价；</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（6）投标人未提交可调价格的投标报价；</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（7）投标人未以低于成本报价竞标；</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（8）投标人按评标委员会要求进行书面澄清或说明；</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（9）投标产品均为国产，未填报进口产品；</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（10）对被列入《节能产品政府采购品目清单》中标记“★”的政府强制采购产品提供了有效的证明材料；</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（11）商务条款响应表中未有被评标委员会认定存在负偏离；</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（12）投标人按投标文件格式要求提供了《服务质量与认证承诺书》；</w:t>
            </w:r>
            <w:r>
              <w:rPr>
                <w:rFonts w:ascii="隶书" w:hAnsi="隶书" w:eastAsia="隶书" w:cs="隶书"/>
                <w:b/>
                <w:bCs/>
                <w:i/>
                <w:iCs/>
                <w:sz w:val="21"/>
                <w:szCs w:val="21"/>
              </w:rPr>
            </w:r>
            <w:r/>
          </w:p>
          <w:p>
            <w:pPr>
              <w:pStyle w:val="720"/>
              <w:spacing w:line="400" w:lineRule="exact"/>
              <w:rPr>
                <w:rFonts w:ascii="隶书" w:hAnsi="隶书" w:eastAsia="隶书" w:cs="隶书"/>
                <w:b/>
                <w:bCs/>
                <w:i/>
                <w:iCs/>
                <w:sz w:val="21"/>
                <w:szCs w:val="21"/>
              </w:rPr>
            </w:pPr>
            <w:r>
              <w:rPr>
                <w:rFonts w:hint="eastAsia" w:ascii="隶书" w:hAnsi="隶书" w:eastAsia="隶书" w:cs="隶书"/>
                <w:b/>
                <w:bCs/>
                <w:i/>
                <w:iCs/>
                <w:sz w:val="21"/>
                <w:szCs w:val="21"/>
              </w:rPr>
              <w:t xml:space="preserve">（13）技术条款响应表中加“★”条款未有被评标委员会认定存在负偏离；</w:t>
            </w:r>
            <w:r>
              <w:rPr>
                <w:rFonts w:ascii="隶书" w:hAnsi="隶书" w:eastAsia="隶书" w:cs="隶书"/>
                <w:b/>
                <w:bCs/>
                <w:i/>
                <w:iCs/>
                <w:sz w:val="21"/>
                <w:szCs w:val="21"/>
              </w:rPr>
            </w:r>
            <w:r/>
          </w:p>
          <w:p>
            <w:pPr>
              <w:pStyle w:val="720"/>
              <w:spacing w:line="400" w:lineRule="exact"/>
              <w:rPr>
                <w:sz w:val="24"/>
                <w:szCs w:val="24"/>
              </w:rPr>
            </w:pPr>
            <w:r>
              <w:rPr>
                <w:rFonts w:hint="eastAsia" w:ascii="隶书" w:hAnsi="隶书" w:eastAsia="隶书" w:cs="隶书"/>
                <w:b/>
                <w:bCs/>
                <w:i/>
                <w:iCs/>
                <w:sz w:val="21"/>
                <w:szCs w:val="21"/>
              </w:rPr>
              <w:t xml:space="preserve">（14）投标人未被发现存在串通投标、虚假投标行为。</w:t>
            </w:r>
            <w:r>
              <w:rPr>
                <w:sz w:val="24"/>
                <w:szCs w:val="24"/>
              </w:rPr>
            </w:r>
            <w:r/>
          </w:p>
        </w:tc>
      </w:tr>
    </w:tbl>
    <w:p>
      <w:pPr>
        <w:pStyle w:val="720"/>
      </w:pPr>
      <w:r/>
      <w:r/>
    </w:p>
    <w:p>
      <w:pPr>
        <w:pStyle w:val="720"/>
      </w:pPr>
      <w:r/>
      <w:r/>
    </w:p>
    <w:p>
      <w:pPr>
        <w:pStyle w:val="720"/>
      </w:pPr>
      <w:r/>
      <w:r/>
    </w:p>
    <w:p>
      <w:pPr>
        <w:pStyle w:val="720"/>
      </w:pPr>
      <w:r/>
      <w:r/>
    </w:p>
    <w:p>
      <w:pPr>
        <w:pStyle w:val="720"/>
      </w:pPr>
      <w:r/>
      <w:r/>
    </w:p>
    <w:tbl>
      <w:tblPr>
        <w:tblW w:w="893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0"/>
        <w:gridCol w:w="1590"/>
        <w:gridCol w:w="2530"/>
        <w:gridCol w:w="3820"/>
      </w:tblGrid>
      <w:tr>
        <w:trPr>
          <w:trHeight w:val="728"/>
        </w:trPr>
        <w:tc>
          <w:tcPr>
            <w:tcW w:w="990" w:type="dxa"/>
            <w:vAlign w:val="center"/>
            <w:textDirection w:val="lrTb"/>
            <w:noWrap w:val="false"/>
          </w:tcPr>
          <w:p>
            <w:pPr>
              <w:pStyle w:val="720"/>
              <w:jc w:val="center"/>
              <w:rPr>
                <w:rFonts w:ascii="宋体" w:hAnsi="宋体" w:cs="宋体"/>
                <w:b/>
                <w:bCs/>
                <w:sz w:val="21"/>
                <w:szCs w:val="21"/>
              </w:rPr>
            </w:pPr>
            <w:r>
              <w:rPr>
                <w:rFonts w:hint="eastAsia" w:ascii="宋体" w:hAnsi="宋体" w:cs="宋体"/>
                <w:b/>
                <w:bCs/>
                <w:sz w:val="21"/>
                <w:szCs w:val="21"/>
              </w:rPr>
              <w:t xml:space="preserve">条款号</w:t>
            </w:r>
            <w:r>
              <w:rPr>
                <w:rFonts w:ascii="宋体" w:hAnsi="宋体" w:cs="宋体"/>
                <w:b/>
                <w:bCs/>
                <w:sz w:val="21"/>
                <w:szCs w:val="21"/>
              </w:rPr>
            </w:r>
            <w:r/>
          </w:p>
        </w:tc>
        <w:tc>
          <w:tcPr>
            <w:tcW w:w="1590" w:type="dxa"/>
            <w:vAlign w:val="center"/>
            <w:textDirection w:val="lrTb"/>
            <w:noWrap w:val="false"/>
          </w:tcPr>
          <w:p>
            <w:pPr>
              <w:pStyle w:val="720"/>
              <w:jc w:val="center"/>
              <w:rPr>
                <w:rFonts w:ascii="宋体" w:hAnsi="宋体" w:cs="宋体"/>
                <w:b/>
                <w:bCs/>
                <w:sz w:val="21"/>
                <w:szCs w:val="21"/>
              </w:rPr>
            </w:pPr>
            <w:r>
              <w:rPr>
                <w:rFonts w:hint="eastAsia" w:ascii="宋体" w:hAnsi="宋体" w:cs="宋体"/>
                <w:b/>
                <w:bCs/>
                <w:sz w:val="21"/>
                <w:szCs w:val="21"/>
              </w:rPr>
              <w:t xml:space="preserve">条款内容</w:t>
            </w:r>
            <w:r>
              <w:rPr>
                <w:rFonts w:ascii="宋体" w:hAnsi="宋体" w:cs="宋体"/>
                <w:b/>
                <w:bCs/>
                <w:sz w:val="21"/>
                <w:szCs w:val="21"/>
              </w:rPr>
            </w:r>
            <w:r/>
          </w:p>
        </w:tc>
        <w:tc>
          <w:tcPr>
            <w:gridSpan w:val="2"/>
            <w:tcW w:w="6350" w:type="dxa"/>
            <w:vAlign w:val="center"/>
            <w:textDirection w:val="lrTb"/>
            <w:noWrap w:val="false"/>
          </w:tcPr>
          <w:p>
            <w:pPr>
              <w:pStyle w:val="720"/>
              <w:jc w:val="center"/>
              <w:rPr>
                <w:rFonts w:ascii="宋体" w:hAnsi="宋体" w:cs="宋体"/>
                <w:b/>
                <w:bCs/>
                <w:sz w:val="21"/>
                <w:szCs w:val="21"/>
              </w:rPr>
            </w:pPr>
            <w:r>
              <w:rPr>
                <w:rFonts w:hint="eastAsia" w:ascii="宋体" w:hAnsi="宋体" w:cs="宋体"/>
                <w:b/>
                <w:bCs/>
                <w:sz w:val="21"/>
                <w:szCs w:val="21"/>
              </w:rPr>
              <w:t xml:space="preserve">编列内容</w:t>
            </w:r>
            <w:r>
              <w:rPr>
                <w:rFonts w:ascii="宋体" w:hAnsi="宋体" w:cs="宋体"/>
                <w:b/>
                <w:bCs/>
                <w:sz w:val="21"/>
                <w:szCs w:val="21"/>
              </w:rPr>
            </w:r>
            <w:r/>
          </w:p>
        </w:tc>
      </w:tr>
      <w:tr>
        <w:trPr>
          <w:trHeight w:val="1729"/>
        </w:trPr>
        <w:tc>
          <w:tcPr>
            <w:tcW w:w="990" w:type="dxa"/>
            <w:vAlign w:val="center"/>
            <w:textDirection w:val="lrTb"/>
            <w:noWrap w:val="false"/>
          </w:tcPr>
          <w:p>
            <w:pPr>
              <w:pStyle w:val="720"/>
              <w:jc w:val="center"/>
              <w:spacing w:line="280" w:lineRule="exact"/>
              <w:rPr>
                <w:rFonts w:ascii="宋体" w:hAnsi="宋体" w:cs="宋体"/>
                <w:b/>
                <w:bCs/>
                <w:sz w:val="21"/>
                <w:szCs w:val="21"/>
              </w:rPr>
            </w:pPr>
            <w:r/>
            <w:bookmarkStart w:id="164" w:name="_Hlk232511433"/>
            <w:r>
              <w:rPr>
                <w:rFonts w:hint="eastAsia" w:ascii="宋体" w:hAnsi="宋体" w:cs="宋体"/>
                <w:b/>
                <w:bCs/>
                <w:sz w:val="21"/>
                <w:szCs w:val="21"/>
              </w:rPr>
              <w:t xml:space="preserve">2.3.1</w:t>
            </w:r>
            <w:r>
              <w:rPr>
                <w:rFonts w:ascii="宋体" w:hAnsi="宋体" w:cs="宋体"/>
                <w:b/>
                <w:bCs/>
                <w:sz w:val="21"/>
                <w:szCs w:val="21"/>
              </w:rPr>
            </w:r>
            <w:r/>
          </w:p>
        </w:tc>
        <w:tc>
          <w:tcPr>
            <w:tcW w:w="159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分值构成</w:t>
            </w:r>
            <w:r>
              <w:rPr>
                <w:rFonts w:ascii="宋体" w:hAnsi="宋体" w:cs="宋体"/>
                <w:b/>
                <w:bCs/>
                <w:sz w:val="21"/>
                <w:szCs w:val="21"/>
              </w:rPr>
            </w:r>
            <w:r/>
          </w:p>
          <w:p>
            <w:pPr>
              <w:pStyle w:val="720"/>
              <w:spacing w:line="280" w:lineRule="exact"/>
              <w:rPr>
                <w:rFonts w:ascii="宋体" w:hAnsi="宋体" w:cs="宋体"/>
                <w:b/>
                <w:bCs/>
                <w:sz w:val="21"/>
                <w:szCs w:val="21"/>
              </w:rPr>
            </w:pPr>
            <w:r>
              <w:rPr>
                <w:rFonts w:hint="eastAsia" w:ascii="宋体" w:hAnsi="宋体" w:cs="宋体"/>
                <w:b/>
                <w:bCs/>
                <w:sz w:val="21"/>
                <w:szCs w:val="21"/>
              </w:rPr>
              <w:t xml:space="preserve">（总分100分）</w:t>
            </w:r>
            <w:r>
              <w:rPr>
                <w:rFonts w:ascii="宋体" w:hAnsi="宋体" w:cs="宋体"/>
                <w:b/>
                <w:bCs/>
                <w:sz w:val="21"/>
                <w:szCs w:val="21"/>
              </w:rPr>
            </w:r>
            <w:r/>
          </w:p>
        </w:tc>
        <w:tc>
          <w:tcPr>
            <w:gridSpan w:val="2"/>
            <w:tcW w:w="6350" w:type="dxa"/>
            <w:vAlign w:val="center"/>
            <w:textDirection w:val="lrTb"/>
            <w:noWrap w:val="false"/>
          </w:tcPr>
          <w:p>
            <w:pPr>
              <w:pStyle w:val="720"/>
              <w:jc w:val="left"/>
              <w:spacing w:line="280" w:lineRule="exact"/>
              <w:rPr>
                <w:rFonts w:ascii="宋体" w:hAnsi="宋体" w:cs="宋体"/>
                <w:sz w:val="21"/>
                <w:szCs w:val="21"/>
                <w:u w:val="single"/>
              </w:rPr>
            </w:pPr>
            <w:r/>
            <w:bookmarkEnd w:id="164"/>
            <w:r>
              <w:rPr>
                <w:rFonts w:hint="eastAsia" w:ascii="宋体" w:hAnsi="宋体" w:cs="宋体"/>
                <w:sz w:val="21"/>
                <w:szCs w:val="21"/>
              </w:rPr>
              <w:t xml:space="preserve">集成实施方案：</w:t>
            </w:r>
            <w:r>
              <w:rPr>
                <w:rFonts w:hint="eastAsia" w:ascii="宋体" w:hAnsi="宋体" w:cs="宋体"/>
                <w:sz w:val="21"/>
                <w:szCs w:val="21"/>
                <w:u w:val="single"/>
              </w:rPr>
              <w:t xml:space="preserve"> 45 </w:t>
            </w:r>
            <w:r>
              <w:rPr>
                <w:rFonts w:hint="eastAsia" w:ascii="宋体" w:hAnsi="宋体" w:cs="宋体"/>
                <w:sz w:val="21"/>
                <w:szCs w:val="21"/>
              </w:rPr>
              <w:t xml:space="preserve">分</w:t>
            </w:r>
            <w:r>
              <w:rPr>
                <w:rFonts w:ascii="宋体" w:hAnsi="宋体" w:cs="宋体"/>
                <w:sz w:val="21"/>
                <w:szCs w:val="21"/>
                <w:u w:val="single"/>
              </w:rPr>
            </w:r>
            <w:r/>
          </w:p>
          <w:p>
            <w:pPr>
              <w:pStyle w:val="720"/>
              <w:jc w:val="left"/>
              <w:spacing w:line="280" w:lineRule="exact"/>
              <w:rPr>
                <w:rFonts w:ascii="宋体" w:hAnsi="宋体" w:cs="宋体"/>
                <w:sz w:val="21"/>
                <w:szCs w:val="21"/>
              </w:rPr>
            </w:pPr>
            <w:r>
              <w:rPr>
                <w:rFonts w:hint="eastAsia" w:ascii="宋体" w:hAnsi="宋体" w:cs="宋体"/>
                <w:sz w:val="21"/>
                <w:szCs w:val="21"/>
              </w:rPr>
              <w:t xml:space="preserve">技术条款响应：</w:t>
            </w:r>
            <w:r>
              <w:rPr>
                <w:rFonts w:hint="eastAsia" w:ascii="宋体" w:hAnsi="宋体" w:cs="宋体"/>
                <w:sz w:val="21"/>
                <w:szCs w:val="21"/>
                <w:u w:val="single"/>
              </w:rPr>
              <w:t xml:space="preserve"> 25 </w:t>
            </w:r>
            <w:r>
              <w:rPr>
                <w:rFonts w:hint="eastAsia" w:ascii="宋体" w:hAnsi="宋体" w:cs="宋体"/>
                <w:sz w:val="21"/>
                <w:szCs w:val="21"/>
              </w:rPr>
              <w:t xml:space="preserve">分</w:t>
            </w:r>
            <w:r>
              <w:rPr>
                <w:rFonts w:ascii="宋体" w:hAnsi="宋体" w:cs="宋体"/>
                <w:sz w:val="21"/>
                <w:szCs w:val="21"/>
              </w:rPr>
            </w:r>
            <w:r/>
          </w:p>
          <w:p>
            <w:pPr>
              <w:pStyle w:val="720"/>
              <w:jc w:val="left"/>
              <w:spacing w:line="280" w:lineRule="exact"/>
              <w:rPr>
                <w:rFonts w:ascii="宋体" w:hAnsi="宋体" w:cs="宋体"/>
                <w:sz w:val="21"/>
                <w:szCs w:val="21"/>
              </w:rPr>
            </w:pPr>
            <w:r>
              <w:rPr>
                <w:rFonts w:hint="eastAsia" w:ascii="宋体" w:hAnsi="宋体" w:cs="宋体"/>
                <w:sz w:val="21"/>
                <w:szCs w:val="21"/>
              </w:rPr>
              <w:t xml:space="preserve">项目团队配置：</w:t>
            </w:r>
            <w:r>
              <w:rPr>
                <w:rFonts w:hint="eastAsia" w:ascii="宋体" w:hAnsi="宋体" w:cs="宋体"/>
                <w:sz w:val="21"/>
                <w:szCs w:val="21"/>
                <w:u w:val="single"/>
              </w:rPr>
              <w:t xml:space="preserve">  3 </w:t>
            </w:r>
            <w:r>
              <w:rPr>
                <w:rFonts w:hint="eastAsia" w:ascii="宋体" w:hAnsi="宋体" w:cs="宋体"/>
                <w:sz w:val="21"/>
                <w:szCs w:val="21"/>
              </w:rPr>
              <w:t xml:space="preserve">分</w:t>
            </w:r>
            <w:r>
              <w:rPr>
                <w:rFonts w:ascii="宋体" w:hAnsi="宋体" w:cs="宋体"/>
                <w:sz w:val="21"/>
                <w:szCs w:val="21"/>
              </w:rPr>
            </w:r>
            <w:r/>
          </w:p>
          <w:p>
            <w:pPr>
              <w:pStyle w:val="720"/>
              <w:jc w:val="left"/>
              <w:spacing w:line="280" w:lineRule="exact"/>
              <w:rPr>
                <w:rFonts w:ascii="宋体" w:hAnsi="宋体" w:cs="宋体"/>
                <w:sz w:val="21"/>
                <w:szCs w:val="21"/>
              </w:rPr>
            </w:pPr>
            <w:r>
              <w:rPr>
                <w:rFonts w:hint="eastAsia" w:ascii="宋体" w:hAnsi="宋体" w:cs="宋体"/>
                <w:sz w:val="21"/>
                <w:szCs w:val="21"/>
              </w:rPr>
              <w:t xml:space="preserve">节能环保产品：</w:t>
            </w:r>
            <w:r>
              <w:rPr>
                <w:rFonts w:hint="eastAsia" w:ascii="宋体" w:hAnsi="宋体" w:cs="宋体"/>
                <w:sz w:val="21"/>
                <w:szCs w:val="21"/>
                <w:u w:val="single"/>
              </w:rPr>
              <w:t xml:space="preserve">  2 </w:t>
            </w:r>
            <w:r>
              <w:rPr>
                <w:rFonts w:hint="eastAsia" w:ascii="宋体" w:hAnsi="宋体" w:cs="宋体"/>
                <w:sz w:val="21"/>
                <w:szCs w:val="21"/>
              </w:rPr>
              <w:t xml:space="preserve">分</w:t>
            </w:r>
            <w:r>
              <w:rPr>
                <w:rFonts w:ascii="宋体" w:hAnsi="宋体" w:cs="宋体"/>
                <w:sz w:val="21"/>
                <w:szCs w:val="21"/>
              </w:rPr>
            </w:r>
            <w:r/>
          </w:p>
          <w:p>
            <w:pPr>
              <w:pStyle w:val="720"/>
              <w:jc w:val="left"/>
              <w:spacing w:line="280" w:lineRule="exact"/>
              <w:rPr>
                <w:rFonts w:ascii="宋体" w:hAnsi="宋体" w:cs="宋体"/>
                <w:sz w:val="21"/>
                <w:szCs w:val="21"/>
              </w:rPr>
            </w:pPr>
            <w:r>
              <w:rPr>
                <w:rFonts w:hint="eastAsia" w:ascii="宋体" w:hAnsi="宋体" w:cs="宋体"/>
                <w:sz w:val="21"/>
                <w:szCs w:val="21"/>
              </w:rPr>
              <w:t xml:space="preserve">类 似 业 绩： </w:t>
            </w:r>
            <w:r>
              <w:rPr>
                <w:rFonts w:hint="eastAsia" w:ascii="宋体" w:hAnsi="宋体" w:cs="宋体"/>
                <w:sz w:val="21"/>
                <w:szCs w:val="21"/>
                <w:u w:val="single"/>
              </w:rPr>
              <w:t xml:space="preserve"> 10 </w:t>
            </w:r>
            <w:r>
              <w:rPr>
                <w:rFonts w:hint="eastAsia" w:ascii="宋体" w:hAnsi="宋体" w:cs="宋体"/>
                <w:sz w:val="21"/>
                <w:szCs w:val="21"/>
              </w:rPr>
              <w:t xml:space="preserve">分</w:t>
            </w:r>
            <w:r>
              <w:rPr>
                <w:rFonts w:ascii="宋体" w:hAnsi="宋体" w:cs="宋体"/>
                <w:sz w:val="21"/>
                <w:szCs w:val="21"/>
              </w:rPr>
            </w:r>
            <w:r/>
          </w:p>
          <w:p>
            <w:pPr>
              <w:pStyle w:val="720"/>
              <w:jc w:val="left"/>
              <w:spacing w:line="280" w:lineRule="exact"/>
              <w:rPr>
                <w:rFonts w:ascii="宋体" w:hAnsi="宋体" w:cs="宋体"/>
                <w:sz w:val="21"/>
                <w:szCs w:val="21"/>
              </w:rPr>
            </w:pPr>
            <w:r>
              <w:rPr>
                <w:rFonts w:hint="eastAsia" w:ascii="宋体" w:hAnsi="宋体" w:cs="宋体"/>
                <w:sz w:val="21"/>
                <w:szCs w:val="21"/>
              </w:rPr>
              <w:t xml:space="preserve">价 格 部 分： </w:t>
            </w:r>
            <w:r>
              <w:rPr>
                <w:rFonts w:hint="eastAsia" w:ascii="宋体" w:hAnsi="宋体" w:cs="宋体"/>
                <w:sz w:val="21"/>
                <w:szCs w:val="21"/>
                <w:u w:val="single"/>
              </w:rPr>
              <w:t xml:space="preserve"> 15 </w:t>
            </w:r>
            <w:r>
              <w:rPr>
                <w:rFonts w:hint="eastAsia" w:ascii="宋体" w:hAnsi="宋体" w:cs="宋体"/>
                <w:sz w:val="21"/>
                <w:szCs w:val="21"/>
              </w:rPr>
              <w:t xml:space="preserve">分</w:t>
            </w:r>
            <w:r>
              <w:rPr>
                <w:rFonts w:ascii="宋体" w:hAnsi="宋体" w:cs="宋体"/>
                <w:sz w:val="21"/>
                <w:szCs w:val="21"/>
              </w:rPr>
            </w:r>
            <w:r/>
          </w:p>
        </w:tc>
      </w:tr>
      <w:tr>
        <w:trPr>
          <w:trHeight w:val="812"/>
        </w:trPr>
        <w:tc>
          <w:tcPr>
            <w:tcW w:w="99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条款号</w:t>
            </w:r>
            <w:r>
              <w:rPr>
                <w:rFonts w:ascii="宋体" w:hAnsi="宋体" w:cs="宋体"/>
                <w:b/>
                <w:bCs/>
                <w:sz w:val="21"/>
                <w:szCs w:val="21"/>
              </w:rPr>
            </w:r>
            <w:r/>
          </w:p>
        </w:tc>
        <w:tc>
          <w:tcPr>
            <w:tcW w:w="159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评分因素</w:t>
            </w:r>
            <w:r>
              <w:rPr>
                <w:rFonts w:ascii="宋体" w:hAnsi="宋体" w:cs="宋体"/>
                <w:b/>
                <w:bCs/>
                <w:sz w:val="21"/>
                <w:szCs w:val="21"/>
              </w:rPr>
            </w:r>
            <w:r/>
          </w:p>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及分值</w:t>
            </w:r>
            <w:r>
              <w:rPr>
                <w:rFonts w:ascii="宋体" w:hAnsi="宋体" w:cs="宋体"/>
                <w:b/>
                <w:bCs/>
                <w:sz w:val="21"/>
                <w:szCs w:val="21"/>
              </w:rPr>
            </w:r>
            <w:r/>
          </w:p>
        </w:tc>
        <w:tc>
          <w:tcPr>
            <w:tcW w:w="253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各评分因素细分项</w:t>
            </w:r>
            <w:r>
              <w:rPr>
                <w:rFonts w:ascii="宋体" w:hAnsi="宋体" w:cs="宋体"/>
                <w:b/>
                <w:bCs/>
                <w:sz w:val="21"/>
                <w:szCs w:val="21"/>
              </w:rPr>
            </w:r>
            <w:r/>
          </w:p>
        </w:tc>
        <w:tc>
          <w:tcPr>
            <w:tcW w:w="382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评分标准</w:t>
            </w:r>
            <w:r>
              <w:rPr>
                <w:rFonts w:ascii="宋体" w:hAnsi="宋体" w:cs="宋体"/>
                <w:b/>
                <w:bCs/>
                <w:sz w:val="21"/>
                <w:szCs w:val="21"/>
              </w:rPr>
            </w:r>
            <w:r/>
          </w:p>
        </w:tc>
      </w:tr>
      <w:tr>
        <w:trPr>
          <w:trHeight w:val="269"/>
        </w:trPr>
        <w:tc>
          <w:tcPr>
            <w:tcW w:w="990" w:type="dxa"/>
            <w:vAlign w:val="center"/>
            <w:vMerge w:val="restart"/>
            <w:textDirection w:val="lrTb"/>
            <w:noWrap w:val="false"/>
          </w:tcPr>
          <w:p>
            <w:pPr>
              <w:pStyle w:val="720"/>
              <w:jc w:val="center"/>
              <w:spacing w:line="280" w:lineRule="exact"/>
              <w:rPr>
                <w:rFonts w:ascii="宋体" w:hAnsi="宋体" w:eastAsia="宋体" w:cs="宋体"/>
                <w:b/>
                <w:bCs/>
                <w:sz w:val="21"/>
                <w:szCs w:val="21"/>
              </w:rPr>
            </w:pPr>
            <w:r>
              <w:rPr>
                <w:rFonts w:hint="eastAsia" w:ascii="宋体" w:hAnsi="宋体" w:eastAsia="宋体" w:cs="宋体"/>
                <w:b/>
                <w:bCs/>
                <w:sz w:val="21"/>
                <w:szCs w:val="21"/>
              </w:rPr>
              <w:t xml:space="preserve">2.3.2</w:t>
            </w:r>
            <w:r>
              <w:rPr>
                <w:rFonts w:ascii="宋体" w:hAnsi="宋体" w:eastAsia="宋体" w:cs="宋体"/>
                <w:b/>
                <w:bCs/>
                <w:sz w:val="21"/>
                <w:szCs w:val="21"/>
              </w:rPr>
            </w:r>
            <w:r/>
          </w:p>
          <w:p>
            <w:pPr>
              <w:pStyle w:val="720"/>
              <w:jc w:val="center"/>
              <w:spacing w:line="280" w:lineRule="exact"/>
              <w:rPr>
                <w:rFonts w:ascii="宋体" w:hAnsi="宋体" w:eastAsia="宋体" w:cs="宋体"/>
                <w:b/>
                <w:bCs/>
                <w:sz w:val="21"/>
                <w:szCs w:val="21"/>
              </w:rPr>
            </w:pPr>
            <w:r>
              <w:rPr>
                <w:rFonts w:hint="eastAsia" w:ascii="宋体" w:hAnsi="宋体" w:eastAsia="宋体" w:cs="宋体"/>
                <w:b/>
                <w:bCs/>
                <w:sz w:val="21"/>
                <w:szCs w:val="21"/>
              </w:rPr>
              <w:t xml:space="preserve">（1）</w:t>
            </w:r>
            <w:r>
              <w:rPr>
                <w:rFonts w:ascii="宋体" w:hAnsi="宋体" w:eastAsia="宋体" w:cs="宋体"/>
                <w:b/>
                <w:bCs/>
                <w:sz w:val="21"/>
                <w:szCs w:val="21"/>
              </w:rPr>
            </w:r>
            <w:r/>
          </w:p>
        </w:tc>
        <w:tc>
          <w:tcPr>
            <w:tcW w:w="1590" w:type="dxa"/>
            <w:vAlign w:val="center"/>
            <w:vMerge w:val="restart"/>
            <w:textDirection w:val="lrTb"/>
            <w:noWrap w:val="false"/>
          </w:tcPr>
          <w:p>
            <w:pPr>
              <w:pStyle w:val="720"/>
              <w:spacing w:line="280" w:lineRule="exact"/>
              <w:rPr>
                <w:rFonts w:ascii="宋体" w:hAnsi="宋体" w:eastAsia="宋体" w:cs="宋体"/>
                <w:b/>
                <w:bCs/>
                <w:sz w:val="21"/>
                <w:szCs w:val="21"/>
              </w:rPr>
            </w:pPr>
            <w:r>
              <w:rPr>
                <w:rFonts w:ascii="宋体" w:hAnsi="宋体" w:eastAsia="宋体" w:cs="宋体"/>
                <w:b/>
                <w:bCs/>
                <w:sz w:val="21"/>
                <w:szCs w:val="21"/>
              </w:rPr>
            </w:r>
            <w:r/>
          </w:p>
          <w:p>
            <w:pPr>
              <w:pStyle w:val="720"/>
              <w:jc w:val="center"/>
              <w:spacing w:line="280" w:lineRule="exact"/>
              <w:rPr>
                <w:rFonts w:ascii="宋体" w:hAnsi="宋体" w:eastAsia="宋体" w:cs="宋体"/>
                <w:b/>
                <w:bCs/>
                <w:sz w:val="21"/>
                <w:szCs w:val="21"/>
              </w:rPr>
            </w:pPr>
            <w:r>
              <w:rPr>
                <w:rFonts w:hint="eastAsia" w:ascii="宋体" w:hAnsi="宋体" w:eastAsia="宋体" w:cs="宋体"/>
                <w:b/>
                <w:bCs/>
                <w:sz w:val="21"/>
                <w:szCs w:val="21"/>
              </w:rPr>
              <w:t xml:space="preserve">集成实施方案</w:t>
            </w:r>
            <w:r>
              <w:rPr>
                <w:rFonts w:ascii="宋体" w:hAnsi="宋体" w:eastAsia="宋体" w:cs="宋体"/>
                <w:b/>
                <w:bCs/>
                <w:sz w:val="21"/>
                <w:szCs w:val="21"/>
              </w:rPr>
            </w:r>
            <w:r/>
          </w:p>
          <w:p>
            <w:pPr>
              <w:pStyle w:val="720"/>
              <w:jc w:val="center"/>
              <w:spacing w:line="280" w:lineRule="exact"/>
              <w:rPr>
                <w:rFonts w:ascii="宋体" w:hAnsi="宋体" w:eastAsia="宋体" w:cs="宋体"/>
                <w:b/>
                <w:bCs/>
                <w:sz w:val="21"/>
                <w:szCs w:val="21"/>
              </w:rPr>
            </w:pPr>
            <w:r>
              <w:rPr>
                <w:rFonts w:hint="eastAsia" w:ascii="宋体" w:hAnsi="宋体" w:eastAsia="宋体" w:cs="宋体"/>
                <w:b/>
                <w:bCs/>
                <w:sz w:val="21"/>
                <w:szCs w:val="21"/>
              </w:rPr>
              <w:t xml:space="preserve">（45分）</w:t>
            </w:r>
            <w:r>
              <w:rPr>
                <w:rFonts w:ascii="宋体" w:hAnsi="宋体" w:eastAsia="宋体" w:cs="宋体"/>
                <w:b/>
                <w:bCs/>
                <w:sz w:val="21"/>
                <w:szCs w:val="21"/>
              </w:rPr>
            </w:r>
            <w:r/>
          </w:p>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2530" w:type="dxa"/>
            <w:vAlign w:val="center"/>
            <w:textDirection w:val="lrTb"/>
            <w:noWrap w:val="false"/>
          </w:tcPr>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系统安装工艺</w:t>
            </w:r>
            <w:r>
              <w:rPr>
                <w:rFonts w:ascii="宋体" w:hAnsi="宋体" w:eastAsia="宋体" w:cs="宋体"/>
                <w:b/>
                <w:sz w:val="21"/>
                <w:szCs w:val="21"/>
              </w:rPr>
            </w:r>
            <w:r/>
          </w:p>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（5分）</w:t>
            </w:r>
            <w:r>
              <w:rPr>
                <w:rFonts w:ascii="宋体" w:hAnsi="宋体" w:eastAsia="宋体" w:cs="宋体"/>
                <w:b/>
                <w:sz w:val="21"/>
                <w:szCs w:val="21"/>
              </w:rPr>
            </w:r>
            <w:r/>
          </w:p>
        </w:tc>
        <w:tc>
          <w:tcPr>
            <w:tcW w:w="3820" w:type="dxa"/>
            <w:vAlign w:val="center"/>
            <w:textDirection w:val="lrTb"/>
            <w:noWrap w:val="false"/>
          </w:tcPr>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1）5分：9个子系统安装工艺方案完整，有明确实施工序、技术参数、执行规范、质量控制点、检测指标，风险预判到位，措施量化可执行，人员、材料、机具资源匹配，可直接用于现场实施；各子系统工序、施工工艺、技术措施、成品保护、验收要点描述详实，完全满足本项目技术需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（2）4.5分：9个子系统主要工艺方案齐全，各系统核心工序、质量管控要点清晰；仅个别子系统细节针对性不足，无重大缺项，满足项目技术要求。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（3）3分：9个子系统均有基础工艺描述，但部分子系统工艺细节、成品保护措施较为简略，针对性一般，存在少量缺项，基本满足项目技术要求。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（4）1.5分：仅部分子系统提供安装工艺，多个子系统关键工艺缺失、描述笼统，质量控制措施不足，针对性较差，部分内容不满足项目需求。</w:t>
            </w:r>
            <w:r>
              <w:rPr>
                <w:rFonts w:ascii="宋体" w:hAnsi="宋体" w:eastAsia="宋体" w:cs="宋体"/>
                <w:bCs/>
                <w:sz w:val="21"/>
                <w:szCs w:val="21"/>
              </w:rPr>
            </w:r>
            <w:r/>
          </w:p>
          <w:p>
            <w:pPr>
              <w:pStyle w:val="744"/>
              <w:ind w:left="0"/>
              <w:spacing w:before="0" w:after="0" w:line="320" w:lineRule="exact"/>
              <w:rPr>
                <w:sz w:val="21"/>
                <w:szCs w:val="21"/>
              </w:rPr>
            </w:pPr>
            <w:r>
              <w:rPr>
                <w:rFonts w:hint="eastAsia" w:ascii="宋体" w:hAnsi="宋体" w:eastAsia="宋体" w:cs="宋体"/>
                <w:bCs/>
                <w:sz w:val="21"/>
                <w:szCs w:val="21"/>
              </w:rPr>
              <w:t xml:space="preserve">（5）0分：无机房子系统安装工艺方案，或方案严重缺失、逻辑混乱，无法满足项目安装实施要求。</w:t>
            </w:r>
            <w:r>
              <w:rPr>
                <w:sz w:val="21"/>
                <w:szCs w:val="21"/>
              </w:rPr>
            </w:r>
            <w:r/>
          </w:p>
        </w:tc>
      </w:tr>
      <w:tr>
        <w:trPr>
          <w:trHeight w:val="269"/>
        </w:trPr>
        <w:tc>
          <w:tcPr>
            <w:tcW w:w="9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15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2530" w:type="dxa"/>
            <w:vAlign w:val="center"/>
            <w:textDirection w:val="lrTb"/>
            <w:noWrap w:val="false"/>
          </w:tcPr>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质量管控流程及措施</w:t>
            </w:r>
            <w:r>
              <w:rPr>
                <w:rFonts w:ascii="宋体" w:hAnsi="宋体" w:eastAsia="宋体" w:cs="宋体"/>
                <w:b/>
                <w:sz w:val="21"/>
                <w:szCs w:val="21"/>
              </w:rPr>
            </w:r>
            <w:r/>
          </w:p>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（5分）</w:t>
            </w:r>
            <w:r>
              <w:rPr>
                <w:rFonts w:ascii="宋体" w:hAnsi="宋体" w:eastAsia="宋体" w:cs="宋体"/>
                <w:b/>
                <w:sz w:val="21"/>
                <w:szCs w:val="21"/>
              </w:rPr>
            </w:r>
            <w:r/>
          </w:p>
        </w:tc>
        <w:tc>
          <w:tcPr>
            <w:tcW w:w="3820" w:type="dxa"/>
            <w:vAlign w:val="center"/>
            <w:textDirection w:val="lrTb"/>
            <w:noWrap w:val="false"/>
          </w:tcPr>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1）5分：质量管控流程完整，包含事前、事中、事后全流程管控，质量组织、岗位职责、原材料进场检验、工序报验、隐蔽工程验收、不合格处置、质量通病预防、资料管控等措施齐全；方案完整科学，贴合本项目机房 9 个子系统实际工况；明确管控节点、检验标准、执行规范，措施量化可执行，配套报验与整改闭环机制，可直接用于现场实施，落地性强，针对性强，完全满足项目要求。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（2）4.5分：质量管控流程清晰，核心质量管控措施齐全；少量细节描述不够深入，无重大缺项，满足项目质量管控要求。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（3）3分：具备基础质量管控流程，进场检验、工序验收有描述，但管控环节不全，通病预防、不合格处置措施简略，存在少量缺项，基本满足项目要求。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（4）1.5分：质量管控内容简单笼统，缺少关键管控节点，质量预防与纠偏措施不足，针对性较差，部分管控要求无法落实。</w:t>
            </w:r>
            <w:r>
              <w:rPr>
                <w:rFonts w:ascii="宋体" w:hAnsi="宋体" w:eastAsia="宋体" w:cs="宋体"/>
                <w:bCs/>
                <w:sz w:val="21"/>
                <w:szCs w:val="21"/>
              </w:rPr>
            </w:r>
            <w:r/>
          </w:p>
          <w:p>
            <w:pPr>
              <w:pStyle w:val="744"/>
              <w:ind w:left="0"/>
              <w:spacing w:before="0" w:after="0" w:line="320" w:lineRule="exact"/>
              <w:rPr>
                <w:rFonts w:ascii="宋体" w:hAnsi="宋体" w:eastAsia="宋体" w:cs="宋体"/>
                <w:b/>
                <w:sz w:val="21"/>
                <w:szCs w:val="21"/>
              </w:rPr>
            </w:pPr>
            <w:r>
              <w:rPr>
                <w:rFonts w:hint="eastAsia" w:ascii="宋体" w:hAnsi="宋体" w:eastAsia="宋体" w:cs="宋体"/>
                <w:bCs/>
                <w:sz w:val="21"/>
                <w:szCs w:val="21"/>
              </w:rPr>
              <w:t xml:space="preserve">（5）0分：无质量管控方案，或方案严重缺失，质量管控体系不成立。</w:t>
            </w:r>
            <w:r>
              <w:rPr>
                <w:rFonts w:ascii="宋体" w:hAnsi="宋体" w:eastAsia="宋体" w:cs="宋体"/>
                <w:b/>
                <w:sz w:val="21"/>
                <w:szCs w:val="21"/>
              </w:rPr>
            </w:r>
            <w:r/>
          </w:p>
        </w:tc>
      </w:tr>
      <w:tr>
        <w:trPr>
          <w:trHeight w:val="90"/>
        </w:trPr>
        <w:tc>
          <w:tcPr>
            <w:tcW w:w="9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1590" w:type="dxa"/>
            <w:vAlign w:val="center"/>
            <w:vMerge w:val="continue"/>
            <w:textDirection w:val="lrTb"/>
            <w:noWrap w:val="false"/>
          </w:tcPr>
          <w:p>
            <w:pPr>
              <w:pStyle w:val="720"/>
              <w:spacing w:line="280" w:lineRule="exact"/>
              <w:rPr>
                <w:rFonts w:ascii="宋体" w:hAnsi="宋体" w:eastAsia="宋体" w:cs="宋体"/>
                <w:b/>
                <w:bCs/>
                <w:sz w:val="21"/>
                <w:szCs w:val="21"/>
              </w:rPr>
            </w:pPr>
            <w:r>
              <w:rPr>
                <w:rFonts w:ascii="宋体" w:hAnsi="宋体" w:eastAsia="宋体" w:cs="宋体"/>
                <w:b/>
                <w:bCs/>
                <w:sz w:val="21"/>
                <w:szCs w:val="21"/>
              </w:rPr>
            </w:r>
            <w:r/>
          </w:p>
        </w:tc>
        <w:tc>
          <w:tcPr>
            <w:tcW w:w="2530" w:type="dxa"/>
            <w:vAlign w:val="center"/>
            <w:textDirection w:val="lrTb"/>
            <w:noWrap w:val="false"/>
          </w:tcPr>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进度计划及管控措施</w:t>
            </w:r>
            <w:r>
              <w:rPr>
                <w:rFonts w:ascii="宋体" w:hAnsi="宋体" w:eastAsia="宋体" w:cs="宋体"/>
                <w:b/>
                <w:sz w:val="21"/>
                <w:szCs w:val="21"/>
              </w:rPr>
            </w:r>
            <w:r/>
          </w:p>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（5分）</w:t>
            </w:r>
            <w:r>
              <w:rPr>
                <w:rFonts w:ascii="宋体" w:hAnsi="宋体" w:eastAsia="宋体" w:cs="宋体"/>
                <w:b/>
                <w:sz w:val="21"/>
                <w:szCs w:val="21"/>
              </w:rPr>
            </w:r>
            <w:r/>
          </w:p>
        </w:tc>
        <w:tc>
          <w:tcPr>
            <w:tcW w:w="3820" w:type="dxa"/>
            <w:vAlign w:val="center"/>
            <w:textDirection w:val="lrTb"/>
            <w:noWrap w:val="false"/>
          </w:tcPr>
          <w:p>
            <w:pPr>
              <w:pStyle w:val="744"/>
              <w:ind w:left="0"/>
              <w:spacing w:before="0" w:after="0" w:line="320" w:lineRule="exact"/>
              <w:rPr>
                <w:rFonts w:cs="宋体"/>
                <w:sz w:val="21"/>
                <w:szCs w:val="21"/>
              </w:rPr>
            </w:pPr>
            <w:r>
              <w:rPr>
                <w:rFonts w:hint="eastAsia" w:cs="宋体"/>
                <w:sz w:val="21"/>
                <w:szCs w:val="21"/>
              </w:rPr>
              <w:t xml:space="preserve">（1）5分：总进度计划及各子系统分段计划合理，交叉作业安排科学，关键线路清晰；配套进度管控、资源配置、工期预警、滞后纠偏、多专业协调措施完善；方案完整科学，贴合本项目机房 9 个子系统实际工况；明确各专业交叉时序、资源投入计划、工期预警阈值，措施量化可执行，可直接用于现场实施，落地性强，完全匹配项目工期要求。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（2）4.5分：总进度、子系统分段计划完整，关键节点明确，进度管控、资源保障措施齐全；个别交叉作业安排细节不足，无重大缺项，满足项目工期要求。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（3）3分：有总体进度计划，主要节点清晰，但子系统分段计划简略，资源调配、工期纠偏措施不足，存在少量缺项，基本满足项目工期要求。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（4）1.5分：进度计划简单粗糙，缺少子系统分解节点，进度管控、纠偏措施缺失，针对性差，难以保障工期。</w:t>
            </w:r>
            <w:r>
              <w:rPr>
                <w:rFonts w:cs="宋体"/>
                <w:sz w:val="21"/>
                <w:szCs w:val="21"/>
              </w:rPr>
            </w:r>
            <w:r/>
          </w:p>
          <w:p>
            <w:pPr>
              <w:pStyle w:val="744"/>
              <w:ind w:left="0"/>
              <w:spacing w:before="0" w:after="0" w:line="320" w:lineRule="exact"/>
              <w:rPr>
                <w:rFonts w:cs="宋体"/>
                <w:bCs/>
                <w:sz w:val="21"/>
                <w:szCs w:val="21"/>
              </w:rPr>
            </w:pPr>
            <w:r>
              <w:rPr>
                <w:rFonts w:hint="eastAsia" w:cs="宋体"/>
                <w:sz w:val="21"/>
                <w:szCs w:val="21"/>
              </w:rPr>
              <w:t xml:space="preserve">（5）0分：无项目进度计划，或计划严重不合理，无法指导实施。</w:t>
            </w:r>
            <w:r>
              <w:rPr>
                <w:rFonts w:cs="宋体"/>
                <w:bCs/>
                <w:sz w:val="21"/>
                <w:szCs w:val="21"/>
              </w:rPr>
            </w:r>
            <w:r/>
          </w:p>
        </w:tc>
      </w:tr>
      <w:tr>
        <w:trPr>
          <w:trHeight w:val="575"/>
        </w:trPr>
        <w:tc>
          <w:tcPr>
            <w:tcW w:w="9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15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2530" w:type="dxa"/>
            <w:vAlign w:val="center"/>
            <w:textDirection w:val="lrTb"/>
            <w:noWrap w:val="false"/>
          </w:tcPr>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安全文明生产管理</w:t>
            </w:r>
            <w:r>
              <w:rPr>
                <w:rFonts w:ascii="宋体" w:hAnsi="宋体" w:eastAsia="宋体" w:cs="宋体"/>
                <w:b/>
                <w:sz w:val="21"/>
                <w:szCs w:val="21"/>
              </w:rPr>
            </w:r>
            <w:r/>
          </w:p>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（5分）</w:t>
            </w:r>
            <w:r>
              <w:rPr>
                <w:rFonts w:ascii="宋体" w:hAnsi="宋体" w:eastAsia="宋体" w:cs="宋体"/>
                <w:b/>
                <w:sz w:val="21"/>
                <w:szCs w:val="21"/>
              </w:rPr>
            </w:r>
            <w:r/>
          </w:p>
        </w:tc>
        <w:tc>
          <w:tcPr>
            <w:tcW w:w="3820" w:type="dxa"/>
            <w:vAlign w:val="center"/>
            <w:textDirection w:val="lrTb"/>
            <w:noWrap w:val="false"/>
          </w:tcPr>
          <w:p>
            <w:pPr>
              <w:pStyle w:val="744"/>
              <w:ind w:left="0"/>
              <w:spacing w:before="0" w:after="0" w:line="320" w:lineRule="exact"/>
              <w:rPr>
                <w:rFonts w:cs="宋体"/>
                <w:sz w:val="21"/>
                <w:szCs w:val="21"/>
              </w:rPr>
            </w:pPr>
            <w:r>
              <w:rPr>
                <w:rFonts w:hint="eastAsia" w:cs="宋体"/>
                <w:sz w:val="21"/>
                <w:szCs w:val="21"/>
              </w:rPr>
              <w:t xml:space="preserve">（1）5分：安全文明施工方案完善，安全管理组织、安全教育、现场防护、用电安全、动火作业、消防防护、危废处置、现场防尘降噪、成品保护、应急预案齐全，贴合机房多专业交叉作业特点；方案完整科学，贴合本项目机房 9 个子系统实际工况；明确危险作业审批流程、防护标准、应急处置流程，措施量化可执行，可直接用于现场实施，完全满足要求。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（2）4.5分：安全文明方案主要内容齐全，安全防护、动火、用电、文明现场管理措施完整；个别细节不足，无重大安全管理缺项，满足项目要求。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（3）3分：具备安全文明管理基本内容，安全责任、现场防护有描述，但专项作业管控、应急措施简略，存在少量缺项，基本满足项目要求。</w:t>
            </w:r>
            <w:r>
              <w:rPr>
                <w:rFonts w:cs="宋体"/>
                <w:sz w:val="21"/>
                <w:szCs w:val="21"/>
              </w:rPr>
            </w:r>
            <w:r/>
          </w:p>
          <w:p>
            <w:pPr>
              <w:pStyle w:val="744"/>
              <w:ind w:left="0"/>
              <w:spacing w:before="0" w:after="0" w:line="320" w:lineRule="exact"/>
              <w:rPr>
                <w:rFonts w:cs="宋体"/>
                <w:sz w:val="21"/>
                <w:szCs w:val="21"/>
              </w:rPr>
            </w:pPr>
            <w:r>
              <w:rPr>
                <w:rFonts w:hint="eastAsia" w:cs="宋体"/>
                <w:sz w:val="21"/>
                <w:szCs w:val="21"/>
              </w:rPr>
              <w:t xml:space="preserve">（4）1.5分：方案内容简单，关键安全管控（动火、临时用电）措施缺失，应急预案不完善，针对性较差。</w:t>
            </w:r>
            <w:r>
              <w:rPr>
                <w:rFonts w:cs="宋体"/>
                <w:sz w:val="21"/>
                <w:szCs w:val="21"/>
              </w:rPr>
            </w:r>
            <w:r/>
          </w:p>
          <w:p>
            <w:pPr>
              <w:pStyle w:val="744"/>
              <w:ind w:left="0"/>
              <w:spacing w:before="0" w:after="0" w:line="320" w:lineRule="exact"/>
              <w:rPr>
                <w:sz w:val="21"/>
                <w:szCs w:val="21"/>
              </w:rPr>
            </w:pPr>
            <w:r>
              <w:rPr>
                <w:rFonts w:hint="eastAsia" w:cs="宋体"/>
                <w:sz w:val="21"/>
                <w:szCs w:val="21"/>
              </w:rPr>
              <w:t xml:space="preserve">（5）0 分：无安全文明生产方案，方案严重缺失。</w:t>
            </w:r>
            <w:r>
              <w:rPr>
                <w:sz w:val="21"/>
                <w:szCs w:val="21"/>
              </w:rPr>
            </w:r>
            <w:r/>
          </w:p>
        </w:tc>
      </w:tr>
      <w:tr>
        <w:trPr>
          <w:trHeight w:val="305"/>
        </w:trPr>
        <w:tc>
          <w:tcPr>
            <w:tcW w:w="9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1590" w:type="dxa"/>
            <w:vAlign w:val="center"/>
            <w:vMerge w:val="continue"/>
            <w:textDirection w:val="lrTb"/>
            <w:noWrap w:val="false"/>
          </w:tcPr>
          <w:p>
            <w:pPr>
              <w:pStyle w:val="720"/>
              <w:jc w:val="center"/>
              <w:spacing w:line="280" w:lineRule="exact"/>
              <w:rPr>
                <w:rFonts w:ascii="宋体" w:hAnsi="宋体" w:eastAsia="宋体" w:cs="宋体"/>
                <w:b/>
                <w:bCs/>
                <w:sz w:val="21"/>
                <w:szCs w:val="21"/>
              </w:rPr>
            </w:pPr>
            <w:r>
              <w:rPr>
                <w:rFonts w:ascii="宋体" w:hAnsi="宋体" w:eastAsia="宋体" w:cs="宋体"/>
                <w:b/>
                <w:bCs/>
                <w:sz w:val="21"/>
                <w:szCs w:val="21"/>
              </w:rPr>
            </w:r>
            <w:r/>
          </w:p>
        </w:tc>
        <w:tc>
          <w:tcPr>
            <w:tcW w:w="2530" w:type="dxa"/>
            <w:vAlign w:val="center"/>
            <w:textDirection w:val="lrTb"/>
            <w:noWrap w:val="false"/>
          </w:tcPr>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系统调试检测试运行</w:t>
            </w:r>
            <w:r>
              <w:rPr>
                <w:rFonts w:ascii="宋体" w:hAnsi="宋体" w:eastAsia="宋体" w:cs="宋体"/>
                <w:b/>
                <w:sz w:val="21"/>
                <w:szCs w:val="21"/>
              </w:rPr>
            </w:r>
            <w:r/>
          </w:p>
          <w:p>
            <w:pPr>
              <w:pStyle w:val="720"/>
              <w:jc w:val="center"/>
              <w:spacing w:line="320" w:lineRule="exact"/>
              <w:rPr>
                <w:rFonts w:ascii="宋体" w:hAnsi="宋体" w:eastAsia="宋体" w:cs="宋体"/>
                <w:b/>
                <w:sz w:val="21"/>
                <w:szCs w:val="21"/>
              </w:rPr>
            </w:pPr>
            <w:r>
              <w:rPr>
                <w:rFonts w:hint="eastAsia" w:ascii="宋体" w:hAnsi="宋体" w:eastAsia="宋体" w:cs="宋体"/>
                <w:b/>
                <w:sz w:val="21"/>
                <w:szCs w:val="21"/>
              </w:rPr>
              <w:t xml:space="preserve">（10分）</w:t>
            </w:r>
            <w:r>
              <w:rPr>
                <w:rFonts w:ascii="宋体" w:hAnsi="宋体" w:eastAsia="宋体" w:cs="宋体"/>
                <w:b/>
                <w:sz w:val="21"/>
                <w:szCs w:val="21"/>
              </w:rPr>
            </w:r>
            <w:r/>
          </w:p>
        </w:tc>
        <w:tc>
          <w:tcPr>
            <w:tcW w:w="3820" w:type="dxa"/>
            <w:vAlign w:val="center"/>
            <w:textDirection w:val="lrTb"/>
            <w:noWrap w:val="false"/>
          </w:tcPr>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（1）10分：调试、检测、试运行方案完整，含单设备调试、各子系统单独调试、跨系统联调、检测项目、检测手段、测试用例、试运行周期、试运行记录、故障处置、停机保护方案，覆盖全部 9 个子系统；方案完整科学，贴合本项目机房实际工况；明确调试参数、判定阈值、执行规范，风险预判到位，故障处置措施量化可执行，配套测试记录表单，可直接用于现场实施，针对性强，完全满足项目验收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（2）9分：调试检测试运行方案较完整，单机、子系统调试、全系统联调、试运行、故障处置等核心内容齐全；少量测试细节不足，无重大缺项，满足项目要求。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（3）8分：具备调试、检测、试运行基本方案，单机及子系统调试有描述，但联调方案、测试用例、试运行记录内容简略，存在少量缺项，基本满足项目要求。</w:t>
            </w:r>
            <w:r>
              <w:rPr>
                <w:rFonts w:ascii="宋体" w:hAnsi="宋体" w:eastAsia="宋体" w:cs="宋体"/>
                <w:bCs/>
                <w:sz w:val="21"/>
                <w:szCs w:val="21"/>
              </w:rPr>
            </w:r>
            <w:r/>
          </w:p>
          <w:p>
            <w:pPr>
              <w:pStyle w:val="744"/>
              <w:ind w:left="0"/>
              <w:spacing w:before="0" w:after="0" w:line="320" w:lineRule="exact"/>
              <w:rPr>
                <w:rFonts w:ascii="宋体" w:hAnsi="宋体" w:eastAsia="宋体" w:cs="宋体"/>
                <w:bCs/>
                <w:sz w:val="21"/>
                <w:szCs w:val="21"/>
              </w:rPr>
            </w:pPr>
            <w:r>
              <w:rPr>
                <w:rFonts w:hint="eastAsia" w:ascii="宋体" w:hAnsi="宋体" w:eastAsia="宋体" w:cs="宋体"/>
                <w:bCs/>
                <w:sz w:val="21"/>
                <w:szCs w:val="21"/>
              </w:rPr>
              <w:t xml:space="preserve">（4）6分：方案内容简单笼统，缺少跨系统联调或试运行方案，关键检测项目缺失，故障处置措施不足，部分内容不满足项目需求。</w:t>
            </w:r>
            <w:r>
              <w:rPr>
                <w:rFonts w:ascii="宋体" w:hAnsi="宋体" w:eastAsia="宋体" w:cs="宋体"/>
                <w:bCs/>
                <w:sz w:val="21"/>
                <w:szCs w:val="21"/>
              </w:rPr>
            </w:r>
            <w:r/>
          </w:p>
          <w:p>
            <w:pPr>
              <w:pStyle w:val="744"/>
              <w:ind w:left="0"/>
              <w:spacing w:before="0" w:after="0" w:line="320" w:lineRule="exact"/>
              <w:rPr>
                <w:rFonts w:cs="宋体"/>
                <w:bCs/>
                <w:sz w:val="21"/>
                <w:szCs w:val="21"/>
              </w:rPr>
            </w:pPr>
            <w:r>
              <w:rPr>
                <w:rFonts w:hint="eastAsia" w:ascii="宋体" w:hAnsi="宋体" w:eastAsia="宋体" w:cs="宋体"/>
                <w:bCs/>
                <w:sz w:val="21"/>
                <w:szCs w:val="21"/>
              </w:rPr>
              <w:t xml:space="preserve">（5）0分：无系统调试检测试运行方案，或方案严重缺失，无法支撑系统测试工作。</w:t>
            </w:r>
            <w:r>
              <w:rPr>
                <w:rFonts w:cs="宋体"/>
                <w:bCs/>
                <w:sz w:val="21"/>
                <w:szCs w:val="21"/>
              </w:rPr>
            </w:r>
            <w:r/>
          </w:p>
        </w:tc>
      </w:tr>
      <w:tr>
        <w:trPr>
          <w:trHeight w:val="575"/>
        </w:trPr>
        <w:tc>
          <w:tcPr>
            <w:tcW w:w="990" w:type="dxa"/>
            <w:vAlign w:val="center"/>
            <w:vMerge w:val="continue"/>
            <w:textDirection w:val="lrTb"/>
            <w:noWrap w:val="false"/>
          </w:tcPr>
          <w:p>
            <w:pPr>
              <w:pStyle w:val="720"/>
              <w:jc w:val="center"/>
              <w:spacing w:line="280" w:lineRule="exact"/>
              <w:rPr>
                <w:rFonts w:ascii="宋体" w:hAnsi="宋体" w:cs="宋体"/>
                <w:b/>
                <w:bCs/>
                <w:sz w:val="21"/>
                <w:szCs w:val="21"/>
              </w:rPr>
            </w:pPr>
            <w:r>
              <w:rPr>
                <w:rFonts w:ascii="宋体" w:hAnsi="宋体" w:cs="宋体"/>
                <w:b/>
                <w:bCs/>
                <w:sz w:val="21"/>
                <w:szCs w:val="21"/>
              </w:rPr>
            </w:r>
            <w:r/>
          </w:p>
        </w:tc>
        <w:tc>
          <w:tcPr>
            <w:tcW w:w="1590" w:type="dxa"/>
            <w:vAlign w:val="center"/>
            <w:vMerge w:val="continue"/>
            <w:textDirection w:val="lrTb"/>
            <w:noWrap w:val="false"/>
          </w:tcPr>
          <w:p>
            <w:pPr>
              <w:pStyle w:val="720"/>
              <w:jc w:val="center"/>
              <w:spacing w:line="280" w:lineRule="exact"/>
              <w:rPr>
                <w:rFonts w:ascii="宋体" w:hAnsi="宋体" w:cs="宋体"/>
                <w:b/>
                <w:bCs/>
                <w:sz w:val="21"/>
                <w:szCs w:val="21"/>
              </w:rPr>
            </w:pPr>
            <w:r>
              <w:rPr>
                <w:rFonts w:ascii="宋体" w:hAnsi="宋体" w:cs="宋体"/>
                <w:b/>
                <w:bCs/>
                <w:sz w:val="21"/>
                <w:szCs w:val="21"/>
              </w:rPr>
            </w:r>
            <w:r/>
          </w:p>
        </w:tc>
        <w:tc>
          <w:tcPr>
            <w:tcW w:w="2530" w:type="dxa"/>
            <w:vAlign w:val="center"/>
            <w:textDirection w:val="lrTb"/>
            <w:noWrap w:val="false"/>
          </w:tcPr>
          <w:p>
            <w:pPr>
              <w:pStyle w:val="720"/>
              <w:jc w:val="center"/>
              <w:spacing w:line="320" w:lineRule="exact"/>
              <w:rPr>
                <w:rFonts w:ascii="宋体" w:hAnsi="宋体" w:cs="宋体"/>
                <w:b/>
                <w:bCs/>
                <w:sz w:val="21"/>
                <w:szCs w:val="21"/>
              </w:rPr>
            </w:pPr>
            <w:r>
              <w:rPr>
                <w:rFonts w:hint="eastAsia" w:ascii="宋体" w:hAnsi="宋体" w:cs="宋体"/>
                <w:b/>
                <w:bCs/>
                <w:sz w:val="21"/>
                <w:szCs w:val="21"/>
              </w:rPr>
              <w:t xml:space="preserve">售后培训及质保服务</w:t>
            </w:r>
            <w:r>
              <w:rPr>
                <w:rFonts w:ascii="宋体" w:hAnsi="宋体" w:cs="宋体"/>
                <w:b/>
                <w:bCs/>
                <w:sz w:val="21"/>
                <w:szCs w:val="21"/>
              </w:rPr>
            </w:r>
            <w:r/>
          </w:p>
          <w:p>
            <w:pPr>
              <w:pStyle w:val="720"/>
              <w:jc w:val="center"/>
              <w:spacing w:line="320" w:lineRule="exact"/>
              <w:rPr>
                <w:rFonts w:ascii="宋体" w:hAnsi="宋体" w:cs="宋体"/>
                <w:b/>
                <w:bCs/>
                <w:sz w:val="21"/>
                <w:szCs w:val="21"/>
              </w:rPr>
            </w:pPr>
            <w:r>
              <w:rPr>
                <w:rFonts w:hint="eastAsia" w:ascii="宋体" w:hAnsi="宋体" w:cs="宋体"/>
                <w:b/>
                <w:bCs/>
                <w:sz w:val="21"/>
                <w:szCs w:val="21"/>
              </w:rPr>
              <w:t xml:space="preserve">（5分）</w:t>
            </w:r>
            <w:r>
              <w:rPr>
                <w:rFonts w:ascii="宋体" w:hAnsi="宋体" w:cs="宋体"/>
                <w:b/>
                <w:bCs/>
                <w:sz w:val="21"/>
                <w:szCs w:val="21"/>
              </w:rPr>
            </w:r>
            <w:r/>
          </w:p>
        </w:tc>
        <w:tc>
          <w:tcPr>
            <w:tcW w:w="3820" w:type="dxa"/>
            <w:vAlign w:val="center"/>
            <w:textDirection w:val="lrTb"/>
            <w:noWrap w:val="false"/>
          </w:tcPr>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1）5分：质保服务方案完善，质保范围、响应机制、故障处理流程、备品备件保障、巡检计划、人员配置清晰；分层次培训（管理、运维操作人员）方案详实，培训大纲、教材、考核方式齐全；方案完整科学，贴合本项目机房 9 个子系统实际工况；明确故障响应时限、备件储备清单、培训课时与考核标准，措施量化可执行，可直接落地执行，完全满足项目运维需求。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（2）4.5分：质保及培训方案主要内容齐全，故障响应、备件保障、培训计划完整；仅少量细节不足，无重大缺项，满足项目要求。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（3）3分：具备质保、培训基本方案，质保期限、培训安排有描述，但备件保障、培训课程内容简略，存在少量缺项，基本满足项目要求。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（4）1.5分：方案内容简单，质保响应、培训计划笼统，备品备件保障措施缺失，针对性较差。</w:t>
            </w:r>
            <w:r>
              <w:rPr>
                <w:rFonts w:ascii="宋体" w:hAnsi="宋体" w:eastAsia="宋体" w:cs="宋体"/>
                <w:b w:val="0"/>
                <w:sz w:val="21"/>
                <w:szCs w:val="21"/>
              </w:rPr>
            </w:r>
            <w:r/>
          </w:p>
          <w:p>
            <w:pPr>
              <w:pStyle w:val="724"/>
              <w:keepLines w:val="0"/>
              <w:keepNext w:val="0"/>
              <w:spacing w:before="0" w:after="0" w:line="320" w:lineRule="exact"/>
              <w:rPr>
                <w:sz w:val="21"/>
                <w:szCs w:val="21"/>
              </w:rPr>
            </w:pPr>
            <w:r>
              <w:rPr>
                <w:rFonts w:hint="eastAsia" w:ascii="宋体" w:hAnsi="宋体" w:eastAsia="宋体" w:cs="宋体"/>
                <w:b w:val="0"/>
                <w:sz w:val="21"/>
                <w:szCs w:val="21"/>
              </w:rPr>
              <w:t xml:space="preserve">（5）0分：无质保培训服务方案，或方案严重缺失。</w:t>
            </w:r>
            <w:r>
              <w:rPr>
                <w:sz w:val="21"/>
                <w:szCs w:val="21"/>
              </w:rPr>
            </w:r>
            <w:r/>
          </w:p>
        </w:tc>
      </w:tr>
      <w:tr>
        <w:trPr>
          <w:trHeight w:val="200"/>
        </w:trPr>
        <w:tc>
          <w:tcPr>
            <w:tcW w:w="990" w:type="dxa"/>
            <w:vAlign w:val="center"/>
            <w:vMerge w:val="continue"/>
            <w:textDirection w:val="lrTb"/>
            <w:noWrap w:val="false"/>
          </w:tcPr>
          <w:p>
            <w:pPr>
              <w:pStyle w:val="720"/>
              <w:jc w:val="center"/>
              <w:spacing w:line="280" w:lineRule="exact"/>
              <w:rPr>
                <w:rFonts w:ascii="宋体" w:hAnsi="宋体" w:cs="宋体"/>
                <w:b/>
                <w:bCs/>
                <w:sz w:val="21"/>
                <w:szCs w:val="21"/>
              </w:rPr>
            </w:pPr>
            <w:r>
              <w:rPr>
                <w:rFonts w:ascii="宋体" w:hAnsi="宋体" w:cs="宋体"/>
                <w:b/>
                <w:bCs/>
                <w:sz w:val="21"/>
                <w:szCs w:val="21"/>
              </w:rPr>
            </w:r>
            <w:r/>
          </w:p>
        </w:tc>
        <w:tc>
          <w:tcPr>
            <w:tcW w:w="1590" w:type="dxa"/>
            <w:vAlign w:val="center"/>
            <w:vMerge w:val="continue"/>
            <w:textDirection w:val="lrTb"/>
            <w:noWrap w:val="false"/>
          </w:tcPr>
          <w:p>
            <w:pPr>
              <w:pStyle w:val="720"/>
              <w:jc w:val="center"/>
              <w:spacing w:line="280" w:lineRule="exact"/>
              <w:rPr>
                <w:rFonts w:ascii="宋体" w:hAnsi="宋体" w:cs="宋体"/>
                <w:b/>
                <w:bCs/>
                <w:sz w:val="21"/>
                <w:szCs w:val="21"/>
              </w:rPr>
            </w:pPr>
            <w:r>
              <w:rPr>
                <w:rFonts w:ascii="宋体" w:hAnsi="宋体" w:cs="宋体"/>
                <w:b/>
                <w:bCs/>
                <w:sz w:val="21"/>
                <w:szCs w:val="21"/>
              </w:rPr>
            </w:r>
            <w:r/>
          </w:p>
        </w:tc>
        <w:tc>
          <w:tcPr>
            <w:tcW w:w="2530" w:type="dxa"/>
            <w:vAlign w:val="center"/>
            <w:textDirection w:val="lrTb"/>
            <w:noWrap w:val="false"/>
          </w:tcPr>
          <w:p>
            <w:pPr>
              <w:pStyle w:val="720"/>
              <w:jc w:val="center"/>
              <w:spacing w:line="320" w:lineRule="exact"/>
              <w:rPr>
                <w:rFonts w:ascii="宋体" w:hAnsi="宋体" w:cs="宋体"/>
                <w:b/>
                <w:bCs/>
                <w:sz w:val="21"/>
                <w:szCs w:val="21"/>
              </w:rPr>
            </w:pPr>
            <w:r>
              <w:rPr>
                <w:rFonts w:hint="eastAsia" w:ascii="宋体" w:hAnsi="宋体" w:cs="宋体"/>
                <w:b/>
                <w:bCs/>
                <w:sz w:val="21"/>
                <w:szCs w:val="21"/>
              </w:rPr>
              <w:t xml:space="preserve">机房验收方案</w:t>
            </w:r>
            <w:r>
              <w:rPr>
                <w:rFonts w:ascii="宋体" w:hAnsi="宋体" w:cs="宋体"/>
                <w:b/>
                <w:bCs/>
                <w:sz w:val="21"/>
                <w:szCs w:val="21"/>
              </w:rPr>
            </w:r>
            <w:r/>
          </w:p>
          <w:p>
            <w:pPr>
              <w:pStyle w:val="720"/>
              <w:jc w:val="center"/>
              <w:spacing w:line="320" w:lineRule="exact"/>
              <w:rPr>
                <w:rFonts w:ascii="宋体" w:hAnsi="宋体" w:cs="宋体"/>
                <w:b/>
                <w:bCs/>
                <w:sz w:val="21"/>
                <w:szCs w:val="21"/>
              </w:rPr>
            </w:pPr>
            <w:r>
              <w:rPr>
                <w:rFonts w:hint="eastAsia" w:ascii="宋体" w:hAnsi="宋体" w:cs="宋体"/>
                <w:b/>
                <w:bCs/>
                <w:sz w:val="21"/>
                <w:szCs w:val="21"/>
              </w:rPr>
              <w:t xml:space="preserve">（10分）</w:t>
            </w:r>
            <w:r>
              <w:rPr>
                <w:rFonts w:ascii="宋体" w:hAnsi="宋体" w:cs="宋体"/>
                <w:b/>
                <w:bCs/>
                <w:sz w:val="21"/>
                <w:szCs w:val="21"/>
              </w:rPr>
            </w:r>
            <w:r/>
          </w:p>
        </w:tc>
        <w:tc>
          <w:tcPr>
            <w:tcW w:w="3820" w:type="dxa"/>
            <w:vAlign w:val="center"/>
            <w:textDirection w:val="lrTb"/>
            <w:noWrap w:val="false"/>
          </w:tcPr>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（1）10分：机房整体验收方案完整，包含资料预验收、各子系统分项验收、整体竣工验收、验收依据标准、验收内容、验收检测项目、验收资料清单、问题整改闭环、移交方案齐全，覆盖全部 9 个子系统；方案完整科学，贴合本项目机房实际工况；明确验收检测指标、资料归档清单、缺陷整改时限、移交清单，措施量化可执行，配套验收记录表单，可直接用于现场验收实施，针对性强，完全满足项目归档及验收备案要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（2）9分：验收方案较完整，分项验收、竣工验收、资料移交、整改闭环等核心内容齐全；少量验收检测细节不足，无重大缺项，满足项目验收要求。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（3）8分：具备验收基本方案，分项验收、竣工验收有描述，但检测项目、资料清单、整改闭环内容简略，存在少量缺项，基本满足项目验收要求。</w:t>
            </w:r>
            <w:r>
              <w:rPr>
                <w:rFonts w:ascii="宋体" w:hAnsi="宋体" w:eastAsia="宋体" w:cs="宋体"/>
                <w:b w:val="0"/>
                <w:sz w:val="21"/>
                <w:szCs w:val="21"/>
              </w:rPr>
            </w:r>
            <w:r/>
          </w:p>
          <w:p>
            <w:pPr>
              <w:pStyle w:val="724"/>
              <w:keepLines w:val="0"/>
              <w:keepNext w:val="0"/>
              <w:spacing w:before="0" w:after="0" w:line="320" w:lineRule="exact"/>
              <w:rPr>
                <w:rFonts w:ascii="宋体" w:hAnsi="宋体" w:eastAsia="宋体" w:cs="宋体"/>
                <w:b w:val="0"/>
                <w:sz w:val="21"/>
                <w:szCs w:val="21"/>
              </w:rPr>
            </w:pPr>
            <w:r>
              <w:rPr>
                <w:rFonts w:hint="eastAsia" w:ascii="宋体" w:hAnsi="宋体" w:eastAsia="宋体" w:cs="宋体"/>
                <w:b w:val="0"/>
                <w:sz w:val="21"/>
                <w:szCs w:val="21"/>
              </w:rPr>
              <w:t xml:space="preserve">（4）6分：方案内容简单笼统，缺少部分子系统验收内容，检测项目、资料移交清单缺失，整改闭环机制不足，部分不满足验收要求。</w:t>
            </w:r>
            <w:r>
              <w:rPr>
                <w:rFonts w:ascii="宋体" w:hAnsi="宋体" w:eastAsia="宋体" w:cs="宋体"/>
                <w:b w:val="0"/>
                <w:sz w:val="21"/>
                <w:szCs w:val="21"/>
              </w:rPr>
            </w:r>
            <w:r/>
          </w:p>
          <w:p>
            <w:pPr>
              <w:pStyle w:val="724"/>
              <w:keepLines w:val="0"/>
              <w:keepNext w:val="0"/>
              <w:spacing w:before="0" w:after="0" w:line="320" w:lineRule="exact"/>
              <w:rPr>
                <w:sz w:val="21"/>
                <w:szCs w:val="21"/>
              </w:rPr>
            </w:pPr>
            <w:r>
              <w:rPr>
                <w:rFonts w:hint="eastAsia" w:ascii="宋体" w:hAnsi="宋体" w:eastAsia="宋体" w:cs="宋体"/>
                <w:b w:val="0"/>
                <w:sz w:val="21"/>
                <w:szCs w:val="21"/>
              </w:rPr>
              <w:t xml:space="preserve">（5）0分：无机房验收方案，或方案严重缺失，无法支撑项目验收移交。</w:t>
            </w:r>
            <w:r>
              <w:rPr>
                <w:sz w:val="21"/>
                <w:szCs w:val="21"/>
              </w:rPr>
            </w:r>
            <w:r/>
          </w:p>
        </w:tc>
      </w:tr>
      <w:tr>
        <w:trPr>
          <w:trHeight w:val="90"/>
        </w:trPr>
        <w:tc>
          <w:tcPr>
            <w:tcW w:w="99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2.3.2</w:t>
            </w:r>
            <w:r>
              <w:rPr>
                <w:rFonts w:ascii="宋体" w:hAnsi="宋体" w:cs="宋体"/>
                <w:b/>
                <w:bCs/>
                <w:sz w:val="21"/>
                <w:szCs w:val="21"/>
              </w:rPr>
            </w:r>
            <w:r/>
          </w:p>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（2）</w:t>
            </w:r>
            <w:r>
              <w:rPr>
                <w:rFonts w:ascii="宋体" w:hAnsi="宋体" w:cs="宋体"/>
                <w:b/>
                <w:bCs/>
                <w:sz w:val="21"/>
                <w:szCs w:val="21"/>
              </w:rPr>
            </w:r>
            <w:r/>
          </w:p>
        </w:tc>
        <w:tc>
          <w:tcPr>
            <w:tcW w:w="1590" w:type="dxa"/>
            <w:vAlign w:val="center"/>
            <w:textDirection w:val="lrTb"/>
            <w:noWrap w:val="false"/>
          </w:tcPr>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技术条款响应</w:t>
            </w:r>
            <w:r>
              <w:rPr>
                <w:rFonts w:ascii="宋体" w:hAnsi="宋体" w:cs="宋体"/>
                <w:b/>
                <w:bCs/>
                <w:sz w:val="21"/>
                <w:szCs w:val="21"/>
              </w:rPr>
            </w:r>
            <w:r/>
          </w:p>
          <w:p>
            <w:pPr>
              <w:pStyle w:val="720"/>
              <w:jc w:val="center"/>
              <w:spacing w:line="280" w:lineRule="exact"/>
              <w:rPr>
                <w:rFonts w:ascii="宋体" w:hAnsi="宋体" w:cs="宋体"/>
                <w:b/>
                <w:bCs/>
                <w:sz w:val="21"/>
                <w:szCs w:val="21"/>
              </w:rPr>
            </w:pPr>
            <w:r>
              <w:rPr>
                <w:rFonts w:hint="eastAsia" w:ascii="宋体" w:hAnsi="宋体" w:cs="宋体"/>
                <w:b/>
                <w:bCs/>
                <w:sz w:val="21"/>
                <w:szCs w:val="21"/>
              </w:rPr>
              <w:t xml:space="preserve">（25分）</w:t>
            </w:r>
            <w:r>
              <w:rPr>
                <w:rFonts w:ascii="宋体" w:hAnsi="宋体" w:cs="宋体"/>
                <w:b/>
                <w:bCs/>
                <w:sz w:val="21"/>
                <w:szCs w:val="21"/>
              </w:rPr>
            </w:r>
            <w:r/>
          </w:p>
        </w:tc>
        <w:tc>
          <w:tcPr>
            <w:gridSpan w:val="2"/>
            <w:tcW w:w="6350" w:type="dxa"/>
            <w:vAlign w:val="center"/>
            <w:textDirection w:val="lrTb"/>
            <w:noWrap w:val="false"/>
          </w:tcPr>
          <w:p>
            <w:pPr>
              <w:pStyle w:val="720"/>
              <w:jc w:val="left"/>
              <w:spacing w:line="320" w:lineRule="exact"/>
              <w:rPr>
                <w:rFonts w:ascii="宋体" w:hAnsi="宋体" w:cs="宋体"/>
                <w:sz w:val="21"/>
                <w:szCs w:val="21"/>
              </w:rPr>
            </w:pPr>
            <w:r>
              <w:rPr>
                <w:rFonts w:hint="eastAsia" w:ascii="宋体" w:hAnsi="宋体" w:cs="宋体"/>
                <w:sz w:val="21"/>
                <w:szCs w:val="21"/>
              </w:rPr>
              <w:t xml:space="preserve">“技术条款响应”中每个清单项技术要求中除加“★”和加“▲”项</w:t>
            </w:r>
            <w:r>
              <w:rPr>
                <w:rFonts w:hint="eastAsia" w:ascii="宋体" w:hAnsi="宋体" w:cs="宋体"/>
                <w:sz w:val="21"/>
                <w:szCs w:val="21"/>
                <w:lang w:val="en-US" w:eastAsia="zh-CN"/>
              </w:rPr>
              <w:t xml:space="preserve">外的其他项投标响应</w:t>
            </w:r>
            <w:r>
              <w:rPr>
                <w:rFonts w:hint="eastAsia" w:ascii="宋体" w:hAnsi="宋体" w:cs="宋体"/>
                <w:sz w:val="21"/>
                <w:szCs w:val="21"/>
              </w:rPr>
              <w:t xml:space="preserve">全部满足招标要求的，该清单项得0.08分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其中有1项不满足的该清单项不得分</w:t>
            </w:r>
            <w:r>
              <w:rPr>
                <w:rFonts w:hint="eastAsia" w:ascii="宋体" w:hAnsi="宋体" w:cs="宋体"/>
                <w:sz w:val="21"/>
                <w:szCs w:val="21"/>
              </w:rPr>
              <w:t xml:space="preserve">（共125个清单项，共10分）；加“▲”项</w:t>
            </w:r>
            <w:r>
              <w:rPr>
                <w:rFonts w:hint="eastAsia" w:ascii="宋体" w:hAnsi="宋体" w:cs="宋体"/>
                <w:sz w:val="21"/>
                <w:szCs w:val="21"/>
                <w:lang w:val="en-US" w:eastAsia="zh-CN"/>
              </w:rPr>
              <w:t xml:space="preserve">技术要求投标响应</w:t>
            </w:r>
            <w:r>
              <w:rPr>
                <w:rFonts w:hint="eastAsia" w:ascii="宋体" w:hAnsi="宋体" w:cs="宋体"/>
                <w:sz w:val="21"/>
                <w:szCs w:val="21"/>
              </w:rPr>
              <w:t xml:space="preserve">满足招标要求的，每个加“▲”项得0.5分</w:t>
            </w:r>
            <w:r>
              <w:rPr>
                <w:rFonts w:hint="eastAsia" w:ascii="宋体" w:hAnsi="宋体" w:cs="宋体"/>
                <w:sz w:val="21"/>
                <w:szCs w:val="21"/>
                <w:lang w:eastAsia="zh-CN"/>
              </w:rPr>
              <w:t xml:space="preserve">，不满足的该</w:t>
            </w:r>
            <w:r>
              <w:rPr>
                <w:rFonts w:hint="eastAsia" w:ascii="宋体" w:hAnsi="宋体" w:cs="宋体"/>
                <w:sz w:val="21"/>
                <w:szCs w:val="21"/>
              </w:rPr>
              <w:t xml:space="preserve">“▲”项</w:t>
            </w:r>
            <w:r>
              <w:rPr>
                <w:rFonts w:hint="eastAsia" w:ascii="宋体" w:hAnsi="宋体" w:cs="宋体"/>
                <w:sz w:val="21"/>
                <w:szCs w:val="21"/>
                <w:lang w:eastAsia="zh-CN"/>
              </w:rPr>
              <w:t xml:space="preserve">不得分</w:t>
            </w:r>
            <w:r>
              <w:rPr>
                <w:rFonts w:hint="eastAsia" w:ascii="宋体" w:hAnsi="宋体" w:cs="宋体"/>
                <w:sz w:val="21"/>
                <w:szCs w:val="21"/>
              </w:rPr>
              <w:t xml:space="preserve">（共30个加“▲”项，共15分）。</w:t>
            </w:r>
            <w:r>
              <w:rPr>
                <w:rFonts w:ascii="宋体" w:hAnsi="宋体" w:cs="宋体"/>
                <w:sz w:val="21"/>
                <w:szCs w:val="21"/>
              </w:rPr>
            </w:r>
            <w:r/>
          </w:p>
        </w:tc>
      </w:tr>
      <w:tr>
        <w:trPr>
          <w:trHeight w:val="249"/>
        </w:trPr>
        <w:tc>
          <w:tcPr>
            <w:tcW w:w="9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2.3.2</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15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项目团队配置</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（3分）</w:t>
            </w:r>
            <w:r>
              <w:rPr>
                <w:rFonts w:ascii="宋体" w:hAnsi="宋体" w:cs="宋体"/>
                <w:b/>
                <w:bCs/>
                <w:sz w:val="21"/>
                <w:szCs w:val="21"/>
              </w:rPr>
            </w:r>
            <w:r/>
          </w:p>
        </w:tc>
        <w:tc>
          <w:tcPr>
            <w:gridSpan w:val="2"/>
            <w:tcW w:w="6350" w:type="dxa"/>
            <w:vAlign w:val="center"/>
            <w:textDirection w:val="lrTb"/>
            <w:noWrap w:val="false"/>
          </w:tcPr>
          <w:p>
            <w:pPr>
              <w:pStyle w:val="720"/>
              <w:numPr>
                <w:ilvl w:val="0"/>
                <w:numId w:val="4"/>
              </w:numPr>
              <w:ind w:firstLine="378"/>
              <w:spacing w:line="300" w:lineRule="atLeast"/>
              <w:rPr>
                <w:rFonts w:ascii="宋体" w:hAnsi="宋体" w:cs="宋体"/>
                <w:sz w:val="21"/>
                <w:szCs w:val="21"/>
              </w:rPr>
            </w:pPr>
            <w:r>
              <w:rPr>
                <w:rFonts w:hint="eastAsia" w:ascii="宋体" w:hAnsi="宋体" w:cs="宋体"/>
                <w:sz w:val="21"/>
                <w:szCs w:val="21"/>
              </w:rPr>
              <w:t xml:space="preserve">项目经理：具有信息系统项目管理师（高级）或通信工程或电子信息类高级工程师得 1 分；具有机电工程（或通信与广电工程）注册建造师证书，再加 0.5 分；本项最高 1.5 分。</w:t>
            </w:r>
            <w:r>
              <w:rPr>
                <w:rFonts w:ascii="宋体" w:hAnsi="宋体" w:cs="宋体"/>
                <w:sz w:val="21"/>
                <w:szCs w:val="21"/>
              </w:rPr>
            </w:r>
            <w:r/>
          </w:p>
          <w:p>
            <w:pPr>
              <w:pStyle w:val="720"/>
              <w:numPr>
                <w:ilvl w:val="0"/>
                <w:numId w:val="4"/>
              </w:numPr>
              <w:ind w:firstLine="378"/>
              <w:spacing w:line="300" w:lineRule="atLeast"/>
              <w:rPr>
                <w:rFonts w:ascii="宋体" w:hAnsi="宋体" w:cs="宋体"/>
                <w:sz w:val="21"/>
                <w:szCs w:val="21"/>
              </w:rPr>
            </w:pPr>
            <w:r>
              <w:rPr>
                <w:rFonts w:hint="eastAsia" w:ascii="宋体" w:hAnsi="宋体" w:cs="宋体"/>
                <w:sz w:val="21"/>
                <w:szCs w:val="21"/>
              </w:rPr>
              <w:t xml:space="preserve">项目团队其他人员（不含项目负责人）有下列证书的，每提供一个得0.5分，最高得1.5分</w:t>
            </w:r>
            <w:r>
              <w:rPr>
                <w:rFonts w:hint="eastAsia" w:ascii="宋体" w:hAnsi="宋体" w:cs="宋体"/>
                <w:sz w:val="21"/>
                <w:szCs w:val="21"/>
              </w:rPr>
              <w:t xml:space="preserve">：</w:t>
            </w:r>
            <w:r>
              <w:rPr>
                <w:rFonts w:ascii="宋体" w:hAnsi="宋体" w:cs="宋体"/>
                <w:sz w:val="21"/>
                <w:szCs w:val="21"/>
              </w:rPr>
            </w:r>
            <w:r/>
          </w:p>
          <w:p>
            <w:pPr>
              <w:pStyle w:val="720"/>
              <w:ind w:firstLine="378"/>
              <w:spacing w:line="300" w:lineRule="atLeast"/>
              <w:rPr>
                <w:rFonts w:ascii="宋体" w:hAnsi="宋体" w:cs="宋体"/>
                <w:sz w:val="21"/>
                <w:szCs w:val="21"/>
              </w:rPr>
            </w:pPr>
            <w:r>
              <w:rPr>
                <w:rFonts w:ascii="宋体" w:hAnsi="宋体" w:cs="宋体"/>
                <w:sz w:val="21"/>
                <w:szCs w:val="21"/>
              </w:rPr>
              <w:t xml:space="preserve">①</w:t>
            </w:r>
            <w:r>
              <w:rPr>
                <w:rFonts w:hint="eastAsia" w:ascii="宋体" w:hAnsi="宋体" w:cs="宋体"/>
                <w:sz w:val="21"/>
                <w:szCs w:val="21"/>
              </w:rPr>
              <w:t xml:space="preserve">注册信息安全管理人员CISP；</w:t>
            </w:r>
            <w:r>
              <w:rPr>
                <w:rFonts w:ascii="宋体" w:hAnsi="宋体" w:cs="宋体"/>
                <w:sz w:val="21"/>
                <w:szCs w:val="21"/>
              </w:rPr>
            </w:r>
            <w:r/>
          </w:p>
          <w:p>
            <w:pPr>
              <w:pStyle w:val="720"/>
              <w:ind w:firstLine="378"/>
              <w:spacing w:line="300" w:lineRule="atLeast"/>
              <w:rPr>
                <w:rFonts w:ascii="宋体" w:hAnsi="宋体" w:cs="宋体"/>
                <w:sz w:val="21"/>
                <w:szCs w:val="21"/>
              </w:rPr>
            </w:pPr>
            <w:r>
              <w:rPr>
                <w:rFonts w:ascii="宋体" w:hAnsi="宋体" w:cs="宋体"/>
                <w:sz w:val="21"/>
                <w:szCs w:val="21"/>
              </w:rPr>
              <w:t xml:space="preserve">②</w:t>
            </w:r>
            <w:r>
              <w:rPr>
                <w:rFonts w:hint="eastAsia" w:ascii="宋体" w:hAnsi="宋体" w:cs="宋体"/>
                <w:sz w:val="21"/>
                <w:szCs w:val="21"/>
              </w:rPr>
              <w:t xml:space="preserve">注册电气工程师；</w:t>
            </w:r>
            <w:r>
              <w:rPr>
                <w:rFonts w:ascii="宋体" w:hAnsi="宋体" w:cs="宋体"/>
                <w:sz w:val="21"/>
                <w:szCs w:val="21"/>
              </w:rPr>
            </w:r>
            <w:r/>
          </w:p>
          <w:p>
            <w:pPr>
              <w:pStyle w:val="720"/>
              <w:ind w:firstLine="378"/>
              <w:spacing w:line="300" w:lineRule="atLeast"/>
              <w:rPr>
                <w:rFonts w:ascii="宋体" w:hAnsi="宋体" w:cs="宋体"/>
                <w:sz w:val="21"/>
                <w:szCs w:val="21"/>
              </w:rPr>
            </w:pPr>
            <w:r>
              <w:rPr>
                <w:rFonts w:ascii="宋体" w:hAnsi="宋体" w:cs="宋体"/>
                <w:sz w:val="21"/>
                <w:szCs w:val="21"/>
              </w:rPr>
              <w:t xml:space="preserve">③</w:t>
            </w:r>
            <w:r>
              <w:rPr>
                <w:rFonts w:hint="eastAsia" w:ascii="宋体" w:hAnsi="宋体" w:cs="宋体"/>
                <w:sz w:val="21"/>
                <w:szCs w:val="21"/>
              </w:rPr>
              <w:t xml:space="preserve">注册安全工程师。</w:t>
            </w:r>
            <w:r>
              <w:rPr>
                <w:rFonts w:ascii="宋体" w:hAnsi="宋体" w:cs="宋体"/>
                <w:sz w:val="21"/>
                <w:szCs w:val="21"/>
              </w:rPr>
            </w:r>
            <w:r/>
          </w:p>
          <w:p>
            <w:pPr>
              <w:pStyle w:val="720"/>
              <w:spacing w:line="300" w:lineRule="atLeast"/>
              <w:rPr>
                <w:rFonts w:ascii="宋体" w:hAnsi="宋体" w:cs="宋体"/>
                <w:sz w:val="21"/>
                <w:szCs w:val="21"/>
              </w:rPr>
            </w:pPr>
            <w:r>
              <w:rPr>
                <w:rFonts w:hint="eastAsia" w:ascii="宋体" w:hAnsi="宋体" w:cs="宋体"/>
                <w:sz w:val="21"/>
                <w:szCs w:val="21"/>
              </w:rPr>
              <w:t xml:space="preserve">注：</w:t>
            </w:r>
            <w:r>
              <w:rPr>
                <w:rFonts w:ascii="宋体" w:hAnsi="宋体" w:cs="宋体"/>
                <w:sz w:val="21"/>
                <w:szCs w:val="21"/>
              </w:rPr>
            </w:r>
            <w:r/>
          </w:p>
          <w:p>
            <w:pPr>
              <w:pStyle w:val="720"/>
              <w:ind w:firstLine="378"/>
              <w:spacing w:line="300" w:lineRule="atLeast"/>
              <w:rPr>
                <w:rFonts w:ascii="宋体" w:hAnsi="宋体" w:cs="宋体"/>
                <w:sz w:val="21"/>
                <w:szCs w:val="21"/>
              </w:rPr>
            </w:pPr>
            <w:r>
              <w:rPr>
                <w:rFonts w:hint="eastAsia" w:ascii="宋体" w:hAnsi="宋体" w:cs="宋体"/>
                <w:sz w:val="21"/>
                <w:szCs w:val="21"/>
              </w:rPr>
              <w:t xml:space="preserve">a.须提供相关证书原件扫描件或电子件</w:t>
            </w:r>
            <w:r>
              <w:rPr>
                <w:rFonts w:ascii="宋体" w:hAnsi="宋体" w:cs="宋体"/>
                <w:sz w:val="21"/>
                <w:szCs w:val="21"/>
              </w:rPr>
            </w:r>
            <w:r/>
          </w:p>
          <w:p>
            <w:pPr>
              <w:pStyle w:val="720"/>
              <w:ind w:firstLine="378"/>
              <w:spacing w:line="300" w:lineRule="atLeast"/>
              <w:rPr>
                <w:rFonts w:ascii="宋体" w:hAnsi="宋体" w:cs="宋体"/>
                <w:sz w:val="21"/>
                <w:szCs w:val="21"/>
              </w:rPr>
            </w:pPr>
            <w:r>
              <w:rPr>
                <w:rFonts w:hint="eastAsia" w:ascii="宋体" w:hAnsi="宋体" w:cs="宋体"/>
                <w:sz w:val="21"/>
                <w:szCs w:val="21"/>
              </w:rPr>
              <w:t xml:space="preserve">b.所有人员均需提供投标人为其缴纳的社保证明原件扫描件或电子件（时间要求：投标截止日当月或上个月；其他要求：社保证明应载明缴费单位名称、姓名、缴费时间，并盖有社保中心章或社保中心参保缴费证明电子专用章；不能提供养老保险缴纳证明的高等院校、科研机构、军事管理、事业单位等的人员，需由所在单位上级人事主管部门提供相应的证明材料）。</w:t>
            </w:r>
            <w:r>
              <w:rPr>
                <w:rFonts w:ascii="宋体" w:hAnsi="宋体" w:cs="宋体"/>
                <w:sz w:val="21"/>
                <w:szCs w:val="21"/>
              </w:rPr>
            </w:r>
            <w:r/>
          </w:p>
          <w:p>
            <w:pPr>
              <w:pStyle w:val="720"/>
              <w:ind w:firstLine="378"/>
              <w:spacing w:line="300" w:lineRule="atLeast"/>
              <w:rPr>
                <w:rFonts w:ascii="宋体" w:hAnsi="宋体" w:cs="宋体"/>
                <w:sz w:val="21"/>
                <w:szCs w:val="21"/>
              </w:rPr>
            </w:pPr>
            <w:r>
              <w:rPr>
                <w:rFonts w:hint="eastAsia" w:ascii="宋体" w:hAnsi="宋体" w:cs="宋体"/>
                <w:sz w:val="21"/>
                <w:szCs w:val="21"/>
              </w:rPr>
              <w:t xml:space="preserve">c.项目团队其他人员（不含项目负责人）中同一人有多个证书的，可以累计得分。</w:t>
            </w:r>
            <w:r>
              <w:rPr>
                <w:rFonts w:ascii="宋体" w:hAnsi="宋体" w:cs="宋体"/>
                <w:sz w:val="21"/>
                <w:szCs w:val="21"/>
              </w:rPr>
            </w:r>
            <w:r/>
          </w:p>
        </w:tc>
      </w:tr>
      <w:tr>
        <w:trPr>
          <w:trHeight w:val="2345"/>
        </w:trPr>
        <w:tc>
          <w:tcPr>
            <w:tcW w:w="9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2.3.2</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（4）</w:t>
            </w:r>
            <w:r>
              <w:rPr>
                <w:rFonts w:ascii="宋体" w:hAnsi="宋体" w:cs="宋体"/>
                <w:b/>
                <w:bCs/>
                <w:sz w:val="21"/>
                <w:szCs w:val="21"/>
              </w:rPr>
            </w:r>
            <w:r/>
          </w:p>
        </w:tc>
        <w:tc>
          <w:tcPr>
            <w:tcW w:w="1590" w:type="dxa"/>
            <w:vAlign w:val="center"/>
            <w:textDirection w:val="lrTb"/>
            <w:noWrap w:val="false"/>
          </w:tcPr>
          <w:p>
            <w:pPr>
              <w:pStyle w:val="720"/>
              <w:jc w:val="center"/>
              <w:spacing w:line="300" w:lineRule="atLeast"/>
              <w:rPr>
                <w:rFonts w:ascii="宋体" w:hAnsi="宋体" w:cs="宋体"/>
                <w:b/>
                <w:sz w:val="21"/>
                <w:szCs w:val="21"/>
              </w:rPr>
            </w:pPr>
            <w:r>
              <w:rPr>
                <w:rFonts w:hint="eastAsia" w:ascii="宋体" w:hAnsi="宋体" w:cs="宋体"/>
                <w:b/>
                <w:sz w:val="21"/>
                <w:szCs w:val="21"/>
              </w:rPr>
              <w:t xml:space="preserve">节能环保产品</w:t>
            </w:r>
            <w:r>
              <w:rPr>
                <w:rFonts w:ascii="宋体" w:hAnsi="宋体" w:cs="宋体"/>
                <w:b/>
                <w:sz w:val="21"/>
                <w:szCs w:val="21"/>
              </w:rPr>
            </w:r>
            <w:r/>
          </w:p>
          <w:p>
            <w:pPr>
              <w:pStyle w:val="720"/>
              <w:jc w:val="center"/>
              <w:spacing w:line="300" w:lineRule="atLeast"/>
              <w:rPr>
                <w:rFonts w:ascii="宋体" w:hAnsi="宋体" w:cs="宋体"/>
                <w:b/>
                <w:sz w:val="21"/>
                <w:szCs w:val="21"/>
              </w:rPr>
            </w:pPr>
            <w:r>
              <w:rPr>
                <w:rFonts w:hint="eastAsia" w:ascii="宋体" w:hAnsi="宋体" w:cs="宋体"/>
                <w:b/>
                <w:sz w:val="21"/>
                <w:szCs w:val="21"/>
              </w:rPr>
              <w:t xml:space="preserve">（2分）</w:t>
            </w:r>
            <w:r>
              <w:rPr>
                <w:rFonts w:ascii="宋体" w:hAnsi="宋体" w:cs="宋体"/>
                <w:b/>
                <w:sz w:val="21"/>
                <w:szCs w:val="21"/>
              </w:rPr>
            </w:r>
            <w:r/>
          </w:p>
        </w:tc>
        <w:tc>
          <w:tcPr>
            <w:gridSpan w:val="2"/>
            <w:tcW w:w="6350" w:type="dxa"/>
            <w:vAlign w:val="center"/>
            <w:textDirection w:val="lrTb"/>
            <w:noWrap w:val="false"/>
          </w:tcPr>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（1）投标产品属于《节能产品政府采购品目清单》中非以“★”标注的产品非加“★”节能产品的，有1个得0.5分，最多得1分。</w:t>
            </w:r>
            <w:r>
              <w:rPr>
                <w:rFonts w:ascii="宋体" w:hAnsi="宋体" w:eastAsia="宋体" w:cs="宋体"/>
                <w:b w:val="0"/>
                <w:sz w:val="21"/>
                <w:szCs w:val="21"/>
              </w:rPr>
            </w:r>
            <w:r/>
          </w:p>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（2）投标产品属于《环境标志产品政府采购品目清单》中产品的，有1个得0.5分，最多得1分。</w:t>
            </w:r>
            <w:r>
              <w:rPr>
                <w:rFonts w:ascii="宋体" w:hAnsi="宋体" w:eastAsia="宋体" w:cs="宋体"/>
                <w:b w:val="0"/>
                <w:sz w:val="21"/>
                <w:szCs w:val="21"/>
              </w:rPr>
            </w:r>
            <w:r/>
          </w:p>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注：需提供国家确定的认证机构出具的、处于有效期之内的节能产品、环境标志产品认证证书原件扫描件或全国认证认可信息公共服务平台查询打印件（证书所载产品型号、制造商应与投标产品一致；处于暂停、注销状态的不予认可）。</w:t>
            </w:r>
            <w:r>
              <w:rPr>
                <w:rFonts w:ascii="宋体" w:hAnsi="宋体" w:eastAsia="宋体" w:cs="宋体"/>
                <w:b w:val="0"/>
                <w:sz w:val="21"/>
                <w:szCs w:val="21"/>
              </w:rPr>
            </w:r>
            <w:r/>
          </w:p>
        </w:tc>
      </w:tr>
      <w:tr>
        <w:trPr>
          <w:trHeight w:val="2694"/>
        </w:trPr>
        <w:tc>
          <w:tcPr>
            <w:tcW w:w="9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2.3.2</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（5）</w:t>
            </w:r>
            <w:r>
              <w:rPr>
                <w:rFonts w:ascii="宋体" w:hAnsi="宋体" w:cs="宋体"/>
                <w:b/>
                <w:bCs/>
                <w:sz w:val="21"/>
                <w:szCs w:val="21"/>
              </w:rPr>
            </w:r>
            <w:r/>
          </w:p>
        </w:tc>
        <w:tc>
          <w:tcPr>
            <w:tcW w:w="15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类似业绩</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（10分）</w:t>
            </w:r>
            <w:r>
              <w:rPr>
                <w:rFonts w:ascii="宋体" w:hAnsi="宋体" w:cs="宋体"/>
                <w:b/>
                <w:bCs/>
                <w:sz w:val="21"/>
                <w:szCs w:val="21"/>
              </w:rPr>
            </w:r>
            <w:r/>
          </w:p>
        </w:tc>
        <w:tc>
          <w:tcPr>
            <w:gridSpan w:val="2"/>
            <w:tcW w:w="6350" w:type="dxa"/>
            <w:vAlign w:val="center"/>
            <w:textDirection w:val="lrTb"/>
            <w:noWrap w:val="false"/>
          </w:tcPr>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投标人自2023年1月1日（以机房认证证书取得时间为准）以来，完成过数据机房系统集成或改造项目</w:t>
            </w:r>
            <w:r>
              <w:rPr>
                <w:rFonts w:hint="eastAsia" w:ascii="华文中宋" w:hAnsi="华文中宋" w:eastAsia="华文中宋" w:cs="华文中宋"/>
                <w:b w:val="0"/>
                <w:sz w:val="21"/>
                <w:szCs w:val="21"/>
              </w:rPr>
              <w:t xml:space="preserve">﹝</w:t>
            </w:r>
            <w:r>
              <w:rPr>
                <w:rFonts w:hint="eastAsia" w:ascii="宋体" w:hAnsi="宋体" w:eastAsia="宋体" w:cs="宋体"/>
                <w:b w:val="0"/>
                <w:sz w:val="21"/>
                <w:szCs w:val="21"/>
              </w:rPr>
              <w:t xml:space="preserve">合同内容至少同时包括：机房供配电系统、机房微模块系统（或UPS+精密空调）、新风排烟系统、机房气体消防系统、机房动力环境监控系统等分项</w:t>
            </w:r>
            <w:r>
              <w:rPr>
                <w:rFonts w:hint="eastAsia" w:ascii="华文中宋" w:hAnsi="华文中宋" w:eastAsia="华文中宋" w:cs="华文中宋"/>
                <w:b w:val="0"/>
                <w:sz w:val="21"/>
                <w:szCs w:val="21"/>
              </w:rPr>
              <w:t xml:space="preserve">﹞</w:t>
            </w:r>
            <w:r>
              <w:rPr>
                <w:rFonts w:hint="eastAsia" w:ascii="宋体" w:hAnsi="宋体" w:eastAsia="宋体" w:cs="宋体"/>
                <w:b w:val="0"/>
                <w:sz w:val="21"/>
                <w:szCs w:val="21"/>
              </w:rPr>
              <w:t xml:space="preserve">且获得B级及以上机房认证的得2分/个，最多得10分。</w:t>
            </w:r>
            <w:r>
              <w:rPr>
                <w:rFonts w:ascii="宋体" w:hAnsi="宋体" w:eastAsia="宋体" w:cs="宋体"/>
                <w:b w:val="0"/>
                <w:sz w:val="21"/>
                <w:szCs w:val="21"/>
              </w:rPr>
            </w:r>
            <w:r/>
          </w:p>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注：需提供合同及B级及以上机房认证的CQC认证证书原件扫描件。若合同内容中未明确标明包含的集成系统分项的，还须另外提供原合同采购人出具的合同内容证明并加盖其单位公章的原件扫描件。否则，不予认可。</w:t>
            </w:r>
            <w:r>
              <w:rPr>
                <w:rFonts w:ascii="宋体" w:hAnsi="宋体" w:eastAsia="宋体" w:cs="宋体"/>
                <w:b w:val="0"/>
                <w:sz w:val="21"/>
                <w:szCs w:val="21"/>
              </w:rPr>
            </w:r>
            <w:r/>
          </w:p>
        </w:tc>
      </w:tr>
      <w:tr>
        <w:trPr>
          <w:trHeight w:val="189"/>
        </w:trPr>
        <w:tc>
          <w:tcPr>
            <w:tcW w:w="9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2.3.2</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（6）</w:t>
            </w:r>
            <w:r>
              <w:rPr>
                <w:rFonts w:ascii="宋体" w:hAnsi="宋体" w:cs="宋体"/>
                <w:b/>
                <w:bCs/>
                <w:sz w:val="21"/>
                <w:szCs w:val="21"/>
              </w:rPr>
            </w:r>
            <w:r/>
          </w:p>
        </w:tc>
        <w:tc>
          <w:tcPr>
            <w:tcW w:w="1590" w:type="dxa"/>
            <w:vAlign w:val="center"/>
            <w:textDirection w:val="lrTb"/>
            <w:noWrap w:val="false"/>
          </w:tcPr>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价格部分</w:t>
            </w:r>
            <w:r>
              <w:rPr>
                <w:rFonts w:ascii="宋体" w:hAnsi="宋体" w:cs="宋体"/>
                <w:b/>
                <w:bCs/>
                <w:sz w:val="21"/>
                <w:szCs w:val="21"/>
              </w:rPr>
            </w:r>
            <w:r/>
          </w:p>
          <w:p>
            <w:pPr>
              <w:pStyle w:val="720"/>
              <w:jc w:val="center"/>
              <w:spacing w:line="300" w:lineRule="atLeast"/>
              <w:rPr>
                <w:rFonts w:ascii="宋体" w:hAnsi="宋体" w:cs="宋体"/>
                <w:b/>
                <w:bCs/>
                <w:sz w:val="21"/>
                <w:szCs w:val="21"/>
              </w:rPr>
            </w:pPr>
            <w:r>
              <w:rPr>
                <w:rFonts w:hint="eastAsia" w:ascii="宋体" w:hAnsi="宋体" w:cs="宋体"/>
                <w:b/>
                <w:bCs/>
                <w:sz w:val="21"/>
                <w:szCs w:val="21"/>
              </w:rPr>
              <w:t xml:space="preserve">（15分）</w:t>
            </w:r>
            <w:r>
              <w:rPr>
                <w:rFonts w:ascii="宋体" w:hAnsi="宋体" w:cs="宋体"/>
                <w:b/>
                <w:bCs/>
                <w:sz w:val="21"/>
                <w:szCs w:val="21"/>
              </w:rPr>
            </w:r>
            <w:r/>
          </w:p>
        </w:tc>
        <w:tc>
          <w:tcPr>
            <w:gridSpan w:val="2"/>
            <w:tcW w:w="6350" w:type="dxa"/>
            <w:vAlign w:val="center"/>
            <w:textDirection w:val="lrTb"/>
            <w:noWrap w:val="false"/>
          </w:tcPr>
          <w:p>
            <w:pPr>
              <w:pStyle w:val="724"/>
              <w:ind w:firstLine="378"/>
              <w:keepLines w:val="0"/>
              <w:keepNext w:val="0"/>
              <w:spacing w:before="0" w:after="0" w:line="300" w:lineRule="atLeast"/>
              <w:rPr>
                <w:rFonts w:ascii="宋体" w:hAnsi="宋体" w:eastAsia="宋体" w:cs="宋体"/>
                <w:b w:val="0"/>
                <w:sz w:val="21"/>
                <w:szCs w:val="21"/>
              </w:rPr>
            </w:pPr>
            <w:r>
              <w:rPr>
                <w:rFonts w:hint="eastAsia" w:ascii="宋体" w:hAnsi="宋体" w:eastAsia="宋体" w:cs="宋体"/>
                <w:b w:val="0"/>
                <w:sz w:val="21"/>
                <w:szCs w:val="21"/>
              </w:rPr>
              <w:t xml:space="preserve">价格分采用低价优先法计算，即满足招标文件要求且投标价格最低的投标报价为评标基准价，其价格分为满分。其他投标人的价格分统一按照下列公式计算： </w:t>
            </w:r>
            <w:r>
              <w:rPr>
                <w:rFonts w:ascii="宋体" w:hAnsi="宋体" w:eastAsia="宋体" w:cs="宋体"/>
                <w:b w:val="0"/>
                <w:sz w:val="21"/>
                <w:szCs w:val="21"/>
              </w:rPr>
            </w:r>
            <w:r/>
          </w:p>
          <w:p>
            <w:pPr>
              <w:pStyle w:val="724"/>
              <w:ind w:firstLine="378"/>
              <w:keepLines w:val="0"/>
              <w:keepNext w:val="0"/>
              <w:spacing w:before="0" w:after="0" w:line="300" w:lineRule="atLeast"/>
              <w:rPr>
                <w:rFonts w:ascii="黑体" w:hAnsi="黑体" w:eastAsia="黑体" w:cs="黑体"/>
                <w:b w:val="0"/>
                <w:sz w:val="21"/>
                <w:szCs w:val="21"/>
              </w:rPr>
            </w:pPr>
            <w:r>
              <w:rPr>
                <w:rFonts w:hint="eastAsia" w:ascii="黑体" w:hAnsi="黑体" w:eastAsia="黑体" w:cs="黑体"/>
                <w:b w:val="0"/>
                <w:sz w:val="21"/>
                <w:szCs w:val="21"/>
              </w:rPr>
              <w:t xml:space="preserve">投标报价得分=（评标基准价/投标报价）×15。</w:t>
            </w:r>
            <w:r>
              <w:rPr>
                <w:rFonts w:ascii="黑体" w:hAnsi="黑体" w:eastAsia="黑体" w:cs="黑体"/>
                <w:b w:val="0"/>
                <w:sz w:val="21"/>
                <w:szCs w:val="21"/>
              </w:rPr>
            </w:r>
            <w:r/>
          </w:p>
          <w:p>
            <w:pPr>
              <w:pStyle w:val="724"/>
              <w:ind w:firstLine="380"/>
              <w:keepLines w:val="0"/>
              <w:keepNext w:val="0"/>
              <w:spacing w:before="0" w:after="0" w:line="300" w:lineRule="atLeast"/>
              <w:rPr>
                <w:rFonts w:ascii="宋体" w:hAnsi="宋体" w:eastAsia="宋体" w:cs="宋体"/>
                <w:sz w:val="21"/>
                <w:szCs w:val="21"/>
              </w:rPr>
            </w:pPr>
            <w:r>
              <w:rPr>
                <w:rFonts w:hint="eastAsia" w:ascii="宋体" w:hAnsi="宋体" w:eastAsia="宋体" w:cs="宋体"/>
                <w:sz w:val="21"/>
                <w:szCs w:val="21"/>
              </w:rPr>
              <w:t xml:space="preserve">注：</w:t>
            </w:r>
            <w:r>
              <w:rPr>
                <w:rFonts w:ascii="宋体" w:hAnsi="宋体" w:eastAsia="宋体" w:cs="宋体"/>
                <w:sz w:val="21"/>
                <w:szCs w:val="21"/>
              </w:rPr>
            </w:r>
            <w:r/>
          </w:p>
          <w:p>
            <w:pPr>
              <w:pStyle w:val="724"/>
              <w:ind w:firstLine="380"/>
              <w:keepLines w:val="0"/>
              <w:keepNext w:val="0"/>
              <w:spacing w:before="0" w:after="0" w:line="300" w:lineRule="atLeast"/>
              <w:rPr>
                <w:rFonts w:ascii="宋体" w:hAnsi="宋体" w:eastAsia="宋体" w:cs="宋体"/>
                <w:sz w:val="21"/>
                <w:szCs w:val="21"/>
              </w:rPr>
            </w:pPr>
            <w:r>
              <w:rPr>
                <w:rFonts w:hint="eastAsia" w:ascii="宋体" w:hAnsi="宋体" w:eastAsia="宋体" w:cs="宋体"/>
                <w:sz w:val="21"/>
                <w:szCs w:val="21"/>
              </w:rPr>
              <w:t xml:space="preserve">（1）对符合条件的小型企业或微型企业或残疾人福利性企业或监狱企业，以投标报价总价扣除10%后的价格参与评审。</w:t>
            </w:r>
            <w:r>
              <w:rPr>
                <w:rFonts w:ascii="宋体" w:hAnsi="宋体" w:eastAsia="宋体" w:cs="宋体"/>
                <w:sz w:val="21"/>
                <w:szCs w:val="21"/>
              </w:rPr>
            </w:r>
            <w:r/>
          </w:p>
          <w:p>
            <w:pPr>
              <w:pStyle w:val="724"/>
              <w:ind w:firstLine="380"/>
              <w:keepLines w:val="0"/>
              <w:keepNext w:val="0"/>
              <w:spacing w:before="0" w:after="0" w:line="300" w:lineRule="atLeast"/>
              <w:rPr>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对同时存在本国产品、非本国产品竞争，且符合本国产品标准的，以投标报价总价扣除20%后的价格参与评审。</w:t>
            </w:r>
            <w:r>
              <w:rPr>
                <w:sz w:val="21"/>
                <w:szCs w:val="21"/>
              </w:rPr>
            </w:r>
            <w:r/>
          </w:p>
        </w:tc>
      </w:tr>
    </w:tbl>
    <w:p>
      <w:pPr>
        <w:pStyle w:val="973"/>
        <w:ind w:firstLine="108"/>
        <w:spacing w:line="520" w:lineRule="exact"/>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21"/>
          <w:highlight w:val="none"/>
        </w:rPr>
      </w:r>
      <w:r>
        <w:rPr>
          <w:sz w:val="21"/>
          <w:szCs w:val="21"/>
          <w:highlight w:val="none"/>
        </w:rPr>
      </w:r>
      <w:r/>
    </w:p>
    <w:p>
      <w:pPr>
        <w:pStyle w:val="980"/>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16"/>
          <w:highlight w:val="none"/>
        </w:rPr>
      </w:r>
      <w:r>
        <w:rPr>
          <w:sz w:val="21"/>
          <w:szCs w:val="16"/>
          <w:highlight w:val="none"/>
        </w:rPr>
      </w:r>
      <w:r/>
    </w:p>
    <w:p>
      <w:pPr>
        <w:pStyle w:val="980"/>
        <w:rPr>
          <w:sz w:val="21"/>
          <w:szCs w:val="21"/>
          <w:highlight w:val="none"/>
        </w:rPr>
      </w:pPr>
      <w:r>
        <w:rPr>
          <w:sz w:val="21"/>
          <w:szCs w:val="21"/>
          <w:highlight w:val="none"/>
        </w:rPr>
      </w:r>
      <w:r>
        <w:rPr>
          <w:sz w:val="21"/>
          <w:szCs w:val="21"/>
          <w:highlight w:val="none"/>
        </w:rPr>
      </w:r>
      <w:r/>
    </w:p>
    <w:p>
      <w:pPr>
        <w:pStyle w:val="980"/>
        <w:rPr>
          <w:highlight w:val="none"/>
          <w14:ligatures w14:val="none"/>
        </w:rPr>
      </w:pPr>
      <w:r>
        <w:rPr>
          <w:highlight w:val="none"/>
        </w:rPr>
      </w:r>
      <w:r>
        <w:rPr>
          <w:highlight w:val="none"/>
        </w:rPr>
      </w:r>
      <w:r/>
    </w:p>
    <w:p>
      <w:pPr>
        <w:pStyle w:val="973"/>
        <w:ind w:firstLine="108"/>
        <w:spacing w:line="520" w:lineRule="exact"/>
        <w:rPr>
          <w:sz w:val="21"/>
          <w:szCs w:val="21"/>
          <w:highlight w:val="none"/>
        </w:rPr>
      </w:pPr>
      <w:r/>
      <w:bookmarkStart w:id="165" w:name="_Toc12977"/>
      <w:r>
        <w:rPr>
          <w:rFonts w:hint="eastAsia" w:ascii="黑体" w:cs="黑体"/>
          <w:sz w:val="22"/>
          <w:szCs w:val="22"/>
        </w:rPr>
        <w:t xml:space="preserve">1. 评标方法</w:t>
      </w:r>
      <w:bookmarkEnd w:id="152"/>
      <w:r/>
      <w:bookmarkEnd w:id="153"/>
      <w:r/>
      <w:bookmarkEnd w:id="154"/>
      <w:r/>
      <w:bookmarkEnd w:id="165"/>
      <w:r>
        <w:rPr>
          <w:sz w:val="21"/>
          <w:szCs w:val="16"/>
        </w:rPr>
      </w:r>
      <w:r/>
    </w:p>
    <w:p>
      <w:pPr>
        <w:pStyle w:val="720"/>
        <w:ind w:firstLine="396"/>
        <w:spacing w:line="520" w:lineRule="exact"/>
        <w:rPr>
          <w:rFonts w:ascii="华文中宋" w:hAnsi="华文中宋" w:eastAsia="华文中宋"/>
          <w:sz w:val="21"/>
          <w:szCs w:val="21"/>
        </w:rPr>
      </w:pPr>
      <w:r>
        <w:rPr>
          <w:rFonts w:hint="eastAsia" w:ascii="宋体" w:hAnsi="宋体" w:eastAsia="宋体" w:cs="宋体"/>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rPr>
          <w:rFonts w:ascii="华文中宋" w:hAnsi="华文中宋" w:eastAsia="华文中宋"/>
          <w:sz w:val="21"/>
          <w:szCs w:val="21"/>
        </w:rPr>
      </w:r>
      <w:r/>
    </w:p>
    <w:p>
      <w:pPr>
        <w:pStyle w:val="973"/>
        <w:ind w:firstLine="108"/>
        <w:spacing w:line="520" w:lineRule="exact"/>
        <w:rPr>
          <w:rFonts w:ascii="黑体" w:cs="黑体"/>
          <w:b/>
          <w:bCs/>
          <w:sz w:val="21"/>
          <w:szCs w:val="21"/>
        </w:rPr>
      </w:pPr>
      <w:r/>
      <w:bookmarkStart w:id="166" w:name="_Toc1971"/>
      <w:r/>
      <w:bookmarkStart w:id="167" w:name="_Toc27628"/>
      <w:r/>
      <w:bookmarkStart w:id="168" w:name="_Toc234382665"/>
      <w:r/>
      <w:bookmarkStart w:id="169" w:name="_Toc16894"/>
      <w:r>
        <w:rPr>
          <w:rFonts w:hint="eastAsia" w:ascii="黑体" w:cs="黑体"/>
          <w:sz w:val="22"/>
          <w:szCs w:val="22"/>
        </w:rPr>
        <w:t xml:space="preserve">2. 评审标准</w:t>
      </w:r>
      <w:bookmarkEnd w:id="166"/>
      <w:r/>
      <w:bookmarkEnd w:id="167"/>
      <w:r/>
      <w:bookmarkEnd w:id="168"/>
      <w:r/>
      <w:bookmarkEnd w:id="169"/>
      <w:r>
        <w:rPr>
          <w:rFonts w:ascii="黑体" w:cs="黑体"/>
          <w:b/>
          <w:bCs/>
          <w:sz w:val="21"/>
          <w:szCs w:val="21"/>
        </w:rPr>
      </w:r>
      <w:r/>
    </w:p>
    <w:p>
      <w:pPr>
        <w:pStyle w:val="973"/>
        <w:ind w:firstLine="398"/>
        <w:spacing w:line="520" w:lineRule="exact"/>
        <w:rPr>
          <w:rFonts w:ascii="宋体" w:hAnsi="宋体" w:eastAsia="宋体" w:cs="宋体"/>
          <w:b/>
          <w:bCs/>
          <w:sz w:val="22"/>
          <w:szCs w:val="22"/>
        </w:rPr>
      </w:pPr>
      <w:r/>
      <w:bookmarkStart w:id="170" w:name="_Toc30201"/>
      <w:r/>
      <w:bookmarkStart w:id="171" w:name="_Toc3536"/>
      <w:r>
        <w:rPr>
          <w:rFonts w:hint="eastAsia" w:ascii="宋体" w:hAnsi="宋体" w:eastAsia="宋体" w:cs="宋体"/>
          <w:b/>
          <w:bCs/>
          <w:sz w:val="22"/>
          <w:szCs w:val="22"/>
        </w:rPr>
        <w:t xml:space="preserve">2.1 符合性评审标准</w:t>
      </w:r>
      <w:bookmarkEnd w:id="170"/>
      <w:r/>
      <w:bookmarkEnd w:id="171"/>
      <w:r>
        <w:rPr>
          <w:rFonts w:ascii="宋体" w:hAnsi="宋体" w:eastAsia="宋体" w:cs="宋体"/>
          <w:b/>
          <w:bCs/>
          <w:sz w:val="22"/>
          <w:szCs w:val="22"/>
        </w:rPr>
      </w:r>
      <w:r/>
    </w:p>
    <w:p>
      <w:pPr>
        <w:pStyle w:val="720"/>
        <w:ind w:firstLine="396"/>
        <w:spacing w:line="520" w:lineRule="exact"/>
        <w:rPr>
          <w:rFonts w:ascii="宋体" w:hAnsi="宋体" w:eastAsia="宋体" w:cs="宋体"/>
        </w:rPr>
      </w:pPr>
      <w:r>
        <w:rPr>
          <w:rFonts w:hint="eastAsia" w:ascii="宋体" w:hAnsi="宋体" w:eastAsia="宋体" w:cs="宋体"/>
        </w:rPr>
        <w:t xml:space="preserve">符合性评审标准：见评标办法前附表。</w:t>
      </w:r>
      <w:r>
        <w:rPr>
          <w:rFonts w:ascii="宋体" w:hAnsi="宋体" w:eastAsia="宋体" w:cs="宋体"/>
        </w:rPr>
      </w:r>
      <w:r/>
    </w:p>
    <w:p>
      <w:pPr>
        <w:pStyle w:val="973"/>
        <w:ind w:firstLine="398"/>
        <w:spacing w:line="520" w:lineRule="exact"/>
        <w:rPr>
          <w:rFonts w:ascii="宋体" w:hAnsi="宋体" w:eastAsia="宋体" w:cs="宋体"/>
          <w:b/>
          <w:bCs/>
          <w:sz w:val="22"/>
          <w:szCs w:val="22"/>
        </w:rPr>
      </w:pPr>
      <w:r/>
      <w:bookmarkStart w:id="172" w:name="_Toc17930"/>
      <w:r/>
      <w:bookmarkStart w:id="173" w:name="_Toc234382667"/>
      <w:r/>
      <w:bookmarkStart w:id="174" w:name="_Toc23546"/>
      <w:r/>
      <w:bookmarkStart w:id="175" w:name="_Toc29235"/>
      <w:r>
        <w:rPr>
          <w:rFonts w:hint="eastAsia" w:ascii="宋体" w:hAnsi="宋体" w:eastAsia="宋体" w:cs="宋体"/>
          <w:b/>
          <w:bCs/>
          <w:sz w:val="22"/>
          <w:szCs w:val="22"/>
        </w:rPr>
        <w:t xml:space="preserve">2.2 分值构成与评分标准</w:t>
      </w:r>
      <w:bookmarkEnd w:id="172"/>
      <w:r/>
      <w:bookmarkEnd w:id="173"/>
      <w:r/>
      <w:bookmarkEnd w:id="174"/>
      <w:r/>
      <w:bookmarkEnd w:id="175"/>
      <w:r>
        <w:rPr>
          <w:rFonts w:ascii="宋体" w:hAnsi="宋体" w:eastAsia="宋体" w:cs="宋体"/>
          <w:b/>
          <w:bCs/>
          <w:sz w:val="22"/>
          <w:szCs w:val="22"/>
        </w:rPr>
      </w:r>
      <w:r/>
    </w:p>
    <w:p>
      <w:pPr>
        <w:pStyle w:val="720"/>
        <w:ind w:firstLine="396"/>
        <w:spacing w:line="520" w:lineRule="exact"/>
        <w:rPr>
          <w:rFonts w:ascii="宋体" w:hAnsi="宋体" w:eastAsia="宋体" w:cs="宋体"/>
        </w:rPr>
      </w:pPr>
      <w:r>
        <w:rPr>
          <w:rFonts w:hint="eastAsia" w:ascii="宋体" w:hAnsi="宋体" w:eastAsia="宋体" w:cs="宋体"/>
        </w:rPr>
        <w:t xml:space="preserve">2.2.1 分值构成：见评标办法前附表；</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2.2.2 评分标准：见评标办法前附表。</w:t>
      </w:r>
      <w:r>
        <w:rPr>
          <w:rFonts w:ascii="宋体" w:hAnsi="宋体" w:eastAsia="宋体" w:cs="宋体"/>
        </w:rPr>
      </w:r>
      <w:r/>
    </w:p>
    <w:p>
      <w:pPr>
        <w:pStyle w:val="973"/>
        <w:ind w:firstLine="108"/>
        <w:spacing w:line="520" w:lineRule="exact"/>
        <w:rPr>
          <w:rFonts w:ascii="黑体" w:cs="黑体"/>
          <w:sz w:val="22"/>
          <w:szCs w:val="22"/>
        </w:rPr>
      </w:pPr>
      <w:r/>
      <w:bookmarkStart w:id="176" w:name="_Toc24010"/>
      <w:r/>
      <w:bookmarkStart w:id="177" w:name="_Toc8953"/>
      <w:r/>
      <w:bookmarkStart w:id="178" w:name="_Toc234382668"/>
      <w:r/>
      <w:bookmarkStart w:id="179" w:name="_Toc7387"/>
      <w:r>
        <w:rPr>
          <w:rFonts w:hint="eastAsia" w:ascii="黑体" w:cs="黑体"/>
          <w:sz w:val="22"/>
          <w:szCs w:val="22"/>
        </w:rPr>
        <w:t xml:space="preserve">3. 评标程序</w:t>
      </w:r>
      <w:bookmarkEnd w:id="176"/>
      <w:r/>
      <w:bookmarkEnd w:id="177"/>
      <w:r/>
      <w:bookmarkEnd w:id="178"/>
      <w:r/>
      <w:bookmarkEnd w:id="179"/>
      <w:r>
        <w:rPr>
          <w:rFonts w:ascii="黑体" w:cs="黑体"/>
          <w:sz w:val="22"/>
          <w:szCs w:val="22"/>
        </w:rPr>
      </w:r>
      <w:r/>
    </w:p>
    <w:p>
      <w:pPr>
        <w:pStyle w:val="973"/>
        <w:ind w:firstLine="398"/>
        <w:spacing w:line="520" w:lineRule="exact"/>
        <w:rPr>
          <w:rFonts w:ascii="宋体" w:hAnsi="宋体" w:eastAsia="宋体" w:cs="宋体"/>
          <w:b/>
          <w:bCs/>
          <w:sz w:val="22"/>
          <w:szCs w:val="22"/>
        </w:rPr>
      </w:pPr>
      <w:r/>
      <w:bookmarkStart w:id="180" w:name="_Toc9836"/>
      <w:r/>
      <w:bookmarkStart w:id="181" w:name="_Toc20039"/>
      <w:r/>
      <w:bookmarkStart w:id="182" w:name="_Toc6644"/>
      <w:r>
        <w:rPr>
          <w:rFonts w:hint="eastAsia" w:ascii="宋体" w:hAnsi="宋体" w:eastAsia="宋体" w:cs="宋体"/>
          <w:b/>
          <w:bCs/>
          <w:sz w:val="22"/>
          <w:szCs w:val="22"/>
        </w:rPr>
        <w:t xml:space="preserve">3.1 符合性评审</w:t>
      </w:r>
      <w:bookmarkEnd w:id="180"/>
      <w:r/>
      <w:bookmarkEnd w:id="181"/>
      <w:r/>
      <w:bookmarkEnd w:id="182"/>
      <w:r>
        <w:rPr>
          <w:rFonts w:ascii="宋体" w:hAnsi="宋体" w:eastAsia="宋体" w:cs="宋体"/>
          <w:b/>
          <w:bCs/>
          <w:sz w:val="22"/>
          <w:szCs w:val="22"/>
        </w:rPr>
      </w:r>
      <w:r/>
    </w:p>
    <w:p>
      <w:pPr>
        <w:pStyle w:val="720"/>
        <w:ind w:firstLine="396"/>
        <w:spacing w:line="520" w:lineRule="exact"/>
        <w:rPr>
          <w:rFonts w:ascii="宋体" w:hAnsi="宋体" w:eastAsia="宋体" w:cs="宋体"/>
        </w:rPr>
      </w:pPr>
      <w:r>
        <w:rPr>
          <w:rFonts w:hint="eastAsia" w:ascii="宋体" w:hAnsi="宋体" w:eastAsia="宋体" w:cs="宋体"/>
        </w:rPr>
        <w:t xml:space="preserve">3.1.1 评标委员会依据本章第2.1项规定的符合性评审标准，对通过资格评审的投标文件进行符合性评审。有一项不符合评审标准的，其</w:t>
      </w:r>
      <w:r>
        <w:rPr>
          <w:rFonts w:hint="eastAsia" w:ascii="隶书" w:hAnsi="隶书" w:eastAsia="隶书" w:cs="隶书"/>
          <w:i/>
          <w:iCs/>
          <w:sz w:val="24"/>
          <w:szCs w:val="24"/>
        </w:rPr>
        <w:t xml:space="preserve">投标无效</w:t>
      </w:r>
      <w:r>
        <w:rPr>
          <w:rFonts w:hint="eastAsia" w:ascii="宋体" w:hAnsi="宋体" w:eastAsia="宋体" w:cs="宋体"/>
        </w:rPr>
        <w:t xml:space="preserve">。</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3.1.2 投标文件报价出现前后不一致的，按照下列规定修正：</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（2）大写金额和小写金额不一致的，以大写金额为准；</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rPr>
          <w:rFonts w:ascii="宋体" w:hAnsi="宋体" w:eastAsia="宋体" w:cs="宋体"/>
        </w:rPr>
      </w:r>
      <w:r/>
    </w:p>
    <w:p>
      <w:pPr>
        <w:pStyle w:val="720"/>
        <w:ind w:firstLine="396"/>
        <w:spacing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rPr>
          <w:rFonts w:ascii="宋体" w:hAnsi="宋体" w:eastAsia="宋体" w:cs="宋体"/>
        </w:rPr>
      </w:r>
      <w:r/>
    </w:p>
    <w:p>
      <w:pPr>
        <w:pStyle w:val="720"/>
        <w:ind w:firstLine="396"/>
        <w:spacing w:line="520" w:lineRule="exact"/>
        <w:rPr>
          <w:rFonts w:ascii="隶书" w:hAnsi="隶书" w:eastAsia="隶书" w:cs="隶书"/>
        </w:rPr>
      </w:pPr>
      <w:r>
        <w:rPr>
          <w:rFonts w:hint="eastAsia" w:ascii="宋体" w:hAnsi="宋体" w:eastAsia="宋体" w:cs="宋体"/>
        </w:rPr>
        <w:t xml:space="preserve">同时出现两种以上不一致的，按照前款规定的顺序修正。修正后的报价经投标人加盖公章，或者由法定代表人或其授权的代表签字确认后产生约束力，并以修正的价格进行评审。投标人不确认的，其</w:t>
      </w:r>
      <w:r>
        <w:rPr>
          <w:rFonts w:hint="eastAsia" w:ascii="隶书" w:hAnsi="隶书" w:eastAsia="隶书" w:cs="隶书"/>
          <w:i/>
          <w:iCs/>
          <w:sz w:val="24"/>
          <w:szCs w:val="24"/>
        </w:rPr>
        <w:t xml:space="preserve">投标无效</w:t>
      </w:r>
      <w:r>
        <w:rPr>
          <w:rFonts w:hint="eastAsia" w:ascii="宋体" w:hAnsi="宋体" w:eastAsia="宋体" w:cs="宋体"/>
        </w:rPr>
        <w:t xml:space="preserve">。</w:t>
      </w:r>
      <w:r>
        <w:rPr>
          <w:rFonts w:ascii="隶书" w:hAnsi="隶书" w:eastAsia="隶书" w:cs="隶书"/>
        </w:rPr>
      </w:r>
      <w:r/>
    </w:p>
    <w:p>
      <w:pPr>
        <w:pStyle w:val="973"/>
        <w:ind w:firstLine="398"/>
        <w:spacing w:line="520" w:lineRule="exact"/>
        <w:rPr>
          <w:rFonts w:ascii="宋体" w:hAnsi="宋体" w:eastAsia="宋体" w:cs="宋体"/>
          <w:b/>
          <w:bCs/>
          <w:sz w:val="22"/>
          <w:szCs w:val="22"/>
        </w:rPr>
      </w:pPr>
      <w:r/>
      <w:bookmarkStart w:id="183" w:name="_Toc14234"/>
      <w:r/>
      <w:bookmarkStart w:id="184" w:name="_Toc234382671"/>
      <w:r/>
      <w:bookmarkStart w:id="185" w:name="_Toc30764"/>
      <w:r/>
      <w:bookmarkStart w:id="186" w:name="_Toc19739"/>
      <w:r>
        <w:rPr>
          <w:rFonts w:hint="eastAsia" w:ascii="宋体" w:hAnsi="宋体" w:eastAsia="宋体" w:cs="宋体"/>
          <w:b/>
          <w:bCs/>
          <w:sz w:val="22"/>
          <w:szCs w:val="22"/>
        </w:rPr>
        <w:t xml:space="preserve">3.2 异常低价投标审查</w:t>
      </w:r>
      <w:bookmarkEnd w:id="183"/>
      <w:r>
        <w:rPr>
          <w:rFonts w:ascii="宋体" w:hAnsi="宋体" w:eastAsia="宋体" w:cs="宋体"/>
          <w:b/>
          <w:bCs/>
          <w:sz w:val="22"/>
          <w:szCs w:val="22"/>
        </w:rPr>
      </w:r>
      <w:r/>
    </w:p>
    <w:p>
      <w:pPr>
        <w:pStyle w:val="720"/>
        <w:ind w:firstLine="440"/>
        <w:spacing w:line="520" w:lineRule="exact"/>
        <w:rPr>
          <w:rFonts w:ascii="宋体" w:hAnsi="宋体" w:eastAsia="宋体" w:cs="宋体"/>
        </w:rPr>
      </w:pPr>
      <w:r>
        <w:rPr>
          <w:rFonts w:hint="eastAsia" w:ascii="宋体" w:hAnsi="宋体" w:eastAsia="宋体" w:cs="宋体"/>
        </w:rPr>
        <w:t xml:space="preserve">（1）评审中出现下列情形之一的，评标委员会应当启动异常低价投标审查程序：</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a.投标报价低于全部通过符合性审查投标人投标报价平均值50%的，即投标报价&lt;全部通过符合性审查投标人投标报价平均值×50%；</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b.投标报价低于通过符合性审查的次低报价投标人投标报价50%的，即投标报价&lt;通过符合性审查的次低报价投标人投标报价×50%；</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c.投标报价低于采购项目最高限价45%的，即投标报价&lt;采购项目最高限价×45%；</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d.评标委员会基于专业判断，认为投标人报价过低，有可能影响产品质量或者不能诚信履约的其他情形。</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2）评标委员会启动异常低价投标审查后，属于前述第a项至第d项情形的，应当要求相关投标人在评审现场合理的时间内对投标价格作出解释，提供项目具体成本测算等与报价合理性相关的书面说明及必要的证明材料，包括但不限于设备成本、人工成本、集成费用、培训及质保费用等，给予相关投标人的合理时间一般不少于30分钟。其中，属于第c项情形，投标人已随投标文件一并提交相关书面说明及必要的证明材料的，在评审现场可不再重复提交。</w:t>
      </w:r>
      <w:r>
        <w:rPr>
          <w:rFonts w:ascii="宋体" w:hAnsi="宋体" w:eastAsia="宋体" w:cs="宋体"/>
        </w:rPr>
      </w:r>
      <w:r/>
    </w:p>
    <w:p>
      <w:pPr>
        <w:pStyle w:val="720"/>
        <w:ind w:firstLine="442"/>
        <w:spacing w:line="520" w:lineRule="exact"/>
        <w:rPr>
          <w:rFonts w:ascii="宋体" w:hAnsi="宋体" w:eastAsia="宋体" w:cs="宋体"/>
          <w:b/>
          <w:bCs/>
        </w:rPr>
      </w:pPr>
      <w:r>
        <w:rPr>
          <w:rFonts w:hint="eastAsia" w:ascii="宋体" w:hAnsi="宋体" w:eastAsia="宋体" w:cs="宋体"/>
        </w:rPr>
        <w:t xml:space="preserve">（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认定该投标人以低于成本报价竞标，</w:t>
      </w:r>
      <w:r>
        <w:rPr>
          <w:rFonts w:hint="eastAsia" w:ascii="隶书" w:hAnsi="隶书" w:eastAsia="隶书" w:cs="隶书"/>
          <w:i/>
          <w:iCs/>
          <w:sz w:val="24"/>
          <w:szCs w:val="24"/>
        </w:rPr>
        <w:t xml:space="preserve">其投标无效</w:t>
      </w:r>
      <w:r>
        <w:rPr>
          <w:rFonts w:hint="eastAsia" w:ascii="宋体" w:hAnsi="宋体" w:eastAsia="宋体" w:cs="宋体"/>
        </w:rPr>
        <w:t xml:space="preserve">。</w:t>
      </w:r>
      <w:r>
        <w:rPr>
          <w:rFonts w:ascii="宋体" w:hAnsi="宋体" w:eastAsia="宋体" w:cs="宋体"/>
          <w:b/>
          <w:bCs/>
        </w:rPr>
      </w:r>
      <w:r/>
    </w:p>
    <w:p>
      <w:pPr>
        <w:pStyle w:val="973"/>
        <w:ind w:firstLine="398"/>
        <w:spacing w:line="520" w:lineRule="exact"/>
        <w:rPr>
          <w:rFonts w:ascii="宋体" w:hAnsi="宋体" w:eastAsia="宋体" w:cs="宋体"/>
          <w:b/>
          <w:bCs/>
          <w:sz w:val="22"/>
          <w:szCs w:val="22"/>
        </w:rPr>
      </w:pPr>
      <w:r/>
      <w:bookmarkStart w:id="187" w:name="_Toc25933"/>
      <w:r>
        <w:rPr>
          <w:rFonts w:hint="eastAsia" w:ascii="宋体" w:hAnsi="宋体" w:eastAsia="宋体" w:cs="宋体"/>
          <w:b/>
          <w:bCs/>
          <w:sz w:val="22"/>
          <w:szCs w:val="22"/>
        </w:rPr>
        <w:t xml:space="preserve">3.3 澄清和补正</w:t>
      </w:r>
      <w:bookmarkEnd w:id="184"/>
      <w:r/>
      <w:bookmarkEnd w:id="185"/>
      <w:r/>
      <w:bookmarkEnd w:id="186"/>
      <w:r/>
      <w:bookmarkEnd w:id="187"/>
      <w:r>
        <w:rPr>
          <w:rFonts w:ascii="宋体" w:hAnsi="宋体" w:eastAsia="宋体" w:cs="宋体"/>
          <w:b/>
          <w:bCs/>
          <w:sz w:val="22"/>
          <w:szCs w:val="22"/>
        </w:rPr>
      </w:r>
      <w:r/>
    </w:p>
    <w:p>
      <w:pPr>
        <w:pStyle w:val="720"/>
        <w:ind w:firstLine="440"/>
        <w:spacing w:line="520" w:lineRule="exact"/>
        <w:rPr>
          <w:rFonts w:ascii="宋体" w:hAnsi="宋体" w:eastAsia="宋体" w:cs="宋体"/>
        </w:rPr>
      </w:pPr>
      <w:r>
        <w:rPr>
          <w:rFonts w:hint="eastAsia" w:ascii="宋体" w:hAnsi="宋体" w:eastAsia="宋体" w:cs="宋体"/>
        </w:rPr>
        <w:t xml:space="preserve">3.3.1 对投标文件中含义不明确、同类问题表述不一致或者有明显文字和算术错误的内容，评标委员会可以通过“苏采云”系统【询标】按钮要求投标人作出必要的澄清、说明或者补正。</w:t>
      </w:r>
      <w:r>
        <w:rPr>
          <w:rFonts w:ascii="宋体" w:hAnsi="宋体" w:eastAsia="宋体" w:cs="宋体"/>
        </w:rPr>
      </w:r>
      <w:r/>
    </w:p>
    <w:p>
      <w:pPr>
        <w:pStyle w:val="720"/>
        <w:ind w:firstLine="440"/>
        <w:jc w:val="left"/>
        <w:spacing w:line="520" w:lineRule="exact"/>
        <w:rPr>
          <w:rFonts w:ascii="宋体" w:hAnsi="宋体" w:eastAsia="宋体" w:cs="宋体"/>
        </w:rPr>
      </w:pPr>
      <w:r>
        <w:rPr>
          <w:rFonts w:hint="eastAsia" w:ascii="宋体" w:hAnsi="宋体" w:eastAsia="宋体" w:cs="宋体"/>
        </w:rPr>
        <w:t xml:space="preserve">3.3.2 投标人在收到评标委员会的【询问函】后，应在规定的时长内完成【询问反馈】并签章。投标人的澄清、说明或者补正不得超出投标文件的范围或者改变投标文件的实质性内容。</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3.3.3 评标委员会不接受投标人主动提出的澄清、说明或补正。投标人不按评标委员会要求澄清或说明的，评标委员会应</w:t>
      </w:r>
      <w:r>
        <w:rPr>
          <w:rFonts w:hint="eastAsia" w:ascii="隶书" w:hAnsi="隶书" w:eastAsia="隶书" w:cs="隶书"/>
          <w:i/>
          <w:iCs/>
          <w:sz w:val="24"/>
          <w:szCs w:val="24"/>
        </w:rPr>
        <w:t xml:space="preserve">否决其投标</w:t>
      </w:r>
      <w:r>
        <w:rPr>
          <w:rFonts w:hint="eastAsia" w:ascii="宋体" w:hAnsi="宋体" w:eastAsia="宋体" w:cs="宋体"/>
        </w:rPr>
        <w:t xml:space="preserve">。</w:t>
      </w:r>
      <w:r>
        <w:rPr>
          <w:rFonts w:ascii="宋体" w:hAnsi="宋体" w:eastAsia="宋体" w:cs="宋体"/>
        </w:rPr>
      </w:r>
      <w:r/>
    </w:p>
    <w:p>
      <w:pPr>
        <w:pStyle w:val="973"/>
        <w:ind w:firstLine="398"/>
        <w:spacing w:line="520" w:lineRule="exact"/>
        <w:rPr>
          <w:rFonts w:ascii="宋体" w:hAnsi="宋体" w:eastAsia="宋体" w:cs="宋体"/>
          <w:b/>
          <w:bCs/>
          <w:sz w:val="22"/>
          <w:szCs w:val="22"/>
        </w:rPr>
      </w:pPr>
      <w:r/>
      <w:bookmarkStart w:id="188" w:name="_Toc10483"/>
      <w:r/>
      <w:bookmarkStart w:id="189" w:name="_Toc3943"/>
      <w:r/>
      <w:bookmarkStart w:id="190" w:name="_Toc234382670"/>
      <w:r/>
      <w:bookmarkStart w:id="191" w:name="_Toc14298"/>
      <w:r>
        <w:rPr>
          <w:rFonts w:hint="eastAsia" w:ascii="宋体" w:hAnsi="宋体" w:eastAsia="宋体" w:cs="宋体"/>
          <w:b/>
          <w:bCs/>
          <w:sz w:val="22"/>
          <w:szCs w:val="22"/>
        </w:rPr>
        <w:t xml:space="preserve">3.</w:t>
      </w:r>
      <w:bookmarkEnd w:id="188"/>
      <w:r/>
      <w:bookmarkEnd w:id="189"/>
      <w:r/>
      <w:bookmarkEnd w:id="190"/>
      <w:r>
        <w:rPr>
          <w:rFonts w:hint="eastAsia" w:ascii="宋体" w:hAnsi="宋体" w:eastAsia="宋体" w:cs="宋体"/>
          <w:b/>
          <w:bCs/>
          <w:sz w:val="22"/>
          <w:szCs w:val="22"/>
        </w:rPr>
        <w:t xml:space="preserve">4 详细评审</w:t>
      </w:r>
      <w:bookmarkEnd w:id="191"/>
      <w:r>
        <w:rPr>
          <w:rFonts w:ascii="宋体" w:hAnsi="宋体" w:eastAsia="宋体" w:cs="宋体"/>
          <w:b/>
          <w:bCs/>
          <w:sz w:val="22"/>
          <w:szCs w:val="22"/>
        </w:rPr>
      </w:r>
      <w:r/>
    </w:p>
    <w:p>
      <w:pPr>
        <w:pStyle w:val="720"/>
        <w:ind w:firstLine="440"/>
        <w:jc w:val="left"/>
        <w:spacing w:line="520" w:lineRule="exact"/>
        <w:rPr>
          <w:rFonts w:ascii="宋体" w:hAnsi="宋体" w:eastAsia="宋体" w:cs="宋体"/>
        </w:rPr>
      </w:pPr>
      <w:r>
        <w:rPr>
          <w:rFonts w:hint="eastAsia" w:ascii="宋体" w:hAnsi="宋体" w:eastAsia="宋体" w:cs="宋体"/>
        </w:rPr>
        <w:t xml:space="preserve">3.4.1 评标委员会按本章第2.2款规定的量化因素和分值对通过符合性评审的投标文件进行综合比较和评价，并计算出综合得分。</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3.4.2 投标人的综合得分取评标委员会各成员独立对每个投标人评分的平均值。分值计算保留小数点后两位，小数点后第三位“四舍五入”。</w:t>
      </w:r>
      <w:r>
        <w:rPr>
          <w:rFonts w:ascii="宋体" w:hAnsi="宋体" w:eastAsia="宋体" w:cs="宋体"/>
        </w:rPr>
      </w:r>
      <w:r/>
    </w:p>
    <w:p>
      <w:pPr>
        <w:pStyle w:val="973"/>
        <w:ind w:firstLine="398"/>
        <w:spacing w:line="520" w:lineRule="exact"/>
        <w:rPr>
          <w:rFonts w:ascii="宋体" w:hAnsi="宋体" w:eastAsia="宋体" w:cs="宋体"/>
          <w:b/>
          <w:bCs/>
          <w:sz w:val="22"/>
          <w:szCs w:val="22"/>
        </w:rPr>
      </w:pPr>
      <w:r/>
      <w:bookmarkStart w:id="192" w:name="_Toc9014"/>
      <w:r/>
      <w:bookmarkStart w:id="193" w:name="_Toc15663"/>
      <w:r>
        <w:rPr>
          <w:rFonts w:hint="eastAsia" w:ascii="宋体" w:hAnsi="宋体" w:eastAsia="宋体" w:cs="宋体"/>
          <w:b/>
          <w:bCs/>
          <w:sz w:val="22"/>
          <w:szCs w:val="22"/>
        </w:rPr>
        <w:t xml:space="preserve">3.5 串通、虚假投标</w:t>
      </w:r>
      <w:bookmarkEnd w:id="192"/>
      <w:r>
        <w:rPr>
          <w:rFonts w:ascii="宋体" w:hAnsi="宋体" w:eastAsia="宋体" w:cs="宋体"/>
          <w:b/>
          <w:bCs/>
          <w:sz w:val="22"/>
          <w:szCs w:val="22"/>
        </w:rPr>
      </w:r>
      <w:r/>
    </w:p>
    <w:p>
      <w:pPr>
        <w:pStyle w:val="720"/>
        <w:ind w:firstLine="440"/>
        <w:spacing w:line="520" w:lineRule="exact"/>
        <w:rPr>
          <w:rFonts w:ascii="宋体" w:hAnsi="宋体" w:eastAsia="宋体" w:cs="宋体"/>
        </w:rPr>
      </w:pPr>
      <w:r>
        <w:rPr>
          <w:rFonts w:hint="eastAsia" w:ascii="宋体" w:hAnsi="宋体" w:cs="宋体"/>
        </w:rPr>
        <w:t xml:space="preserve">3.5.1 投标人有下列情形之一的，视为投标人串通投标，</w:t>
      </w:r>
      <w:r>
        <w:rPr>
          <w:rFonts w:hint="eastAsia" w:ascii="隶书" w:hAnsi="隶书" w:eastAsia="隶书" w:cs="隶书"/>
          <w:i/>
          <w:iCs/>
          <w:sz w:val="24"/>
          <w:szCs w:val="24"/>
        </w:rPr>
        <w:t xml:space="preserve">其投标无效</w:t>
      </w:r>
      <w:r>
        <w:rPr>
          <w:rFonts w:hint="eastAsia" w:ascii="隶书" w:hAnsi="隶书" w:eastAsia="隶书" w:cs="隶书"/>
        </w:rPr>
        <w:t xml:space="preserve">：</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（1）不同投标人的投标文件由同一单位或者个人编制；</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（2）不同投标人委托同一单位或者个人办理投标事宜；</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（3）不同投标人的投标文件载明的项目管理成员或者联系人员为同一人；</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（4）不同投标人的投标文件异常一致或者投标报价呈规律性差异；</w:t>
      </w:r>
      <w:r>
        <w:rPr>
          <w:rFonts w:ascii="宋体" w:hAnsi="宋体" w:eastAsia="宋体" w:cs="宋体"/>
        </w:rPr>
      </w:r>
      <w:r/>
    </w:p>
    <w:p>
      <w:pPr>
        <w:pStyle w:val="720"/>
        <w:ind w:firstLine="440"/>
        <w:spacing w:line="520" w:lineRule="exact"/>
        <w:rPr>
          <w:rFonts w:ascii="宋体" w:hAnsi="宋体" w:eastAsia="宋体" w:cs="宋体"/>
        </w:rPr>
      </w:pPr>
      <w:r>
        <w:rPr>
          <w:rFonts w:hint="eastAsia" w:ascii="宋体" w:hAnsi="宋体" w:eastAsia="宋体" w:cs="宋体"/>
        </w:rPr>
        <w:t xml:space="preserve">（5）法律法规规定的其他情形。</w:t>
      </w:r>
      <w:r>
        <w:rPr>
          <w:rFonts w:ascii="宋体" w:hAnsi="宋体" w:eastAsia="宋体" w:cs="宋体"/>
        </w:rPr>
      </w:r>
      <w:r/>
    </w:p>
    <w:p>
      <w:pPr>
        <w:pStyle w:val="720"/>
        <w:ind w:firstLine="440"/>
        <w:spacing w:line="520" w:lineRule="exact"/>
        <w:rPr>
          <w:rFonts w:ascii="宋体" w:hAnsi="宋体" w:cs="宋体"/>
        </w:rPr>
      </w:pPr>
      <w:r>
        <w:rPr>
          <w:rFonts w:hint="eastAsia" w:ascii="宋体" w:hAnsi="宋体" w:cs="宋体"/>
        </w:rPr>
        <w:t xml:space="preserve">3.5.2 投标文件存在伪造、变造材料、虚构业绩、虚假声明等不实情形的，评标委员会应当</w:t>
      </w:r>
      <w:r>
        <w:rPr>
          <w:rFonts w:hint="eastAsia" w:ascii="隶书" w:hAnsi="隶书" w:eastAsia="隶书" w:cs="隶书"/>
          <w:i/>
          <w:iCs/>
          <w:sz w:val="24"/>
          <w:szCs w:val="24"/>
        </w:rPr>
        <w:t xml:space="preserve">否决其投标</w:t>
      </w:r>
      <w:r>
        <w:rPr>
          <w:rFonts w:hint="eastAsia" w:ascii="宋体" w:hAnsi="宋体" w:cs="宋体"/>
        </w:rPr>
        <w:t xml:space="preserve">，并在评标报告中如实记录相关事实与证据线索，报送政府采购监管部门。</w:t>
      </w:r>
      <w:r>
        <w:rPr>
          <w:rFonts w:ascii="宋体" w:hAnsi="宋体" w:cs="宋体"/>
        </w:rPr>
      </w:r>
      <w:r/>
    </w:p>
    <w:p>
      <w:pPr>
        <w:pStyle w:val="973"/>
        <w:ind w:firstLine="398"/>
        <w:spacing w:line="520" w:lineRule="exact"/>
        <w:rPr>
          <w:rFonts w:ascii="宋体" w:hAnsi="宋体" w:eastAsia="宋体" w:cs="宋体"/>
          <w:b/>
          <w:bCs/>
          <w:sz w:val="22"/>
          <w:szCs w:val="22"/>
        </w:rPr>
      </w:pPr>
      <w:r/>
      <w:bookmarkStart w:id="194" w:name="_Toc5707"/>
      <w:r>
        <w:rPr>
          <w:rFonts w:hint="eastAsia" w:ascii="宋体" w:hAnsi="宋体" w:eastAsia="宋体" w:cs="宋体"/>
          <w:b/>
          <w:bCs/>
          <w:sz w:val="22"/>
          <w:szCs w:val="22"/>
        </w:rPr>
        <w:t xml:space="preserve">3.6 评标结果</w:t>
      </w:r>
      <w:bookmarkEnd w:id="193"/>
      <w:r/>
      <w:bookmarkEnd w:id="194"/>
      <w:r>
        <w:rPr>
          <w:rFonts w:ascii="宋体" w:hAnsi="宋体" w:eastAsia="宋体" w:cs="宋体"/>
          <w:b/>
          <w:bCs/>
          <w:sz w:val="22"/>
          <w:szCs w:val="22"/>
        </w:rPr>
      </w:r>
      <w:r/>
    </w:p>
    <w:p>
      <w:pPr>
        <w:pStyle w:val="720"/>
        <w:ind w:firstLine="440"/>
        <w:spacing w:line="520" w:lineRule="exact"/>
        <w:rPr>
          <w:rFonts w:ascii="宋体" w:hAnsi="宋体" w:eastAsia="宋体" w:cs="宋体"/>
        </w:rPr>
      </w:pPr>
      <w:r>
        <w:rPr>
          <w:rFonts w:hint="eastAsia" w:ascii="宋体" w:hAnsi="宋体" w:eastAsia="宋体" w:cs="宋体"/>
        </w:rPr>
        <w:t xml:space="preserve">3.6.1 评标委员会按照得分由高到低的顺序推荐3名中标候选人，并标明排序。</w:t>
      </w:r>
      <w:r>
        <w:rPr>
          <w:rFonts w:ascii="宋体" w:hAnsi="宋体" w:eastAsia="宋体" w:cs="宋体"/>
        </w:rPr>
      </w:r>
      <w:r/>
    </w:p>
    <w:p>
      <w:pPr>
        <w:pStyle w:val="720"/>
        <w:ind w:firstLine="440"/>
        <w:spacing w:line="520" w:lineRule="exact"/>
        <w:rPr>
          <w:rFonts w:ascii="华文中宋" w:hAnsi="华文中宋" w:eastAsia="华文中宋"/>
        </w:rPr>
      </w:pPr>
      <w:r>
        <w:rPr>
          <w:rFonts w:hint="eastAsia" w:ascii="宋体" w:hAnsi="宋体" w:eastAsia="宋体" w:cs="宋体"/>
        </w:rPr>
        <w:t xml:space="preserve">3.6.2 评标委员会完成评标后，应当向采购人提交书面评标报告。</w:t>
      </w:r>
      <w:r>
        <w:rPr>
          <w:rFonts w:ascii="华文中宋" w:hAnsi="华文中宋" w:eastAsia="华文中宋"/>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720"/>
        <w:ind w:firstLine="440"/>
        <w:jc w:val="left"/>
        <w:spacing w:line="480" w:lineRule="exact"/>
        <w:rPr>
          <w:rFonts w:ascii="宋体" w:hAnsi="宋体"/>
        </w:rPr>
      </w:pPr>
      <w:r>
        <w:rPr>
          <w:rFonts w:ascii="宋体" w:hAnsi="宋体"/>
        </w:rPr>
      </w:r>
      <w:r/>
    </w:p>
    <w:p>
      <w:pPr>
        <w:pStyle w:val="969"/>
        <w:jc w:val="center"/>
        <w:spacing w:after="20" w:line="240" w:lineRule="auto"/>
        <w:rPr>
          <w:rFonts w:ascii="微软雅黑" w:hAnsi="微软雅黑" w:eastAsia="微软雅黑" w:cs="微软雅黑"/>
          <w:b w:val="0"/>
          <w:bCs w:val="0"/>
          <w:sz w:val="36"/>
          <w:szCs w:val="36"/>
        </w:rPr>
      </w:pPr>
      <w:r/>
      <w:bookmarkStart w:id="195" w:name="_Toc32256"/>
      <w:r/>
      <w:bookmarkStart w:id="196" w:name="_Toc17149"/>
      <w:r/>
      <w:bookmarkStart w:id="197" w:name="_Toc525"/>
      <w:r>
        <w:rPr>
          <w:rFonts w:hint="eastAsia" w:ascii="微软雅黑" w:hAnsi="微软雅黑" w:eastAsia="微软雅黑" w:cs="微软雅黑"/>
          <w:b w:val="0"/>
          <w:bCs w:val="0"/>
          <w:sz w:val="36"/>
          <w:szCs w:val="36"/>
        </w:rPr>
        <w:t xml:space="preserve">第五章 合同格式及条款</w:t>
      </w:r>
      <w:bookmarkEnd w:id="195"/>
      <w:r/>
      <w:bookmarkEnd w:id="196"/>
      <w:r/>
      <w:bookmarkEnd w:id="197"/>
      <w:r>
        <w:rPr>
          <w:rFonts w:ascii="微软雅黑" w:hAnsi="微软雅黑" w:eastAsia="微软雅黑" w:cs="微软雅黑"/>
          <w:b w:val="0"/>
          <w:bCs w:val="0"/>
          <w:sz w:val="36"/>
          <w:szCs w:val="36"/>
        </w:rPr>
      </w:r>
      <w:r/>
    </w:p>
    <w:p>
      <w:pPr>
        <w:pStyle w:val="720"/>
        <w:spacing w:line="360" w:lineRule="auto"/>
        <w:rPr>
          <w:rFonts w:ascii="宋体" w:hAnsi="宋体" w:cs="宋体"/>
        </w:rPr>
      </w:pPr>
      <w:r>
        <w:rPr>
          <w:rFonts w:ascii="宋体" w:hAnsi="宋体" w:cs="宋体"/>
        </w:rPr>
      </w:r>
      <w:r/>
    </w:p>
    <w:p>
      <w:pPr>
        <w:pStyle w:val="720"/>
        <w:spacing w:line="360" w:lineRule="auto"/>
        <w:rPr>
          <w:rFonts w:ascii="宋体" w:hAnsi="宋体" w:cs="宋体"/>
        </w:rPr>
      </w:pPr>
      <w:r>
        <w:rPr>
          <w:rFonts w:hint="eastAsia" w:ascii="宋体" w:hAnsi="宋体" w:cs="宋体"/>
        </w:rPr>
        <w:t xml:space="preserve">甲方（采购人）：靖江市人民医院</w:t>
      </w:r>
      <w:r>
        <w:rPr>
          <w:rFonts w:ascii="宋体" w:hAnsi="宋体" w:cs="宋体"/>
        </w:rPr>
      </w:r>
      <w:r/>
    </w:p>
    <w:p>
      <w:pPr>
        <w:pStyle w:val="720"/>
        <w:spacing w:line="360" w:lineRule="auto"/>
        <w:rPr>
          <w:rFonts w:ascii="宋体" w:hAnsi="宋体" w:cs="宋体"/>
        </w:rPr>
      </w:pPr>
      <w:r>
        <w:rPr>
          <w:rFonts w:hint="eastAsia" w:ascii="宋体" w:hAnsi="宋体" w:cs="宋体"/>
        </w:rPr>
        <w:t xml:space="preserve">统一社会信用代码：______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地址：____________________________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联系人：__________ 联系电话：____________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乙方（中标供应商 / 集成商）：________________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统一社会信用代码：________________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地址：____________________________</w:t>
      </w:r>
      <w:r>
        <w:rPr>
          <w:rFonts w:ascii="宋体" w:hAnsi="宋体" w:cs="宋体"/>
        </w:rPr>
      </w:r>
      <w:r/>
    </w:p>
    <w:p>
      <w:pPr>
        <w:pStyle w:val="720"/>
        <w:spacing w:line="360" w:lineRule="auto"/>
        <w:rPr>
          <w:rFonts w:ascii="宋体" w:hAnsi="宋体" w:cs="宋体"/>
        </w:rPr>
      </w:pPr>
      <w:r>
        <w:rPr>
          <w:rFonts w:hint="eastAsia" w:ascii="宋体" w:hAnsi="宋体" w:cs="宋体"/>
        </w:rPr>
        <w:t xml:space="preserve">联系人：__________ 联系电话：____________</w:t>
      </w:r>
      <w:r>
        <w:rPr>
          <w:rFonts w:ascii="宋体" w:hAnsi="宋体" w:cs="宋体"/>
        </w:rPr>
      </w:r>
      <w:r/>
    </w:p>
    <w:p>
      <w:pPr>
        <w:pStyle w:val="720"/>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根据《中华人民共和国民法典》《中华人民共和国政府采购法》《政府采购法实施条例》，本项目【项目名称：</w:t>
      </w:r>
      <w:r>
        <w:rPr>
          <w:rFonts w:hint="eastAsia" w:ascii="宋体" w:hAnsi="宋体" w:cs="宋体"/>
          <w:u w:val="single"/>
        </w:rPr>
        <w:t xml:space="preserve">靖江市人民医院数据中心机房升级改造基础环境集成实施服务</w:t>
      </w:r>
      <w:r>
        <w:rPr>
          <w:rFonts w:hint="eastAsia" w:ascii="宋体" w:hAnsi="宋体" w:cs="宋体"/>
        </w:rPr>
        <w:t xml:space="preserve">】，项目编号：__________，乙方已收到中标通知书。甲乙双方就机房集成实施服务，经协商一致，订立本合同。</w:t>
      </w:r>
      <w:r>
        <w:rPr>
          <w:rFonts w:ascii="宋体" w:hAnsi="宋体" w:cs="宋体"/>
        </w:rPr>
      </w:r>
      <w:r/>
    </w:p>
    <w:p>
      <w:pPr>
        <w:pStyle w:val="973"/>
        <w:ind w:firstLine="51"/>
        <w:spacing w:before="0" w:after="0" w:line="360" w:lineRule="auto"/>
        <w:rPr>
          <w:rFonts w:ascii="黑体" w:hAnsi="黑体" w:eastAsia="黑体" w:cs="黑体"/>
          <w:sz w:val="22"/>
          <w:szCs w:val="22"/>
        </w:rPr>
      </w:pPr>
      <w:r/>
      <w:bookmarkStart w:id="198" w:name="_Toc31429"/>
      <w:r>
        <w:rPr>
          <w:rFonts w:hint="eastAsia" w:ascii="黑体" w:hAnsi="黑体" w:eastAsia="黑体" w:cs="黑体"/>
          <w:sz w:val="22"/>
          <w:szCs w:val="22"/>
        </w:rPr>
        <w:t xml:space="preserve">第一条 项目概况与服务范围</w:t>
      </w:r>
      <w:bookmarkEnd w:id="198"/>
      <w:r>
        <w:rPr>
          <w:rFonts w:ascii="黑体" w:hAnsi="黑体" w:eastAsia="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项目名称：</w:t>
      </w:r>
      <w:r>
        <w:rPr>
          <w:rFonts w:hint="eastAsia" w:ascii="宋体" w:hAnsi="宋体" w:cs="宋体"/>
          <w:u w:val="single"/>
        </w:rPr>
        <w:t xml:space="preserve">靖江市人民医院数据中心机房升级改造基础环境集成实施服务项目</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项目地点：</w:t>
      </w:r>
      <w:r>
        <w:rPr>
          <w:rFonts w:hint="eastAsia" w:ascii="宋体" w:hAnsi="宋体" w:cs="宋体"/>
          <w:u w:val="single"/>
        </w:rPr>
        <w:t xml:space="preserve">医院院内指定机房现场</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项目内容：机房基础环境升级集成实施交钥匙项目，包含设备供货、运输、安装、施工、调试、检测、认证、验收、资料交付、质保运维等全部工作内容。</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服务内容：</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•机房装修工程：防尘、防静电、防火处理，吊顶、墙板、防静电地板、门窗、封堵、防尘保温、环境整洁整改等；</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•供配电系统：机房专用配电柜、UPS不间断电源、蓄电池、市电接入、线缆敷设、回路规划、接地防雷、应急供电系统安装调试；</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•环境温控系统：精密空调、新风系统、除湿加湿设备安装调试，温湿度环境优化；</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•机柜及基础设施：标准服务器机柜、网络机柜、PDU、理线配件、设备固定、空间规整部署；</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•综合布线系统：六类/超六类铜缆布线、光纤布线、配线架、面板、跳线部署，包含福禄克链路认证测试，出具合规测试报告；</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•动环监控系统：温湿度监测、烟感、漏水检测、市电监测、门禁、视频监控、环境告警系统安装调试；</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•安全防护工程：机房防雷接地、防火封堵、消防配合、电磁屏蔽、安全标识布设；</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•系统联调优化：整体机房环境、供电、布线、监控系统联动调试，保障设备稳定运行；</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•B级机房CQC认证服务：包含认证资料编制、申报报审、现场整改、专家对接、CQC现场核验迎检、证书获取等全部工作；</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•竣工资料编制：施工图纸、点位台账、设备合格证、检测报告、操作手册、竣工归档资料全套交付；</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•质保及运维服务：售后巡检、故障排查、技术支撑、应急保障等。</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5. 服务标准：严格遵循GB50174-2017 B级机房规范、国家机房建设规范、行业技术标准及本项目招投标文件、技术方案要求，所有施工、设备、检测成果、系统指标均满足CQC数据中心认证核验标准，确保一次性通过评测及现场审核。</w:t>
      </w:r>
      <w:r>
        <w:rPr>
          <w:rFonts w:ascii="宋体" w:hAnsi="宋体" w:cs="宋体"/>
        </w:rPr>
      </w:r>
      <w:r/>
    </w:p>
    <w:p>
      <w:pPr>
        <w:pStyle w:val="973"/>
        <w:ind w:firstLine="51"/>
        <w:spacing w:before="0" w:after="0" w:line="360" w:lineRule="auto"/>
        <w:rPr>
          <w:rFonts w:ascii="黑体" w:hAnsi="黑体" w:eastAsia="黑体" w:cs="黑体"/>
          <w:sz w:val="22"/>
          <w:szCs w:val="22"/>
        </w:rPr>
      </w:pPr>
      <w:r/>
      <w:bookmarkStart w:id="199" w:name="_Toc27328"/>
      <w:r>
        <w:rPr>
          <w:rFonts w:hint="eastAsia" w:ascii="黑体" w:hAnsi="黑体" w:eastAsia="黑体" w:cs="黑体"/>
          <w:sz w:val="22"/>
          <w:szCs w:val="22"/>
        </w:rPr>
        <w:t xml:space="preserve">第二条 合同履行期限与实施要求</w:t>
      </w:r>
      <w:bookmarkEnd w:id="199"/>
      <w:r>
        <w:rPr>
          <w:rFonts w:ascii="黑体" w:hAnsi="黑体" w:eastAsia="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履行期限：</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(1)项目初验时间：合同签订后</w:t>
      </w:r>
      <w:r>
        <w:rPr>
          <w:rFonts w:hint="eastAsia" w:ascii="宋体" w:hAnsi="宋体" w:cs="宋体"/>
          <w:u w:val="single"/>
        </w:rPr>
        <w:t xml:space="preserve"> </w:t>
      </w:r>
      <w:r>
        <w:rPr>
          <w:rFonts w:ascii="宋体" w:hAnsi="宋体" w:cs="宋体"/>
          <w:u w:val="single"/>
        </w:rPr>
        <w:t xml:space="preserve">75</w:t>
      </w:r>
      <w:r>
        <w:rPr>
          <w:rFonts w:hint="eastAsia" w:ascii="宋体" w:hAnsi="宋体" w:cs="宋体"/>
          <w:u w:val="single"/>
        </w:rPr>
        <w:t xml:space="preserve"> </w:t>
      </w:r>
      <w:r>
        <w:rPr>
          <w:rFonts w:hint="eastAsia" w:ascii="宋体" w:hAnsi="宋体" w:cs="宋体"/>
        </w:rPr>
        <w:t xml:space="preserve">日历天完成本项目集成实施服务并取得B级机房认证评测报告</w:t>
      </w:r>
      <w:r>
        <w:rPr>
          <w:rFonts w:hint="eastAsia" w:ascii="宋体" w:hAnsi="宋体" w:cs="宋体"/>
        </w:rPr>
        <w:t xml:space="preserve">；</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(2)项目交付时间：合同签订后</w:t>
      </w:r>
      <w:r>
        <w:rPr>
          <w:rFonts w:hint="eastAsia" w:ascii="宋体" w:hAnsi="宋体" w:cs="宋体"/>
          <w:u w:val="single"/>
        </w:rPr>
        <w:t xml:space="preserve"> </w:t>
      </w:r>
      <w:r>
        <w:rPr>
          <w:rFonts w:ascii="宋体" w:hAnsi="宋体" w:cs="宋体"/>
          <w:u w:val="single"/>
        </w:rPr>
        <w:t xml:space="preserve">120</w:t>
      </w:r>
      <w:r>
        <w:rPr>
          <w:rFonts w:hint="eastAsia" w:ascii="宋体" w:hAnsi="宋体" w:cs="宋体"/>
          <w:u w:val="single"/>
        </w:rPr>
        <w:t xml:space="preserve"> </w:t>
      </w:r>
      <w:r>
        <w:rPr>
          <w:rFonts w:hint="eastAsia" w:ascii="宋体" w:hAnsi="宋体" w:cs="宋体"/>
        </w:rPr>
        <w:t xml:space="preserve">日历天通过中国质量认证中心（CQC）的现场核验并取得B级《数据中心场地基础设施认证证书》。</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开工及进度管理：乙方需在开工前3个工作日提交详细施工组织方案、进度计划表、人员设备配置清单、CQC认证推进计划，经甲方审核通过后方可进场施工。乙方需严格按照进度计划施工，接受甲方及监理全过程监督。</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工期顺延情形：仅因甲方原因、政策调整、不可抗力导致停工的，乙方可提交书面申请，经甲方确认后工期顺延，无书面确认的工期延误、认证滞后由乙方自行承担责任。</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现场管理：乙方负责施工现场安全管理、文明施工、垃圾清运、成品保护，承担施工期间全部安全责任，杜绝安全事故、设备损坏、资料泄露等问题。</w:t>
      </w:r>
      <w:r>
        <w:rPr>
          <w:rFonts w:ascii="宋体" w:hAnsi="宋体" w:cs="宋体"/>
        </w:rPr>
      </w:r>
      <w:r/>
    </w:p>
    <w:p>
      <w:pPr>
        <w:pStyle w:val="973"/>
        <w:ind w:firstLine="51"/>
        <w:spacing w:before="0" w:after="0" w:line="360" w:lineRule="auto"/>
        <w:rPr>
          <w:rFonts w:ascii="黑体" w:hAnsi="黑体" w:eastAsia="黑体" w:cs="黑体"/>
          <w:sz w:val="22"/>
          <w:szCs w:val="22"/>
        </w:rPr>
      </w:pPr>
      <w:r/>
      <w:bookmarkStart w:id="200" w:name="_Toc8715"/>
      <w:r>
        <w:rPr>
          <w:rFonts w:hint="eastAsia" w:ascii="黑体" w:hAnsi="黑体" w:eastAsia="黑体" w:cs="黑体"/>
          <w:sz w:val="22"/>
          <w:szCs w:val="22"/>
        </w:rPr>
        <w:t xml:space="preserve">第三条 合同价款与支付方式</w:t>
      </w:r>
      <w:bookmarkEnd w:id="200"/>
      <w:r>
        <w:rPr>
          <w:rFonts w:ascii="黑体" w:hAnsi="黑体" w:eastAsia="黑体" w:cs="黑体"/>
          <w:sz w:val="22"/>
          <w:szCs w:val="22"/>
        </w:rPr>
      </w:r>
      <w:r/>
    </w:p>
    <w:p>
      <w:pPr>
        <w:pStyle w:val="720"/>
        <w:spacing w:line="360" w:lineRule="auto"/>
        <w:rPr>
          <w:rFonts w:ascii="黑体" w:hAnsi="黑体" w:eastAsia="黑体" w:cs="黑体"/>
        </w:rPr>
      </w:pPr>
      <w:r>
        <w:rPr>
          <w:rFonts w:hint="eastAsia" w:ascii="黑体" w:hAnsi="黑体" w:eastAsia="黑体" w:cs="黑体"/>
        </w:rPr>
        <w:t xml:space="preserve">1. 合同价款</w:t>
      </w:r>
      <w:r>
        <w:rPr>
          <w:rFonts w:ascii="黑体" w:hAnsi="黑体" w:eastAsia="黑体" w:cs="黑体"/>
        </w:rPr>
      </w:r>
      <w:r/>
    </w:p>
    <w:p>
      <w:pPr>
        <w:pStyle w:val="720"/>
        <w:ind w:firstLine="396"/>
        <w:spacing w:line="360" w:lineRule="auto"/>
        <w:rPr>
          <w:rFonts w:ascii="宋体" w:hAnsi="宋体" w:cs="宋体"/>
        </w:rPr>
      </w:pPr>
      <w:r>
        <w:rPr>
          <w:rFonts w:hint="eastAsia" w:ascii="宋体" w:hAnsi="宋体" w:cs="宋体"/>
        </w:rPr>
        <w:t xml:space="preserve">合同总价（含税人民币大写）：________________元整（¥________元）。</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本价款为全程总价包干，包含完成本项目全部建设内容，实现系统全部功能，直至通过最终验收、取得 B 级机房认证及质保期服务所必需的一切费用。</w:t>
      </w:r>
      <w:r>
        <w:rPr>
          <w:rFonts w:ascii="宋体" w:hAnsi="宋体" w:cs="宋体"/>
        </w:rPr>
      </w:r>
      <w:r/>
    </w:p>
    <w:p>
      <w:pPr>
        <w:pStyle w:val="720"/>
        <w:spacing w:line="360" w:lineRule="auto"/>
        <w:rPr>
          <w:rFonts w:ascii="黑体" w:hAnsi="黑体" w:eastAsia="黑体" w:cs="黑体"/>
        </w:rPr>
      </w:pPr>
      <w:r>
        <w:rPr>
          <w:rFonts w:hint="eastAsia" w:ascii="黑体" w:hAnsi="黑体" w:eastAsia="黑体" w:cs="黑体"/>
        </w:rPr>
        <w:t xml:space="preserve">2. 价款结算</w:t>
      </w:r>
      <w:r>
        <w:rPr>
          <w:rFonts w:ascii="黑体" w:hAnsi="黑体" w:eastAsia="黑体" w:cs="黑体"/>
        </w:rPr>
      </w:r>
      <w:r/>
    </w:p>
    <w:p>
      <w:pPr>
        <w:pStyle w:val="720"/>
        <w:ind w:firstLine="396"/>
        <w:spacing w:line="360" w:lineRule="auto"/>
        <w:rPr>
          <w:rFonts w:ascii="黑体" w:hAnsi="黑体" w:eastAsia="黑体" w:cs="黑体"/>
        </w:rPr>
      </w:pPr>
      <w:r>
        <w:rPr>
          <w:rFonts w:hint="eastAsia" w:ascii="宋体" w:hAnsi="宋体" w:cs="宋体"/>
        </w:rPr>
        <w:t xml:space="preserve">本项目无增项增量签证不得加价；确需变更的，需履行政府采购变更审批流程，签订书面补充协议后方可结算。</w:t>
      </w:r>
      <w:r>
        <w:rPr>
          <w:rFonts w:ascii="黑体" w:hAnsi="黑体" w:eastAsia="黑体" w:cs="黑体"/>
        </w:rPr>
      </w:r>
      <w:r/>
    </w:p>
    <w:p>
      <w:pPr>
        <w:pStyle w:val="720"/>
        <w:spacing w:line="360" w:lineRule="auto"/>
        <w:rPr>
          <w:rFonts w:ascii="宋体" w:hAnsi="宋体" w:cs="宋体"/>
        </w:rPr>
      </w:pPr>
      <w:r>
        <w:rPr>
          <w:rFonts w:hint="eastAsia" w:ascii="黑体" w:hAnsi="黑体" w:eastAsia="黑体" w:cs="黑体"/>
        </w:rPr>
        <w:t xml:space="preserve">3. 付款方式</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本项目合同签订后支付合同价的30%；完成本项目集成实施服务并取得B级机房认证评测报告后支付合同价的30%；通过中国质量认证中心（CQC）的现场核验并取得B级《数据中心场地基础设施认证证书》后支付合同价的30%；余款在验收合格后一年对应日支付。</w:t>
      </w:r>
      <w:r>
        <w:rPr>
          <w:rFonts w:ascii="宋体" w:hAnsi="宋体" w:cs="宋体"/>
        </w:rPr>
      </w:r>
      <w:r/>
    </w:p>
    <w:p>
      <w:pPr>
        <w:pStyle w:val="720"/>
        <w:spacing w:line="360" w:lineRule="auto"/>
        <w:rPr>
          <w:rFonts w:ascii="黑体" w:hAnsi="黑体" w:eastAsia="黑体" w:cs="黑体"/>
        </w:rPr>
      </w:pPr>
      <w:r>
        <w:rPr>
          <w:rFonts w:hint="eastAsia" w:ascii="黑体" w:hAnsi="黑体" w:eastAsia="黑体" w:cs="黑体"/>
        </w:rPr>
        <w:t xml:space="preserve">4. 发票要求</w:t>
      </w:r>
      <w:r>
        <w:rPr>
          <w:rFonts w:ascii="黑体" w:hAnsi="黑体" w:eastAsia="黑体" w:cs="黑体"/>
        </w:rPr>
      </w:r>
      <w:r/>
    </w:p>
    <w:p>
      <w:pPr>
        <w:pStyle w:val="720"/>
        <w:ind w:firstLine="396"/>
        <w:spacing w:line="360" w:lineRule="auto"/>
        <w:rPr>
          <w:rFonts w:ascii="黑体" w:hAnsi="黑体" w:eastAsia="黑体" w:cs="黑体"/>
        </w:rPr>
      </w:pPr>
      <w:r>
        <w:rPr>
          <w:rFonts w:hint="eastAsia" w:ascii="宋体" w:hAnsi="宋体" w:cs="宋体"/>
        </w:rPr>
        <w:t xml:space="preserve">乙方每次收款前，须向甲方开具合法、合规、等额增值税专用/普通发票，发票信息与合同主体一致，否则甲方有权顺延付款，不承担逾期责任。</w:t>
      </w:r>
      <w:r>
        <w:rPr>
          <w:rFonts w:ascii="黑体" w:hAnsi="黑体" w:eastAsia="黑体" w:cs="黑体"/>
        </w:rPr>
      </w:r>
      <w:r/>
    </w:p>
    <w:p>
      <w:pPr>
        <w:pStyle w:val="973"/>
        <w:ind w:firstLine="51"/>
        <w:spacing w:before="0" w:after="0" w:line="360" w:lineRule="auto"/>
        <w:rPr>
          <w:rFonts w:ascii="黑体" w:hAnsi="黑体" w:eastAsia="黑体" w:cs="黑体"/>
          <w:sz w:val="22"/>
          <w:szCs w:val="22"/>
        </w:rPr>
      </w:pPr>
      <w:r/>
      <w:bookmarkStart w:id="201" w:name="_Toc16102"/>
      <w:r>
        <w:rPr>
          <w:rFonts w:hint="eastAsia" w:ascii="黑体" w:hAnsi="黑体" w:eastAsia="黑体" w:cs="黑体"/>
          <w:sz w:val="22"/>
          <w:szCs w:val="22"/>
        </w:rPr>
        <w:t xml:space="preserve">第四条 设备材料与质量要求</w:t>
      </w:r>
      <w:bookmarkEnd w:id="201"/>
      <w:r>
        <w:rPr>
          <w:rFonts w:ascii="黑体" w:hAnsi="黑体" w:eastAsia="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本项目所有设备、材料均为全新正品、原厂合规产品，符合国家质量标准、B级机房建设要求及项目技术参数要求，无翻新、无次品、无假冒伪劣产品。</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乙方需提供设备合格证、强制性产品认证证书、生产许可证、检测报告、原厂质保证明、溯源资料等全套资质文件，满足CQC认证审核资料要求，随竣工资料一并交付。</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布线工程必须完成福禄克DSX系列设备全项链路认证测试，覆盖所有点位，出具可溯源电子报告及纸质竣工报告，所有链路参数达标，不合格点位乙方免费复测、整改直至合格，确保满足B级机房及CQC核验标准。</w:t>
      </w:r>
      <w:r>
        <w:rPr>
          <w:rFonts w:ascii="宋体" w:hAnsi="宋体" w:cs="宋体"/>
        </w:rPr>
      </w:r>
      <w:r/>
    </w:p>
    <w:p>
      <w:pPr>
        <w:pStyle w:val="720"/>
        <w:ind w:firstLine="396"/>
        <w:spacing w:line="360" w:lineRule="auto"/>
        <w:rPr>
          <w:rFonts w:ascii="黑体" w:hAnsi="黑体" w:eastAsia="黑体" w:cs="黑体"/>
        </w:rPr>
      </w:pPr>
      <w:r>
        <w:rPr>
          <w:rFonts w:hint="eastAsia" w:ascii="宋体" w:hAnsi="宋体" w:cs="宋体"/>
        </w:rPr>
        <w:t xml:space="preserve">4. 所有施工工序符合机房建设规范及B级机房标准，隐蔽工程施工前需提前报备甲方验收，验收合格后方可隐蔽施工，全程留存影像及台账资料，满足认证溯源核查要求。</w:t>
      </w:r>
      <w:r>
        <w:rPr>
          <w:rFonts w:ascii="黑体" w:hAnsi="黑体" w:eastAsia="黑体" w:cs="黑体"/>
        </w:rPr>
      </w:r>
      <w:r/>
    </w:p>
    <w:p>
      <w:pPr>
        <w:pStyle w:val="973"/>
        <w:ind w:firstLine="51"/>
        <w:spacing w:before="0" w:after="0" w:line="360" w:lineRule="auto"/>
        <w:rPr>
          <w:rFonts w:ascii="黑体" w:cs="黑体"/>
          <w:sz w:val="22"/>
          <w:szCs w:val="22"/>
        </w:rPr>
      </w:pPr>
      <w:r/>
      <w:bookmarkStart w:id="202" w:name="_Toc22221"/>
      <w:r>
        <w:rPr>
          <w:rFonts w:hint="eastAsia" w:ascii="黑体" w:hAnsi="黑体" w:eastAsia="黑体" w:cs="黑体"/>
          <w:sz w:val="22"/>
          <w:szCs w:val="22"/>
        </w:rPr>
        <w:t xml:space="preserve">第五条 成果交付与竣工验收</w:t>
      </w:r>
      <w:bookmarkEnd w:id="202"/>
      <w:r>
        <w:rPr>
          <w:rFonts w:ascii="黑体" w:cs="黑体"/>
          <w:sz w:val="22"/>
          <w:szCs w:val="22"/>
        </w:rPr>
      </w:r>
      <w:r/>
    </w:p>
    <w:p>
      <w:pPr>
        <w:pStyle w:val="720"/>
        <w:spacing w:line="360" w:lineRule="auto"/>
        <w:rPr>
          <w:rFonts w:ascii="黑体" w:hAnsi="黑体" w:eastAsia="黑体" w:cs="黑体"/>
        </w:rPr>
      </w:pPr>
      <w:r>
        <w:rPr>
          <w:rFonts w:hint="eastAsia" w:ascii="黑体" w:hAnsi="黑体" w:eastAsia="黑体" w:cs="黑体"/>
        </w:rPr>
        <w:t xml:space="preserve">1. 交付成果清单：</w:t>
      </w:r>
      <w:r>
        <w:rPr>
          <w:rFonts w:ascii="黑体" w:hAnsi="黑体" w:eastAsia="黑体" w:cs="黑体"/>
        </w:rPr>
      </w:r>
      <w:r/>
    </w:p>
    <w:p>
      <w:pPr>
        <w:pStyle w:val="720"/>
        <w:ind w:firstLine="396"/>
        <w:spacing w:line="360" w:lineRule="auto"/>
        <w:rPr>
          <w:rFonts w:ascii="宋体" w:hAnsi="宋体" w:cs="宋体"/>
        </w:rPr>
      </w:pPr>
      <w:r>
        <w:rPr>
          <w:rFonts w:hint="eastAsia" w:ascii="宋体" w:hAnsi="宋体" w:cs="宋体"/>
        </w:rPr>
        <w:t xml:space="preserve">•全部机房集成工程完工，系统运行正常、各项B级指标达标；</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•全套竣工图纸、点位台账、设备清单、合格证、说明书、资质文件；</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•福禄克链路测试全套报告（PDF版+源文件+纸质版）、系统调试记录、整改记录；</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•操作培训文档、运维手册、质保服务承诺文件；</w:t>
      </w:r>
      <w:r>
        <w:rPr>
          <w:rFonts w:ascii="宋体" w:hAnsi="宋体" w:cs="宋体"/>
        </w:rPr>
      </w:r>
      <w:r/>
    </w:p>
    <w:p>
      <w:pPr>
        <w:pStyle w:val="720"/>
        <w:ind w:firstLine="396"/>
        <w:spacing w:line="360" w:lineRule="auto"/>
        <w:rPr>
          <w:rFonts w:ascii="黑体" w:hAnsi="黑体" w:eastAsia="黑体" w:cs="黑体"/>
        </w:rPr>
      </w:pPr>
      <w:r>
        <w:rPr>
          <w:rFonts w:hint="eastAsia" w:ascii="宋体" w:hAnsi="宋体" w:cs="宋体"/>
        </w:rPr>
        <w:t xml:space="preserve">•CQC B级数据中心认证证书（正式原件）及全套认证审核资料。</w:t>
      </w:r>
      <w:r>
        <w:rPr>
          <w:rFonts w:ascii="黑体" w:hAnsi="黑体" w:eastAsia="黑体" w:cs="黑体"/>
        </w:rPr>
      </w:r>
      <w:r/>
    </w:p>
    <w:p>
      <w:pPr>
        <w:pStyle w:val="720"/>
        <w:spacing w:line="360" w:lineRule="auto"/>
        <w:rPr>
          <w:rFonts w:ascii="黑体" w:hAnsi="黑体" w:eastAsia="黑体" w:cs="黑体"/>
        </w:rPr>
      </w:pPr>
      <w:r>
        <w:rPr>
          <w:rFonts w:hint="eastAsia" w:ascii="黑体" w:hAnsi="黑体" w:eastAsia="黑体" w:cs="黑体"/>
        </w:rPr>
        <w:t xml:space="preserve">2. 验收核心前置条件：</w:t>
      </w:r>
      <w:r>
        <w:rPr>
          <w:rFonts w:ascii="黑体" w:hAnsi="黑体" w:eastAsia="黑体" w:cs="黑体"/>
        </w:rPr>
      </w:r>
      <w:r/>
    </w:p>
    <w:p>
      <w:pPr>
        <w:pStyle w:val="720"/>
        <w:ind w:firstLine="396"/>
        <w:spacing w:line="360" w:lineRule="auto"/>
        <w:rPr>
          <w:rFonts w:ascii="宋体" w:hAnsi="宋体" w:cs="宋体"/>
        </w:rPr>
      </w:pPr>
      <w:r>
        <w:rPr>
          <w:rFonts w:hint="eastAsia" w:ascii="宋体" w:hAnsi="宋体" w:cs="宋体"/>
        </w:rPr>
        <w:t xml:space="preserve">顺利通过B级机房认证评测、通过中国质量认证中心（CQC）现场核验、取得有效B级机房认证证书，是本项目竣工验收合格、办理竣工结算的必要前提条件。未完成CQC核验及取证的，甲方有权不予竣工验收、不予支付竣工款项。</w:t>
      </w:r>
      <w:r>
        <w:rPr>
          <w:rFonts w:ascii="宋体" w:hAnsi="宋体" w:cs="宋体"/>
        </w:rPr>
      </w:r>
      <w:r/>
    </w:p>
    <w:p>
      <w:pPr>
        <w:pStyle w:val="720"/>
        <w:numPr>
          <w:ilvl w:val="0"/>
          <w:numId w:val="5"/>
        </w:numPr>
        <w:spacing w:line="360" w:lineRule="auto"/>
        <w:rPr>
          <w:rFonts w:ascii="黑体" w:hAnsi="黑体" w:eastAsia="黑体" w:cs="黑体"/>
        </w:rPr>
      </w:pPr>
      <w:r>
        <w:rPr>
          <w:rFonts w:hint="eastAsia" w:ascii="黑体" w:hAnsi="黑体" w:eastAsia="黑体" w:cs="黑体"/>
        </w:rPr>
        <w:t xml:space="preserve">验收流程：</w:t>
      </w:r>
      <w:r>
        <w:rPr>
          <w:rFonts w:ascii="黑体" w:hAnsi="黑体" w:eastAsia="黑体" w:cs="黑体"/>
        </w:rPr>
      </w:r>
      <w:r/>
    </w:p>
    <w:p>
      <w:pPr>
        <w:pStyle w:val="720"/>
        <w:ind w:firstLine="396"/>
        <w:spacing w:line="360" w:lineRule="auto"/>
        <w:rPr>
          <w:rFonts w:ascii="黑体" w:hAnsi="黑体" w:eastAsia="黑体" w:cs="黑体"/>
        </w:rPr>
      </w:pPr>
      <w:r>
        <w:rPr>
          <w:rFonts w:hint="eastAsia" w:ascii="宋体" w:hAnsi="宋体" w:cs="宋体"/>
        </w:rPr>
        <w:t xml:space="preserve">乙方完工并完成CQC取证后，提交竣工验收申请及全套资料，甲方在</w:t>
      </w:r>
      <w:r>
        <w:rPr>
          <w:rFonts w:hint="eastAsia" w:ascii="宋体" w:hAnsi="宋体" w:cs="宋体"/>
          <w:u w:val="single"/>
        </w:rPr>
        <w:t xml:space="preserve"> 7 </w:t>
      </w:r>
      <w:r>
        <w:rPr>
          <w:rFonts w:hint="eastAsia" w:ascii="宋体" w:hAnsi="宋体" w:cs="宋体"/>
        </w:rPr>
        <w:t xml:space="preserve">个工作日内组织监理、相关部门开展联合验收。</w:t>
      </w:r>
      <w:r>
        <w:rPr>
          <w:rFonts w:ascii="黑体" w:hAnsi="黑体" w:eastAsia="黑体" w:cs="黑体"/>
        </w:rPr>
      </w:r>
      <w:r/>
    </w:p>
    <w:p>
      <w:pPr>
        <w:pStyle w:val="720"/>
        <w:numPr>
          <w:ilvl w:val="0"/>
          <w:numId w:val="5"/>
        </w:numPr>
        <w:spacing w:line="360" w:lineRule="auto"/>
        <w:rPr>
          <w:rFonts w:ascii="黑体" w:hAnsi="黑体" w:eastAsia="黑体" w:cs="黑体"/>
        </w:rPr>
      </w:pPr>
      <w:r>
        <w:rPr>
          <w:rFonts w:hint="eastAsia" w:ascii="黑体" w:hAnsi="黑体" w:eastAsia="黑体" w:cs="黑体"/>
        </w:rPr>
        <w:t xml:space="preserve">验收标准：</w:t>
      </w:r>
      <w:r>
        <w:rPr>
          <w:rFonts w:ascii="黑体" w:hAnsi="黑体" w:eastAsia="黑体" w:cs="黑体"/>
        </w:rPr>
      </w:r>
      <w:r/>
    </w:p>
    <w:p>
      <w:pPr>
        <w:pStyle w:val="720"/>
        <w:ind w:firstLine="396"/>
        <w:spacing w:line="360" w:lineRule="auto"/>
        <w:rPr>
          <w:rFonts w:ascii="宋体" w:hAnsi="宋体" w:cs="宋体"/>
        </w:rPr>
      </w:pPr>
      <w:r>
        <w:rPr>
          <w:rFonts w:hint="eastAsia" w:ascii="宋体" w:hAnsi="宋体" w:cs="宋体"/>
        </w:rPr>
        <w:t xml:space="preserve">1.以GB50174-2017 B级机房标准、CQC认证审核标准、招投标文件、合同约定、技术方案、测试达标数据为依据，整体系统稳定、资料齐全、功能完整、认证核验合格即为验收合格。</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2.若出现CQC现场核验不通过、B级评测不达标、无法取证等情况，乙方须在甲方规定时限内免费整改、优化、复测、重新申报认证，直至核验通过并取得证书，全部费用及工期延误损失由乙方承担。</w:t>
      </w:r>
      <w:r>
        <w:rPr>
          <w:rFonts w:ascii="宋体" w:hAnsi="宋体" w:cs="宋体"/>
        </w:rPr>
      </w:r>
      <w:r/>
    </w:p>
    <w:p>
      <w:pPr>
        <w:pStyle w:val="973"/>
        <w:ind w:firstLine="51"/>
        <w:spacing w:before="0" w:after="0" w:line="360" w:lineRule="auto"/>
        <w:rPr>
          <w:rFonts w:ascii="宋体" w:hAnsi="宋体" w:eastAsia="宋体" w:cs="宋体"/>
          <w:sz w:val="22"/>
          <w:szCs w:val="22"/>
        </w:rPr>
      </w:pPr>
      <w:r/>
      <w:bookmarkStart w:id="203" w:name="_Toc24485"/>
      <w:r>
        <w:rPr>
          <w:rFonts w:hint="eastAsia" w:ascii="黑体" w:hAnsi="黑体" w:eastAsia="黑体" w:cs="黑体"/>
          <w:sz w:val="22"/>
          <w:szCs w:val="22"/>
        </w:rPr>
        <w:t xml:space="preserve">第六条 双方权利与义务</w:t>
      </w:r>
      <w:bookmarkEnd w:id="203"/>
      <w:r>
        <w:rPr>
          <w:rFonts w:ascii="宋体" w:hAnsi="宋体" w:eastAsia="宋体" w:cs="宋体"/>
          <w:sz w:val="22"/>
          <w:szCs w:val="22"/>
        </w:rPr>
      </w:r>
      <w:r/>
    </w:p>
    <w:p>
      <w:pPr>
        <w:pStyle w:val="720"/>
        <w:ind w:firstLine="396"/>
        <w:spacing w:line="360" w:lineRule="auto"/>
        <w:rPr>
          <w:rFonts w:ascii="宋体" w:hAnsi="宋体" w:cs="宋体"/>
        </w:rPr>
      </w:pPr>
      <w:r>
        <w:rPr>
          <w:rFonts w:hint="eastAsia" w:ascii="宋体" w:hAnsi="宋体" w:cs="宋体"/>
        </w:rPr>
        <w:t xml:space="preserve">一、甲方权利义务</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1. 负责提供施工现场基础条件，协调场地、水电及现场各方配合工作，提供原有机房图纸及相关基础资料。</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全程监督项目施工、调试、检测、认证全过程，对不符合B级标准、CQC审核要求的施工、设备、服务有权要求乙方整改、返工。</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按照合同约定及时支付项目款项，配合乙方完成认证核验、验收、资料归档及质保对接工作。</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及时确认施工变更、工期顺延等书面文件，保障项目及认证工作有序推进。</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二、乙方权利义务</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1. 严格按合同、B级机房规范、CQC认证标准、施工方案实施，保证工程质量、工期、认证结果，对项目整体质量、数据真实性、认证合规性全权负责。</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委派专业项目负责人、持证技术人员进场施工，使用合规校准仪器开展检测，保证施工及测试专业合规，满足认证审核要求。</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严禁转包、违法分包，未经甲方书面同意，不得转委托第三方实施本项目，否则甲方有权解除合同并追责。</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承担施工期间人身、设备、场地安全全部责任，做好成品保护、防火防水防尘防护，施工垃圾及时清理，完工后恢复现场整洁。</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5. 全权负责本项目B级机房评测、CQC现场核验及取证全过程工作，负责资料编制、报审、整改、迎检、专家对接等全部事宜，确保按期一次性通过认证。</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6. 对甲方机房数据、设备信息、图纸资料严格保密，不得外泄、不得用于本项目以外用途，保密义务长期有效。</w:t>
      </w:r>
      <w:r>
        <w:rPr>
          <w:rFonts w:ascii="宋体" w:hAnsi="宋体" w:cs="宋体"/>
        </w:rPr>
      </w:r>
      <w:r/>
    </w:p>
    <w:p>
      <w:pPr>
        <w:pStyle w:val="720"/>
        <w:ind w:firstLine="396"/>
        <w:spacing w:line="360" w:lineRule="auto"/>
        <w:rPr>
          <w:rFonts w:ascii="黑体" w:hAnsi="黑体" w:eastAsia="黑体" w:cs="黑体"/>
        </w:rPr>
      </w:pPr>
      <w:r>
        <w:rPr>
          <w:rFonts w:hint="eastAsia" w:ascii="宋体" w:hAnsi="宋体" w:cs="宋体"/>
        </w:rPr>
        <w:t xml:space="preserve">7. 免费为甲方提供操作培训、技术交底，全程配合甲方竣工审计、资料检查、上级督查及认证复核工作。</w:t>
      </w:r>
      <w:r>
        <w:rPr>
          <w:rFonts w:ascii="黑体" w:hAnsi="黑体" w:eastAsia="黑体" w:cs="黑体"/>
        </w:rPr>
      </w:r>
      <w:r/>
    </w:p>
    <w:p>
      <w:pPr>
        <w:pStyle w:val="973"/>
        <w:ind w:firstLine="51"/>
        <w:spacing w:before="0" w:after="0" w:line="360" w:lineRule="auto"/>
        <w:rPr>
          <w:rFonts w:ascii="黑体" w:cs="黑体"/>
          <w:sz w:val="22"/>
          <w:szCs w:val="22"/>
        </w:rPr>
      </w:pPr>
      <w:r/>
      <w:bookmarkStart w:id="204" w:name="_Toc16294"/>
      <w:r>
        <w:rPr>
          <w:rFonts w:hint="eastAsia" w:ascii="黑体" w:hAnsi="黑体" w:eastAsia="黑体" w:cs="黑体"/>
          <w:sz w:val="22"/>
          <w:szCs w:val="22"/>
        </w:rPr>
        <w:t xml:space="preserve">第七条 质保期与售后服务</w:t>
      </w:r>
      <w:bookmarkEnd w:id="204"/>
      <w:r>
        <w:rPr>
          <w:rFonts w:ascii="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乙方应为本项目整体提供</w:t>
      </w:r>
      <w:r>
        <w:rPr>
          <w:rFonts w:hint="eastAsia" w:ascii="宋体" w:hAnsi="宋体" w:cs="宋体"/>
          <w:u w:val="single"/>
        </w:rPr>
        <w:t xml:space="preserve"> 3 </w:t>
      </w:r>
      <w:r>
        <w:rPr>
          <w:rFonts w:hint="eastAsia" w:ascii="宋体" w:hAnsi="宋体" w:cs="宋体"/>
        </w:rPr>
        <w:t xml:space="preserve">年免费售后服务，其中微模块（UPS+精密空调+精密配电柜+微模块监控采集器）必须为制造厂商原厂三年售后服务。免费质保期自项目整体交付验收通过之日起计算。免费质保期满后，需提供在设备设计使用周期内的有偿包修（出保后应提供不同维保方式的收费标准及折扣率），并且保证在设备的设计使用周期内，甲方能更换或购买到原厂正品的零部件及易损件，确保设备的正常使用。乙方应在项目交付前提供微模块（UPS+精密空调+精密配电柜+微模块监控采集器）制造厂商针对本项目出具的原厂质保函。（投标时须提供《售后服务承诺书》）</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2.乙方在质保期内应提供本项目所供设备日常运行所需耗材，包括空调、新风、恒湿机过滤网，空调制冷剂。需要按采购人要求对耗材进行更换或者补充，不另外收费。</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3.质保内容：中标人所提供设备及配套部件，非人为因素导致故障提供免费更换。</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响应时间：提供7*24小时电话报修服务。接到报修后，紧急故障，4小时内抵达现场，承诺24小时内更换配件完成修复。一般故障，6小时内抵达现场，若硬件故障长时间无法修复的，将提供备品备件，故障处理时间最长不得超过48小时。</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5.中标人应提供完整的资料，如产品质量合格证、保修单、技术指标资料、说明书等，系统调试完毕提供调试报告，在试运行期间提供试运行报告，在培训期间提供培训手册，保证整个系统的数据和资料确保准确无误，并保证设备按时正确地安装、调试和验收，满足正常运行和维修保养的需要。</w:t>
      </w:r>
      <w:r>
        <w:rPr>
          <w:rFonts w:ascii="宋体" w:hAnsi="宋体" w:cs="宋体"/>
        </w:rPr>
      </w:r>
      <w:r/>
    </w:p>
    <w:p>
      <w:pPr>
        <w:pStyle w:val="973"/>
        <w:ind w:firstLine="51"/>
        <w:spacing w:before="0" w:after="0" w:line="360" w:lineRule="auto"/>
        <w:rPr>
          <w:rFonts w:ascii="黑体" w:cs="黑体"/>
          <w:sz w:val="22"/>
          <w:szCs w:val="22"/>
        </w:rPr>
      </w:pPr>
      <w:r/>
      <w:bookmarkStart w:id="205" w:name="_Toc11128"/>
      <w:r>
        <w:rPr>
          <w:rFonts w:hint="eastAsia" w:ascii="黑体" w:hAnsi="黑体" w:eastAsia="黑体" w:cs="黑体"/>
          <w:sz w:val="22"/>
          <w:szCs w:val="22"/>
        </w:rPr>
        <w:t xml:space="preserve">第八条 知识产权与保密约定</w:t>
      </w:r>
      <w:bookmarkEnd w:id="205"/>
      <w:r>
        <w:rPr>
          <w:rFonts w:ascii="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本项目所有施工成果、竣工资料、测试报告、认证资料、定制方案等知识产权归甲方所有，乙方仅可用于本项目实施及认证报审，不得复制、传播、商用、转借第三方。</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本项目机房动力环境监控系统数据接口向甲方免费开放。</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乙方须保证所有涉及到软件及资源的，都必须提供正版或授权证书，不得使用盗版或无合规证书的软件与资源。</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双方对合作过程中获取的对方涉密信息、项目资料、机房数据、内部信息严格保密，不得向任何第三方泄露，合同终止后保密义务持续有效。</w:t>
      </w:r>
      <w:r>
        <w:rPr>
          <w:rFonts w:ascii="宋体" w:hAnsi="宋体" w:cs="宋体"/>
        </w:rPr>
      </w:r>
      <w:r/>
    </w:p>
    <w:p>
      <w:pPr>
        <w:pStyle w:val="720"/>
        <w:ind w:firstLine="396"/>
        <w:spacing w:line="360" w:lineRule="auto"/>
        <w:rPr>
          <w:rFonts w:ascii="黑体" w:hAnsi="黑体" w:eastAsia="黑体" w:cs="黑体"/>
        </w:rPr>
      </w:pPr>
      <w:r>
        <w:rPr>
          <w:rFonts w:hint="eastAsia" w:ascii="宋体" w:hAnsi="宋体" w:cs="宋体"/>
        </w:rPr>
        <w:t xml:space="preserve">5. 乙方违反保密约定造成甲方损失的，需承担全部赔偿责任及法律责任。</w:t>
      </w:r>
      <w:r>
        <w:rPr>
          <w:rFonts w:ascii="黑体" w:hAnsi="黑体" w:eastAsia="黑体" w:cs="黑体"/>
        </w:rPr>
      </w:r>
      <w:r/>
    </w:p>
    <w:p>
      <w:pPr>
        <w:pStyle w:val="973"/>
        <w:ind w:firstLine="51"/>
        <w:spacing w:before="0" w:after="0" w:line="360" w:lineRule="auto"/>
        <w:rPr>
          <w:rFonts w:ascii="黑体" w:cs="黑体"/>
          <w:sz w:val="22"/>
          <w:szCs w:val="22"/>
        </w:rPr>
      </w:pPr>
      <w:r/>
      <w:bookmarkStart w:id="206" w:name="_Toc4651"/>
      <w:r>
        <w:rPr>
          <w:rFonts w:hint="eastAsia" w:ascii="黑体" w:hAnsi="黑体" w:eastAsia="黑体" w:cs="黑体"/>
          <w:sz w:val="22"/>
          <w:szCs w:val="22"/>
        </w:rPr>
        <w:t xml:space="preserve">第九条 违约责任</w:t>
      </w:r>
      <w:bookmarkEnd w:id="206"/>
      <w:r>
        <w:rPr>
          <w:rFonts w:ascii="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乙方工期延误：</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1）如果乙方非不可抗力因素造成未按照投标文件及合同约定的时间完成项目交付，每逾期1日，按合同总价0.3%支付违约金，违约金累计不超过合同总价10%；逾期超30日，则甲方有权利取消合同，乙方已经完成的工作无偿赠送予甲方，乙方退还甲方所有已经支付的款项。</w:t>
      </w:r>
      <w:r>
        <w:rPr>
          <w:rFonts w:ascii="宋体" w:hAnsi="宋体" w:cs="宋体"/>
        </w:rPr>
      </w:r>
      <w:r/>
    </w:p>
    <w:p>
      <w:pPr>
        <w:pStyle w:val="720"/>
        <w:ind w:firstLine="396"/>
        <w:spacing w:line="360" w:lineRule="auto"/>
        <w:rPr>
          <w:rFonts w:ascii="宋体" w:hAnsi="宋体" w:cs="宋体"/>
          <w:color w:val="000000"/>
        </w:rPr>
      </w:pPr>
      <w:r>
        <w:rPr>
          <w:rFonts w:hint="eastAsia" w:ascii="宋体" w:hAnsi="宋体" w:cs="宋体"/>
          <w:color w:val="000000"/>
        </w:rPr>
        <w:t xml:space="preserve">（2）如果乙方因不可抗力因素或甲方原因造成未按照投标文件及合同约定的时间完成项目交付，必须出具书面说明阐述原因，甲方可酌情予以相应的宽限期。超过宽限期，每逾期1日，按合同总价0.3%支付违约金，违约金累计不超过合同总价10%；逾期超30日，则甲方有权利取消合同，乙方已经完成的工作无偿赠送予甲方，乙方退还甲方所有已经支付的款项。</w:t>
      </w:r>
      <w:r>
        <w:rPr>
          <w:rFonts w:ascii="宋体" w:hAnsi="宋体" w:cs="宋体"/>
          <w:color w:val="000000"/>
        </w:rPr>
      </w:r>
      <w:r/>
    </w:p>
    <w:p>
      <w:pPr>
        <w:pStyle w:val="720"/>
        <w:numPr>
          <w:ilvl w:val="0"/>
          <w:numId w:val="6"/>
        </w:numPr>
        <w:ind w:firstLine="396"/>
        <w:spacing w:line="360" w:lineRule="auto"/>
        <w:rPr>
          <w:rFonts w:ascii="宋体" w:hAnsi="宋体" w:cs="宋体"/>
        </w:rPr>
      </w:pPr>
      <w:r>
        <w:rPr>
          <w:rFonts w:hint="eastAsia" w:ascii="宋体" w:hAnsi="宋体" w:cs="宋体"/>
        </w:rPr>
        <w:t xml:space="preserve">乙方应在产品到货前 24 小时通知甲方/监理人开展到货检验，并提交合同约定全套产品资料。乙方未能提供或提交资料不完整、不符合合同要求的，甲方/监理人有权拒绝该批货物进场，乙方应向采购人支付该批次货款10%的违约金。乙方应按甲方/监理人要求限期补齐合格资料并申请复验，期间产生的仓储、保管、转运等一切费用由乙方自行承担，工期不予顺延。</w:t>
      </w:r>
      <w:r>
        <w:rPr>
          <w:rFonts w:ascii="宋体" w:hAnsi="宋体" w:cs="宋体"/>
        </w:rPr>
      </w:r>
      <w:r/>
    </w:p>
    <w:p>
      <w:pPr>
        <w:pStyle w:val="720"/>
        <w:numPr>
          <w:ilvl w:val="0"/>
          <w:numId w:val="6"/>
        </w:numPr>
        <w:ind w:firstLine="396"/>
        <w:spacing w:line="360" w:lineRule="auto"/>
        <w:rPr>
          <w:rFonts w:ascii="宋体" w:hAnsi="宋体" w:cs="宋体"/>
        </w:rPr>
      </w:pPr>
      <w:r>
        <w:rPr>
          <w:rFonts w:hint="eastAsia" w:ascii="宋体" w:hAnsi="宋体" w:cs="宋体"/>
        </w:rPr>
        <w:t xml:space="preserve">工程质量、设备参数、测试结果不符合B级机房及CQC认证标准的，乙方须无偿返工、整改、复测、重新申报认证，承担工期延误及验收损失；情节严重的，甲方有权解除合同、扣除违约金并上报政府采购监管部门。</w:t>
      </w:r>
      <w:r>
        <w:rPr>
          <w:rFonts w:ascii="宋体" w:hAnsi="宋体" w:cs="宋体"/>
        </w:rPr>
      </w:r>
      <w:r/>
    </w:p>
    <w:p>
      <w:pPr>
        <w:pStyle w:val="720"/>
        <w:numPr>
          <w:ilvl w:val="0"/>
          <w:numId w:val="6"/>
        </w:numPr>
        <w:ind w:firstLine="396"/>
        <w:spacing w:line="360" w:lineRule="auto"/>
        <w:rPr>
          <w:rFonts w:ascii="宋体" w:hAnsi="宋体" w:cs="宋体"/>
        </w:rPr>
      </w:pPr>
      <w:r>
        <w:rPr>
          <w:rFonts w:hint="eastAsia" w:ascii="宋体" w:hAnsi="宋体" w:cs="宋体"/>
        </w:rPr>
        <w:t xml:space="preserve">因乙方设备选型、材料选用、施工质量、系统调试等原因导致B级机房评测不通过、CQC现场核验失败、无法按期取证的，视为乙方严重违约。乙方须无条件免费整改直至取证通过，并承担由此产生的所有费用及工期违约责任；逾期超过</w:t>
      </w:r>
      <w:r>
        <w:rPr>
          <w:rFonts w:hint="eastAsia" w:ascii="宋体" w:hAnsi="宋体" w:cs="宋体"/>
          <w:u w:val="single"/>
        </w:rPr>
        <w:t xml:space="preserve"> 60 日</w:t>
      </w:r>
      <w:r>
        <w:rPr>
          <w:rFonts w:hint="eastAsia" w:ascii="宋体" w:hAnsi="宋体" w:cs="宋体"/>
        </w:rPr>
        <w:t xml:space="preserve">仍无法取得证书的，甲方有权解除合同，乙方需退还甲方已支付全部款项，并按合同总价10%支付违约金，已经完成的工作无偿赠送予甲方和承担甲方全部经济损失。</w:t>
      </w:r>
      <w:r>
        <w:rPr>
          <w:rFonts w:ascii="宋体" w:hAnsi="宋体" w:cs="宋体"/>
        </w:rPr>
      </w:r>
      <w:r/>
    </w:p>
    <w:p>
      <w:pPr>
        <w:pStyle w:val="720"/>
        <w:numPr>
          <w:ilvl w:val="0"/>
          <w:numId w:val="6"/>
        </w:numPr>
        <w:ind w:firstLine="396"/>
        <w:spacing w:line="360" w:lineRule="auto"/>
        <w:rPr>
          <w:rFonts w:ascii="宋体" w:hAnsi="宋体" w:cs="宋体"/>
        </w:rPr>
      </w:pPr>
      <w:r>
        <w:rPr>
          <w:rFonts w:hint="eastAsia" w:ascii="宋体" w:hAnsi="宋体" w:cs="宋体"/>
        </w:rPr>
        <w:t xml:space="preserve">乙方转包、分包、弄虚作假、报告造假、提供伪劣设备的，甲方有权立即解除合同，乙方支付合同总价10%违约金，并承担全部损失，纳入政府采购不良信用记录。</w:t>
      </w:r>
      <w:r>
        <w:rPr>
          <w:rFonts w:ascii="宋体" w:hAnsi="宋体" w:cs="宋体"/>
        </w:rPr>
      </w:r>
      <w:r/>
    </w:p>
    <w:p>
      <w:pPr>
        <w:pStyle w:val="720"/>
        <w:numPr>
          <w:ilvl w:val="0"/>
          <w:numId w:val="6"/>
        </w:numPr>
        <w:ind w:firstLine="396"/>
        <w:spacing w:line="360" w:lineRule="auto"/>
        <w:rPr>
          <w:rFonts w:ascii="宋体" w:hAnsi="宋体" w:cs="宋体"/>
        </w:rPr>
      </w:pPr>
      <w:r>
        <w:rPr>
          <w:rFonts w:hint="eastAsia" w:ascii="宋体" w:hAnsi="宋体" w:cs="宋体"/>
        </w:rPr>
        <w:t xml:space="preserve">乙方在项目交付前，未能提供微模块（UPS+精密空调+精密配电柜+微模块监控采集器）制造厂商原厂三年售后服务承诺函的，甲方将对乙方处以合同总价</w:t>
      </w:r>
      <w:r>
        <w:rPr>
          <w:rFonts w:hint="eastAsia" w:ascii="宋体" w:hAnsi="宋体" w:cs="宋体"/>
          <w:u w:val="single"/>
        </w:rPr>
        <w:t xml:space="preserve"> 5 </w:t>
      </w:r>
      <w:r>
        <w:rPr>
          <w:rFonts w:hint="eastAsia" w:ascii="宋体" w:hAnsi="宋体" w:cs="宋体"/>
        </w:rPr>
        <w:t xml:space="preserve">%违约金。</w:t>
      </w:r>
      <w:r>
        <w:rPr>
          <w:rFonts w:ascii="宋体" w:hAnsi="宋体" w:cs="宋体"/>
        </w:rPr>
      </w:r>
      <w:r/>
    </w:p>
    <w:p>
      <w:pPr>
        <w:pStyle w:val="720"/>
        <w:numPr>
          <w:ilvl w:val="0"/>
          <w:numId w:val="6"/>
        </w:numPr>
        <w:ind w:firstLine="396"/>
        <w:spacing w:line="360" w:lineRule="auto"/>
        <w:rPr>
          <w:rFonts w:ascii="黑体" w:hAnsi="黑体" w:eastAsia="黑体" w:cs="黑体"/>
        </w:rPr>
      </w:pPr>
      <w:r>
        <w:rPr>
          <w:rFonts w:hint="eastAsia" w:ascii="宋体" w:hAnsi="宋体" w:cs="宋体"/>
        </w:rPr>
        <w:t xml:space="preserve">甲方未按合同约定付款，每逾期1日，按应付未付款项</w:t>
      </w:r>
      <w:r>
        <w:rPr>
          <w:rFonts w:hint="eastAsia" w:ascii="宋体" w:hAnsi="宋体" w:cs="宋体"/>
          <w:u w:val="single"/>
        </w:rPr>
        <w:t xml:space="preserve">0.05%</w:t>
      </w:r>
      <w:r>
        <w:rPr>
          <w:rFonts w:hint="eastAsia" w:ascii="宋体" w:hAnsi="宋体" w:cs="宋体"/>
        </w:rPr>
        <w:t xml:space="preserve">计算逾期利息。违约金上限不超过应付金额10%。</w:t>
      </w:r>
      <w:r>
        <w:rPr>
          <w:rFonts w:ascii="黑体" w:hAnsi="黑体" w:eastAsia="黑体" w:cs="黑体"/>
        </w:rPr>
      </w:r>
      <w:r/>
    </w:p>
    <w:p>
      <w:pPr>
        <w:pStyle w:val="973"/>
        <w:ind w:firstLine="51"/>
        <w:spacing w:before="0" w:after="0" w:line="360" w:lineRule="auto"/>
        <w:rPr>
          <w:rFonts w:ascii="黑体" w:cs="黑体"/>
          <w:sz w:val="22"/>
          <w:szCs w:val="22"/>
        </w:rPr>
      </w:pPr>
      <w:r/>
      <w:bookmarkStart w:id="207" w:name="_Toc13960"/>
      <w:r>
        <w:rPr>
          <w:rFonts w:hint="eastAsia" w:ascii="黑体" w:hAnsi="黑体" w:eastAsia="黑体" w:cs="黑体"/>
          <w:sz w:val="22"/>
          <w:szCs w:val="22"/>
        </w:rPr>
        <w:t xml:space="preserve">第十条 合同变更、中止与终止</w:t>
      </w:r>
      <w:bookmarkEnd w:id="207"/>
      <w:r>
        <w:rPr>
          <w:rFonts w:ascii="黑体" w:cs="黑体"/>
          <w:sz w:val="22"/>
          <w:szCs w:val="22"/>
        </w:rPr>
      </w:r>
      <w:r/>
    </w:p>
    <w:p>
      <w:pPr>
        <w:pStyle w:val="720"/>
        <w:ind w:firstLine="396"/>
        <w:spacing w:line="360" w:lineRule="auto"/>
        <w:rPr>
          <w:rFonts w:ascii="宋体" w:hAnsi="宋体" w:cs="宋体"/>
        </w:rPr>
      </w:pPr>
      <w:r>
        <w:rPr>
          <w:rFonts w:hint="eastAsia" w:ascii="宋体" w:hAnsi="宋体" w:cs="宋体"/>
        </w:rPr>
        <w:t xml:space="preserve">1. 本合同生效后，甲乙双方不得擅自变更、中止、终止合同。确需变更的，必须严格按照政府采购管理规定履行审批、公示、备案流程，签订书面补充协议。</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补充协议与本合同具有同等法律效力，内容与本合同冲突的，以补充协议为准。</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因不可抗力导致合同无法继续履行的，双方互不追责，及时协商终止合同、结算已完成工作量。</w:t>
      </w:r>
      <w:r>
        <w:rPr>
          <w:rFonts w:ascii="宋体" w:hAnsi="宋体" w:cs="宋体"/>
        </w:rPr>
      </w:r>
      <w:r/>
    </w:p>
    <w:p>
      <w:pPr>
        <w:pStyle w:val="973"/>
        <w:ind w:firstLine="51"/>
        <w:spacing w:before="0" w:after="0" w:line="360" w:lineRule="auto"/>
        <w:rPr>
          <w:rFonts w:ascii="黑体" w:cs="黑体"/>
          <w:sz w:val="22"/>
          <w:szCs w:val="22"/>
        </w:rPr>
      </w:pPr>
      <w:r/>
      <w:bookmarkStart w:id="208" w:name="_Toc31554"/>
      <w:r>
        <w:rPr>
          <w:rFonts w:hint="eastAsia" w:ascii="黑体" w:hAnsi="黑体" w:eastAsia="黑体" w:cs="黑体"/>
          <w:sz w:val="22"/>
          <w:szCs w:val="22"/>
        </w:rPr>
        <w:t xml:space="preserve">第十一条 争议解决</w:t>
      </w:r>
      <w:bookmarkEnd w:id="208"/>
      <w:r>
        <w:rPr>
          <w:rFonts w:ascii="黑体" w:cs="黑体"/>
          <w:sz w:val="22"/>
          <w:szCs w:val="22"/>
        </w:rPr>
      </w:r>
      <w:r/>
    </w:p>
    <w:p>
      <w:pPr>
        <w:pStyle w:val="720"/>
        <w:ind w:firstLine="396"/>
        <w:spacing w:line="360" w:lineRule="auto"/>
        <w:rPr>
          <w:rFonts w:ascii="宋体" w:hAnsi="宋体" w:cs="宋体"/>
        </w:rPr>
      </w:pPr>
      <w:r>
        <w:rPr>
          <w:rFonts w:hint="eastAsia" w:ascii="宋体" w:hAnsi="宋体" w:cs="宋体"/>
        </w:rPr>
        <w:t xml:space="preserve">本合同履行过程中发生争议，双方优先友好协商解决；协商不成的，提交甲方所在地人民法院诉讼解决。</w:t>
      </w:r>
      <w:r>
        <w:rPr>
          <w:rFonts w:ascii="宋体" w:hAnsi="宋体" w:cs="宋体"/>
        </w:rPr>
      </w:r>
      <w:r/>
    </w:p>
    <w:p>
      <w:pPr>
        <w:pStyle w:val="973"/>
        <w:ind w:firstLine="51"/>
        <w:spacing w:before="0" w:after="0" w:line="360" w:lineRule="auto"/>
        <w:rPr>
          <w:rFonts w:ascii="黑体" w:cs="黑体"/>
          <w:sz w:val="22"/>
          <w:szCs w:val="22"/>
        </w:rPr>
      </w:pPr>
      <w:r/>
      <w:bookmarkStart w:id="209" w:name="_Toc9747"/>
      <w:r>
        <w:rPr>
          <w:rFonts w:hint="eastAsia" w:ascii="黑体" w:hAnsi="黑体" w:eastAsia="黑体" w:cs="黑体"/>
          <w:sz w:val="22"/>
          <w:szCs w:val="22"/>
        </w:rPr>
        <w:t xml:space="preserve">第十二条 其他约定</w:t>
      </w:r>
      <w:bookmarkEnd w:id="209"/>
      <w:r>
        <w:rPr>
          <w:rFonts w:ascii="黑体" w:cs="黑体"/>
          <w:sz w:val="22"/>
          <w:szCs w:val="22"/>
        </w:rPr>
      </w:r>
      <w:r/>
    </w:p>
    <w:p>
      <w:pPr>
        <w:pStyle w:val="720"/>
        <w:ind w:firstLine="396"/>
        <w:jc w:val="left"/>
        <w:spacing w:line="360" w:lineRule="auto"/>
        <w:rPr>
          <w:rFonts w:ascii="宋体" w:hAnsi="宋体" w:cs="宋体"/>
        </w:rPr>
      </w:pPr>
      <w:r>
        <w:rPr>
          <w:rFonts w:hint="eastAsia" w:ascii="宋体" w:hAnsi="宋体" w:cs="宋体"/>
        </w:rPr>
        <w:t xml:space="preserve">1. 本合同未尽事宜，双方可签订书面补充协议，补充协议与本合同具有同等法律效力。</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 本合同一式 __ 份，甲方执 __ 份，乙方执 __ 份，政府采购监管备案 __ 份，具有同等法律效力，自双方签字盖章之日起生效。</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 本合同按政府采购要求完成网上公告、备案流程。</w:t>
      </w:r>
      <w:r>
        <w:rPr>
          <w:rFonts w:ascii="宋体" w:hAnsi="宋体" w:cs="宋体"/>
        </w:rPr>
      </w:r>
      <w:r/>
    </w:p>
    <w:p>
      <w:pPr>
        <w:pStyle w:val="973"/>
        <w:ind w:firstLine="51"/>
        <w:spacing w:before="0" w:after="0" w:line="360" w:lineRule="auto"/>
        <w:rPr>
          <w:rFonts w:ascii="黑体" w:hAnsi="黑体" w:eastAsia="黑体" w:cs="黑体"/>
          <w:sz w:val="22"/>
          <w:szCs w:val="22"/>
        </w:rPr>
      </w:pPr>
      <w:r/>
      <w:bookmarkStart w:id="210" w:name="_Toc20311"/>
      <w:r>
        <w:rPr>
          <w:rFonts w:hint="eastAsia" w:ascii="黑体" w:hAnsi="黑体" w:eastAsia="黑体" w:cs="黑体"/>
          <w:sz w:val="22"/>
          <w:szCs w:val="22"/>
        </w:rPr>
        <w:t xml:space="preserve">第十三条 附件（与合同正文同等效力）</w:t>
      </w:r>
      <w:bookmarkEnd w:id="210"/>
      <w:r>
        <w:rPr>
          <w:rFonts w:ascii="黑体" w:hAnsi="黑体" w:eastAsia="黑体" w:cs="黑体"/>
          <w:sz w:val="22"/>
          <w:szCs w:val="22"/>
        </w:rPr>
      </w:r>
      <w:r/>
    </w:p>
    <w:p>
      <w:pPr>
        <w:pStyle w:val="720"/>
        <w:ind w:firstLine="396"/>
        <w:spacing w:line="360" w:lineRule="auto"/>
        <w:rPr>
          <w:rFonts w:ascii="宋体" w:hAnsi="宋体" w:cs="宋体"/>
        </w:rPr>
      </w:pPr>
      <w:r>
        <w:rPr>
          <w:rFonts w:hint="eastAsia" w:ascii="宋体" w:hAnsi="宋体" w:cs="宋体"/>
        </w:rPr>
        <w:t xml:space="preserve">附件1：项目分项报价清单</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附件2：机房集成实施方案、施工进度及CQC认证推进计划</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附件3：B级机房验收标准及福禄克链路测试验收细则</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附件4：乙方投标响应文件及服务承诺</w:t>
      </w:r>
      <w:r>
        <w:rPr>
          <w:rFonts w:ascii="宋体" w:hAnsi="宋体" w:cs="宋体"/>
        </w:rPr>
      </w:r>
      <w:r/>
    </w:p>
    <w:p>
      <w:pPr>
        <w:pStyle w:val="720"/>
        <w:ind w:firstLine="396"/>
        <w:spacing w:line="360" w:lineRule="auto"/>
        <w:rPr>
          <w:rFonts w:ascii="黑体" w:hAnsi="黑体" w:eastAsia="黑体" w:cs="黑体"/>
        </w:rPr>
      </w:pPr>
      <w:r>
        <w:rPr>
          <w:rFonts w:hint="eastAsia" w:ascii="宋体" w:hAnsi="宋体" w:cs="宋体"/>
        </w:rPr>
        <w:t xml:space="preserve">附件5：质保运维服务方案</w:t>
      </w:r>
      <w:r>
        <w:rPr>
          <w:rFonts w:ascii="黑体" w:hAnsi="黑体" w:eastAsia="黑体" w:cs="黑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甲方（盖章）：________________</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法定代表人 / 授权代表（签字）：________</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日期：____年__月__日</w:t>
      </w: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乙方（盖章）：________________</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法定代表人 / 授权代表（签字）：________</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日期：____年__月__日</w:t>
      </w: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720"/>
        <w:ind w:firstLine="396"/>
        <w:spacing w:line="360" w:lineRule="auto"/>
        <w:rPr>
          <w:rFonts w:ascii="宋体" w:hAnsi="宋体" w:cs="宋体"/>
        </w:rPr>
      </w:pPr>
      <w:r>
        <w:rPr>
          <w:rFonts w:ascii="宋体" w:hAnsi="宋体" w:cs="宋体"/>
        </w:rPr>
      </w:r>
      <w:r/>
    </w:p>
    <w:p>
      <w:pPr>
        <w:pStyle w:val="969"/>
        <w:jc w:val="center"/>
        <w:spacing w:before="0" w:after="0" w:line="360" w:lineRule="auto"/>
        <w:rPr>
          <w:rFonts w:ascii="微软雅黑" w:hAnsi="微软雅黑" w:eastAsia="微软雅黑" w:cs="微软雅黑"/>
          <w:b w:val="0"/>
          <w:bCs w:val="0"/>
          <w:sz w:val="36"/>
          <w:szCs w:val="36"/>
        </w:rPr>
      </w:pPr>
      <w:r/>
      <w:bookmarkStart w:id="211" w:name="_Toc4165"/>
      <w:r/>
      <w:bookmarkStart w:id="212" w:name="_Toc25476"/>
      <w:r/>
      <w:bookmarkStart w:id="213" w:name="_Toc22611"/>
      <w:r>
        <w:rPr>
          <w:rFonts w:hint="eastAsia" w:ascii="微软雅黑" w:hAnsi="微软雅黑" w:eastAsia="微软雅黑" w:cs="微软雅黑"/>
          <w:b w:val="0"/>
          <w:bCs w:val="0"/>
          <w:sz w:val="36"/>
          <w:szCs w:val="36"/>
        </w:rPr>
        <w:t xml:space="preserve">第六章 项目采购需求</w:t>
      </w:r>
      <w:bookmarkEnd w:id="211"/>
      <w:r/>
      <w:bookmarkEnd w:id="212"/>
      <w:r/>
      <w:bookmarkEnd w:id="213"/>
      <w:r>
        <w:rPr>
          <w:rFonts w:ascii="微软雅黑" w:hAnsi="微软雅黑" w:eastAsia="微软雅黑" w:cs="微软雅黑"/>
          <w:b w:val="0"/>
          <w:bCs w:val="0"/>
          <w:sz w:val="36"/>
          <w:szCs w:val="36"/>
        </w:rPr>
      </w:r>
      <w:r/>
    </w:p>
    <w:p>
      <w:pPr>
        <w:pStyle w:val="973"/>
        <w:ind w:firstLine="51"/>
        <w:spacing w:before="0" w:after="0" w:line="360" w:lineRule="auto"/>
        <w:rPr>
          <w:rFonts w:ascii="黑体" w:cs="黑体"/>
          <w:color w:val="000000"/>
          <w:szCs w:val="24"/>
        </w:rPr>
      </w:pPr>
      <w:r/>
      <w:bookmarkStart w:id="214" w:name="_Toc26932"/>
      <w:r>
        <w:rPr>
          <w:rFonts w:hint="eastAsia" w:ascii="黑体" w:hAnsi="黑体" w:eastAsia="黑体" w:cs="黑体"/>
          <w:szCs w:val="24"/>
        </w:rPr>
        <w:t xml:space="preserve">一、项目内容</w:t>
      </w:r>
      <w:bookmarkEnd w:id="214"/>
      <w:r>
        <w:rPr>
          <w:rFonts w:ascii="黑体" w:cs="黑体"/>
          <w:color w:val="000000"/>
          <w:szCs w:val="24"/>
        </w:rPr>
      </w:r>
      <w:r/>
    </w:p>
    <w:p>
      <w:pPr>
        <w:pStyle w:val="723"/>
        <w:ind w:firstLine="398"/>
        <w:spacing w:before="0" w:after="0" w:line="360" w:lineRule="auto"/>
        <w:rPr>
          <w:rFonts w:ascii="宋体" w:hAnsi="宋体" w:eastAsia="宋体" w:cs="宋体"/>
          <w:b/>
          <w:bCs/>
          <w:color w:val="000000"/>
          <w:sz w:val="22"/>
          <w:szCs w:val="22"/>
        </w:rPr>
      </w:pPr>
      <w:r/>
      <w:bookmarkStart w:id="215" w:name="_Toc290866593"/>
      <w:r/>
      <w:bookmarkStart w:id="216" w:name="_Toc290867394"/>
      <w:r/>
      <w:bookmarkStart w:id="217" w:name="_Toc290866769"/>
      <w:r/>
      <w:bookmarkStart w:id="218" w:name="_Toc290867479"/>
      <w:r/>
      <w:bookmarkStart w:id="219" w:name="_Toc290867300"/>
      <w:r/>
      <w:bookmarkStart w:id="220" w:name="_Toc290867667"/>
      <w:r/>
      <w:bookmarkStart w:id="221" w:name="_Toc290866684"/>
      <w:r/>
      <w:bookmarkStart w:id="222" w:name="_Toc421804812"/>
      <w:r/>
      <w:bookmarkStart w:id="223" w:name="_Toc290867200"/>
      <w:r/>
      <w:bookmarkStart w:id="224" w:name="_Toc17538"/>
      <w:r/>
      <w:bookmarkStart w:id="225" w:name="_Toc290866856"/>
      <w:r/>
      <w:bookmarkStart w:id="226" w:name="_Toc449106887"/>
      <w:r/>
      <w:bookmarkStart w:id="227" w:name="_Toc290867030"/>
      <w:r/>
      <w:bookmarkStart w:id="228" w:name="_Toc290867573"/>
      <w:r>
        <w:rPr>
          <w:rFonts w:hint="eastAsia" w:ascii="宋体" w:hAnsi="宋体" w:eastAsia="宋体" w:cs="宋体"/>
          <w:b/>
          <w:bCs/>
          <w:color w:val="000000"/>
          <w:sz w:val="22"/>
          <w:szCs w:val="22"/>
        </w:rPr>
        <w:t xml:space="preserve">1、项目概况</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项目名称：靖江市人民医院数据中心机房升级改造基础环境集成实施服务项目</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项目地址：江苏省靖江市中洲东路28号靖江市人民医院3号楼二楼</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采购需求：靖江市人民医院根据业务需要对现有数据中心机房进行升级改造实施数据中心机房升级改造基础环境集成实施服务项目，项目包含机房装修、供配电、防雷接地、微模块UPS/空调、冷通道、新风排烟、气体消防、综合布线、动环监控、安防门禁全套集成、安装、调试、检测、验收、培训及质保运维服务。改造后的数据中心机房符合《数据中心设计规范》（GB50174-2017）B级机房标准、《全国医院信息化建设标准与规范》三级甲等医院机房标准并顺利通过国家权威测评机构的B级机房认证评测和中国质量认证中心（CQC）的现场核验。</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本项目涉及建筑面积约为236平方米，分5个功能区域。新建主机房、动力配电室，电池间、监控运维室、备品备件库。</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229" w:name="_Toc290867201"/>
      <w:r/>
      <w:bookmarkStart w:id="230" w:name="_Toc290867395"/>
      <w:r/>
      <w:bookmarkStart w:id="231" w:name="_Toc290866857"/>
      <w:r/>
      <w:bookmarkStart w:id="232" w:name="_Toc449106888"/>
      <w:r/>
      <w:bookmarkStart w:id="233" w:name="_Toc290866594"/>
      <w:r/>
      <w:bookmarkStart w:id="234" w:name="_Toc290867480"/>
      <w:r/>
      <w:bookmarkStart w:id="235" w:name="_Toc421804813"/>
      <w:r/>
      <w:bookmarkStart w:id="236" w:name="_Toc5243"/>
      <w:r/>
      <w:bookmarkStart w:id="237" w:name="_Toc290867031"/>
      <w:r/>
      <w:bookmarkStart w:id="238" w:name="_Toc290867668"/>
      <w:r/>
      <w:bookmarkStart w:id="239" w:name="_Toc290866770"/>
      <w:r/>
      <w:bookmarkStart w:id="240" w:name="_Toc290867301"/>
      <w:r/>
      <w:bookmarkStart w:id="241" w:name="_Toc290866685"/>
      <w:r/>
      <w:bookmarkStart w:id="242" w:name="_Toc290867574"/>
      <w:r>
        <w:rPr>
          <w:rFonts w:hint="eastAsia" w:ascii="宋体" w:hAnsi="宋体" w:eastAsia="宋体" w:cs="宋体"/>
          <w:b/>
          <w:bCs/>
          <w:color w:val="000000"/>
          <w:sz w:val="22"/>
          <w:szCs w:val="22"/>
        </w:rPr>
        <w:t xml:space="preserve">2、集成实施服务内容</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ascii="宋体" w:hAnsi="宋体" w:eastAsia="宋体" w:cs="宋体"/>
          <w:b/>
          <w:bCs/>
          <w:color w:val="000000"/>
          <w:sz w:val="22"/>
          <w:szCs w:val="22"/>
        </w:rPr>
      </w:r>
      <w:r/>
    </w:p>
    <w:tbl>
      <w:tblPr>
        <w:tblW w:w="878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773"/>
        <w:gridCol w:w="1060"/>
        <w:gridCol w:w="5116"/>
      </w:tblGrid>
      <w:tr>
        <w:trPr>
          <w:trHeight w:val="391"/>
          <w:tblHeader/>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序号</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名称</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面积㎡</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配置说明</w:t>
            </w:r>
            <w:r>
              <w:rPr>
                <w:rFonts w:ascii="宋体" w:hAnsi="宋体" w:cs="宋体"/>
              </w:rPr>
            </w:r>
            <w:r/>
          </w:p>
        </w:tc>
      </w:tr>
      <w:tr>
        <w:trPr>
          <w:trHeight w:val="761"/>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新建主机房</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113</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1组冷通道，26台冷通道IT机柜，机柜规格：≥600*1200*2000(mm)；冷通道的通道宽1.2米，4台≥45KW制冷量列间精密空调，配套施工装修</w:t>
            </w:r>
            <w:r>
              <w:rPr>
                <w:rFonts w:ascii="宋体" w:hAnsi="宋体" w:cs="宋体"/>
              </w:rPr>
            </w:r>
            <w:r/>
          </w:p>
        </w:tc>
      </w:tr>
      <w:tr>
        <w:trPr>
          <w:trHeight w:val="652"/>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动力配电室</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17.3</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1台≥12.5KW上送风精密空调，2台至少能扩容至200KVA模块化UPS，配电柜3台（ATS、市电、UPS输出），配套施工装修</w:t>
            </w:r>
            <w:r>
              <w:rPr>
                <w:rFonts w:ascii="宋体" w:hAnsi="宋体" w:cs="宋体"/>
              </w:rPr>
            </w:r>
            <w:r/>
          </w:p>
        </w:tc>
      </w:tr>
      <w:tr>
        <w:trPr>
          <w:trHeight w:val="375"/>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电池间</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37</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1台≥12.5KW上送风精密空调，负载120KW 单台UPS 后备至少60分钟，配套施工装修</w:t>
            </w:r>
            <w:r>
              <w:rPr>
                <w:rFonts w:ascii="宋体" w:hAnsi="宋体" w:cs="宋体"/>
              </w:rPr>
            </w:r>
            <w:r/>
          </w:p>
        </w:tc>
      </w:tr>
      <w:tr>
        <w:trPr>
          <w:trHeight w:val="459"/>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监控运维室</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52</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利旧原装修</w:t>
            </w:r>
            <w:r>
              <w:rPr>
                <w:rFonts w:ascii="宋体" w:hAnsi="宋体" w:cs="宋体"/>
              </w:rPr>
            </w:r>
            <w:r/>
          </w:p>
        </w:tc>
      </w:tr>
      <w:tr>
        <w:trPr>
          <w:trHeight w:val="537"/>
        </w:trPr>
        <w:tc>
          <w:tcPr>
            <w:tcW w:w="838"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1773"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备品备件库</w:t>
            </w:r>
            <w:r>
              <w:rPr>
                <w:rFonts w:ascii="宋体" w:hAnsi="宋体" w:cs="宋体"/>
              </w:rPr>
            </w:r>
            <w:r/>
          </w:p>
        </w:tc>
        <w:tc>
          <w:tcPr>
            <w:tcW w:w="1060"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17</w:t>
            </w:r>
            <w:r>
              <w:rPr>
                <w:rFonts w:ascii="宋体" w:hAnsi="宋体" w:cs="宋体"/>
              </w:rPr>
            </w:r>
            <w:r/>
          </w:p>
        </w:tc>
        <w:tc>
          <w:tcPr>
            <w:tcW w:w="5116" w:type="dxa"/>
            <w:vAlign w:val="center"/>
            <w:textDirection w:val="lrTb"/>
            <w:noWrap w:val="false"/>
          </w:tcPr>
          <w:p>
            <w:pPr>
              <w:pStyle w:val="720"/>
              <w:jc w:val="center"/>
              <w:spacing w:line="400" w:lineRule="exact"/>
              <w:rPr>
                <w:rFonts w:ascii="宋体" w:hAnsi="宋体" w:cs="宋体"/>
              </w:rPr>
            </w:pPr>
            <w:r>
              <w:rPr>
                <w:rFonts w:hint="eastAsia" w:ascii="宋体" w:hAnsi="宋体" w:cs="宋体"/>
              </w:rPr>
              <w:t xml:space="preserve">配套装修</w:t>
            </w:r>
            <w:r>
              <w:rPr>
                <w:rFonts w:ascii="宋体" w:hAnsi="宋体" w:cs="宋体"/>
              </w:rPr>
            </w:r>
            <w:r/>
          </w:p>
        </w:tc>
      </w:tr>
    </w:tbl>
    <w:p>
      <w:pPr>
        <w:pStyle w:val="723"/>
        <w:ind w:firstLine="398"/>
        <w:spacing w:before="0" w:after="0" w:line="480" w:lineRule="exact"/>
        <w:rPr>
          <w:rFonts w:ascii="宋体" w:hAnsi="宋体" w:eastAsia="宋体" w:cs="宋体"/>
          <w:b/>
          <w:bCs/>
          <w:color w:val="000000"/>
          <w:sz w:val="22"/>
          <w:szCs w:val="22"/>
        </w:rPr>
      </w:pPr>
      <w:r/>
      <w:bookmarkStart w:id="243" w:name="_Toc7128"/>
      <w:r/>
      <w:bookmarkStart w:id="244" w:name="_Toc290867671"/>
      <w:r/>
      <w:bookmarkStart w:id="245" w:name="_Toc290867482"/>
      <w:r/>
      <w:bookmarkStart w:id="246" w:name="_Toc290867576"/>
      <w:r/>
      <w:bookmarkStart w:id="247" w:name="_Toc290867398"/>
      <w:r/>
      <w:bookmarkStart w:id="248" w:name="_Toc290867203"/>
      <w:r/>
      <w:bookmarkStart w:id="249" w:name="_Toc290866773"/>
      <w:r/>
      <w:bookmarkStart w:id="250" w:name="_Toc290867397"/>
      <w:r/>
      <w:bookmarkStart w:id="251" w:name="_Toc290866860"/>
      <w:r/>
      <w:bookmarkStart w:id="252" w:name="_Toc290867033"/>
      <w:r/>
      <w:bookmarkStart w:id="253" w:name="_Toc421804815"/>
      <w:r/>
      <w:bookmarkStart w:id="254" w:name="_Toc290867034"/>
      <w:r/>
      <w:bookmarkStart w:id="255" w:name="_Toc290867483"/>
      <w:r/>
      <w:bookmarkStart w:id="256" w:name="_Toc290867204"/>
      <w:r/>
      <w:bookmarkStart w:id="257" w:name="_Toc449106889"/>
      <w:r/>
      <w:bookmarkStart w:id="258" w:name="_Toc290866772"/>
      <w:r/>
      <w:bookmarkStart w:id="259" w:name="_Toc290866597"/>
      <w:r/>
      <w:bookmarkStart w:id="260" w:name="_Toc290867670"/>
      <w:r/>
      <w:bookmarkStart w:id="261" w:name="_Toc290867303"/>
      <w:r/>
      <w:bookmarkStart w:id="262" w:name="_Toc290867304"/>
      <w:r/>
      <w:bookmarkStart w:id="263" w:name="_Toc290866688"/>
      <w:r/>
      <w:bookmarkStart w:id="264" w:name="_Toc421804816"/>
      <w:r/>
      <w:bookmarkStart w:id="265" w:name="_Toc290866687"/>
      <w:r/>
      <w:bookmarkStart w:id="266" w:name="_Toc290867577"/>
      <w:r/>
      <w:bookmarkStart w:id="267" w:name="_Toc290866596"/>
      <w:r/>
      <w:bookmarkStart w:id="268" w:name="_Toc290866859"/>
      <w:r>
        <w:rPr>
          <w:rFonts w:hint="eastAsia" w:ascii="宋体" w:hAnsi="宋体" w:eastAsia="宋体" w:cs="宋体"/>
          <w:b/>
          <w:bCs/>
          <w:color w:val="000000"/>
          <w:sz w:val="22"/>
          <w:szCs w:val="22"/>
        </w:rPr>
        <w:t xml:space="preserve">3、机房平面图（其他图纸详见附件）</w:t>
      </w:r>
      <w:bookmarkEnd w:id="243"/>
      <w:r>
        <w:rPr>
          <w:rFonts w:ascii="宋体" w:hAnsi="宋体" w:eastAsia="宋体" w:cs="宋体"/>
          <w:b/>
          <w:bCs/>
          <w:color w:val="000000"/>
          <w:sz w:val="22"/>
          <w:szCs w:val="22"/>
        </w:rPr>
      </w:r>
      <w:r/>
    </w:p>
    <w:p>
      <w:pPr>
        <w:pStyle w:val="720"/>
        <w:ind w:firstLine="396"/>
        <w:jc w:val="center"/>
        <w:spacing w:line="480" w:lineRule="exact"/>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787265" cy="59175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787265" cy="5917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6.9pt;height:465.9pt;mso-wrap-distance-left:0.0pt;mso-wrap-distance-top:0.0pt;mso-wrap-distance-right:0.0pt;mso-wrap-distance-bottom:0.0pt;" stroked="f">
                <v:path textboxrect="0,0,0,0"/>
                <v:imagedata r:id="rId11" o:title=""/>
              </v:shape>
            </w:pict>
          </mc:Fallback>
        </mc:AlternateContent>
      </w:r>
      <w:r>
        <w:rPr>
          <w:rFonts w:ascii="宋体" w:hAnsi="宋体" w:cs="宋体"/>
        </w:rPr>
      </w:r>
      <w:r/>
    </w:p>
    <w:p>
      <w:pPr>
        <w:pStyle w:val="720"/>
        <w:ind w:firstLine="396"/>
        <w:jc w:val="center"/>
        <w:spacing w:line="480" w:lineRule="exact"/>
        <w:rPr>
          <w:rFonts w:ascii="宋体" w:hAnsi="宋体" w:cs="宋体"/>
        </w:rPr>
      </w:pPr>
      <w:r>
        <w:rPr>
          <w:rFonts w:ascii="宋体" w:hAnsi="宋体" w:cs="宋体"/>
        </w:rPr>
      </w:r>
      <w:r/>
    </w:p>
    <w:p>
      <w:pPr>
        <w:pStyle w:val="720"/>
        <w:ind w:firstLine="396"/>
        <w:jc w:val="center"/>
        <w:spacing w:line="480" w:lineRule="exact"/>
        <w:rPr>
          <w:rFonts w:ascii="宋体" w:hAnsi="宋体" w:cs="宋体"/>
        </w:rPr>
      </w:pPr>
      <w:r>
        <w:rPr>
          <w:rFonts w:ascii="宋体" w:hAnsi="宋体" w:cs="宋体"/>
        </w:rPr>
      </w:r>
      <w:r/>
    </w:p>
    <w:p>
      <w:pPr>
        <w:pStyle w:val="720"/>
        <w:ind w:firstLine="440"/>
        <w:jc w:val="center"/>
        <w:spacing w:line="480" w:lineRule="exact"/>
      </w:pPr>
      <w: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584389</wp:posOffset>
                </wp:positionH>
                <wp:positionV relativeFrom="paragraph">
                  <wp:posOffset>207799</wp:posOffset>
                </wp:positionV>
                <wp:extent cx="4787265" cy="4805680"/>
                <wp:effectExtent l="0" t="0" r="0" b="0"/>
                <wp:wrapTight wrapText="bothSides">
                  <wp:wrapPolygon edited="1">
                    <wp:start x="0" y="0"/>
                    <wp:lineTo x="0" y="21546"/>
                    <wp:lineTo x="21546" y="21546"/>
                    <wp:lineTo x="21546" y="0"/>
                    <wp:lineTo x="0" y="0"/>
                  </wp:wrapPolygon>
                </wp:wrapTight>
                <wp:docPr id="3" name=""/>
                <wp:cNvGraphicFramePr/>
                <a:graphic xmlns:a="http://schemas.openxmlformats.org/drawingml/2006/main">
                  <a:graphicData uri="http://schemas.openxmlformats.org/drawingml/2006/picture">
                    <pic:pic xmlns:pic="http://schemas.openxmlformats.org/drawingml/2006/picture">
                      <pic:nvPicPr>
                        <pic:cNvPr id="484147644" name=""/>
                        <pic:cNvPicPr/>
                        <pic:nvPr/>
                      </pic:nvPicPr>
                      <pic:blipFill>
                        <a:blip r:embed="rId12"/>
                        <a:srcRect l="0" t="9394" r="0" b="9394"/>
                        <a:stretch/>
                      </pic:blipFill>
                      <pic:spPr bwMode="auto">
                        <a:xfrm>
                          <a:off x="0" y="0"/>
                          <a:ext cx="4787264" cy="48056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text;margin-left:46.0pt;mso-position-horizontal:absolute;mso-position-vertical-relative:text;margin-top:16.4pt;mso-position-vertical:absolute;width:376.9pt;height:378.4pt;mso-wrap-distance-left:0.0pt;mso-wrap-distance-top:0.0pt;mso-wrap-distance-right:0.0pt;mso-wrap-distance-bottom:0.0pt;" wrapcoords="0 0 0 99750 99750 99750 99750 0 0 0" stroked="f">
                <v:path textboxrect="0,0,0,0"/>
                <w10:wrap type="tight"/>
                <v:imagedata r:id="rId12" o:title=""/>
              </v:shape>
            </w:pict>
          </mc:Fallback>
        </mc:AlternateContent>
      </w:r>
      <w:r/>
    </w:p>
    <w:p>
      <w:pPr>
        <w:pStyle w:val="720"/>
        <w:ind w:firstLine="440"/>
        <w:jc w:val="center"/>
        <w:spacing w:line="480" w:lineRule="exact"/>
        <w:rPr>
          <w:rFonts w:ascii="宋体" w:hAnsi="宋体" w:cs="宋体"/>
        </w:rPr>
      </w:pPr>
      <w:r>
        <mc:AlternateContent>
          <mc:Choice Requires="wpg">
            <w:drawing>
              <wp:inline xmlns:wp="http://schemas.openxmlformats.org/drawingml/2006/wordprocessingDrawing" distT="0" distB="0" distL="0" distR="0">
                <wp:extent cx="4787265" cy="59175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787265" cy="5917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6.9pt;height:465.9pt;mso-wrap-distance-left:0.0pt;mso-wrap-distance-top:0.0pt;mso-wrap-distance-right:0.0pt;mso-wrap-distance-bottom:0.0pt;" stroked="f">
                <v:path textboxrect="0,0,0,0"/>
                <v:imagedata r:id="rId13" o:title=""/>
              </v:shape>
            </w:pict>
          </mc:Fallback>
        </mc:AlternateContent>
      </w:r>
      <w:r>
        <w:rPr>
          <w:rFonts w:ascii="宋体" w:hAnsi="宋体" w:cs="宋体"/>
        </w:rPr>
      </w:r>
      <w:r/>
    </w:p>
    <w:p>
      <w:pPr>
        <w:pStyle w:val="723"/>
        <w:ind w:firstLine="398"/>
        <w:spacing w:before="0" w:after="0" w:line="360" w:lineRule="auto"/>
        <w:rPr>
          <w:rFonts w:ascii="宋体" w:hAnsi="宋体" w:eastAsia="宋体" w:cs="宋体"/>
          <w:b/>
          <w:bCs/>
          <w:color w:val="000000"/>
          <w:sz w:val="22"/>
          <w:szCs w:val="22"/>
        </w:rPr>
      </w:pPr>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Start w:id="269" w:name="_Toc2328"/>
      <w:r/>
      <w:bookmarkStart w:id="270" w:name="_Toc449106898"/>
      <w:r/>
      <w:bookmarkStart w:id="271" w:name="_Toc483580682"/>
      <w:r>
        <w:rPr>
          <w:rFonts w:hint="eastAsia" w:ascii="宋体" w:hAnsi="宋体" w:eastAsia="宋体" w:cs="宋体"/>
          <w:b/>
          <w:bCs/>
          <w:color w:val="000000"/>
          <w:sz w:val="22"/>
          <w:szCs w:val="22"/>
        </w:rPr>
        <w:t xml:space="preserve">4、集成实施服务范围</w:t>
      </w:r>
      <w:bookmarkEnd w:id="269"/>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1）机房装修系统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2）机房供配电系统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3）机房防雷接地系统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4）机房微模块系统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5）新风排烟系统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6）机房气体消防系统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7）综合布线系统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8）机房动力环境监控系统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9）机房安防门禁系统</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272" w:name="_Toc15301"/>
      <w:r>
        <w:rPr>
          <w:rFonts w:hint="eastAsia" w:ascii="黑体" w:hAnsi="黑体" w:eastAsia="黑体" w:cs="黑体"/>
          <w:szCs w:val="24"/>
        </w:rPr>
        <w:t xml:space="preserve">二、</w:t>
      </w:r>
      <w:bookmarkEnd w:id="270"/>
      <w:r/>
      <w:bookmarkEnd w:id="271"/>
      <w:r/>
      <w:bookmarkStart w:id="273" w:name="_Toc290867228"/>
      <w:r/>
      <w:bookmarkStart w:id="274" w:name="_Toc290867601"/>
      <w:r/>
      <w:bookmarkStart w:id="275" w:name="_Toc421804832"/>
      <w:r/>
      <w:bookmarkStart w:id="276" w:name="_Toc290866618"/>
      <w:r/>
      <w:bookmarkStart w:id="277" w:name="_Toc290867328"/>
      <w:r/>
      <w:bookmarkStart w:id="278" w:name="_Toc290866794"/>
      <w:r/>
      <w:bookmarkStart w:id="279" w:name="_Toc290867695"/>
      <w:r/>
      <w:bookmarkStart w:id="280" w:name="_Toc290867419"/>
      <w:r/>
      <w:bookmarkStart w:id="281" w:name="_Toc290866881"/>
      <w:r/>
      <w:bookmarkStart w:id="282" w:name="_Toc449106904"/>
      <w:r/>
      <w:bookmarkStart w:id="283" w:name="_Toc290867055"/>
      <w:r/>
      <w:bookmarkStart w:id="284" w:name="_Toc290867507"/>
      <w:r/>
      <w:bookmarkStart w:id="285" w:name="_Toc226139710"/>
      <w:r/>
      <w:bookmarkStart w:id="286" w:name="_Toc290866709"/>
      <w:r>
        <w:rPr>
          <w:rFonts w:hint="eastAsia" w:ascii="黑体" w:hAnsi="黑体" w:eastAsia="黑体" w:cs="黑体"/>
          <w:szCs w:val="24"/>
        </w:rPr>
        <w:t xml:space="preserve">集成实施服务要求</w:t>
      </w:r>
      <w:bookmarkEnd w:id="272"/>
      <w:r>
        <w:rPr>
          <w:rFonts w:ascii="黑体" w:hAnsi="黑体" w:eastAsia="黑体" w:cs="黑体"/>
          <w:szCs w:val="24"/>
        </w:rPr>
      </w:r>
      <w:r/>
    </w:p>
    <w:p>
      <w:pPr>
        <w:pStyle w:val="723"/>
        <w:ind w:firstLine="398"/>
        <w:jc w:val="left"/>
        <w:spacing w:before="0" w:after="0" w:line="360" w:lineRule="auto"/>
        <w:rPr>
          <w:rFonts w:ascii="宋体" w:hAnsi="宋体" w:eastAsia="宋体" w:cs="宋体"/>
          <w:b/>
          <w:bCs/>
          <w:color w:val="000000"/>
          <w:sz w:val="22"/>
          <w:szCs w:val="22"/>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Start w:id="287" w:name="_Toc421804820"/>
      <w:r/>
      <w:bookmarkStart w:id="288" w:name="_Toc290866777"/>
      <w:r/>
      <w:bookmarkStart w:id="289" w:name="_Toc290866864"/>
      <w:r/>
      <w:bookmarkStart w:id="290" w:name="_Toc290867487"/>
      <w:r/>
      <w:bookmarkStart w:id="291" w:name="_Toc290867581"/>
      <w:r/>
      <w:bookmarkStart w:id="292" w:name="_Toc290867038"/>
      <w:r/>
      <w:bookmarkStart w:id="293" w:name="_Toc449106893"/>
      <w:r/>
      <w:bookmarkStart w:id="294" w:name="_Toc26407"/>
      <w:r/>
      <w:bookmarkStart w:id="295" w:name="_Toc290867208"/>
      <w:r/>
      <w:bookmarkStart w:id="296" w:name="_Toc290867308"/>
      <w:r/>
      <w:bookmarkStart w:id="297" w:name="_Toc290867675"/>
      <w:r/>
      <w:bookmarkStart w:id="298" w:name="_Toc290866601"/>
      <w:r/>
      <w:bookmarkStart w:id="299" w:name="_Toc290866692"/>
      <w:r/>
      <w:bookmarkStart w:id="300" w:name="_Toc290867402"/>
      <w:r/>
      <w:bookmarkStart w:id="301" w:name="_Toc290867607"/>
      <w:r/>
      <w:bookmarkStart w:id="302" w:name="_Toc290867513"/>
      <w:r/>
      <w:bookmarkStart w:id="303" w:name="_Toc226037247"/>
      <w:r/>
      <w:bookmarkStart w:id="304" w:name="_Toc290866800"/>
      <w:r/>
      <w:bookmarkStart w:id="305" w:name="_Toc290866887"/>
      <w:r/>
      <w:bookmarkStart w:id="306" w:name="_Toc290867701"/>
      <w:r/>
      <w:bookmarkStart w:id="307" w:name="_Toc449106908"/>
      <w:r/>
      <w:bookmarkStart w:id="308" w:name="_Toc290866624"/>
      <w:r/>
      <w:bookmarkStart w:id="309" w:name="_Toc290867234"/>
      <w:r/>
      <w:bookmarkStart w:id="310" w:name="_Toc226139715"/>
      <w:r/>
      <w:bookmarkStart w:id="311" w:name="_Toc421804837"/>
      <w:r/>
      <w:bookmarkStart w:id="312" w:name="_Toc290867305"/>
      <w:r/>
      <w:bookmarkStart w:id="313" w:name="_Toc290867399"/>
      <w:r/>
      <w:bookmarkStart w:id="314" w:name="_Toc449106891"/>
      <w:r/>
      <w:bookmarkStart w:id="315" w:name="_Toc290866861"/>
      <w:r/>
      <w:bookmarkStart w:id="316" w:name="_Toc290867484"/>
      <w:r/>
      <w:bookmarkStart w:id="317" w:name="_Toc290867672"/>
      <w:r/>
      <w:bookmarkStart w:id="318" w:name="_Toc290866774"/>
      <w:r/>
      <w:bookmarkStart w:id="319" w:name="_Toc290866598"/>
      <w:r/>
      <w:bookmarkStart w:id="320" w:name="_Toc290867035"/>
      <w:r/>
      <w:bookmarkStart w:id="321" w:name="_Toc421804817"/>
      <w:r/>
      <w:bookmarkStart w:id="322" w:name="_Toc290867205"/>
      <w:r/>
      <w:bookmarkStart w:id="323" w:name="_Toc290867578"/>
      <w:r/>
      <w:bookmarkStart w:id="324" w:name="_Toc290866689"/>
      <w:r/>
      <w:bookmarkStart w:id="325" w:name="_Toc290867334"/>
      <w:r/>
      <w:bookmarkStart w:id="326" w:name="_Toc290867425"/>
      <w:r/>
      <w:bookmarkStart w:id="327" w:name="_Toc290866715"/>
      <w:r/>
      <w:bookmarkStart w:id="328" w:name="_Toc290867061"/>
      <w:r>
        <w:rPr>
          <w:rFonts w:hint="eastAsia" w:ascii="宋体" w:hAnsi="宋体" w:eastAsia="宋体" w:cs="宋体"/>
          <w:b/>
          <w:bCs/>
          <w:color w:val="000000"/>
          <w:sz w:val="22"/>
          <w:szCs w:val="22"/>
        </w:rPr>
        <w:t xml:space="preserve">1、依据和规范标准</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ascii="宋体" w:hAnsi="宋体" w:eastAsia="宋体" w:cs="宋体"/>
          <w:b/>
          <w:bCs/>
          <w:color w:val="000000"/>
          <w:sz w:val="22"/>
          <w:szCs w:val="22"/>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本次项目应满足国家现行的有关B级建设的标准及规范，并参考TIA-942 Tier2的标准。项目验收时需满足下列标准及规范（包括并不限于以下标准及规范，如各标准及规范对相同内容有不同规定时，应遵循更严格的标准。如有更新版本，参照新版本执行）。</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本项目严格按照以下标准：</w:t>
      </w:r>
      <w:r>
        <w:rPr>
          <w:rFonts w:ascii="宋体" w:hAnsi="宋体" w:cs="宋体"/>
          <w:color w:val="000000"/>
        </w:rPr>
      </w:r>
      <w:r/>
    </w:p>
    <w:p>
      <w:pPr>
        <w:pStyle w:val="720"/>
        <w:ind w:firstLine="396"/>
        <w:jc w:val="left"/>
        <w:spacing w:line="360" w:lineRule="auto"/>
        <w:rPr>
          <w:rFonts w:ascii="宋体" w:hAnsi="宋体" w:cs="宋体"/>
          <w:color w:val="000000"/>
        </w:rPr>
      </w:pPr>
      <w:r/>
      <w:bookmarkStart w:id="329" w:name="_Toc290867406"/>
      <w:r/>
      <w:bookmarkStart w:id="330" w:name="_Toc421804821"/>
      <w:r/>
      <w:bookmarkStart w:id="331" w:name="_Toc290867491"/>
      <w:r/>
      <w:bookmarkStart w:id="332" w:name="_Toc290866605"/>
      <w:r/>
      <w:bookmarkStart w:id="333" w:name="_Toc290867679"/>
      <w:r/>
      <w:bookmarkStart w:id="334" w:name="_Toc483580681"/>
      <w:r/>
      <w:bookmarkStart w:id="335" w:name="_Toc290867042"/>
      <w:r/>
      <w:bookmarkStart w:id="336" w:name="_Toc290866868"/>
      <w:r/>
      <w:bookmarkStart w:id="337" w:name="_Toc449106894"/>
      <w:r/>
      <w:bookmarkStart w:id="338" w:name="_Toc290867212"/>
      <w:r/>
      <w:bookmarkStart w:id="339" w:name="_Toc290867585"/>
      <w:r/>
      <w:bookmarkStart w:id="340" w:name="_Toc290867312"/>
      <w:r/>
      <w:bookmarkStart w:id="341" w:name="_Toc290866781"/>
      <w:r/>
      <w:bookmarkStart w:id="342" w:name="_Toc290866696"/>
      <w:r>
        <w:rPr>
          <w:rFonts w:hint="eastAsia" w:ascii="宋体" w:hAnsi="宋体" w:cs="宋体"/>
          <w:color w:val="000000"/>
        </w:rPr>
        <w:t xml:space="preserve">GB/T 9361-2011           《计算机场地安全要求》</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GB/T 2887-2011           《计算机场地通用规范》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50174-2017            《数据中心设计规范》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50462-2015            《数据中心基础设施施工及验收规范》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SJ/T 10796-2001           《防静电活动地板通用规范》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50311-2016            《综合布线系统工程设计规范》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50312-2016            《综合布线工程验收规范》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8702-2014             《电磁环境控制限制》</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【装修部分】：</w:t>
      </w:r>
      <w:r>
        <w:rPr>
          <w:rFonts w:ascii="宋体" w:hAnsi="宋体" w:cs="宋体"/>
          <w:color w:val="000000"/>
        </w:rPr>
      </w:r>
      <w:r/>
    </w:p>
    <w:p>
      <w:pPr>
        <w:pStyle w:val="720"/>
        <w:ind w:firstLine="396"/>
        <w:jc w:val="left"/>
        <w:spacing w:line="360" w:lineRule="auto"/>
        <w:tabs>
          <w:tab w:val="left" w:pos="2694" w:leader="none"/>
        </w:tabs>
        <w:rPr>
          <w:rFonts w:ascii="宋体" w:hAnsi="宋体" w:cs="宋体"/>
          <w:color w:val="000000"/>
        </w:rPr>
      </w:pPr>
      <w:r>
        <w:rPr>
          <w:rFonts w:hint="eastAsia" w:ascii="宋体" w:hAnsi="宋体" w:cs="宋体"/>
          <w:color w:val="000000"/>
        </w:rPr>
        <w:t xml:space="preserve">GB/T 50314-2015          《智能建筑设计标准》</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50339-2013            《智能建筑工程质量验收规范》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50176-2016            《民用建筑热工设计规范》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50210-2001            《建筑装饰装修工程质量验收规范》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50209-2010            《建筑地面工程施工质量验收规范》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50300-2013            《建筑工程施工质量验收统一标准》</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GB/T 18883-2002          《室内空气质量标准》</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【电气部分】：</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JGJ 16-2008               《民用建筑电气设计规范》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50303-2015            《建筑电气工程施工质量验收规范》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DGJ32/J 96-2010           《公共建筑节能设计标准》</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50052-2009            《供配电系统设计规范》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50054-2011            《低压配电设计规范》</w:t>
      </w:r>
      <w:r>
        <w:rPr>
          <w:rFonts w:ascii="宋体" w:hAnsi="宋体" w:cs="宋体"/>
          <w:color w:val="000000"/>
        </w:rPr>
      </w:r>
      <w:r/>
    </w:p>
    <w:p>
      <w:pPr>
        <w:pStyle w:val="720"/>
        <w:ind w:firstLine="396"/>
        <w:jc w:val="left"/>
        <w:spacing w:line="360" w:lineRule="auto"/>
        <w:rPr>
          <w:rFonts w:ascii="宋体" w:hAnsi="宋体" w:cs="宋体"/>
          <w:color w:val="000000"/>
        </w:rPr>
      </w:pPr>
      <w:r>
        <w:rPr>
          <w:rFonts w:hint="eastAsia" w:ascii="宋体" w:hAnsi="宋体" w:cs="宋体"/>
          <w:color w:val="000000"/>
        </w:rPr>
        <w:t xml:space="preserve">GB 50034-2013            《建筑照明设计标准》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50169-2016            《电气装置安装工程接地装置施工及验收规范》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50172-2012            《电气装置安装工程蓄电池施工及验收规范》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GB/T 14715-2017          《信息技术设备用不间断电源通用技术条件》</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【防雷接地部分】：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50689-2011            《通信局（站）防雷与</w:t>
      </w:r>
      <w:r>
        <w:fldChar w:fldCharType="begin"/>
      </w:r>
      <w:r>
        <w:instrText xml:space="preserve"> HYPERLINK "https://www.bai</w:instrText>
      </w:r>
      <w:r>
        <w:instrText xml:space="preserve">du.com/s?wd=%E6%8E%A5%E5%9C%B0%E5%B7%A5%E7%A8%8B&amp;tn=44039180_cpr&amp;fenlei=mv6quAkxTZn0IZRqIHckPjm4nH00T1dBuA79rH01mvDYnHPWrHuB0ZwV5Hcvrjm3rH6sPfKWUMw85HfYnjn4nH6sgvPsT6KdThsqpZwYTjCEQLGCpyw9Uz4Bmy-bIi4WUvYETgN-TLwGUv3EnHf4P16knjbkn1ndPWcLrjf4rf" \t "_blank" </w:instrText>
      </w:r>
      <w:r>
        <w:fldChar w:fldCharType="separate"/>
      </w:r>
      <w:r>
        <w:rPr>
          <w:rFonts w:hint="eastAsia" w:ascii="宋体" w:hAnsi="宋体" w:cs="宋体"/>
          <w:color w:val="000000"/>
        </w:rPr>
        <w:t xml:space="preserve">接地工程</w:t>
      </w:r>
      <w:r>
        <w:rPr>
          <w:rFonts w:hint="eastAsia" w:ascii="宋体" w:hAnsi="宋体" w:cs="宋体"/>
          <w:color w:val="000000"/>
        </w:rPr>
        <w:fldChar w:fldCharType="end"/>
      </w:r>
      <w:r>
        <w:rPr>
          <w:rFonts w:hint="eastAsia" w:ascii="宋体" w:hAnsi="宋体" w:cs="宋体"/>
          <w:color w:val="000000"/>
        </w:rPr>
        <w:t xml:space="preserve">设计规范》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50057-2010            《建筑物防雷设计规范》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50343-2012            《建筑物电子信息系统防雷技术规范》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【空气调节部分】：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50243-2016            《通风与空调工程施工质量及验收规范》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50235-2010            《工业金属管道工程施工规范》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50268-2008            《给水排水管道工程施工及验收规范》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GB/T 3091-2015           《低压流体输送用焊接钢管》</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【消防安防】：</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50016-2014            《建筑设计防火规范》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 50222-2017            《建筑内部装修设计防火规范》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GB50116-2013             《火灾自动报警系统设计规范》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GB50166-2007             《火灾自动报警系统施工及验收规范》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GB50370-2005             《气体灭火系统设计规范》</w:t>
      </w:r>
      <w:r>
        <w:rPr>
          <w:rFonts w:ascii="宋体" w:hAnsi="宋体" w:cs="宋体"/>
          <w:color w:val="000000"/>
        </w:rPr>
      </w:r>
      <w:r/>
    </w:p>
    <w:p>
      <w:pPr>
        <w:pStyle w:val="720"/>
        <w:ind w:firstLine="396"/>
        <w:spacing w:line="360" w:lineRule="auto"/>
        <w:tabs>
          <w:tab w:val="left" w:pos="2694" w:leader="none"/>
        </w:tabs>
        <w:rPr>
          <w:rFonts w:ascii="宋体" w:hAnsi="宋体" w:cs="宋体"/>
          <w:color w:val="000000"/>
        </w:rPr>
      </w:pPr>
      <w:r>
        <w:rPr>
          <w:rFonts w:hint="eastAsia" w:ascii="宋体" w:hAnsi="宋体" w:cs="宋体"/>
          <w:color w:val="000000"/>
        </w:rPr>
        <w:t xml:space="preserve">GB50263-2007             《气体灭火系统施工及验收规范》</w:t>
      </w:r>
      <w:r>
        <w:rPr>
          <w:rFonts w:ascii="宋体" w:hAnsi="宋体" w:cs="宋体"/>
          <w:color w:val="000000"/>
        </w:rPr>
      </w:r>
      <w:r/>
    </w:p>
    <w:p>
      <w:pPr>
        <w:pStyle w:val="720"/>
        <w:ind w:firstLine="396"/>
        <w:spacing w:line="360" w:lineRule="auto"/>
        <w:tabs>
          <w:tab w:val="left" w:pos="2694" w:leader="none"/>
        </w:tabs>
        <w:rPr>
          <w:rFonts w:ascii="宋体" w:hAnsi="宋体" w:cs="宋体"/>
          <w:color w:val="000000"/>
        </w:rPr>
      </w:pPr>
      <w:r>
        <w:rPr>
          <w:rFonts w:hint="eastAsia" w:ascii="宋体" w:hAnsi="宋体" w:cs="宋体"/>
          <w:color w:val="000000"/>
        </w:rPr>
        <w:t xml:space="preserve">GB8624-2012             《建筑材料及制品燃烧性能分级》</w:t>
      </w:r>
      <w:r>
        <w:rPr>
          <w:rFonts w:ascii="宋体" w:hAnsi="宋体" w:cs="宋体"/>
          <w:color w:val="000000"/>
        </w:rPr>
      </w:r>
      <w:r/>
    </w:p>
    <w:p>
      <w:pPr>
        <w:pStyle w:val="720"/>
        <w:ind w:firstLine="398"/>
        <w:spacing w:line="360" w:lineRule="auto"/>
        <w:rPr>
          <w:rFonts w:ascii="宋体" w:hAnsi="宋体" w:cs="宋体"/>
          <w:b/>
          <w:bCs/>
        </w:rPr>
      </w:pPr>
      <w:r>
        <w:rPr>
          <w:rFonts w:hint="eastAsia" w:ascii="黑体" w:hAnsi="黑体" w:eastAsia="黑体" w:cs="黑体"/>
          <w:b/>
          <w:bCs/>
        </w:rPr>
        <w:t xml:space="preserve">有新版规范执行最新版本，同时遵循各设备原厂安装调试手册。</w:t>
      </w:r>
      <w:r>
        <w:rPr>
          <w:rFonts w:ascii="宋体" w:hAnsi="宋体" w:cs="宋体"/>
          <w:b/>
          <w:bCs/>
        </w:rPr>
      </w:r>
      <w:r/>
    </w:p>
    <w:p>
      <w:pPr>
        <w:pStyle w:val="723"/>
        <w:ind w:firstLine="398"/>
        <w:spacing w:before="0" w:after="0" w:line="360" w:lineRule="auto"/>
        <w:rPr>
          <w:rFonts w:ascii="宋体" w:hAnsi="宋体" w:eastAsia="宋体" w:cs="宋体"/>
          <w:b/>
          <w:bCs/>
          <w:color w:val="000000"/>
          <w:sz w:val="22"/>
          <w:szCs w:val="22"/>
        </w:rPr>
      </w:pPr>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17076"/>
      <w:r>
        <w:rPr>
          <w:rFonts w:hint="eastAsia" w:ascii="宋体" w:hAnsi="宋体" w:eastAsia="宋体" w:cs="宋体"/>
          <w:b/>
          <w:bCs/>
          <w:color w:val="000000"/>
          <w:sz w:val="22"/>
          <w:szCs w:val="22"/>
        </w:rPr>
        <w:t xml:space="preserve">2、总体要求</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43"/>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bookmarkStart w:id="344" w:name="_Toc107821121"/>
      <w:r/>
      <w:bookmarkStart w:id="345" w:name="_Toc81651985"/>
      <w:r/>
      <w:bookmarkStart w:id="346" w:name="_Toc66186004"/>
      <w:r/>
      <w:bookmarkStart w:id="347" w:name="_Toc80437194"/>
      <w:r>
        <w:rPr>
          <w:rFonts w:hint="eastAsia" w:ascii="宋体" w:hAnsi="宋体" w:cs="宋体"/>
          <w:color w:val="000000"/>
        </w:rPr>
        <w:t xml:space="preserve">（1）本项目机房按照B级机房标准进行建设，供应商选用的投标设备和材料必须符合国家相应技术规范与标准。供应商在机房设备选型、材料选用时应考虑设备的统一管理及运维便捷性，同时应兼顾</w:t>
      </w:r>
      <w:bookmarkStart w:id="348" w:name="_Hlk240979919"/>
      <w:r>
        <w:rPr>
          <w:rFonts w:hint="eastAsia" w:ascii="宋体" w:hAnsi="宋体" w:cs="宋体"/>
          <w:color w:val="000000"/>
        </w:rPr>
        <w:t xml:space="preserve">机房内设备摆放的整体性和美观性</w:t>
      </w:r>
      <w:bookmarkEnd w:id="348"/>
      <w:r>
        <w:rPr>
          <w:rFonts w:hint="eastAsia" w:ascii="宋体" w:hAnsi="宋体" w:cs="宋体"/>
          <w:color w:val="000000"/>
        </w:rPr>
        <w:t xml:space="preserve">。</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中标人必须确保改造后的数据中心机房符合《数据中心设计规范》（GB50174-2017）B级机房标准、《全国医院信息化建设标准与规范》三级甲等医院机房标准并顺利通过国家权威测评机构的B级机房认证评测和中国质量认证中心（CQC）的现场核验后取得B级《数据中心场地基础设施认证证书》，投标时须提供《服务质量与认证承诺书》（格式见附件1）。</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49" w:name="_Toc24352"/>
      <w:r>
        <w:rPr>
          <w:rFonts w:hint="eastAsia" w:ascii="宋体" w:hAnsi="宋体" w:eastAsia="宋体" w:cs="宋体"/>
          <w:b/>
          <w:bCs/>
          <w:color w:val="000000"/>
          <w:sz w:val="22"/>
          <w:szCs w:val="22"/>
        </w:rPr>
        <w:t xml:space="preserve">3、具体要求</w:t>
      </w:r>
      <w:bookmarkEnd w:id="349"/>
      <w:r>
        <w:rPr>
          <w:rFonts w:ascii="宋体" w:hAnsi="宋体" w:eastAsia="宋体" w:cs="宋体"/>
          <w:b/>
          <w:bCs/>
          <w:color w:val="000000"/>
          <w:sz w:val="22"/>
          <w:szCs w:val="22"/>
        </w:rPr>
      </w:r>
      <w:r/>
    </w:p>
    <w:p>
      <w:pPr>
        <w:pStyle w:val="724"/>
        <w:ind w:firstLine="398"/>
        <w:spacing w:before="0" w:after="0" w:line="360" w:lineRule="auto"/>
        <w:rPr>
          <w:rFonts w:ascii="宋体" w:hAnsi="宋体" w:eastAsia="宋体" w:cs="宋体"/>
          <w:color w:val="000000"/>
          <w:sz w:val="22"/>
          <w:szCs w:val="22"/>
        </w:rPr>
      </w:pPr>
      <w:r/>
      <w:bookmarkEnd w:id="344"/>
      <w:r/>
      <w:bookmarkEnd w:id="345"/>
      <w:r/>
      <w:bookmarkEnd w:id="346"/>
      <w:r/>
      <w:bookmarkEnd w:id="347"/>
      <w:r>
        <w:rPr>
          <w:rFonts w:hint="eastAsia" w:ascii="宋体" w:hAnsi="宋体" w:eastAsia="宋体" w:cs="宋体"/>
          <w:color w:val="000000"/>
          <w:sz w:val="22"/>
          <w:szCs w:val="22"/>
        </w:rPr>
        <w:t xml:space="preserve">（1）机房装修系统</w:t>
      </w:r>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材料选用标准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本工程机房装修设计选用材料的防火等级达到A级，环保要求E1级，气密性好、不起尘、易清洁、在温度和湿度变化作用下变形小，整体效果达到简明、淡雅、柔和，有利于工作人员的自身健康。</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装饰应选用气密性好、不起尘、易清洁的材料。应避开强电磁场干扰及保障电脑系统信息安全，要采取有效的电磁屏蔽措施。</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墙面材料</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新建主机房、动力配电室，电池间区域面采用75轻钢龙骨框架+橡塑保温板+钢制瓦楞板饰面；其他区域墙面采用环保白色乳胶漆，两底两面。</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顶面材料</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机房层高约为4米，新建主机房、动力配电室，电池间区域采用微孔铝板吊顶设计，顶面要求涂刷防尘涂料。天花以及梁、墙沿上部进行防尘处理；处理完成后进行橡塑保温板及微孔铝板吊顶处理。其他区域顶面只做乳胶漆。</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地面材料</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新建主机房、动力配电室，电池间选用陶瓷抗静电地板（602*602*40mm）。地板架空高度约为250mm。地板周边采用80mm高不锈钢材质踢脚板封边，机房地板下进行防尘、橡塑保温、静电泄流等处理，详见设计图纸。</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机房地板下在墙体四周安装独立的钢结构L30角钢支架以满足抗静电地板铺设平整之需要。</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门、窗及隔断门</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动力配电室，电池间采用砖墙分隔；</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机房门配置表:</w:t>
      </w:r>
      <w:r>
        <w:rPr>
          <w:rFonts w:ascii="宋体" w:hAnsi="宋体" w:cs="宋体"/>
          <w:b/>
          <w:bCs/>
          <w:color w:val="000000"/>
        </w:rPr>
      </w:r>
      <w:r/>
    </w:p>
    <w:tbl>
      <w:tblPr>
        <w:tblW w:w="76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543"/>
        <w:gridCol w:w="2153"/>
        <w:gridCol w:w="1966"/>
        <w:gridCol w:w="1211"/>
      </w:tblGrid>
      <w:tr>
        <w:trPr/>
        <w:tc>
          <w:tcPr>
            <w:tcW w:w="820"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W w:w="154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tc>
        <w:tc>
          <w:tcPr>
            <w:tcW w:w="215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配置说明</w:t>
            </w:r>
            <w:r>
              <w:rPr>
                <w:rFonts w:ascii="宋体" w:hAnsi="宋体" w:cs="宋体"/>
                <w:color w:val="000000"/>
              </w:rPr>
            </w:r>
            <w:r/>
          </w:p>
        </w:tc>
        <w:tc>
          <w:tcPr>
            <w:tcW w:w="1966"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规格(mm)</w:t>
            </w:r>
            <w:r>
              <w:rPr>
                <w:rFonts w:ascii="宋体" w:hAnsi="宋体" w:cs="宋体"/>
                <w:color w:val="000000"/>
              </w:rPr>
            </w:r>
            <w:r/>
          </w:p>
        </w:tc>
        <w:tc>
          <w:tcPr>
            <w:tcW w:w="1211"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tc>
      </w:tr>
      <w:tr>
        <w:trPr/>
        <w:tc>
          <w:tcPr>
            <w:tcW w:w="820"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54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新建主机房</w:t>
            </w:r>
            <w:r>
              <w:rPr>
                <w:rFonts w:ascii="宋体" w:hAnsi="宋体" w:cs="宋体"/>
                <w:color w:val="000000"/>
              </w:rPr>
            </w:r>
            <w:r/>
          </w:p>
        </w:tc>
        <w:tc>
          <w:tcPr>
            <w:tcW w:w="215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甲级钢制防火门</w:t>
            </w:r>
            <w:r>
              <w:rPr>
                <w:rFonts w:ascii="宋体" w:hAnsi="宋体" w:cs="宋体"/>
                <w:color w:val="000000"/>
              </w:rPr>
            </w:r>
            <w:r/>
          </w:p>
        </w:tc>
        <w:tc>
          <w:tcPr>
            <w:tcW w:w="1966"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1500*2200</w:t>
            </w:r>
            <w:r>
              <w:rPr>
                <w:rFonts w:ascii="宋体" w:hAnsi="宋体" w:cs="宋体"/>
                <w:color w:val="000000"/>
              </w:rPr>
            </w:r>
            <w:r/>
          </w:p>
        </w:tc>
        <w:tc>
          <w:tcPr>
            <w:tcW w:w="1211"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c>
          <w:tcPr>
            <w:tcW w:w="820"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54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动力配电室</w:t>
            </w:r>
            <w:r>
              <w:rPr>
                <w:rFonts w:ascii="宋体" w:hAnsi="宋体" w:cs="宋体"/>
                <w:color w:val="000000"/>
              </w:rPr>
            </w:r>
            <w:r/>
          </w:p>
        </w:tc>
        <w:tc>
          <w:tcPr>
            <w:tcW w:w="2153" w:type="dxa"/>
            <w:vAlign w:val="top"/>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甲级钢制防火门</w:t>
            </w:r>
            <w:r>
              <w:rPr>
                <w:rFonts w:ascii="宋体" w:hAnsi="宋体" w:cs="宋体"/>
                <w:color w:val="000000"/>
              </w:rPr>
            </w:r>
            <w:r/>
          </w:p>
        </w:tc>
        <w:tc>
          <w:tcPr>
            <w:tcW w:w="1966"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900*2200</w:t>
            </w:r>
            <w:r>
              <w:rPr>
                <w:rFonts w:ascii="宋体" w:hAnsi="宋体" w:cs="宋体"/>
                <w:color w:val="000000"/>
              </w:rPr>
            </w:r>
            <w:r/>
          </w:p>
        </w:tc>
        <w:tc>
          <w:tcPr>
            <w:tcW w:w="1211"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c>
          <w:tcPr>
            <w:tcW w:w="820"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543"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电池间</w:t>
            </w:r>
            <w:r>
              <w:rPr>
                <w:rFonts w:ascii="宋体" w:hAnsi="宋体" w:cs="宋体"/>
                <w:color w:val="000000"/>
              </w:rPr>
            </w:r>
            <w:r/>
          </w:p>
        </w:tc>
        <w:tc>
          <w:tcPr>
            <w:tcW w:w="2153" w:type="dxa"/>
            <w:vAlign w:val="top"/>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甲级钢制防火门</w:t>
            </w:r>
            <w:r>
              <w:rPr>
                <w:rFonts w:ascii="宋体" w:hAnsi="宋体" w:cs="宋体"/>
                <w:color w:val="000000"/>
              </w:rPr>
            </w:r>
            <w:r/>
          </w:p>
        </w:tc>
        <w:tc>
          <w:tcPr>
            <w:tcW w:w="1966" w:type="dxa"/>
            <w:vAlign w:val="center"/>
            <w:textDirection w:val="lrTb"/>
            <w:noWrap w:val="false"/>
          </w:tcPr>
          <w:p>
            <w:pPr>
              <w:pStyle w:val="720"/>
              <w:jc w:val="center"/>
              <w:spacing w:line="240" w:lineRule="atLeast"/>
              <w:rPr>
                <w:rFonts w:ascii="宋体" w:hAnsi="宋体" w:cs="宋体"/>
                <w:color w:val="000000"/>
              </w:rPr>
            </w:pPr>
            <w:r/>
            <w:bookmarkStart w:id="350" w:name="OLE_LINK2"/>
            <w:r>
              <w:rPr>
                <w:rFonts w:hint="eastAsia" w:ascii="宋体" w:hAnsi="宋体" w:cs="宋体"/>
                <w:color w:val="000000"/>
              </w:rPr>
              <w:t xml:space="preserve">900*2200</w:t>
            </w:r>
            <w:bookmarkEnd w:id="350"/>
            <w:r>
              <w:rPr>
                <w:rFonts w:ascii="宋体" w:hAnsi="宋体" w:cs="宋体"/>
                <w:color w:val="000000"/>
              </w:rPr>
            </w:r>
            <w:r/>
          </w:p>
        </w:tc>
        <w:tc>
          <w:tcPr>
            <w:tcW w:w="1211" w:type="dxa"/>
            <w:vAlign w:val="center"/>
            <w:textDirection w:val="lrTb"/>
            <w:noWrap w:val="false"/>
          </w:tcPr>
          <w:p>
            <w:pPr>
              <w:pStyle w:val="720"/>
              <w:jc w:val="center"/>
              <w:spacing w:line="240" w:lineRule="atLeas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bl>
    <w:p>
      <w:pPr>
        <w:pStyle w:val="720"/>
        <w:ind w:firstLine="398"/>
        <w:spacing w:line="360" w:lineRule="auto"/>
        <w:rPr>
          <w:rFonts w:ascii="宋体" w:hAnsi="宋体" w:cs="宋体"/>
          <w:b/>
          <w:bCs/>
          <w:color w:val="000000"/>
        </w:rPr>
      </w:pPr>
      <w:r>
        <w:rPr>
          <w:rFonts w:hint="eastAsia" w:ascii="宋体" w:hAnsi="宋体" w:cs="宋体"/>
          <w:b/>
          <w:bCs/>
          <w:color w:val="000000"/>
        </w:rPr>
        <w:t xml:space="preserve">给排水</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机房施工时，需依据精密空调安装位置，布置进排水管。要求进水PPR25＋橡塑保温，从就近卫生间取水；排水PPR32＋橡塑保温，排到就近的地漏；在列间空调及房间级精密空调四周均做防水围堰。</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拆除</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原有顶面拆除，垃圾清运到指定位置，详见设计图纸。</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隐蔽工程部分</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1)本工程施工时，将与结构、水电、暖通、弱电等各工种配合，做好孔洞、设备、管线等隐蔽工程的预埋工作。</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2)墙体部分作防潮、防火及保温处理；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3)部分非阻燃材料必须涂刷防火涂料，各种涂料须符合环保要求；</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4)所有隐蔽用材必须符合机房用材性能指标，做到不起尘、阻燃、绝燃、不会产生静电、牢固耐用并无病虫害发生；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5)静电地板下的走线线槽、管路、桥架和插座应悬空地面保温层上5～8cm，不许贴地；</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6)本机房采用吊顶顶面布局，考虑到机房防水、保温等性能要求，在施工过程中，避免在顶面楼板上开大量孔或打入膨胀螺丝，在顶面安装C型钢结构支撑架，用于固定KBG管及其他设备。采用C型钢走线，是本次设计的亮点，管线横平坚直便于区分，顶面布置的设备有:照明灯具、场地监控探头、消防报警探头、排风管等。</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场地降噪、隔热</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根据国家标准规定：机房噪声不大于65db。因此为达到对精密空调机组的工作噪声和气流噪声的有效控制。在墙面加垫像素棉，以达到防火隔热降噪的作用。</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场地净化</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精密空调区的洁净程度标准为：A级，每升含尘量＜18000粒（粒度＜0.5微米）。应采取有效措施，确保主机房区的洁净度：在整个机房的楼面及顶面刷一层抗静电涂料，避免灰尘的产生及吸附；通过精密空调送回风过滤网的吸附达到除尘效果。</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（2）机房供配电系统</w:t>
      </w:r>
      <w:bookmarkEnd w:id="301"/>
      <w:r/>
      <w:bookmarkEnd w:id="302"/>
      <w:r/>
      <w:bookmarkEnd w:id="303"/>
      <w:r/>
      <w:bookmarkEnd w:id="304"/>
      <w:r/>
      <w:bookmarkEnd w:id="305"/>
      <w:r/>
      <w:bookmarkEnd w:id="306"/>
      <w:r/>
      <w:bookmarkEnd w:id="307"/>
      <w:r/>
      <w:bookmarkEnd w:id="308"/>
      <w:r/>
      <w:bookmarkEnd w:id="309"/>
      <w:r/>
      <w:bookmarkEnd w:id="310"/>
      <w:r/>
      <w:bookmarkEnd w:id="311"/>
      <w:r/>
      <w:bookmarkEnd w:id="325"/>
      <w:r/>
      <w:bookmarkEnd w:id="326"/>
      <w:r/>
      <w:bookmarkEnd w:id="327"/>
      <w:r/>
      <w:bookmarkEnd w:id="328"/>
      <w:r/>
      <w:bookmarkStart w:id="351" w:name="_Toc226139716"/>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bookmarkEnd w:id="351"/>
      <w:r>
        <w:rPr>
          <w:rFonts w:hint="eastAsia" w:ascii="宋体" w:hAnsi="宋体" w:cs="宋体"/>
          <w:color w:val="000000"/>
        </w:rPr>
        <w:t xml:space="preserve">供配电系统是整个机房安全运行的基础，设计施工必须充分考虑系统的可靠性。整个系统必须充分考虑在电力输入、配电、UPS电源、防雷、接地系统等各个环节合理匹配。在产品的选用上必须采用安全可靠的设备、器件、材料。</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按照技术要求，机房供电系统分为两部分:动力配电系统和不间断电源系统。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机房:目前机房为两路来自两路不同变压器市电接入（采购人负责把两路双电源线缆预留至机房指定位置），本次设计1个动力配电室，市电A,B进机房动力配电室的ATS，架构图如下，具体详见设计图（另附）。</w:t>
      </w:r>
      <w:r>
        <w:rPr>
          <w:rFonts w:ascii="宋体" w:hAnsi="宋体" w:cs="宋体"/>
          <w:color w:val="000000"/>
        </w:rPr>
      </w:r>
      <w:r/>
    </w:p>
    <w:p>
      <w:pPr>
        <w:pStyle w:val="720"/>
        <w:ind w:firstLine="396"/>
        <w:spacing w:line="480" w:lineRule="exact"/>
        <w:rPr>
          <w:rFonts w:ascii="宋体" w:hAnsi="宋体" w:cs="宋体"/>
          <w:color w:val="000000"/>
        </w:rPr>
      </w:pPr>
      <w:r>
        <w:rPr>
          <w:rFonts w:hint="eastAsia" w:ascii="宋体" w:hAnsi="宋体" w:cs="宋体"/>
          <w:color w:val="000000"/>
        </w:rPr>
        <w:t xml:space="preserve">依据《计算机场地通用规范》，电源参数依据计算机的性能允许的变动范围可分为A、B、C三个等级，本次主机房用电等级按B+级标准进行设计。</w:t>
      </w:r>
      <w:r>
        <w:rPr>
          <w:rFonts w:ascii="宋体" w:hAnsi="宋体" w:cs="宋体"/>
          <w:color w:val="000000"/>
        </w:rPr>
      </w:r>
      <w:r/>
    </w:p>
    <w:p>
      <w:pPr>
        <w:pStyle w:val="720"/>
        <w:ind w:firstLine="396"/>
        <w:spacing w:line="480" w:lineRule="exact"/>
        <w:rPr>
          <w:rFonts w:ascii="宋体" w:hAnsi="宋体" w:cs="宋体"/>
          <w:color w:val="000000"/>
        </w:rPr>
      </w:pPr>
      <w:r>
        <w:rPr>
          <w:rFonts w:hint="eastAsia" w:ascii="宋体" w:hAnsi="宋体" w:cs="宋体"/>
          <w:color w:val="000000"/>
        </w:rPr>
        <w:t xml:space="preserve">频率:50Hz</w:t>
      </w:r>
      <w:r>
        <w:rPr>
          <w:rFonts w:ascii="宋体" w:hAnsi="宋体" w:cs="宋体"/>
          <w:color w:val="000000"/>
        </w:rPr>
      </w:r>
      <w:r/>
    </w:p>
    <w:p>
      <w:pPr>
        <w:pStyle w:val="720"/>
        <w:ind w:firstLine="396"/>
        <w:spacing w:line="480" w:lineRule="exact"/>
        <w:rPr>
          <w:rFonts w:ascii="宋体" w:hAnsi="宋体" w:cs="宋体"/>
          <w:color w:val="000000"/>
        </w:rPr>
      </w:pPr>
      <w:r>
        <w:rPr>
          <w:rFonts w:hint="eastAsia" w:ascii="宋体" w:hAnsi="宋体" w:cs="宋体"/>
          <w:color w:val="000000"/>
        </w:rPr>
        <w:t xml:space="preserve">电压:380/220V</w:t>
      </w:r>
      <w:r>
        <w:rPr>
          <w:rFonts w:ascii="宋体" w:hAnsi="宋体" w:cs="宋体"/>
          <w:color w:val="000000"/>
        </w:rPr>
      </w:r>
      <w:r/>
    </w:p>
    <w:p>
      <w:pPr>
        <w:pStyle w:val="720"/>
        <w:ind w:firstLine="396"/>
        <w:spacing w:line="480" w:lineRule="exact"/>
        <w:rPr>
          <w:rFonts w:ascii="宋体" w:hAnsi="宋体" w:cs="宋体"/>
          <w:color w:val="000000"/>
        </w:rPr>
      </w:pPr>
      <w:r>
        <w:rPr>
          <w:rFonts w:hint="eastAsia" w:ascii="宋体" w:hAnsi="宋体" w:cs="宋体"/>
          <w:color w:val="000000"/>
        </w:rPr>
        <w:t xml:space="preserve">相数:三相五线制/三相四线制/单相三线制</w:t>
      </w:r>
      <w:r>
        <w:rPr>
          <w:rFonts w:ascii="宋体" w:hAnsi="宋体" w:cs="宋体"/>
          <w:color w:val="000000"/>
        </w:rPr>
      </w:r>
      <w:r/>
    </w:p>
    <w:p>
      <w:pPr>
        <w:pStyle w:val="720"/>
        <w:ind w:firstLine="396"/>
        <w:spacing w:line="480" w:lineRule="exact"/>
        <w:rPr>
          <w:rFonts w:ascii="宋体" w:hAnsi="宋体" w:cs="宋体"/>
          <w:color w:val="000000"/>
        </w:rPr>
      </w:pPr>
      <w:r>
        <w:rPr>
          <w:rFonts w:hint="eastAsia" w:ascii="宋体" w:hAnsi="宋体" w:cs="宋体"/>
          <w:color w:val="000000"/>
        </w:rPr>
        <w:t xml:space="preserve">计算机机房供电允许变动范围</w:t>
      </w:r>
      <w:r>
        <w:rPr>
          <w:rFonts w:ascii="宋体" w:hAnsi="宋体" w:cs="宋体"/>
          <w:color w:val="000000"/>
        </w:rPr>
      </w:r>
      <w:r/>
    </w:p>
    <w:tbl>
      <w:tblPr>
        <w:tblW w:w="8057"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33"/>
        <w:gridCol w:w="1793"/>
        <w:gridCol w:w="1939"/>
        <w:gridCol w:w="2192"/>
      </w:tblGrid>
      <w:tr>
        <w:trPr>
          <w:trHeight w:val="20"/>
        </w:trPr>
        <w:tc>
          <w:tcPr>
            <w:tcW w:w="213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项目级别</w:t>
            </w:r>
            <w:r>
              <w:rPr>
                <w:rFonts w:ascii="宋体" w:hAnsi="宋体" w:cs="宋体"/>
                <w:color w:val="000000"/>
              </w:rPr>
            </w:r>
            <w:r/>
          </w:p>
        </w:tc>
        <w:tc>
          <w:tcPr>
            <w:tcW w:w="179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A级</w:t>
            </w:r>
            <w:r>
              <w:rPr>
                <w:rFonts w:ascii="宋体" w:hAnsi="宋体" w:cs="宋体"/>
                <w:color w:val="000000"/>
              </w:rPr>
            </w:r>
            <w:r/>
          </w:p>
        </w:tc>
        <w:tc>
          <w:tcPr>
            <w:tcW w:w="1939"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B级</w:t>
            </w:r>
            <w:r>
              <w:rPr>
                <w:rFonts w:ascii="宋体" w:hAnsi="宋体" w:cs="宋体"/>
                <w:color w:val="000000"/>
              </w:rPr>
            </w:r>
            <w:r/>
          </w:p>
        </w:tc>
        <w:tc>
          <w:tcPr>
            <w:tcW w:w="2192"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C级</w:t>
            </w:r>
            <w:r>
              <w:rPr>
                <w:rFonts w:ascii="宋体" w:hAnsi="宋体" w:cs="宋体"/>
                <w:color w:val="000000"/>
              </w:rPr>
            </w:r>
            <w:r/>
          </w:p>
        </w:tc>
      </w:tr>
      <w:tr>
        <w:trPr>
          <w:trHeight w:val="20"/>
        </w:trPr>
        <w:tc>
          <w:tcPr>
            <w:tcW w:w="213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电压变动（%）</w:t>
            </w:r>
            <w:r>
              <w:rPr>
                <w:rFonts w:ascii="宋体" w:hAnsi="宋体" w:cs="宋体"/>
                <w:color w:val="000000"/>
              </w:rPr>
            </w:r>
            <w:r/>
          </w:p>
        </w:tc>
        <w:tc>
          <w:tcPr>
            <w:tcW w:w="179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-5～+5</w:t>
            </w:r>
            <w:r>
              <w:rPr>
                <w:rFonts w:ascii="宋体" w:hAnsi="宋体" w:cs="宋体"/>
                <w:color w:val="000000"/>
              </w:rPr>
            </w:r>
            <w:r/>
          </w:p>
        </w:tc>
        <w:tc>
          <w:tcPr>
            <w:tcW w:w="1939"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-10～+7</w:t>
            </w:r>
            <w:r>
              <w:rPr>
                <w:rFonts w:ascii="宋体" w:hAnsi="宋体" w:cs="宋体"/>
                <w:color w:val="000000"/>
              </w:rPr>
            </w:r>
            <w:r/>
          </w:p>
        </w:tc>
        <w:tc>
          <w:tcPr>
            <w:tcW w:w="2192"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-15～+10</w:t>
            </w:r>
            <w:r>
              <w:rPr>
                <w:rFonts w:ascii="宋体" w:hAnsi="宋体" w:cs="宋体"/>
                <w:color w:val="000000"/>
              </w:rPr>
            </w:r>
            <w:r/>
          </w:p>
        </w:tc>
      </w:tr>
      <w:tr>
        <w:trPr>
          <w:trHeight w:val="20"/>
        </w:trPr>
        <w:tc>
          <w:tcPr>
            <w:tcW w:w="213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周波变化（Hz）</w:t>
            </w:r>
            <w:r>
              <w:rPr>
                <w:rFonts w:ascii="宋体" w:hAnsi="宋体" w:cs="宋体"/>
                <w:color w:val="000000"/>
              </w:rPr>
            </w:r>
            <w:r/>
          </w:p>
        </w:tc>
        <w:tc>
          <w:tcPr>
            <w:tcW w:w="1793"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-0.2～+0.2</w:t>
            </w:r>
            <w:r>
              <w:rPr>
                <w:rFonts w:ascii="宋体" w:hAnsi="宋体" w:cs="宋体"/>
                <w:color w:val="000000"/>
              </w:rPr>
            </w:r>
            <w:r/>
          </w:p>
        </w:tc>
        <w:tc>
          <w:tcPr>
            <w:tcW w:w="1939"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-0.5～+0.5</w:t>
            </w:r>
            <w:r>
              <w:rPr>
                <w:rFonts w:ascii="宋体" w:hAnsi="宋体" w:cs="宋体"/>
                <w:color w:val="000000"/>
              </w:rPr>
            </w:r>
            <w:r/>
          </w:p>
        </w:tc>
        <w:tc>
          <w:tcPr>
            <w:tcW w:w="2192" w:type="dxa"/>
            <w:vAlign w:val="center"/>
            <w:textDirection w:val="lrTb"/>
            <w:noWrap w:val="false"/>
          </w:tcPr>
          <w:p>
            <w:pPr>
              <w:pStyle w:val="720"/>
              <w:ind w:firstLine="396"/>
              <w:jc w:val="center"/>
              <w:spacing w:line="480" w:lineRule="exact"/>
              <w:rPr>
                <w:rFonts w:ascii="宋体" w:hAnsi="宋体" w:cs="宋体"/>
                <w:color w:val="000000"/>
              </w:rPr>
            </w:pPr>
            <w:r>
              <w:rPr>
                <w:rFonts w:hint="eastAsia" w:ascii="宋体" w:hAnsi="宋体" w:cs="宋体"/>
                <w:color w:val="000000"/>
              </w:rPr>
              <w:t xml:space="preserve">-1～+1</w:t>
            </w:r>
            <w:r>
              <w:rPr>
                <w:rFonts w:ascii="宋体" w:hAnsi="宋体" w:cs="宋体"/>
                <w:color w:val="000000"/>
              </w:rPr>
            </w:r>
            <w:r/>
          </w:p>
        </w:tc>
      </w:tr>
    </w:tbl>
    <w:p>
      <w:pPr>
        <w:pStyle w:val="720"/>
        <w:ind w:firstLine="396"/>
        <w:spacing w:line="360" w:lineRule="auto"/>
        <w:rPr>
          <w:rFonts w:ascii="宋体" w:hAnsi="宋体" w:cs="宋体"/>
          <w:color w:val="000000"/>
        </w:rPr>
      </w:pPr>
      <w:r>
        <w:rPr>
          <w:rFonts w:hint="eastAsia" w:ascii="宋体" w:hAnsi="宋体" w:cs="宋体"/>
          <w:color w:val="000000"/>
        </w:rPr>
        <w:t xml:space="preserve">数据中心机房升级改造项目内所有计算机设备和其他用电设备的电源线均采用优质专用铜芯电缆，防止外界的电磁干扰，保证计算机设备供电电源的电能质量。</w:t>
      </w:r>
      <w:r>
        <w:rPr>
          <w:rFonts w:ascii="宋体" w:hAnsi="宋体" w:cs="宋体"/>
          <w:color w:val="000000"/>
        </w:rPr>
      </w:r>
      <w:r/>
    </w:p>
    <w:p>
      <w:pPr>
        <w:pStyle w:val="720"/>
        <w:ind w:firstLine="398"/>
        <w:spacing w:line="360" w:lineRule="auto"/>
        <w:rPr>
          <w:rFonts w:ascii="宋体" w:hAnsi="宋体" w:cs="宋体"/>
          <w:b/>
          <w:bCs/>
          <w:color w:val="000000"/>
        </w:rPr>
      </w:pPr>
      <w:r/>
      <w:bookmarkStart w:id="352" w:name="_Toc226139722"/>
      <w:r/>
      <w:bookmarkStart w:id="353" w:name="_Toc290867338"/>
      <w:r/>
      <w:bookmarkStart w:id="354" w:name="_Toc457984464"/>
      <w:r/>
      <w:bookmarkStart w:id="355" w:name="_Toc290866628"/>
      <w:r/>
      <w:bookmarkStart w:id="356" w:name="_Toc290866891"/>
      <w:r/>
      <w:bookmarkStart w:id="357" w:name="_Toc290867611"/>
      <w:r/>
      <w:bookmarkStart w:id="358" w:name="_Toc290867065"/>
      <w:r/>
      <w:bookmarkStart w:id="359" w:name="_Toc290866719"/>
      <w:r/>
      <w:bookmarkStart w:id="360" w:name="_Toc290866804"/>
      <w:r/>
      <w:bookmarkStart w:id="361" w:name="_Toc290867429"/>
      <w:r/>
      <w:bookmarkStart w:id="362" w:name="_Toc421804841"/>
      <w:r/>
      <w:bookmarkStart w:id="363" w:name="_Toc290867517"/>
      <w:r/>
      <w:bookmarkStart w:id="364" w:name="_Toc290867238"/>
      <w:r/>
      <w:bookmarkStart w:id="365" w:name="_Toc290867705"/>
      <w:r>
        <w:rPr>
          <w:rFonts w:hint="eastAsia" w:ascii="宋体" w:hAnsi="宋体" w:cs="宋体"/>
          <w:b/>
          <w:bCs/>
          <w:color w:val="000000"/>
        </w:rPr>
        <w:t xml:space="preserve">强电布线和施工要求</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1）强电管道:机房内强电线缆固定敷设采用下走线槽式桥架。所有至灯具的照明支线均在顶面内穿钢管敷设。</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走线:不同回路的导线严禁在同一根管内敷设；严禁管内只穿一根相线或零线，杜绝涡流现象。机房内各设备电源线缆应采用金属桥架敷设，强弱电分开，避免长距离平行走线，交叉时，应尽量以接近于垂直的角度交叉。</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线缆要求:电线电缆除具有相应的载流量外，还要充分考虑阻燃特性要求。机房所有电线电缆截面积的选择应考虑负荷大小、电压损失、工作升温引起的机械强度变化等因素，载流量应留有30％的余量，考虑今后机房升级，还必须留足增设设备所需的电缆。所有电线电缆严禁有接头、断头、焊点。为方便查线，每个电缆两端均加以套环标记。</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4）插座要求:机房内所有市电维护插座规格为250V/10A，安装高度300毫米。</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照明设计</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照明:本次采用600*600 LED灯具。机房照明要求均匀无眩光无死角、各作业面无方向性限制、严禁使用具有强烈干扰性的电感整流装置。照明设备要求便于维护检修。</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照明系统分为正常照明、应急照明与疏散指示照明三种。正常照明由市电供电，机房区照明灯具选择部分灯具或灯管作为应急照明灯具，平时由市电供电，市电断电时转换为应急照明中蓄电池供电，最大支持后备90分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辅助区的照度标准值应按现行国家标准《建筑照明设计标准》GB 50034的有关规定执行。</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主机房和辅助区内的主要照明光源应采用高效节能LED灯具，灯具应采取分区、分组的控制措施。</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机房应设置通道疏散照明及安全出口指示灯。</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机房内不应采用0类灯具；当采用I类灯具时，灯具的供电线路应有保护线，保护线应与金属灯具外壳做电气连接。</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（3）机房防雷接地系统</w:t>
      </w:r>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本机房按一级防雷建筑物设置了防直击雷、感应雷和雷电冲击波措施。本机房低压供电系统采用三级防浪涌措施。</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第一级：采用 B 级电源防雷装置，安装在机房电力室总进线柜进线端，对于通过了用户供电入口处浪涌放电器的剩余浪涌能量进行更完善的吸收，对于瞬态 过电压具有极好的抑制作用，参数如下：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1）SPD 类别</w:t>
      </w:r>
      <w:r>
        <w:rPr>
          <w:rFonts w:hint="eastAsia" w:ascii="宋体" w:hAnsi="宋体" w:cs="宋体"/>
          <w:color w:val="000000"/>
        </w:rPr>
        <w:tab/>
      </w:r>
      <w:r>
        <w:rPr>
          <w:rFonts w:hint="eastAsia" w:ascii="宋体" w:hAnsi="宋体" w:cs="宋体"/>
          <w:color w:val="000000"/>
        </w:rPr>
        <w:t xml:space="preserve">限压型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2）最大持续运行电压Uc</w:t>
      </w:r>
      <w:r>
        <w:rPr>
          <w:rFonts w:hint="eastAsia" w:ascii="宋体" w:hAnsi="宋体" w:cs="宋体"/>
          <w:color w:val="000000"/>
        </w:rPr>
        <w:tab/>
      </w:r>
      <w:r>
        <w:rPr>
          <w:rFonts w:hint="eastAsia" w:ascii="宋体" w:hAnsi="宋体" w:cs="宋体"/>
          <w:color w:val="000000"/>
        </w:rPr>
        <w:t xml:space="preserve">385V</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3）标称放电电流 In（8/20μs）</w:t>
      </w:r>
      <w:r>
        <w:rPr>
          <w:rFonts w:hint="eastAsia" w:ascii="宋体" w:hAnsi="宋体" w:cs="宋体"/>
          <w:color w:val="000000"/>
        </w:rPr>
        <w:tab/>
      </w:r>
      <w:r>
        <w:rPr>
          <w:rFonts w:hint="eastAsia" w:ascii="宋体" w:hAnsi="宋体" w:cs="宋体"/>
          <w:color w:val="000000"/>
        </w:rPr>
        <w:t xml:space="preserve">20kA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4）最大放电电流 Imax（8/20μs） 40kA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5）保护水平 Up(8/20) 1.2k6）响应时间 tA＜25ns</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第二级：采用 C 级电源防雷装置，安装在配电列头柜进线端，参数如下：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1）SPD 类别</w:t>
      </w:r>
      <w:r>
        <w:rPr>
          <w:rFonts w:hint="eastAsia" w:ascii="宋体" w:hAnsi="宋体" w:cs="宋体"/>
          <w:color w:val="000000"/>
        </w:rPr>
        <w:tab/>
      </w:r>
      <w:r>
        <w:rPr>
          <w:rFonts w:hint="eastAsia" w:ascii="宋体" w:hAnsi="宋体" w:cs="宋体"/>
          <w:color w:val="000000"/>
        </w:rPr>
        <w:t xml:space="preserve">限压型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2）最大持续运行电压 Uc 385V</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3）标称放电电流 In（8/20μs）</w:t>
      </w:r>
      <w:r>
        <w:rPr>
          <w:rFonts w:hint="eastAsia" w:ascii="宋体" w:hAnsi="宋体" w:cs="宋体"/>
          <w:color w:val="000000"/>
        </w:rPr>
        <w:tab/>
      </w:r>
      <w:r>
        <w:rPr>
          <w:rFonts w:hint="eastAsia" w:ascii="宋体" w:hAnsi="宋体" w:cs="宋体"/>
          <w:color w:val="000000"/>
        </w:rPr>
        <w:t xml:space="preserve">5kA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4）最大放电电流 Imax（8/20μs） 10kA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5）保护水平 Up(8/20) 1.5kV</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6）响应时间 tA＜25ns</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第三级：采用 D 级电源防雷装置，安装在机柜进线端，防止雷电残压侵入设 备，进一步减少感应雷电的影响，保护精密电子设备免受损坏，将供电电压限定 在各用电设备所能承受的正常水平，参数如下：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1）SPD 类别</w:t>
      </w:r>
      <w:r>
        <w:rPr>
          <w:rFonts w:hint="eastAsia" w:ascii="宋体" w:hAnsi="宋体" w:cs="宋体"/>
          <w:color w:val="000000"/>
        </w:rPr>
        <w:tab/>
      </w:r>
      <w:r>
        <w:rPr>
          <w:rFonts w:hint="eastAsia" w:ascii="宋体" w:hAnsi="宋体" w:cs="宋体"/>
          <w:color w:val="000000"/>
        </w:rPr>
        <w:t xml:space="preserve">限压型（8/20μs）</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2）最大持续运行电压 Uc</w:t>
      </w:r>
      <w:r>
        <w:rPr>
          <w:rFonts w:hint="eastAsia" w:ascii="宋体" w:hAnsi="宋体" w:cs="宋体"/>
          <w:color w:val="000000"/>
        </w:rPr>
        <w:tab/>
      </w:r>
      <w:r>
        <w:rPr>
          <w:rFonts w:hint="eastAsia" w:ascii="宋体" w:hAnsi="宋体" w:cs="宋体"/>
          <w:color w:val="000000"/>
        </w:rPr>
        <w:t xml:space="preserve">220 V</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3）标称放电电流 In（8/20μs）</w:t>
      </w:r>
      <w:r>
        <w:rPr>
          <w:rFonts w:hint="eastAsia" w:ascii="宋体" w:hAnsi="宋体" w:cs="宋体"/>
          <w:color w:val="000000"/>
        </w:rPr>
        <w:tab/>
      </w:r>
      <w:r>
        <w:rPr>
          <w:rFonts w:hint="eastAsia" w:ascii="宋体" w:hAnsi="宋体" w:cs="宋体"/>
          <w:color w:val="000000"/>
        </w:rPr>
        <w:t xml:space="preserve">2.5kA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4）最大放电电流 Imax（8/20μs）7kA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5）保护水平 Up 0.4kV</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6）响应时间 tA＜25ns</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经过以上防雷配置后，可将威力强大的雷电过压降至设备能够承受的范围内。</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接地设计</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工程采用联合接地方式，由大楼提供联合接地端子，后端设备接入至接地网中。所有金属线管、电缆桥架、配电箱外壳、开关盒、灯头盒、电缆铠装钢带等均需接地跨接，并接入大楼接地体采样点；所有电源插座采用保护接地。所用接地连接处应镀锡处理以降低接触电阻，螺栓连接处螺栓拧紧压力合适保障连接可靠。</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在新建主机房、动力配电室，电池间的静电地板下应用30×3mm紫铜带敷设闭合环行等电位均压环，机房内所有金属构架、设备金属外壳、电缆进线的外屏蔽层、静电地板等均应就近接到该 接地母排上，机柜设备采用 6mm²多股铜芯线连接接地母排，防雷器也应就近接 到该接地母排上。机房内共用接地体，最大限度的满足等电位的要求。</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引线为ZR BVR-50 mm²铜芯绝缘屏蔽电缆，中间不能裸露，接地电阻要求小于1欧姆。</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（4）机房微模块系统</w:t>
      </w:r>
      <w:r>
        <w:rPr>
          <w:rFonts w:ascii="宋体" w:hAnsi="宋体" w:eastAsia="宋体" w:cs="宋体"/>
          <w:color w:val="000000"/>
          <w:sz w:val="22"/>
          <w:szCs w:val="22"/>
        </w:rPr>
      </w:r>
      <w:r/>
    </w:p>
    <w:p>
      <w:pPr>
        <w:pStyle w:val="720"/>
        <w:ind w:firstLine="398"/>
        <w:spacing w:line="360" w:lineRule="auto"/>
        <w:rPr>
          <w:rFonts w:ascii="宋体" w:hAnsi="宋体" w:cs="宋体"/>
          <w:color w:val="000000"/>
        </w:rPr>
      </w:pPr>
      <w:r>
        <w:rPr>
          <w:rFonts w:hint="eastAsia" w:ascii="宋体" w:hAnsi="宋体" w:cs="宋体"/>
          <w:b/>
          <w:bCs/>
          <w:color w:val="000000"/>
        </w:rPr>
        <w:t xml:space="preserve">机柜及冷通道系统</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本次核心机房共26个机柜，采用双排冷通道，通道宽度≥1.2m，其中26台机柜尺寸：600*1200*2000：列间空调4台；</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冷通道主要包括前后电动双开门，活动顶窗，以及控制单元等几个部件组成。冷通道系统必须具有稳定的结构，良好的气密性，隔热性，以及消防联动功能； </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冷通道需要与机房，大楼的控制平台进行联动。当检测到通道内或者通道外有火点时，都能够顺利切断顶窗门磁的供电，使顶窗下落，达到消防气体进入冷池区域的目的。同时，冷通道应有独立的强制开启按钮，用于紧急情况下打开通道。</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冷通道双开门侧需安装尺寸≥40寸的触摸大屏，展示动力环境监控系统；</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精密配电柜及PDU</w:t>
      </w:r>
      <w:r>
        <w:rPr>
          <w:rFonts w:ascii="宋体" w:hAnsi="宋体" w:cs="宋体"/>
          <w:b/>
          <w:bCs/>
          <w:color w:val="000000"/>
        </w:rPr>
      </w:r>
      <w:r/>
    </w:p>
    <w:p>
      <w:pPr>
        <w:pStyle w:val="720"/>
        <w:ind w:firstLine="396"/>
        <w:spacing w:line="360" w:lineRule="auto"/>
        <w:rPr>
          <w:rFonts w:ascii="宋体" w:hAnsi="宋体" w:cs="宋体"/>
          <w:b/>
          <w:bCs/>
          <w:color w:val="000000"/>
        </w:rPr>
      </w:pPr>
      <w:r>
        <w:rPr>
          <w:rFonts w:hint="eastAsia" w:ascii="宋体" w:hAnsi="宋体" w:cs="宋体"/>
          <w:color w:val="000000"/>
        </w:rPr>
        <w:t xml:space="preserve">本次核心机房内共计26台机柜全部采用精密配电柜供电。机柜PDU采用一体式机柜供电单元，0U安装嵌入式设计,提供双路32A供电，每路插座模块为：20位国标三扁10A +4位国标三扁16A。</w:t>
      </w:r>
      <w:r>
        <w:rPr>
          <w:rFonts w:ascii="宋体" w:hAnsi="宋体" w:cs="宋体"/>
          <w:b/>
          <w:bCs/>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UPS配置：</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新建主机房：24个服务器机柜； 2个布线机柜，共计26个机柜，</w:t>
      </w:r>
      <w:bookmarkStart w:id="366" w:name="OLE_LINK4"/>
      <w:r>
        <w:rPr>
          <w:rFonts w:hint="eastAsia" w:ascii="宋体" w:hAnsi="宋体" w:cs="宋体"/>
          <w:color w:val="000000"/>
        </w:rPr>
        <w:t xml:space="preserve">20个单机设计柜负载≥4KW，</w:t>
      </w:r>
      <w:bookmarkEnd w:id="366"/>
      <w:r>
        <w:rPr>
          <w:rFonts w:hint="eastAsia" w:ascii="宋体" w:hAnsi="宋体" w:cs="宋体"/>
          <w:color w:val="000000"/>
        </w:rPr>
        <w:t xml:space="preserve">4个单机设计柜负载≥10KW，20*4+4*10=总负载≥120KW；</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考虑到机房的负载及冗余配置，本次UPS设计为模块化UPS ，UPS系统选用2台（1主1备）单台至少能扩容至200KVA机框，单模块容量不限，实现后期扩容，满足未来业务发展需要。本次建设按单机（120KW负载）备电至少60分钟考虑电池容量，系统备电至少120分钟。</w:t>
      </w:r>
      <w:r>
        <w:rPr>
          <w:rFonts w:ascii="宋体" w:hAnsi="宋体" w:cs="宋体"/>
          <w:color w:val="000000"/>
        </w:rPr>
      </w:r>
      <w:r/>
    </w:p>
    <w:p>
      <w:pPr>
        <w:pStyle w:val="720"/>
        <w:ind w:firstLine="398"/>
        <w:spacing w:line="360" w:lineRule="auto"/>
        <w:rPr>
          <w:rFonts w:ascii="宋体" w:hAnsi="宋体" w:cs="宋体"/>
          <w:color w:val="000000"/>
        </w:rPr>
      </w:pPr>
      <w:r>
        <w:rPr>
          <w:rFonts w:hint="eastAsia" w:ascii="宋体" w:hAnsi="宋体" w:cs="宋体"/>
          <w:b/>
          <w:bCs/>
          <w:color w:val="000000"/>
        </w:rPr>
        <w:t xml:space="preserve">UPS主机技术要求：</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1).本次建设单台UPS模块总容量≥150KVA，单模块容量大小不限；</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2).N+1配置模块化UPS类型采用在线式双变换式，制式为三相输入，三相输出；</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3).单功率模块支持热插拔，当功率模块故障时，应及时退出系统而不能影响其他模块正常工作，不允许输出中断；</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4).其他详见采购清单参数。</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机房精密空调系统</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为了保证主机房及动力配电室的设备正常运行的环境，新建主机房、动力配电室、和电池间均配置7*24小时不间断运行的恒温恒湿精密空调。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核心机房设计列间空调分散布置在机柜列间（3+1备份包含冗余），冷风从空调侧面出风口直接送出至冷通道的机柜正面，冷却服务器后，热空气从机柜背面排出，再直接回到空调的背面的回风口。</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动力配电室和电池间因房间面积较小及地板高度较低，均采用房间级精密空调上送风方式进行设备主制冷。</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列间精密空调制冷规划：</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核心机房负载功耗，IT机柜 20*4KW+4*10KW=120KW合计：120KW.本次核心机房配备4台制冷量≥45KW精密空调，(3+1备份包含冗余)，其他详见采购清单技术参数。</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房间级精密空调规划：</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1）动力配电室采用1台制冷量≥12.5KW上送风精密空调，其他详见采购清单技术参数；</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2）电池间采用1台制冷量≥12.5KW上送风精密空调，其他详见采购清单技术参数；</w:t>
      </w:r>
      <w:r>
        <w:rPr>
          <w:rFonts w:ascii="宋体" w:hAnsi="宋体" w:cs="宋体"/>
          <w:color w:val="000000"/>
        </w:rPr>
      </w:r>
      <w:r/>
    </w:p>
    <w:p>
      <w:pPr>
        <w:pStyle w:val="720"/>
        <w:ind w:firstLine="398"/>
        <w:spacing w:line="360" w:lineRule="auto"/>
        <w:rPr>
          <w:rFonts w:ascii="宋体" w:hAnsi="宋体" w:cs="宋体"/>
          <w:color w:val="000000"/>
        </w:rPr>
      </w:pPr>
      <w:r>
        <w:rPr>
          <w:rFonts w:hint="eastAsia" w:ascii="宋体" w:hAnsi="宋体" w:cs="宋体"/>
          <w:b/>
          <w:bCs/>
          <w:color w:val="000000"/>
        </w:rPr>
        <w:t xml:space="preserve">空调外机：</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本次机房内列间空调4台，房间级空调2台。空调外机布置1楼。室外机放置位置详见设计图纸。</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（5）机房新风排烟系统</w:t>
      </w:r>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bookmarkStart w:id="367" w:name="OLE_LINK5"/>
      <w:r>
        <w:rPr>
          <w:rFonts w:hint="eastAsia" w:ascii="宋体" w:hAnsi="宋体" w:cs="宋体"/>
          <w:color w:val="000000"/>
        </w:rPr>
        <w:t xml:space="preserve">根据《建筑设计防火规范》GB50016-2014，计算机机房新风换风次数为2.5-6.25次。本次机房新风设计风量为1500 m3/H，次针对</w:t>
      </w:r>
      <w:bookmarkStart w:id="368" w:name="_Hlk98419948"/>
      <w:r>
        <w:rPr>
          <w:rFonts w:hint="eastAsia" w:ascii="宋体" w:hAnsi="宋体" w:cs="宋体"/>
          <w:color w:val="000000"/>
        </w:rPr>
        <w:t xml:space="preserve">新建机房、动力配电室</w:t>
      </w:r>
      <w:bookmarkEnd w:id="368"/>
      <w:r>
        <w:rPr>
          <w:rFonts w:hint="eastAsia" w:ascii="宋体" w:hAnsi="宋体" w:cs="宋体"/>
          <w:color w:val="000000"/>
        </w:rPr>
        <w:t xml:space="preserve">合计面积130.3m²，吊顶内层高为3m，体积约为:390.9m³,平均每小时换风3次，风量为1172.7m³/h。电池间面积为37m²，吊顶内层高为3m，体积约为:111m³,平均每小时换风2次，风量为222m³/h。本次选配250m3/H风量日常排风新风机一台。相邻不同级别洁净室之间和洁净室与非洁净室之间的静压差不应小于5Pa，洁净室与室外的静压差不应小于10Pa；</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新风管道根据《实用供热空调设计手册》，工业建筑设计标准选配1500m³/H风量新风机一台，250m³/H风量日常排风新风机一台，新风管道按每个房间校核机组的压力和所需风量逐减管道的截面积，确保每个房间送风量的统一性。</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事故后排风要求</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根据《建筑设计防火规范》GB50016-2014，事故后排风是装有气体灭火机房必须配置的设备，本次针对新建主机房和动力配电室设置一台事故后排风风机，新建主机房面积为113㎡，动力配电室面积为17.3㎡，合计面积130.3m²，层高3米，平均每小时换气6次，风量2345m³/h，选配风量3000m³/h的轴流风机 ，房间内设置300mm*200mm的补风口。</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电池间面积37㎡，层高3米，体积约为: 111m³，平均每小时换气12次，风量1332 m³/h，选配1500 m³/h的防爆轴流风机；房间内设置300mm*200mm的补风口。</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排烟设计根据《实用供热空调设计手册》(陆耀庆主编）中机械排烟系统风速≤20(m/s)计算，当选取两个或者两个以上的防烟分区时，按最大一个防烟分区面积每平方米不小于120m³/h计算，且最大不宜超过60000m³h。负担一个排烟分区排烟时，按该排烟分区面积不小于每平方米60m³/h计算，且最少不小于7200m³/h。且在选择风机的时候，要考虑20%的漏风量，选配出合适的风机,其他管路走向详见深化设计图纸。</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bookmarkEnd w:id="367"/>
      <w:r>
        <w:rPr>
          <w:rFonts w:hint="eastAsia" w:ascii="宋体" w:hAnsi="宋体" w:eastAsia="宋体" w:cs="宋体"/>
          <w:color w:val="000000"/>
          <w:sz w:val="22"/>
          <w:szCs w:val="22"/>
        </w:rPr>
        <w:t xml:space="preserve">（6）机房气体</w:t>
      </w:r>
      <w:bookmarkStart w:id="369" w:name="_Hlk240956804"/>
      <w:r>
        <w:rPr>
          <w:rFonts w:hint="eastAsia" w:ascii="宋体" w:hAnsi="宋体" w:eastAsia="宋体" w:cs="宋体"/>
          <w:color w:val="000000"/>
          <w:sz w:val="22"/>
          <w:szCs w:val="22"/>
        </w:rPr>
        <w:t xml:space="preserve">消防系统</w:t>
      </w:r>
      <w:bookmarkEnd w:id="369"/>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bookmarkStart w:id="370" w:name="_Toc290867382"/>
      <w:r/>
      <w:bookmarkStart w:id="371" w:name="_Toc290867103"/>
      <w:r/>
      <w:bookmarkStart w:id="372" w:name="_Toc226139740"/>
      <w:r/>
      <w:bookmarkStart w:id="373" w:name="_Toc290867561"/>
      <w:r/>
      <w:bookmarkStart w:id="374" w:name="_Toc290866757"/>
      <w:r/>
      <w:bookmarkStart w:id="375" w:name="_Toc290866929"/>
      <w:r/>
      <w:bookmarkStart w:id="376" w:name="_Toc290867282"/>
      <w:r/>
      <w:bookmarkStart w:id="377" w:name="_Toc290867655"/>
      <w:r/>
      <w:bookmarkStart w:id="378" w:name="_Toc290867467"/>
      <w:r/>
      <w:bookmarkStart w:id="379" w:name="_Toc290866842"/>
      <w:r/>
      <w:bookmarkStart w:id="380" w:name="_Toc290867749"/>
      <w:r/>
      <w:bookmarkStart w:id="381" w:name="_Toc290866666"/>
      <w:r>
        <w:rPr>
          <w:rFonts w:hint="eastAsia" w:ascii="宋体" w:hAnsi="宋体" w:cs="宋体"/>
          <w:color w:val="000000"/>
        </w:rPr>
        <w:t xml:space="preserve">本项目消防系统采用无管网七氟丙烷</w:t>
      </w:r>
      <w:bookmarkStart w:id="382" w:name="_Hlk240815222"/>
      <w:r>
        <w:rPr>
          <w:rFonts w:hint="eastAsia" w:ascii="宋体" w:hAnsi="宋体" w:cs="宋体"/>
          <w:color w:val="000000"/>
        </w:rPr>
        <w:t xml:space="preserve">气体</w:t>
      </w:r>
      <w:bookmarkEnd w:id="382"/>
      <w:r>
        <w:rPr>
          <w:rFonts w:hint="eastAsia" w:ascii="宋体" w:hAnsi="宋体" w:cs="宋体"/>
          <w:color w:val="000000"/>
        </w:rPr>
        <w:t xml:space="preserve">灭火系统，有新建主机房、动力配电室，电池间3个保护区。</w:t>
      </w:r>
      <w:r>
        <w:rPr>
          <w:rFonts w:ascii="宋体" w:hAnsi="宋体" w:cs="宋体"/>
          <w:color w:val="000000"/>
        </w:rPr>
      </w:r>
      <w:r/>
    </w:p>
    <w:p>
      <w:pPr>
        <w:pStyle w:val="720"/>
        <w:ind w:firstLine="398"/>
        <w:spacing w:line="360" w:lineRule="auto"/>
        <w:rPr>
          <w:rFonts w:ascii="宋体" w:hAnsi="宋体" w:cs="宋体"/>
          <w:b/>
          <w:bCs/>
          <w:color w:val="000000"/>
        </w:rPr>
      </w:pPr>
      <w:r>
        <w:rPr>
          <w:rFonts w:hint="eastAsia" w:ascii="宋体" w:hAnsi="宋体" w:cs="宋体"/>
          <w:b/>
          <w:bCs/>
          <w:color w:val="000000"/>
        </w:rPr>
        <w:t xml:space="preserve">用量计算</w:t>
      </w:r>
      <w:r>
        <w:rPr>
          <w:rFonts w:ascii="宋体" w:hAnsi="宋体" w:cs="宋体"/>
          <w:b/>
          <w:bCs/>
          <w:color w:val="000000"/>
        </w:rPr>
      </w:r>
      <w:r/>
    </w:p>
    <w:tbl>
      <w:tblPr>
        <w:tblpPr w:horzAnchor="page" w:tblpXSpec="center" w:vertAnchor="text" w:tblpY="137" w:leftFromText="180" w:topFromText="0" w:rightFromText="180" w:bottomFromText="0"/>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1027"/>
        <w:gridCol w:w="993"/>
        <w:gridCol w:w="925"/>
        <w:gridCol w:w="937"/>
        <w:gridCol w:w="937"/>
        <w:gridCol w:w="817"/>
        <w:gridCol w:w="742"/>
        <w:gridCol w:w="993"/>
      </w:tblGrid>
      <w:tr>
        <w:trPr>
          <w:trHeight w:val="1156"/>
        </w:trPr>
        <w:tc>
          <w:tcPr>
            <w:tcW w:w="155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color w:val="000000"/>
              </w:rPr>
              <w:t xml:space="preserve">防护区名称</w:t>
            </w:r>
            <w:r>
              <w:rPr>
                <w:rFonts w:ascii="宋体" w:hAnsi="宋体" w:cs="宋体"/>
                <w:color w:val="000000"/>
              </w:rPr>
            </w:r>
            <w:r/>
          </w:p>
        </w:tc>
        <w:tc>
          <w:tcPr>
            <w:tcW w:w="1027"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面积(m)²</w:t>
            </w:r>
            <w:r>
              <w:rPr>
                <w:rFonts w:ascii="宋体" w:hAnsi="宋体" w:cs="宋体"/>
                <w:color w:val="000000"/>
              </w:rPr>
            </w:r>
            <w:r/>
          </w:p>
        </w:tc>
        <w:tc>
          <w:tcPr>
            <w:tcW w:w="993"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防护区体积 (m3)³</w:t>
            </w:r>
            <w:r>
              <w:rPr>
                <w:rFonts w:ascii="宋体" w:hAnsi="宋体" w:cs="宋体"/>
                <w:color w:val="000000"/>
              </w:rPr>
            </w:r>
            <w:r/>
          </w:p>
        </w:tc>
        <w:tc>
          <w:tcPr>
            <w:tcW w:w="925"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剂设计浓度（%）</w:t>
            </w:r>
            <w:r>
              <w:rPr>
                <w:rFonts w:ascii="宋体" w:hAnsi="宋体" w:cs="宋体"/>
                <w:color w:val="000000"/>
              </w:rPr>
            </w:r>
            <w:r/>
          </w:p>
        </w:tc>
        <w:tc>
          <w:tcPr>
            <w:tcW w:w="937"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灭火剂设计用量（Kg）</w:t>
            </w:r>
            <w:r>
              <w:rPr>
                <w:rFonts w:ascii="宋体" w:hAnsi="宋体" w:cs="宋体"/>
                <w:color w:val="000000"/>
              </w:rPr>
            </w:r>
            <w:r/>
          </w:p>
        </w:tc>
        <w:tc>
          <w:tcPr>
            <w:tcW w:w="937"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单瓶充装量（Kg）</w:t>
            </w:r>
            <w:r>
              <w:rPr>
                <w:rFonts w:ascii="宋体" w:hAnsi="宋体" w:cs="宋体"/>
                <w:color w:val="000000"/>
              </w:rPr>
            </w:r>
            <w:r/>
          </w:p>
        </w:tc>
        <w:tc>
          <w:tcPr>
            <w:tcW w:w="817"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钢瓶容积（L）</w:t>
            </w:r>
            <w:r>
              <w:rPr>
                <w:rFonts w:ascii="宋体" w:hAnsi="宋体" w:cs="宋体"/>
                <w:color w:val="000000"/>
              </w:rPr>
            </w:r>
            <w:r/>
          </w:p>
        </w:tc>
        <w:tc>
          <w:tcPr>
            <w:tcW w:w="742"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钢瓶数量</w:t>
            </w:r>
            <w:r>
              <w:rPr>
                <w:rFonts w:ascii="宋体" w:hAnsi="宋体" w:cs="宋体"/>
                <w:color w:val="000000"/>
              </w:rPr>
            </w:r>
            <w:r/>
          </w:p>
        </w:tc>
        <w:tc>
          <w:tcPr>
            <w:tcW w:w="993" w:type="dxa"/>
            <w:vAlign w:val="center"/>
            <w:textDirection w:val="lrTb"/>
            <w:noWrap w:val="false"/>
          </w:tcPr>
          <w:p>
            <w:pPr>
              <w:pStyle w:val="720"/>
              <w:spacing w:line="240" w:lineRule="atLeast"/>
              <w:rPr>
                <w:rFonts w:ascii="宋体" w:hAnsi="宋体" w:cs="宋体"/>
                <w:color w:val="000000"/>
              </w:rPr>
              <w:framePr w:vAnchor="text" w:hAnchor="page" w:xAlign="center" w:y="137"/>
            </w:pPr>
            <w:r>
              <w:rPr>
                <w:rFonts w:hint="eastAsia" w:ascii="宋体" w:hAnsi="宋体" w:cs="宋体"/>
                <w:color w:val="000000"/>
              </w:rPr>
              <w:t xml:space="preserve">泄 压 口面积（m2）</w:t>
            </w:r>
            <w:r>
              <w:rPr>
                <w:rFonts w:ascii="宋体" w:hAnsi="宋体" w:cs="宋体"/>
                <w:color w:val="000000"/>
              </w:rPr>
            </w:r>
            <w:r/>
          </w:p>
        </w:tc>
      </w:tr>
      <w:tr>
        <w:trPr>
          <w:trHeight w:val="270"/>
        </w:trPr>
        <w:tc>
          <w:tcPr>
            <w:tcW w:w="155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新建主机房</w:t>
            </w:r>
            <w:r>
              <w:rPr>
                <w:rFonts w:ascii="宋体" w:hAnsi="宋体" w:cs="宋体"/>
                <w:color w:val="000000"/>
              </w:rPr>
            </w:r>
            <w:r/>
          </w:p>
        </w:tc>
        <w:tc>
          <w:tcPr>
            <w:tcW w:w="102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113</w:t>
            </w:r>
            <w:r>
              <w:rPr>
                <w:rFonts w:ascii="宋体" w:hAnsi="宋体" w:cs="宋体"/>
                <w:color w:val="000000"/>
              </w:rPr>
            </w:r>
            <w:r/>
          </w:p>
        </w:tc>
        <w:tc>
          <w:tcPr>
            <w:tcW w:w="993"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339</w:t>
            </w:r>
            <w:r>
              <w:rPr>
                <w:rFonts w:ascii="宋体" w:hAnsi="宋体" w:cs="宋体"/>
                <w:color w:val="000000"/>
              </w:rPr>
            </w:r>
            <w:r/>
          </w:p>
        </w:tc>
        <w:tc>
          <w:tcPr>
            <w:tcW w:w="92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8</w:t>
            </w:r>
            <w:r>
              <w:rPr>
                <w:rFonts w:ascii="宋体" w:hAnsi="宋体" w:cs="宋体"/>
                <w:color w:val="000000"/>
              </w:rPr>
            </w:r>
            <w:r/>
          </w:p>
        </w:tc>
        <w:tc>
          <w:tcPr>
            <w:tcW w:w="93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214.92</w:t>
            </w:r>
            <w:r>
              <w:rPr>
                <w:rFonts w:ascii="宋体" w:hAnsi="宋体" w:cs="宋体"/>
                <w:color w:val="000000"/>
              </w:rPr>
            </w:r>
            <w:r/>
          </w:p>
        </w:tc>
        <w:tc>
          <w:tcPr>
            <w:tcW w:w="93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111</w:t>
            </w:r>
            <w:r>
              <w:rPr>
                <w:rFonts w:ascii="宋体" w:hAnsi="宋体" w:cs="宋体"/>
                <w:color w:val="000000"/>
              </w:rPr>
            </w:r>
            <w:r/>
          </w:p>
        </w:tc>
        <w:tc>
          <w:tcPr>
            <w:tcW w:w="81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120</w:t>
            </w:r>
            <w:r>
              <w:rPr>
                <w:rFonts w:ascii="宋体" w:hAnsi="宋体" w:cs="宋体"/>
                <w:color w:val="000000"/>
              </w:rPr>
            </w:r>
            <w:r/>
          </w:p>
        </w:tc>
        <w:tc>
          <w:tcPr>
            <w:tcW w:w="742"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2</w:t>
            </w:r>
            <w:r>
              <w:rPr>
                <w:rFonts w:ascii="宋体" w:hAnsi="宋体" w:cs="宋体"/>
                <w:color w:val="000000"/>
              </w:rPr>
            </w:r>
            <w:r/>
          </w:p>
        </w:tc>
        <w:tc>
          <w:tcPr>
            <w:tcW w:w="993"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0.12</w:t>
            </w:r>
            <w:r>
              <w:rPr>
                <w:rFonts w:ascii="宋体" w:hAnsi="宋体" w:cs="宋体"/>
                <w:color w:val="000000"/>
              </w:rPr>
            </w:r>
            <w:r/>
          </w:p>
        </w:tc>
      </w:tr>
      <w:tr>
        <w:trPr>
          <w:trHeight w:val="270"/>
        </w:trPr>
        <w:tc>
          <w:tcPr>
            <w:tcW w:w="155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动力配电室</w:t>
            </w:r>
            <w:r>
              <w:rPr>
                <w:rFonts w:ascii="宋体" w:hAnsi="宋体" w:cs="宋体"/>
                <w:color w:val="000000"/>
              </w:rPr>
            </w:r>
            <w:r/>
          </w:p>
        </w:tc>
        <w:tc>
          <w:tcPr>
            <w:tcW w:w="102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17.3</w:t>
            </w:r>
            <w:r>
              <w:rPr>
                <w:rFonts w:ascii="宋体" w:hAnsi="宋体" w:cs="宋体"/>
                <w:color w:val="000000"/>
              </w:rPr>
            </w:r>
            <w:r/>
          </w:p>
        </w:tc>
        <w:tc>
          <w:tcPr>
            <w:tcW w:w="993"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51.9</w:t>
            </w:r>
            <w:r>
              <w:rPr>
                <w:rFonts w:ascii="宋体" w:hAnsi="宋体" w:cs="宋体"/>
                <w:color w:val="000000"/>
              </w:rPr>
            </w:r>
            <w:r/>
          </w:p>
        </w:tc>
        <w:tc>
          <w:tcPr>
            <w:tcW w:w="92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9</w:t>
            </w:r>
            <w:r>
              <w:rPr>
                <w:rFonts w:ascii="宋体" w:hAnsi="宋体" w:cs="宋体"/>
                <w:color w:val="000000"/>
              </w:rPr>
            </w:r>
            <w:r/>
          </w:p>
        </w:tc>
        <w:tc>
          <w:tcPr>
            <w:tcW w:w="93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37.41</w:t>
            </w:r>
            <w:r>
              <w:rPr>
                <w:rFonts w:ascii="宋体" w:hAnsi="宋体" w:cs="宋体"/>
                <w:color w:val="000000"/>
              </w:rPr>
            </w:r>
            <w:r/>
          </w:p>
        </w:tc>
        <w:tc>
          <w:tcPr>
            <w:tcW w:w="937" w:type="dxa"/>
            <w:vAlign w:val="top"/>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40</w:t>
            </w:r>
            <w:r>
              <w:rPr>
                <w:rFonts w:ascii="宋体" w:hAnsi="宋体" w:cs="宋体"/>
                <w:color w:val="000000"/>
              </w:rPr>
            </w:r>
            <w:r/>
          </w:p>
        </w:tc>
        <w:tc>
          <w:tcPr>
            <w:tcW w:w="81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40</w:t>
            </w:r>
            <w:r>
              <w:rPr>
                <w:rFonts w:ascii="宋体" w:hAnsi="宋体" w:cs="宋体"/>
                <w:color w:val="000000"/>
              </w:rPr>
            </w:r>
            <w:r/>
          </w:p>
        </w:tc>
        <w:tc>
          <w:tcPr>
            <w:tcW w:w="742"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w:t>
            </w:r>
            <w:r>
              <w:rPr>
                <w:rFonts w:ascii="宋体" w:hAnsi="宋体" w:cs="宋体"/>
                <w:color w:val="000000"/>
              </w:rPr>
            </w:r>
            <w:r/>
          </w:p>
        </w:tc>
        <w:tc>
          <w:tcPr>
            <w:tcW w:w="993"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0.07</w:t>
            </w:r>
            <w:r>
              <w:rPr>
                <w:rFonts w:ascii="宋体" w:hAnsi="宋体" w:cs="宋体"/>
                <w:color w:val="000000"/>
              </w:rPr>
            </w:r>
            <w:r/>
          </w:p>
        </w:tc>
      </w:tr>
      <w:tr>
        <w:trPr>
          <w:trHeight w:val="270"/>
        </w:trPr>
        <w:tc>
          <w:tcPr>
            <w:tcW w:w="155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电池间</w:t>
            </w:r>
            <w:r>
              <w:rPr>
                <w:rFonts w:ascii="宋体" w:hAnsi="宋体" w:cs="宋体"/>
                <w:color w:val="000000"/>
              </w:rPr>
            </w:r>
            <w:r/>
          </w:p>
        </w:tc>
        <w:tc>
          <w:tcPr>
            <w:tcW w:w="102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37</w:t>
            </w:r>
            <w:r>
              <w:rPr>
                <w:rFonts w:ascii="宋体" w:hAnsi="宋体" w:cs="宋体"/>
                <w:color w:val="000000"/>
              </w:rPr>
            </w:r>
            <w:r/>
          </w:p>
        </w:tc>
        <w:tc>
          <w:tcPr>
            <w:tcW w:w="993"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111</w:t>
            </w:r>
            <w:r>
              <w:rPr>
                <w:rFonts w:ascii="宋体" w:hAnsi="宋体" w:cs="宋体"/>
                <w:color w:val="000000"/>
              </w:rPr>
            </w:r>
            <w:r/>
          </w:p>
        </w:tc>
        <w:tc>
          <w:tcPr>
            <w:tcW w:w="925"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9</w:t>
            </w:r>
            <w:r>
              <w:rPr>
                <w:rFonts w:ascii="宋体" w:hAnsi="宋体" w:cs="宋体"/>
                <w:color w:val="000000"/>
              </w:rPr>
            </w:r>
            <w:r/>
          </w:p>
        </w:tc>
        <w:tc>
          <w:tcPr>
            <w:tcW w:w="93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80</w:t>
            </w:r>
            <w:r>
              <w:rPr>
                <w:rFonts w:ascii="宋体" w:hAnsi="宋体" w:cs="宋体"/>
                <w:color w:val="000000"/>
              </w:rPr>
            </w:r>
            <w:r/>
          </w:p>
        </w:tc>
        <w:tc>
          <w:tcPr>
            <w:tcW w:w="937" w:type="dxa"/>
            <w:vAlign w:val="top"/>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84</w:t>
            </w:r>
            <w:r>
              <w:rPr>
                <w:rFonts w:ascii="宋体" w:hAnsi="宋体" w:cs="宋体"/>
                <w:color w:val="000000"/>
              </w:rPr>
            </w:r>
            <w:r/>
          </w:p>
        </w:tc>
        <w:tc>
          <w:tcPr>
            <w:tcW w:w="817"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90</w:t>
            </w:r>
            <w:r>
              <w:rPr>
                <w:rFonts w:ascii="宋体" w:hAnsi="宋体" w:cs="宋体"/>
                <w:color w:val="000000"/>
              </w:rPr>
            </w:r>
            <w:r/>
          </w:p>
        </w:tc>
        <w:tc>
          <w:tcPr>
            <w:tcW w:w="742" w:type="dxa"/>
            <w:vAlign w:val="center"/>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1</w:t>
            </w:r>
            <w:r>
              <w:rPr>
                <w:rFonts w:ascii="宋体" w:hAnsi="宋体" w:cs="宋体"/>
                <w:color w:val="000000"/>
              </w:rPr>
            </w:r>
            <w:r/>
          </w:p>
        </w:tc>
        <w:tc>
          <w:tcPr>
            <w:tcW w:w="993" w:type="dxa"/>
            <w:vAlign w:val="top"/>
            <w:textDirection w:val="lrTb"/>
            <w:noWrap w:val="false"/>
          </w:tcPr>
          <w:p>
            <w:pPr>
              <w:pStyle w:val="720"/>
              <w:jc w:val="center"/>
              <w:spacing w:line="240" w:lineRule="atLeast"/>
              <w:rPr>
                <w:rFonts w:ascii="宋体" w:hAnsi="宋体" w:cs="宋体"/>
                <w:color w:val="000000"/>
              </w:rPr>
              <w:framePr w:vAnchor="text" w:hAnchor="page" w:xAlign="center" w:y="137"/>
            </w:pPr>
            <w:r>
              <w:rPr>
                <w:rFonts w:hint="eastAsia" w:ascii="宋体" w:hAnsi="宋体" w:cs="宋体"/>
                <w:color w:val="000000"/>
              </w:rPr>
              <w:t xml:space="preserve">0.07</w:t>
            </w:r>
            <w:r>
              <w:rPr>
                <w:rFonts w:ascii="宋体" w:hAnsi="宋体" w:cs="宋体"/>
                <w:color w:val="000000"/>
              </w:rPr>
            </w:r>
            <w:r/>
          </w:p>
        </w:tc>
      </w:tr>
    </w:tbl>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（7）机房综合布线系统</w:t>
      </w:r>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核心机房共24个使用机柜，每台机柜配置六类24口网络配线架，其中12根6类成品跳线到主汇聚，12根6类成品跳线到备汇聚。每台机柜配置24芯OS2单模预端接光缆，其中12芯到主汇聚，另外12芯到备汇聚。其他详见采购清单技术参数。</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（8）机房动力环境监控系统</w:t>
      </w:r>
      <w:r>
        <w:rPr>
          <w:rFonts w:ascii="宋体" w:hAnsi="宋体" w:eastAsia="宋体" w:cs="宋体"/>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机房动力环境监控系统包括机房动力环境及安防的监控系统，主要监控对象包括：精密空调、UPS、精密配电柜、温湿度监测、漏水检测、门禁、闭路监控等，实现7×24×365的全面集中监控和管理，保障机房环境及设备安全高效运行，以实现最高的机房可用率，并不断提高运营管理水平，本动力环境监控系统基础检测内容如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1）精密配电柜监测：在配电柜安装智能电量仪，实时监测配电柜输出相电压、电流、频率、最大千伏安、输出功率（有功、无功、视在）、谐波率、功率因素等；监测输出电压、电流、频率超限，过载，负载不平衡，交流电源失效等告警信息，监测到报警时主系统发出报警。</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UPS监测：实时监测UPS的运行状态。模拟量有：直流输入电压、电流，交流输出电压、电流、频率，输出功率(有功、无功、视在)，最大千伏安，谐波率等；数字量有：输入，输出电压越限，输出电压越限，输出频率越限，过载，电池工作模式，旁路工作模式，电池电压高，电池电压低，系统报警，整流器报警，逆变器报警，系统关机，旁路电压超限等。</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精密空调：实时监测精密空调的工作状态，如：回风温度、回风湿度、回风温度上限、回风湿度上限、回风温度下限、回风湿度下限、温度设定值、湿度设定值、空调运行状态、压缩机运行时间、加热百分比、制冷百分比、加热器运行状态、制冷器运行状态、除湿器运行状态、加湿器运行状态、温湿度变化曲线图、压缩机高压报警、压缩机低压报警、空调漏水报警、温湿度过高报警、温湿度过低报警、加湿器故障报警、主风扇过载报警、加湿器缺水报警、滤网堵塞报警等。</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（4）温湿度监测：以电子地图形式显示安装在机房内的传感器的温度，湿度。系统可以显示短时间内的历史曲线图，设置有温湿度的上，下限报警阀值。</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5）漏水监测：以电子地图方式实时显示并记录漏水线缆感应到的漏水状态、位置及控制器的状态。当空调、新风加湿一体机或其沿线水管漏水时，监控主系统发出报警，并有相应的图示和文本框显示漏水发生的位置。主要监测精密空调周边或其它容易漏水边缘。 </w:t>
      </w:r>
      <w:r>
        <w:rPr>
          <w:rFonts w:ascii="宋体" w:hAnsi="宋体" w:cs="宋体"/>
          <w:color w:val="000000"/>
        </w:rPr>
      </w:r>
      <w:r/>
    </w:p>
    <w:p>
      <w:pPr>
        <w:pStyle w:val="724"/>
        <w:ind w:firstLine="398"/>
        <w:spacing w:before="0"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（9）机房安防门禁系统</w:t>
      </w:r>
      <w:r>
        <w:rPr>
          <w:rFonts w:ascii="宋体" w:hAnsi="宋体" w:eastAsia="宋体" w:cs="宋体"/>
          <w:color w:val="000000"/>
          <w:sz w:val="22"/>
          <w:szCs w:val="22"/>
        </w:rPr>
      </w:r>
      <w:r/>
    </w:p>
    <w:p>
      <w:pPr>
        <w:pStyle w:val="720"/>
        <w:ind w:firstLine="398"/>
        <w:spacing w:line="360" w:lineRule="auto"/>
        <w:rPr>
          <w:rFonts w:ascii="宋体" w:hAnsi="宋体" w:cs="宋体"/>
          <w:b/>
          <w:bCs/>
          <w:color w:val="000000"/>
        </w:rPr>
      </w:pPr>
      <w:r>
        <w:rPr>
          <w:rFonts w:ascii="宋体" w:hAnsi="宋体" w:cs="宋体"/>
          <w:b/>
          <w:bCs/>
          <w:color w:val="000000"/>
        </w:rPr>
        <w:t xml:space="preserve">①</w:t>
      </w:r>
      <w:r>
        <w:rPr>
          <w:rFonts w:hint="eastAsia" w:ascii="宋体" w:hAnsi="宋体" w:cs="宋体"/>
          <w:b/>
          <w:bCs/>
          <w:color w:val="000000"/>
        </w:rPr>
        <w:t xml:space="preserve">门禁系统</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安防系统应采用先进、成熟的技术，使系统可靠、实用、独具特色。同时引入集中控制管理模式，力求最大程度的为管理者提供方便，并可以与数据中心的其它弱电系统相衔接，因此系统具备开放性、可扩展性及兼容性，并是一个高可靠、容错的系统，以减轻管理者的压力。另一方面，从系统投入上考虑，设计施工过程中尽量提高性价比。</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本次设计中共4套门禁，全部配置人脸识别门禁系统，门禁工作方式人脸识别及刷卡方式进出。</w:t>
      </w:r>
      <w:r>
        <w:rPr>
          <w:rFonts w:ascii="宋体" w:hAnsi="宋体" w:cs="宋体"/>
          <w:color w:val="000000"/>
        </w:rPr>
      </w:r>
      <w:r/>
    </w:p>
    <w:p>
      <w:pPr>
        <w:pStyle w:val="720"/>
        <w:ind w:firstLine="396"/>
        <w:spacing w:line="360" w:lineRule="auto"/>
        <w:rPr>
          <w:rFonts w:ascii="宋体" w:hAnsi="宋体" w:cs="宋体"/>
          <w:color w:val="000000"/>
        </w:rPr>
      </w:pPr>
      <w:r/>
      <w:bookmarkStart w:id="383" w:name="_Toc292200449"/>
      <w:r/>
      <w:bookmarkStart w:id="384" w:name="_Toc303603053"/>
      <w:r>
        <w:rPr>
          <w:rFonts w:hint="eastAsia" w:ascii="宋体" w:hAnsi="宋体" w:cs="宋体"/>
          <w:color w:val="000000"/>
        </w:rPr>
        <w:t xml:space="preserve">门禁采用人脸识别或刷卡方式进出。机房门禁控制器可和消防发生联动, 一旦确认发生火灾，自动切除门禁电源打开门。门禁系统纳入动力环境监控系统，在动环平台上可通过B/S架构看到门禁的相关状态信息。</w:t>
      </w:r>
      <w:bookmarkEnd w:id="383"/>
      <w:r/>
      <w:bookmarkEnd w:id="384"/>
      <w:r>
        <w:rPr>
          <w:rFonts w:ascii="宋体" w:hAnsi="宋体" w:cs="宋体"/>
          <w:color w:val="000000"/>
        </w:rPr>
      </w:r>
      <w:r/>
    </w:p>
    <w:p>
      <w:pPr>
        <w:pStyle w:val="720"/>
        <w:ind w:firstLine="398"/>
        <w:spacing w:line="360" w:lineRule="auto"/>
        <w:rPr>
          <w:rFonts w:ascii="宋体" w:hAnsi="宋体" w:cs="宋体"/>
          <w:b/>
          <w:bCs/>
          <w:color w:val="000000"/>
        </w:rPr>
      </w:pPr>
      <w:r>
        <w:rPr>
          <w:rFonts w:ascii="宋体" w:hAnsi="宋体" w:cs="宋体"/>
          <w:b/>
          <w:bCs/>
          <w:color w:val="000000"/>
        </w:rPr>
        <w:t xml:space="preserve">②</w:t>
      </w:r>
      <w:r>
        <w:rPr>
          <w:rFonts w:hint="eastAsia" w:ascii="宋体" w:hAnsi="宋体" w:cs="宋体"/>
          <w:b/>
          <w:bCs/>
          <w:color w:val="000000"/>
        </w:rPr>
        <w:t xml:space="preserve">视频监控</w:t>
      </w:r>
      <w:r>
        <w:rPr>
          <w:rFonts w:ascii="宋体" w:hAnsi="宋体" w:cs="宋体"/>
          <w:b/>
          <w:bCs/>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数据中心视频监控系统是基于现代控制理论中的分布控制理论而设计的一个集散型控制系统，它通过中心设备将分布在监控现场的各个智能单元连接在一起，构成一个先进而完善的综合监控系统，为数据中心提供一个安全、高效、智能的环境。</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本次对新建主机房、动力配电室、电池间安装12路网络高清半球摄像机，达到无死角功能。硬盘存储时间一天24小时，≥30天。</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85" w:name="_Toc25619"/>
      <w:r>
        <w:rPr>
          <w:rFonts w:hint="eastAsia" w:ascii="宋体" w:hAnsi="宋体" w:eastAsia="宋体" w:cs="宋体"/>
          <w:b/>
          <w:bCs/>
          <w:color w:val="000000"/>
          <w:sz w:val="22"/>
          <w:szCs w:val="22"/>
        </w:rPr>
        <w:t xml:space="preserve">4、设计图纸（另附）</w:t>
      </w:r>
      <w:bookmarkEnd w:id="385"/>
      <w:r>
        <w:rPr>
          <w:rFonts w:ascii="宋体" w:hAnsi="宋体" w:eastAsia="宋体" w:cs="宋体"/>
          <w:b/>
          <w:bCs/>
          <w:color w:val="000000"/>
          <w:sz w:val="22"/>
          <w:szCs w:val="22"/>
        </w:rPr>
      </w:r>
      <w:r/>
    </w:p>
    <w:p>
      <w:pPr>
        <w:pStyle w:val="973"/>
        <w:ind w:firstLine="51"/>
        <w:spacing w:before="0" w:after="0" w:line="360" w:lineRule="auto"/>
        <w:rPr>
          <w:rFonts w:ascii="黑体" w:hAnsi="黑体" w:eastAsia="黑体" w:cs="黑体"/>
          <w:szCs w:val="24"/>
        </w:rPr>
      </w:pPr>
      <w:r/>
      <w:bookmarkStart w:id="386" w:name="_Toc20550"/>
      <w:r>
        <w:rPr>
          <w:rFonts w:hint="eastAsia" w:ascii="黑体" w:hAnsi="黑体" w:eastAsia="黑体" w:cs="黑体"/>
          <w:szCs w:val="24"/>
        </w:rPr>
        <w:t xml:space="preserve">三、技术服务要求</w:t>
      </w:r>
      <w:bookmarkEnd w:id="386"/>
      <w:r>
        <w:rPr>
          <w:rFonts w:ascii="黑体" w:hAnsi="黑体" w:eastAsia="黑体" w:cs="黑体"/>
          <w:szCs w:val="24"/>
        </w:rPr>
      </w:r>
      <w:r/>
    </w:p>
    <w:p>
      <w:pPr>
        <w:pStyle w:val="723"/>
        <w:ind w:firstLine="398"/>
        <w:spacing w:before="0" w:after="0" w:line="360" w:lineRule="auto"/>
        <w:rPr>
          <w:rFonts w:ascii="宋体" w:hAnsi="宋体" w:eastAsia="宋体" w:cs="宋体"/>
          <w:b/>
          <w:bCs/>
          <w:color w:val="000000"/>
          <w:sz w:val="22"/>
          <w:szCs w:val="22"/>
        </w:rPr>
      </w:pPr>
      <w:r/>
      <w:bookmarkStart w:id="387" w:name="_Toc15737"/>
      <w:r>
        <w:rPr>
          <w:rFonts w:hint="eastAsia" w:ascii="宋体" w:hAnsi="宋体" w:eastAsia="宋体" w:cs="宋体"/>
          <w:b/>
          <w:bCs/>
          <w:color w:val="000000"/>
          <w:sz w:val="22"/>
          <w:szCs w:val="22"/>
        </w:rPr>
        <w:t xml:space="preserve">1、技术配合要求</w:t>
      </w:r>
      <w:bookmarkEnd w:id="387"/>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(1)项目实施后中标人需提供完整的电子文档和安装手册。</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(2)投标人所提供的系统方案要充分考虑现有实际情况，签订合同后，招标人有权要求中标人根据现场情况对投标人方案及产品进行深化和调整。</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(3)中标人提供相关的各类培训，包括技术培训和操作培训，并制定详细的培训计划。</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(4）中标人所有涉及到软件及资源的，都必须提供正版或授权证书，不得使用盗版或无合规证书的软件与资源。</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88" w:name="_Toc14252"/>
      <w:r>
        <w:rPr>
          <w:rFonts w:hint="eastAsia" w:ascii="宋体" w:hAnsi="宋体" w:eastAsia="宋体" w:cs="宋体"/>
          <w:b/>
          <w:bCs/>
          <w:color w:val="000000"/>
          <w:sz w:val="22"/>
          <w:szCs w:val="22"/>
        </w:rPr>
        <w:t xml:space="preserve">2、项目管理要求</w:t>
      </w:r>
      <w:bookmarkEnd w:id="388"/>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(1)建立项目管理的原则、组织、协调机制和实施办法。投标人需提供实施本项目的完整的项目管理方案，并在项目建设过程中严格执行。</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(2)需高度重视对过程的管理控制，高度重视对各类文档的管理，需建立中间环节和文档的内部测试审核制度。</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(3)设备制造商和中标人需对采购人技术人员(至少2人)进行免费培训，培训讲师为设备原厂商专业技术人员，培训不少于2次。</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89" w:name="_Toc15903"/>
      <w:r>
        <w:rPr>
          <w:rFonts w:hint="eastAsia" w:ascii="宋体" w:hAnsi="宋体" w:eastAsia="宋体" w:cs="宋体"/>
          <w:b/>
          <w:bCs/>
          <w:color w:val="000000"/>
          <w:sz w:val="22"/>
          <w:szCs w:val="22"/>
        </w:rPr>
        <w:t xml:space="preserve">3、项目实施要求</w:t>
      </w:r>
      <w:bookmarkEnd w:id="389"/>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(1)本服务项目包括系统设备材料供货、安装、调试、开通、培训和售后服务等。</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(2)投标人需提供合理、完善的项目组织管理和实施方案，确保集成工作统筹有序。其中需要包括(但不限于)项目实施、质量管理、人员和组织管理、项目验收、应急处理预案、培训方案等。</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(3)投标人报价需要包含本项目采购全部设备的安装辅材，安装符合国家标准。</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90" w:name="_Toc23633"/>
      <w:r>
        <w:rPr>
          <w:rFonts w:hint="eastAsia" w:ascii="宋体" w:hAnsi="宋体" w:eastAsia="宋体" w:cs="宋体"/>
          <w:b/>
          <w:bCs/>
          <w:color w:val="000000"/>
          <w:sz w:val="22"/>
          <w:szCs w:val="22"/>
        </w:rPr>
        <w:t xml:space="preserve">4、项目培训要求</w:t>
      </w:r>
      <w:bookmarkEnd w:id="390"/>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(1)投标人制定详细的培训计划，并提供相关的各类培训，包括技术培训和操作培训。</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(2)投标人需根据本项目的需求，分别列出系统正常运行、管理和使用所需要的培训，包括(但不限于)：</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培训人数、人次；</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培训的详细课程；</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培训方式；</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培训场地安排；</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培训教材安排；</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ab/>
      </w:r>
      <w:r>
        <w:rPr>
          <w:rFonts w:hint="eastAsia" w:ascii="宋体" w:hAnsi="宋体" w:cs="宋体"/>
          <w:color w:val="000000"/>
        </w:rPr>
        <w:t xml:space="preserve">培训时间安排。</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91" w:name="_Toc31500"/>
      <w:r>
        <w:rPr>
          <w:rFonts w:hint="eastAsia" w:ascii="宋体" w:hAnsi="宋体" w:eastAsia="宋体" w:cs="宋体"/>
          <w:b/>
          <w:bCs/>
          <w:color w:val="000000"/>
          <w:sz w:val="22"/>
          <w:szCs w:val="22"/>
        </w:rPr>
        <w:t xml:space="preserve">5、售后服务要求</w:t>
      </w:r>
      <w:bookmarkEnd w:id="391"/>
      <w:r>
        <w:rPr>
          <w:rFonts w:ascii="宋体" w:hAnsi="宋体" w:eastAsia="宋体" w:cs="宋体"/>
          <w:b/>
          <w:bCs/>
          <w:color w:val="000000"/>
          <w:sz w:val="22"/>
          <w:szCs w:val="22"/>
        </w:rPr>
      </w:r>
      <w:r/>
    </w:p>
    <w:p>
      <w:pPr>
        <w:pStyle w:val="720"/>
        <w:ind w:firstLine="396"/>
        <w:spacing w:line="360" w:lineRule="auto"/>
        <w:rPr>
          <w:rFonts w:ascii="宋体" w:hAnsi="宋体" w:cs="宋体"/>
        </w:rPr>
      </w:pPr>
      <w:r>
        <w:rPr>
          <w:rFonts w:hint="eastAsia" w:ascii="宋体" w:hAnsi="宋体" w:cs="宋体"/>
        </w:rPr>
        <w:t xml:space="preserve">1. 中标人应为本项目整体提供</w:t>
      </w:r>
      <w:r>
        <w:rPr>
          <w:rFonts w:hint="eastAsia" w:ascii="宋体" w:hAnsi="宋体" w:cs="宋体"/>
          <w:u w:val="single"/>
        </w:rPr>
        <w:t xml:space="preserve"> 3 </w:t>
      </w:r>
      <w:r>
        <w:rPr>
          <w:rFonts w:hint="eastAsia" w:ascii="宋体" w:hAnsi="宋体" w:cs="宋体"/>
        </w:rPr>
        <w:t xml:space="preserve">年免费售后服务，其中微模块（UPS+精密空调+精密配电柜+微模块监控采集器）必须为制造厂商原厂三年售后服务。免费质保期自项目整体交付验收通过之日起计算。免费质保期满后，需提供在设备设计使用周期内的有偿包修（出保后应提供不同维保方式的收费标准及折扣率），并且保证在设备的设计使用周期内，采购人能更换或购买到原厂正品的零部件及易损件，确保设备的正常使用。中标人应在项目交付前提供微模块（UPS+精密空调+精密配电柜+微模块监控采集器）制造厂商针对本项目出具的原厂质保函。</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2.</w:t>
      </w:r>
      <w:r>
        <w:rPr>
          <w:rFonts w:hint="eastAsia" w:ascii="宋体" w:hAnsi="宋体" w:cs="宋体"/>
          <w:color w:val="000000"/>
        </w:rPr>
        <w:t xml:space="preserve"> </w:t>
      </w:r>
      <w:r>
        <w:rPr>
          <w:rFonts w:hint="eastAsia" w:ascii="宋体" w:hAnsi="宋体" w:cs="宋体"/>
        </w:rPr>
        <w:t xml:space="preserve">中标人在质保期内应提供本项目所供设备日常运行所需耗材，包括空调、新风、恒湿机过滤网，空调制冷剂。需要按采购人要求对耗材进行更换或者补充，不另外收费。</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3.质保内容：中标人所提供设备及配套部件，非人为因素导致故障提供免费更换。</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响应时间：中标人提供7*24小时电话报修服务。接到报修后，紧急故障，4小时内抵达现场，承诺24小时内更换配件完成修复。一般故障，6小时内抵达现场，若硬件故障长时间无法修复的，将提供备品备件，故障处理时间最长不得超过48小时。</w:t>
      </w:r>
      <w:r>
        <w:rPr>
          <w:rFonts w:ascii="宋体" w:hAnsi="宋体" w:cs="宋体"/>
        </w:rPr>
      </w:r>
      <w:r/>
    </w:p>
    <w:p>
      <w:pPr>
        <w:pStyle w:val="720"/>
        <w:ind w:firstLine="396"/>
        <w:spacing w:line="360" w:lineRule="auto"/>
        <w:rPr>
          <w:rFonts w:ascii="宋体" w:hAnsi="宋体" w:cs="宋体"/>
          <w:color w:val="000000"/>
        </w:rPr>
      </w:pPr>
      <w:r>
        <w:rPr>
          <w:rFonts w:hint="eastAsia" w:ascii="宋体" w:hAnsi="宋体" w:cs="宋体"/>
        </w:rPr>
        <w:t xml:space="preserve">5.中标人应提供完整的资料，如产品质量合格证、保修单、技术指标资料、说明书等，系统调试完毕提供调试报告，在试运行期间提供试运行报告，在培训期间提供培训手册，保证整个系统的数据和资料确保准确无误，并保证设备按时正确地安装、调试和验收，满足正常运行和维修保养的需要。   </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392" w:name="_Toc18715"/>
      <w:r>
        <w:rPr>
          <w:rFonts w:hint="eastAsia" w:ascii="黑体" w:hAnsi="黑体" w:eastAsia="黑体" w:cs="黑体"/>
          <w:szCs w:val="24"/>
        </w:rPr>
        <w:t xml:space="preserve">四、现场踏勘</w:t>
      </w:r>
      <w:bookmarkEnd w:id="392"/>
      <w:r>
        <w:rPr>
          <w:rFonts w:ascii="黑体" w:hAnsi="黑体" w:eastAsia="黑体" w:cs="黑体"/>
          <w:szCs w:val="24"/>
        </w:rPr>
      </w:r>
      <w:r/>
    </w:p>
    <w:p>
      <w:pPr>
        <w:pStyle w:val="720"/>
        <w:ind w:firstLine="396"/>
        <w:spacing w:line="360" w:lineRule="auto"/>
        <w:rPr>
          <w:rFonts w:ascii="宋体" w:hAnsi="宋体" w:cs="宋体"/>
          <w:color w:val="000000"/>
        </w:rPr>
      </w:pPr>
      <w:r>
        <w:rPr>
          <w:rFonts w:hint="eastAsia" w:ascii="宋体" w:hAnsi="宋体" w:cs="宋体"/>
          <w:color w:val="000000"/>
        </w:rPr>
        <w:t xml:space="preserve">1、本项目招标人不统一组织踏勘现场，投标人可自行踏勘项目现场，招标人提供配合，踏勘产生的一切费用、安全责任均由投标人自行承担。</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投标人自行踏勘现场时，应充分了解项目场地、复核图纸、识别图纸与现场实际条件存在的冲突、管线保护、夜间割接施工等各类风险。因踏勘不充分、图纸理解不到位、漏项、少算产生的一切风险、费用，均由中标人自行承担。任何因忽视或误解现场情况而导致的索赔、工期增加或其他风险均由投标人自行负责。</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393" w:name="_Toc23963"/>
      <w:r>
        <w:rPr>
          <w:rFonts w:hint="eastAsia" w:ascii="黑体" w:hAnsi="黑体" w:eastAsia="黑体" w:cs="黑体"/>
          <w:szCs w:val="24"/>
        </w:rPr>
        <w:t xml:space="preserve">五、项目验收要求</w:t>
      </w:r>
      <w:bookmarkEnd w:id="393"/>
      <w:r>
        <w:rPr>
          <w:rFonts w:ascii="黑体" w:hAnsi="黑体" w:eastAsia="黑体" w:cs="黑体"/>
          <w:szCs w:val="24"/>
        </w:rPr>
      </w:r>
      <w:r/>
    </w:p>
    <w:p>
      <w:pPr>
        <w:pStyle w:val="723"/>
        <w:ind w:firstLine="398"/>
        <w:spacing w:before="0" w:after="0" w:line="360" w:lineRule="auto"/>
        <w:rPr>
          <w:rFonts w:ascii="宋体" w:hAnsi="宋体" w:eastAsia="宋体" w:cs="宋体"/>
          <w:b/>
          <w:bCs/>
          <w:color w:val="000000"/>
          <w:sz w:val="22"/>
          <w:szCs w:val="22"/>
        </w:rPr>
      </w:pPr>
      <w:r/>
      <w:bookmarkStart w:id="394" w:name="_Toc27586"/>
      <w:r>
        <w:rPr>
          <w:rFonts w:hint="eastAsia" w:ascii="宋体" w:hAnsi="宋体" w:eastAsia="宋体" w:cs="宋体"/>
          <w:b/>
          <w:bCs/>
          <w:color w:val="000000"/>
          <w:sz w:val="22"/>
          <w:szCs w:val="22"/>
        </w:rPr>
        <w:t xml:space="preserve">1、项目验收标准</w:t>
      </w:r>
      <w:bookmarkEnd w:id="394"/>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（1）项目验收按国家有关技术标准与规范以及本项目投标文件的响应内容、合同的约定内容进行。</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本项目完工后，其场地基础设施的各项技术指标、性能参数完全符合《数据中心基础设施施工及验收标准》(GB50462-2024)和《数据中心设计规范》（GB50174-2017）中B级机房的建设要求，能顺利通过国家权威测评机构的B级机房认证评测和中国质量认证中心（CQC）的现场核验，中标人协助并配合采购人顺利取得由中国质量认证中心（CQC）颁发的B级《数据中心场地基础设施认证证书》。</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95" w:name="_Toc18251"/>
      <w:r>
        <w:rPr>
          <w:rFonts w:hint="eastAsia" w:ascii="宋体" w:hAnsi="宋体" w:eastAsia="宋体" w:cs="宋体"/>
          <w:b/>
          <w:bCs/>
          <w:color w:val="000000"/>
          <w:sz w:val="22"/>
          <w:szCs w:val="22"/>
        </w:rPr>
        <w:t xml:space="preserve">2、项目质量标准与验收要求</w:t>
      </w:r>
      <w:bookmarkEnd w:id="395"/>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(1)投标人提供的产品和相关服务应符合国家与本项目有关的各项质量和安全标准、规范和验收要求以及相关政府管理部门和行业有关规定和规程，标准、规范等不一致的，以要求严的为准。</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本项目以相关国家标准、地方标准、行业标准、采购需求列明的技术、服务要求以及中标人投标文件所作的响应及承诺作为验收标准，若中标人在投标文件中所作的响应及承诺高于其他标准及本项目采购需求所要求的，则以其响应及承诺内容作为验收标准。采购需求关于验收标准有特别规定的从其规定。合同签订后，采购人将具体按照合同约定的《履约验收方案》进行验收。</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(3)货物送达项目现场后，由采购人、监理单位、中标人共同对货物的规格、数量、技术参数、外观、包装及资料、文件(如产品出厂合格证；出厂检验报告；质量证明书；设备安装、操作、维护保养手册；设备图纸（外形图、安装尺寸图、原理图等）；型式试验报告；第三方检测报告；3C证书（属于强制性认证目录内产品时）；生产许可证（属于国家行政许可范围内产品时）；装箱清单；国家法律法规、规范性文件规定的其他资料等)进行验收，验收通过后出具书面证明。</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396" w:name="_Toc10209"/>
      <w:r>
        <w:rPr>
          <w:rFonts w:hint="eastAsia" w:ascii="黑体" w:hAnsi="黑体" w:eastAsia="黑体" w:cs="黑体"/>
          <w:szCs w:val="24"/>
        </w:rPr>
        <w:t xml:space="preserve">六、项目交付要求</w:t>
      </w:r>
      <w:bookmarkEnd w:id="396"/>
      <w:r>
        <w:rPr>
          <w:rFonts w:ascii="黑体" w:hAnsi="黑体" w:eastAsia="黑体" w:cs="黑体"/>
          <w:szCs w:val="24"/>
        </w:rPr>
      </w:r>
      <w:r/>
    </w:p>
    <w:p>
      <w:pPr>
        <w:pStyle w:val="723"/>
        <w:ind w:firstLine="398"/>
        <w:spacing w:before="0" w:after="0" w:line="360" w:lineRule="auto"/>
        <w:rPr>
          <w:rFonts w:ascii="宋体" w:hAnsi="宋体" w:eastAsia="宋体" w:cs="宋体"/>
          <w:b/>
          <w:bCs/>
          <w:color w:val="000000"/>
          <w:sz w:val="22"/>
          <w:szCs w:val="22"/>
        </w:rPr>
      </w:pPr>
      <w:r/>
      <w:bookmarkStart w:id="397" w:name="_Toc23802"/>
      <w:r>
        <w:rPr>
          <w:rFonts w:hint="eastAsia" w:ascii="宋体" w:hAnsi="宋体" w:eastAsia="宋体" w:cs="宋体"/>
          <w:b/>
          <w:bCs/>
          <w:color w:val="000000"/>
          <w:sz w:val="22"/>
          <w:szCs w:val="22"/>
        </w:rPr>
        <w:t xml:space="preserve">1、交付时间</w:t>
      </w:r>
      <w:bookmarkEnd w:id="397"/>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(1)项目初验时间：合同签订后75日历天完成本项目集成实施服务并取得B级机房认证评测报告</w:t>
      </w:r>
      <w:r>
        <w:rPr>
          <w:rFonts w:hint="eastAsia" w:ascii="宋体" w:hAnsi="宋体" w:cs="宋体"/>
          <w:color w:val="000000"/>
        </w:rPr>
        <w:t xml:space="preserve">；</w:t>
      </w:r>
      <w:r>
        <w:rPr>
          <w:rFonts w:ascii="宋体" w:hAnsi="宋体" w:cs="宋体"/>
          <w:color w:val="000000"/>
        </w:rPr>
      </w:r>
      <w:r/>
    </w:p>
    <w:p>
      <w:pPr>
        <w:pStyle w:val="720"/>
        <w:ind w:firstLine="396"/>
        <w:spacing w:line="360" w:lineRule="auto"/>
        <w:rPr>
          <w:rFonts w:ascii="宋体" w:hAnsi="宋体" w:cs="宋体"/>
          <w:color w:val="000000"/>
        </w:rPr>
      </w:pPr>
      <w:r>
        <w:rPr>
          <w:rFonts w:hint="eastAsia" w:ascii="宋体" w:hAnsi="宋体" w:cs="宋体"/>
          <w:color w:val="000000"/>
        </w:rPr>
        <w:t xml:space="preserve">(2)项目交付时间：合同签订后1</w:t>
      </w:r>
      <w:r>
        <w:rPr>
          <w:rFonts w:ascii="宋体" w:hAnsi="宋体" w:cs="宋体"/>
          <w:color w:val="000000"/>
        </w:rPr>
        <w:t xml:space="preserve">2</w:t>
      </w:r>
      <w:r>
        <w:rPr>
          <w:rFonts w:hint="eastAsia" w:ascii="宋体" w:hAnsi="宋体" w:cs="宋体"/>
          <w:color w:val="000000"/>
        </w:rPr>
        <w:t xml:space="preserve">0日历天通过中国质量认证中心（CQC）的现场核验并取得B级《数据中心场地基础设施认证证书》。</w:t>
      </w:r>
      <w:r>
        <w:rPr>
          <w:rFonts w:ascii="宋体" w:hAnsi="宋体" w:cs="宋体"/>
          <w:color w:val="000000"/>
        </w:rPr>
      </w:r>
      <w:r/>
    </w:p>
    <w:p>
      <w:pPr>
        <w:pStyle w:val="723"/>
        <w:ind w:firstLine="398"/>
        <w:spacing w:before="0" w:after="0" w:line="360" w:lineRule="auto"/>
        <w:rPr>
          <w:rFonts w:ascii="宋体" w:hAnsi="宋体" w:eastAsia="宋体" w:cs="宋体"/>
          <w:b/>
          <w:bCs/>
          <w:color w:val="000000"/>
          <w:sz w:val="22"/>
          <w:szCs w:val="22"/>
        </w:rPr>
      </w:pPr>
      <w:r/>
      <w:bookmarkStart w:id="398" w:name="_Toc26572"/>
      <w:r>
        <w:rPr>
          <w:rFonts w:hint="eastAsia" w:ascii="宋体" w:hAnsi="宋体" w:eastAsia="宋体" w:cs="宋体"/>
          <w:b/>
          <w:bCs/>
          <w:color w:val="000000"/>
          <w:sz w:val="22"/>
          <w:szCs w:val="22"/>
        </w:rPr>
        <w:t xml:space="preserve">2、交付地点</w:t>
      </w:r>
      <w:bookmarkEnd w:id="398"/>
      <w:r>
        <w:rPr>
          <w:rFonts w:ascii="宋体" w:hAnsi="宋体" w:eastAsia="宋体" w:cs="宋体"/>
          <w:b/>
          <w:bCs/>
          <w:color w:val="000000"/>
          <w:sz w:val="22"/>
          <w:szCs w:val="22"/>
        </w:rPr>
      </w:r>
      <w:r/>
    </w:p>
    <w:p>
      <w:pPr>
        <w:pStyle w:val="720"/>
        <w:ind w:firstLine="396"/>
        <w:spacing w:line="360" w:lineRule="auto"/>
        <w:rPr>
          <w:rFonts w:ascii="宋体" w:hAnsi="宋体" w:cs="宋体"/>
          <w:color w:val="000000"/>
        </w:rPr>
      </w:pPr>
      <w:r>
        <w:rPr>
          <w:rFonts w:hint="eastAsia" w:ascii="宋体" w:hAnsi="宋体" w:cs="宋体"/>
          <w:color w:val="000000"/>
        </w:rPr>
        <w:t xml:space="preserve">靖江市人民医院3号楼二楼。</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399" w:name="_Toc31987"/>
      <w:r>
        <w:rPr>
          <w:rFonts w:hint="eastAsia" w:ascii="黑体" w:hAnsi="黑体" w:eastAsia="黑体" w:cs="黑体"/>
          <w:szCs w:val="24"/>
        </w:rPr>
        <w:t xml:space="preserve">七、违约责任</w:t>
      </w:r>
      <w:bookmarkEnd w:id="399"/>
      <w:r>
        <w:rPr>
          <w:rFonts w:ascii="黑体" w:hAnsi="黑体" w:eastAsia="黑体" w:cs="黑体"/>
          <w:szCs w:val="24"/>
        </w:rPr>
      </w:r>
      <w:r/>
    </w:p>
    <w:p>
      <w:pPr>
        <w:pStyle w:val="720"/>
        <w:ind w:firstLine="396"/>
        <w:spacing w:line="360" w:lineRule="auto"/>
        <w:rPr>
          <w:rFonts w:ascii="宋体" w:hAnsi="宋体" w:cs="宋体"/>
        </w:rPr>
      </w:pPr>
      <w:r>
        <w:rPr>
          <w:rFonts w:hint="eastAsia" w:ascii="宋体" w:hAnsi="宋体" w:cs="宋体"/>
        </w:rPr>
        <w:t xml:space="preserve">1. 工期延误：</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1）如果中标人非不可抗力因素造成未按照投标文件及合同约定的时间完成项目交付，每逾期1日，按合同总价0.3%支付违约金，违约金累计不超过合同总价10%；逾期超30日，则采购人有权利取消合同，中标人已经完成的工作无偿赠送予采购人，中标人退还采购人所有已经支付的款项。</w:t>
      </w:r>
      <w:r>
        <w:rPr>
          <w:rFonts w:ascii="宋体" w:hAnsi="宋体" w:cs="宋体"/>
        </w:rPr>
      </w:r>
      <w:r/>
    </w:p>
    <w:p>
      <w:pPr>
        <w:pStyle w:val="720"/>
        <w:ind w:firstLine="396"/>
        <w:spacing w:line="360" w:lineRule="auto"/>
        <w:rPr>
          <w:rFonts w:ascii="宋体" w:hAnsi="宋体" w:cs="宋体"/>
          <w:color w:val="000000"/>
        </w:rPr>
      </w:pPr>
      <w:r>
        <w:rPr>
          <w:rFonts w:hint="eastAsia" w:ascii="宋体" w:hAnsi="宋体" w:cs="宋体"/>
          <w:color w:val="000000"/>
        </w:rPr>
        <w:t xml:space="preserve">（2）如果</w:t>
      </w:r>
      <w:r>
        <w:rPr>
          <w:rFonts w:hint="eastAsia" w:ascii="宋体" w:hAnsi="宋体" w:cs="宋体"/>
        </w:rPr>
        <w:t xml:space="preserve">中标人</w:t>
      </w:r>
      <w:r>
        <w:rPr>
          <w:rFonts w:hint="eastAsia" w:ascii="宋体" w:hAnsi="宋体" w:cs="宋体"/>
          <w:color w:val="000000"/>
        </w:rPr>
        <w:t xml:space="preserve">因不可抗力因素或甲方原因造成未按照投标文件及合同约定的时间完成项目交付，必须出具书面说明阐述原因，</w:t>
      </w:r>
      <w:r>
        <w:rPr>
          <w:rFonts w:hint="eastAsia" w:ascii="宋体" w:hAnsi="宋体" w:cs="宋体"/>
        </w:rPr>
        <w:t xml:space="preserve">采购人</w:t>
      </w:r>
      <w:r>
        <w:rPr>
          <w:rFonts w:hint="eastAsia" w:ascii="宋体" w:hAnsi="宋体" w:cs="宋体"/>
          <w:color w:val="000000"/>
        </w:rPr>
        <w:t xml:space="preserve">可酌情予以相应的宽限期。超过宽限期，每逾期1日，按合同总价0.3%支付违约金，违约金累计不超过合同总价10%；逾期超30日，则</w:t>
      </w:r>
      <w:r>
        <w:rPr>
          <w:rFonts w:hint="eastAsia" w:ascii="宋体" w:hAnsi="宋体" w:cs="宋体"/>
        </w:rPr>
        <w:t xml:space="preserve">采购人</w:t>
      </w:r>
      <w:r>
        <w:rPr>
          <w:rFonts w:hint="eastAsia" w:ascii="宋体" w:hAnsi="宋体" w:cs="宋体"/>
          <w:color w:val="000000"/>
        </w:rPr>
        <w:t xml:space="preserve">有权利取消合同，</w:t>
      </w:r>
      <w:r>
        <w:rPr>
          <w:rFonts w:hint="eastAsia" w:ascii="宋体" w:hAnsi="宋体" w:cs="宋体"/>
        </w:rPr>
        <w:t xml:space="preserve">中标人</w:t>
      </w:r>
      <w:r>
        <w:rPr>
          <w:rFonts w:hint="eastAsia" w:ascii="宋体" w:hAnsi="宋体" w:cs="宋体"/>
          <w:color w:val="000000"/>
        </w:rPr>
        <w:t xml:space="preserve">已经完成的工作无偿赠送予甲方，</w:t>
      </w:r>
      <w:r>
        <w:rPr>
          <w:rFonts w:hint="eastAsia" w:ascii="宋体" w:hAnsi="宋体" w:cs="宋体"/>
        </w:rPr>
        <w:t xml:space="preserve">中标人</w:t>
      </w:r>
      <w:r>
        <w:rPr>
          <w:rFonts w:hint="eastAsia" w:ascii="宋体" w:hAnsi="宋体" w:cs="宋体"/>
          <w:color w:val="000000"/>
        </w:rPr>
        <w:t xml:space="preserve">退还</w:t>
      </w:r>
      <w:r>
        <w:rPr>
          <w:rFonts w:hint="eastAsia" w:ascii="宋体" w:hAnsi="宋体" w:cs="宋体"/>
        </w:rPr>
        <w:t xml:space="preserve">采购人</w:t>
      </w:r>
      <w:r>
        <w:rPr>
          <w:rFonts w:hint="eastAsia" w:ascii="宋体" w:hAnsi="宋体" w:cs="宋体"/>
          <w:color w:val="000000"/>
        </w:rPr>
        <w:t xml:space="preserve">所有已经支付的款项。</w:t>
      </w:r>
      <w:r>
        <w:rPr>
          <w:rFonts w:ascii="宋体" w:hAnsi="宋体" w:cs="宋体"/>
          <w:color w:val="000000"/>
        </w:rPr>
      </w:r>
      <w:r/>
    </w:p>
    <w:p>
      <w:pPr>
        <w:pStyle w:val="720"/>
        <w:ind w:firstLine="396"/>
        <w:spacing w:line="360" w:lineRule="auto"/>
        <w:rPr>
          <w:rFonts w:ascii="宋体" w:hAnsi="宋体" w:cs="宋体"/>
        </w:rPr>
      </w:pPr>
      <w:r>
        <w:rPr>
          <w:rFonts w:hint="eastAsia" w:ascii="宋体" w:hAnsi="宋体" w:cs="宋体"/>
        </w:rPr>
        <w:t xml:space="preserve">2.中标人应在产品到货前 24 小时通知采购人/监理人开展到货检验，并提交合同约定全套产品资料。中标人未能提供或提交资料不完整、不符合合同要求的，采购人/监理人有权拒绝该批货物进场，中标人应向采购人支付该批次货款10%的违约金。中标人应按采购人/监理人要求限期补齐合格资料并申请复验，期间产生的仓储、保管、转运等一切费用由中标人自行承担，工期不予顺延。</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工程质量、设备参数、测试结果不符合B级机房及CQC认证标准的，中标人须无偿返工、整改、复测、重新申报认证，承担工期延误及验收损失；情节严重的，采购人有权解除合同、扣除违约金并上报政府采购监管部门。</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3.因中标人设备选型、材料选用、施工质量、系统调试等原因导致B级机房评测不通过、CQC现场核验失败、无法按期取证的，视为中标人严重违约。中标人须无条件免费整改直至取证通过，并承担由此产生的所有费用及工期违约责任；逾期超过</w:t>
      </w:r>
      <w:r>
        <w:rPr>
          <w:rFonts w:ascii="宋体" w:hAnsi="宋体" w:cs="宋体"/>
        </w:rPr>
        <w:t xml:space="preserve">3</w:t>
      </w:r>
      <w:r>
        <w:rPr>
          <w:rFonts w:hint="eastAsia" w:ascii="宋体" w:hAnsi="宋体" w:cs="宋体"/>
        </w:rPr>
        <w:t xml:space="preserve">0日仍无法取得CQC B级机房认证证书的，采购人有权解除合同，中标人需退还采购人已支付全部款项，并按合同总价10%支付违约金，已经完成的工作无偿赠送予采购人和承担采购人全部经济损失。</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4. 中标人转包、分包、弄虚作假、报告造假、提供伪劣设备的，采购人有权立即解除合同，中标人支付合同总价10%违约金，并承担全部损失，纳入政府采购不良信用记录。</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5. 中标人在项目交付前，未能提供微模块（UPS+精密空调+精密配电柜+微模块监控采集器）制造厂商原厂三年售后服务承诺函的，采购人将对中标人处以合同总价</w:t>
      </w:r>
      <w:r>
        <w:rPr>
          <w:rFonts w:hint="eastAsia" w:ascii="宋体" w:hAnsi="宋体" w:cs="宋体"/>
          <w:u w:val="single"/>
        </w:rPr>
        <w:t xml:space="preserve"> 5 </w:t>
      </w:r>
      <w:r>
        <w:rPr>
          <w:rFonts w:hint="eastAsia" w:ascii="宋体" w:hAnsi="宋体" w:cs="宋体"/>
        </w:rPr>
        <w:t xml:space="preserve">%违约金。</w:t>
      </w:r>
      <w:r>
        <w:rPr>
          <w:rFonts w:ascii="宋体" w:hAnsi="宋体" w:cs="宋体"/>
        </w:rPr>
      </w:r>
      <w:r/>
    </w:p>
    <w:p>
      <w:pPr>
        <w:pStyle w:val="720"/>
        <w:ind w:firstLine="396"/>
        <w:spacing w:line="360" w:lineRule="auto"/>
        <w:rPr>
          <w:rFonts w:ascii="宋体" w:hAnsi="宋体" w:cs="宋体"/>
        </w:rPr>
      </w:pPr>
      <w:r>
        <w:rPr>
          <w:rFonts w:hint="eastAsia" w:ascii="宋体" w:hAnsi="宋体" w:cs="宋体"/>
        </w:rPr>
        <w:t xml:space="preserve">6. 采购人未按合同约定付款，每逾期1日，按应付未付款项0.05%计算逾期利息。违约金上限不超过应付金额10%。</w:t>
      </w:r>
      <w:r>
        <w:rPr>
          <w:rFonts w:ascii="宋体" w:hAnsi="宋体" w:cs="宋体"/>
        </w:rPr>
      </w:r>
      <w:r/>
    </w:p>
    <w:p>
      <w:pPr>
        <w:pStyle w:val="973"/>
        <w:ind w:firstLine="51"/>
        <w:spacing w:before="0" w:after="0" w:line="360" w:lineRule="auto"/>
        <w:rPr>
          <w:rFonts w:ascii="黑体" w:hAnsi="黑体" w:eastAsia="黑体" w:cs="黑体"/>
          <w:szCs w:val="24"/>
        </w:rPr>
      </w:pPr>
      <w:r/>
      <w:bookmarkStart w:id="400" w:name="_Toc16602"/>
      <w:r>
        <w:rPr>
          <w:rFonts w:hint="eastAsia" w:ascii="黑体" w:hAnsi="黑体" w:eastAsia="黑体" w:cs="黑体"/>
          <w:szCs w:val="24"/>
        </w:rPr>
        <w:t xml:space="preserve">八、付款方式</w:t>
      </w:r>
      <w:bookmarkEnd w:id="400"/>
      <w:r>
        <w:rPr>
          <w:rFonts w:ascii="黑体" w:hAnsi="黑体" w:eastAsia="黑体" w:cs="黑体"/>
          <w:szCs w:val="24"/>
        </w:rPr>
      </w:r>
      <w:r/>
    </w:p>
    <w:p>
      <w:pPr>
        <w:pStyle w:val="720"/>
        <w:ind w:firstLine="396"/>
        <w:spacing w:line="360" w:lineRule="auto"/>
        <w:rPr>
          <w:rFonts w:ascii="宋体" w:hAnsi="宋体" w:cs="宋体"/>
          <w:color w:val="000000"/>
        </w:rPr>
      </w:pPr>
      <w:r>
        <w:rPr>
          <w:rFonts w:hint="eastAsia" w:ascii="宋体" w:hAnsi="宋体" w:cs="宋体"/>
          <w:color w:val="000000"/>
        </w:rPr>
        <w:t xml:space="preserve">本项目合同签订后支付合同价的30%；完成本项目集成实施服务并取得B级机房认证评测报告后支付合同价的30%；通过中国质量认证中心（CQC）的现场核验并取得B级《数据中心场地基础设施认证证书》后支付合同价的30%；余款在验收合格后一年对应日支付。</w:t>
      </w:r>
      <w:r>
        <w:rPr>
          <w:rFonts w:ascii="宋体" w:hAnsi="宋体" w:cs="宋体"/>
          <w:color w:val="000000"/>
        </w:rPr>
      </w:r>
      <w:r/>
    </w:p>
    <w:p>
      <w:pPr>
        <w:pStyle w:val="973"/>
        <w:ind w:firstLine="51"/>
        <w:spacing w:before="0" w:after="0" w:line="360" w:lineRule="auto"/>
        <w:rPr>
          <w:rFonts w:ascii="黑体" w:hAnsi="黑体" w:eastAsia="黑体" w:cs="黑体"/>
          <w:szCs w:val="24"/>
        </w:rPr>
      </w:pPr>
      <w:r/>
      <w:bookmarkStart w:id="401" w:name="_Toc15995"/>
      <w:r>
        <w:rPr>
          <w:rFonts w:hint="eastAsia" w:ascii="黑体" w:hAnsi="黑体" w:eastAsia="黑体" w:cs="黑体"/>
          <w:szCs w:val="24"/>
          <w:lang w:val="en-US" w:eastAsia="zh-CN"/>
        </w:rPr>
        <w:t xml:space="preserve">九、</w:t>
      </w:r>
      <w:r>
        <w:rPr>
          <w:rFonts w:hint="eastAsia" w:ascii="黑体" w:hAnsi="黑体" w:eastAsia="黑体" w:cs="黑体"/>
          <w:szCs w:val="24"/>
        </w:rPr>
        <w:t xml:space="preserve">采购清单及技术规格要求</w:t>
      </w:r>
      <w:bookmarkEnd w:id="401"/>
      <w:r>
        <w:rPr>
          <w:rFonts w:ascii="黑体" w:hAnsi="黑体" w:eastAsia="黑体" w:cs="黑体"/>
          <w:szCs w:val="24"/>
        </w:rPr>
      </w:r>
      <w:r/>
    </w:p>
    <w:tbl>
      <w:tblPr>
        <w:tblW w:w="8902" w:type="dxa"/>
        <w:tblInd w:w="-15" w:type="dxa"/>
        <w:tblLayout w:type="autofit"/>
        <w:tblCellMar>
          <w:left w:w="108" w:type="dxa"/>
          <w:top w:w="0" w:type="dxa"/>
          <w:right w:w="108" w:type="dxa"/>
          <w:bottom w:w="0" w:type="dxa"/>
        </w:tblCellMar>
        <w:tblLook w:val="04A0" w:firstRow="1" w:lastRow="0" w:firstColumn="1" w:lastColumn="0" w:noHBand="0" w:noVBand="1"/>
      </w:tblPr>
      <w:tblGrid>
        <w:gridCol w:w="746"/>
        <w:gridCol w:w="2029"/>
        <w:gridCol w:w="6127"/>
      </w:tblGrid>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ascii="宋体" w:hAnsi="宋体" w:eastAsia="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textDirection w:val="lrTb"/>
            <w:noWrap/>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系统/名称</w:t>
            </w:r>
            <w:r>
              <w:rPr>
                <w:rFonts w:ascii="宋体" w:hAnsi="宋体" w:eastAsia="宋体" w:cs="宋体"/>
                <w:b/>
                <w:b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招标技术指标要求</w:t>
            </w:r>
            <w:r>
              <w:rPr>
                <w:rFonts w:ascii="宋体" w:hAnsi="宋体" w:eastAsia="宋体" w:cs="宋体"/>
                <w:b/>
                <w:bCs/>
                <w:color w:val="000000"/>
                <w:sz w:val="20"/>
                <w:szCs w:val="20"/>
              </w:rPr>
            </w:r>
            <w:r/>
          </w:p>
        </w:tc>
      </w:tr>
      <w:tr>
        <w:trPr>
          <w:trHeight w:val="26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tcPr>
          <w:p>
            <w:pPr>
              <w:pStyle w:val="720"/>
              <w:jc w:val="center"/>
              <w:widowControl/>
              <w:rPr>
                <w:rFonts w:ascii="宋体" w:hAnsi="宋体" w:eastAsia="宋体" w:cs="宋体"/>
                <w:b/>
                <w:bCs/>
                <w:color w:val="000000"/>
                <w:sz w:val="20"/>
                <w:szCs w:val="20"/>
                <w:lang w:bidi="ar"/>
              </w:rPr>
            </w:pPr>
            <w:r>
              <w:rPr>
                <w:rFonts w:hint="eastAsia" w:ascii="宋体" w:hAnsi="宋体" w:eastAsia="宋体" w:cs="宋体"/>
                <w:b/>
                <w:bCs/>
                <w:color w:val="000000"/>
                <w:lang w:bidi="ar"/>
              </w:rPr>
              <w:t xml:space="preserve">一、机房装修系统</w:t>
            </w:r>
            <w:r>
              <w:rPr>
                <w:rFonts w:ascii="宋体" w:hAnsi="宋体" w:eastAsia="宋体" w:cs="宋体"/>
                <w:b/>
                <w:bCs/>
                <w:color w:val="000000"/>
                <w:sz w:val="20"/>
                <w:szCs w:val="20"/>
                <w:lang w:bidi="ar"/>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（一）顶面部分</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微孔铝吊顶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★（1）材质规格：冲孔铝扣板，600mm*600mm*1.0mm。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（2）表面工艺：聚脂粉末漆，厚度1.0mm。</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（3）配套体系：全套双面镀锌防锈轻钢龙骨（U50、厚度≥0.5mm）、4141C型钢、热镀锌吊筋、膨胀螺栓、吊件、挂件、连接件、垫片等防腐辅材；配套同色同工艺L型25*25mm铝合金压边条及中性耐候密封胶。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（4）安装规范：吊杆独立固定于结构楼板，严禁固定在机电管线、设备、桥架上；吊杆长度大于1.5m设置反支撑加固；龙骨按房间短跨1‰～3‰起拱，龙骨拼接错缝布置，整体骨架牢固、平整、顺直。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（5）集成内容：包含材料采购、运输、现场安装、龙骨排布调平、面板安装、设备洞口开孔加固、收边密封、现场清洁、全过程成品保护等全部工序。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★（6）燃烧性能：符合《建筑材料及制品燃烧性能分级》GB8624-2012标准中平板状建筑材料及制品A(A2)级的规定要求，【到货验收时提供有效的检测报告供采购人核验】。</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橡塑保温</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（1）材质：高密度橡塑保温材料。</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（2）厚度：保温层标准厚度20mm。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（3）表面构造：保温层外表面自带贴合铝箔面层。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（4）性能指标：橡塑保温为难燃B1级，防火、隔热、保温性能满足建筑节能及消防规范要求。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（5）施工范围：用于吊顶以上楼板、风管、管线对应区域保温铺贴，满铺施工，不留空白、不漏铺。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（6）粘贴工艺：采用专用橡塑专用粘结胶水满粘粘贴，粘接牢固，接缝严密，拼缝错开，杜绝空鼓、松动、翘边。</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（7）收口处理：保温接缝、端头、边角位置密封严实，搭接规整，整体封闭完整，杜绝冷桥、结露现象。</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（8）集成内容：包含基层清理、裁切下料、涂刷胶水、粘贴保温板、铝箔面层平整压实、接缝密封、成品保护、清理收尾等全部工序。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防尘涂料</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（1）涂料材质：采用专用环保防尘涂料。</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（2）涂刷范围：机房吊顶区域。</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（3）施工工艺：基层处理完成后，分三遍均匀涂刷，薄涂多遍，严禁一遍厚涂，确保漆膜均匀饱满。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（4）基层要求：施工前基层平整、坚实、干燥、无浮灰、无油污、无起砂起皮，彻底清理干净。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（5）面层效果：涂刷完成后表面致密光滑，封闭基层孔隙，有效防尘、防起灰、防静电。</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（6）质量要求：漆膜厚薄均匀、无色差、无流挂、无漏刷、无起皮开裂，整体观感整洁统一。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（7）集成内容：包含基层清理、打磨除尘、三遍分层涂刷、养护、成品保护、现场清洁等全部工序。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（二）墙面部分</w:t>
            </w:r>
            <w:r>
              <w:rPr>
                <w:rFonts w:ascii="宋体" w:hAnsi="宋体" w:eastAsia="宋体" w:cs="宋体"/>
                <w:b/>
                <w:bCs/>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金属面夹心板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（1）基层处理：基层采用专用环保防潮防尘涂料三遍涂刷，基层清理干净、平整坚实，有效封闭基层、防潮防尘、防静电、防起砂脱落。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（2）龙骨体系：采用C75型双面热镀锌轻钢龙骨。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（3）保温材料：内置50mm厚高密度阻燃保温岩棉，岩棉容重达标、阻燃隔热、吸音防潮，铺设饱满无空隙、无塌陷、不漏铺。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★（4）板材材质：表面材采用SGCC冷轧热熔镀锌钢板，钢板厚度≥0.8mm；内衬12mm厚度钢质瓦楞板，板材强度高、刚度足、防腐耐久、不易变形。</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（5）表面涂装：采用全自动粉末喷涂高温烤漆固化成膜，涂装前严格进行脱脂、锐化预处理；涂层均匀饱满、附着力强、耐候耐污。</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（6）漆膜性能：符合国家标准；耐划伤试验划破涂层最大负重500g；24h耐污染试验，试样失光、变色、起泡、脱落等级均为0级。</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产品式样及安装：成品尺寸W1200*H定制；包门位置采用专用阳角套件收口，机房阴角采用配套阴角件衔接；板与板采用专用H型卡件、自攻螺丝及同材质钢质压条固定，压条可选天蓝色、黑色及定制色系，安装拼缝严密、规整顺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★（8）燃烧性能：符合《建筑材料及制品燃烧性能分级》GB8624-2012标准中平板状建筑材料及制品A(A2)级的规定要求，【到货验收时提供有效的检测报告供采购人核验】。</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（9）耐划伤性能：符合国家标准，产品耐划伤值≥20N，抗磕碰、耐磨损、面层不易破损。</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（10）抗静电性能：符合国家标准，产品表面电阻率3.84×10⁶Ω，具备稳定抗静电、防尘积性能。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（12）质量要求：整体结构稳定、无松动异响，板面观感平整统一，保温层封闭严密，无冷桥、无空鼓、无松动脱落现象。</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（13）集成内容：包含基层清理防潮处理、龙骨安装固定、岩棉裁切满铺、瓦楞板精准安装、阴阳角收口、配件固定、接缝处理、成品保护、现场清洁等全部工序。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防火石膏板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★（1）板材规格：采用 12mm 厚防火石膏板，板材强度高、防火性能达标，板面平整，无缺角、裂纹、受潮变形。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（2）封堵范围：钢制瓦楞板上下部位封堵、机房窗户面封堵，封堵完整连续，不留缝隙、断口。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（3）配套辅材：配套自攻螺钉、嵌缝带、嵌缝石膏、密封辅料等全套辅材，配件防腐防锈。</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（4）技术标准：符合国家标准，成品整体燃烧性能检测达到A2级。</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（5）安装工艺：板材裁切规整，固定牢固，板间缝隙嵌缝处理，接缝平顺，封堵部位严密。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（6）质量要求：板面平整牢固，无松动翘曲，封堵严实，满足防火隔断封堵要求。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（7）集成内容：包含基层清理、板材裁切、固定安装、嵌缝处理、成品保护、现场清洁等全部工序、老机房墙面修复。</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（三）地面部分</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水泥基自流平</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（1）找平厚度：水泥基自流平面层厚度 5mm，厚度均匀，整体平整度满足后续面层施工要求。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（2）基层处理：施工前对基层进行全面清理，清除浮灰、油污、起砂、松散物，基层坚实干燥。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（3）界面处理：涂刷专用界面剂，涂刷均匀、无漏涂，增强自流平与基层粘结力，防止起壳空鼓。</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（4）施工工艺：水泥基自流平浆料搅拌浇筑，施工过程进行消泡处理，避免气泡、针孔缺陷。</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（5）养护要求：完工后按规范进行养护，避免磕碰、积水，防止开裂、起砂。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（6）质量要求：表面平整光滑，无空鼓、开裂、起砂、气泡、针孔，坡度及标高符合设计要求。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（7）集成内容：包含基层清理、界面剂涂刷、浆料配制浇筑、消泡、养护、成品保护、现场清洁等全部工序。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防尘漆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（1）耐水性能：浸水试验后漆膜不起泡、不脱落。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（2）材料密度：1.1～1.3 g/cm³。</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（3）基层处理：施工前对基层进行全面清理，清除浮灰、油污、起砂、松散物，基层坚实干燥。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（4）施工工艺：基面处理合格后连续涂刷三遍，各涂层之间须待上道漆膜实干后方可涂刷下一道；涂刷均匀、无漏涂。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（5）外观要求：成膜后漆膜色泽均匀，无流挂、针孔、漏涂、起皮缺陷。</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（6）质量要求：漆膜完整封闭，具备防尘效果，无起泡、脱落现象。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（7）集成内容：包含基层清理、材料调配、三遍涂刷、成品保护、现场清洁等全部工序。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陶瓷抗静电地板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（1）规格尺寸：防静电活动地板 600×600×40mm。</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★（2）机械性能：集中载荷≥2950N（挠度≤2mm）；极限集中载荷≥8850N；均布载荷≥12500N/㎡（挠度≤2mm），【到货验收时提供有效的检测报告供采购人核验】。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★（3）燃烧性能：钢地板基材符合GB 8624-2012 建筑材料及制品燃烧性能分级中铺地状建筑材料及制品燃烧性能的A(A1)等级，【到货验收时提供有效的检测报告供采购人核验】。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（4）陶瓷贴面性能：耐烟火性高，耐磨性好、抗弯曲强度高、抗绕曲性能好，表面光洁、抗污能力强。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（5）配套构件：地板四周配置 L30 角钢支架、全钢抗静电地板支架高度250mm。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（6）基层处理：安装前清理基层，保证地面平整、干燥、无杂物。</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（7）施工工艺：支架找平、横梁组装、地板铺设，板块排布整齐，缝隙均匀，接地可靠。</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（8）质量要求：板面平整，接缝严密，无松动、翘曲，防静电性能满足规范要求。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（9）集成内容：基层清理、支架安装调平、地板铺设、接地连接、成品保护、现场清洁等全部工序。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橡塑保温</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（1）材质：高密度橡塑保温材料。</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（2）厚度：保温层标准厚度20mm。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（3）性能指标：橡塑保温为难燃B1级，防火、隔热、保温性能满足建筑节能及消防规范要求。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（4）施工范围：用于吊顶以上楼板、风管、管线对应区域保温铺贴，满铺施工，不留空白、不漏铺。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（5）粘贴工艺：采用专用橡塑专用粘结胶水满粘粘贴，粘接牢固，接缝严密，拼缝错开，杜绝空鼓、松动、翘边。</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（6）收口处理：保温接缝、端头、边角位置密封严实，搭接规整，整体封闭完整，杜绝冷桥、结露现象。</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（7）集成内容：包含基层清理、裁切下料、涂刷胶水、粘贴保温板、铝箔面层平整压实、接缝密封、成品保护、清理收尾等全部工序。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门口踏步</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（1）支架材质：采用L30角钢支架，结构稳固，整体做防锈防腐处理。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（2）面层处理：踏步外侧及边缘采用不锈钢包边处理，表面平整顺滑、无毛刺、不易锈蚀。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（3）基层处理：施工前清理踏步基层，保证基层坚实平整、干净无杂物。</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（4）施工工艺：角钢支架下料、焊接固定、调平校正，不锈钢板材精准裁切、贴合包边、收口密实。</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（5）质量要求：支架牢固无松动、变形，不锈钢包边平整贴合、接缝严密、美观耐用。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（6）集成内容：基层清理、支架制作安装、除锈防腐、不锈钢包边裁切安装、收口打磨、成品保护、现场清洁等全部工序。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金属踢脚线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（1）基层参数：采用防火板基层，配套定制安装，基层平整牢固。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（2）面层材质：1mm厚拉丝不锈钢板。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（3）安装高度：踢脚线高度H=80mm。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（4）基层处理：墙面基层清理找平，保证安装面平整、坚实、无浮灰油污。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（5）施工工艺：防火板基层固定找平，不锈钢踢脚线裁切、安装、收口拼接，缝隙均匀密实。</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（6）质量要求：踢脚线顺直平整、粘贴牢固、无翘曲变形，表面拉丝纹理均匀、光洁抗污、接缝美观。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（7）集成内容：基层清理、防火板基层安装、不锈钢踢脚线制作安装、收口打磨、成品保护、现场清洁等全部工序。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空调挡水墙</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（1）挡水高度：挡水墙高度100mm。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（2）防水处理：挡水墙内侧整体涂刷配套防水涂料，防水涂层完整无遗漏。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（3）基层处理：挡水墙基层平整坚实，清理干净浮灰、杂物、油污，保证防水粘结牢固。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（4）施工工艺：挡水墙基层修整、节点处理，分层涂刷配套防水涂料，涂层均匀、厚薄一致。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（5）质量要求：防水涂膜无针孔、流挂、开裂、脱落，防水密闭性好，有效阻挡积水渗漏。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（6）集成内容：基层清理修整、节点细部处理、防水涂料涂刷、养护、成品保护、现场清洁等全部工序。家现行防水工程施工验收规范，无渗漏隐患。</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（四）隔断部分</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砖墙</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（1）墙体材料：加气块砌筑，含构造柱，完成面墙体厚度 200mm，用于电池间、配电间砖墙。</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（2）砌筑工艺：加气块砌筑，按规范设置构造柱，砌筑灰缝饱满，墙体垂直度、平整度满足设计及规范要求。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（3）砂浆粉墙：墙面砂浆抹灰粉墙，基层清理、挂网（如需）、分层抹灰，抹灰层平整牢固，无空鼓开裂。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（4）面层乳胶漆：墙面涂刷乳胶漆，基层处理到位，腻子打磨平整，漆膜均匀，无漏涂、起皮、流挂。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（5）质量要求：墙体砌筑牢固，构造柱设置符合规范；抹灰层无空鼓、开裂；乳胶漆面层色泽均匀，观感良好。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（6）集成内容：加气块砌筑、构造柱施工、墙面清理、砂浆抹灰粉墙、腻子批刮打磨、乳胶漆涂刷、成品保护、现场清洁等全部工序。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石膏板隔墙</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（1）适用部位：备品备件库石膏板隔墙。</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（2）骨架材料：75 系列轻钢龙骨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（3）板材：12mm 防火石膏板，双面封板。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（4）填充材料：空腔内填充岩棉，填充密实。</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（5）面层处理：双面批刮腻子、打磨，涂刷乳胶漆，漆膜均匀，无漏涂、起皮、流挂。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（6）基层处理：隔墙放线定位，龙骨安装校正，板缝处理，防开裂措施到位。</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（7）质量要求：隔墙整体稳固，石膏板无破损、翘曲，板缝不开裂；乳胶漆面层色泽均匀，观感良好。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（8）集成内容：定位放线、轻钢龙骨安装、岩棉填充、防火石膏板封板、板缝处理、腻子批刮打磨、乳胶漆涂刷、成品保护、现场清洁等全部工序。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（五）门窗部分</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钢制甲级防火门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★（1）规格尺寸：1500×2200mm*3，900×2200mm*3，900×2100mm*1（备品备件库）。</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★（2）防火等级：甲级防火，耐火极限 1.5h，符合国家标准。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（3）外观颜色：门板喷涂颜色与大楼工艺门颜色相适应，钢板面喷涂与墙面饰面板颜色保持一致。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（4）板材参数：门扇面板采用 0.8mm 优质 SGCC 冷轧热熔镀锌钢板，门扇厚度 60mm；门框面板采用 1.5mm 优质 SGCC 冷轧热熔镀锌钢板，框厚 130mm。</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（5）安装及构造：配置配套优质五金件，保障门体使用寿命；门框与墙体连接牢固稳定，门框与墙体缝隙进行灌浆处理。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（6）基层处理：门洞基层清理修整，复核洞口尺寸，保证安装基面坚实。</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（7）施工工艺：门框定位安装、调平校正、缝隙灌浆，门扇、五金安装调试，表面成品保护。</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（8）质量要求：门框门扇安装垂直平整，启闭灵活，密封严密，防火性能满足规范要求，表面喷涂均匀无缺陷。</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（9）集成内容：门洞清理、门框安装灌浆、门扇及五金安装调试、表面处理、成品保护、现场清洁等全部工序。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（六）其他</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窗户贴膜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（1）施工部位：建筑窗户玻璃面粘贴波音贴膜。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（2）施工要求：贴膜粘贴全面、全覆盖无漏贴，粘贴牢固不起翘、不脱边。</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（3）外观质量：贴膜表面平整顺滑，无明显褶皱、划痕、气泡、污渍。</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（4）基层处理：清理玻璃表面灰尘、水渍、油污，保证基面洁净干燥。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（5）施工工艺：精准裁膜、对位粘贴、排气整平、修边收口。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（6）集成内容：玻璃基层清理、贴膜裁切、粘贴整平、修边、成品保护、现场清洁等全部工序。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二、机房供配电系统</w:t>
            </w:r>
            <w:r>
              <w:rPr>
                <w:rFonts w:ascii="宋体" w:hAnsi="宋体" w:eastAsia="宋体" w:cs="宋体"/>
                <w:b/>
                <w:bCs/>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ATS总配电柜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★（1）配置规格：柜内配置 ATS 切换装置 630A/4P×1 、断路器630A/4P×2 、断路器400A/3P×3 、断路器200A/3P×1 、断路器160A/3P×1 ；配套配置 60KA 一级浪涌保护器 1 套。</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（2）元器件要求：柜内断路器、ATS 开关、浪涌保护器等所有元器件品牌、型号、规格须在投标文件中逐一明确，严格匹配图纸设计参数。</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（3）柜体性能：柜体结构坚固，防护等级满足室内机房使用要求，防尘防锈，布线规整，设有可靠接地、标识齐全。</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（5）质量要求：成套柜提供型式试验报告；PC 级 ATSE ；双重联锁可靠，严禁两路电源并联；电源异常检测灵敏，切换动作稳定；多功能仪表测量精度满足机房监控；柜体结构牢固、接地可靠，接地母线规格满足短路耐受；二次接线规范、标识清晰；绝缘、耐压、回路电阻出厂试验合格；具备手动检修隔离功能，方便维护。</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柜体就位、找平固定；一次电缆、二次控制线缆接线；接地系统施工；双电源切换参数整定（欠压、过压、延时）；仪表通讯配置；自动切换、手动切换试验；模拟主电源失电、缺相、过欠压故障测试；遥信遥测联调；标识粘贴、成品保护、现场清理。</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市电配电柜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★（1）配置参数：配置 200A/3P 断路器 ×1、63A/3P 断路器 ×6、40A/3P 断路器 ×6、32A/3P 断路器 ×1、100A/3P 断路器 ×1、25A/2P 断路器 ×3、25A/3P 断路器 ×1；配套设置 40KA 浪涌保护器 ×1。</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（2）元器件要求：柜内所有断路器、浪涌保护器等元器件品牌、规格、型号须在投标文件中详细明确，设备配置、接线方式严格遵照设计图纸执行。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（3）柜体性能：柜体结构坚固、防锈防尘，内部布线分区清晰，绝缘性能良好，接地系统可靠，回路标识齐全规范。</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柜提供型式试验报告；所有断路器、浪涌保护器等元器件为全新正品；回路配置与图纸一致；绝缘、耐压、接地电阻出厂试验合格；柜内铜排、线缆选型满足载流量及短路耐受要求；标识清晰，PE 接地可靠；浪涌保护器安装规范。</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（6）集成内容：柜体就位、找平固定；一次电缆、二次控制线敷设接线；接地系统施工；回路绝缘电阻测试；断路器通断试验；浪涌保护回路检查；分路通电测试；与 UPS 主机联调；标识粘贴、成品保护、现场清理。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UPS输入输出配电柜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★（1）配置参数：配置 400A/3P 断路器 ×2、250A/3P 断路器 ×4、100A/3P 断路器 ×2、63A/3P 断路器 ×2、160A/3P 断路器 ×2；配套设置 20KA 浪涌保护器 ×1。</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（2）元器件要求：柜内所有断路器、浪涌保护器等元器件品牌、规格、型号须在投标文件中逐一明确，设备配置及接线工艺严格按照设计图纸实施。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（3）柜体性能：柜体结构稳固、防腐防尘，内部布局规整、分区清晰，绝缘性能优良，专用可靠接地，回路标识完整清晰。</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柜具备型式试验报告；柜内断路器、浪涌保护器等元器件为全新原厂正品；回路配置与设计图纸保持一致；出厂完成绝缘、耐压、接地电阻试验；主回路铜排选型满足载流量及短路耐受能力；柜内标识完整清晰，PE 接地可靠；浪涌保护器安装规范。</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（6）集成内容：柜体就位、找平固定；一次电缆、二次控制线敷设接线；接地系统施工；回路绝缘电阻测试；断路器通断试验；浪涌保护回路检查；分路通电测试；与 UPS 主机联调；标识粘贴、成品保护、现场清理。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照明配电箱</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★（1）配置参数：配置 32A/3P 断路器 ×1、16A/1P 断路器 ×6、16A/DPN 带 30mA 漏电保护断路器 ×3。</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（2）元器件要求：柜内所有断路器、漏电保护器等元器件品牌、规格、型号须在投标文件中逐一明确，整体配置、接线方式严格遵照设计图纸施工。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（3）箱体性能：箱体材质坚固、防腐防锈，内部布线规整、绝缘良好，接地可靠，回路标识清晰齐全，适配室内照明系统长期稳定运行。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（5）质量要求：成套配电箱具备型式试验报告；箱内断路器、剩余电流保护器等元器件为全新原厂正品；回路配置与设计图纸一致；出厂完成绝缘、耐压、接地电阻试验；箱内标识完整清晰，PE 接地可靠；漏电保护器 30mA 漏电保护功能正常，可手动测试。</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（6）集成内容：安装固定；线缆敷设接线；接地连接施工；回路绝缘电阻测试；断路器通断试验；漏电保护功能测试；逐回路通电校验；标识粘贴、成品保护、现场清理。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备用配电箱</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★（1）配置参数：配置 32A/3P 断路器 ×1、16A/1P 断路器 ×12。</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（2）元器件要求：柜内所有断路器元器件品牌、规格及型号须在投标文件中逐一明确，设备配置、接线方式严格按照设计图纸执行。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（3）箱体性能：箱体结构坚固、防腐防锈，内部布线规整、绝缘性能良好，接地系统可靠，回路标识清晰、排布规范。</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（5）质量要求：成套应急配电箱具备型式试验报告；箱内断路器元器件为全新原厂正品；回路配置与设计图纸一致；出厂完成绝缘、耐压、接地电阻试验；箱内标识完整清晰，PE 接地可靠；断路器通断、过载、短路保护功能正常。</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（6）集成内容：安装固定；线缆敷设接线；接地连接施工；回路绝缘电阻测试；断路器通断试验；逐回路通电校验；与应急负载联动调试；标识粘贴、成品保护、现场清理。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精密配电柜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（1）模块化精密配电柜机架-600mm(W)*1200mm(D)*2000mm(H)-支持250A MCCB双路输入。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（2）告警功能：支持输入开关断开告警、故障脱扣告警。</w:t>
            </w:r>
            <w:r>
              <w:rPr>
                <w:rFonts w:ascii="宋体" w:hAnsi="宋体" w:eastAsia="宋体" w:cs="宋体"/>
                <w:color w:val="000000"/>
                <w:sz w:val="20"/>
                <w:szCs w:val="20"/>
              </w:rPr>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监控功能：需提供对精密配电柜主路、支路等多回路进行监控的智能监控板。监控板需能够实现界面可视化，采用7寸液晶彩色触摸屏可监：配电支路输出：相电压、相电流、负载率、频率、功率因数、总有功功率、总电能、总视在功率、总无功功率、母排温度、空开状态、防雷状态；配电主路输入：相电压、相电流、负载率、频率、功率因数、总有功功率、总电能、总视在功率、总无功功率、母排温度、空开状态、防雷状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（4）工作环境：防护等级：IP20；工作温度：-5℃ ~ +40℃；相对湿度：最大95%；海拔高度：0~2000 米，大于 2000 米时，设备应按 国家标准规定降额使用；C级防雷。</w:t>
            </w:r>
            <w:r>
              <w:rPr>
                <w:rFonts w:ascii="宋体" w:hAnsi="宋体" w:eastAsia="宋体" w:cs="宋体"/>
                <w:color w:val="000000"/>
                <w:sz w:val="20"/>
                <w:szCs w:val="20"/>
              </w:rPr>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（5）外观结构：柜体应采用高强度优质碳素冷轧钢板和镀锌板，表面喷涂厚度应不小于60μm ,采用黑色砂纹工艺，满足防腐、防锈、光洁、色泽均匀、无流挂、不露底、无起泡、无裂纹、金属件无毛刺锈蚀要求。柜体采用优质碳素冷轧钢板和无锌花热镀锌钢板。所有面板支持单独拆卸和拼装。母排需为预制式工艺，母排需根据设计折弯、打孔、压制成型后再进行镀镍处理，以保证母排表面镀镍层均匀完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▲（6）抗震要求：整机通过《通信设备抗地震性能检测规范》(YD5083-2005)不小于8级烈度抗震测试。（投标时需提供第三方机构测试报告关键页证明。）</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▲（7）认证要求：整机性能应满足 YD/T585《通信用配电设备》的要求。（投标时需提供第三方认证机构出具的有效产品认证证书）。</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（9）质量要求：成套精密配电柜具备型式试验报告；柜体板材、喷涂工艺、预制镀镍母排满足技术指标；智能监控板、7 寸触摸屏运行稳定，全部主 / 支路电参量、温度、开关、防雷状态采集准确；输入开关断开、脱扣故障告警可靠；C 级防雷模块性能达标；所有元器件全新原厂正品；出厂完成绝缘、耐压、接地电阻试验，接线标识清晰，PE 接地可靠。</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集成内容：柜体就位、找平固定；一次电缆、预制镀镍母排安装；二次监控线缆敷设接线；接地系统施工；回路绝缘电阻测试；通电调试；触摸屏参数配置，主路、支路电参量采集校验；开关告警、脱扣告警模拟测试；防雷回路检查；与机房监控平台联调；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排烟控制柜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★（1）配置参数：配置 40A/3P 双电源切换开关 ×1、20A/3P 断路器 ×3。</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（2）元器件要求：柜内 ATS 开关、断路器等所有元器件品牌、规格、型号须在投标文件中逐一明确，设备配置及接线方式严格遵照设计图纸实施。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（3）柜体性能：柜体结构坚固、防尘防腐，内部布线规整、绝缘性能优异，接地可靠，回路标识清晰规范，适配消防系统长期待机运行。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（5）质量要求：成套排烟控制柜具备型式试验报告；柜内 ATS、断路器等元器件为全新原厂正品；回路配置与设计图纸一致；出厂完成绝缘、耐压、接地电阻试验；具备电气 + 机械联锁，两路电源禁止并列输出；支持消防联动控制，状态反馈信号输出可靠；箱内标识完整清晰，PE 接地可靠。</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（6）集成内容：柜体安装固定；一次电缆、二次控制线敷设接线；接地系统施工；回路绝缘电阻测试；ATS 自动 / 手动切换试验；断路器通断保护测试；消防联动信号联调；状态信号上传测试；标识粘贴、成品保护、现场清理。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抗震承重底座</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（1）结构形式：设备抗震承重底座，采用拼装式模块化结构，工厂预制成型，无需现场焊接，安装便捷、整体性强。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（2）材质工艺：采用 2.0mm 厚优质钢板制作，承重框架为整体焊接结构，结构强度高、承载力强；表面采用黑色静电喷塑工艺，颜色与机柜柜体保持一致。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（3）调节性能：配备可调水平脚，水平调节范围 0～50mm，可精准找平、适配场地高差，保证设备水平稳固。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▲（4）按照标准YD5083-2005《电信设备抗地震性能检测规范》要求，机柜配重不小于500kg承重下，通过不小于8级烈度结构抗地震检测（投标时提供同系列机型第三方机构出具的检测报告关键页）。</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（5）适配尺寸：底座尺寸精准匹配现场设备，适配机柜、精密列头柜、行间空调、ATS 总配电柜、市电配电柜、UPS 输入输出配电柜、UPS 主机等设备安装。</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钢板材质、板厚满足技术要求；承重框焊接牢固，焊缝平整无虚焊、夹渣、裂纹；黑色静电喷塑层附着力强，无起皮、掉漆；模块化构件尺寸精度高，现场拼装便捷；水平调节脚调节顺畅，承载力达标；底座与对应设备、地面安装孔位匹配，可可靠锚固，满足抗震加固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（6）集成内容：底座构件现场拼装；水平调节脚预调；底座定位、地面锚固施工；设备就位安放；整体水平度复核；成品保护。</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KBG25电线管</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（1）管材性能：采用紧定式镀锌薄壁钢管，管材强度高、耐腐蚀，连接方式为紧定式套接，无需焊接、套丝，施工便捷。</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管材内外镀锌层完整，无起皮、漏镀、锈蚀、裂纹、凹陷；管材圆度规整，切口平整无毛刺；配套管件同材质同工艺，紧定螺钉紧固可靠；管材弯折后镀锌层不脱落；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（3）集成内容：进场验收，核验合格证、材质证明；管路测量下料；管材切割、弯管；管路敷设、固定；管件套接紧定；跨接接地施工；管路检查清扫；管线隐蔽验收。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KBG20电线管</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（1）管材性能：采用紧定式镀锌薄壁钢管，管材强度高、耐腐蚀，连接方式为紧定式套接，无需焊接、套丝，施工便捷。</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管材内外镀锌层完整，无起皮、漏镀、锈蚀、裂纹、凹陷；管材圆度规整，切口平整无毛刺；配套管件同材质同工艺，紧定螺钉紧固可靠；管材弯折后镀锌层不脱落；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（3）集成内容：进场验收，核验合格证、材质证明；管路测量下料；管材切割、弯管；管路敷设、固定；管件套接紧定；跨接接地施工；管路检查清扫；管线隐蔽验收。</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金属软管</w:t>
            </w:r>
            <w:r>
              <w:rPr>
                <w:rStyle w:val="1155"/>
                <w:rFonts w:hint="eastAsia" w:ascii="宋体" w:hAnsi="宋体" w:eastAsia="宋体" w:cs="宋体"/>
                <w:lang w:bidi="ar"/>
              </w:rPr>
              <w:t xml:space="preserve">Φ</w:t>
            </w:r>
            <w:r>
              <w:rPr>
                <w:rFonts w:hint="eastAsia" w:ascii="宋体" w:hAnsi="宋体" w:eastAsia="宋体" w:cs="宋体"/>
                <w:color w:val="000000"/>
                <w:sz w:val="20"/>
                <w:szCs w:val="20"/>
                <w:lang w:bidi="ar"/>
              </w:rPr>
              <w:t xml:space="preserve">25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（1）管材性能：采用金属柔性软管，具备良好弯曲性能，防腐防锈，用于设备与刚性导管之间的柔性过渡连接。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（2）质量要求：镀锌钢带无锈蚀、断裂；PVC 护套无开裂、老化、破损；弯曲灵活，弯折无明显扁瘪；接头连接紧密，密封可靠；进场提供产品合格证。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（3）集成内容：进场验收，核验合格证；按现场长度裁切；软管与设备、KBG 管之间安装专用接头锁紧；管路固定；线缆穿线；管路外观、连接可靠性检查。</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金属软管Φ20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（1）管材性能：采用金属柔性软管，具备良好弯曲性能，防腐防锈，用于设备与刚性导管之间的柔性过渡连接。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（2）质量要求：镀锌钢带无锈蚀、断裂；PVC 护套无开裂、老化、破损；弯曲灵活，弯折无明显扁瘪；接头连接紧密，密封可靠；进场提供产品合格证。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（3）集成内容：进场验收，核验合格证；按现场长度裁切；软管与设备、KBG 管之间安装专用接头锁紧；管路固定；线缆穿线；管路外观、连接可靠性检查。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墙面3+2插座</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（1）参数：额定电压 250V，额定电流 10A，3+2 组合五孔插座，阻燃面板，绝缘性能良好，适用于室内墙面低压用电回路，插拔可靠、接触稳定。</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★（2）强制认证：本产品属于国家强制性产品认证目录内【插头插座（0201）】类产品，具有有效的3C认证证书（到货验收时提供有效的3C认证证书供采购人核验）。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（3）质量要求：产品全新原厂正品，外观平整无毛刺、开裂；阻燃性能达标；锡磷青铜弹片弹性良好，插拔无松动、无明显发热；安全保护门动作可靠。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（4）集成内容：进场验收，核验合格证及 3C 证书；底盒清理；导线接入插座端子，牢固压接；插座面板固定安装；通电测试电压、接地连续性；标识粘贴。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防爆墙面3+2插座</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（1）参数：额定电压 250V，额定电流 10A，3+2 组合五孔，防爆型结构，外壳强度高，阻燃耐腐蚀，适用于有防爆要求区域墙面配电。</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★（2）强制认证：本产品属于国家强制性产品认证目录内【防爆插接装置（2308）】类产品，具有有效的3C认证证书（到货验收时提供有效的3C认证证书供采购人核验）。</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（3）质量要求：产品全新原厂正品，铸铝壳体无砂眼、裂纹；隔爆面平整，密封件完好；防爆密封接头压紧可靠；内部铜件弹性良好，无松动发热。</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（4）集成内容：底盒固定；电缆经防爆密封接头引入；导线可靠压接；插座本体安装，隔爆面清理、密封；管路与防爆盒密封连接；通电测试，接地连续性检查。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LED平板灯</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600×600mm，电子式无眩光型。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（2）参数：内置电子式驱动电源，无眩光设计，发光均匀柔和，光衰小，显色性能良好。</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本产品属于国家强制性产品认证目录内【灯具（1001）】类产品，具有有效的3C认证证书（到货验收时提供有效的3C认证证书供采购人核验）。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（4）质量要求：灯具全新原厂正品；发光面亮度均匀，无暗斑、频闪；隔离恒流驱动稳定，保护功能齐全；铝合金边框无变形、掉漆；通电无异常噪声、无明显温升。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（5）集成内容：吊顶开孔定位；灯具卡扣固定；电源线连接；绝缘检查；通电点亮测试；照度、外观复核；成品保护。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电池间防爆灯</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（1）参数：额定电压 AC220V，LED 光源，防爆结构设计，外壳防护等级满足电池间环境要求。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★（2）强制认证：本产品属于国家强制性产品认证目录内【防爆灯具及控制装置（2318）】类产品，具有有效的3C认证证书（到货验收时提供有效的3C认证证书供采购人核验）。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（3）质量要求：产品全新原厂正品；铸铝壳体无砂眼、裂纹；隔爆面平整无损伤，密封件完好；钢化玻璃无裂纹；LED 发光均匀，无频闪，驱动稳定；壳体永久刻印防爆标志、型号、参数。</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（4）集成内容：安装定位，支架固定；电缆通过防爆密封接头引入灯具；接线可靠，接地连接；隔爆面检查清理；密封装配；通电点亮测试；接地连续性检查。</w:t>
            </w:r>
            <w:r>
              <w:rPr>
                <w:rFonts w:ascii="宋体" w:hAnsi="宋体" w:eastAsia="宋体" w:cs="宋体"/>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双头应急探照灯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（1）参数：额定电压 AC220V，LED 光源，双灯头可角度调节，内置备用蓄电池，断电自动切换应急照明。</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★（2）强制认证：本产品属于国家强制性产品认证目录内【避难逃生产品（1815）】类产品，具有有效的3C认证证书（到货验收时提供有效的3C认证证书供采购人核验）。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（3）质量要求：产品全新原厂正品；外壳阻燃达标；主电 / 应急模式切换灵敏可靠；应急时长满足≥90 分钟；自检功能正常，故障告警有效；电池充放电稳定，无漏液。</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（4）集成内容：定位、壁挂固定；电源线接入；通电主电充电试验；模拟断电，测试应急点亮；故障自检功能测试；外观复核、成品保护。</w:t>
            </w:r>
            <w:r>
              <w:rPr>
                <w:rFonts w:ascii="宋体" w:hAnsi="宋体" w:eastAsia="宋体" w:cs="宋体"/>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应急疏散标志灯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（1）参数：额定电压 AC220V，LED 光源，内置备用蓄电池，断电自动转入应急工作状态。</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★（2）强制认证：本产品属于国家强制性产品认证目录内【避难逃生产品（1815）】类产品，具有有效的3C认证证书（到货验收时提供有效的3C认证证书供采购人核验）。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（3）质量要求：产品全新原厂正品，外壳阻燃性能满足国标；标识图案清晰、无褪色；主备电切换灵敏可靠；应急续航≥90min；自检、故障告警功能正常；电池充放电稳定，无漏液。</w:t>
            </w:r>
            <w:r>
              <w:rPr>
                <w:rFonts w:ascii="宋体" w:hAnsi="宋体" w:eastAsia="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（4）集成内容：现场定位，壁挂 / 吊装固定；电源线可靠接线；通电充电测试；模拟断电试验，核查指示点亮；自检及故障报警功能测试；外观复核、成品保护。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单联单控开关</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（1）规格：86型单联单控开关+配套86型暗盒。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250V，额定电流 10A。</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（5）集成内容：清理、安装 86 底盒；控制线接入开关端子并压紧；开关面板固定安装；通电测试通断功能；外观检查。</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二位二控开关</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（1）规格：86 型二位二控开关+配套 86 型暗盒。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250V，额定电流 10A。</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（5）集成内容：清理、安装 86 底盒；控制线接入开关端子并压紧；开关面板固定安装；通电测试通断功能；外观检查。</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三位三控开关</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（1）规格：86 型三位三控开关+配套 86 型暗盒。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250V，额定电流 10A。</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（5）集成内容：清理、安装 86 底盒；控制线接入开关端子并压紧；开关面板固定安装；通电测试通断功能；外观检查。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网格桥架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（1）材料规格 300×100mm。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（2）参数：采用钢丝网片拼装结构，表面热镀锌 / 电镀锌防腐。</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（3）质量要求：钢丝焊接牢固，无虚焊、脱焊；镀锌层均匀完整，无漏镀、锈蚀；切口打磨光滑无毛刺；构件尺寸统一，拼接安装便捷；配套接地配件齐全；进场提供材质证明、产品合格证。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（4）集成内容：测量定位；吊装支架、横担安装；网格桥架分段拼接固定；弯头、三通等异形件装配；接地跨接施工；线缆敷设；整体调直；成品保护。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镀锌桥架300*100*1.0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300×100mm，板材厚度 1.0mm。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（2）参数：钢板折弯成型，表面热镀锌防腐处理。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（3）质量要求：镀锌层均匀完整，无漏镀、起皮、锈蚀；板材厚度达标；焊接部位牢固、焊缝平整；桥架直线段顺直，无明显扭曲变形；配套配件齐全；进场提供材质证明、产品合格证。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（4）集成内容：现场定位放线；支吊架安装；桥架本体拼接、螺栓紧固；盖板安装；弯头、三通、变径装配；接地跨接；线缆敷设；整体调直校正；成品保护。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镀锌桥架200*100*1.0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（1）规格：镀锌电缆桥架，规格 200×100mm，板材厚度 1.0mm。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（2）参数：钢板折弯成型，表面热镀锌防腐处理。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（3）质量要求：镀锌层均匀完整，无漏镀、起皮、锈蚀；板材厚度达标；焊接部位牢固、焊缝平整；桥架直线段顺直，无明显扭曲变形；配套配件齐全；进场提供材质证明、产品合格证。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（4）集成内容：现场定位放线；支吊架安装；桥架本体拼接、螺栓紧固；盖板安装；弯头、三通、变径装配；接地跨接；线缆敷设；整体调直校正；成品保护。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★（1）规格：ZC，铜芯聚氯乙烯绝缘电线，型号 BV，截面 2.5mm²。</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450/750V，实心铜导体，PVC 绝缘。</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②制造商具备《工业产品生产许可证》（到货验收时提供有效的证明供采购人核验）。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（4）质量要求：铜芯纯度达标，电阻满足国标要求；绝缘层厚薄均匀，无偏心、气孔、破损；绝缘与导体之间不粘连；线芯表面光亮无氧化发黑；每盘线缆标识完整。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（5）集成内容：核对规格、线色；管路清扫；线缆穿管敷设；回路绝缘电阻测试；接线；隐蔽验收。</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 输入输出电缆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★（1）规格：ZCYJV，规格 4×185mm²+1×95mm²，含配套接线端子及辅材。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AP 柜电缆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ZCYJV，规格 4×95mm²+1×50mm²，含配套接线端子及辅材。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列头柜进线电缆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★（1）型号 ZCYJV，规格 4×95mm²+1×50mm²，含配套接线端子及辅材。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 4×25mm²+1×10mm²电缆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ZCYJV，4×25mm²+1×10mm²，含配套接线端子及辅材。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ZCYJV-5*6mm²电缆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ZCYJV，5×6mm²，含配套接线端子及辅材。</w:t>
            </w:r>
            <w:r>
              <w:rPr>
                <w:rFonts w:ascii="宋体" w:hAnsi="宋体" w:eastAsia="宋体" w:cs="宋体"/>
                <w:color w:val="000000"/>
                <w:sz w:val="20"/>
                <w:szCs w:val="20"/>
              </w:rPr>
            </w:r>
            <w:r/>
          </w:p>
        </w:tc>
      </w:tr>
      <w:tr>
        <w:trPr>
          <w:trHeight w:val="255"/>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（2）适用部位：照明配电箱、应急配电箱电缆，含配套接线端子及辅材。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ZCYJV3×6mm²电缆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ZCYJV，3×6mm²，含配套接线端子及辅材。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（2）适用部位：PDU输入电缆，含配套接线端子及辅材。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ZCYJV-2*16+1*10mm²电缆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ZCYJV，2*16+1*10mm²，含配套接线端子及辅材。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（2）适用部位：PDU输入电缆含配套接线端子及辅材。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（3）参数：额定电压 0.6/1kV，铜芯 C 级阻燃交联聚乙烯绝缘聚氯乙烯护套电力电缆。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三、防雷接地系统</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等电位联结端子箱</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300×200mm。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（2）参数：箱体钢板制作，内置铜质等电位端子排。</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（3）质量要求：箱体钢板厚度达标，无变形、掉漆；紫铜排镀锡层均匀完整，无锈蚀；螺栓配套齐全，连接可靠；箱体警示标识清晰牢固；进场提供材质证明、产品合格证。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（4）集成内容：箱体定位固定；等电位干线、分支接地线接入铜排；螺栓紧固；接触电阻检查；标识复核；隐蔽验收。</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接地铜排</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 3mm×30mm，紫铜材质。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（2）参数：T2 紫铜，表面可镀锡处理，用于机房等电位、接地汇集。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（3）质量要求：紫铜材质纯度达标；镀锡层均匀完整，无漏镀、起皮；冲孔位置准确，边缘无毛刺；平直无扭曲；进场提供材质检测报告、产品合格证。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（4）集成内容：铜排定位固定；接地支线、干线接入铜排；螺栓依次紧固；接触电阻检查；标识标注。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BVR软线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（1）材料名称：静电释放接地线，BVR-6mm²、BVR-16mm²等。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450/750V，铜芯聚氯乙烯绝缘软导线。</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★（3）强制认证及生产许可：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②制造商具备《工业产品生产许可证》（到货验收时提供有效的证明供采购人核验）。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（4）质量要求：导体绞合紧密，铜丝无氧化发黑；绝缘层厚薄均匀，无偏心、气孔、破损；绝缘不易剥离但不粘连导体；线缆表面标识连续清晰。</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（5）集成内容：核对规格、线色；线缆裁切；端子压接；柜内布线绑扎；回路绝缘电阻测试；标识编号。</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BVR50mm²接地线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（1）材料名称：铜芯聚氯乙烯绝缘软电线，型号 BVR，截面 50mm²。</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（2）参数：额定电压 450/750V，多股铜导体，PVC 绝缘。</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★（3）强制认证及生产许可：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②制造商具备《工业产品生产许可证》（到货验收时提供有效的证明供采购人核验）。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（4）质量要求：导体绞合紧密，铜丝无氧化发黑；绝缘层厚薄均匀，无偏心、气孔、破损；绝缘不易剥离但不粘连导体；线缆表面标识连续清晰。</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（5）集成内容：核对规格、线色；线缆裁切；端子压接；柜内布线绑扎；回路绝缘电阻测试；标识编号。</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四、机房微模块系统</w:t>
            </w:r>
            <w:r>
              <w:rPr>
                <w:rFonts w:ascii="宋体" w:hAnsi="宋体" w:eastAsia="宋体" w:cs="宋体"/>
                <w:b/>
                <w:bCs/>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（一）模块化UPS系统</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UPS主机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（1）模块化设计，单个机架≥200KVA电气柜。</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（2）UPS类型为在线双变换式模块化UPS，制式为三相输入，三相输出；上进线，单个功率模块≥50KVA。</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▲（3）模块化UPS的的功率、旁路、监控模块均支持热拔插（投标时需提供第三方检测机构出具的同系列机型检测报告关键页，并在有效期内）。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（4）UPS采用≥7英寸彩色触摸屏，配置SNMP卡/接口及485卡/接口。</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▲（5）UPS支持对母线电容及风扇寿命预测（投标时需提供第三方检测机构出具的同系列机型检测报告关键页，并在有效期内）。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（6）线性负载输入谐波电流总含量THDi＜3%；输入功率因数要求不小于0.99。</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（7）UPS输出特性要求:额定电压380/400/415VAC，稳压精度380/400/415±1%，输出电压波形为标准正弦波。</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（8）逆变输出过载能力:要求逆变输出具有较强的过载能力，且不低于下述标准：110%负载时，60min后转旁路,125%负载时，10min后转旁路,150%负载时，1min后转旁路。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▲（9）UPS应通过不小于8级度抗震性能检测。（投标时需提供第三方认证机构出具的有效的产品认证合格证书并在有效期内。）</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支持模块轮换休眠，主机柜系统设置为智能休眠模式后，当模块的负载率小于休眠负载级别时，控制器根据当前负载量来决定进入休眠模式的模块数量，并在根据所设置的轮休时间来进行休眠轮换，绿色节能的同时提高系统综合使用寿命（投标时需提供产品彩页证明。）</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▲（11）UPS具有优秀的高温低气压适用性， 0-40℃不降额工作；≥55℃降额工况可工作。（投标时提供同系列机型第三方检测报告关键页证明）。</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（12）UPS支持电池节数30~44节可调，并支持在控制器上直接修改电池数量，无需对UPS其他板件进行调整。</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（13）集成内容：基础复核、设备就位固定、电缆敷设接线、接地施工、绝缘检测、单机调试、成品保护、现场清洁等全部工序。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UPS功率模块</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★（1）规格：模块化设计，单个功率模块≥50KVA，适配本项目UPS主机机架，在线双变换架构。</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功率模块支持热拔插，可在线扩容、在线维护；模块自带独立的控制、保护、功率变换单元；具备过载、短路、过温保护功能；模块支持与主机监控系统通讯，可单独采集模块电压、电流、温度、故障告警等信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（3）质量要求：模块插接到位、锁定可靠，接触良好；模块可被UPS主机正常识别，无告警；带载输出稳定，故障保护功能有效。</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（4）集成内容：机架内部清理、功率模块就位插接、通讯对接校验、通电识别检测、输出性能调试、故障保护功能验证、系统联调、标识规整、成品保护、现场清洁等全部集成工序。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蓄电池</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★（1）采用免维护铅酸蓄电池，单块电池规格12V120AH，适配项目120KW负载，满足系统后备续航2小时使用要求。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（2）参数：电池为全密封免维护结构，无需日常补液维护；具备优良的充放电性能、抗老化、耐冲击、自放电率低；适配UPS系统充放电逻辑，运行电压稳定，适配配套主机启停保护逻辑。</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（3）技术标准：产品符合国家蓄电池相关行业标准，质量稳定，安全防护、绝缘性能达标，适配机房不间断电源配套使用场景。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（4）质量要求：电池外观完好无破损、无漏液、无鼓包、无锈蚀；接线端子完好、无氧化；电池容量、电压参数达标，充放电工况正常，无异常告警。</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电池进场验收、电池柜体清理摆放、电池规整排布、串联接线安装、接线紧固绝缘处理、电池组电压校验、极性核对、充放电测试、系统匹配调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开放式电池柜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★（1）规格：开放式电池架结构，单组电池柜可容纳40节12V120AH蓄电池，结构尺寸适配本项目电池组排布及机房安装空间，配套UPS 120KW负载后备续航配置。</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电池架采用高强度钢制材质，整体承重性能优异，不易变形、耐腐蚀、抗氧化；分层分区规整设计，满足40节电池整齐排布、间距合理；柜体预留充足接线、散热空间，适配蓄电池长期稳定运行，便于后期巡检与维护。</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（3）技术标准：产品符合机房电气设备安装相关行业标准，柜体结构稳固，接地、绝缘、散热性能达标，满足不间断电源系统配套安装使用要求。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（4）质量要求：电池柜/电池架外观平整光滑，无变形、无掉漆、无锈蚀；焊接、拼接部位牢固无松动，配件齐全；柜体水平、垂直安装精度达标，整体排布规整，接地可靠。</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进场柜体验收、安装位置定位找平、电池架固定安装（根据电池架承重加固图纸定制）、柜体接地处理、40节电池规整排布定位、柜体清洁整理、安装精度校验、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电池开关柜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（1）规格：电池开关箱配置 400A 母排，配置 160A/3P 直流开关共 4 只，输出端从箱体左侧引出，适配本项目蓄电池组配套使用。</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（2）参数：箱体采用金属外壳，内置 400A 导电母排，母排载流量满足系统最大工作电流；配置 160A/3P 直流断路器 4 路，具备过载、短路保护功能；接线端子牢固可靠，左侧预留输出接口，满足线缆从左侧直接输出的布线要求。</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（4）质量要求：箱体无变形、掉漆；母排连接紧固无松动；开关动作可靠，分合闸正常；回路标识清晰，绝缘检测合格，无漏电、发热隐患。</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（5）集成内容：设备进场验收、箱体定位固定、箱体接地安装、400A 母排装配、直流开关安装固定、回路接线、线缆左侧引出排布、接线紧固与绝缘防护、回路通断校验、标识粘贴、成品保护、现场清洁等全部集成工序。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电池电缆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（1）规格：采用 BVR 185mm² 电池电缆，含配套接线端子及安装辅材，用于本项目蓄电池组与电池开关柜之间电气连接。</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（2）参数：BVR 多股软导体结构，载流量满足系统工作电流需求；绝缘层耐温、阻燃，适配机房直流供电回路；配套专用接线端子，接触电阻小，压接可靠；配套包含固定件、绝缘护套、扎带等全套安装辅材。</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★（3）强制认证及生产许可：</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eastAsia="宋体" w:cs="宋体"/>
                <w:color w:val="000000"/>
                <w:sz w:val="20"/>
                <w:szCs w:val="20"/>
                <w:lang w:bidi="ar"/>
              </w:rPr>
              <w:br w:type="textWrapping" w:clear="all"/>
            </w:r>
            <w:r>
              <w:rPr>
                <w:rFonts w:hint="eastAsia" w:ascii="宋体" w:hAnsi="宋体" w:eastAsia="宋体" w:cs="宋体"/>
                <w:color w:val="000000"/>
                <w:sz w:val="20"/>
                <w:szCs w:val="20"/>
                <w:lang w:bidi="ar"/>
              </w:rPr>
              <w:t xml:space="preserve">②制造商具备《工业产品生产许可证》（到货验收时提供有效的证明供采购人核验）。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（4）质量要求：电缆外皮完好无破损、无龟裂；导体无氧化；接线端子规格匹配，压接牢固；电缆无扭曲损伤，绝缘电阻检测合格。</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（5）集成内容：电缆进场验收、线缆敷设排布、线缆裁剪、接线端子压接、接线紧固、绝缘包裹防护、线缆固定整理、回路核对、标识粘贴、成品保护、现场清洁等全部集成工序。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（二）机房空调系统</w:t>
            </w:r>
            <w:r>
              <w:rPr>
                <w:rFonts w:ascii="宋体" w:hAnsi="宋体" w:eastAsia="宋体" w:cs="宋体"/>
                <w:b/>
                <w:bCs/>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行级精密空调室内机（加热加湿）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★（1）总冷量：≥45kW；显冷量：≥45kW；风量：≥9000 m3/h；加湿量（kg/h）≥3，加热量（kw）≥6；水平送风。</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（2）尺寸统一为600*1200*2000mm，与微模块整体外观统一。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（3）显热比（显冷量/总冷量）=1。</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（4）室内机应由直流变频压缩机、蒸发器、EC风机、控制器、电子膨胀阀、油分  、视液镜、干燥过滤器、加湿器和加热器等主要部件组成。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（5）采用高效工业用直流变频涡旋压缩机，20%~100%无极调节，按需输出冷量，大幅降低能耗。</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（6）行级精密空调控制器采用7寸LCD触摸屏。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▲（7）机组为湿膜加湿，加湿采用的湿膜无需供电；加湿量不小于3kg/h（投标时需提供第三方检测机构出具的检测报告关键页，并在有效期内）。</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▲（8）轻载除湿：行级精密空调室内机应具有低载除湿功能，显热制冷量≤2000W时，除湿量≥5KG/h（投标时需提供第三方检测机构出具的检测报告关键页，并在有效期内）。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（9）要求机组平均无故障时间MTBF≥10万小时。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（10）机组应具有过压、欠压等报警及故、障诊断，告警记录功能，自动保护，自动恢复，自动重启动等功能。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（11）安全保护：室内风机和风机电源模块在线维护，更换无需停机；整机异常掉电后电子膨胀阀自动关闭，避免异常掉电回液导致重启后压缩机液击风险。</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（12）行间级精密空调机组须有节能措施的设计，保障换热效率；除湿控制精确，以减少空气过冷及热补偿的能量损失；室外风机应可根据室外温度无极调速，减少风机能耗。</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▲（13）抗震要求：整机通过YD/T 2061《通信机房用恒温恒湿空调系统》不小于8级烈度抗震测试。（投标时需提供第三方机构测试报告关键页证明。）</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（14）含进出水、冷媒管路、制冷剂、内外机电源线、内外机信号线、内外机底座等材料。</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质量要求：机组外观完好无变形、掉漆、磕碰，整机尺寸合规，与微模块外观协调统一；各核心部件装配紧固、连接可靠，管路无渗漏、线路无虚接；制冷、加热、加湿、除湿、调速等功能运行稳定；各类告警、保护、记忆重启功能响应精准，无故障误报、漏报；风机、压缩机运行平稳，无异常震动及噪音。</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（16）集成内容：设备进场验收、设备就位定位固定、水平度调校、管路及线缆敷设连接、控制接线、接地安装、上电检查、制冷 / 加热 / 加湿 / 除湿功能调试、告警保护功能校验、系统联调、标识粘贴、成品保护、现场清洁等全部集成工序。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★（17）强制节能：产品列入强制节能产品政府采购品目清单 A02052309 专用制冷、空调设备（机房空调），整套机组具有对应的有效节能产品认证证书。</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行级精密空调室外机（加热加湿）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（1）规格：配套行级精密空调风冷室外机，与室内机一一匹配，适配本项目行级精密单冷 / 加热加湿室内机组使用，风冷散热型式。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配套风冷室外冷凝器，配置室外风机，风机可根据室外温度无极调速，降低风机能耗；与室内机冷媒回路匹配，保障系统换热效率；具备高低压保护、过流保护等安全保护功能；可与室内控制器通讯，实时上传运行状态、告警信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（3）质量要求：机组外壳无变形、掉漆、锈蚀；风机运转平稳无异常振动、噪音；管路焊接可靠无泄漏；电气接线牢固；保护、告警功能动作准确。</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行级精密空调室内机（单冷）</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★（1）总冷量：≥45kW；显冷量：≥45kW；风量：≥9000 m3/h；水平送风。</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（2）行级精密空调尺寸统一为600*1200*2000mm，与微模块整体外观统一。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（3）应具备高显热比，要求显热比（显冷量/总冷量）=1。</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（4）室内机应由直流变频压缩机、蒸发器、EC风机、控制器、电子膨胀阀、油分、视液镜、干燥过滤器、等主要部件组成。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（5）采用高效工业用直流变频涡旋压缩机，20%~100%无极调节，按需输出冷量，大幅降低能耗。</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▲（6）具备制冷剂不足分级检测功能，支持制冷剂正常充注、制冷剂不足、制冷剂严重不足等状态检测（投标时需提供第三方检测机构出具的检测报告关键页）。</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（7）含进出水、冷媒管路、制冷剂、内外机电源线、内外机信号线、内外机底座等材料。</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质量要求：机组外观完好无变形、掉漆、磕碰，整机尺寸合规，与微模块外观协调统一；各核心部件装配紧固、连接可靠，管路无渗漏、线路无虚接；制冷功能运行稳定；制冷剂分级检测功能响应准确；风机、压缩机运行平稳，无异常震动及噪音。</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集成内容：设备进场验收、设备就位定位固定、水平度调校、管路及线缆敷设连接、控制接线、接地安装、上电检查、制冷功能调试、制冷剂检测功能校验、系统联调、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★（10）强制节能：产品列入强制节能产品政府采购品目清单 A02052309 专用制冷、空调设备（机房空调），整套机组具有对应的有效节能产品认证证书。</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行级精密空调室外机（单冷）</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（1）规格：配套行级精密空调风冷室外机，与室内机一一匹配，适配本项目行级精密单冷 / 加热加湿室内机组使用，风冷散热型式。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配套风冷室外冷凝器，配置室外风机，风机可根据室外温度无极调速，降低风机能耗；与室内机冷媒回路匹配，保障系统换热效率；具备高低压保护、过流保护等安全保护功能；可与室内控制器通讯，实时上传运行状态、告警信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（3）质量要求：机组外壳无变形、掉漆、锈蚀；风机运转平稳无异常振动、噪音；管路焊接可靠无泄漏；电气接线牢固；保护、告警功能动作准确。</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房间精密空调室内机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★（1）总冷量：≥12.5kW；显冷量：≥11.7kW；风量：≥3100 m3/h。</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（2）显热比（显冷量/总冷量）≥0.9。</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（3）精密空调应由直流变频压缩机、EC风机、电子膨胀阀等主要部件组成。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（4）精密空调可支持制冷量30%~100%无极调节，按需输出冷量，大幅降低能耗。</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▲（5）机组应具备不低于6kV防雷滤波规格（投标时需提供第三方检测机构出具的检测报告关键页）。</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（6）采用不低于3.2寸LCD显示屏。支持温湿度曲线显示。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（7）机组的控制器应具有标准报警功能，包括：高温报警、低温报警、风扇故障报警、温湿度传感器故障报警等功能。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（8）连管长度：出厂预充注冷媒，30m以内的内外机连管长度无需添加制冷剂。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▲（9）抗震要求：整机通过YD/T 2061《通信机房用恒温恒湿空调系统》不小于8级烈度抗震测试。（投标时需提供第三方机构测试报告关键页证明。）</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（10）管路连接：内外机管路连接采用免焊接设计，安装现场无需动火。</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（11）含进出水、冷媒管路、制冷剂、内外机电源线、内外机信号线、内外机底座等材料。</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★（12）强制认证：本产品属于国家强制性产品认证目录内【空调器（0703）】类产品，具有有效的3C认证证书（到货验收时提供有效的3C认证证书供采购人核验）。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（13）质量要求：机组外壳无变形、掉漆、锈蚀；风机运转平稳无异常振动、噪音；管路焊接可靠无泄漏；电气接线牢固；保护、告警功能动作准确。</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★（15）强制节能：产品列入强制节能产品政府采购品目清单 A02052309 专用制冷、空调设备（机房空调），整套机组具有对应的有效节能产品认证证书。</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房间精密空调室外机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（1）规格：配套房间级精密空调风冷室外机，与本项目房间精密空调室内机一一匹配，风冷散热型式。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配套风冷室外冷凝器，配置室外风机，可根据环境温度调速，降低风机能耗；冷媒回路参数与室内机匹配，保障整机换热效率；具备高低压保护、过流保护等安全保护功能；可与室内机控制器通讯，实时上传机组运行状态、故障告警信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（3）质量要求：机组外壳无变形、掉漆、锈蚀；风机运转平稳，无异常振动及噪音；管路连接可靠无泄漏；电气接线牢固；各项保护、告警功能动作准确。</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室外机基础复核、设备就位固定、找平加固、设备接地、冷媒管路对接、电气及通讯线缆敷设接线、气密性试验、抽真空、冷媒系统检查、整机联动调试、运行状态校验、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（三）机柜冷通道系统</w:t>
            </w:r>
            <w:r>
              <w:rPr>
                <w:rFonts w:ascii="宋体" w:hAnsi="宋体" w:eastAsia="宋体" w:cs="宋体"/>
                <w:b/>
                <w:bCs/>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服务器机柜</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★（1）机柜采用标准的服务器机柜，尺寸（宽*深 *高）为600*1200*2000mm，支持19英寸标准的服务器、存储及网络设备安装；服务器机柜含20个1U盲板、1对轻载滑道U等机柜配件，布线含30个1U盲板、2对轻载滑道U等机柜配件。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★（2）32A单相国标机柜PDU规格：输出接口不少于 20 个 GB 10A 国标插座 + 4 个 GB 16A 国标插座，适配标准 19 英寸服务器机柜内安装使用（1个机柜配置2个，22个机柜使用这种规格）。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★（3）63A单相国标机柜PDU规格：采用 63A 单相国标机柜专用 PDU，适配 19 英寸标准机柜嵌入式安装；设备输出接口配置不少于 16 路 GB 10A 国标插座、8 路 GB 16A 国标插座，满足机房设备多回路、多功率设备供电需求（1个机柜配置2个，4个机柜使用这种规格）。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（4）机柜颜色为黑色，机柜应采用高强度A级优质碳素冷轧钢板和镀锌板，表面喷涂厚度应不小于60</w:t>
            </w:r>
            <w:r>
              <w:rPr>
                <w:rStyle w:val="1155"/>
                <w:rFonts w:hint="eastAsia" w:ascii="宋体" w:hAnsi="宋体" w:eastAsia="宋体" w:cs="宋体"/>
                <w:lang w:bidi="ar"/>
              </w:rPr>
              <w:t xml:space="preserve">μ</w:t>
            </w:r>
            <w:r>
              <w:rPr>
                <w:rFonts w:hint="eastAsia" w:ascii="宋体" w:hAnsi="宋体" w:eastAsia="宋体" w:cs="宋体"/>
                <w:color w:val="000000"/>
                <w:sz w:val="20"/>
                <w:szCs w:val="20"/>
                <w:lang w:bidi="ar"/>
              </w:rPr>
              <w:t xml:space="preserve">m ,采用黑色砂纹工艺，满足防腐、防锈、光洁、色泽均匀、无流挂、不露底、无起泡、无裂纹、金属件无毛刺锈蚀要求。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（5）机架前门立柱需要有具体U数标示。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（6）机柜立柱采用八折型材一次滚压成型技术，保证承重要求。机柜主要承重部件包括立柱、横梁、框架等的板材厚度不小于1.5mm，顶板、侧板、底板等非承重部件的板材厚度1.0mm。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▲（7）机柜前后门开孔率需均≥75%（投标时需提供同系列机型第三方机构出具的检测报告）。</w:t>
            </w:r>
            <w:r>
              <w:rPr>
                <w:rFonts w:ascii="宋体" w:hAnsi="宋体" w:eastAsia="宋体" w:cs="宋体"/>
                <w:color w:val="000000"/>
                <w:sz w:val="20"/>
                <w:szCs w:val="20"/>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▲（8）机柜保证在承重情况下各部件不变形弯曲，被检机柜配置≥2300KG荷载情况下，静置24H，卸荷后目测托盘和柜体无损坏或变形（投标时需提供同系列机型第三方机构出具的检测报告关键页）。</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▲（9）按照标准YD5083-2005《电信设备抗地震性能检测规范》要求，机柜配重不小于580kg承重下，通过不小于8级烈度结构抗地震检测（提供同系列机型第三方机构出具的检测报告关键页）。</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（10）质量要求：机柜外形尺寸精准，板材厚度达标，型材成型规整无变形；表面喷塑均匀饱满，无流挂、漏底、起泡、裂纹、锈蚀、毛刺等缺陷；柜门开合顺畅、锁紧可靠；内部 U 位标识清晰准确；整机承重、散热、防护、抗震性能达标，结构稳固无松动隐患。</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集成内容：设备进场验收、外观及参数核查、安装场地清理、机柜就位摆放、水平垂直调平、机柜固定加固、设备接地处理、盲板及轻载滑道、柜顶部围板、顶部强弱电走线槽、机柜下封板等配件安装规整、整机结构检查、散热及防护结构核验、标识粘贴、成品保护、施工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冷通道系统</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★（1）规格：机柜专用侧板适配 1200mm 深、2000mm 高落地 机柜专用侧板*4，固定天窗1200mm 宽密封冷热通道顶部封闭*3，活动天窗1200mm 宽密封冷热通道顶部封闭*13，1200mm 宽冷热密封通道端部电动推拉自动移门*2，LED照明*34，冷通道指纹/密码/刷卡一体化门禁系统*2，微模块门框*2。</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（2）参数：与机柜冷通道配套；安装后封堵通道顶部间隙，阻断冷热气流短路，保障密封通道气流组织，维持机柜散热效率；预留检修拆装条件，为消防系统配套预留接口。</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微模块门框参数：模块应有明确的状态指示，可支持状态指示灯，与门禁及告警等级联动，在微模块产生告警后可与灯光进行联动。能够与紧急告警、严重告警、次要告警、提示告警进行联动。告警信号接入微模块监控系统，不同告警等级对应差异化灯光颜色 / 闪烁逻辑，便于运维人员快速识别告警级别（投标时需提供同系列机型第三方机构出具的检测报告关键页）。</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（4）技术标准：产品符合机房冷通道系统相关技术规范；电气安全、信号接口满足机房弱电系统使用要求。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（5）质量要求：板面平整无变形，喷塑完好无流挂、漏底；开孔、固定孔位与机柜框架完全匹配；装配后贴合紧密，无明显缝隙。</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集成内容：设备进场验收、外观及参数核查、安装场地清理、冷通道就位摆放、水平垂直调平、冷通道固定加固、设备接地处理、机柜侧板、固定天窗、活动天窗、自动移门、冷通道照明灯、冷通道门禁等配件安装规整、整机结构检查、散热及防护结构核验、标识粘贴、成品保护、施工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五、新风排烟系统</w:t>
            </w:r>
            <w:r>
              <w:rPr>
                <w:rFonts w:ascii="宋体" w:hAnsi="宋体" w:eastAsia="宋体" w:cs="宋体"/>
                <w:b/>
                <w:bCs/>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（一）新风系统</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吊顶式洁净新风机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★（1）规格：额定风量 ≥1500m³/h，吊顶暗装式结构。</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产品功能：配置四层过滤，内置活性炭材质过滤器，可对引入新风实现除菌、去除异味；搭载智能液晶控制器，支持可编程分时段开关机运行；具备过滤器更换提醒功能；整机吊顶安装，噪声低，适配机房新风补给与空气净化需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（3）技术标准：产品符合新风净化设备相关国家、行业标准；风量、余压、过滤、除菌、异味处理、时段控制、滤网提醒功能满足机房使用环境要求。</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（4）质量要求：机组壳体无变形、锈蚀；风机运转平稳无异常振动噪音；各级过滤器安装密封良好，无漏风；液晶控制器显示清晰，时段启停、滤网告警功能响应准确；电气接线牢固，绝缘耐压性能合格。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设备进场验收、参数及外观核查、吊装支架制作安装、机组吊装固定、新风管道接驳、风管密封处理、冷凝水管路安装、供电及控制线敷设接线、控制器配置调试、整机试运行、风量测试、功能校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400mm×300mm*1，300*200mm*1常开型防火阀，可接入消防控制系统，与消防主机联动；接收 DC24V 控制信号，支持远程电动复位。</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400mm×300mm 。</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（2）采用 AC220V 供电，可与风机实现连锁启停控制，配套机房通风管路使用。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手动风量调节阀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（1）尺寸 300mm×200mm 。</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（2）阀体采用镀锌钢板制作，叶片转动灵活，定位锁紧可靠；关闭状态具备一定密闭性能，可用于管路风量平衡调试。</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（3）技术标准：产品符合通风与空调工程风量调节阀相关国家行业标准；钣金加工尺寸、叶片调节机构满足风管风量平衡使用要求。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（4）质量要求：阀体板材平整无变形、锈蚀；叶片转动顺滑无卡滞，调节后锁紧定位牢靠；法兰平整，便于风管对接密封。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（5）集成内容：阀体风管定位安装、法兰密封、安装固定、风量调试、定位锁紧、标识粘贴、成品保护、现场清洁等全部集成工序。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（二）事故排风系统</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轴流排风机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★（1）规格：额定风量 ≥3000m³/h。</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（2）技术标准：产品符合轴流排风机设备相关国家、行业标准。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（4）质量要求：机组壳体无变形、锈蚀；风机运转平稳无异常振动噪音；各级过滤器安装密封良好，无漏风；电气接线牢固，绝缘耐压性能合格。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设备进场验收、参数及外观核查、吊装支架制作安装、机组吊装固定、新风管道接驳、风管密封处理、供电及控制线敷设接线、控制器配置调试、整机试运行、风量测试、功能校验、标识粘贴、成品保护、现场清洁等全部集成工序。</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防爆轴流排风机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★（1）规格：额定风量 ≥4500m³/h。</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★（2）强制认证：本产品电动机属于国家强制性产品认证目录内【防爆电机（2301）】类产品，具有有效的3C认证证书（到货验收时提供有效的3C认证证书供采购人核验）。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（3）质量要求：机组壳体无变形、锈蚀；风机运转平稳无异常振动噪音；各级过滤器安装密封良好，无漏风；电气接线牢固，绝缘耐压性能合格。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参数及外观核查、吊装支架制作安装、机组吊装固定、新风管道接驳、风管密封处理、供电及控制线敷设接线、控制器配置调试、整机试运行、风量测试、功能校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300mm×200mm*1 ，尺寸 300mm×150mm *1常开型防火阀，可接入消防控制系统，与消防主机联动；接收 DC24V 控制信号，支持远程电动复位。</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300mm×200mm*1 ，尺寸 300mm×150mm *1电动风阀。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（2）采用 AC220V 供电，可与风机实现连锁启停控制，配套机房通风管路使用。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（三）电池间日常排风系统</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吊顶式洁净新风机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★（1）规格：额定风量≥250m³/h，吊顶暗装式结构。</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（2）技术标准：产品符合新风净化设备相关国家、行业标准；风量、余压、过滤、除菌、异味处理、时段控制、滤网提醒功能满足机房使用环境要求。</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（3）质量要求：机组壳体无变形、锈蚀；风机运转平稳无异常振动噪音；各级过滤器安装密封良好，无漏风；液晶控制器显示清晰，时段启停、滤网告警功能响应准确；电气接线牢固，绝缘耐压性能合格。</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参数及外观核查、吊装支架制作安装、机组吊装固定、新风管道接驳、风管密封处理、冷凝水管路安装、供电及控制线敷设接线、控制器配置调试、整机试运行、风量测试、功能校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200mm×150mm 常开型防火阀，可接入消防控制系统，与消防主机联动；接收 DC24V 控制信号，支持远程电动复位。</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 200mm×150mm 电动风阀。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（2）采用 AC220V 供电，可与风机实现连锁启停控制，配套机房通风管路使用。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六、机房气体消防系统</w:t>
            </w:r>
            <w:r>
              <w:rPr>
                <w:rFonts w:ascii="宋体" w:hAnsi="宋体" w:eastAsia="宋体" w:cs="宋体"/>
                <w:b/>
                <w:bCs/>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（一）七氟丙烷灭火系统无管网式</w:t>
            </w:r>
            <w:r>
              <w:rPr>
                <w:rFonts w:ascii="宋体" w:hAnsi="宋体" w:eastAsia="宋体" w:cs="宋体"/>
                <w:b/>
                <w:bCs/>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单瓶组柜式灭火装置</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★（1）规格：40KG*1、84KG*1、111KG*2。单瓶组成套柜式结构，含灭火剂瓶组、容器阀、信号反馈装置、喷嘴、柜体等全套部件；具备自动、手动、机械应急三种启动方式；可接入火灾报警控制器，接收 DC24V 启动信号，喷放后输出动作反馈信号，用于机房电气火灾防护，不损伤机房精密设备。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（3）质量要求：柜体结构牢固，瓶组钢印、铭牌齐全；容器阀、安全泄放装置性能可靠；启动、喷放动作灵敏，密封无泄漏；信号反馈准确，机械应急操作省力可靠。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（4）集成内容：柜体定位固定、灭火剂管路及喷嘴安装、火灾报警控制线敷设接线、联动逻辑配置、模拟启动试验、喷放反馈测试、标识粘贴、成品保护、现场清洁等全部集成工序。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HFC-227ea灭火剂</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七氟丙烷（HFC-227ea/FM200），结构式是 CF3CHFCF3。是一无色的无气味气体;化学式是C3HF7，微溶于水(260 mg/l) 。</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泄压装置</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（1）规格：气体灭火防护区专用泄压装置，有效泄压面积 0.07㎡，本体开孔尺寸 300mm×300mm*2，本体开孔尺寸 400mm×400mm*1，安装于机房防护区墙体，用于七氟丙烷喷放时释放防护区内超压。</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（2）质量要求：装置壳体平整无变形锈蚀；泄压动作灵敏，开启与复位可靠；密封片完好，平时密闭不漏风，超压开启顺畅；安装法兰尺寸匹配预留洞口。</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（3）集成内容：墙体洞口清理定位、泄压装置固定安装、接缝密封、功能外观检查、标识粘贴、成品保护、现场清洁等全部集成工序。</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（二）火灾自动报警系统</w:t>
            </w:r>
            <w:r>
              <w:rPr>
                <w:rFonts w:ascii="宋体" w:hAnsi="宋体" w:eastAsia="宋体" w:cs="宋体"/>
                <w:b/>
                <w:bCs/>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点型光电感烟火灾探测器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内置单片机，可对环境参数自动补偿，智能算法判别火警，降低误报率；采用电子编码，现场可单独编址，具备故障自诊断功能；探测器自带火警确认指示灯，烟雾浓度达到阈值后向火灾报警控制器上传火警信号，可联动后续灭火、排风等消防设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（3）质量要求：外壳完好无破损；光学迷宫洁净；通讯稳定，火警、故障信号上传准确；编码地址唯一，无地址冲突；工作电流、灵敏度指标满足国标。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（4）集成内容：底座固定安装、二总线接线、电子编码设置、地址注册、火警模拟测试、故障测试、标识粘贴、成品保护、现场清洁等全部集成工序。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点型感温火灾探测器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（1）参数：内置单片机，支持温度算法处理，可现场切换设置 A1R、BS 探测类别；电子编码，独立编址，自带故障自诊断；温度达到报警阈值后点亮火警指示灯，向火灾报警控制器上传火警信号，可联动气体灭火、通风等消防设备。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（3）质量要求：外壳完好无破损；温度传感元件性能稳定；通讯可靠，火警、故障信号上传准确；地址编码唯一，无地址冲突；A1R、BS 类别切换设置功能正常。</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（4）集成内容：底座固定安装、二总线接线、电子编码、探测类别参数配置、主机地址注册、温度模拟报警测试、故障测试、标识粘贴、成品保护、现场清洁等全部集成工序。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火灾声警报器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（1）参数：金属外壳，直径 150mm；额定工作电压 DC24V；输出声压级 75dB~90dB；接收报警主机火警指令后发出持续警报声响，提示现场人员发生火情，适配机房消防系统联动使用。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（2）质量要求：外壳无变形锈蚀，发声器件完好；供电 DC24V 工况下发声稳定，声压指标满足要求；接线端子牢固，绝缘性能合格，响应及时。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（3）集成内容：定位固定、DC24V 控制线敷设接线、主机联动配置、警报发声测试、标识粘贴、成品保护、现场清洁等全部集成工序。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火灾声光警报器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（1）参数：二线制通讯供电，支持电子编码，可在主机上独立编址；火警启动后同步输出强光与蜂鸣警报；内置蜂鸣器检线功能，实时监测线路故障，线路异常时反馈故障信号至报警主机，适配消防联动系统。</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（3）质量要求：外壳完好无破损；光源、蜂鸣器件性能稳定；二线总线通讯可靠，声光输出强劲；检线功能正常，故障信号上报准确；编码地址唯一无冲突。</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（4）集成内容：设备进场验收、3C 证书核验、底座固定安装、二线总线接线、电子编码设置、主机注册、火警联动声光测试、线路故障检线功能测试、标识粘贴、成品保护、现场清洁等全部集成工序。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气体释放警报器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（1）参数：电子编码，二总线无极性接入气体灭火控制器；接收喷放联动指令后，红色 “放气勿入” 标识闪烁，闪光频率 1Hz～2Hz；内置 MCU，具备总线通讯、故障自检功能；DC24V 总线供电；用于七氟丙烷防护区，在灭火剂喷放后警示现场人员，防止人员误入造成窒息伤害。</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（2）质量要求：外壳完好，LED 发光均匀醒目；总线通讯稳定，可正常注册编码；收到联动信号可靠点亮警示，故障状态可上传至主机；标识文字尺寸、亮度满足国标要求。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（3）集成内容：底座固定安装、二总线接线、电子编码、主机注册、喷放联动试验、故障自检测试、标识粘贴、成品保护、现场清洁等全部集成工序。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气体灭火控制器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★（1）规格：壁挂式气体灭火控制器，支持 4 个防区气体灭火控制；每 2 个区共享 1 路 242 点回路，共计 4 个区；自带 CAN 联网卡，内置备用电源，不含打印机；最多可扩展 5 块通讯板，符合 2O24 新国标。</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（2）参数：可配接编码型火灾探测器、手动火灾报警按钮、紧急启 / 停按钮、声光警报器、气体释放警报器、手自动转换开关、输出模块等设备；具备火灾探测报警 + 气体灭火控制双重功能；具备火警识别、延时启动、喷放输出、状态反馈、故障监测、手自动切换功能；支持 CAN 总线联网通信，自带备电保障断电持续工作，无打印模块，可扩展最多 5 块通讯板。</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★（3）强制认证：本产品属于国家强制性产品认证目录内【火灾报警产品（1801）】类产品，具有有效的3C认证证书（到货验收时提供有效的3C认证证书供采购人核验）。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（4）质量要求：壁挂壳体坚固，显示屏、按键操作正常；回路通讯稳定，4 个防区独立状态监视；火警、故障、延时、喷放信号准确；CAN 联网、备电充放电功能可靠；扩展通讯板接口稳定。</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（5）集成内容：智能电源箱、壁挂固定安装、回路总线、控制输出、CAN 联网线敷设接线、备用电源接线、设备注册、防区参数配置、火警模拟、延时及喷放联动试验、手自动切换测试、故障自检测试、标识粘贴、成品保护、现场清洁等全部集成工序。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紧急启停按钮</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电子编码，启动和停动共占用一个编码点；可输出无源常开触点信号，能够直接控制声光警报器等外部设备；具备紧急启动、紧急停止双按键，带防护盖板，防止误操作；信号接入气体灭火控制器，将现场手动指令上传至主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（2）质量要求：壳体完好，盖板开合顺畅；按键动作可靠，无卡滞；编码注册正常，启停指令上传准确；无源常开触点通断可靠，触点容量满足外接设备控制要求。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（3）集成内容：底座固定安装、二总线接线、电子编码设置、主机地址注册、启停功能模拟测试、无源触点输出测试、标识粘贴、成品保护、现场清洁等全部集成工序。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输入/输出模块</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（1）参数：电子编码，单动作输入、输出；无源输出容量 DC24V/2A，有源输出容量 DC24V/1A；可采集现场设备反馈信号，同时输出控制信号联动外部消防设备，具备故障自检、总线通讯监测功能。</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★（2）强制认证：本产品具备有效的消防产品强制性认证（CCCF）证书（到货验收时提供有效的证书供采购人核验）。</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（3）质量要求：模块壳体完好，接线端子牢固；总线通讯稳定，编码注册正常；输入信号采集准确，无源、有源输出触点动作可靠，输出容量满足参数要求；故障信号可上传主机。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（4）集成内容：模块底座固定安装、信号总线及受控设备接线、电子编码、主机地址注册、输入反馈测试、无源 / 有源输出动作试验、标识粘贴、成品保护、现场清洁等全部集成工序。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总线短路隔离器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（1）参数：电子编码，接入信号二总线；当总线发生短路故障时自动隔离故障段，保障其余回路设备正常工作；故障消除后可自动恢复总线通讯，具备总线状态监测功能，故障信号上传至消防主机。</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（2）质量要求：壳体完好，接线端子牢固；短路保护动作灵敏，故障隔离可靠；短路消除后自动恢复通讯，通讯稳定无丢点；故障反馈信号上传准确。</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（3）集成内容：固定安装、二总线接线、主机注册、短路模拟试验、自恢复功能测试、标识粘贴、成品保护、现场清洁等全部集成工序。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电子编码器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（1）参数：适用于可进行电子编码的各类探测器、现场模块、指示部件。搜点功能，带数据线。</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（2）质量要求：整机运行稳定，屏幕显示清晰；数据线连接可靠；写码、读码、搜点功能正常；编码写入准确，地址无错乱，可快速检索回路在线设备。</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（3）集成内容：数据线检查、现场编码读写测试、搜点功能验证、设备调试使用、成品保护。</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七、综合布线系统</w:t>
            </w:r>
            <w:r>
              <w:rPr>
                <w:rFonts w:ascii="宋体" w:hAnsi="宋体" w:eastAsia="宋体" w:cs="宋体"/>
                <w:b/>
                <w:bCs/>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（一）IT柜（规划24台）</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★（1）芯线规格： 23AWG。</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★（2）信道带宽：ACR有效带宽≥250MHz。</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（3）实心裸铜线，HDPE包层。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（4）符合IEEE 802.3af , IEEE 802.3at 以及 IEEE802.3bt 对于POE应用的标准。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（5）外皮：护套使用低烟无卤(LSZH)材料。</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（6）线对采用十字隔离。</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（7）包装纸箱中自带转轴,有可转动轴心，方便施工。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（8）线缆上的递减尺寸标识简化安装。</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（9）▲防伪：铜缆的外包装上须自带涂层防伪码，并可以现场输入防伪码到厂商官网即时查询货物真伪。（投标时需提供官网防伪验证页面的截屏。）</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（10）▲六类低烟无卤非屏蔽双绞线，最大插入损耗：≤1.05dB；回波损耗≥25dB；传输延时10Mhlz≤550ns；时延差10mhz≤ 50ns。（投标时需提供单独的产品性能永久链路检测报告检；以及第三方认证机构出具的四连接永久链路测试报告）。</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（11）质量要求：导体为 23AWG 实心裸铜，铜芯无杂质、无断芯；HDPE 绝缘均匀；十字隔离完整；LSZH 护套表面无破损、开裂；线对串扰、回波损耗、插入损耗等六类电气指标全部合格；低烟无卤燃烧、烟密度、卤素释放指标达标；防伪码可正常官网核验，所有要求检测报告齐全、可溯源。</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（12）集成内容：布放线缆、理线、端接、永久链路测试、标识粘贴、成品保护、现场清理。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24口六类非屏蔽模块化配线架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（1）配线架端口：24，模块化安装。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（2）可安装超5类/6类/6A类的标准模块，且可实现同时安装LC/SC/FJ/ST光纤模块或BNC等模块。</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（3）可从正面拆卸配线架上的模块而无需把配线架整体拆下，每个模块都可单独拆卸，方便维护更换。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（4）安装在配线架上的RJ45模块采用免打线的端接方式。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（5）模块的插拔次数不小于2500次。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（6）模块至少有6种颜色可选。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（7）框架为冷轧钢材质。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（8）提供标签座便于端口标示。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（9）可提供置换标签/标签盖。</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（10）安装在标准EIA19”机架或使用可选的延伸支架安装于标准23”机架上。</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（11）技术标准：满足 ANSI/TIA-568.2、ISO 11801 综合布线连接硬件标准，配套模块满足六类传输性能，可通过福禄克永久链路测试。</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（12）质量要求：冷轧钢框架平整无变形、无锈蚀；模块插拔顺畅，免打线 IDC 卡接可靠；模块正面拆装结构牢固；镀金触点抗氧化，插拔 2500 次后接触性能无明显衰减；标签座、替换标签齐全；机架安装孔位精准，19 英寸机架直接适配，选配支架支持 23 英寸机架安装。</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（13）集成内容：机架固定安装、模块装配、线缆免打端接、端口标签粘贴、链路测试、成品保护、现场清理。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2米六类非屏蔽网络跳线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（1）原厂成品跳线，采用多股铜导体，插头带护套。</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（2）采用紧凑型设计技术，易于安装、防打结，且可快速标识端口。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（3）所有的跳线都经过了100%的出厂测试,打线方式为T568B。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（4）模块插头镀镍针脚上有50微英寸的镀金层。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（5）▲耐用性：RJ45插头接插次数≥2500次（投标时需提供第三方机构的接插测试认证报告）。</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（6）跳线外径：≤3.8mm，以支持高密度环境应用和数据中心的维护方便。</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（7）颜色：可提供至少6种以上彩色跳线用于区分不同应用类型；跳线的颜色编码与模块的颜色编码一致。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（8）跳线上的标签提供性能水平、长度和质量控制编号的标识。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（9）跳线护套采用与RJ45水晶头一样粗细的尺寸设计，在高密度应用中提供便利的接入。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（10）可以选配同厂RJ45跳线锁，可阻止未经授权的跳线拔出，适用于网络设备或关键性的连接。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（11）技术标准：ANSI/TIA-568.2-D Category 6、ISO 11801 Class E、ANSI/TIA-1096-A、IEC 60603-7；IEEE 802.3af/at。</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（12）质量要求：多股铜芯连续无断丝，护套无开裂；水晶头镀金层均匀无脱落；紧凑型线缆柔韧不易打结；每根成品跳线均经过出厂全检；彩色外皮色泽均匀；选配跳线锁与插头匹配，锁止可靠；插拔 2500 次后接触性能无明显衰减。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（13）集成内容：机柜端接布线、端口标识粘贴、链路性能测试、选配跳线锁安装、成品保护、现场清理。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（1）规格：高度1U。</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（2）带有双铰链盖板，双铰链盖板可上下双开；可再生塑料材质，有效防护光缆。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（3）理线方式：水平整理跳线，正面或正反双面。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（4）理线棘爪采用圆边设计，保护线缆以免缠结和损坏。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（5）柔性的理线棘爪便于安装和拆卸线缆。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（6）增大的理线棘爪间距，为高性能六类或6A类线缆提供更大的空间。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（7）背板带有贯穿孔，允许前部至后部走线。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（8）含盖板及安装螺钉；。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（9）技术标准：ANSI/TIA-568-C、ISO/IEC 11801:2002 Ed2.0。</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（11）集成内容：固定安装、盖板装配、跳线梳理固定、线缆规整、成品保护、现场清理。</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单模预端接光缆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米12芯OS2单模预端接光缆*4，9米12芯OS2单模预端接光缆*4，11米12芯OS2单模预端接光缆*4，12米12芯OS2单模预端接光缆*8，13米12芯OS2单模预端接光缆*6，15米12芯OS2单模预端接光缆*6，16米12芯OS2单模预端接光缆*6，17米12芯OS2单模预端接光缆*4，19米12芯OS2单模预端接光缆*4，20米12芯OS2单模预端接光缆*2。</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（2）极性：B极性。</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（3）▲连接器：MPO连接器可以在现场改变极性及插针公母, 可以灵活的适应现场各种应用模型。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（4）光纤接口:12芯/1个MPO。</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（5）外皮等级：LSZH 低烟无卤。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（6）材料：符合ROHS指令。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（7）MPO连接器最大插入损耗&lt;=0.75dB。</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（8）技术标准：ISO/IEC 11801、TIA/EIA-568-C.3、TIA-604-5 (FOCIS-5)、TIA/EIA-568-C.1，ROHS。</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（9）质量要求：OS2 单模光纤纤芯连续无断纤；预端接 MPO 接头成品出厂研磨合格；低烟无卤护套无开裂、老化；极性切换、公母转换结构操作顺畅；插入损耗指标满足≤0.75dB；整根光缆出厂全项光学检测，ROHS 材质合规。</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（10）集成内容：光缆布放、路由固定、MPO 接头清洁、链路光损耗测试、端口标识粘贴、成品保护、现场清理。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96芯预端接光纤配线架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（1）96芯光纤预端接配线架空架。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（2）模块化设计，19英寸机架安装，1U光纤箱可安装4个MPO预端接模块盒，最大可管理光纤芯数达96芯。</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（3）高密度设计，可安装MPO适配器面板、LC适配器面板、MPO模块盒。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（4）箱体采用优质冷轧钢板，表面静电喷塑，外形美观。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（5）技术标准：符合 ISO/IEC 11801、TIA/EIA-568-C.3 综合布线光纤系统相关要求。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（6）质量要求：冷轧钢板箱体厚度达标，静电喷塑涂层均匀，无掉漆、锈蚀、毛刺；机架安装孔位精准；模块化卡槽结构牢固，模块盒、适配器面板拆装顺畅；内部走线空间充足，可保护光纤弯曲半径。</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（7）集成内容：机架固定安装、模块盒 / 适配器面板装配、光纤布放、光缆固定与盘纤、端口标识粘贴、成品保护、现场清理。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12芯单模MPO-LC光模组</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（1）12芯OS2 MPO-LC光纤接线盒。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（2）LC 双工6个，MPO 公头1个。</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（3）MPO连接器符合TIA/EIA-568.C.3标准。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（4）MPO接口耐用性：不少于500次。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（5）可提供专用插入式LC模块锁防止未经授权的非法接入。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（6）技术标准：TIA/EIA-568.C.3，ISO/IEC 11801 光纤布线相关规范。</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（7）质量要求：OS2 光纤纤芯无断纤；MPO、LC 接头研磨良好，光学损耗满足指标；外壳结构牢固，插拔顺畅；LC 模块锁装配可靠，锁止解锁操作方便；出厂完成光学性能检测。</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（8）集成内容：光纤配线架内模块盒安装、MPO 与 LC 光纤对接、光损耗测试、端口标识粘贴、成品保护、现场清理。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（1）OS2 单模9/125um, LC插头类型。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（2）护套防火等级： LSZH。</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（3）符合ISO/IEC 11801、TIA/EIA-568-D.3、TIA-604-10 (FOCIS-10)标准要求。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（4）符合 RoHS 标准。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（5）双芯单管，Push-Pull推拉式，带操作杆,适用高密环境。</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（6）插入损耗 ≤0.25dB，回波损耗≥55dB。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（7）工厂检测：工厂端接并经过100%插入损耗和端面形状测试。</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（8）技术标准：ISO/IEC 11801、TIA/EIA-568-D.3、TIA-604-10 (FOCIS-10)、RoHS。</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（9）质量要求：OS2 光纤无断纤；LC 接头端面研磨优良；LSZH 护套无开裂损伤；推拉式操作杆插拔顺畅，便于高密度机柜操作；每根跳线出厂光学指标全部合格。</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（二）网络机柜(规划2台)</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24口六类非屏蔽模块化配线架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（1）配线架端口：24，模块化安装。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（2）可安装超5类/6类/6A类的标准模块，且可实现同时安装LC/SC/FJ/ST光纤模块或BNC等模块。</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（3）可从正面拆卸配线架上的模块而无需把配线架整体拆下，每个模块都可单独拆卸，方便维护更换。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（4）安装在配线架上的RJ45模块采用免打线的端接方式。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（5）模块的插拔次数不小于2500次。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（6）模块至少有6种颜色可选。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（7）框架为冷轧钢材质。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（8）提供标签座便于端口标示。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（9）可提供置换标签/标签盖。</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（10）安装在标准EIA19”机架或使用可选的延伸支架安装于标准23”机架上。</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（11）技术标准：满足 ANSI/TIA-568.2、ISO 11801 综合布线连接硬件标准，配套模块满足六类传输性能，可通过福禄克永久链路测试。</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（12）质量要求：冷轧钢框架平整无变形、无锈蚀；模块插拔顺畅，免打线 IDC 卡接可靠；模块正面拆装结构牢固；镀金触点抗氧化，插拔 2500 次后接触性能无明显衰减；标签座、替换标签齐全；机架安装孔位精准，19 英寸机架直接适配，选配支架支持 23 英寸机架安装。</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（13）集成内容：机架固定安装、模块装配、线缆免打端接、端口标签粘贴、链路测试、成品保护、现场清理。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（1）规格：高度1U或2U。</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（2）带有双铰链盖板，双铰链盖板可上下双开；可再生塑料材质，有效防护光缆。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（3）理线方式：水平整理跳线，正面或正反双面。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（4）理线棘爪采用圆边设计，保护线缆以免缠结和损坏。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（5）柔性的理线棘爪便于安装和拆卸线缆；。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（6）增大的理线棘爪间距，为高性能六类或6A类线缆提供更大的空间。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（7）背板带有贯穿孔，允许前部至后部走线。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（8）含盖板及安装螺钉。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（9）技术标准：ANSI/TIA-568-C、ISO/IEC 11801:2002 Ed2.0。</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（11）集成内容：固定安装、盖板装配、跳线梳理固定、线缆规整、成品保护、现场清理。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288芯预端接光纤配线架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（1）288芯光纤预端接配线架空架。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（2）模块化设计，19英寸机架安装，3U光纤箱可安装12个MPO预端接模块盒，最大可管理光纤芯数达288芯。</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（3）高密度设计，可安装MPO适配器面板、LC适配器面板、MPO模块盒。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（4）采用优质冷轧钢板制作，无毛刺、无气泡、无螺丝固定，免工具开启，有机玻璃盖板，更美观。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（5）技术标准：符合 ISO/IEC 11801、TIA/EIA-568-C.3 综合布线光纤系统相关要求。</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（6）质量要求：冷轧钢板箱体强度充足，板面平整，无毛刺、气泡；免工具开合结构动作顺畅，无卡滞；有机玻璃盖板通透无划痕；模块化卡槽牢固，各类适配器面板、MPO 模块盒拆装方便；内部盘纤空间充足，保障光纤最小弯曲半径。</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（7）集成内容：机架固定安装、模块盒 / 适配器面板装配、光缆引入固定、盘纤整理、光纤端接调试、端口标识粘贴、成品保护、现场清理。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24芯单模MPO-LC光模组</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（1）24芯OS2 MPO-LC光纤接线盒。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（2）LC 双工12个，MPO 公头2个。</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（3）MPO接口耐用性：不少于500次。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（4）可提供专用插入式LC模块锁防止未经授权的非法接入。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（5）技术标准：TIA/EIA-568.C.3，ISO/IEC 11801 光纤布线相关规范。</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（6）质量要求：OS2 光纤纤芯无断纤；MPO、LC 接头研磨良好，光学损耗满足指标；外壳结构牢固，插拔顺畅；LC 模块锁装配可靠，锁止解锁操作方便；出厂完成光学性能检测。</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（7）集成内容：光纤配线架内模块盒安装、MPO 与 LC 光纤对接、光损耗测试、端口标识粘贴、成品保护、现场清理。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（1）OS2 单模9/125um, LC插头类型。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（2）护套防火等级： LSZH。</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（3）双芯单管，Push-Pull推拉式，带操作杆,适用高密环境。</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（4）插入损耗 ≤0.25dB，回波损耗≥55dB。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（5）工厂检测：工厂端接并经过100%插入损耗和端面形状测试。</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（6）技术标准：ISO/IEC 11801、TIA/EIA-568-D.3、TIA-604-10 (FOCIS-10)、RoHS。</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（7）质量要求：OS2 光纤无断纤；LC 接头端面研磨优良；LSZH 护套无开裂损伤；推拉式操作杆插拔顺畅，便于高密度机柜操作；每根跳线出厂光学指标全部合格。</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（8）集成内容：跳线布放、端口对接、端面清洁、光链路损耗测试、端口标识粘贴、成品保护、现场清理。</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（三）机房间互联</w:t>
            </w:r>
            <w:r>
              <w:rPr>
                <w:rFonts w:ascii="宋体" w:hAnsi="宋体" w:eastAsia="宋体" w:cs="宋体"/>
                <w:b/>
                <w:bCs/>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24芯单模光缆</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（1）满足以长波1550nm激光Laser光源在40公里链路长度内支持10Gbit/s网络传输速度、或以中波1310nm激光Laser光源在10公里链路长度内支持10Gbit/s网络传输速度。</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（2）光纤规格：9/125um-OS2。</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（3）传输性能：支持10GBASE-LX4@CWDM达到10Km；支持10GBASE-LX@1310nm达到10Km，支持10GBASE-EX@1550nm达到40Km。（CWDM-表示波分复用技术）。</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（4）光纤衰减：0.34dB/Km @ 1310nm，0.31dB/Km @ 1383nm，0.22dB/Km @ 1550nm。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（5）外皮：低烟无卤（LSZH），防火等级须同时符合IEC60332、IEC61034和IEC 60754标准。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（6）光缆护套刻印有标记，便于识别、质量追溯和长度验证。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（7）技术标准：IEEE802.3ae、IEEE802.3z、IEC60332、IEC61034、IEC 60754。</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（8）质量要求：OS2 光纤纤芯无断纤、无挤压损伤；光纤衰减指标满足要求；LSZH 护套表面完好无开裂；燃烧、烟密度、卤素释放指标符合 IEC 系列标准；护套连续印字清晰，长度标识连续可计量。</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（9）集成内容：光缆布放、固定保护、熔接 / 端接、光衰减测试、链路调试、标识粘贴、成品保护、现场清理。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24芯LC光纤配线架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（1）1U机架式安装。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（2）12个双工LC（24芯）接头。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（3）抽屉式，以便对所有光纤终端进行安装和维护。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（4）全金属机身。</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（5）技术标准：符合 ISO/IEC 11801、TIA/EIA-568-C.3 综合布线光纤系统相关要求。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（6）质量要求：金属壳体平整、无变形毛刺；抽屉推拉顺畅无卡滞；LC 适配器固定牢固；内部预留盘纤空间，保证光纤最小弯曲半径；机架安装孔位匹配标准 19 英寸机柜。</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（7）集成内容：机架固定安装、适配器装配、光缆引入固定、盘纤整理、光纤端接、光损耗测试、端口标识粘贴、成品保护、现场清理。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单模尾纤</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（1）OS2 单模9/125um, LC插头类型。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（2）符合TIA/EIA-568.3和ISO/IEC-11801性能要求。</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（3）插入损耗：≤0.35dB。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（4）工厂检测：工厂端接并经过100%端面形状测试。</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（5）尾纤长度：1米。</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（6）技术标准：TIA/EIA-568.3、ISO/IEC-11801。</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（7）质量要求：OS2 光纤无断纤；LC 接头端面研磨良好；护套无破损；每根尾纤出厂端面检测合格，光学指标满足插入损耗要求。</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（8）集成内容：配线架内布放、光缆熔接、端面清洁、光损耗测试、端口标识粘贴、成品保护、现场清理。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（1）OS2 单模9/125um, LC插头类型。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（2）护套防火等级： LSZH。</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（3）双芯单管，Push-Pull推拉式，带操作杆,适用高密环境。</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（4）插入损耗 ≤0.25dB，回波损耗≥55dB。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（5）工厂检测：工厂端接并经过100%插入损耗和端面形状测试。</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（6）技术标准：ISO/IEC 11801、TIA/EIA-568-D.3、TIA-604-10 (FOCIS-10)、RoHS。</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（7）质量要求：OS2 光纤无断纤；LC 接头端面研磨优良；LSZH 护套无开裂损伤；推拉式操作杆插拔顺畅，便于高密度机柜操作；每根跳线出厂光学指标全部合格。</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（8）集成内容：跳线布放、端口对接、端面清洁、光链路损耗测试、端口标识粘贴、成品保护、现场清理。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（1）规格：高度1U或2U。</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（2）带有双铰链盖板，双铰链盖板可上下双开；可再生塑料材质，有效防护光缆。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（3）理线方式：水平整理跳线，正面或正反双面。</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（4）理线棘爪采用圆边设计，保护线缆以免缠结和损坏。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（5）柔性的理线棘爪便于安装和拆卸线缆。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（6）增大的理线棘爪间距，为高性能六类或6A类线缆提供更大的空间。</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（7）背板带有贯穿孔，允许前部至后部走线。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（8）含盖板及安装螺钉。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（9）技术标准：ANSI/TIA-568-C、ISO/IEC 11801:2002 Ed2.0。</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（11）集成内容：固定安装、盖板装配、跳线梳理固定、线缆规整、成品保护、现场清理。</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八、机房动力环境监控系统</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微模块监控采集器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（1）数据采集器：支持无线通讯。</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（2）支持两路交流输入。</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（3）具备本地存储功能，固态硬盘≥2G。</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（4）支持Default一键复位，恢复默认IP地址。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（5）支持SIM卡短信告警功能。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（6）支持蜂鸣器现场告警。</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（7）支持配电、精密空调、温湿度等历史数据和告警统计，储存时间不少于15天。</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（8）支持至少2路WAN接入，至少2路LAN接入，RS485接口，/DI/DO接口。</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（9）数据采集器必须采用嵌入式一体化集中监控主机，自带linux系统，避免在客户端安装监控软件带来的与操作系统或其它程序之间的兼容性隐患。</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（10）RS485接口、AI/DI接口需可支持DC12V电源输出，可为智能温湿度传感器、水浸传感器等监控部件供电。</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（11）接口需统一采用RJ45端子，简化线缆种类，简化交付难度。</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（12）所有板卡、传感器需支持热插拔，即插即用。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（13）需支持web服务，可通过浏览器直接访问实现远程管理。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（14）支持LCD显示屏交互界面，可实时显示监控设备的运行参数。</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▲（15）管理系统通信总线具备容错能力，单点故障不影响其他设备。管理系统通信总线具有热备份，具备支持热插拔，在线更换功能（投标时需提供第三方检测机构出具的检测报告关键页）。</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★机房动力环境监控系统数据接口向采购人免费开放。</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▲（16）采集器具有网络安全认证证书【投标时需提供第三方认证机构的网络安全认证证书】。</w:t>
            </w:r>
            <w:r>
              <w:rPr>
                <w:rFonts w:ascii="宋体" w:hAnsi="宋体" w:eastAsia="宋体" w:cs="宋体"/>
                <w:color w:val="000000"/>
                <w:sz w:val="20"/>
                <w:szCs w:val="20"/>
              </w:rPr>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（17）质量要求：嵌入式 Linux 系统稳定可靠；两路交流输入供电冗余可靠；固态存储读写正常；一键复位功能有效；SIM 短信、蜂鸣告警触发及时；历史数据完整保存≥15 天；WAN/LAN/RS485/AI/DI/DO 接口工作正常，RJ45 端子连接可靠；DC12V 传感器供电输出稳定；板卡、传感器热插拔无系统宕机；Web 访问、LCD 本地显示正常；通信总线容错、热备份、在线更换功能满足指标。</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（18）集成内容：机架安装、供电接线、传感器布线、网络配置、IP 参数调试、告警策略配置、Web 远程管理调试、LCD 界面校验、热插拔功能测试、单点故障模拟测试、数据存储验证、标识粘贴、成品保护、现场清理。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智能插座</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（1）规格：48VDC 智能插座，配置 4 路 POE 输出接口。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（2）技术标准：符合 IEEE 802.3af/at POE 供电标准，机房动力环境监控接入相关规范。</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（3）质量要求：壳体牢固，接线端子可靠；48VDC 输入稳定，4 路 POE 输出供电正常；保护功能触发可靠；可与微模块监控采集器正常通讯，端口状态、能耗数据上传准确，远程通断控制响应及时。</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（4）集成内容：机架安装、48VDC 电源接线、POE 端口布线、监控通讯接线、通讯调试、端口供电测试、保护功能测试、标识粘贴、成品保护、现场清理。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监控系统</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（1）≥40寸，分辨率≥1920×1080，多点触控。</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（2）智慧屏支持无线和有线接入数据机房管理系统，通过APP可对数据机房设备和环境参数进行实时监测。</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（3）内置摄像头，支持人脸识别，像素≥280万。</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（4）通过红外传感器实现无触摸唤醒。</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▲（5）具有相应的制冷链路显示功能(投标时需提供第三方检测机构出具的检测报告)。</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（6）质量要求：显示屏画面清晰，色彩均匀，无亮点、暗斑；多点触控响应灵敏；有线 / 无线网络通讯稳定，APP 数据实时同步；人脸识别识别速度快、准确率达标；红外无触摸唤醒功能可靠；制冷链路可视化界面完整、展示数据准确。</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（7）集成内容：屏幕支架安装、供电接线、网络布线、系统对接调试、人脸识别配置、红外唤醒功能测试、制冷链路显示校验、APP 联动测试、标识粘贴、成品保护、现场清理。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多功能传感器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（1）规格：集成烟感、温度、湿度检测多功能传感器，支持 POE 供电及 Zigbee 无线通讯。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（2）质量要求：烟雾探测响应及时，温湿度采集精度满足机房监控要求；POE 供电稳定，Zigbee 无线通讯可靠；支持自检，故障、超限告警正常；可稳定上传数据至微模块监控采集器。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（3）集成内容：传感器点位固定安装、POE 网线布线 / 无线配置、接入微模块采集器、参数标定、阈值配置、模拟告警测试、数据上传校验、标识粘贴、成品保护、现场清理。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定位式水浸传感器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（1）规格：定位式水浸传感器，DC12V 供电，支持常开 / 常闭触点输出，接入微模块监控采集器，用于机房地面漏水定点检测、漏水告警。</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（2）质量要求：传感器探头响应灵敏，遇水可靠触发；常开 / 常闭触点切换正常；定位漏水位置准确；断线自检功能有效；与微模块监控采集器 DI 接口通讯稳定，告警信号上传无误。</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（3）集成内容：传感器探头及感应线缆敷设固定、接线接入采集器 DI 口、供电检查、模拟漏水测试、断线故障测试、告警阈值校验、标识粘贴、成品保护、现场清理。</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117</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非定位式水浸传感器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（1）规格：非定位式水浸检测传感绳，长度 5m，配合水浸传感器主机使用，用于机房地面、机柜底部区域大范围漏水监测，发生浸水时输出开关量告警信号，接入微模块监控采集器。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（2）质量要求：传感绳外皮无破损、无断线；遇水可可靠触发告警；敷设弯折不易损坏；与水浸变送器匹配良好，信号输出稳定。</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（3）集成内容：传感绳敷设固定、两端接入水浸变送器、模拟浸水测试、告警信号上传校验、标识粘贴、成品保护、现场清理。</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九、机房安防门禁系统</w:t>
            </w:r>
            <w:r>
              <w:rPr>
                <w:rFonts w:ascii="宋体" w:hAnsi="宋体" w:eastAsia="宋体" w:cs="宋体"/>
                <w:b/>
                <w:bCs/>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（一）门禁系统</w:t>
            </w:r>
            <w:r>
              <w:rPr>
                <w:rFonts w:ascii="宋体" w:hAnsi="宋体" w:eastAsia="宋体" w:cs="宋体"/>
                <w:b/>
                <w:bCs/>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118</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单门门禁锁</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（1）单门磁力锁。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（2）最大静态直线拉力：280kg ± 5%。</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（3）状态指示灯：红灯(开门状态) 绿灯(上锁状态)。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（4）锁状态侦测信号(门磁)输出:NO/NC/COM接点。</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（5）使用环境：室内。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（6）适用门型：木门、玻璃门、金属门、防火门。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（7）质量要求：磁力锁吸力达标，吸合牢固；门磁 NO/NC/COM 干接点输出正常；状态指示灯显示准确；断电开锁满足消防逃生要求；适配各类指定门型。</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（8）集成内容：磁力锁与吸板安装固定、接线接入门禁控制器、供电检查、上锁 / 开门功能测试、门磁信号测试、状态指示灯校验、告警联动测试、标识粘贴、成品保护、现场清理。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119</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双门门禁锁</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（1）双门磁力锁。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（2）最大静态直线拉力：280kg ± 5%。</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（3）状态指示灯：红灯(开门状态) 绿灯(上锁状态)。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（4）锁状态侦测信号(门磁)输出:NO/NC/COM接点。</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（5）使用环境：室内。</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（6）适用门型：木门、玻璃门、金属门、防火门。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（7）质量要求：磁力锁吸力达标，吸合牢固；门磁 NO/NC/COM 干接点输出正常；状态指示灯显示准确；断电开锁满足消防逃生要求；适配各类指定门型。</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（8）集成内容：磁力锁与吸板安装固定、接线接入门禁控制器、供电检查、上锁 / 开门功能测试、门磁信号测试、状态指示灯校验、告警联动测试、标识粘贴、成品保护、现场清理。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120</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人脸识别指纹机7寸屏</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（1）人脸门禁一体机含开门按钮、IC卡（≥10张）。</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（2）人脸认证：采用深度学习算法，支持单人和多人识别（最多支持5人同时识别），支持照片、视频防假。</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（3）组合认证：人脸+密码，人脸+卡片，卡片+密码，刷卡+指纹，密码+指纹，人脸+指纹。</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（4）多重认证：设备支持本地认证、本地+远程开门认证、本地+超级密码认证三种认证模式。每种模式最大支持20个认证组，每个认证组最多支持128人多重认证（每个认证组支持8个群组，每个群组支持16个人）。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（5）跨主机多门互锁：在同一局域网内，多台设备可配置互锁，实现同一时间只有一个门可以打开。</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（6）闭门回锁功能：支持认证开门后，在开门时间内检测到门磁关闭后，立即锁门。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（7）门禁计划配置：支持计划模板管理，支持常开、常闭时段管理。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（8）可视对讲：支持云平台、客户端、室内机、管理机进行可视对讲、远程开门。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（9）视频预览：支持管理中心远程视频预览，支持接入NVR设备，实现7*24H视频监控录像。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（10）口罩检测：支持戴口罩检测，可配置提醒戴口罩、强制戴口罩（未戴口罩不开门）。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（11）安全帽检测：支持工地安全帽检测，可配置提醒戴安全帽、强制戴安全帽（未戴安全帽不开门）。</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桌面自定义：支持待机画面、通话背景图片的自定义配置；支持预览框画面、时间控件的自定义配置（位置、大小、样式），支持二维码、呼叫、密码的按钮控件自定义设置（位置、大小、样式）；支持状态栏显示配置；支持姓名、工号、人脸图片、认证结果的自定义配置（位置、大小、字体颜色）。</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（13）提示音自定义：集成TTS文字转语音，可自定义配置认证成功和认证失败的提示音及内容。可叠加播报姓名/称呼。</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（14）信息发布功能：支持图片、文字、视频的信息发布。</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（15）读卡器模式：支持通过RS-485或韦根（W26/W34）接入门禁控制器，作为读卡器使用。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（16）胁迫开门：支持配置胁迫码/胁迫卡后，遇到胁迫后，输入胁迫码/刷胁迫卡后立即开门，同时上报胁迫事件。</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（17）非授权人员管理：支持对非授权人员进行开门管理、报警联动。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（18）报警功能：支持防拆报警、门被外力开起报警、胁迫卡和胁迫密码报警、事件联动报警等。</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（19）联动配置：支持事件联动、卡号联动、工号联动，可配置联动门开关、联动报警输出、联动抓拍等功能。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（20）本地功能：支持本地注册人脸、查询、设置、管理设备参数等操作。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（21）Web端管理：可进行人员管理、参数配置、事件查询、系统维护等操作。</w:t>
            </w:r>
            <w:r>
              <w:rPr>
                <w:rFonts w:ascii="宋体" w:hAnsi="宋体" w:eastAsia="宋体" w:cs="宋体"/>
                <w:color w:val="000000"/>
                <w:sz w:val="20"/>
                <w:szCs w:val="20"/>
              </w:rPr>
            </w:r>
            <w:r/>
          </w:p>
        </w:tc>
      </w:tr>
      <w:tr>
        <w:trPr>
          <w:trHeight w:val="130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（22）质量要求：7 寸屏显示清晰，人脸识别、指纹、刷卡识别稳定，照片视频防假有效；各类组合认证、多重认证策略执行准确；局域网多门互锁、闭门回锁、时段门禁计划工作正常；可视对讲、远程开门、NVR 视频预览、录像功能正常；口罩、安全帽检测识别准确；界面控件、TTS 语音自定义生效；RS485 / 韦根读卡器模式通讯稳定；胁迫报警、防拆、非法开门等各类报警信号可联动上传；本地及 Web 管理功能完整。</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（23）集成内容：设备进场验收、资料核验、设备支架安装、供电、网络 / 韦根 / RS485 布线、人员信息录入、认证策略配置、多门互锁配置、对讲与 NVR 对接、报警联动调试、人脸 / 指纹 / 卡片识别测试、胁迫告警测试、界面及语音自定义调试、事件记录校验、标识粘贴、成品保护、现场清理。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121</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四门禁控制器</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（1）传统四门门禁主机。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（2）操作系统：嵌入式Linux系统。</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（3）门禁控制：主机可直接管控4门。</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（4）存储容量：本地支持10万用户、10万张卡、1万枚指纹，30万条事件记录。</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（5）认证方式：搭配读卡器可以实现刷卡、指纹、密码、扫二维码认证方式。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（6）组合认证：搭配读卡器可实现刷卡+密码、刷卡+指纹、刷卡+指纹+密码等组合认证方式。</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（7）多重认证：支持多个人员认证（刷卡、密码、指纹等）通过后才开门。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（8）门禁计划模板：支持256组计划模板管理，256个周计划（每天8个时段），1024个假日计划；支持常开、常闭时段管理；实现人员的门禁权限按时间段管控。</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（9）门禁高级功能：反潜回功能、跨主机反潜回、多门互锁功能（支持跨控制器多门互锁，最多支持32门多门互锁）、首卡常开功能、首开授权功能、超级密码开门功能、胁迫密码开门功能、闭门回锁功能等。</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（10）事件上传：在线状态下将设备认证结果信息实时上传给平台，支持断网续传功能，设备离线状态下产生事件在与平台连接后会重新上传。</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（11）报警功能：支持防拆报警、门被异常打开、门超时未关、胁迫卡和胁迫密码报警等。</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（12）报警联动：具有报警输入接口，实现外部报警信号输入，并上传报警事件；具有报警输出接口，可配置实现事件联动报警输出功能。</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（13）消防联动：自带消防联动继电器，实现当消防信号输入时，可直接联动锁断电开门。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（14）蓄电池接入：可接蓄电池，当设备外部电源断电时，可不间断切换为蓄电池供电；外部电源恢复时可自动给蓄电池充电；并支持蓄电池欠压报警。</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（15）状态指示：具有电源、网络通讯、485通讯、布防状态、门锁状态指示灯，方便调试及故障排查。</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（16）升级功能：支持局域网、公网远程升级，支持设备升级固件备份机制，防止升级过程异常断电导致设备异常；。</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（17）WEB管理：支持Web端管理，可进行人员管理、参数配置、事件查询、系统维护等操作。</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（18）设备应采用嵌入式Linux系统，运行内存1G，存储容量4G。</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主机应具有丰富的通讯接口、控制接口及拓展接口：LAN接口（10M/100M/1000M自适应）1个；RS485通讯接口2个；韦根通讯接口4个；事件I/O输入接口8个；事件I/O输出接口4个；门磁I/O输入接口4个；开门I/O按钮接口4个；门锁I/O输出接口4个；备用电池充放电接口1个；消防接口1个；防拆接口1个。</w:t>
            </w:r>
            <w:r>
              <w:rPr>
                <w:rFonts w:ascii="宋体" w:hAnsi="宋体" w:eastAsia="宋体" w:cs="宋体"/>
                <w:color w:val="000000"/>
                <w:sz w:val="20"/>
                <w:szCs w:val="20"/>
              </w:rPr>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（20）质量要求：嵌入式 Linux 系统运行稳定，内存、存储满</w:t>
            </w:r>
            <w:r>
              <w:rPr>
                <w:rFonts w:hint="eastAsia" w:ascii="宋体" w:hAnsi="宋体" w:eastAsia="宋体" w:cs="宋体"/>
                <w:color w:val="000000"/>
                <w:sz w:val="20"/>
                <w:szCs w:val="20"/>
                <w:lang w:bidi="ar"/>
              </w:rPr>
              <w:t xml:space="preserve">足指标；4 门管控功能正常；本地用户、卡片、指纹、事件记录存储容量达标；各类认证、组合认证、多人多重认证策略执行可靠；门禁时段计划、反潜回、跨控制器多门互锁（最大 32 门）、首卡常开、胁迫开门、闭门回锁等高级功能正常；事件实时上传 + 断网续传；防拆、门异常开启、门超时未关、蓄电池欠压等告警功能正常；报警输入输出联动有效；消防联动继电器可实现消防信号触发门锁断电开门；后备蓄电池充放电切换、欠压告警可靠；各状态指示灯正常；远程升级带固件备份，断电保护；Web 管理功能完整；全部通讯与 I/O 接口工作稳定。</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（21）集成内容：安装、供电接线、蓄电池接线、网络、RS485、韦根、I/O 接口布线；前端读卡器、磁力锁、门磁、出门按钮接入；权限模板、时段、假日计划配置；反潜回、跨机多门互锁、首卡常开、胁迫开门策略配置；消防联动、报警联动调试；断网续传、远程升级测试；Web 后台管理功能校验；标识粘贴、成品保护、现场清理。</w:t>
            </w:r>
            <w:r>
              <w:rPr>
                <w:rFonts w:ascii="宋体" w:hAnsi="宋体" w:eastAsia="宋体" w:cs="宋体"/>
                <w:color w:val="000000"/>
                <w:sz w:val="20"/>
                <w:szCs w:val="20"/>
              </w:rPr>
            </w:r>
            <w:r/>
          </w:p>
        </w:tc>
      </w:tr>
      <w:tr>
        <w:trPr>
          <w:trHeight w:val="240"/>
        </w:trPr>
        <w:tc>
          <w:tcPr>
            <w:gridSpan w:val="3"/>
            <w:shd w:val="clear" w:color="auto" w:fill="ffffff"/>
            <w:tcBorders>
              <w:top w:val="single" w:color="000000" w:sz="4" w:space="0"/>
              <w:left w:val="single" w:color="000000" w:sz="4" w:space="0"/>
              <w:bottom w:val="single" w:color="000000" w:sz="4" w:space="0"/>
              <w:right w:val="single" w:color="000000" w:sz="4" w:space="0"/>
            </w:tcBorders>
            <w:tcW w:w="8902" w:type="dxa"/>
            <w:vAlign w:val="center"/>
            <w:textDirection w:val="lrTb"/>
            <w:noWrap w:val="false"/>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（二）视频监控系统</w:t>
            </w:r>
            <w:r>
              <w:rPr>
                <w:rFonts w:ascii="宋体" w:hAnsi="宋体" w:eastAsia="宋体" w:cs="宋体"/>
                <w:b/>
                <w:bCs/>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122</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16路网络硬盘录像机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（1）16路5盘位嵌入式网络硬盘录像机。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★（2）硬盘配置8TB*2。</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具有2个HDMI接口、1个VGA接口、2个RJ45千兆网络接口、2个USB2.0接口、1个USB3.0接口、1个RS232接口、2个RS485接口（可接入RS485键盘）、1个eSATA接口；具有1路音频输入接口、1路音频输出接口、16路报警输入接口、9路报警输出接口（其中第9路支持受控直流12V输出）、具有1路直流12V输出接口（12V 1A）。</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▲（4）设备支持内容合规性检测，可自动过滤敏感内容，且合规检测算法支持在线升级。（投标时需提供第三方检测机构出具的检测报告）。</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▲（5）检索结果支持选中查看关联录像/图片，录像片段内显示关联目标跟踪框，支持对录像关联目标及其周围目标进行二次精准检索；（投标时需提供第三方检测机构出具的检测报告）。</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▲（6）支持本地预览权限的配置，设置权限后的通道只有登录后才会出现预览画面；支持远程预览加密，只有输入密钥才能解开视频；（投标时需提供第三方检测机构出具的检测报告）。</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▲（7）支持密码复杂度等级显示；设备密码不允许明文显示和拷贝操作；并支持通过安全问题恢复密码，密码重置功能可开启或关闭。（投标时需提供第三方检测机构出具的检测报告）。</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（8）集成内容：硬盘安装、供电接线、网络布线、RS485 键盘、报警信号接线、音视频接线；通道添加、录像策略配置；权限、视频加密配置；密码安全策略配置；智能检索、文搜合规检测功能调试；报警联动测试；回放检索功能校验；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123</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400万全彩网络半球摄像机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（1）400万全彩海螺网络摄像机。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（2）传感器类型：1/3" Progressive Scan CMOS。</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（3）最低照度：彩色：0.005 Lux。</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（4）宽动态：120 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（5）焦距&amp;视场角：2.8 mm，水平视场角：98°，垂直视场角：54°，对角视场角：115°。</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 mm，水平视场角：79°，垂直视场角：42°，对角视场角：93°。</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 mm，水平视场角：49°，垂直视场角：26°，对角视场角：57°。</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（8）8 mm，水平视场角：38°，垂直视场角：21°，对角视场角：44°。</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（9）防补光过曝：支持。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（10）补光灯类型：智能补光，可切换白光灯、红外灯。</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（11）补光距离：红外光最远可达30 m，白光最远可达20 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（12）波长范围：850 nm。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（13）最大分辨率：2560 × 1440。</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（14）视频压缩标准：主码流：H.265/H.264，支持超级智能编码。</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（15）子码流：H.265/H.264/MJPEG。</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（16）网络：1个RJ45 10 M/100 M自适应以太网口。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（17）音频：1个内置麦克风。</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（18）供电方式：DC：12 V ± 25%，支持防反接保护。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（19）PoE：IEEE 802.3af，CLASS 3。</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（20）防护：IP67。</w:t>
            </w:r>
            <w:r>
              <w:rPr>
                <w:rFonts w:ascii="宋体" w:hAnsi="宋体" w:eastAsia="宋体" w:cs="宋体"/>
                <w:color w:val="000000"/>
                <w:sz w:val="20"/>
                <w:szCs w:val="20"/>
              </w:rPr>
            </w:r>
            <w:r/>
          </w:p>
        </w:tc>
      </w:tr>
      <w:tr>
        <w:trPr>
          <w:trHeight w:val="777"/>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（21）集成内容：摄像机点位安装固定、网线敷设、PoE/DC12V 供电接线、接入 NVR、IP 及码流参数配置、图像调试、音频测试、夜视/智能补光切换测试、录像预览校验、标识粘贴、成品保护、现场清理。</w:t>
            </w:r>
            <w:r>
              <w:rPr>
                <w:rFonts w:ascii="宋体" w:hAnsi="宋体" w:eastAsia="宋体" w:cs="宋体"/>
                <w:color w:val="000000"/>
                <w:sz w:val="20"/>
                <w:szCs w:val="20"/>
              </w:rPr>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124</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400万全彩网络人脸半球摄像机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（1）400万全彩网络人脸半球摄像机。</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（2）传感器类型：1/2.7" 逐行扫描 CMOS。</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（3）最低照度：彩色：0.005 Lux @（F1.2，AGC ON），0 Lux with Light。</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（4）黑白：0.0002 Lux @（F1.2，AGC ON），0 Lux with IR  。</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（5）焦距：2.7~13.5 mm。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（6）补光灯类型：红外（850nm 反射式补光）。</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（7）补光距离：红外最远可达30m。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（8）网络传输类型：有线。</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（9）宽动态：120 dB。</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（10）连接方式：甩线式接口，线缆长度35cm。</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（11）音频：1路输入（Line in），1路输出（Line out），2个内置麦克风，1个内置扬声器。</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（12）报警：1路输入，湿接点，支持3.3 V~5 V范围电位；1路输出，湿接点，电平量，最大支持DC12V，30mA（无源接口）。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（13）电源输出：1路DC12V输出，最大电流100mA。</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（14）电流及功耗：DC：12 V，0.88A，最大功耗10.5 W。</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（15）PoE：IEEE 802.3af，Type 1, Class 3，36 V~57 V，0.33 A~0.21 A，最大功耗：11.7 W。</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（16）内置GPU芯片。</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（17）内置3个双半弧形鳞片状镜面反射式补光灯，灯珠朝向与设备照射方向不同；补光灯开启后正面不可见补光灯灯珠。</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具有AI-ISP图像质量提升功能，在低照度环境下，可自动调节预览场景视频画面中人脸、人体等目标及预览场景视频画面的区域曝光、亮度、色彩饱和度、对比度、锐度等（投标时需提供第三方检测机构出具的检测报告）。</w:t>
            </w:r>
            <w:r>
              <w:rPr>
                <w:rFonts w:ascii="宋体" w:hAnsi="宋体" w:eastAsia="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（19）集成内容：摄像机点位安装固定、网线敷设、PoE/DC12V 供电接线、接入 NVR、IP 及码流参数配置、图像调试、音频测试、夜视/智能补光切换测试、录像预览校验、标识粘贴、成品保护、现场清理。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125</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restart"/>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POE交换机</w:t>
            </w: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★（1）提供24个千兆PoE电口，2个千兆光口。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（2）交换容量 52 Gbps。</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（3）包转发率 38.688 Mpps。</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（4）支持IEEE 802.3at/af。</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（5）支持IEEE 802.（3）IEEE 802.3u、IEEE 802.3x。</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（6）支持6 KV防浪涌（PoE口）。</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（7）支持PoE输出功率管理。</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（8）远距离端口：17～24。</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（9）整机最大供电功率370 W。</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（10）端口最大供电功率30 W。</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（11）线速转发、无阻塞设计。</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（12）PD功率智能检测，系统级过载保护。</w:t>
            </w:r>
            <w:r>
              <w:rPr>
                <w:rFonts w:ascii="宋体" w:hAnsi="宋体" w:eastAsia="宋体" w:cs="宋体"/>
                <w:color w:val="000000"/>
                <w:sz w:val="20"/>
                <w:szCs w:val="20"/>
              </w:rPr>
            </w:r>
            <w:r/>
          </w:p>
        </w:tc>
      </w:tr>
      <w:tr>
        <w:trPr>
          <w:trHeight w:val="26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（13）坚固式高强度金属外壳。</w:t>
            </w:r>
            <w:r>
              <w:rPr>
                <w:rFonts w:ascii="宋体" w:hAnsi="宋体" w:eastAsia="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（14）质量要求：整机无阻塞线速转发，端口识别正常；PoE 供电可自动识别 af/at 受电设备，智能功率分配，具备过载保护；17～24 口远距离传输功能可靠；PoE 端口 6KV 防浪涌防护有效；高强度金属外壳，散热良好，长时间连续运行稳定；可稳定为网络摄像机等前端设备同时提供网络传输与 PoE 供电。</w:t>
            </w:r>
            <w:r>
              <w:rPr>
                <w:rFonts w:ascii="宋体" w:hAnsi="宋体" w:eastAsia="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029" w:type="dxa"/>
            <w:vAlign w:val="center"/>
            <w:vMerge w:val="continue"/>
            <w:textDirection w:val="lrTb"/>
            <w:noWrap w:val="false"/>
          </w:tcPr>
          <w:p>
            <w:pPr>
              <w:pStyle w:val="720"/>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720"/>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（15）集成内容：安装固定；网线、光纤布线；端口接线；PoE 供电测试；远距离端口功能验证；整机压力测试；网络连通性测试；标识粘贴、成品保护、现场清理。</w:t>
            </w:r>
            <w:r>
              <w:rPr>
                <w:rFonts w:ascii="宋体" w:hAnsi="宋体" w:eastAsia="宋体" w:cs="宋体"/>
                <w:color w:val="000000"/>
                <w:sz w:val="20"/>
                <w:szCs w:val="20"/>
              </w:rPr>
            </w:r>
            <w:r/>
          </w:p>
        </w:tc>
      </w:tr>
    </w:tbl>
    <w:p>
      <w:pPr>
        <w:pStyle w:val="720"/>
        <w:spacing w:line="400" w:lineRule="exact"/>
        <w:rPr>
          <w:rFonts w:ascii="隶书" w:hAnsi="隶书" w:eastAsia="隶书" w:cs="隶书"/>
          <w:b/>
          <w:bCs/>
          <w:color w:val="000000"/>
        </w:rPr>
      </w:pPr>
      <w:r>
        <w:rPr>
          <w:rFonts w:hint="eastAsia" w:ascii="隶书" w:hAnsi="隶书" w:eastAsia="隶书" w:cs="隶书"/>
          <w:b/>
          <w:bCs/>
          <w:color w:val="000000"/>
        </w:rPr>
        <w:t xml:space="preserve">注：</w:t>
      </w:r>
      <w:r>
        <w:rPr>
          <w:rFonts w:ascii="隶书" w:hAnsi="隶书" w:eastAsia="隶书" w:cs="隶书"/>
          <w:b/>
          <w:bCs/>
          <w:color w:val="000000"/>
        </w:rPr>
      </w:r>
      <w:r/>
    </w:p>
    <w:p>
      <w:pPr>
        <w:pStyle w:val="720"/>
        <w:ind w:firstLine="396"/>
        <w:spacing w:line="400" w:lineRule="exact"/>
        <w:rPr>
          <w:rFonts w:ascii="宋体" w:hAnsi="宋体" w:cs="宋体"/>
          <w:i/>
          <w:iCs/>
          <w:strike/>
          <w:color w:val="000000"/>
        </w:rPr>
      </w:pPr>
      <w:r>
        <w:rPr>
          <w:rFonts w:hint="eastAsia" w:ascii="隶书" w:hAnsi="隶书" w:eastAsia="隶书" w:cs="隶书"/>
          <w:color w:val="000000"/>
        </w:rPr>
        <w:t xml:space="preserve">1.上表中标注“到货验收时提供有效的证书供采购人核验”的条款，仅是指在投标文件中无需提交相关证书作为证明材料，并非是免除投标产品在投标截止前已取得相关证书。到货验收时，采购人核查投标产品相关证书真实性，若中标人无法提供投标截止时间前取得的相关证书的属于虚假响应，采购人有权取消其中标资格、拒收货物、追究合同违约责任，并报财政部门对中标人进行处罚。</w:t>
      </w:r>
      <w:r>
        <w:rPr>
          <w:rFonts w:ascii="宋体" w:hAnsi="宋体" w:cs="宋体"/>
          <w:i/>
          <w:iCs/>
          <w:strike/>
          <w:color w:val="000000"/>
        </w:rPr>
      </w:r>
      <w:r/>
    </w:p>
    <w:p>
      <w:pPr>
        <w:pStyle w:val="720"/>
        <w:ind w:firstLine="396"/>
        <w:spacing w:line="400" w:lineRule="exact"/>
        <w:rPr>
          <w:rFonts w:ascii="宋体" w:hAnsi="宋体" w:cs="宋体"/>
          <w:b/>
          <w:bCs/>
          <w:i/>
          <w:iCs/>
          <w:color w:val="000000"/>
        </w:rPr>
      </w:pPr>
      <w:r>
        <w:rPr>
          <w:rFonts w:hint="eastAsia" w:ascii="宋体" w:hAnsi="宋体" w:cs="宋体"/>
          <w:color w:val="000000"/>
        </w:rPr>
        <w:t xml:space="preserve">2.本项目落实节能产品政府采购政策（财库〔2019〕9 号、财库〔2019〕19 号）：</w:t>
      </w:r>
      <w:r>
        <w:rPr>
          <w:rFonts w:ascii="宋体" w:hAnsi="宋体" w:cs="宋体"/>
          <w:b/>
          <w:bCs/>
          <w:i/>
          <w:iCs/>
          <w:color w:val="000000"/>
        </w:rPr>
      </w:r>
      <w:r/>
    </w:p>
    <w:p>
      <w:pPr>
        <w:pStyle w:val="720"/>
        <w:ind w:firstLine="396"/>
        <w:spacing w:line="400" w:lineRule="exact"/>
        <w:rPr>
          <w:rFonts w:ascii="宋体" w:hAnsi="宋体" w:eastAsia="宋体" w:cs="宋体"/>
          <w:color w:val="000000"/>
        </w:rPr>
      </w:pPr>
      <w:r>
        <w:rPr>
          <w:rFonts w:hint="eastAsia" w:ascii="隶书" w:hAnsi="隶书" w:eastAsia="隶书" w:cs="隶书"/>
          <w:color w:val="000000"/>
        </w:rPr>
        <w:t xml:space="preserve">（1）投标产品属于《节能产品政府采购品目清单》中以“★”标注的政府强制采购产品，投标时投标人所投该类产品必须提供国家确定的认证机构出具、开标时处于有效期内的节能产品认证证书原件扫描件或全国认证认可信息公共服务平台查询打印件作为证明材料（证书所载产品型号、制造商应与投标产品一致；处于暂停、注销状态的不予认可）；未提供有效证明材料的，</w:t>
      </w:r>
      <w:r>
        <w:rPr>
          <w:rFonts w:hint="eastAsia" w:ascii="隶书" w:hAnsi="隶书" w:eastAsia="隶书" w:cs="隶书"/>
          <w:b/>
          <w:bCs/>
          <w:i/>
          <w:iCs/>
          <w:sz w:val="24"/>
          <w:szCs w:val="24"/>
        </w:rPr>
        <w:t xml:space="preserve">其投标无效</w:t>
      </w:r>
      <w:r>
        <w:rPr>
          <w:rFonts w:hint="eastAsia" w:ascii="宋体" w:hAnsi="宋体" w:eastAsia="宋体" w:cs="宋体"/>
          <w:color w:val="000000"/>
        </w:rPr>
        <w:t xml:space="preserve">。</w:t>
      </w:r>
      <w:r>
        <w:rPr>
          <w:rFonts w:ascii="宋体" w:hAnsi="宋体" w:eastAsia="宋体" w:cs="宋体"/>
          <w:color w:val="000000"/>
        </w:rPr>
      </w:r>
      <w:r/>
    </w:p>
    <w:p>
      <w:pPr>
        <w:pStyle w:val="720"/>
        <w:ind w:firstLine="396"/>
        <w:spacing w:line="400" w:lineRule="exact"/>
        <w:rPr>
          <w:rFonts w:ascii="宋体" w:hAnsi="宋体" w:cs="宋体"/>
          <w:strike/>
          <w:color w:val="000000"/>
        </w:rPr>
      </w:pPr>
      <w:r>
        <w:rPr>
          <w:rFonts w:hint="eastAsia" w:ascii="宋体" w:hAnsi="宋体" w:eastAsia="宋体" w:cs="宋体"/>
          <w:color w:val="000000"/>
        </w:rPr>
        <w:t xml:space="preserve">（2）投标产品属于《节能产品政府采购品目清单》中非以“★”标注的产品，投标时投标人所投该类产品提供了国家确定的认证机构出具、开标时处于有效期内的节能产品认证证书原件扫描件或全国认证认可信息公共服务平台查询打印件作为证明材料（证书所载产品型号、制造商应与投标产品一致；处于暂停、注销状态的不予认可），可享受节能产品优先采购政策</w:t>
      </w:r>
      <w:r>
        <w:rPr>
          <w:rFonts w:hint="eastAsia" w:ascii="宋体" w:hAnsi="宋体" w:eastAsia="宋体" w:cs="宋体"/>
        </w:rPr>
        <w:t xml:space="preserve">（加分）</w:t>
      </w:r>
      <w:r>
        <w:rPr>
          <w:rFonts w:hint="eastAsia" w:ascii="宋体" w:hAnsi="宋体" w:eastAsia="宋体" w:cs="宋体"/>
          <w:color w:val="000000"/>
        </w:rPr>
        <w:t xml:space="preserve">；未提供有效证明材料的，不享受节能产品优先采购政策</w:t>
      </w:r>
      <w:r>
        <w:rPr>
          <w:rFonts w:hint="eastAsia" w:ascii="宋体" w:hAnsi="宋体" w:eastAsia="宋体" w:cs="宋体"/>
        </w:rPr>
        <w:t xml:space="preserve">（加分）</w:t>
      </w:r>
      <w:r>
        <w:rPr>
          <w:rFonts w:hint="eastAsia" w:ascii="宋体" w:hAnsi="宋体" w:eastAsia="宋体" w:cs="宋体"/>
          <w:color w:val="000000"/>
        </w:rPr>
        <w:t xml:space="preserve">，投标有效。</w:t>
      </w:r>
      <w:r>
        <w:rPr>
          <w:rFonts w:ascii="宋体" w:hAnsi="宋体" w:cs="宋体"/>
          <w:strike/>
          <w:color w:val="000000"/>
        </w:rPr>
      </w:r>
      <w:r/>
    </w:p>
    <w:p>
      <w:pPr>
        <w:pStyle w:val="720"/>
        <w:ind w:firstLine="396"/>
        <w:spacing w:line="400" w:lineRule="exact"/>
        <w:rPr>
          <w:rFonts w:ascii="宋体" w:hAnsi="宋体" w:cs="宋体"/>
          <w:color w:val="000000"/>
        </w:rPr>
      </w:pPr>
      <w:r>
        <w:rPr>
          <w:rFonts w:hint="eastAsia" w:ascii="宋体" w:hAnsi="宋体" w:cs="宋体"/>
          <w:color w:val="000000"/>
        </w:rPr>
        <w:t xml:space="preserve">3.本项目落实环境标志产品政府采购政策（（财库〔2019〕9号）（财库〔2019〕18号）），投标产品属于《环境标志产品政府采购品目清单》中的产品，投标人所投该类产品提供了国家确定的认证机构出具、开标时处于有效期内的环境标志产品认证证书原件扫描件或全国认证认可信息公共服务平台查询打印件作为证明材料（证书所载产品型号、制造商应与投标产品一致；处于暂停、注销状态的不予认可），可享受环境标志产品优先采购政策</w:t>
      </w:r>
      <w:r>
        <w:rPr>
          <w:rFonts w:hint="eastAsia" w:ascii="宋体" w:hAnsi="宋体" w:eastAsia="宋体" w:cs="宋体"/>
        </w:rPr>
        <w:t xml:space="preserve">（加分）</w:t>
      </w:r>
      <w:r>
        <w:rPr>
          <w:rFonts w:hint="eastAsia" w:ascii="宋体" w:hAnsi="宋体" w:cs="宋体"/>
          <w:color w:val="000000"/>
        </w:rPr>
        <w:t xml:space="preserve">；</w:t>
      </w:r>
      <w:r>
        <w:rPr>
          <w:rFonts w:hint="eastAsia" w:ascii="宋体" w:hAnsi="宋体" w:eastAsia="宋体" w:cs="宋体"/>
          <w:color w:val="000000"/>
        </w:rPr>
        <w:t xml:space="preserve">未提供有效证明材料的</w:t>
      </w:r>
      <w:r>
        <w:rPr>
          <w:rFonts w:hint="eastAsia" w:ascii="宋体" w:hAnsi="宋体" w:cs="宋体"/>
          <w:color w:val="000000"/>
        </w:rPr>
        <w:t xml:space="preserve">，不享受环境标志产品优先采购政策</w:t>
      </w:r>
      <w:r>
        <w:rPr>
          <w:rFonts w:hint="eastAsia" w:ascii="宋体" w:hAnsi="宋体" w:eastAsia="宋体" w:cs="宋体"/>
        </w:rPr>
        <w:t xml:space="preserve">（加分）</w:t>
      </w:r>
      <w:r>
        <w:rPr>
          <w:rFonts w:hint="eastAsia" w:ascii="宋体" w:hAnsi="宋体" w:cs="宋体"/>
          <w:color w:val="000000"/>
        </w:rPr>
        <w:t xml:space="preserve">。</w:t>
      </w:r>
      <w:r>
        <w:rPr>
          <w:rFonts w:ascii="宋体" w:hAnsi="宋体" w:cs="宋体"/>
          <w:color w:val="000000"/>
        </w:rPr>
      </w:r>
      <w:r/>
    </w:p>
    <w:p>
      <w:pPr>
        <w:pStyle w:val="720"/>
        <w:ind w:firstLine="396"/>
        <w:spacing w:line="400" w:lineRule="exact"/>
        <w:rPr>
          <w:rFonts w:ascii="宋体" w:hAnsi="宋体" w:cs="宋体"/>
          <w:color w:val="000000"/>
        </w:rPr>
      </w:pPr>
      <w:r>
        <w:rPr>
          <w:rFonts w:hint="eastAsia" w:ascii="宋体" w:hAnsi="宋体" w:cs="宋体"/>
          <w:color w:val="000000"/>
        </w:rPr>
        <w:t xml:space="preserve">4.关于上表中有关第三方检测检测报告的事项：</w:t>
      </w:r>
      <w:r>
        <w:rPr>
          <w:rFonts w:ascii="宋体" w:hAnsi="宋体" w:cs="宋体"/>
          <w:color w:val="000000"/>
        </w:rPr>
      </w:r>
      <w:r/>
    </w:p>
    <w:p>
      <w:pPr>
        <w:pStyle w:val="720"/>
        <w:ind w:firstLine="396"/>
        <w:spacing w:line="400" w:lineRule="exact"/>
        <w:rPr>
          <w:rFonts w:ascii="宋体" w:hAnsi="宋体" w:cs="宋体"/>
          <w:color w:val="000000"/>
        </w:rPr>
      </w:pPr>
      <w:r>
        <w:rPr>
          <w:rFonts w:hint="eastAsia" w:ascii="宋体" w:hAnsi="宋体" w:cs="宋体"/>
          <w:color w:val="000000"/>
        </w:rPr>
        <w:t xml:space="preserve">（1）对于纳入《检验检测机构资质认定事项清单》及能力项目库（一单一库）的检测项目，出具的检测报告应加盖 CMA 标志；</w:t>
      </w:r>
      <w:r>
        <w:rPr>
          <w:rFonts w:ascii="宋体" w:hAnsi="宋体" w:cs="宋体"/>
          <w:color w:val="000000"/>
        </w:rPr>
      </w:r>
      <w:r/>
    </w:p>
    <w:p>
      <w:pPr>
        <w:pStyle w:val="720"/>
        <w:ind w:firstLine="396"/>
        <w:spacing w:line="400" w:lineRule="exact"/>
        <w:rPr>
          <w:rFonts w:ascii="宋体" w:hAnsi="宋体" w:cs="宋体"/>
          <w:color w:val="000000"/>
        </w:rPr>
      </w:pPr>
      <w:r>
        <w:rPr>
          <w:rFonts w:hint="eastAsia" w:ascii="宋体" w:hAnsi="宋体" w:cs="宋体"/>
          <w:color w:val="000000"/>
        </w:rPr>
        <w:t xml:space="preserve">（2）对于未纳入一单一库的检测项目，检测报告不得加盖 CMA 标志；优先选用 CNAS 认可实验室，检测机构及授权签字人对检测数据、报告真实性、准确性承担全部法律责任；</w:t>
      </w:r>
      <w:r>
        <w:rPr>
          <w:rFonts w:ascii="宋体" w:hAnsi="宋体" w:cs="宋体"/>
          <w:color w:val="000000"/>
        </w:rPr>
      </w:r>
      <w:r/>
    </w:p>
    <w:p>
      <w:pPr>
        <w:pStyle w:val="720"/>
        <w:ind w:firstLine="396"/>
        <w:spacing w:line="400" w:lineRule="exact"/>
        <w:rPr>
          <w:rFonts w:ascii="宋体" w:hAnsi="宋体" w:cs="宋体"/>
          <w:color w:val="000000"/>
        </w:rPr>
      </w:pPr>
      <w:r>
        <w:rPr>
          <w:rFonts w:hint="eastAsia" w:ascii="宋体" w:hAnsi="宋体" w:cs="宋体"/>
          <w:color w:val="000000"/>
        </w:rPr>
        <w:t xml:space="preserve">（3）同一份报告同时包含库内、库外参数时，库外参数部分不得标注 CMA 标志；可分开出具报告，库内项目出具CMA报告，库外项目出具CNAS/委托检测报告。</w:t>
      </w:r>
      <w:r>
        <w:rPr>
          <w:rFonts w:ascii="宋体" w:hAnsi="宋体" w:cs="宋体"/>
          <w:color w:val="000000"/>
        </w:rPr>
      </w:r>
      <w:r/>
    </w:p>
    <w:p>
      <w:pPr>
        <w:pStyle w:val="720"/>
        <w:ind w:firstLine="396"/>
        <w:pageBreakBefore w:val="0"/>
        <w:spacing w:line="400" w:lineRule="exact"/>
        <w:widowControl w:val="off"/>
        <w:rPr>
          <w:rFonts w:ascii="宋体" w:hAnsi="宋体" w:cs="宋体"/>
          <w:color w:val="000000"/>
        </w:rPr>
      </w:pPr>
      <w:r>
        <w:rPr>
          <w:rFonts w:hint="eastAsia" w:ascii="宋体" w:hAnsi="宋体" w:cs="宋体"/>
          <w:color w:val="000000"/>
        </w:rPr>
        <w:t xml:space="preserve">（4）技术标准执行最新国家标准，如证书还在有效期内可以按证书内标准执行。</w:t>
      </w:r>
      <w:r>
        <w:rPr>
          <w:rFonts w:ascii="宋体" w:hAnsi="宋体" w:cs="宋体"/>
          <w:color w:val="000000"/>
        </w:rPr>
      </w:r>
      <w:r/>
    </w:p>
    <w:p>
      <w:pPr>
        <w:pStyle w:val="720"/>
        <w:ind w:firstLine="396"/>
        <w:pageBreakBefore w:val="0"/>
        <w:spacing w:line="400" w:lineRule="exact"/>
        <w:widowControl w:val="off"/>
        <w:rPr>
          <w:rFonts w:ascii="宋体" w:hAnsi="宋体" w:cs="宋体"/>
          <w:color w:val="000000"/>
        </w:rPr>
      </w:pPr>
      <w:r>
        <w:rPr>
          <w:rFonts w:hint="eastAsia" w:ascii="宋体" w:hAnsi="宋体" w:cs="宋体"/>
          <w:color w:val="000000"/>
        </w:rPr>
        <w:t xml:space="preserve">（5）上表中要求投标时需提供相关检测报告、证书或其他证明材料的，投标人未提供或提供的相关材料无效的，评标委员会将作为不满足招标文件（负偏离）处理。</w:t>
      </w:r>
      <w:r>
        <w:rPr>
          <w:rFonts w:ascii="宋体" w:hAnsi="宋体" w:cs="宋体"/>
          <w:color w:val="000000"/>
        </w:rPr>
      </w:r>
      <w:r/>
    </w:p>
    <w:p>
      <w:pPr>
        <w:pStyle w:val="973"/>
        <w:ind w:firstLine="51"/>
        <w:pageBreakBefore w:val="0"/>
        <w:spacing w:before="0" w:after="0" w:line="400" w:lineRule="exact"/>
        <w:widowControl w:val="off"/>
        <w:rPr>
          <w:rFonts w:ascii="宋体" w:hAnsi="宋体" w:cs="宋体"/>
          <w:color w:val="000000"/>
        </w:rPr>
      </w:pPr>
      <w:r/>
      <w:bookmarkStart w:id="402" w:name="_Toc12105"/>
      <w:r>
        <w:rPr>
          <w:rFonts w:hint="eastAsia" w:ascii="黑体" w:hAnsi="黑体" w:eastAsia="黑体" w:cs="黑体"/>
          <w:szCs w:val="24"/>
          <w:lang w:val="en-US" w:eastAsia="zh-CN"/>
        </w:rPr>
        <w:t xml:space="preserve">十、</w:t>
      </w:r>
      <w:r>
        <w:rPr>
          <w:rFonts w:hint="eastAsia" w:ascii="黑体" w:hAnsi="黑体" w:eastAsia="黑体" w:cs="黑体"/>
          <w:szCs w:val="24"/>
        </w:rPr>
        <w:t xml:space="preserve">本国产品政府采购政策</w:t>
      </w:r>
      <w:bookmarkEnd w:id="402"/>
      <w:r>
        <w:rPr>
          <w:rFonts w:ascii="宋体" w:hAnsi="宋体" w:cs="宋体"/>
          <w:color w:val="000000"/>
        </w:rPr>
      </w:r>
      <w:r/>
    </w:p>
    <w:p>
      <w:pPr>
        <w:pStyle w:val="720"/>
        <w:ind w:firstLine="396"/>
        <w:spacing w:line="400" w:lineRule="exact"/>
        <w:rPr>
          <w:rFonts w:ascii="宋体" w:hAnsi="宋体" w:cs="宋体"/>
          <w:b/>
          <w:bCs/>
          <w:color w:val="000000"/>
        </w:rPr>
      </w:pPr>
      <w:r>
        <w:rPr>
          <w:rFonts w:hint="eastAsia" w:ascii="宋体" w:hAnsi="宋体" w:cs="宋体"/>
          <w:color w:val="000000"/>
        </w:rPr>
        <w:t xml:space="preserve">根据《国务院办公厅关于在政府采购中实施本国产品标准及相关政策的通知》（国办发〔2025〕34 号）规定：本国产品标准适用于货物，包括政府采购货物项目和服务项目中涉及的货物。</w:t>
      </w:r>
      <w:r>
        <w:rPr>
          <w:rFonts w:hint="eastAsia" w:ascii="宋体" w:hAnsi="宋体" w:cs="宋体"/>
          <w:b/>
          <w:bCs/>
          <w:color w:val="000000"/>
        </w:rPr>
        <w:t xml:space="preserve">本项目中机房装修系统分项属于工程，机房装修系统分项下的主材，不</w:t>
      </w:r>
      <w:r>
        <w:rPr>
          <w:rFonts w:hint="eastAsia" w:ascii="宋体" w:hAnsi="宋体" w:cs="宋体"/>
          <w:b/>
          <w:bCs/>
          <w:color w:val="000000"/>
          <w:lang w:val="en-US" w:eastAsia="zh-CN"/>
        </w:rPr>
        <w:t xml:space="preserve">适用</w:t>
      </w:r>
      <w:r>
        <w:rPr>
          <w:rFonts w:hint="eastAsia" w:ascii="宋体" w:hAnsi="宋体" w:cs="宋体"/>
          <w:b/>
          <w:bCs/>
          <w:color w:val="000000"/>
        </w:rPr>
        <w:t xml:space="preserve">本国产品采购政策</w:t>
      </w:r>
      <w:r>
        <w:rPr>
          <w:rFonts w:hint="eastAsia" w:ascii="宋体" w:hAnsi="宋体" w:cs="宋体"/>
          <w:b/>
          <w:bCs/>
          <w:color w:val="000000"/>
          <w:sz w:val="21"/>
          <w:szCs w:val="21"/>
          <w:lang w:val="en-US" w:eastAsia="zh-CN"/>
        </w:rPr>
        <w:t xml:space="preserve">。</w:t>
      </w:r>
      <w:r>
        <w:rPr>
          <w:rFonts w:hint="eastAsia" w:ascii="宋体" w:hAnsi="宋体" w:cs="宋体"/>
          <w:b/>
          <w:bCs/>
          <w:color w:val="000000"/>
          <w:lang w:val="en-US" w:eastAsia="zh-CN"/>
        </w:rPr>
        <w:t xml:space="preserve">本项目适用本国产品采购政策的</w:t>
      </w:r>
      <w:r>
        <w:rPr>
          <w:rFonts w:hint="eastAsia" w:ascii="宋体" w:hAnsi="宋体" w:cs="宋体"/>
          <w:b/>
          <w:bCs/>
          <w:color w:val="000000"/>
        </w:rPr>
        <w:t xml:space="preserve">产品见下表。</w:t>
      </w:r>
      <w:r>
        <w:rPr>
          <w:rFonts w:ascii="宋体" w:hAnsi="宋体" w:cs="宋体"/>
          <w:b/>
          <w:bCs/>
          <w:color w:val="000000"/>
        </w:rPr>
      </w:r>
      <w:r/>
    </w:p>
    <w:p>
      <w:pPr>
        <w:pStyle w:val="720"/>
        <w:jc w:val="center"/>
        <w:spacing w:line="440" w:lineRule="exact"/>
        <w:rPr>
          <w:rFonts w:hint="eastAsia" w:ascii="黑体" w:hAnsi="黑体" w:eastAsia="黑体" w:cs="黑体"/>
          <w:color w:val="000000"/>
        </w:rPr>
      </w:pPr>
      <w:r>
        <w:rPr>
          <w:rFonts w:hint="eastAsia" w:ascii="黑体" w:hAnsi="黑体" w:eastAsia="黑体" w:cs="黑体"/>
          <w:color w:val="000000"/>
          <w:lang w:val="en-US" w:eastAsia="zh-CN"/>
        </w:rPr>
        <w:t xml:space="preserve">适用本国产品采购政策的</w:t>
      </w:r>
      <w:r>
        <w:rPr>
          <w:rFonts w:hint="eastAsia" w:ascii="黑体" w:hAnsi="黑体" w:eastAsia="黑体" w:cs="黑体"/>
          <w:color w:val="000000"/>
        </w:rPr>
        <w:t xml:space="preserve">产品一览表</w:t>
      </w:r>
      <w:r>
        <w:rPr>
          <w:rFonts w:hint="eastAsia" w:ascii="黑体" w:hAnsi="黑体" w:eastAsia="黑体" w:cs="黑体"/>
          <w:color w:val="000000"/>
        </w:rPr>
      </w:r>
      <w:r/>
    </w:p>
    <w:tbl>
      <w:tblPr>
        <w:tblW w:w="8910" w:type="dxa"/>
        <w:tblInd w:w="-11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40"/>
        <w:gridCol w:w="6970"/>
      </w:tblGrid>
      <w:tr>
        <w:trPr>
          <w:trHeight w:val="409"/>
        </w:trPr>
        <w:tc>
          <w:tcPr>
            <w:tcW w:w="1940" w:type="dxa"/>
            <w:vAlign w:val="center"/>
            <w:textDirection w:val="lrTb"/>
            <w:noWrap/>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rPr>
                <w:rFonts w:ascii="宋体" w:hAnsi="宋体" w:eastAsia="宋体" w:cs="宋体"/>
                <w:b/>
                <w:bCs/>
                <w:color w:val="000000"/>
                <w:sz w:val="20"/>
                <w:szCs w:val="20"/>
              </w:rPr>
            </w:r>
            <w:r/>
          </w:p>
        </w:tc>
        <w:tc>
          <w:tcPr>
            <w:tcW w:w="6970" w:type="dxa"/>
            <w:vAlign w:val="center"/>
            <w:textDirection w:val="lrTb"/>
            <w:noWrap/>
          </w:tcPr>
          <w:p>
            <w:pPr>
              <w:pStyle w:val="720"/>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产品名称</w:t>
            </w:r>
            <w:r>
              <w:rPr>
                <w:rFonts w:ascii="宋体" w:hAnsi="宋体" w:eastAsia="宋体" w:cs="宋体"/>
                <w:b/>
                <w:bCs/>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ATS总配电柜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市电配电柜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UPS输入输出配电柜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照明配电箱</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应急配电箱</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精密配电柜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排烟控制柜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抗震承重底座</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KBG25电线管</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KBG20电线管</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金属软管Φ25</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金属软管Φ20</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墙面3+2插座</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防爆墙面3+2插座</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LED平板灯</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电池间防爆灯</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双头应急探照灯</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应急疏散标志灯</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单联单控开关</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二位二控开关</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三位三控开关</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网格桥架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镀锌桥架300*100*1.0</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镀锌桥架200*100*1.0</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 输入输出电缆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AP 柜电缆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列头柜进线电缆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 4×25mm²+1×10mm²电缆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ZCYJV-5*6mm²电缆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ZCYJV3×6mm²电缆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ZCYJV-2*16+1*10mm²电缆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等电位联结端子箱</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接地铜排</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BVR软线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BVR50mm²接地线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UPS主机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UPS功率模块</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蓄电池</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开放式电池柜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电池开关柜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电池电缆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行级精密空调室内机（加热加湿）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行级精密空调室外机（加热加湿）</w:t>
            </w:r>
            <w:r>
              <w:rPr>
                <w:rFonts w:ascii="宋体" w:hAnsi="宋体" w:eastAsia="宋体" w:cs="宋体"/>
                <w:color w:val="000000"/>
                <w:sz w:val="20"/>
                <w:szCs w:val="20"/>
                <w:lang w:bidi="ar"/>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行级精密空调室内机（单冷）</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行级精密空调室外机（单冷）</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房间精密空调室内机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房间精密空调室外机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服务器机柜</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冷通道系统</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吊顶式洁净新风机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手动风量调节阀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轴流排风机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防爆轴流排风机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吊顶式洁净新风机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防火阀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电动风阀</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风管</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单瓶组柜式灭火装置</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HFC-227ea灭火剂</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泄压装置</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点型光电感烟火灾探测器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点型感温火灾探测器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火灾声警报器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火灾声光警报器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气体释放警报器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气体灭火控制器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紧急启停按钮</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输入/输出模块</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总线短路隔离器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电子编码器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六类非屏蔽双绞线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24口六类非屏蔽模块化配线架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2米六类非屏蔽网络跳线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单模预端接光缆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96芯预端接光纤配线架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12芯单模MPO-LC光模组</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24口六类非屏蔽模块化配线架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288芯预端接光纤配线架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24芯单模MPO-LC光模组</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24芯单模光缆</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24芯LC光纤配线架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单模尾纤</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3米LC-LC单模双芯光纤跳线</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理线架</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微模块监控采集器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智能插座</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监控系统</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多功能传感器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定位式水浸传感器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非定位式水浸传感器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102</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单门门禁锁</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103</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双门门禁锁</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104</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人脸识别指纹机7寸屏</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105</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四门禁控制器</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106</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16路网络硬盘录像机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107</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400万全彩网络半球摄像机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108</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400万全彩网络人脸半球摄像机</w:t>
            </w:r>
            <w:r>
              <w:rPr>
                <w:rFonts w:ascii="宋体" w:hAnsi="宋体" w:eastAsia="宋体" w:cs="宋体"/>
                <w:color w:val="000000"/>
                <w:sz w:val="20"/>
                <w:szCs w:val="20"/>
              </w:rPr>
            </w:r>
            <w:r/>
          </w:p>
        </w:tc>
      </w:tr>
      <w:tr>
        <w:trPr>
          <w:trHeight w:val="233"/>
        </w:trPr>
        <w:tc>
          <w:tcPr>
            <w:tcW w:w="1940" w:type="dxa"/>
            <w:vAlign w:val="center"/>
            <w:textDirection w:val="lrTb"/>
            <w:noWrap/>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109</w:t>
            </w:r>
            <w:r>
              <w:rPr>
                <w:rFonts w:ascii="宋体" w:hAnsi="宋体" w:eastAsia="宋体" w:cs="宋体"/>
                <w:color w:val="000000"/>
                <w:sz w:val="20"/>
                <w:szCs w:val="20"/>
              </w:rPr>
            </w:r>
            <w:r/>
          </w:p>
        </w:tc>
        <w:tc>
          <w:tcPr>
            <w:tcW w:w="6970" w:type="dxa"/>
            <w:vAlign w:val="center"/>
            <w:textDirection w:val="lrTb"/>
            <w:noWrap w:val="false"/>
          </w:tcPr>
          <w:p>
            <w:pPr>
              <w:pStyle w:val="720"/>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POE交换机</w:t>
            </w:r>
            <w:r>
              <w:rPr>
                <w:rFonts w:ascii="宋体" w:hAnsi="宋体" w:eastAsia="宋体" w:cs="宋体"/>
                <w:color w:val="000000"/>
                <w:sz w:val="20"/>
                <w:szCs w:val="20"/>
              </w:rPr>
            </w:r>
            <w:r/>
          </w:p>
        </w:tc>
      </w:tr>
    </w:tbl>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spacing w:line="440" w:lineRule="exact"/>
        <w:rPr>
          <w:rFonts w:ascii="黑体" w:hAnsi="黑体" w:eastAsia="黑体" w:cs="黑体"/>
          <w:color w:val="000000"/>
        </w:rPr>
      </w:pPr>
      <w:r>
        <w:rPr>
          <w:rFonts w:ascii="黑体" w:hAnsi="黑体" w:eastAsia="黑体" w:cs="黑体"/>
          <w:color w:val="000000"/>
        </w:rPr>
      </w: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color w:val="000000"/>
        </w:rPr>
      </w:pPr>
      <w:r>
        <w:rPr>
          <w:rFonts w:ascii="黑体" w:hAnsi="黑体" w:eastAsia="黑体" w:cs="黑体"/>
          <w:color w:val="000000"/>
        </w:rPr>
      </w:r>
      <w:r/>
    </w:p>
    <w:p>
      <w:pPr>
        <w:pStyle w:val="720"/>
        <w:spacing w:line="440" w:lineRule="exact"/>
        <w:rPr>
          <w:rFonts w:ascii="黑体" w:hAnsi="黑体" w:eastAsia="黑体" w:cs="黑体"/>
          <w:b/>
          <w:bCs/>
          <w:color w:val="000000"/>
        </w:rPr>
      </w:pPr>
      <w:r>
        <w:rPr>
          <w:rFonts w:hint="eastAsia" w:ascii="黑体" w:hAnsi="黑体" w:eastAsia="黑体" w:cs="黑体"/>
          <w:color w:val="000000"/>
        </w:rPr>
        <w:t xml:space="preserve">附件1</w:t>
      </w:r>
      <w:r>
        <w:rPr>
          <w:rFonts w:ascii="黑体" w:hAnsi="黑体" w:eastAsia="黑体" w:cs="黑体"/>
          <w:b/>
          <w:bCs/>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jc w:val="center"/>
        <w:spacing w:line="360" w:lineRule="auto"/>
        <w:rPr>
          <w:rFonts w:ascii="宋体" w:hAnsi="宋体" w:cs="宋体"/>
          <w:b/>
          <w:bCs/>
          <w:sz w:val="24"/>
          <w:szCs w:val="24"/>
        </w:rPr>
      </w:pPr>
      <w:r>
        <w:rPr>
          <w:rFonts w:hint="eastAsia" w:ascii="宋体" w:hAnsi="宋体" w:cs="宋体"/>
          <w:b/>
          <w:bCs/>
          <w:sz w:val="24"/>
          <w:szCs w:val="24"/>
        </w:rPr>
        <w:t xml:space="preserve">靖江市人民医院数据中心机房升级改造基础环境集成实施服务项目</w:t>
      </w:r>
      <w:r>
        <w:rPr>
          <w:rFonts w:ascii="宋体" w:hAnsi="宋体" w:cs="宋体"/>
          <w:b/>
          <w:bCs/>
          <w:sz w:val="24"/>
          <w:szCs w:val="24"/>
        </w:rPr>
      </w:r>
      <w:r/>
    </w:p>
    <w:p>
      <w:pPr>
        <w:pStyle w:val="720"/>
        <w:jc w:val="center"/>
        <w:spacing w:line="360" w:lineRule="auto"/>
        <w:rPr>
          <w:rFonts w:ascii="宋体" w:hAnsi="宋体" w:cs="宋体"/>
          <w:b/>
          <w:bCs/>
          <w:sz w:val="21"/>
          <w:szCs w:val="21"/>
        </w:rPr>
      </w:pPr>
      <w:r>
        <w:rPr>
          <w:rFonts w:hint="eastAsia" w:ascii="宋体" w:hAnsi="宋体" w:cs="宋体"/>
          <w:b/>
          <w:bCs/>
          <w:sz w:val="24"/>
          <w:szCs w:val="24"/>
        </w:rPr>
        <w:t xml:space="preserve">服务质量与认证承诺书</w:t>
      </w:r>
      <w:r>
        <w:rPr>
          <w:rFonts w:ascii="宋体" w:hAnsi="宋体" w:cs="宋体"/>
          <w:b/>
          <w:bCs/>
          <w:sz w:val="21"/>
          <w:szCs w:val="21"/>
        </w:rPr>
      </w:r>
      <w:r/>
    </w:p>
    <w:p>
      <w:pPr>
        <w:pStyle w:val="720"/>
        <w:spacing w:line="560" w:lineRule="exact"/>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靖江市人民医院</w:t>
      </w:r>
      <w:r>
        <w:rPr>
          <w:rFonts w:ascii="宋体" w:hAnsi="宋体" w:cs="宋体"/>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我方参与</w:t>
      </w:r>
      <w:r>
        <w:rPr>
          <w:rFonts w:hint="eastAsia" w:ascii="宋体" w:hAnsi="宋体" w:cs="宋体"/>
          <w:sz w:val="21"/>
          <w:szCs w:val="21"/>
          <w:u w:val="single"/>
        </w:rPr>
        <w:t xml:space="preserve">  靖江市人民医院数据中心机房升级改造基础环境集成实施服务项目  </w:t>
      </w:r>
      <w:r>
        <w:rPr>
          <w:rFonts w:hint="eastAsia" w:ascii="宋体" w:hAnsi="宋体" w:cs="宋体"/>
          <w:sz w:val="21"/>
          <w:szCs w:val="21"/>
        </w:rPr>
        <w:t xml:space="preserve">的投标，充分理解本项目对场地基础设施安全性、可靠性及合规性的极高要求。为确保项目高标准、高质量交付，我方现就本项目服务质量、认证评测及相关配合事宜作出如下承诺：</w:t>
      </w:r>
      <w:r>
        <w:rPr>
          <w:rFonts w:ascii="宋体" w:hAnsi="宋体" w:cs="宋体"/>
          <w:sz w:val="21"/>
          <w:szCs w:val="21"/>
        </w:rPr>
      </w:r>
      <w:r/>
    </w:p>
    <w:p>
      <w:pPr>
        <w:pStyle w:val="720"/>
        <w:spacing w:line="560" w:lineRule="exact"/>
        <w:rPr>
          <w:rFonts w:ascii="宋体" w:hAnsi="宋体" w:cs="宋体"/>
          <w:b/>
          <w:bCs/>
          <w:sz w:val="21"/>
          <w:szCs w:val="21"/>
        </w:rPr>
      </w:pPr>
      <w:r>
        <w:rPr>
          <w:rFonts w:hint="eastAsia" w:ascii="宋体" w:hAnsi="宋体" w:cs="宋体"/>
          <w:b/>
          <w:bCs/>
          <w:sz w:val="21"/>
          <w:szCs w:val="21"/>
        </w:rPr>
        <w:t xml:space="preserve">一、 服务过程无条件配合承诺</w:t>
      </w:r>
      <w:r>
        <w:rPr>
          <w:rFonts w:ascii="宋体" w:hAnsi="宋体" w:cs="宋体"/>
          <w:b/>
          <w:bCs/>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在项目的施工、调试及验收等建设阶段，我方无条件接受并服从采购人、设计单位、监理单位、第三方测评机构的技术指导与监督管理。对于各方提出的合理技术建议、规范要求及整改意见，我方将第一时间响应并严格落实。</w:t>
      </w:r>
      <w:r>
        <w:rPr>
          <w:rFonts w:ascii="宋体" w:hAnsi="宋体" w:cs="宋体"/>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我方将建立专项沟通机制，指定资深项目经理及技术负责人作为对接窗口，确保与采购人、设计单位、监理单位、测评机构的信息对称与高效协同，保障项目建设进度与质量目标的统一。</w:t>
      </w:r>
      <w:r>
        <w:rPr>
          <w:rFonts w:ascii="宋体" w:hAnsi="宋体" w:cs="宋体"/>
          <w:sz w:val="21"/>
          <w:szCs w:val="21"/>
        </w:rPr>
      </w:r>
      <w:r/>
    </w:p>
    <w:p>
      <w:pPr>
        <w:pStyle w:val="720"/>
        <w:spacing w:line="560" w:lineRule="exact"/>
        <w:rPr>
          <w:rFonts w:ascii="宋体" w:hAnsi="宋体" w:cs="宋体"/>
          <w:b/>
          <w:bCs/>
          <w:sz w:val="21"/>
          <w:szCs w:val="21"/>
        </w:rPr>
      </w:pPr>
      <w:r>
        <w:rPr>
          <w:rFonts w:hint="eastAsia" w:ascii="宋体" w:hAnsi="宋体" w:cs="宋体"/>
          <w:b/>
          <w:bCs/>
          <w:sz w:val="21"/>
          <w:szCs w:val="21"/>
        </w:rPr>
        <w:t xml:space="preserve">二、 核心认证与评测达标承诺</w:t>
      </w:r>
      <w:r>
        <w:rPr>
          <w:rFonts w:ascii="宋体" w:hAnsi="宋体" w:cs="宋体"/>
          <w:b/>
          <w:bCs/>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我方郑重承诺，本项目基础设施的各项技术指标、性能参数完全符合《数据中心基础设施施工及验收标准》(GB50462-2024)和《数据中心设计规范》（GB50174-2017）中B级机房的建设要求。本项目合同签订后75日历天内完成本项目集成实施服务并取得B级机房认证评测报告；合同签订后1</w:t>
      </w:r>
      <w:r>
        <w:rPr>
          <w:rFonts w:ascii="宋体" w:hAnsi="宋体" w:cs="宋体"/>
          <w:sz w:val="21"/>
          <w:szCs w:val="21"/>
        </w:rPr>
        <w:t xml:space="preserve">2</w:t>
      </w:r>
      <w:r>
        <w:rPr>
          <w:rFonts w:hint="eastAsia" w:ascii="宋体" w:hAnsi="宋体" w:cs="宋体"/>
          <w:sz w:val="21"/>
          <w:szCs w:val="21"/>
        </w:rPr>
        <w:t xml:space="preserve">0日历天内能顺利通过中国质量认证中心（CQC）的现场核验并取得由中国质量认证中心（CQC）颁发的B级《数据中心场地基础设施认证证书》。</w:t>
      </w:r>
      <w:r>
        <w:rPr>
          <w:rFonts w:ascii="宋体" w:hAnsi="宋体" w:cs="宋体"/>
          <w:sz w:val="21"/>
          <w:szCs w:val="21"/>
        </w:rPr>
      </w:r>
      <w:r/>
    </w:p>
    <w:p>
      <w:pPr>
        <w:pStyle w:val="812"/>
        <w:numPr>
          <w:ilvl w:val="0"/>
          <w:numId w:val="7"/>
        </w:numPr>
        <w:spacing w:line="560" w:lineRule="exact"/>
        <w:rPr>
          <w:rFonts w:ascii="宋体" w:hAnsi="宋体" w:cs="宋体"/>
          <w:b/>
          <w:bCs/>
          <w:sz w:val="21"/>
          <w:szCs w:val="21"/>
        </w:rPr>
      </w:pPr>
      <w:r>
        <w:rPr>
          <w:rFonts w:hint="eastAsia" w:ascii="宋体" w:hAnsi="宋体" w:cs="宋体"/>
          <w:b/>
          <w:bCs/>
          <w:sz w:val="21"/>
          <w:szCs w:val="21"/>
        </w:rPr>
        <w:t xml:space="preserve"> 整改责任与费用承担承诺</w:t>
      </w:r>
      <w:r>
        <w:rPr>
          <w:rFonts w:ascii="宋体" w:hAnsi="宋体" w:cs="宋体"/>
          <w:b/>
          <w:bCs/>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在项目施工、设备调试、B级机房认证评测及CQC现场核验过程中，如因我方设备选型、材料选用、施工质量、系统调试等原因导致未能达到B级机房标准或认证要求，我方承诺将无条件承担全部整改工作。所有因未达标而产生的整改费用（包括但不限于人工费、材料费、设备更换费、重新测试费、专家评审费等）均由我方全额承担，绝不向采购人提出任何额外的费用索赔或签证要求。</w:t>
      </w:r>
      <w:r>
        <w:rPr>
          <w:rFonts w:ascii="宋体" w:hAnsi="宋体" w:cs="宋体"/>
          <w:sz w:val="21"/>
          <w:szCs w:val="21"/>
        </w:rPr>
      </w:r>
      <w:r/>
    </w:p>
    <w:p>
      <w:pPr>
        <w:pStyle w:val="720"/>
        <w:spacing w:line="560" w:lineRule="exact"/>
        <w:rPr>
          <w:rFonts w:ascii="宋体" w:hAnsi="宋体" w:cs="宋体"/>
          <w:b/>
          <w:bCs/>
          <w:sz w:val="21"/>
          <w:szCs w:val="21"/>
        </w:rPr>
      </w:pPr>
      <w:r>
        <w:rPr>
          <w:rFonts w:hint="eastAsia" w:ascii="宋体" w:hAnsi="宋体" w:cs="宋体"/>
          <w:b/>
          <w:bCs/>
          <w:sz w:val="21"/>
          <w:szCs w:val="21"/>
        </w:rPr>
        <w:t xml:space="preserve">四、 违约责任</w:t>
      </w:r>
      <w:r>
        <w:rPr>
          <w:rFonts w:ascii="宋体" w:hAnsi="宋体" w:cs="宋体"/>
          <w:b/>
          <w:bCs/>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若我方未能履行上述承诺，导致本项目合同签订后75日历天内未能完成并取得B级机房认证评测报告或合同签订后1</w:t>
      </w:r>
      <w:r>
        <w:rPr>
          <w:rFonts w:ascii="宋体" w:hAnsi="宋体" w:cs="宋体"/>
          <w:sz w:val="21"/>
          <w:szCs w:val="21"/>
        </w:rPr>
        <w:t xml:space="preserve">2</w:t>
      </w:r>
      <w:r>
        <w:rPr>
          <w:rFonts w:hint="eastAsia" w:ascii="宋体" w:hAnsi="宋体" w:cs="宋体"/>
          <w:sz w:val="21"/>
          <w:szCs w:val="21"/>
        </w:rPr>
        <w:t xml:space="preserve">0日历天内未能取得B级《数据中心场地基础设施认证证书》，我方自愿承担以每天</w:t>
      </w:r>
      <w:r>
        <w:rPr>
          <w:rFonts w:hint="eastAsia" w:ascii="宋体" w:hAnsi="宋体" w:cs="宋体"/>
          <w:sz w:val="21"/>
          <w:szCs w:val="21"/>
          <w:u w:val="single"/>
        </w:rPr>
        <w:t xml:space="preserve"> 0.3% </w:t>
      </w:r>
      <w:r>
        <w:rPr>
          <w:rFonts w:hint="eastAsia" w:ascii="宋体" w:hAnsi="宋体" w:cs="宋体"/>
          <w:sz w:val="21"/>
          <w:szCs w:val="21"/>
        </w:rPr>
        <w:t xml:space="preserve">合同总额的违约金，超过30日历天仍无法通过项目初验或未能取得B级《数据中心场地基础设施认证证书》，我方同意采购人取消合同，我方已经完成的工作无偿赠送予采购人并退还采购人所有已经支付的款项。</w:t>
      </w:r>
      <w:r>
        <w:rPr>
          <w:rFonts w:ascii="宋体" w:hAnsi="宋体" w:cs="宋体"/>
          <w:sz w:val="21"/>
          <w:szCs w:val="21"/>
        </w:rPr>
      </w:r>
      <w:r/>
    </w:p>
    <w:p>
      <w:pPr>
        <w:pStyle w:val="720"/>
        <w:ind w:firstLine="378"/>
        <w:spacing w:line="560" w:lineRule="exact"/>
        <w:rPr>
          <w:rFonts w:ascii="宋体" w:hAnsi="宋体" w:cs="宋体"/>
          <w:sz w:val="21"/>
          <w:szCs w:val="21"/>
        </w:rPr>
      </w:pPr>
      <w:r>
        <w:rPr>
          <w:rFonts w:hint="eastAsia" w:ascii="宋体" w:hAnsi="宋体" w:cs="宋体"/>
          <w:sz w:val="21"/>
          <w:szCs w:val="21"/>
        </w:rPr>
        <w:t xml:space="preserve">特此承诺！</w:t>
      </w:r>
      <w:r>
        <w:rPr>
          <w:rFonts w:ascii="宋体" w:hAnsi="宋体" w:cs="宋体"/>
          <w:sz w:val="21"/>
          <w:szCs w:val="21"/>
        </w:rPr>
      </w:r>
      <w:r/>
    </w:p>
    <w:p>
      <w:pPr>
        <w:pStyle w:val="720"/>
        <w:ind w:left="2420"/>
        <w:spacing w:line="360" w:lineRule="auto"/>
        <w:rPr>
          <w:rFonts w:ascii="宋体" w:hAnsi="宋体" w:cs="宋体"/>
          <w:sz w:val="21"/>
          <w:szCs w:val="21"/>
        </w:rPr>
      </w:pPr>
      <w:r>
        <w:rPr>
          <w:rFonts w:ascii="宋体" w:hAnsi="宋体" w:cs="宋体"/>
          <w:sz w:val="21"/>
          <w:szCs w:val="21"/>
        </w:rPr>
      </w:r>
      <w:r/>
    </w:p>
    <w:p>
      <w:pPr>
        <w:pStyle w:val="720"/>
        <w:ind w:left="2420"/>
        <w:spacing w:line="360" w:lineRule="auto"/>
        <w:rPr>
          <w:rFonts w:ascii="宋体" w:hAnsi="宋体" w:cs="宋体"/>
          <w:sz w:val="21"/>
          <w:szCs w:val="21"/>
        </w:rPr>
      </w:pPr>
      <w:r>
        <w:rPr>
          <w:rFonts w:ascii="宋体" w:hAnsi="宋体" w:cs="宋体"/>
          <w:sz w:val="21"/>
          <w:szCs w:val="21"/>
        </w:rPr>
      </w:r>
      <w:r/>
    </w:p>
    <w:p>
      <w:pPr>
        <w:pStyle w:val="720"/>
        <w:ind w:firstLine="480"/>
        <w:jc w:val="right"/>
        <w:spacing w:line="560" w:lineRule="exact"/>
        <w:rPr>
          <w:rFonts w:ascii="宋体" w:hAnsi="宋体" w:cs="宋体"/>
          <w:sz w:val="21"/>
          <w:szCs w:val="21"/>
        </w:rPr>
      </w:pPr>
      <w:r>
        <w:rPr>
          <w:rFonts w:hint="eastAsia" w:ascii="宋体" w:hAnsi="宋体" w:cs="宋体"/>
          <w:sz w:val="21"/>
          <w:szCs w:val="21"/>
        </w:rPr>
        <w:t xml:space="preserve">投标人公章：            （电子签章）</w:t>
      </w:r>
      <w:r>
        <w:rPr>
          <w:rFonts w:ascii="宋体" w:hAnsi="宋体" w:cs="宋体"/>
          <w:sz w:val="21"/>
          <w:szCs w:val="21"/>
        </w:rPr>
      </w:r>
      <w:r/>
    </w:p>
    <w:p>
      <w:pPr>
        <w:pStyle w:val="720"/>
        <w:ind w:firstLine="480"/>
        <w:jc w:val="right"/>
        <w:spacing w:line="560" w:lineRule="exact"/>
        <w:rPr>
          <w:rFonts w:ascii="宋体" w:hAnsi="宋体" w:cs="宋体"/>
          <w:sz w:val="21"/>
          <w:szCs w:val="21"/>
        </w:rPr>
      </w:pPr>
      <w:r>
        <w:rPr>
          <w:rFonts w:hint="eastAsia" w:ascii="宋体" w:hAnsi="宋体" w:cs="宋体"/>
          <w:sz w:val="21"/>
          <w:szCs w:val="21"/>
        </w:rPr>
        <w:t xml:space="preserve">法定代表人：            （电子签章）</w:t>
      </w:r>
      <w:r>
        <w:rPr>
          <w:rFonts w:ascii="宋体" w:hAnsi="宋体" w:cs="宋体"/>
          <w:sz w:val="21"/>
          <w:szCs w:val="21"/>
        </w:rPr>
      </w:r>
      <w:r/>
    </w:p>
    <w:p>
      <w:pPr>
        <w:pStyle w:val="720"/>
        <w:ind w:firstLine="378"/>
        <w:jc w:val="right"/>
        <w:spacing w:line="440" w:lineRule="exact"/>
        <w:rPr>
          <w:rFonts w:ascii="宋体" w:hAnsi="宋体" w:cs="宋体"/>
          <w:color w:val="000000"/>
        </w:rPr>
      </w:pP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720"/>
        <w:ind w:firstLine="396"/>
        <w:spacing w:line="440" w:lineRule="exact"/>
        <w:rPr>
          <w:rFonts w:ascii="宋体" w:hAnsi="宋体" w:cs="宋体"/>
          <w:color w:val="000000"/>
        </w:rPr>
      </w:pPr>
      <w:r>
        <w:rPr>
          <w:rFonts w:ascii="宋体" w:hAnsi="宋体" w:cs="宋体"/>
          <w:color w:val="000000"/>
        </w:rPr>
      </w:r>
      <w:r/>
    </w:p>
    <w:p>
      <w:pPr>
        <w:pStyle w:val="969"/>
        <w:jc w:val="center"/>
        <w:spacing w:before="0" w:after="20" w:line="240" w:lineRule="auto"/>
        <w:rPr>
          <w:rFonts w:ascii="微软雅黑" w:hAnsi="微软雅黑" w:eastAsia="微软雅黑" w:cs="微软雅黑"/>
          <w:b w:val="0"/>
          <w:bCs w:val="0"/>
          <w:sz w:val="36"/>
          <w:szCs w:val="36"/>
        </w:rPr>
      </w:pPr>
      <w:r/>
      <w:bookmarkStart w:id="403" w:name="_Toc3777"/>
      <w:r/>
      <w:bookmarkStart w:id="404" w:name="_Toc20490"/>
      <w:r>
        <w:rPr>
          <w:rFonts w:hint="eastAsia" w:ascii="微软雅黑" w:hAnsi="微软雅黑" w:eastAsia="微软雅黑" w:cs="微软雅黑"/>
          <w:b w:val="0"/>
          <w:bCs w:val="0"/>
          <w:sz w:val="36"/>
          <w:szCs w:val="36"/>
        </w:rPr>
        <w:t xml:space="preserve">第七章 电子投标文件格式</w:t>
      </w:r>
      <w:bookmarkEnd w:id="403"/>
      <w:r/>
      <w:bookmarkEnd w:id="404"/>
      <w:r>
        <w:rPr>
          <w:rFonts w:ascii="微软雅黑" w:hAnsi="微软雅黑" w:eastAsia="微软雅黑" w:cs="微软雅黑"/>
          <w:b w:val="0"/>
          <w:bCs w:val="0"/>
          <w:sz w:val="36"/>
          <w:szCs w:val="36"/>
        </w:rPr>
      </w:r>
      <w:r/>
    </w:p>
    <w:p>
      <w:pPr>
        <w:pStyle w:val="720"/>
      </w:pPr>
      <w:r/>
      <w:r/>
    </w:p>
    <w:p>
      <w:pPr>
        <w:pStyle w:val="720"/>
        <w:jc w:val="left"/>
        <w:rPr>
          <w:rFonts w:ascii="黑体" w:hAnsi="黑体" w:eastAsia="黑体" w:cs="黑体"/>
          <w:sz w:val="36"/>
          <w:szCs w:val="40"/>
        </w:rPr>
      </w:pPr>
      <w:r/>
      <w:bookmarkStart w:id="405" w:name="_Toc27499"/>
      <w:r/>
      <w:bookmarkStart w:id="406" w:name="_Toc3586"/>
      <w:r>
        <w:rPr>
          <w:rFonts w:hint="eastAsia" w:ascii="黑体" w:hAnsi="黑体" w:eastAsia="黑体" w:cs="黑体"/>
          <w:sz w:val="36"/>
          <w:szCs w:val="40"/>
        </w:rPr>
        <w:t xml:space="preserve">封面</w:t>
      </w:r>
      <w:r>
        <w:rPr>
          <w:rFonts w:ascii="黑体" w:hAnsi="黑体" w:eastAsia="黑体" w:cs="黑体"/>
          <w:sz w:val="36"/>
          <w:szCs w:val="40"/>
        </w:rPr>
      </w:r>
      <w:r/>
    </w:p>
    <w:p>
      <w:pPr>
        <w:pStyle w:val="720"/>
      </w:pPr>
      <w:r/>
      <w:bookmarkEnd w:id="405"/>
      <w:r/>
      <w:r/>
    </w:p>
    <w:p>
      <w:pPr>
        <w:pStyle w:val="720"/>
        <w:jc w:val="center"/>
        <w:rPr>
          <w:sz w:val="32"/>
          <w:szCs w:val="36"/>
        </w:rPr>
      </w:pPr>
      <w:r>
        <w:rPr>
          <w:sz w:val="32"/>
          <w:szCs w:val="36"/>
        </w:rPr>
      </w:r>
      <w:r/>
    </w:p>
    <w:p>
      <w:pPr>
        <w:pStyle w:val="720"/>
        <w:jc w:val="center"/>
        <w:rPr>
          <w:sz w:val="40"/>
          <w:szCs w:val="44"/>
        </w:rPr>
      </w:pPr>
      <w:r>
        <w:rPr>
          <w:rFonts w:hint="eastAsia"/>
          <w:sz w:val="28"/>
          <w:szCs w:val="32"/>
        </w:rPr>
        <w:t xml:space="preserve">靖江市人民医院数据中心机房升级改造基础环境集成实施服务项目</w:t>
      </w: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rFonts w:hint="eastAsia"/>
          <w:b/>
          <w:bCs/>
          <w:sz w:val="56"/>
          <w:szCs w:val="72"/>
        </w:rPr>
        <w:t xml:space="preserve">投 标 文 件</w:t>
      </w: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40"/>
          <w:szCs w:val="44"/>
        </w:rPr>
      </w:pPr>
      <w:r>
        <w:rPr>
          <w:sz w:val="40"/>
          <w:szCs w:val="44"/>
        </w:rPr>
      </w:r>
      <w:r/>
    </w:p>
    <w:p>
      <w:pPr>
        <w:pStyle w:val="720"/>
        <w:jc w:val="center"/>
        <w:rPr>
          <w:sz w:val="28"/>
          <w:szCs w:val="32"/>
        </w:rPr>
      </w:pPr>
      <w:r>
        <w:rPr>
          <w:rFonts w:hint="eastAsia"/>
          <w:sz w:val="28"/>
          <w:szCs w:val="32"/>
        </w:rPr>
        <w:t xml:space="preserve">投标人名称：</w:t>
      </w:r>
      <w:r>
        <w:rPr>
          <w:rFonts w:hint="eastAsia"/>
          <w:sz w:val="28"/>
          <w:szCs w:val="32"/>
          <w:u w:val="single"/>
        </w:rPr>
        <w:t xml:space="preserve">                              </w:t>
      </w:r>
      <w:r>
        <w:rPr>
          <w:rFonts w:hint="eastAsia"/>
          <w:sz w:val="28"/>
          <w:szCs w:val="32"/>
        </w:rPr>
        <w:t xml:space="preserve">（电子签章）</w:t>
      </w:r>
      <w:r>
        <w:rPr>
          <w:sz w:val="28"/>
          <w:szCs w:val="32"/>
        </w:rPr>
      </w:r>
      <w:r/>
    </w:p>
    <w:p>
      <w:pPr>
        <w:pStyle w:val="720"/>
        <w:jc w:val="center"/>
        <w:rPr>
          <w:sz w:val="28"/>
          <w:szCs w:val="32"/>
        </w:rPr>
      </w:pPr>
      <w:r>
        <w:rPr>
          <w:sz w:val="28"/>
          <w:szCs w:val="32"/>
        </w:rPr>
      </w:r>
      <w:r/>
    </w:p>
    <w:p>
      <w:pPr>
        <w:pStyle w:val="720"/>
        <w:jc w:val="center"/>
        <w:rPr>
          <w:rFonts w:ascii="宋体" w:hAnsi="宋体"/>
          <w:sz w:val="40"/>
          <w:szCs w:val="52"/>
        </w:rPr>
      </w:pPr>
      <w:r>
        <w:rPr>
          <w:rFonts w:hint="eastAsia"/>
          <w:sz w:val="28"/>
          <w:szCs w:val="32"/>
        </w:rPr>
        <w:t xml:space="preserve">日期：   年  月   日</w:t>
      </w:r>
      <w:r>
        <w:rPr>
          <w:rFonts w:ascii="宋体" w:hAnsi="宋体"/>
          <w:sz w:val="40"/>
          <w:szCs w:val="52"/>
        </w:rPr>
      </w:r>
      <w:r/>
    </w:p>
    <w:p>
      <w:pPr>
        <w:pStyle w:val="720"/>
        <w:jc w:val="center"/>
        <w:spacing w:line="360" w:lineRule="auto"/>
        <w:rPr>
          <w:rFonts w:ascii="宋体" w:hAnsi="宋体"/>
          <w:sz w:val="28"/>
          <w:szCs w:val="28"/>
        </w:rPr>
      </w:pPr>
      <w:r>
        <w:rPr>
          <w:rFonts w:ascii="宋体" w:hAnsi="宋体"/>
          <w:sz w:val="28"/>
          <w:szCs w:val="28"/>
        </w:rPr>
      </w:r>
      <w:r/>
    </w:p>
    <w:p>
      <w:pPr>
        <w:pStyle w:val="720"/>
        <w:jc w:val="center"/>
        <w:spacing w:line="360" w:lineRule="auto"/>
        <w:rPr>
          <w:rFonts w:ascii="黑体" w:hAnsi="黑体" w:eastAsia="黑体"/>
          <w:sz w:val="36"/>
          <w:szCs w:val="36"/>
        </w:rPr>
      </w:pPr>
      <w:r>
        <w:rPr>
          <w:rFonts w:hint="eastAsia" w:ascii="黑体" w:hAnsi="黑体" w:eastAsia="黑体"/>
          <w:sz w:val="36"/>
          <w:szCs w:val="36"/>
        </w:rPr>
        <w:t xml:space="preserve">开标一览表</w:t>
      </w:r>
      <w:r>
        <w:rPr>
          <w:rFonts w:ascii="黑体" w:hAnsi="黑体" w:eastAsia="黑体"/>
          <w:sz w:val="36"/>
          <w:szCs w:val="36"/>
        </w:rPr>
      </w:r>
      <w:r/>
    </w:p>
    <w:p>
      <w:pPr>
        <w:pStyle w:val="720"/>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highlight w:val="none"/>
        </w:rPr>
        <w:t xml:space="preserve">项目编号</w:t>
      </w:r>
      <w:r>
        <w:rPr>
          <w:rFonts w:hint="eastAsia" w:ascii="宋体" w:hAnsi="宋体"/>
          <w:sz w:val="24"/>
          <w:szCs w:val="24"/>
          <w:highlight w:val="none"/>
        </w:rPr>
        <w:t xml:space="preserve">：</w:t>
      </w:r>
      <w:r>
        <w:rPr>
          <w:rFonts w:hint="eastAsia" w:ascii="宋体" w:hAnsi="宋体"/>
          <w:sz w:val="24"/>
          <w:szCs w:val="24"/>
          <w:highlight w:val="none"/>
        </w:rPr>
      </w:r>
      <w:r>
        <w:rPr>
          <w:rFonts w:hint="eastAsia" w:ascii="宋体" w:hAnsi="宋体"/>
          <w:sz w:val="24"/>
          <w:szCs w:val="24"/>
          <w:highlight w:val="none"/>
        </w:rPr>
      </w:r>
    </w:p>
    <w:p>
      <w:pPr>
        <w:pStyle w:val="720"/>
        <w:jc w:val="left"/>
        <w:spacing w:line="360" w:lineRule="auto"/>
        <w:rPr>
          <w:rFonts w:hint="eastAsia" w:ascii="宋体" w:hAnsi="宋体"/>
          <w:sz w:val="24"/>
          <w:szCs w:val="24"/>
          <w:highlight w:val="none"/>
        </w:rPr>
      </w:pPr>
      <w:r>
        <w:rPr>
          <w:rFonts w:hint="eastAsia" w:ascii="宋体" w:hAnsi="宋体"/>
          <w:sz w:val="24"/>
          <w:szCs w:val="24"/>
        </w:rPr>
      </w:r>
      <w:r>
        <w:rPr>
          <w:rFonts w:hint="eastAsia" w:ascii="宋体" w:hAnsi="宋体"/>
          <w:sz w:val="24"/>
          <w:szCs w:val="24"/>
        </w:rPr>
        <w:t xml:space="preserve">货币单位</w:t>
      </w:r>
      <w:r>
        <w:rPr>
          <w:rFonts w:hint="eastAsia" w:ascii="宋体" w:hAnsi="宋体"/>
          <w:sz w:val="24"/>
          <w:szCs w:val="24"/>
        </w:rPr>
        <w:t xml:space="preserve">：</w:t>
      </w:r>
      <w:r>
        <w:rPr>
          <w:rFonts w:hint="eastAsia" w:ascii="宋体" w:hAnsi="宋体"/>
          <w:sz w:val="24"/>
          <w:szCs w:val="24"/>
        </w:rPr>
        <w:t xml:space="preserve">人民币元</w:t>
      </w:r>
      <w:r>
        <w:rPr>
          <w:rFonts w:ascii="宋体" w:hAnsi="宋体"/>
          <w:sz w:val="24"/>
          <w:szCs w:val="24"/>
        </w:rPr>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144"/>
        <w:gridCol w:w="1843"/>
        <w:gridCol w:w="3039"/>
      </w:tblGrid>
      <w:tr>
        <w:trPr>
          <w:trHeight w:val="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4" w:type="dxa"/>
            <w:vAlign w:val="center"/>
            <w:textDirection w:val="lrTb"/>
            <w:noWrap w:val="false"/>
          </w:tcPr>
          <w:p>
            <w:pPr>
              <w:ind w:left="0" w:right="0" w:firstLine="0"/>
              <w:jc w:val="center"/>
              <w:spacing w:before="200" w:after="200"/>
              <w:rPr>
                <w14:ligatures w14:val="none"/>
              </w:rPr>
              <w:pBdr>
                <w:top w:val="none" w:color="000000" w:sz="4" w:space="0"/>
                <w:left w:val="none" w:color="000000" w:sz="4" w:space="0"/>
                <w:bottom w:val="none" w:color="000000" w:sz="4" w:space="0"/>
                <w:right w:val="none" w:color="000000" w:sz="4" w:space="0"/>
              </w:pBdr>
            </w:pPr>
            <w: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rPr>
                <w14:ligatures w14:val="none"/>
              </w:rPr>
              <w:pBdr>
                <w:top w:val="none" w:color="000000" w:sz="4" w:space="0"/>
                <w:left w:val="none" w:color="000000" w:sz="4" w:space="0"/>
                <w:bottom w:val="none" w:color="000000" w:sz="4" w:space="0"/>
                <w:right w:val="none" w:color="000000" w:sz="4" w:space="0"/>
              </w:pBdr>
            </w:pPr>
            <w: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200" w:after="200"/>
              <w:rPr>
                <w14:ligatures w14:val="none"/>
              </w:rPr>
              <w:pBdr>
                <w:top w:val="none" w:color="000000" w:sz="4" w:space="0"/>
                <w:left w:val="none" w:color="000000" w:sz="4" w:space="0"/>
                <w:bottom w:val="none" w:color="000000" w:sz="4" w:space="0"/>
                <w:right w:val="none" w:color="000000" w:sz="4" w:space="0"/>
              </w:pBdr>
            </w:pPr>
            <w:r>
              <w:t xml:space="preserve">总价（小写）</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4" w:type="dxa"/>
            <w:vAlign w:val="center"/>
            <w:textDirection w:val="lrTb"/>
            <w:noWrap w:val="false"/>
          </w:tcPr>
          <w:p>
            <w:pPr>
              <w:ind w:left="0" w:right="0" w:firstLine="0"/>
              <w:jc w:val="both"/>
              <w:spacing w:before="0" w:after="0"/>
              <w:rPr>
                <w14:ligatures w14:val="none"/>
              </w:rPr>
              <w:pBdr>
                <w:top w:val="none" w:color="000000" w:sz="4" w:space="0"/>
                <w:left w:val="none" w:color="000000" w:sz="4" w:space="0"/>
                <w:bottom w:val="none" w:color="000000" w:sz="4" w:space="0"/>
                <w:right w:val="none" w:color="000000" w:sz="4" w:space="0"/>
              </w:pBdr>
            </w:pPr>
            <w: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rPr>
                <w14:ligatures w14:val="none"/>
              </w:rPr>
              <w:pBdr>
                <w:top w:val="none" w:color="000000" w:sz="4" w:space="0"/>
                <w:left w:val="none" w:color="000000" w:sz="4" w:space="0"/>
                <w:bottom w:val="none" w:color="000000" w:sz="4" w:space="0"/>
                <w:right w:val="none" w:color="000000" w:sz="4" w:space="0"/>
              </w:pBdr>
            </w:pPr>
            <w: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240" w:firstLine="0"/>
              <w:jc w:val="right"/>
              <w:spacing w:before="0" w:after="0" w:line="85" w:lineRule="atLeast"/>
              <w:rPr>
                <w14:ligatures w14:val="none"/>
              </w:rPr>
              <w:pBdr>
                <w:top w:val="none" w:color="000000" w:sz="4" w:space="0"/>
                <w:left w:val="none" w:color="000000" w:sz="4" w:space="0"/>
                <w:bottom w:val="none" w:color="000000" w:sz="4" w:space="0"/>
                <w:right w:val="none" w:color="000000" w:sz="4" w:space="0"/>
              </w:pBdr>
            </w:pPr>
            <w:r>
              <w:t xml:space="preserve">元</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4" w:type="dxa"/>
            <w:vAlign w:val="center"/>
            <w:textDirection w:val="lrTb"/>
            <w:noWrap w:val="false"/>
          </w:tcPr>
          <w:p>
            <w:pPr>
              <w:ind w:left="0" w:right="0" w:firstLine="0"/>
              <w:jc w:val="center"/>
              <w:spacing w:before="200" w:after="200"/>
              <w:rPr>
                <w14:ligatures w14:val="none"/>
              </w:rPr>
              <w:pBdr>
                <w:top w:val="none" w:color="000000" w:sz="4" w:space="0"/>
                <w:left w:val="none" w:color="000000" w:sz="4" w:space="0"/>
                <w:bottom w:val="none" w:color="000000" w:sz="4" w:space="0"/>
                <w:right w:val="none" w:color="000000" w:sz="4" w:space="0"/>
              </w:pBdr>
            </w:pPr>
            <w: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spacing w:before="200" w:after="200"/>
              <w:rPr>
                <w14:ligatures w14:val="none"/>
              </w:rPr>
              <w:pBdr>
                <w:top w:val="none" w:color="000000" w:sz="4" w:space="0"/>
                <w:left w:val="none" w:color="000000" w:sz="4" w:space="0"/>
                <w:bottom w:val="none" w:color="000000" w:sz="4" w:space="0"/>
                <w:right w:val="none" w:color="000000" w:sz="4" w:space="0"/>
              </w:pBdr>
            </w:pPr>
            <w:r>
              <w:t xml:space="preserve">金额大写</w:t>
            </w:r>
            <w:r/>
          </w:p>
        </w:tc>
      </w:tr>
    </w:tbl>
    <w:p>
      <w:pPr>
        <w:pStyle w:val="720"/>
        <w:jc w:val="left"/>
        <w:spacing w:line="360" w:lineRule="auto"/>
        <w:rPr>
          <w:rFonts w:ascii="宋体" w:hAnsi="宋体"/>
          <w:sz w:val="24"/>
          <w:szCs w:val="24"/>
        </w:rPr>
      </w:pPr>
      <w:r>
        <w:rPr>
          <w:rFonts w:ascii="宋体" w:hAnsi="宋体"/>
          <w:sz w:val="24"/>
          <w:szCs w:val="24"/>
        </w:rPr>
      </w:r>
      <w:r/>
    </w:p>
    <w:p>
      <w:pPr>
        <w:pStyle w:val="720"/>
        <w:jc w:val="left"/>
        <w:spacing w:line="360" w:lineRule="auto"/>
        <w:rPr>
          <w:rFonts w:ascii="宋体" w:hAnsi="宋体"/>
          <w:sz w:val="24"/>
          <w:szCs w:val="24"/>
        </w:rPr>
      </w:pPr>
      <w:r>
        <w:rPr>
          <w:rFonts w:ascii="宋体" w:hAnsi="宋体"/>
          <w:sz w:val="24"/>
          <w:szCs w:val="24"/>
        </w:rPr>
      </w:r>
      <w:r/>
      <w:r>
        <w:rPr>
          <w:rFonts w:ascii="宋体" w:hAnsi="宋体"/>
          <w:sz w:val="24"/>
          <w:szCs w:val="24"/>
        </w:rPr>
      </w:r>
      <w:r/>
    </w:p>
    <w:p>
      <w:pPr>
        <w:pStyle w:val="720"/>
        <w:jc w:val="left"/>
        <w:spacing w:line="360" w:lineRule="auto"/>
        <w:rPr>
          <w:rFonts w:ascii="宋体" w:hAnsi="宋体"/>
          <w:sz w:val="24"/>
          <w:szCs w:val="24"/>
        </w:rPr>
      </w:pPr>
      <w:r>
        <w:rPr>
          <w:rFonts w:ascii="宋体" w:hAnsi="宋体"/>
          <w:sz w:val="24"/>
          <w:szCs w:val="24"/>
        </w:rPr>
      </w:r>
      <w:r/>
    </w:p>
    <w:p>
      <w:pPr>
        <w:pStyle w:val="720"/>
        <w:jc w:val="left"/>
        <w:spacing w:line="360" w:lineRule="auto"/>
        <w:rPr>
          <w:rFonts w:ascii="宋体" w:hAnsi="宋体"/>
          <w:sz w:val="24"/>
          <w:szCs w:val="24"/>
        </w:rPr>
      </w:pPr>
      <w:r>
        <w:rPr>
          <w:rFonts w:hint="eastAsia" w:ascii="宋体" w:hAnsi="宋体"/>
          <w:sz w:val="24"/>
          <w:szCs w:val="24"/>
        </w:rPr>
        <w:t xml:space="preserve">投标人公章：  （电子签章）</w:t>
      </w:r>
      <w:r>
        <w:rPr>
          <w:rFonts w:ascii="宋体" w:hAnsi="宋体"/>
          <w:sz w:val="24"/>
          <w:szCs w:val="24"/>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jc w:val="center"/>
        <w:spacing w:line="360" w:lineRule="auto"/>
        <w:rPr>
          <w:rFonts w:ascii="黑体" w:hAnsi="黑体" w:eastAsia="黑体"/>
          <w:sz w:val="28"/>
          <w:szCs w:val="28"/>
        </w:rPr>
      </w:pPr>
      <w:r>
        <w:rPr>
          <w:rFonts w:ascii="黑体" w:hAnsi="黑体" w:eastAsia="黑体"/>
          <w:sz w:val="28"/>
          <w:szCs w:val="28"/>
        </w:rPr>
      </w:r>
      <w:r>
        <w:rPr>
          <w:rFonts w:ascii="黑体" w:hAnsi="黑体" w:eastAsia="黑体"/>
          <w:sz w:val="28"/>
          <w:szCs w:val="28"/>
        </w:rP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（一）</w:t>
      </w:r>
      <w:bookmarkEnd w:id="406"/>
      <w:r>
        <w:rPr>
          <w:rFonts w:hint="eastAsia" w:ascii="黑体" w:hAnsi="黑体" w:eastAsia="黑体"/>
          <w:sz w:val="28"/>
          <w:szCs w:val="28"/>
        </w:rPr>
        <w:t xml:space="preserve">营业执照或事业单位法人登记证书原件扫描件</w:t>
      </w:r>
      <w:r>
        <w:rPr>
          <w:rFonts w:ascii="黑体" w:hAnsi="黑体" w:eastAsia="黑体"/>
          <w:sz w:val="28"/>
          <w:szCs w:val="28"/>
        </w:rPr>
      </w:r>
      <w:r/>
    </w:p>
    <w:p>
      <w:pPr>
        <w:pStyle w:val="983"/>
        <w:ind w:firstLine="562"/>
        <w:rPr>
          <w:rFonts w:ascii="宋体" w:hAnsi="宋体" w:cs="宋体"/>
          <w:b/>
          <w:bCs/>
          <w:sz w:val="28"/>
          <w:szCs w:val="28"/>
        </w:rPr>
      </w:pPr>
      <w:r>
        <w:rPr>
          <w:rFonts w:ascii="宋体" w:hAnsi="宋体" w:cs="宋体"/>
          <w:b/>
          <w:bCs/>
          <w:sz w:val="28"/>
          <w:szCs w:val="28"/>
        </w:rPr>
      </w:r>
      <w:r/>
    </w:p>
    <w:p>
      <w:pPr>
        <w:pStyle w:val="720"/>
        <w:ind w:left="420"/>
        <w:jc w:val="center"/>
        <w:spacing w:line="440" w:lineRule="exact"/>
        <w:rPr>
          <w:rFonts w:ascii="宋体" w:hAnsi="宋体" w:cs="宋体"/>
          <w:b/>
          <w:bCs/>
          <w:sz w:val="28"/>
          <w:szCs w:val="28"/>
        </w:rPr>
      </w:pPr>
      <w:r>
        <w:rPr>
          <w:rFonts w:ascii="宋体" w:hAnsi="宋体" w:cs="宋体"/>
          <w:b/>
          <w:bCs/>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（二）</w:t>
      </w:r>
      <w:r>
        <w:rPr>
          <w:rFonts w:hint="eastAsia" w:ascii="黑体" w:hAnsi="黑体" w:eastAsia="黑体"/>
          <w:sz w:val="28"/>
          <w:szCs w:val="28"/>
          <w:lang w:val="en-US" w:eastAsia="zh-CN"/>
        </w:rPr>
        <w:t xml:space="preserve">政府采购</w:t>
      </w:r>
      <w:r>
        <w:rPr>
          <w:rFonts w:hint="eastAsia" w:ascii="黑体" w:hAnsi="黑体" w:eastAsia="黑体"/>
          <w:sz w:val="28"/>
          <w:szCs w:val="28"/>
        </w:rPr>
        <w:t xml:space="preserve">基本资格条件声明函</w:t>
      </w:r>
      <w:r>
        <w:rPr>
          <w:rFonts w:ascii="黑体" w:hAnsi="黑体" w:eastAsia="黑体"/>
          <w:sz w:val="28"/>
          <w:szCs w:val="28"/>
        </w:rPr>
      </w:r>
      <w:r/>
    </w:p>
    <w:p>
      <w:pPr>
        <w:pStyle w:val="983"/>
        <w:spacing w:after="0" w:line="560" w:lineRule="exact"/>
        <w:rPr>
          <w:rFonts w:ascii="宋体" w:hAnsi="宋体" w:cs="宋体"/>
          <w:sz w:val="24"/>
          <w:u w:val="single"/>
        </w:rPr>
      </w:pPr>
      <w:r>
        <w:rPr>
          <w:rFonts w:hint="eastAsia" w:ascii="宋体" w:hAnsi="宋体" w:cs="宋体"/>
          <w:sz w:val="24"/>
          <w:u w:val="single"/>
        </w:rPr>
        <w:t xml:space="preserve">  靖江市人民医院    </w:t>
      </w:r>
      <w:r>
        <w:rPr>
          <w:rFonts w:hint="eastAsia" w:ascii="宋体" w:hAnsi="宋体" w:cs="宋体"/>
          <w:sz w:val="24"/>
        </w:rPr>
        <w:t xml:space="preserve">：</w:t>
      </w:r>
      <w:r>
        <w:rPr>
          <w:rFonts w:ascii="宋体" w:hAnsi="宋体" w:cs="宋体"/>
          <w:sz w:val="24"/>
          <w:u w:val="single"/>
        </w:rPr>
      </w:r>
      <w:r/>
    </w:p>
    <w:p>
      <w:pPr>
        <w:pStyle w:val="983"/>
        <w:ind w:firstLine="480"/>
        <w:spacing w:after="0" w:line="560" w:lineRule="exact"/>
        <w:rPr>
          <w:rFonts w:ascii="宋体" w:hAnsi="宋体" w:cs="宋体"/>
          <w:sz w:val="24"/>
        </w:rPr>
      </w:pPr>
      <w:r>
        <w:rPr>
          <w:rFonts w:hint="eastAsia" w:ascii="宋体" w:hAnsi="宋体" w:cs="宋体"/>
          <w:sz w:val="24"/>
        </w:rPr>
        <w:t xml:space="preserve">我单位自愿参加贵单位组织的</w:t>
      </w:r>
      <w:r>
        <w:rPr>
          <w:rFonts w:hint="eastAsia" w:ascii="宋体" w:hAnsi="宋体" w:cs="宋体"/>
          <w:sz w:val="24"/>
          <w:u w:val="single"/>
        </w:rPr>
        <w:t xml:space="preserve">  靖江市人民医院数据中心机房升级改造基础环境集成实施服务项目  </w:t>
      </w:r>
      <w:r>
        <w:rPr>
          <w:rFonts w:hint="eastAsia" w:ascii="宋体" w:hAnsi="宋体" w:cs="宋体"/>
          <w:sz w:val="24"/>
        </w:rPr>
        <w:t xml:space="preserve">政府采购活动，按照《政府采购法》及其实施条例等法律法规、规章政策以及本项目采购文件要求，我单位具备投标人基本资格条件。现就有关事项郑重声明如下：</w:t>
      </w:r>
      <w:r>
        <w:rPr>
          <w:rFonts w:ascii="宋体" w:hAnsi="宋体" w:cs="宋体"/>
          <w:sz w:val="24"/>
        </w:rPr>
      </w:r>
      <w:r/>
    </w:p>
    <w:p>
      <w:pPr>
        <w:pStyle w:val="983"/>
        <w:ind w:firstLine="480"/>
        <w:spacing w:after="0" w:line="560" w:lineRule="exact"/>
        <w:rPr>
          <w:rFonts w:ascii="宋体" w:hAnsi="宋体" w:cs="宋体"/>
          <w:sz w:val="24"/>
        </w:rPr>
      </w:pPr>
      <w:r>
        <w:rPr>
          <w:rFonts w:hint="eastAsia" w:ascii="宋体" w:hAnsi="宋体" w:cs="宋体"/>
          <w:sz w:val="24"/>
        </w:rPr>
        <w:t xml:space="preserve">1．我公司具有良好的商业信誉和健全的财务制度；</w:t>
      </w:r>
      <w:r>
        <w:rPr>
          <w:rFonts w:ascii="宋体" w:hAnsi="宋体" w:cs="宋体"/>
          <w:sz w:val="24"/>
        </w:rPr>
      </w:r>
      <w:r/>
    </w:p>
    <w:p>
      <w:pPr>
        <w:pStyle w:val="983"/>
        <w:ind w:firstLine="480"/>
        <w:spacing w:after="0" w:line="560" w:lineRule="exact"/>
        <w:rPr>
          <w:rFonts w:ascii="宋体" w:hAnsi="宋体" w:cs="宋体"/>
          <w:sz w:val="24"/>
        </w:rPr>
      </w:pPr>
      <w:r>
        <w:rPr>
          <w:rFonts w:hint="eastAsia" w:ascii="宋体" w:hAnsi="宋体" w:cs="宋体"/>
          <w:sz w:val="24"/>
        </w:rPr>
        <w:t xml:space="preserve">2．我公司具有履行合同所必须的设备和专业技术能力；</w:t>
      </w:r>
      <w:r>
        <w:rPr>
          <w:rFonts w:ascii="宋体" w:hAnsi="宋体" w:cs="宋体"/>
          <w:sz w:val="24"/>
        </w:rPr>
      </w:r>
      <w:r/>
    </w:p>
    <w:p>
      <w:pPr>
        <w:pStyle w:val="983"/>
        <w:ind w:firstLine="480"/>
        <w:spacing w:after="0" w:line="560" w:lineRule="exact"/>
        <w:rPr>
          <w:rFonts w:ascii="宋体" w:hAnsi="宋体" w:cs="宋体"/>
          <w:sz w:val="24"/>
        </w:rPr>
      </w:pPr>
      <w:r>
        <w:rPr>
          <w:rFonts w:hint="eastAsia" w:ascii="宋体" w:hAnsi="宋体" w:cs="宋体"/>
          <w:sz w:val="24"/>
        </w:rPr>
        <w:t xml:space="preserve">3．我公司具有依法缴纳税收和社会保障资金的良好记录；</w:t>
      </w:r>
      <w:r>
        <w:rPr>
          <w:rFonts w:ascii="宋体" w:hAnsi="宋体" w:cs="宋体"/>
          <w:sz w:val="24"/>
        </w:rPr>
      </w:r>
      <w:r/>
    </w:p>
    <w:p>
      <w:pPr>
        <w:pStyle w:val="983"/>
        <w:ind w:firstLine="480"/>
        <w:spacing w:after="0" w:line="560" w:lineRule="exact"/>
        <w:rPr>
          <w:rFonts w:ascii="宋体" w:hAnsi="宋体" w:cs="宋体"/>
          <w:sz w:val="24"/>
        </w:rPr>
      </w:pPr>
      <w:r>
        <w:rPr>
          <w:rFonts w:hint="eastAsia" w:ascii="宋体" w:hAnsi="宋体" w:cs="宋体"/>
          <w:sz w:val="24"/>
        </w:rPr>
        <w:t xml:space="preserve">4．我公司参加政府采购活动前三年内，在经营活动中没有重大违法记录；</w:t>
      </w:r>
      <w:r>
        <w:rPr>
          <w:rFonts w:ascii="宋体" w:hAnsi="宋体" w:cs="宋体"/>
          <w:sz w:val="24"/>
        </w:rPr>
      </w:r>
      <w:r/>
    </w:p>
    <w:p>
      <w:pPr>
        <w:pStyle w:val="983"/>
        <w:ind w:firstLine="480"/>
        <w:spacing w:after="0" w:line="560" w:lineRule="exact"/>
        <w:rPr>
          <w:rFonts w:ascii="宋体" w:hAnsi="宋体" w:cs="宋体"/>
          <w:b/>
          <w:bCs/>
          <w:sz w:val="24"/>
        </w:rPr>
      </w:pPr>
      <w:r>
        <w:rPr>
          <w:rFonts w:hint="eastAsia" w:ascii="宋体" w:hAnsi="宋体" w:cs="宋体"/>
          <w:sz w:val="24"/>
        </w:rPr>
        <w:t xml:space="preserve">以上承诺内容真实准确，若有不实，自愿按照《中华人民共和国政府采购法》第七十七条规定，承担相应的法律责任。</w:t>
      </w:r>
      <w:r>
        <w:rPr>
          <w:rFonts w:ascii="宋体" w:hAnsi="宋体" w:cs="宋体"/>
          <w:b/>
          <w:bCs/>
          <w:sz w:val="24"/>
        </w:rPr>
      </w:r>
      <w:r/>
    </w:p>
    <w:p>
      <w:pPr>
        <w:pStyle w:val="720"/>
        <w:ind w:firstLine="480"/>
        <w:spacing w:line="560" w:lineRule="exact"/>
        <w:rPr>
          <w:rFonts w:ascii="宋体" w:hAnsi="宋体" w:cs="宋体"/>
          <w:sz w:val="24"/>
          <w:szCs w:val="24"/>
        </w:rPr>
      </w:pPr>
      <w:r>
        <w:rPr>
          <w:rFonts w:ascii="宋体" w:hAnsi="宋体" w:cs="宋体"/>
          <w:sz w:val="24"/>
          <w:szCs w:val="24"/>
        </w:rPr>
      </w:r>
      <w:r/>
    </w:p>
    <w:p>
      <w:pPr>
        <w:pStyle w:val="720"/>
        <w:ind w:firstLine="480"/>
        <w:spacing w:line="560" w:lineRule="exact"/>
        <w:rPr>
          <w:rFonts w:ascii="宋体" w:hAnsi="宋体" w:cs="宋体"/>
          <w:sz w:val="24"/>
          <w:szCs w:val="24"/>
        </w:rPr>
      </w:pPr>
      <w:r>
        <w:rPr>
          <w:rFonts w:ascii="宋体" w:hAnsi="宋体" w:cs="宋体"/>
          <w:sz w:val="24"/>
          <w:szCs w:val="24"/>
        </w:rPr>
      </w:r>
      <w:r/>
    </w:p>
    <w:p>
      <w:pPr>
        <w:pStyle w:val="720"/>
        <w:ind w:firstLine="480"/>
        <w:jc w:val="right"/>
        <w:spacing w:line="560" w:lineRule="exact"/>
        <w:rPr>
          <w:rFonts w:ascii="宋体" w:hAnsi="宋体" w:cs="宋体"/>
          <w:sz w:val="24"/>
          <w:szCs w:val="24"/>
        </w:rPr>
      </w:pPr>
      <w:r>
        <w:rPr>
          <w:rFonts w:hint="eastAsia" w:ascii="宋体" w:hAnsi="宋体" w:cs="宋体"/>
          <w:sz w:val="24"/>
          <w:szCs w:val="24"/>
        </w:rPr>
        <w:t xml:space="preserve">投标人公章：            （电子签章）</w:t>
      </w:r>
      <w:r>
        <w:rPr>
          <w:rFonts w:ascii="宋体" w:hAnsi="宋体" w:cs="宋体"/>
          <w:sz w:val="24"/>
          <w:szCs w:val="24"/>
        </w:rPr>
      </w:r>
      <w:r/>
    </w:p>
    <w:p>
      <w:pPr>
        <w:pStyle w:val="720"/>
        <w:ind w:firstLine="480"/>
        <w:jc w:val="right"/>
        <w:spacing w:line="560" w:lineRule="exact"/>
        <w:rPr>
          <w:rFonts w:ascii="宋体" w:hAnsi="宋体" w:cs="宋体"/>
          <w:sz w:val="24"/>
          <w:szCs w:val="24"/>
        </w:rPr>
      </w:pPr>
      <w:r>
        <w:rPr>
          <w:rFonts w:hint="eastAsia" w:ascii="宋体" w:hAnsi="宋体" w:cs="宋体"/>
          <w:sz w:val="24"/>
          <w:szCs w:val="24"/>
        </w:rPr>
        <w:t xml:space="preserve">法定代表人：            </w:t>
      </w:r>
      <w:r>
        <w:rPr>
          <w:rFonts w:hint="eastAsia" w:ascii="宋体" w:hAnsi="宋体" w:cs="宋体"/>
          <w:bCs/>
          <w:sz w:val="24"/>
          <w:szCs w:val="24"/>
        </w:rPr>
        <w:t xml:space="preserve">（电子签章</w:t>
      </w:r>
      <w:r>
        <w:rPr>
          <w:rFonts w:hint="eastAsia" w:ascii="宋体" w:hAnsi="宋体" w:cs="宋体"/>
          <w:sz w:val="24"/>
          <w:szCs w:val="24"/>
        </w:rPr>
        <w:t xml:space="preserve">）</w:t>
      </w:r>
      <w:r>
        <w:rPr>
          <w:rFonts w:ascii="宋体" w:hAnsi="宋体" w:cs="宋体"/>
          <w:sz w:val="24"/>
          <w:szCs w:val="24"/>
        </w:rPr>
      </w:r>
      <w:r/>
    </w:p>
    <w:p>
      <w:pPr>
        <w:pStyle w:val="720"/>
        <w:ind w:firstLine="480"/>
        <w:jc w:val="right"/>
        <w:spacing w:line="56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ascii="宋体" w:hAnsi="宋体" w:cs="宋体"/>
          <w:sz w:val="24"/>
          <w:szCs w:val="24"/>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（三）其他条件</w:t>
      </w: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1.非联合体投标声明函</w:t>
      </w:r>
      <w:r>
        <w:rPr>
          <w:rFonts w:ascii="黑体" w:hAnsi="黑体" w:eastAsia="黑体"/>
          <w:sz w:val="28"/>
          <w:szCs w:val="28"/>
        </w:rPr>
      </w:r>
      <w:r/>
    </w:p>
    <w:p>
      <w:pPr>
        <w:pStyle w:val="720"/>
        <w:jc w:val="center"/>
        <w:spacing w:line="360" w:lineRule="auto"/>
        <w:rPr>
          <w:rFonts w:ascii="黑体" w:hAnsi="黑体" w:eastAsia="黑体"/>
          <w:sz w:val="36"/>
          <w:szCs w:val="28"/>
        </w:rPr>
      </w:pPr>
      <w:r>
        <w:rPr>
          <w:rFonts w:ascii="黑体" w:hAnsi="黑体" w:eastAsia="黑体"/>
          <w:sz w:val="36"/>
          <w:szCs w:val="28"/>
        </w:rPr>
      </w:r>
      <w:r/>
    </w:p>
    <w:p>
      <w:pPr>
        <w:pStyle w:val="720"/>
        <w:ind w:firstLine="480"/>
        <w:jc w:val="center"/>
        <w:spacing w:line="560" w:lineRule="exact"/>
        <w:rPr>
          <w:rFonts w:ascii="宋体" w:hAnsi="宋体" w:cs="宋体"/>
          <w:b/>
          <w:bCs/>
        </w:rPr>
      </w:pPr>
      <w:r>
        <w:rPr>
          <w:rFonts w:hint="eastAsia" w:ascii="宋体" w:hAnsi="宋体" w:cs="宋体"/>
          <w:b/>
          <w:bCs/>
        </w:rPr>
        <w:t xml:space="preserve">我单位单独投标，未组成联合体投标。</w:t>
      </w:r>
      <w:r>
        <w:rPr>
          <w:rFonts w:ascii="宋体" w:hAnsi="宋体" w:cs="宋体"/>
          <w:b/>
          <w:bCs/>
        </w:rPr>
      </w:r>
      <w:r/>
    </w:p>
    <w:p>
      <w:pPr>
        <w:pStyle w:val="720"/>
        <w:ind w:firstLine="480"/>
        <w:jc w:val="center"/>
        <w:spacing w:line="560" w:lineRule="exact"/>
        <w:rPr>
          <w:rFonts w:ascii="宋体" w:hAnsi="宋体" w:cs="宋体"/>
          <w:b/>
          <w:bCs/>
        </w:rPr>
      </w:pPr>
      <w:r>
        <w:rPr>
          <w:rFonts w:ascii="宋体" w:hAnsi="宋体" w:cs="宋体"/>
          <w:b/>
          <w:bCs/>
        </w:rPr>
      </w:r>
      <w:r/>
    </w:p>
    <w:p>
      <w:pPr>
        <w:pStyle w:val="720"/>
        <w:ind w:firstLine="480"/>
        <w:jc w:val="center"/>
        <w:spacing w:line="560" w:lineRule="exact"/>
        <w:rPr>
          <w:rFonts w:ascii="宋体" w:hAnsi="宋体" w:cs="宋体"/>
          <w:b/>
          <w:bCs/>
        </w:rPr>
      </w:pPr>
      <w:r>
        <w:rPr>
          <w:rFonts w:ascii="宋体" w:hAnsi="宋体" w:cs="宋体"/>
          <w:b/>
          <w:bCs/>
        </w:rPr>
      </w:r>
      <w:r/>
    </w:p>
    <w:p>
      <w:pPr>
        <w:pStyle w:val="720"/>
        <w:ind w:firstLine="480"/>
        <w:jc w:val="center"/>
        <w:spacing w:line="560" w:lineRule="exact"/>
        <w:rPr>
          <w:rFonts w:ascii="宋体" w:hAnsi="宋体" w:cs="宋体"/>
          <w:b/>
          <w:bCs/>
        </w:rPr>
      </w:pPr>
      <w:r>
        <w:rPr>
          <w:rFonts w:ascii="宋体" w:hAnsi="宋体" w:cs="宋体"/>
          <w:b/>
          <w:bCs/>
        </w:rPr>
      </w:r>
      <w:r/>
    </w:p>
    <w:p>
      <w:pPr>
        <w:pStyle w:val="720"/>
        <w:ind w:firstLine="480"/>
        <w:jc w:val="center"/>
        <w:spacing w:line="560" w:lineRule="exact"/>
        <w:rPr>
          <w:rFonts w:ascii="宋体" w:hAnsi="宋体" w:cs="宋体"/>
          <w:b/>
          <w:bCs/>
        </w:rPr>
      </w:pPr>
      <w:r>
        <w:rPr>
          <w:rFonts w:ascii="宋体" w:hAnsi="宋体" w:cs="宋体"/>
          <w:b/>
          <w:bCs/>
        </w:rPr>
      </w:r>
      <w:r/>
    </w:p>
    <w:p>
      <w:pPr>
        <w:pStyle w:val="720"/>
        <w:ind w:firstLine="480"/>
        <w:jc w:val="right"/>
        <w:spacing w:line="560" w:lineRule="exact"/>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560" w:lineRule="exact"/>
        <w:rPr>
          <w:rFonts w:ascii="宋体" w:hAnsi="宋体" w:cs="宋体"/>
        </w:rPr>
      </w:pPr>
      <w:r>
        <w:rPr>
          <w:rFonts w:hint="eastAsia" w:ascii="宋体" w:hAnsi="宋体" w:cs="宋体"/>
        </w:rPr>
        <w:t xml:space="preserve">法定代表人：            （电子签章）</w:t>
      </w:r>
      <w:r>
        <w:rPr>
          <w:rFonts w:ascii="宋体" w:hAnsi="宋体" w:cs="宋体"/>
        </w:rPr>
      </w:r>
      <w:r/>
    </w:p>
    <w:p>
      <w:pPr>
        <w:pStyle w:val="720"/>
        <w:jc w:val="right"/>
        <w:spacing w:line="560" w:lineRule="exact"/>
        <w:rPr>
          <w:rFonts w:ascii="宋体" w:hAnsi="宋体" w:cs="宋体"/>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20"/>
        <w:jc w:val="center"/>
        <w:spacing w:line="560" w:lineRule="exact"/>
        <w:rPr>
          <w:rFonts w:ascii="宋体" w:hAnsi="宋体" w:cs="宋体"/>
        </w:rPr>
      </w:pPr>
      <w:r>
        <w:rPr>
          <w:rFonts w:ascii="宋体" w:hAnsi="宋体" w:cs="宋体"/>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2.政府采购诚信投标承诺书</w:t>
      </w:r>
      <w:r>
        <w:rPr>
          <w:rFonts w:ascii="黑体" w:hAnsi="黑体" w:eastAsia="黑体"/>
          <w:sz w:val="28"/>
          <w:szCs w:val="28"/>
        </w:rPr>
      </w:r>
      <w:r/>
    </w:p>
    <w:p>
      <w:pPr>
        <w:pStyle w:val="983"/>
        <w:spacing w:after="0" w:line="560" w:lineRule="exact"/>
        <w:rPr>
          <w:rFonts w:ascii="宋体" w:hAnsi="宋体" w:cs="宋体"/>
          <w:sz w:val="22"/>
          <w:szCs w:val="22"/>
          <w:u w:val="single"/>
        </w:rPr>
      </w:pPr>
      <w:r>
        <w:rPr>
          <w:rFonts w:hint="eastAsia" w:ascii="宋体" w:hAnsi="宋体" w:cs="宋体"/>
          <w:sz w:val="22"/>
          <w:szCs w:val="22"/>
          <w:u w:val="single"/>
        </w:rPr>
        <w:t xml:space="preserve">靖江市人民医院  </w:t>
      </w:r>
      <w:r>
        <w:rPr>
          <w:rFonts w:hint="eastAsia" w:ascii="宋体" w:hAnsi="宋体" w:cs="宋体"/>
          <w:sz w:val="22"/>
          <w:szCs w:val="22"/>
        </w:rPr>
        <w:t xml:space="preserve">：</w:t>
      </w:r>
      <w:r>
        <w:rPr>
          <w:rFonts w:ascii="宋体" w:hAnsi="宋体" w:cs="宋体"/>
          <w:sz w:val="22"/>
          <w:szCs w:val="22"/>
          <w:u w:val="single"/>
        </w:rPr>
      </w:r>
      <w:r/>
    </w:p>
    <w:p>
      <w:pPr>
        <w:pStyle w:val="720"/>
        <w:ind w:firstLine="480"/>
        <w:spacing w:line="560" w:lineRule="exact"/>
        <w:rPr>
          <w:rFonts w:ascii="宋体" w:hAnsi="宋体" w:cs="宋体"/>
        </w:rPr>
      </w:pPr>
      <w:r>
        <w:rPr>
          <w:rFonts w:hint="eastAsia" w:ascii="宋体" w:hAnsi="宋体" w:cs="宋体"/>
        </w:rPr>
        <w:t xml:space="preserve">我单位自愿参加贵单位组织的</w:t>
      </w:r>
      <w:r>
        <w:rPr>
          <w:rFonts w:hint="eastAsia" w:ascii="宋体" w:hAnsi="宋体" w:cs="宋体"/>
          <w:u w:val="single"/>
        </w:rPr>
        <w:t xml:space="preserve">  靖江市人民医院数据中心机房升级改造基础环境集成实施服务项目   </w:t>
      </w:r>
      <w:r>
        <w:rPr>
          <w:rFonts w:hint="eastAsia" w:ascii="宋体" w:hAnsi="宋体" w:cs="宋体"/>
        </w:rPr>
        <w:t xml:space="preserve">政府采购活动，我单位在此郑重承诺：</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1、我方承诺在招标文件规定的投标有效期内不修改、撤销投标文件。</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2、我方未以他人名义投标或以其他方式弄虚作假，骗取中标。</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3、我方未与其他投标人相互串通投标。</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4、我方不向采购人或评标委员会行贿以牟取中标。</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5、我方不存在第二章投标人须知第1.4.3项情形之一。</w:t>
      </w:r>
      <w:r>
        <w:rPr>
          <w:rFonts w:ascii="宋体" w:hAnsi="宋体" w:cs="宋体"/>
        </w:rPr>
      </w:r>
      <w:r/>
    </w:p>
    <w:p>
      <w:pPr>
        <w:pStyle w:val="720"/>
        <w:ind w:firstLine="480"/>
        <w:spacing w:line="560" w:lineRule="exact"/>
        <w:rPr>
          <w:rFonts w:ascii="宋体" w:hAnsi="宋体" w:cs="宋体"/>
        </w:rPr>
      </w:pPr>
      <w:r>
        <w:rPr>
          <w:rFonts w:hint="eastAsia" w:ascii="宋体" w:hAnsi="宋体" w:cs="宋体"/>
        </w:rPr>
        <w:t xml:space="preserve">6、我方所提交的投标文件及有关资料内容完整、真实和准确。</w:t>
      </w:r>
      <w:r>
        <w:rPr>
          <w:rFonts w:ascii="宋体" w:hAnsi="宋体" w:cs="宋体"/>
        </w:rPr>
      </w:r>
      <w:r/>
    </w:p>
    <w:p>
      <w:pPr>
        <w:pStyle w:val="720"/>
        <w:ind w:firstLine="480"/>
        <w:spacing w:line="560" w:lineRule="exact"/>
        <w:rPr>
          <w:rFonts w:ascii="宋体" w:hAnsi="宋体" w:cs="宋体"/>
          <w:b/>
          <w:bCs/>
        </w:rPr>
      </w:pPr>
      <w:r>
        <w:rPr>
          <w:rFonts w:hint="eastAsia" w:ascii="宋体" w:hAnsi="宋体" w:cs="宋体"/>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rFonts w:ascii="宋体" w:hAnsi="宋体" w:cs="宋体"/>
          <w:b/>
          <w:bCs/>
        </w:rPr>
      </w:r>
      <w:r/>
    </w:p>
    <w:p>
      <w:pPr>
        <w:pStyle w:val="720"/>
        <w:ind w:firstLine="480"/>
        <w:spacing w:line="560" w:lineRule="exact"/>
        <w:rPr>
          <w:rFonts w:ascii="宋体" w:hAnsi="宋体" w:cs="宋体"/>
        </w:rPr>
      </w:pPr>
      <w:r>
        <w:rPr>
          <w:rFonts w:ascii="宋体" w:hAnsi="宋体" w:cs="宋体"/>
        </w:rPr>
      </w:r>
      <w:r/>
    </w:p>
    <w:p>
      <w:pPr>
        <w:pStyle w:val="720"/>
        <w:ind w:firstLine="480"/>
        <w:spacing w:line="560" w:lineRule="exact"/>
        <w:rPr>
          <w:rFonts w:ascii="宋体" w:hAnsi="宋体" w:cs="宋体"/>
        </w:rPr>
      </w:pPr>
      <w:r>
        <w:rPr>
          <w:rFonts w:ascii="宋体" w:hAnsi="宋体" w:cs="宋体"/>
        </w:rPr>
      </w:r>
      <w:r/>
    </w:p>
    <w:p>
      <w:pPr>
        <w:pStyle w:val="720"/>
        <w:ind w:firstLine="480"/>
        <w:spacing w:line="560" w:lineRule="exact"/>
        <w:rPr>
          <w:rFonts w:ascii="宋体" w:hAnsi="宋体" w:cs="宋体"/>
        </w:rPr>
      </w:pPr>
      <w:r>
        <w:rPr>
          <w:rFonts w:ascii="宋体" w:hAnsi="宋体" w:cs="宋体"/>
        </w:rPr>
      </w:r>
      <w:r/>
    </w:p>
    <w:p>
      <w:pPr>
        <w:pStyle w:val="720"/>
        <w:ind w:firstLine="480"/>
        <w:spacing w:line="560" w:lineRule="exact"/>
        <w:rPr>
          <w:rFonts w:ascii="宋体" w:hAnsi="宋体" w:cs="宋体"/>
        </w:rPr>
      </w:pPr>
      <w:r>
        <w:rPr>
          <w:rFonts w:ascii="宋体" w:hAnsi="宋体" w:cs="宋体"/>
        </w:rPr>
      </w:r>
      <w:r/>
    </w:p>
    <w:p>
      <w:pPr>
        <w:pStyle w:val="720"/>
        <w:ind w:firstLine="480"/>
        <w:jc w:val="right"/>
        <w:spacing w:line="560" w:lineRule="exact"/>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560" w:lineRule="exact"/>
        <w:rPr>
          <w:rFonts w:ascii="宋体" w:hAnsi="宋体" w:cs="宋体"/>
        </w:rPr>
      </w:pPr>
      <w:r>
        <w:rPr>
          <w:rFonts w:hint="eastAsia" w:ascii="宋体" w:hAnsi="宋体" w:cs="宋体"/>
        </w:rPr>
        <w:t xml:space="preserve">法定代表人：            （电子签章）</w:t>
      </w:r>
      <w:r>
        <w:rPr>
          <w:rFonts w:ascii="宋体" w:hAnsi="宋体" w:cs="宋体"/>
        </w:rPr>
      </w:r>
      <w:r/>
    </w:p>
    <w:p>
      <w:pPr>
        <w:pStyle w:val="720"/>
        <w:jc w:val="right"/>
        <w:spacing w:line="560" w:lineRule="exact"/>
        <w:rPr>
          <w:rFonts w:ascii="宋体" w:hAnsi="宋体" w:cs="宋体"/>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投标报价符合性审查</w:t>
      </w:r>
      <w:r>
        <w:rPr>
          <w:rFonts w:ascii="黑体" w:hAnsi="黑体" w:eastAsia="黑体"/>
          <w:sz w:val="28"/>
          <w:szCs w:val="28"/>
        </w:rPr>
      </w:r>
      <w:r/>
    </w:p>
    <w:p>
      <w:pPr>
        <w:pStyle w:val="720"/>
        <w:jc w:val="center"/>
        <w:spacing w:line="360" w:lineRule="auto"/>
        <w:rPr>
          <w:rFonts w:ascii="黑体" w:hAnsi="黑体" w:eastAsia="黑体"/>
          <w:sz w:val="28"/>
          <w:szCs w:val="28"/>
        </w:rPr>
      </w:pPr>
      <w:r>
        <w:rPr>
          <w:rFonts w:ascii="黑体" w:hAnsi="黑体" w:eastAsia="黑体"/>
          <w:sz w:val="28"/>
          <w:szCs w:val="28"/>
        </w:rPr>
      </w:r>
      <w:r/>
    </w:p>
    <w:p>
      <w:pPr>
        <w:pStyle w:val="720"/>
        <w:ind w:firstLine="396"/>
        <w:jc w:val="left"/>
        <w:spacing w:line="360" w:lineRule="auto"/>
        <w:rPr>
          <w:rFonts w:ascii="黑体" w:hAnsi="黑体" w:eastAsia="黑体"/>
        </w:rPr>
      </w:pPr>
      <w:r>
        <w:rPr>
          <w:rFonts w:hint="eastAsia" w:ascii="黑体" w:hAnsi="黑体" w:eastAsia="黑体"/>
        </w:rPr>
        <w:t xml:space="preserve">若投标报价低于采购项目最高限价45%的，即投标报价&lt;采购项目最高限价×45%的，投标人可在此提供项目具体成本测算等与报价合理性相关的书面说明及必要的证明材料。投标人已随投标文件提交相关书面说明及必要的证明材料的，在评审现场将不再要求重复提交。</w:t>
      </w: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ind w:firstLine="396"/>
        <w:jc w:val="left"/>
        <w:spacing w:line="360" w:lineRule="auto"/>
        <w:rPr>
          <w:rFonts w:ascii="黑体" w:hAnsi="黑体" w:eastAsia="黑体"/>
        </w:rPr>
      </w:pPr>
      <w:r>
        <w:rPr>
          <w:rFonts w:ascii="黑体" w:hAnsi="黑体" w:eastAsia="黑体"/>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宋体" w:hAnsi="宋体" w:cs="宋体"/>
          <w:sz w:val="24"/>
          <w:szCs w:val="24"/>
        </w:rPr>
      </w:pPr>
      <w:r>
        <w:rPr>
          <w:rFonts w:ascii="宋体" w:hAnsi="宋体" w:cs="宋体"/>
          <w:sz w:val="24"/>
          <w:szCs w:val="24"/>
        </w:rPr>
      </w:r>
      <w:r/>
    </w:p>
    <w:p>
      <w:pPr>
        <w:pStyle w:val="720"/>
        <w:jc w:val="center"/>
        <w:spacing w:line="360" w:lineRule="auto"/>
        <w:rPr>
          <w:rFonts w:ascii="黑体" w:hAnsi="黑体" w:eastAsia="黑体"/>
          <w:sz w:val="28"/>
          <w:szCs w:val="28"/>
        </w:rPr>
      </w:pPr>
      <w:r>
        <w:rPr>
          <w:rFonts w:hint="eastAsia" w:ascii="黑体" w:hAnsi="黑体" w:eastAsia="黑体"/>
          <w:sz w:val="28"/>
          <w:szCs w:val="28"/>
        </w:rPr>
        <w:t xml:space="preserve">投标分项报价表</w:t>
      </w:r>
      <w:r>
        <w:rPr>
          <w:rFonts w:ascii="黑体" w:hAnsi="黑体" w:eastAsia="黑体"/>
          <w:sz w:val="28"/>
          <w:szCs w:val="28"/>
        </w:rPr>
      </w:r>
      <w:r/>
    </w:p>
    <w:tbl>
      <w:tblPr>
        <w:tblW w:w="95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8"/>
        <w:gridCol w:w="2217"/>
        <w:gridCol w:w="600"/>
        <w:gridCol w:w="971"/>
        <w:gridCol w:w="1423"/>
        <w:gridCol w:w="684"/>
        <w:gridCol w:w="700"/>
        <w:gridCol w:w="673"/>
        <w:gridCol w:w="882"/>
        <w:gridCol w:w="782"/>
      </w:tblGrid>
      <w:tr>
        <w:trPr>
          <w:trHeight w:val="482"/>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系统/名称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品牌</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规格型号</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制造商名称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国别</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数量</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计量</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单位</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合价</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w:t>
            </w:r>
            <w:r>
              <w:rPr>
                <w:rFonts w:ascii="宋体" w:hAnsi="宋体" w:cs="宋体"/>
                <w:b/>
                <w:bCs/>
                <w:color w:val="000000"/>
                <w:sz w:val="18"/>
                <w:szCs w:val="18"/>
              </w:rPr>
            </w:r>
            <w:r/>
          </w:p>
        </w:tc>
      </w:tr>
      <w:tr>
        <w:trPr>
          <w:trHeight w:val="48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tcPr>
          <w:p>
            <w:pPr>
              <w:pStyle w:val="720"/>
              <w:jc w:val="center"/>
              <w:widowControl/>
              <w:rPr>
                <w:rFonts w:ascii="宋体" w:hAnsi="宋体" w:cs="宋体"/>
                <w:b/>
                <w:bCs/>
                <w:color w:val="000000"/>
                <w:sz w:val="18"/>
                <w:szCs w:val="18"/>
                <w:lang w:bidi="ar"/>
              </w:rPr>
            </w:pPr>
            <w:r>
              <w:rPr>
                <w:rFonts w:hint="eastAsia" w:ascii="黑体" w:hAnsi="宋体" w:eastAsia="黑体" w:cs="黑体"/>
                <w:b/>
                <w:bCs/>
                <w:color w:val="000000"/>
                <w:lang w:bidi="ar"/>
              </w:rPr>
              <w:t xml:space="preserve">一、机房装修系统</w:t>
            </w:r>
            <w:r>
              <w:rPr>
                <w:rFonts w:ascii="宋体" w:hAnsi="宋体" w:cs="宋体"/>
                <w:b/>
                <w:bCs/>
                <w:color w:val="000000"/>
                <w:sz w:val="18"/>
                <w:szCs w:val="18"/>
                <w:lang w:bidi="ar"/>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（一）顶面部分</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微孔铝吊顶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橡塑保温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防尘涂料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（二）墙面部分</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金属面夹心板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270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防火石膏板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（三）地面部分</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水泥基自流平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防尘漆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陶瓷抗静电地板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橡塑保温</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门口踏步</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金属踢脚线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90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m</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空调挡水墙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（四）隔断部分</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砖墙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石膏板隔墙</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（五）门窗部分</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钢制甲级防火门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（六）其他</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窗户贴膜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二、机房供配电系统</w:t>
            </w:r>
            <w:r>
              <w:rPr>
                <w:rFonts w:ascii="黑体" w:hAnsi="宋体" w:eastAsia="黑体" w:cs="黑体"/>
                <w:b/>
                <w:bCs/>
                <w:color w:val="000000"/>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ATS总配电柜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市电配电柜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UPS输入输出配电柜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照明配电箱</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应急配电箱</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精密配电柜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排烟控制柜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抗震承重底座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KBG25电线管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KBG20电线管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金属软管</w:t>
            </w:r>
            <w:r>
              <w:rPr>
                <w:rFonts w:ascii="Calibri" w:hAnsi="Calibri" w:cs="Calibri"/>
                <w:color w:val="000000"/>
                <w:sz w:val="18"/>
                <w:szCs w:val="18"/>
                <w:lang w:bidi="ar"/>
              </w:rPr>
              <w:t xml:space="preserve">Φ</w:t>
            </w:r>
            <w:r>
              <w:rPr>
                <w:rFonts w:hint="eastAsia" w:ascii="宋体" w:hAnsi="宋体" w:cs="宋体"/>
                <w:color w:val="000000"/>
                <w:sz w:val="18"/>
                <w:szCs w:val="18"/>
                <w:lang w:bidi="ar"/>
              </w:rPr>
              <w:t xml:space="preserve">25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金属软管Φ20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墙面3+2插座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防爆墙面3+2插座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LED平板灯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电池间防爆灯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双头应急探照灯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应急疏散标志灯</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单联单控开关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二位二控开关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三位三控开关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3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网格桥架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镀锌桥300*100*1.0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镀锌桥架00*100*1.0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UPS 输入输出电缆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AP 柜电缆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列头柜进线电缆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80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ZCYJV 4×25mm²+1×10mm²电缆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ZCYJV-5*6mm²电缆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ZCYJV3×6mm²电缆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ZCYJV-2*16+1*10mm²电缆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80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三、防雷接地系统</w:t>
            </w:r>
            <w:r>
              <w:rPr>
                <w:rFonts w:ascii="黑体" w:hAnsi="宋体" w:eastAsia="黑体" w:cs="黑体"/>
                <w:b/>
                <w:bCs/>
                <w:color w:val="000000"/>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等电位联结端子箱</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接地铜排</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150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BVR软线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250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BVR50mm²接地线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四、机房微模块系统</w:t>
            </w:r>
            <w:r>
              <w:rPr>
                <w:rFonts w:ascii="黑体" w:hAnsi="宋体" w:eastAsia="黑体" w:cs="黑体"/>
                <w:b/>
                <w:bCs/>
                <w:color w:val="000000"/>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（一）模块化UPS系统</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UPS主机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UPS功率模块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蓄电池</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开放式电池柜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组</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电池开关柜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电池电缆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343"/>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（二）机房空调系统</w:t>
            </w:r>
            <w:r>
              <w:rPr>
                <w:rFonts w:ascii="黑体" w:hAnsi="宋体" w:eastAsia="黑体" w:cs="黑体"/>
                <w:color w:val="000000"/>
                <w:sz w:val="21"/>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59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行级精密空调室内机（加热加湿）</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r>
      <w:tr>
        <w:trPr>
          <w:trHeight w:val="476"/>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行级精密空调室外机（加热加湿）</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行级精密空调室内机（单冷）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r>
      <w:tr>
        <w:trPr>
          <w:trHeight w:val="148"/>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行级精密空调室外机（单冷）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rPr>
                <w:rFonts w:ascii="宋体" w:hAnsi="宋体" w:cs="宋体"/>
                <w:color w:val="000000"/>
                <w:sz w:val="18"/>
                <w:szCs w:val="18"/>
              </w:rPr>
            </w:pPr>
            <w:r>
              <w:rPr>
                <w:rFonts w:ascii="宋体" w:hAnsi="宋体" w:cs="宋体"/>
                <w:color w:val="000000"/>
                <w:sz w:val="18"/>
                <w:szCs w:val="18"/>
              </w:rPr>
            </w:r>
            <w:r/>
          </w:p>
        </w:tc>
      </w:tr>
      <w:tr>
        <w:trPr>
          <w:trHeight w:val="228"/>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房间精密空调室内机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08"/>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房间精密空调室外机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380"/>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（三）机柜冷通道系统</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服务器机柜</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冷通道系统</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五、新风排烟系统</w:t>
            </w:r>
            <w:r>
              <w:rPr>
                <w:rFonts w:ascii="黑体" w:hAnsi="宋体" w:eastAsia="黑体" w:cs="黑体"/>
                <w:b/>
                <w:bCs/>
                <w:color w:val="000000"/>
              </w:rPr>
            </w:r>
            <w:r/>
          </w:p>
        </w:tc>
      </w:tr>
      <w:tr>
        <w:trPr>
          <w:trHeight w:val="264"/>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宋体" w:hAnsi="宋体" w:cs="宋体"/>
                <w:color w:val="000000"/>
                <w:sz w:val="18"/>
                <w:szCs w:val="18"/>
              </w:rPr>
            </w:pPr>
            <w:r>
              <w:rPr>
                <w:rFonts w:hint="eastAsia" w:ascii="黑体" w:hAnsi="宋体" w:eastAsia="黑体" w:cs="黑体"/>
                <w:color w:val="000000"/>
                <w:sz w:val="21"/>
                <w:szCs w:val="21"/>
                <w:lang w:bidi="ar"/>
              </w:rPr>
              <w:t xml:space="preserve">（一）新风系统</w:t>
            </w: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吊顶式洁净新风机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69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电动风阀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手动风量调节阀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（二）事故排风系统</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轴流排风机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防爆轴流排风机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电动风阀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（三）电池间日常排风系统</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吊顶式洁净新风机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79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电动风阀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风管</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平米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六、机房气体消防系统</w:t>
            </w:r>
            <w:r>
              <w:rPr>
                <w:rFonts w:ascii="黑体" w:hAnsi="宋体" w:eastAsia="黑体" w:cs="黑体"/>
                <w:b/>
                <w:bCs/>
                <w:color w:val="000000"/>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（一）七氟丙烷灭火系统无管网式</w:t>
            </w:r>
            <w:r>
              <w:rPr>
                <w:rFonts w:ascii="黑体" w:hAnsi="宋体" w:eastAsia="黑体" w:cs="黑体"/>
                <w:color w:val="000000"/>
                <w:sz w:val="21"/>
                <w:szCs w:val="21"/>
              </w:rPr>
            </w:r>
            <w:r/>
          </w:p>
        </w:tc>
      </w:tr>
      <w:tr>
        <w:trPr>
          <w:trHeight w:val="34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单瓶组柜式灭火装置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HFC-227ea灭火剂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346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KG</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泄压装置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（二）火灾自动报警系统</w:t>
            </w:r>
            <w:r>
              <w:rPr>
                <w:rFonts w:ascii="黑体" w:hAnsi="宋体" w:eastAsia="黑体" w:cs="黑体"/>
                <w:color w:val="000000"/>
                <w:sz w:val="21"/>
                <w:szCs w:val="21"/>
              </w:rPr>
            </w:r>
            <w:r/>
          </w:p>
        </w:tc>
      </w:tr>
      <w:tr>
        <w:trPr>
          <w:trHeight w:val="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点型光电感烟火灾探测器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点型感温火灾探测器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火灾声警报器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火灾声光警报器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气体释放警报器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89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气体灭火控制器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紧急启停按钮</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输入/输出模块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总线短路隔离器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电子编码器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七、综合布线系统</w:t>
            </w:r>
            <w:r>
              <w:rPr>
                <w:rFonts w:ascii="黑体" w:hAnsi="宋体" w:eastAsia="黑体" w:cs="黑体"/>
                <w:b/>
                <w:bCs/>
                <w:color w:val="000000"/>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（一）IT柜（规划24台）</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六类非屏蔽双绞线</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6100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24口六类非屏蔽模块化配线架</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1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2米六类非屏蔽网络跳线</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理线架</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单模预端接光缆</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1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99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96芯预端接光纤配线架</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1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12芯单模MPO-LC光模组</w:t>
            </w:r>
            <w:r>
              <w:rPr>
                <w:rFonts w:ascii="宋体" w:hAnsi="宋体" w:cs="宋体"/>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3米LC-LC单模双芯光纤跳线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（二）网络机柜(规划2台)</w:t>
            </w:r>
            <w:r>
              <w:rPr>
                <w:rFonts w:ascii="黑体" w:hAnsi="宋体" w:eastAsia="黑体" w:cs="黑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24口六类非屏蔽模块化配线架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理线架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288芯预端接光纤配线架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24芯单模MPO-LC光模组</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3米LC-LC单模双芯光纤跳线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对</w:t>
            </w: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（三）机房间互联</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24芯单模光缆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50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米</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1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24芯LC光纤配线架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109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单模尾纤</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3米LC-LC单模双芯光纤跳线</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对</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理线架</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八、机房动力环境监控系统</w:t>
            </w:r>
            <w:r>
              <w:rPr>
                <w:rFonts w:ascii="黑体" w:hAnsi="宋体" w:eastAsia="黑体" w:cs="黑体"/>
                <w:b/>
                <w:bCs/>
                <w:color w:val="000000"/>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微模块监控采集器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智能插座</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监控系统</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多功能传感器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116</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定位式水浸传感器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117</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非定位式水浸传感器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92"/>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b/>
                <w:bCs/>
                <w:color w:val="000000"/>
              </w:rPr>
            </w:pPr>
            <w:r>
              <w:rPr>
                <w:rFonts w:hint="eastAsia" w:ascii="黑体" w:hAnsi="宋体" w:eastAsia="黑体" w:cs="黑体"/>
                <w:b/>
                <w:bCs/>
                <w:color w:val="000000"/>
                <w:lang w:bidi="ar"/>
              </w:rPr>
              <w:t xml:space="preserve">九、机房安防门禁系统</w:t>
            </w:r>
            <w:r>
              <w:rPr>
                <w:rFonts w:ascii="黑体" w:hAnsi="宋体" w:eastAsia="黑体" w:cs="黑体"/>
                <w:b/>
                <w:bCs/>
                <w:color w:val="000000"/>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（一）门禁系统</w:t>
            </w:r>
            <w:r>
              <w:rPr>
                <w:rFonts w:ascii="黑体" w:hAnsi="宋体" w:eastAsia="黑体" w:cs="黑体"/>
                <w:color w:val="000000"/>
                <w:sz w:val="21"/>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118</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单门门禁锁</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把</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119</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双门门禁锁</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把</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人脸识别指纹机7寸屏</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四门禁控制器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68"/>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pStyle w:val="720"/>
              <w:jc w:val="center"/>
              <w:widowControl/>
              <w:rPr>
                <w:rFonts w:ascii="黑体" w:hAnsi="宋体" w:eastAsia="黑体" w:cs="黑体"/>
                <w:color w:val="000000"/>
                <w:sz w:val="21"/>
                <w:szCs w:val="21"/>
              </w:rPr>
            </w:pPr>
            <w:r>
              <w:rPr>
                <w:rFonts w:hint="eastAsia" w:ascii="黑体" w:hAnsi="宋体" w:eastAsia="黑体" w:cs="黑体"/>
                <w:color w:val="000000"/>
                <w:sz w:val="21"/>
                <w:szCs w:val="21"/>
                <w:lang w:bidi="ar"/>
              </w:rPr>
              <w:t xml:space="preserve">（二）视频监控系统</w:t>
            </w:r>
            <w:r>
              <w:rPr>
                <w:rFonts w:ascii="黑体" w:hAnsi="宋体" w:eastAsia="黑体" w:cs="黑体"/>
                <w:color w:val="000000"/>
                <w:sz w:val="21"/>
                <w:szCs w:val="21"/>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16路网络硬盘录像机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400万全彩网络半球摄像机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400万全彩网络人脸半球摄像机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27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20"/>
                <w:szCs w:val="20"/>
                <w:lang w:bidi="ar"/>
              </w:rPr>
              <w:t xml:space="preserve">125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POE交换机</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20"/>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720"/>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pStyle w:val="720"/>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pStyle w:val="720"/>
              <w:jc w:val="center"/>
              <w:widowControl/>
              <w:rPr>
                <w:rFonts w:ascii="宋体" w:hAnsi="宋体" w:cs="宋体"/>
                <w:color w:val="000000"/>
                <w:sz w:val="18"/>
                <w:szCs w:val="18"/>
              </w:rPr>
            </w:pPr>
            <w:r>
              <w:rPr>
                <w:rFonts w:ascii="宋体" w:hAnsi="宋体" w:cs="宋体"/>
                <w:color w:val="000000"/>
                <w:sz w:val="18"/>
                <w:szCs w:val="18"/>
              </w:rPr>
            </w:r>
            <w:r/>
          </w:p>
        </w:tc>
      </w:tr>
      <w:tr>
        <w:trPr>
          <w:trHeight w:val="420"/>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tcPr>
          <w:p>
            <w:pPr>
              <w:pStyle w:val="720"/>
              <w:jc w:val="center"/>
              <w:widowControl/>
              <w:rPr>
                <w:rFonts w:ascii="宋体" w:hAnsi="宋体" w:eastAsia="宋体" w:cs="宋体"/>
                <w:color w:val="000000"/>
                <w:sz w:val="18"/>
                <w:szCs w:val="18"/>
              </w:rPr>
            </w:pPr>
            <w:r>
              <w:rPr>
                <w:rFonts w:hint="eastAsia" w:ascii="黑体" w:hAnsi="黑体" w:eastAsia="黑体" w:cs="黑体"/>
                <w:b/>
                <w:bCs/>
              </w:rPr>
              <w:t xml:space="preserve">投标总报价（人民币）</w:t>
            </w:r>
            <w:r>
              <w:rPr>
                <w:rFonts w:hint="eastAsia" w:ascii="黑体" w:hAnsi="黑体" w:eastAsia="黑体" w:cs="黑体"/>
                <w:b/>
                <w:bCs/>
                <w:u w:val="single"/>
              </w:rPr>
              <w:t xml:space="preserve">                 </w:t>
            </w:r>
            <w:r>
              <w:rPr>
                <w:rFonts w:hint="eastAsia" w:ascii="黑体" w:hAnsi="黑体" w:eastAsia="黑体" w:cs="黑体"/>
                <w:b/>
                <w:bCs/>
              </w:rPr>
              <w:t xml:space="preserve">元。【与开标一览表报价一致】</w:t>
            </w:r>
            <w:r>
              <w:rPr>
                <w:rFonts w:ascii="宋体" w:hAnsi="宋体" w:eastAsia="宋体" w:cs="宋体"/>
                <w:color w:val="000000"/>
                <w:sz w:val="18"/>
                <w:szCs w:val="18"/>
              </w:rPr>
            </w:r>
            <w:r/>
          </w:p>
        </w:tc>
      </w:tr>
      <w:tr>
        <w:trPr>
          <w:trHeight w:val="273"/>
        </w:trPr>
        <w:tc>
          <w:tcPr>
            <w:gridSpan w:val="10"/>
            <w:tcBorders>
              <w:top w:val="single" w:color="000000" w:sz="4" w:space="0"/>
              <w:left w:val="single" w:color="000000" w:sz="4" w:space="0"/>
              <w:bottom w:val="single" w:color="000000" w:sz="4" w:space="0"/>
              <w:right w:val="single" w:color="000000" w:sz="4" w:space="0"/>
            </w:tcBorders>
            <w:tcW w:w="9550" w:type="dxa"/>
            <w:vAlign w:val="center"/>
            <w:textDirection w:val="lrTb"/>
            <w:noWrap/>
          </w:tcPr>
          <w:p>
            <w:pPr>
              <w:pStyle w:val="720"/>
              <w:jc w:val="center"/>
              <w:widowControl/>
              <w:rPr>
                <w:rFonts w:ascii="宋体" w:hAnsi="宋体" w:eastAsia="宋体" w:cs="宋体"/>
              </w:rPr>
            </w:pPr>
            <w:r>
              <w:rPr>
                <w:rFonts w:hint="eastAsia" w:ascii="宋体" w:hAnsi="宋体" w:eastAsia="宋体" w:cs="宋体"/>
                <w:b/>
                <w:bCs/>
              </w:rPr>
              <w:t xml:space="preserve">本采购包中提供的符合本国产品标准的产品成本之和占该采购包提供的全部产品成本之和的比例为</w:t>
            </w:r>
            <w:r>
              <w:rPr>
                <w:rFonts w:hint="eastAsia" w:ascii="宋体" w:hAnsi="宋体" w:eastAsia="宋体" w:cs="宋体"/>
                <w:b/>
                <w:bCs/>
                <w:u w:val="single"/>
              </w:rPr>
              <w:t xml:space="preserve">         </w:t>
            </w:r>
            <w:r>
              <w:rPr>
                <w:rFonts w:hint="eastAsia" w:ascii="宋体" w:hAnsi="宋体" w:eastAsia="宋体" w:cs="宋体"/>
                <w:b/>
                <w:bCs/>
              </w:rPr>
              <w:t xml:space="preserve">%。</w:t>
            </w:r>
            <w:r>
              <w:rPr>
                <w:rFonts w:ascii="宋体" w:hAnsi="宋体" w:eastAsia="宋体" w:cs="宋体"/>
              </w:rPr>
            </w:r>
            <w:r/>
          </w:p>
        </w:tc>
      </w:tr>
    </w:tbl>
    <w:p>
      <w:pPr>
        <w:pStyle w:val="720"/>
        <w:jc w:val="left"/>
        <w:spacing w:line="440" w:lineRule="exact"/>
        <w:rPr>
          <w:rFonts w:ascii="宋体" w:hAnsi="宋体" w:eastAsia="宋体" w:cs="宋体"/>
        </w:rPr>
      </w:pPr>
      <w:r>
        <w:rPr>
          <w:rFonts w:hint="eastAsia" w:ascii="宋体" w:hAnsi="宋体" w:eastAsia="宋体" w:cs="宋体"/>
          <w:b/>
          <w:bCs/>
        </w:rPr>
        <w:t xml:space="preserve">填报说明：</w:t>
      </w:r>
      <w:r>
        <w:rPr>
          <w:rFonts w:ascii="宋体" w:hAnsi="宋体" w:eastAsia="宋体" w:cs="宋体"/>
        </w:rPr>
      </w:r>
      <w:r/>
    </w:p>
    <w:p>
      <w:pPr>
        <w:pStyle w:val="720"/>
        <w:ind w:firstLine="480"/>
        <w:jc w:val="left"/>
        <w:spacing w:line="440" w:lineRule="exact"/>
        <w:rPr>
          <w:rFonts w:ascii="宋体" w:hAnsi="宋体" w:eastAsia="宋体" w:cs="宋体"/>
        </w:rPr>
      </w:pPr>
      <w:r>
        <w:rPr>
          <w:rFonts w:hint="eastAsia" w:ascii="宋体" w:hAnsi="宋体" w:eastAsia="宋体" w:cs="宋体"/>
          <w:sz w:val="21"/>
          <w:szCs w:val="21"/>
        </w:rPr>
        <w:t xml:space="preserve">1.投标报价采用总承包方式，“投标总报价”应包含完成本项目全部建设内容，实现系统全部功能，直至通过最终验收、取得 B 级机房认证及质保期服务所必需的一切费用。“投标总报价”数额为各“分项总价”之和。</w:t>
      </w:r>
      <w:r>
        <w:rPr>
          <w:rFonts w:ascii="宋体" w:hAnsi="宋体" w:eastAsia="宋体" w:cs="宋体"/>
        </w:rPr>
      </w:r>
      <w:r/>
    </w:p>
    <w:p>
      <w:pPr>
        <w:pStyle w:val="720"/>
        <w:ind w:firstLine="480"/>
        <w:jc w:val="left"/>
        <w:spacing w:line="440" w:lineRule="exact"/>
        <w:rPr>
          <w:rFonts w:ascii="宋体" w:hAnsi="宋体" w:eastAsia="宋体" w:cs="宋体"/>
          <w:sz w:val="21"/>
          <w:szCs w:val="21"/>
        </w:rPr>
      </w:pPr>
      <w:r>
        <w:rPr>
          <w:rFonts w:hint="eastAsia" w:ascii="宋体" w:hAnsi="宋体" w:eastAsia="宋体" w:cs="宋体"/>
        </w:rPr>
        <w:t xml:space="preserve">2.“投标分项报价表”中“投标总报价”金额应与“开标一览表”中“投标报价”金额一致。若有不一致的，按招标文件规定修正。修正后的报价经投标人加盖公章，或者由法定代表人或其授权的代表签字确认后产生约束力，并以修正的价格进行评审。投标人不确认的，</w:t>
      </w:r>
      <w:r>
        <w:rPr>
          <w:rFonts w:hint="eastAsia" w:ascii="隶书" w:hAnsi="隶书" w:eastAsia="隶书" w:cs="隶书"/>
          <w:i/>
          <w:iCs/>
          <w:sz w:val="28"/>
          <w:szCs w:val="28"/>
        </w:rPr>
        <w:t xml:space="preserve">其投标无效</w:t>
      </w:r>
      <w:r>
        <w:rPr>
          <w:rFonts w:hint="eastAsia" w:ascii="宋体" w:hAnsi="宋体" w:eastAsia="宋体" w:cs="宋体"/>
        </w:rPr>
        <w:t xml:space="preserve">。</w:t>
      </w:r>
      <w:r>
        <w:rPr>
          <w:rFonts w:ascii="宋体" w:hAnsi="宋体" w:eastAsia="宋体" w:cs="宋体"/>
          <w:sz w:val="21"/>
          <w:szCs w:val="21"/>
        </w:rPr>
      </w:r>
      <w:r/>
    </w:p>
    <w:p>
      <w:pPr>
        <w:pStyle w:val="720"/>
        <w:ind w:firstLine="480"/>
        <w:jc w:val="left"/>
        <w:spacing w:line="440" w:lineRule="exact"/>
        <w:rPr>
          <w:rFonts w:ascii="宋体" w:hAnsi="宋体" w:eastAsia="宋体" w:cs="宋体"/>
        </w:rPr>
      </w:pPr>
      <w:r>
        <w:rPr>
          <w:rFonts w:hint="eastAsia" w:ascii="宋体" w:hAnsi="宋体" w:eastAsia="宋体" w:cs="宋体"/>
        </w:rPr>
        <w:t xml:space="preserve">3.投标人不得擅自修改上表中序号、系统/产品名称、数量或计量单位。否则，</w:t>
      </w:r>
      <w:r>
        <w:rPr>
          <w:rFonts w:hint="eastAsia" w:ascii="隶书" w:hAnsi="隶书" w:eastAsia="隶书" w:cs="隶书"/>
          <w:i/>
          <w:iCs/>
          <w:sz w:val="28"/>
          <w:szCs w:val="28"/>
        </w:rPr>
        <w:t xml:space="preserve">投标无效</w:t>
      </w:r>
      <w:r>
        <w:rPr>
          <w:rFonts w:hint="eastAsia" w:ascii="隶书" w:hAnsi="隶书" w:eastAsia="隶书" w:cs="隶书"/>
          <w:i/>
          <w:iCs/>
          <w:sz w:val="24"/>
          <w:szCs w:val="24"/>
        </w:rPr>
        <w:t xml:space="preserve">。</w:t>
      </w:r>
      <w:r>
        <w:rPr>
          <w:rFonts w:ascii="宋体" w:hAnsi="宋体" w:eastAsia="宋体" w:cs="宋体"/>
        </w:rPr>
      </w:r>
      <w:r/>
    </w:p>
    <w:p>
      <w:pPr>
        <w:pStyle w:val="720"/>
        <w:ind w:firstLine="480"/>
        <w:jc w:val="left"/>
        <w:spacing w:line="440" w:lineRule="exact"/>
        <w:rPr>
          <w:rFonts w:hint="eastAsia" w:ascii="宋体" w:hAnsi="宋体" w:eastAsia="宋体" w:cs="宋体"/>
        </w:rPr>
      </w:pPr>
      <w:r>
        <w:rPr>
          <w:rFonts w:hint="eastAsia" w:ascii="宋体" w:hAnsi="宋体" w:eastAsia="宋体" w:cs="宋体"/>
        </w:rPr>
        <w:t xml:space="preserve">4.投标人未填写本采购包中提供的符合本国产品标准的产品成本之和占该采购包提供的全部产品成本之和的比例数值的，或比例数值未达到80%的，将不享受本国产品价格评审优惠。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rPr>
      </w:r>
      <w:r/>
    </w:p>
    <w:p>
      <w:pPr>
        <w:pStyle w:val="720"/>
        <w:ind w:firstLine="480"/>
        <w:jc w:val="left"/>
        <w:spacing w:line="440" w:lineRule="exact"/>
        <w:rPr>
          <w:rFonts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cs="宋体"/>
          <w:lang w:val="en-US" w:eastAsia="zh-CN"/>
        </w:rPr>
        <w:t xml:space="preserve">上述</w:t>
      </w:r>
      <w:r>
        <w:rPr>
          <w:rFonts w:hint="eastAsia" w:ascii="宋体" w:hAnsi="宋体" w:eastAsia="宋体" w:cs="宋体"/>
          <w:lang w:val="en-US" w:eastAsia="zh-CN"/>
        </w:rPr>
        <w:t xml:space="preserve">产品</w:t>
      </w:r>
      <w:r>
        <w:rPr>
          <w:rFonts w:hint="eastAsia" w:ascii="宋体" w:hAnsi="宋体" w:cs="宋体"/>
          <w:lang w:val="en-US" w:eastAsia="zh-CN"/>
        </w:rPr>
        <w:t xml:space="preserve">仅</w:t>
      </w:r>
      <w:r>
        <w:rPr>
          <w:rFonts w:hint="eastAsia" w:ascii="宋体" w:hAnsi="宋体" w:eastAsia="宋体" w:cs="宋体"/>
          <w:lang w:val="en-US" w:eastAsia="zh-CN"/>
        </w:rPr>
        <w:t xml:space="preserve">指《适用本国产品采购政策的产品一览表》中产品。</w:t>
      </w:r>
      <w:r>
        <w:rPr>
          <w:rFonts w:ascii="宋体" w:hAnsi="宋体" w:eastAsia="宋体" w:cs="宋体"/>
          <w:lang w:val="en-US" w:eastAsia="zh-CN"/>
        </w:rPr>
      </w:r>
      <w:r/>
    </w:p>
    <w:p>
      <w:pPr>
        <w:pStyle w:val="720"/>
        <w:ind w:left="420"/>
        <w:jc w:val="right"/>
        <w:spacing w:line="480" w:lineRule="auto"/>
        <w:rPr>
          <w:rFonts w:ascii="宋体" w:hAnsi="宋体" w:eastAsia="宋体" w:cs="宋体"/>
        </w:rPr>
      </w:pPr>
      <w:r>
        <w:rPr>
          <w:rFonts w:ascii="宋体" w:hAnsi="宋体" w:eastAsia="宋体" w:cs="宋体"/>
        </w:rPr>
      </w:r>
      <w:r/>
    </w:p>
    <w:p>
      <w:pPr>
        <w:pStyle w:val="720"/>
        <w:ind w:left="420"/>
        <w:jc w:val="right"/>
        <w:spacing w:line="480" w:lineRule="auto"/>
        <w:rPr>
          <w:rFonts w:ascii="宋体" w:hAnsi="宋体" w:eastAsia="宋体" w:cs="宋体"/>
        </w:rPr>
      </w:pPr>
      <w:r>
        <w:rPr>
          <w:rFonts w:hint="eastAsia" w:ascii="宋体" w:hAnsi="宋体" w:eastAsia="宋体" w:cs="宋体"/>
        </w:rPr>
        <w:t xml:space="preserve">投标人公章：             （电子签章）</w:t>
      </w:r>
      <w:r>
        <w:rPr>
          <w:rFonts w:ascii="宋体" w:hAnsi="宋体" w:eastAsia="宋体" w:cs="宋体"/>
        </w:rPr>
      </w:r>
      <w:r/>
    </w:p>
    <w:p>
      <w:pPr>
        <w:pStyle w:val="720"/>
        <w:jc w:val="right"/>
        <w:spacing w:line="360" w:lineRule="auto"/>
        <w:rPr>
          <w:rFonts w:ascii="宋体" w:hAnsi="宋体" w:cs="宋体"/>
          <w:sz w:val="24"/>
          <w:szCs w:val="24"/>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ascii="宋体" w:hAnsi="宋体" w:cs="宋体"/>
          <w:sz w:val="24"/>
          <w:szCs w:val="24"/>
        </w:rPr>
      </w:r>
      <w:r/>
    </w:p>
    <w:p>
      <w:pPr>
        <w:pStyle w:val="720"/>
        <w:jc w:val="center"/>
        <w:spacing w:line="360" w:lineRule="auto"/>
        <w:rPr>
          <w:rFonts w:ascii="宋体" w:hAnsi="宋体" w:cs="宋体"/>
          <w:sz w:val="24"/>
          <w:szCs w:val="24"/>
        </w:rPr>
        <w:sectPr>
          <w:footerReference w:type="default" r:id="rId9"/>
          <w:footnotePr/>
          <w:endnotePr/>
          <w:type w:val="nextPage"/>
          <w:pgSz w:w="11906" w:h="16838" w:orient="portrait"/>
          <w:pgMar w:top="1440" w:right="1463" w:bottom="1440" w:left="1633" w:header="851" w:footer="850" w:gutter="0"/>
          <w:pgNumType w:start="1"/>
          <w:cols w:num="1" w:sep="0" w:space="1701" w:equalWidth="1"/>
          <w:docGrid w:linePitch="360"/>
        </w:sectPr>
      </w:pPr>
      <w:r>
        <w:rPr>
          <w:rFonts w:ascii="宋体" w:hAnsi="宋体" w:cs="宋体"/>
          <w:sz w:val="24"/>
          <w:szCs w:val="24"/>
        </w:rPr>
      </w:r>
      <w:r/>
    </w:p>
    <w:p>
      <w:pPr>
        <w:pStyle w:val="720"/>
        <w:jc w:val="center"/>
        <w:spacing w:line="360" w:lineRule="auto"/>
        <w:rPr>
          <w:rFonts w:ascii="黑体" w:hAnsi="黑体" w:eastAsia="黑体"/>
          <w:sz w:val="36"/>
          <w:szCs w:val="28"/>
        </w:rPr>
      </w:pPr>
      <w:r>
        <w:rPr>
          <w:rFonts w:hint="eastAsia" w:ascii="黑体" w:hAnsi="黑体" w:eastAsia="黑体"/>
          <w:sz w:val="28"/>
        </w:rPr>
        <w:t xml:space="preserve">商务条款响应表</w:t>
      </w:r>
      <w:r>
        <w:rPr>
          <w:rFonts w:ascii="黑体" w:hAnsi="黑体" w:eastAsia="黑体"/>
          <w:sz w:val="36"/>
          <w:szCs w:val="28"/>
        </w:rPr>
      </w:r>
      <w:r/>
    </w:p>
    <w:tbl>
      <w:tblPr>
        <w:tblW w:w="14387"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620"/>
        <w:gridCol w:w="5839"/>
        <w:gridCol w:w="4314"/>
        <w:gridCol w:w="1701"/>
      </w:tblGrid>
      <w:tr>
        <w:trPr>
          <w:cantSplit/>
          <w:trHeight w:val="572"/>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主要商务条款</w:t>
            </w:r>
            <w:r>
              <w:rPr>
                <w:rFonts w:ascii="宋体" w:hAnsi="宋体" w:cs="宋体"/>
                <w:szCs w:val="21"/>
              </w:rPr>
            </w:r>
            <w:r/>
          </w:p>
        </w:tc>
        <w:tc>
          <w:tcPr>
            <w:tcW w:w="5839"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招标文件要求</w:t>
            </w:r>
            <w:r>
              <w:rPr>
                <w:rFonts w:ascii="宋体" w:hAnsi="宋体" w:cs="宋体"/>
                <w:szCs w:val="21"/>
              </w:rPr>
            </w:r>
            <w:r/>
          </w:p>
        </w:tc>
        <w:tc>
          <w:tcPr>
            <w:tcW w:w="4314"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投标文件响应</w:t>
            </w:r>
            <w:r>
              <w:rPr>
                <w:rFonts w:ascii="宋体" w:hAnsi="宋体" w:cs="宋体"/>
                <w:szCs w:val="21"/>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偏离情况</w:t>
            </w:r>
            <w:r>
              <w:rPr>
                <w:rFonts w:ascii="宋体" w:hAnsi="宋体" w:cs="宋体"/>
                <w:szCs w:val="21"/>
              </w:rPr>
            </w:r>
            <w:r/>
          </w:p>
          <w:p>
            <w:pPr>
              <w:pStyle w:val="720"/>
              <w:jc w:val="center"/>
              <w:spacing w:line="240" w:lineRule="atLeast"/>
              <w:widowControl/>
              <w:rPr>
                <w:rFonts w:ascii="宋体" w:hAnsi="宋体" w:cs="宋体"/>
                <w:szCs w:val="21"/>
              </w:rPr>
            </w:pPr>
            <w:r>
              <w:rPr>
                <w:rFonts w:hint="eastAsia" w:ascii="宋体" w:hAnsi="宋体" w:cs="宋体"/>
                <w:szCs w:val="21"/>
              </w:rPr>
              <w:t xml:space="preserve">（正/无/负）</w:t>
            </w:r>
            <w:r>
              <w:rPr>
                <w:rFonts w:ascii="宋体" w:hAnsi="宋体" w:cs="宋体"/>
                <w:szCs w:val="21"/>
              </w:rPr>
            </w:r>
            <w:r/>
          </w:p>
        </w:tc>
      </w:tr>
      <w:tr>
        <w:trPr>
          <w:trHeight w:val="674"/>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20" w:type="dxa"/>
            <w:vAlign w:val="center"/>
            <w:textDirection w:val="lrTb"/>
            <w:noWrap w:val="false"/>
          </w:tcPr>
          <w:p>
            <w:pPr>
              <w:pStyle w:val="720"/>
              <w:jc w:val="center"/>
              <w:spacing w:line="240" w:lineRule="atLeast"/>
              <w:rPr>
                <w:rFonts w:ascii="宋体" w:hAnsi="宋体" w:cs="宋体"/>
                <w:szCs w:val="21"/>
              </w:rPr>
            </w:pPr>
            <w:r>
              <w:rPr>
                <w:rFonts w:hint="eastAsia" w:ascii="宋体" w:hAnsi="宋体" w:cs="宋体"/>
              </w:rPr>
              <w:t xml:space="preserve">合同履行期限</w:t>
            </w:r>
            <w:r>
              <w:rPr>
                <w:rFonts w:ascii="宋体" w:hAnsi="宋体" w:cs="宋体"/>
                <w:szCs w:val="21"/>
              </w:rPr>
            </w:r>
            <w:r/>
          </w:p>
        </w:tc>
        <w:tc>
          <w:tcPr>
            <w:tcW w:w="5839" w:type="dxa"/>
            <w:vAlign w:val="center"/>
            <w:textDirection w:val="lrTb"/>
            <w:noWrap w:val="false"/>
          </w:tcPr>
          <w:p>
            <w:pPr>
              <w:pStyle w:val="720"/>
              <w:jc w:val="left"/>
              <w:spacing w:line="240" w:lineRule="atLeast"/>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u w:val="single"/>
              </w:rPr>
              <w:t xml:space="preserve"> 1</w:t>
            </w:r>
            <w:r>
              <w:rPr>
                <w:rFonts w:ascii="宋体" w:hAnsi="宋体" w:cs="宋体"/>
                <w:szCs w:val="21"/>
                <w:u w:val="single"/>
              </w:rPr>
              <w:t xml:space="preserve">2</w:t>
            </w:r>
            <w:r>
              <w:rPr>
                <w:rFonts w:hint="eastAsia" w:ascii="宋体" w:hAnsi="宋体" w:cs="宋体"/>
                <w:szCs w:val="21"/>
                <w:u w:val="single"/>
              </w:rPr>
              <w:t xml:space="preserve">0 </w:t>
            </w:r>
            <w:bookmarkStart w:id="407" w:name="_Hlk243925948"/>
            <w:r>
              <w:rPr>
                <w:rFonts w:hint="eastAsia" w:ascii="宋体" w:hAnsi="宋体" w:cs="宋体"/>
                <w:szCs w:val="21"/>
              </w:rPr>
              <w:t xml:space="preserve">日历天</w:t>
            </w:r>
            <w:bookmarkEnd w:id="407"/>
            <w:r>
              <w:rPr>
                <w:rFonts w:hint="eastAsia" w:ascii="宋体" w:hAnsi="宋体" w:cs="宋体"/>
                <w:szCs w:val="21"/>
              </w:rPr>
              <w:t xml:space="preserve">。具体要求：</w:t>
            </w:r>
            <w:r>
              <w:rPr>
                <w:rFonts w:ascii="宋体" w:hAnsi="宋体" w:cs="宋体"/>
                <w:szCs w:val="21"/>
              </w:rPr>
            </w:r>
            <w:r/>
          </w:p>
          <w:p>
            <w:pPr>
              <w:pStyle w:val="720"/>
              <w:jc w:val="left"/>
              <w:spacing w:line="240" w:lineRule="atLeast"/>
              <w:rPr>
                <w:rFonts w:ascii="宋体" w:hAnsi="宋体" w:cs="宋体"/>
                <w:szCs w:val="21"/>
              </w:rPr>
            </w:pPr>
            <w:r>
              <w:rPr>
                <w:rFonts w:hint="eastAsia" w:ascii="宋体" w:hAnsi="宋体" w:cs="宋体"/>
                <w:szCs w:val="21"/>
              </w:rPr>
              <w:t xml:space="preserve">(1)项目初验时间：合同签订后</w:t>
            </w:r>
            <w:r>
              <w:rPr>
                <w:rFonts w:hint="eastAsia" w:ascii="宋体" w:hAnsi="宋体" w:cs="宋体"/>
                <w:szCs w:val="21"/>
                <w:u w:val="single"/>
              </w:rPr>
              <w:t xml:space="preserve">75</w:t>
            </w:r>
            <w:r>
              <w:rPr>
                <w:rFonts w:hint="eastAsia" w:ascii="宋体" w:hAnsi="宋体" w:cs="宋体"/>
                <w:szCs w:val="21"/>
              </w:rPr>
              <w:t xml:space="preserve">日历天完成本项目集成实施服务并取得B级机房认证评测报告</w:t>
            </w:r>
            <w:r>
              <w:rPr>
                <w:rFonts w:hint="eastAsia" w:ascii="宋体" w:hAnsi="宋体" w:cs="宋体"/>
                <w:szCs w:val="21"/>
              </w:rPr>
              <w:t xml:space="preserve">；</w:t>
            </w:r>
            <w:r>
              <w:rPr>
                <w:rFonts w:ascii="宋体" w:hAnsi="宋体" w:cs="宋体"/>
                <w:szCs w:val="21"/>
              </w:rPr>
            </w:r>
            <w:r/>
          </w:p>
          <w:p>
            <w:pPr>
              <w:pStyle w:val="720"/>
              <w:jc w:val="left"/>
              <w:spacing w:line="240" w:lineRule="atLeast"/>
              <w:rPr>
                <w:rFonts w:ascii="宋体" w:hAnsi="宋体" w:cs="宋体"/>
                <w:szCs w:val="21"/>
              </w:rPr>
            </w:pPr>
            <w:r>
              <w:rPr>
                <w:rFonts w:hint="eastAsia" w:ascii="宋体" w:hAnsi="宋体" w:cs="宋体"/>
                <w:szCs w:val="21"/>
              </w:rPr>
              <w:t xml:space="preserve">(2)项目交付时间：合同签订后</w:t>
            </w:r>
            <w:r>
              <w:rPr>
                <w:rFonts w:hint="eastAsia" w:ascii="宋体" w:hAnsi="宋体" w:cs="宋体"/>
                <w:szCs w:val="21"/>
                <w:u w:val="single"/>
              </w:rPr>
              <w:t xml:space="preserve">1</w:t>
            </w:r>
            <w:r>
              <w:rPr>
                <w:rFonts w:ascii="宋体" w:hAnsi="宋体" w:cs="宋体"/>
                <w:szCs w:val="21"/>
                <w:u w:val="single"/>
              </w:rPr>
              <w:t xml:space="preserve">2</w:t>
            </w:r>
            <w:r>
              <w:rPr>
                <w:rFonts w:hint="eastAsia" w:ascii="宋体" w:hAnsi="宋体" w:cs="宋体"/>
                <w:szCs w:val="21"/>
                <w:u w:val="single"/>
              </w:rPr>
              <w:t xml:space="preserve">0</w:t>
            </w:r>
            <w:r>
              <w:rPr>
                <w:rFonts w:hint="eastAsia" w:ascii="宋体" w:hAnsi="宋体" w:cs="宋体"/>
                <w:szCs w:val="21"/>
              </w:rPr>
              <w:t xml:space="preserve">日历天通过中国质量认证中心（CQC）的现场核验并取得B级《数据中心场地基础设施认证证书》。</w:t>
            </w:r>
            <w:r>
              <w:rPr>
                <w:rFonts w:ascii="宋体" w:hAnsi="宋体" w:cs="宋体"/>
                <w:szCs w:val="21"/>
              </w:rPr>
            </w:r>
            <w:r/>
          </w:p>
        </w:tc>
        <w:tc>
          <w:tcPr>
            <w:tcW w:w="4314"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501"/>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20" w:type="dxa"/>
            <w:vAlign w:val="center"/>
            <w:textDirection w:val="lrTb"/>
            <w:noWrap w:val="false"/>
          </w:tcPr>
          <w:p>
            <w:pPr>
              <w:pStyle w:val="720"/>
              <w:jc w:val="center"/>
              <w:spacing w:line="240" w:lineRule="atLeast"/>
              <w:rPr>
                <w:rFonts w:ascii="宋体" w:hAnsi="宋体" w:cs="宋体"/>
                <w:szCs w:val="21"/>
              </w:rPr>
            </w:pPr>
            <w:r>
              <w:rPr>
                <w:rFonts w:hint="eastAsia" w:ascii="宋体" w:hAnsi="宋体" w:cs="宋体"/>
              </w:rPr>
              <w:t xml:space="preserve">投标有效期</w:t>
            </w:r>
            <w:r>
              <w:rPr>
                <w:rFonts w:ascii="宋体" w:hAnsi="宋体" w:cs="宋体"/>
                <w:szCs w:val="21"/>
              </w:rPr>
            </w:r>
            <w:r/>
          </w:p>
        </w:tc>
        <w:tc>
          <w:tcPr>
            <w:tcW w:w="5839" w:type="dxa"/>
            <w:vAlign w:val="center"/>
            <w:textDirection w:val="lrTb"/>
            <w:noWrap w:val="false"/>
          </w:tcPr>
          <w:p>
            <w:pPr>
              <w:pStyle w:val="720"/>
              <w:jc w:val="center"/>
              <w:spacing w:line="240" w:lineRule="atLeast"/>
              <w:rPr>
                <w:rFonts w:ascii="宋体" w:hAnsi="宋体" w:cs="宋体"/>
                <w:szCs w:val="21"/>
              </w:rPr>
            </w:pPr>
            <w:r>
              <w:rPr>
                <w:rFonts w:hint="eastAsia" w:ascii="宋体" w:hAnsi="宋体" w:cs="宋体"/>
                <w:szCs w:val="21"/>
              </w:rPr>
              <w:t xml:space="preserve">自投标截止日起90日</w:t>
            </w:r>
            <w:r>
              <w:rPr>
                <w:rFonts w:ascii="宋体" w:hAnsi="宋体" w:cs="宋体"/>
                <w:szCs w:val="21"/>
              </w:rPr>
            </w:r>
            <w:r/>
          </w:p>
        </w:tc>
        <w:tc>
          <w:tcPr>
            <w:tcW w:w="4314" w:type="dxa"/>
            <w:vAlign w:val="center"/>
            <w:textDirection w:val="lrTb"/>
            <w:noWrap w:val="false"/>
          </w:tcPr>
          <w:p>
            <w:pPr>
              <w:pStyle w:val="720"/>
              <w:jc w:val="left"/>
              <w:spacing w:line="240" w:lineRule="atLeas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683"/>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20" w:type="dxa"/>
            <w:vAlign w:val="center"/>
            <w:textDirection w:val="lrTb"/>
            <w:noWrap w:val="false"/>
          </w:tcPr>
          <w:p>
            <w:pPr>
              <w:pStyle w:val="720"/>
              <w:jc w:val="center"/>
              <w:spacing w:line="240" w:lineRule="atLeast"/>
              <w:rPr>
                <w:rFonts w:ascii="宋体" w:hAnsi="宋体" w:cs="宋体"/>
                <w:szCs w:val="21"/>
              </w:rPr>
            </w:pPr>
            <w:r>
              <w:rPr>
                <w:rFonts w:hint="eastAsia" w:ascii="宋体" w:hAnsi="宋体" w:cs="宋体"/>
                <w:szCs w:val="21"/>
              </w:rPr>
              <w:t xml:space="preserve">报价要求</w:t>
            </w:r>
            <w:r>
              <w:rPr>
                <w:rFonts w:ascii="宋体" w:hAnsi="宋体" w:cs="宋体"/>
                <w:szCs w:val="21"/>
              </w:rPr>
            </w:r>
            <w:r/>
          </w:p>
        </w:tc>
        <w:tc>
          <w:tcPr>
            <w:tcW w:w="5839" w:type="dxa"/>
            <w:vAlign w:val="center"/>
            <w:textDirection w:val="lrTb"/>
            <w:noWrap w:val="false"/>
          </w:tcPr>
          <w:p>
            <w:pPr>
              <w:pStyle w:val="720"/>
              <w:numPr>
                <w:ilvl w:val="0"/>
                <w:numId w:val="8"/>
              </w:numPr>
              <w:spacing w:line="240" w:lineRule="atLeast"/>
              <w:rPr>
                <w:rFonts w:ascii="宋体" w:hAnsi="宋体" w:eastAsia="宋体" w:cs="宋体"/>
              </w:rPr>
            </w:pPr>
            <w:r>
              <w:rPr>
                <w:rFonts w:hint="eastAsia" w:ascii="宋体" w:hAnsi="宋体" w:eastAsia="宋体" w:cs="宋体"/>
              </w:rPr>
              <w:t xml:space="preserve">本项目为基础环境集成实施服务项目，投标人报价应包含完成本项目全部建设内容，实现系统全部功能，直至通过最终验收、取得 B 级机房认证及质保期服务所必需的一切费用。</w:t>
            </w:r>
            <w:r>
              <w:rPr>
                <w:rFonts w:ascii="宋体" w:hAnsi="宋体" w:eastAsia="宋体" w:cs="宋体"/>
              </w:rPr>
            </w:r>
            <w:r/>
          </w:p>
          <w:p>
            <w:pPr>
              <w:pStyle w:val="720"/>
              <w:numPr>
                <w:ilvl w:val="0"/>
                <w:numId w:val="8"/>
              </w:numPr>
              <w:spacing w:line="240" w:lineRule="atLeast"/>
              <w:rPr>
                <w:rFonts w:ascii="宋体" w:hAnsi="宋体" w:eastAsia="宋体" w:cs="宋体"/>
              </w:rPr>
            </w:pPr>
            <w:r>
              <w:rPr>
                <w:rFonts w:hint="eastAsia" w:ascii="宋体" w:hAnsi="宋体" w:eastAsia="宋体" w:cs="宋体"/>
              </w:rPr>
              <w:t xml:space="preserve">本项目施工、安装和集成过程中所必需但项目需求清单未列明的其他费用（包括但不限于：零配件、辅材、机柜附件、理线件、跳线、光纤熔接耗材、接头、扎带、标识标签、专用工具、调试软件与工具、测试耗材、场内二次搬运、吊装、开孔、开槽、孔洞封堵、</w:t>
            </w:r>
            <w:r>
              <w:rPr>
                <w:rFonts w:hint="eastAsia" w:ascii="宋体" w:hAnsi="宋体" w:eastAsia="宋体" w:cs="宋体"/>
              </w:rPr>
              <w:t xml:space="preserve">墙面地面修补、等电位接地、线缆端接、原有管线 / 设备保护性拆除、成品保护、单点调试、跨系统联调测试、系统试运行保障、竣工图纸、竣工资料编制、软件配置、策略调试、B级机房认证所需检测、资料编制、整改、评审、取证、现场交叉施工配合、施工垃圾清运、人员及设备保险、夜间 / 节假日施工、第三方测评配合、验收配合、使用培训、质保期备品备件等全部相关费用）。投标人应充分踏勘现场，充分理解现场环境、原有信息化基础设施条件、多系统交叉集成约束，须将上述所有费用全部分摊至相应清单子目中综合报价，采购人不再另行支付任何费用。</w:t>
            </w:r>
            <w:r>
              <w:rPr>
                <w:rFonts w:ascii="宋体" w:hAnsi="宋体" w:eastAsia="宋体" w:cs="宋体"/>
              </w:rPr>
            </w:r>
            <w:r/>
          </w:p>
          <w:p>
            <w:pPr>
              <w:pStyle w:val="720"/>
              <w:numPr>
                <w:ilvl w:val="0"/>
                <w:numId w:val="8"/>
              </w:numPr>
              <w:spacing w:line="240" w:lineRule="atLeast"/>
              <w:rPr>
                <w:rFonts w:ascii="宋体" w:hAnsi="宋体" w:eastAsia="宋体" w:cs="宋体"/>
              </w:rPr>
            </w:pPr>
            <w:r>
              <w:rPr>
                <w:rFonts w:hint="eastAsia" w:ascii="宋体" w:hAnsi="宋体" w:eastAsia="宋体" w:cs="宋体"/>
              </w:rPr>
              <w:t xml:space="preserve">实施过程中，凡因投标人深化设计疏漏、现场勘查不到位、集成方案缺陷、产品配套缺失、施工工艺错误、对系统接口需求理解偏差、机房建设指标不满足 B 级机房认证要求等非采购人原因发生的变更、工程量增加、额外整改工作，合同总价不予调整，相关工作由投标人无偿完成。</w:t>
            </w:r>
            <w:r>
              <w:rPr>
                <w:rFonts w:ascii="宋体" w:hAnsi="宋体" w:eastAsia="宋体" w:cs="宋体"/>
              </w:rPr>
            </w:r>
            <w:r/>
          </w:p>
          <w:p>
            <w:pPr>
              <w:pStyle w:val="720"/>
              <w:numPr>
                <w:ilvl w:val="0"/>
                <w:numId w:val="8"/>
              </w:numPr>
              <w:spacing w:line="240" w:lineRule="atLeast"/>
              <w:rPr>
                <w:rFonts w:ascii="宋体" w:hAnsi="宋体" w:eastAsia="宋体" w:cs="宋体"/>
              </w:rPr>
            </w:pPr>
            <w:r>
              <w:rPr>
                <w:rFonts w:hint="eastAsia" w:ascii="宋体" w:hAnsi="宋体" w:eastAsia="宋体" w:cs="宋体"/>
              </w:rPr>
              <w:t xml:space="preserve">采购人负责提供现场集成用水、用电接驳点，用水、用电费用由采购人承担。中标人负责接驳点之后的支管、电缆、计量表具安装、运维、拆除、安全防护等全部工作及费用，包含在合同总价内。中标人应按采购人要求安装计量水表、电表，配合采购人抄表核查；因中标人违规使用、私拉乱接造成的损耗、罚款、安全责任由中标人承担。生活区用水用电由中标人自行承担。</w:t>
            </w:r>
            <w:r>
              <w:rPr>
                <w:rFonts w:ascii="宋体" w:hAnsi="宋体" w:eastAsia="宋体" w:cs="宋体"/>
              </w:rPr>
            </w:r>
            <w:r/>
          </w:p>
          <w:p>
            <w:pPr>
              <w:pStyle w:val="720"/>
              <w:numPr>
                <w:ilvl w:val="0"/>
                <w:numId w:val="8"/>
              </w:numPr>
              <w:spacing w:line="240" w:lineRule="atLeast"/>
              <w:rPr>
                <w:rFonts w:ascii="宋体" w:hAnsi="宋体" w:cs="宋体"/>
                <w:szCs w:val="21"/>
              </w:rPr>
            </w:pPr>
            <w:r>
              <w:rPr>
                <w:rFonts w:hint="eastAsia" w:ascii="宋体" w:hAnsi="宋体" w:eastAsia="宋体" w:cs="宋体"/>
              </w:rPr>
              <w:t xml:space="preserve">投标人报价视为已充分考虑各子系统接口、协议兼容性、机房各项指标满足 B 级机房认证要求，保证系统整体互联互通，达到招标文件、B 级机房认证规范及验收标准，不得以清单未列明、接口调试工作量超出预期、机房指标不达标需整改等理由提出追加费用。</w:t>
            </w:r>
            <w:r>
              <w:rPr>
                <w:rFonts w:ascii="宋体" w:hAnsi="宋体" w:cs="宋体"/>
                <w:szCs w:val="21"/>
              </w:rPr>
            </w:r>
            <w:r/>
          </w:p>
        </w:tc>
        <w:tc>
          <w:tcPr>
            <w:tcW w:w="4314" w:type="dxa"/>
            <w:vAlign w:val="center"/>
            <w:textDirection w:val="lrTb"/>
            <w:noWrap w:val="false"/>
          </w:tcPr>
          <w:p>
            <w:pPr>
              <w:pStyle w:val="720"/>
              <w:jc w:val="left"/>
              <w:spacing w:line="240" w:lineRule="atLeas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683"/>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620" w:type="dxa"/>
            <w:vAlign w:val="center"/>
            <w:textDirection w:val="lrTb"/>
            <w:noWrap w:val="false"/>
          </w:tcPr>
          <w:p>
            <w:pPr>
              <w:pStyle w:val="720"/>
              <w:jc w:val="center"/>
              <w:spacing w:line="240" w:lineRule="atLeast"/>
              <w:rPr>
                <w:rFonts w:ascii="宋体" w:hAnsi="宋体" w:cs="宋体"/>
              </w:rPr>
            </w:pPr>
            <w:r>
              <w:rPr>
                <w:rFonts w:hint="eastAsia" w:ascii="宋体" w:hAnsi="宋体" w:cs="宋体"/>
                <w:szCs w:val="21"/>
              </w:rPr>
              <w:t xml:space="preserve">付款方式</w:t>
            </w:r>
            <w:r>
              <w:rPr>
                <w:rFonts w:ascii="宋体" w:hAnsi="宋体" w:cs="宋体"/>
              </w:rPr>
            </w:r>
            <w:r/>
          </w:p>
        </w:tc>
        <w:tc>
          <w:tcPr>
            <w:tcW w:w="5839" w:type="dxa"/>
            <w:vAlign w:val="center"/>
            <w:textDirection w:val="lrTb"/>
            <w:noWrap w:val="false"/>
          </w:tcPr>
          <w:p>
            <w:pPr>
              <w:pStyle w:val="720"/>
              <w:jc w:val="left"/>
              <w:spacing w:line="240" w:lineRule="atLeast"/>
              <w:rPr>
                <w:rFonts w:ascii="宋体" w:hAnsi="宋体" w:cs="宋体"/>
                <w:bCs/>
                <w:u w:val="single"/>
              </w:rPr>
            </w:pPr>
            <w:r>
              <w:rPr>
                <w:rFonts w:hint="eastAsia" w:ascii="宋体" w:hAnsi="宋体" w:cs="宋体"/>
                <w:bCs/>
              </w:rPr>
              <w:t xml:space="preserve">本项目合同签订后支付合同价的30%；完成本项目集成实施服务并取得B级机房认证评测报告后支付合同价的30%；通过中国质量认证中心（CQC）的现场核验并取得B级《数据中心场地基础设施认证证书》后支付合同价的30%；余款在验收合格后一年对应日支付。</w:t>
            </w:r>
            <w:r>
              <w:rPr>
                <w:rFonts w:ascii="宋体" w:hAnsi="宋体" w:cs="宋体"/>
                <w:bCs/>
                <w:u w:val="single"/>
              </w:rPr>
            </w:r>
            <w:r/>
          </w:p>
        </w:tc>
        <w:tc>
          <w:tcPr>
            <w:tcW w:w="4314" w:type="dxa"/>
            <w:vAlign w:val="center"/>
            <w:textDirection w:val="lrTb"/>
            <w:noWrap w:val="false"/>
          </w:tcPr>
          <w:p>
            <w:pPr>
              <w:pStyle w:val="720"/>
              <w:jc w:val="left"/>
              <w:spacing w:line="240" w:lineRule="atLeas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582"/>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 w:val="21"/>
                <w:szCs w:val="21"/>
              </w:rPr>
            </w:pPr>
            <w:r>
              <w:rPr>
                <w:rFonts w:hint="eastAsia" w:ascii="宋体" w:hAnsi="宋体" w:cs="宋体"/>
                <w:szCs w:val="21"/>
              </w:rPr>
              <w:t xml:space="preserve">验收要求</w:t>
            </w:r>
            <w:r>
              <w:rPr>
                <w:rFonts w:ascii="宋体" w:hAnsi="宋体" w:cs="宋体"/>
                <w:sz w:val="21"/>
                <w:szCs w:val="21"/>
              </w:rPr>
            </w:r>
            <w:r/>
          </w:p>
        </w:tc>
        <w:tc>
          <w:tcPr>
            <w:tcW w:w="5839" w:type="dxa"/>
            <w:vAlign w:val="center"/>
            <w:textDirection w:val="lrTb"/>
            <w:noWrap w:val="false"/>
          </w:tcPr>
          <w:p>
            <w:pPr>
              <w:pStyle w:val="720"/>
              <w:jc w:val="left"/>
              <w:spacing w:line="240" w:lineRule="atLeast"/>
              <w:widowControl/>
              <w:rPr>
                <w:rFonts w:ascii="宋体" w:hAnsi="宋体" w:cs="宋体"/>
                <w:szCs w:val="21"/>
              </w:rPr>
            </w:pPr>
            <w:r>
              <w:rPr>
                <w:rFonts w:hint="eastAsia" w:ascii="宋体" w:hAnsi="宋体" w:cs="宋体"/>
                <w:szCs w:val="21"/>
              </w:rPr>
              <w:t xml:space="preserve">（1）项目验收按国家有关技术标准与规范以及本项目投标文件的响应内容、合同的约定内容进行。</w:t>
            </w:r>
            <w:r>
              <w:rPr>
                <w:rFonts w:ascii="宋体" w:hAnsi="宋体" w:cs="宋体"/>
                <w:szCs w:val="21"/>
              </w:rPr>
            </w:r>
            <w:r/>
          </w:p>
          <w:p>
            <w:pPr>
              <w:pStyle w:val="720"/>
              <w:jc w:val="left"/>
              <w:spacing w:line="240" w:lineRule="atLeast"/>
              <w:widowControl/>
              <w:rPr>
                <w:rFonts w:ascii="宋体" w:hAnsi="宋体" w:cs="宋体"/>
                <w:sz w:val="21"/>
                <w:szCs w:val="21"/>
              </w:rPr>
            </w:pPr>
            <w:r>
              <w:rPr>
                <w:rFonts w:hint="eastAsia" w:ascii="宋体" w:hAnsi="宋体" w:cs="宋体"/>
                <w:szCs w:val="21"/>
              </w:rPr>
              <w:t xml:space="preserve">（2）本项目完工后，其场地基础设施的各项技术指标、性能参数完全符合《数据中心基础设施施工及验收标准》(GB50462-2024)和《数据中心设计规范》（GB50174-2017）中B级机房的建设要求，能顺利通过国家权威测评机构的B级机房认证评测和中国质量认证中心（CQC）的现场核验，中标人协助并配合采购人顺利取得由中国质量认证中心（CQC）颁发的B级《数据中心场地基础设施认证证书》。</w:t>
            </w:r>
            <w:r>
              <w:rPr>
                <w:rFonts w:ascii="宋体" w:hAnsi="宋体" w:cs="宋体"/>
                <w:sz w:val="21"/>
                <w:szCs w:val="21"/>
              </w:rPr>
            </w:r>
            <w:r/>
          </w:p>
        </w:tc>
        <w:tc>
          <w:tcPr>
            <w:tcW w:w="4314" w:type="dxa"/>
            <w:vAlign w:val="center"/>
            <w:textDirection w:val="lrTb"/>
            <w:noWrap w:val="false"/>
          </w:tcPr>
          <w:p>
            <w:pPr>
              <w:pStyle w:val="720"/>
              <w:jc w:val="left"/>
              <w:spacing w:line="240" w:lineRule="atLeas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552"/>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软件要求</w:t>
            </w:r>
            <w:r>
              <w:rPr>
                <w:rFonts w:ascii="宋体" w:hAnsi="宋体" w:cs="宋体"/>
                <w:szCs w:val="21"/>
              </w:rPr>
            </w:r>
            <w:r/>
          </w:p>
        </w:tc>
        <w:tc>
          <w:tcPr>
            <w:tcW w:w="5839" w:type="dxa"/>
            <w:vAlign w:val="center"/>
            <w:textDirection w:val="lrTb"/>
            <w:noWrap w:val="false"/>
          </w:tcPr>
          <w:p>
            <w:pPr>
              <w:pStyle w:val="720"/>
              <w:jc w:val="left"/>
              <w:spacing w:line="240" w:lineRule="atLeast"/>
              <w:widowControl/>
              <w:rPr>
                <w:rFonts w:ascii="宋体" w:hAnsi="宋体" w:cs="宋体"/>
                <w:szCs w:val="21"/>
              </w:rPr>
            </w:pPr>
            <w:r>
              <w:rPr>
                <w:rFonts w:hint="eastAsia" w:ascii="宋体" w:hAnsi="宋体" w:cs="宋体"/>
                <w:szCs w:val="21"/>
              </w:rPr>
              <w:t xml:space="preserve">项目集成中所有涉及到软件及资源的，都必须提供正版或授权证书，不得使用盗版或无合规证书的软件与资源。</w:t>
            </w:r>
            <w:r>
              <w:rPr>
                <w:rFonts w:ascii="宋体" w:hAnsi="宋体" w:cs="宋体"/>
                <w:szCs w:val="21"/>
              </w:rPr>
            </w:r>
            <w:r/>
          </w:p>
        </w:tc>
        <w:tc>
          <w:tcPr>
            <w:tcW w:w="4314" w:type="dxa"/>
            <w:vAlign w:val="center"/>
            <w:textDirection w:val="lrTb"/>
            <w:noWrap w:val="false"/>
          </w:tcPr>
          <w:p>
            <w:pPr>
              <w:pStyle w:val="720"/>
              <w:jc w:val="left"/>
              <w:spacing w:line="240" w:lineRule="atLeast"/>
              <w:widowControl/>
              <w:rPr>
                <w:rFonts w:ascii="宋体" w:hAnsi="宋体" w:cs="宋体"/>
                <w:szCs w:val="21"/>
                <w:u w:val="single"/>
              </w:rPr>
            </w:pPr>
            <w:r>
              <w:rPr>
                <w:rFonts w:ascii="宋体" w:hAnsi="宋体" w:cs="宋体"/>
                <w:szCs w:val="21"/>
                <w:u w:val="single"/>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510"/>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违约责任</w:t>
            </w:r>
            <w:r>
              <w:rPr>
                <w:rFonts w:ascii="宋体" w:hAnsi="宋体" w:cs="宋体"/>
                <w:szCs w:val="21"/>
              </w:rPr>
            </w:r>
            <w:r/>
          </w:p>
        </w:tc>
        <w:tc>
          <w:tcPr>
            <w:tcW w:w="5839" w:type="dxa"/>
            <w:vAlign w:val="center"/>
            <w:textDirection w:val="lrTb"/>
            <w:noWrap w:val="false"/>
          </w:tcPr>
          <w:p>
            <w:pPr>
              <w:pStyle w:val="720"/>
              <w:jc w:val="left"/>
              <w:spacing w:line="240" w:lineRule="atLeast"/>
              <w:widowControl/>
              <w:rPr>
                <w:rFonts w:ascii="宋体" w:hAnsi="宋体" w:cs="宋体"/>
                <w:szCs w:val="21"/>
              </w:rPr>
            </w:pPr>
            <w:r>
              <w:rPr>
                <w:rFonts w:hint="eastAsia" w:ascii="宋体" w:hAnsi="宋体" w:cs="宋体"/>
                <w:szCs w:val="21"/>
              </w:rPr>
              <w:t xml:space="preserve">1. 工期延误：</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1）如果中标人非不可抗力因素造成未按照投标文件及合同约定的时间完成项目交付，每逾期1日，按合同总价0.3%支付违约金，违约金累计不超过合同总价10%；逾期超30日，则采购人有权利取消合同，中标人已经完成的工作无偿赠送予采购人，中标人退还采购人所有已经支付的款项。</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2）如果中标人因不可抗力因素或甲方原因造成未按照投标文件及合同约定的时间完成项目交付，必须出具书面说明阐述原因，采购人可酌情予以相应的宽限期。超过宽限期，每逾期1日，按合同总价0.3%支付违约金，违约金累计不超过合同总价10%；逾期超30日，则采购人有权利取消合同，中标人已经完成的工作无偿赠送予甲方，中标人退还采购人所有已经支付的款项。</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2.中标人应在产品到货前 24 小时通知采购人/监理人开展到货检验，并提交合同约定全套产品资料。中标人未能提供或提交资料不完整、不符合合同要求的，采购人/监理人有权拒绝该批货物进场，中标人应向采购人支付该批次货款10%的违约金。中标人应按采购人/监理人要求限期补齐合格资料并申请复验，期间产生的仓储、保管、转运等一切费用由中标人自行承担，工期不予顺延。</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工程质量、设备参数、测试结果不符合B级机房及CQC认证标准的，中标人须无偿返工、整改、复测、重新申报认证，承担工期延误及验收损失；情节严重的，采购人有权解除合同、扣除违约金并上报政府采购监管部门。</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3.因中标人设备选型、材料选用、施工质量、系统调试等原因导致B级机房评测不通过、CQC现场核验失败、无法按期取证的，视为中标人严重违约。中标人须无条件免费整改直至取证通过，并承担由此产生的所有费用及工期违约责任；逾期超过30日仍无法取得CQC B级机房认证证书的，采购人有权解除合同，中标人需退还采购人已支付全部款项，并按合同总价10%支付违约金，已经完成的工作无偿赠送予采购人和承担采购人全部经济损失。</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4. 中标人转包、分包、弄虚作假、报告造假、提供伪劣设备的，采购人有权立即解除合同，中标人支付合同总价10%违约金，并承担全部损失，纳入政府采购不良信用记录。</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5. 中标人在项目交付前，未能提供微模块（UPS+精密空调+精密配电柜+微模块监控采集器）制造厂商原厂三年售后服务承诺函的，采购人将对中标人处以合同总价 5 %违约金。</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6. 采购人未按合同约定付款，每逾期1日，按应付未付款项0.05%计算逾期利息。违约金上限不超过应付金额10%。</w:t>
            </w:r>
            <w:r>
              <w:rPr>
                <w:rFonts w:ascii="宋体" w:hAnsi="宋体" w:cs="宋体"/>
                <w:szCs w:val="21"/>
              </w:rPr>
            </w:r>
            <w:r/>
          </w:p>
        </w:tc>
        <w:tc>
          <w:tcPr>
            <w:tcW w:w="4314"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840"/>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质保及售后服务</w:t>
            </w:r>
            <w:r>
              <w:rPr>
                <w:rFonts w:ascii="宋体" w:hAnsi="宋体" w:cs="宋体"/>
                <w:szCs w:val="21"/>
              </w:rPr>
            </w:r>
            <w:r/>
          </w:p>
        </w:tc>
        <w:tc>
          <w:tcPr>
            <w:tcW w:w="5839" w:type="dxa"/>
            <w:vAlign w:val="center"/>
            <w:textDirection w:val="lrTb"/>
            <w:noWrap w:val="false"/>
          </w:tcPr>
          <w:p>
            <w:pPr>
              <w:pStyle w:val="720"/>
              <w:jc w:val="left"/>
              <w:spacing w:line="240" w:lineRule="atLeast"/>
              <w:widowControl/>
              <w:rPr>
                <w:rFonts w:ascii="宋体" w:hAnsi="宋体" w:cs="宋体"/>
                <w:szCs w:val="21"/>
              </w:rPr>
            </w:pPr>
            <w:r>
              <w:rPr>
                <w:rFonts w:hint="eastAsia" w:ascii="宋体" w:hAnsi="宋体" w:cs="宋体"/>
                <w:szCs w:val="21"/>
              </w:rPr>
              <w:t xml:space="preserve">1. 中标人应为本项目整体提供 3 年免费售后服务，其中微模块（UPS+精密空调+精密配电柜+微模块监控采集器）必须为制造厂商原厂三年售后服务。免费质保期自项目整体交付验收通过之日起计算。免费质保期满后，需提供在设备设计使用周期内的有偿包修（出保后应提供不同维保方式的收费标准及折扣率），并且保证在设备的设计使用周期内，采购人能更换或购买到原厂正品的零部件及易损件，确保设备的正常使用。中标人应在项目交付前提供微模块（UPS+精密空调+精密配电柜+微模块监控采集器）制造厂商针对本项目出具的原厂质保函。</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2. 中标人在质保期内应提供本项目所供设备日常运行所需耗材，包括空调、新风、恒湿机过滤网，空调制冷剂。需要按采购人要求对耗材进行更换或者补充，不另外收费。</w:t>
            </w:r>
            <w:r>
              <w:rPr>
                <w:rFonts w:ascii="宋体" w:hAnsi="宋体" w:cs="宋体"/>
                <w:szCs w:val="21"/>
              </w:rPr>
            </w:r>
            <w:r/>
          </w:p>
          <w:p>
            <w:pPr>
              <w:pStyle w:val="720"/>
              <w:jc w:val="left"/>
              <w:spacing w:line="240" w:lineRule="atLeast"/>
              <w:widowControl/>
              <w:rPr>
                <w:rFonts w:ascii="宋体" w:hAnsi="宋体" w:cs="宋体"/>
                <w:szCs w:val="21"/>
              </w:rPr>
            </w:pPr>
            <w:r>
              <w:rPr>
                <w:rFonts w:hint="eastAsia" w:ascii="宋体" w:hAnsi="宋体" w:cs="宋体"/>
                <w:szCs w:val="21"/>
              </w:rPr>
              <w:t xml:space="preserve">3.质保内容：中标人所提供设备及配套部件，非人为因素导致故障提供免费更换。</w:t>
            </w:r>
            <w:r>
              <w:rPr>
                <w:rFonts w:ascii="宋体" w:hAnsi="宋体" w:cs="宋体"/>
                <w:szCs w:val="21"/>
              </w:rPr>
            </w:r>
            <w:r/>
          </w:p>
        </w:tc>
        <w:tc>
          <w:tcPr>
            <w:tcW w:w="4314"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r>
        <w:trPr>
          <w:trHeight w:val="630"/>
        </w:trPr>
        <w:tc>
          <w:tcPr>
            <w:tcW w:w="913"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620" w:type="dxa"/>
            <w:vAlign w:val="center"/>
            <w:textDirection w:val="lrTb"/>
            <w:noWrap w:val="false"/>
          </w:tcPr>
          <w:p>
            <w:pPr>
              <w:pStyle w:val="720"/>
              <w:jc w:val="center"/>
              <w:spacing w:line="240" w:lineRule="atLeast"/>
              <w:widowControl/>
              <w:rPr>
                <w:rFonts w:ascii="宋体" w:hAnsi="宋体" w:cs="宋体"/>
                <w:szCs w:val="21"/>
              </w:rPr>
            </w:pPr>
            <w:r>
              <w:rPr>
                <w:rFonts w:hint="eastAsia" w:ascii="宋体" w:hAnsi="宋体" w:cs="宋体"/>
                <w:szCs w:val="21"/>
              </w:rPr>
              <w:t xml:space="preserve">售后响应时间</w:t>
            </w:r>
            <w:r>
              <w:rPr>
                <w:rFonts w:ascii="宋体" w:hAnsi="宋体" w:cs="宋体"/>
                <w:szCs w:val="21"/>
              </w:rPr>
            </w:r>
            <w:r/>
          </w:p>
        </w:tc>
        <w:tc>
          <w:tcPr>
            <w:tcW w:w="5839" w:type="dxa"/>
            <w:vAlign w:val="center"/>
            <w:textDirection w:val="lrTb"/>
            <w:noWrap w:val="false"/>
          </w:tcPr>
          <w:p>
            <w:pPr>
              <w:pStyle w:val="720"/>
              <w:jc w:val="left"/>
              <w:spacing w:line="240" w:lineRule="atLeast"/>
              <w:widowControl/>
              <w:rPr>
                <w:rFonts w:ascii="宋体" w:hAnsi="宋体" w:cs="宋体"/>
                <w:szCs w:val="21"/>
              </w:rPr>
            </w:pPr>
            <w:r>
              <w:rPr>
                <w:rFonts w:hint="eastAsia" w:ascii="宋体" w:hAnsi="宋体" w:cs="宋体"/>
                <w:szCs w:val="21"/>
              </w:rPr>
              <w:t xml:space="preserve">中标人提供7*24小时电话报修服务。接到报修后，紧急故障，4小时内抵达现场，承诺24小时内更换配件完成修复。一般故障，6小时内抵达现场，若硬件故障长时间无法修复的，将提供备品备件，故障处理时间最长不得超过48小时。</w:t>
            </w:r>
            <w:r>
              <w:rPr>
                <w:rFonts w:ascii="宋体" w:hAnsi="宋体" w:cs="宋体"/>
                <w:szCs w:val="21"/>
              </w:rPr>
            </w:r>
            <w:r/>
          </w:p>
        </w:tc>
        <w:tc>
          <w:tcPr>
            <w:tcW w:w="4314"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c>
          <w:tcPr>
            <w:tcW w:w="1701" w:type="dxa"/>
            <w:vAlign w:val="center"/>
            <w:textDirection w:val="lrTb"/>
            <w:noWrap w:val="false"/>
          </w:tcPr>
          <w:p>
            <w:pPr>
              <w:pStyle w:val="720"/>
              <w:jc w:val="center"/>
              <w:spacing w:line="240" w:lineRule="atLeast"/>
              <w:widowControl/>
              <w:rPr>
                <w:rFonts w:ascii="宋体" w:hAnsi="宋体" w:cs="宋体"/>
                <w:szCs w:val="21"/>
              </w:rPr>
            </w:pPr>
            <w:r>
              <w:rPr>
                <w:rFonts w:ascii="宋体" w:hAnsi="宋体" w:cs="宋体"/>
                <w:szCs w:val="21"/>
              </w:rPr>
            </w:r>
            <w:r/>
          </w:p>
        </w:tc>
      </w:tr>
    </w:tbl>
    <w:p>
      <w:pPr>
        <w:pStyle w:val="720"/>
        <w:jc w:val="left"/>
        <w:spacing w:line="440" w:lineRule="exact"/>
        <w:widowControl/>
        <w:rPr>
          <w:rFonts w:ascii="宋体" w:hAnsi="宋体" w:cs="宋体"/>
          <w:szCs w:val="21"/>
        </w:rPr>
      </w:pPr>
      <w:r>
        <w:rPr>
          <w:rFonts w:hint="eastAsia" w:ascii="宋体" w:hAnsi="宋体" w:cs="宋体"/>
          <w:szCs w:val="21"/>
        </w:rPr>
        <w:t xml:space="preserve">注：</w:t>
      </w:r>
      <w:r>
        <w:rPr>
          <w:rFonts w:hint="eastAsia" w:ascii="宋体" w:hAnsi="宋体" w:eastAsia="宋体" w:cs="宋体"/>
          <w:sz w:val="21"/>
          <w:szCs w:val="21"/>
        </w:rPr>
        <w:t xml:space="preserve">商务条款响应表中“投标文件响应”应答有不符合下列情形之一的，评标委员会将判定该商务条款应答为不满足招标文件要求，认定为负偏离，</w:t>
      </w:r>
      <w:r>
        <w:rPr>
          <w:rFonts w:hint="eastAsia" w:ascii="隶书" w:hAnsi="隶书" w:eastAsia="隶书" w:cs="隶书"/>
          <w:b/>
          <w:bCs/>
          <w:i/>
          <w:iCs/>
          <w:sz w:val="24"/>
        </w:rPr>
        <w:t xml:space="preserve">其投标无效</w:t>
      </w:r>
      <w:r>
        <w:rPr>
          <w:rFonts w:hint="eastAsia" w:ascii="宋体" w:hAnsi="宋体" w:eastAsia="宋体" w:cs="宋体"/>
          <w:sz w:val="20"/>
          <w:szCs w:val="20"/>
        </w:rPr>
        <w:t xml:space="preserve">。</w:t>
      </w:r>
      <w:r>
        <w:rPr>
          <w:rFonts w:ascii="宋体" w:hAnsi="宋体" w:cs="宋体"/>
          <w:szCs w:val="21"/>
        </w:rPr>
      </w:r>
      <w:r/>
    </w:p>
    <w:p>
      <w:pPr>
        <w:pStyle w:val="720"/>
        <w:numPr>
          <w:ilvl w:val="0"/>
          <w:numId w:val="9"/>
        </w:numPr>
        <w:ind w:firstLine="396"/>
        <w:jc w:val="left"/>
        <w:spacing w:line="440" w:lineRule="exact"/>
        <w:widowControl/>
        <w:rPr>
          <w:rFonts w:ascii="宋体" w:hAnsi="宋体" w:cs="宋体"/>
          <w:szCs w:val="21"/>
        </w:rPr>
      </w:pPr>
      <w:r>
        <w:rPr>
          <w:rFonts w:hint="eastAsia" w:ascii="宋体" w:hAnsi="宋体" w:cs="宋体"/>
          <w:szCs w:val="21"/>
        </w:rPr>
        <w:t xml:space="preserve">投标人必须针对上表列明的全部商务主要条款在“投标文件响应”栏逐条应答，不得合并应答、漏项应答，且必须满足招标文件要求。</w:t>
      </w:r>
      <w:r>
        <w:rPr>
          <w:rFonts w:ascii="宋体" w:hAnsi="宋体" w:cs="宋体"/>
          <w:szCs w:val="21"/>
        </w:rPr>
      </w:r>
      <w:r/>
    </w:p>
    <w:p>
      <w:pPr>
        <w:pStyle w:val="720"/>
        <w:numPr>
          <w:ilvl w:val="0"/>
          <w:numId w:val="9"/>
        </w:numPr>
        <w:ind w:firstLine="378"/>
        <w:jc w:val="left"/>
        <w:spacing w:line="440" w:lineRule="exact"/>
        <w:widowControl/>
        <w:rPr>
          <w:rFonts w:ascii="宋体" w:hAnsi="宋体" w:cs="宋体"/>
          <w:szCs w:val="21"/>
        </w:rPr>
      </w:pPr>
      <w:r>
        <w:rPr>
          <w:rFonts w:hint="eastAsia" w:ascii="宋体" w:hAnsi="宋体" w:eastAsia="宋体" w:cs="宋体"/>
          <w:sz w:val="21"/>
          <w:szCs w:val="21"/>
        </w:rPr>
        <w:t xml:space="preserve">“投标文件响应”栏应答表述禁止仅使用“满足”“符合”“无偏离”“同意”“完全响应”等概括性简单词语应答，须对条款内容作出实质性详细说明。</w:t>
      </w:r>
      <w:r>
        <w:rPr>
          <w:rFonts w:ascii="宋体" w:hAnsi="宋体" w:cs="宋体"/>
          <w:szCs w:val="21"/>
        </w:rPr>
      </w:r>
      <w:r/>
    </w:p>
    <w:p>
      <w:pPr>
        <w:pStyle w:val="720"/>
        <w:jc w:val="left"/>
        <w:spacing w:line="440" w:lineRule="exact"/>
        <w:widowControl/>
        <w:rPr>
          <w:rFonts w:ascii="宋体" w:hAnsi="宋体" w:eastAsia="宋体" w:cs="宋体"/>
          <w:sz w:val="21"/>
          <w:szCs w:val="21"/>
        </w:rPr>
      </w:pPr>
      <w:r>
        <w:rPr>
          <w:rFonts w:ascii="宋体" w:hAnsi="宋体" w:eastAsia="宋体" w:cs="宋体"/>
          <w:sz w:val="21"/>
          <w:szCs w:val="21"/>
        </w:rPr>
      </w:r>
      <w:r/>
    </w:p>
    <w:p>
      <w:pPr>
        <w:pStyle w:val="720"/>
        <w:jc w:val="left"/>
        <w:spacing w:line="440" w:lineRule="exact"/>
        <w:widowControl/>
        <w:rPr>
          <w:rFonts w:ascii="宋体" w:hAnsi="宋体" w:eastAsia="宋体" w:cs="宋体"/>
          <w:sz w:val="21"/>
          <w:szCs w:val="21"/>
        </w:rPr>
      </w:pPr>
      <w:r>
        <w:rPr>
          <w:rFonts w:ascii="宋体" w:hAnsi="宋体" w:eastAsia="宋体" w:cs="宋体"/>
          <w:sz w:val="21"/>
          <w:szCs w:val="21"/>
        </w:rPr>
      </w:r>
      <w:r/>
    </w:p>
    <w:p>
      <w:pPr>
        <w:pStyle w:val="720"/>
        <w:jc w:val="left"/>
        <w:widowControl/>
        <w:rPr>
          <w:rFonts w:ascii="宋体" w:hAnsi="宋体" w:cs="宋体"/>
          <w:szCs w:val="21"/>
        </w:rPr>
      </w:pPr>
      <w:r>
        <w:rPr>
          <w:rFonts w:ascii="宋体" w:hAnsi="宋体" w:cs="宋体"/>
          <w:szCs w:val="21"/>
        </w:rPr>
      </w:r>
      <w:r/>
    </w:p>
    <w:p>
      <w:pPr>
        <w:pStyle w:val="720"/>
        <w:ind w:left="420"/>
        <w:jc w:val="right"/>
        <w:spacing w:line="480" w:lineRule="auto"/>
        <w:rPr>
          <w:rFonts w:ascii="宋体" w:hAnsi="宋体" w:eastAsia="宋体" w:cs="宋体"/>
        </w:rPr>
      </w:pPr>
      <w:r>
        <w:rPr>
          <w:rFonts w:hint="eastAsia" w:ascii="宋体" w:hAnsi="宋体" w:eastAsia="宋体" w:cs="宋体"/>
        </w:rPr>
        <w:t xml:space="preserve">投标人公章：            （电子签章）</w:t>
      </w:r>
      <w:r>
        <w:rPr>
          <w:rFonts w:ascii="宋体" w:hAnsi="宋体" w:eastAsia="宋体" w:cs="宋体"/>
        </w:rPr>
      </w:r>
      <w:r/>
    </w:p>
    <w:p>
      <w:pPr>
        <w:pStyle w:val="720"/>
        <w:ind w:firstLine="480"/>
        <w:jc w:val="right"/>
        <w:spacing w:line="360" w:lineRule="auto"/>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ascii="宋体" w:hAnsi="宋体" w:eastAsia="宋体" w:cs="宋体"/>
        </w:rPr>
      </w:r>
      <w:r/>
    </w:p>
    <w:p>
      <w:pPr>
        <w:pStyle w:val="720"/>
        <w:ind w:firstLine="480"/>
        <w:jc w:val="right"/>
        <w:spacing w:line="360" w:lineRule="auto"/>
        <w:rPr>
          <w:rFonts w:ascii="宋体" w:hAnsi="宋体" w:eastAsia="宋体" w:cs="宋体"/>
        </w:rPr>
        <w:sectPr>
          <w:footnotePr/>
          <w:endnotePr/>
          <w:type w:val="nextPage"/>
          <w:pgSz w:w="16838" w:h="11906" w:orient="landscape"/>
          <w:pgMar w:top="1633" w:right="1440" w:bottom="1463" w:left="1440" w:header="851" w:footer="850" w:gutter="0"/>
          <w:cols w:num="1" w:sep="0" w:space="1701" w:equalWidth="1"/>
          <w:docGrid w:linePitch="360"/>
        </w:sectPr>
      </w:pPr>
      <w:r>
        <w:rPr>
          <w:rFonts w:ascii="宋体" w:hAnsi="宋体" w:eastAsia="宋体" w:cs="宋体"/>
        </w:rPr>
      </w:r>
      <w:r/>
    </w:p>
    <w:p>
      <w:pPr>
        <w:pStyle w:val="720"/>
        <w:jc w:val="center"/>
        <w:rPr>
          <w:rFonts w:ascii="宋体" w:hAnsi="宋体" w:cs="宋体"/>
          <w:b/>
          <w:bCs/>
          <w:sz w:val="24"/>
          <w:szCs w:val="24"/>
        </w:rPr>
      </w:pPr>
      <w:r>
        <w:rPr>
          <w:rFonts w:hint="eastAsia" w:ascii="宋体" w:hAnsi="宋体" w:cs="宋体"/>
          <w:b/>
          <w:bCs/>
          <w:sz w:val="24"/>
          <w:szCs w:val="24"/>
        </w:rPr>
        <w:t xml:space="preserve">靖江市人民医院数据中心机房升级改造基础环境集成实施服务项目</w:t>
      </w:r>
      <w:r>
        <w:rPr>
          <w:rFonts w:ascii="宋体" w:hAnsi="宋体" w:cs="宋体"/>
          <w:b/>
          <w:bCs/>
          <w:sz w:val="24"/>
          <w:szCs w:val="24"/>
        </w:rPr>
      </w:r>
      <w:r/>
    </w:p>
    <w:p>
      <w:pPr>
        <w:pStyle w:val="720"/>
        <w:jc w:val="center"/>
        <w:rPr>
          <w:rFonts w:ascii="宋体" w:hAnsi="宋体" w:cs="宋体"/>
          <w:b/>
          <w:bCs/>
          <w:sz w:val="21"/>
          <w:szCs w:val="21"/>
        </w:rPr>
      </w:pPr>
      <w:r>
        <w:rPr>
          <w:rFonts w:hint="eastAsia" w:ascii="宋体" w:hAnsi="宋体" w:cs="宋体"/>
          <w:b/>
          <w:bCs/>
          <w:sz w:val="24"/>
          <w:szCs w:val="24"/>
        </w:rPr>
        <w:t xml:space="preserve">服务质量与认证承诺书</w:t>
      </w:r>
      <w:r>
        <w:rPr>
          <w:rFonts w:ascii="宋体" w:hAnsi="宋体" w:cs="宋体"/>
          <w:b/>
          <w:bCs/>
          <w:sz w:val="21"/>
          <w:szCs w:val="21"/>
        </w:rPr>
      </w:r>
      <w:r/>
    </w:p>
    <w:p>
      <w:pPr>
        <w:pStyle w:val="720"/>
        <w:spacing w:line="560" w:lineRule="exact"/>
        <w:rPr>
          <w:rFonts w:ascii="宋体" w:hAnsi="宋体" w:cs="宋体"/>
        </w:rPr>
      </w:pPr>
      <w:r>
        <w:rPr>
          <w:rFonts w:hint="eastAsia" w:ascii="宋体" w:hAnsi="宋体" w:cs="宋体"/>
        </w:rPr>
        <w:t xml:space="preserve">致：</w:t>
      </w:r>
      <w:bookmarkStart w:id="408" w:name="_Hlk242540763"/>
      <w:r>
        <w:rPr>
          <w:rFonts w:hint="eastAsia" w:ascii="宋体" w:hAnsi="宋体" w:cs="宋体"/>
          <w:u w:val="single"/>
        </w:rPr>
        <w:t xml:space="preserve">靖江市人民医院</w:t>
      </w:r>
      <w:bookmarkEnd w:id="408"/>
      <w:r>
        <w:rPr>
          <w:rFonts w:ascii="宋体" w:hAnsi="宋体" w:cs="宋体"/>
        </w:rPr>
      </w:r>
      <w:r/>
    </w:p>
    <w:p>
      <w:pPr>
        <w:pStyle w:val="720"/>
        <w:ind w:firstLine="396"/>
        <w:spacing w:line="560" w:lineRule="exact"/>
        <w:rPr>
          <w:rFonts w:ascii="宋体" w:hAnsi="宋体" w:cs="宋体"/>
        </w:rPr>
      </w:pPr>
      <w:r>
        <w:rPr>
          <w:rFonts w:hint="eastAsia" w:ascii="宋体" w:hAnsi="宋体" w:cs="宋体"/>
        </w:rPr>
        <w:t xml:space="preserve">我方参与</w:t>
      </w:r>
      <w:r>
        <w:rPr>
          <w:rFonts w:hint="eastAsia" w:ascii="宋体" w:hAnsi="宋体" w:cs="宋体"/>
          <w:u w:val="single"/>
        </w:rPr>
        <w:t xml:space="preserve"> 靖江市人民医院数据中心机房升级改造基础环境集成实施服务项目  </w:t>
      </w:r>
      <w:r>
        <w:rPr>
          <w:rFonts w:hint="eastAsia" w:ascii="宋体" w:hAnsi="宋体" w:cs="宋体"/>
        </w:rPr>
        <w:t xml:space="preserve">的投标，充分理解本项目对场地基础设施安全性、可靠性及合规性的极高要求。为确保项目高标准、高质量交付，我方现就本项目服务质量、认证评测及相关配合事宜作出如下承诺：</w:t>
      </w:r>
      <w:r>
        <w:rPr>
          <w:rFonts w:ascii="宋体" w:hAnsi="宋体" w:cs="宋体"/>
        </w:rPr>
      </w:r>
      <w:r/>
    </w:p>
    <w:p>
      <w:pPr>
        <w:pStyle w:val="720"/>
        <w:spacing w:line="560" w:lineRule="exact"/>
        <w:rPr>
          <w:rFonts w:ascii="宋体" w:hAnsi="宋体" w:cs="宋体"/>
          <w:b/>
          <w:bCs/>
        </w:rPr>
      </w:pPr>
      <w:r>
        <w:rPr>
          <w:rFonts w:hint="eastAsia" w:ascii="宋体" w:hAnsi="宋体" w:cs="宋体"/>
          <w:b/>
          <w:bCs/>
        </w:rPr>
        <w:t xml:space="preserve">一、 服务过程无条件配合承诺</w:t>
      </w:r>
      <w:r>
        <w:rPr>
          <w:rFonts w:ascii="宋体" w:hAnsi="宋体" w:cs="宋体"/>
          <w:b/>
          <w:bCs/>
        </w:rPr>
      </w:r>
      <w:r/>
    </w:p>
    <w:p>
      <w:pPr>
        <w:pStyle w:val="720"/>
        <w:ind w:firstLine="396"/>
        <w:spacing w:line="560" w:lineRule="exact"/>
        <w:rPr>
          <w:rFonts w:ascii="宋体" w:hAnsi="宋体" w:cs="宋体"/>
        </w:rPr>
      </w:pPr>
      <w:r>
        <w:rPr>
          <w:rFonts w:hint="eastAsia" w:ascii="宋体" w:hAnsi="宋体" w:cs="宋体"/>
        </w:rPr>
        <w:t xml:space="preserve">在项目的施工、调试及验收等建设阶段，我方无条件接受并服从采购人、设计单位、监理单位、第三方测评机构的技术指导与监督管理。对于各方提出的合理技术建议、规范要求及整改意见，我方将第一时间响应并严格落实。</w:t>
      </w:r>
      <w:r>
        <w:rPr>
          <w:rFonts w:ascii="宋体" w:hAnsi="宋体" w:cs="宋体"/>
        </w:rPr>
      </w:r>
      <w:r/>
    </w:p>
    <w:p>
      <w:pPr>
        <w:pStyle w:val="720"/>
        <w:ind w:firstLine="396"/>
        <w:spacing w:line="560" w:lineRule="exact"/>
        <w:rPr>
          <w:rFonts w:ascii="宋体" w:hAnsi="宋体" w:cs="宋体"/>
        </w:rPr>
      </w:pPr>
      <w:r>
        <w:rPr>
          <w:rFonts w:hint="eastAsia" w:ascii="宋体" w:hAnsi="宋体" w:cs="宋体"/>
        </w:rPr>
        <w:t xml:space="preserve">我方将建立专项沟通机制，指定资深项目经理及技术负责人作为对接窗口，确保与采购人、设计单位、监理单位、测评机构的信息对称与高效协同，保障项目建设进度与质量目标的统一。</w:t>
      </w:r>
      <w:r>
        <w:rPr>
          <w:rFonts w:ascii="宋体" w:hAnsi="宋体" w:cs="宋体"/>
        </w:rPr>
      </w:r>
      <w:r/>
    </w:p>
    <w:p>
      <w:pPr>
        <w:pStyle w:val="720"/>
        <w:spacing w:line="560" w:lineRule="exact"/>
        <w:rPr>
          <w:rFonts w:ascii="宋体" w:hAnsi="宋体" w:cs="宋体"/>
          <w:b/>
          <w:bCs/>
        </w:rPr>
      </w:pPr>
      <w:r>
        <w:rPr>
          <w:rFonts w:hint="eastAsia" w:ascii="宋体" w:hAnsi="宋体" w:cs="宋体"/>
          <w:b/>
          <w:bCs/>
        </w:rPr>
        <w:t xml:space="preserve">二、 核心认证与评测达标承诺</w:t>
      </w:r>
      <w:r>
        <w:rPr>
          <w:rFonts w:ascii="宋体" w:hAnsi="宋体" w:cs="宋体"/>
          <w:b/>
          <w:bCs/>
        </w:rPr>
      </w:r>
      <w:r/>
    </w:p>
    <w:p>
      <w:pPr>
        <w:pStyle w:val="720"/>
        <w:ind w:firstLine="396"/>
        <w:spacing w:line="560" w:lineRule="exact"/>
        <w:rPr>
          <w:rFonts w:ascii="宋体" w:hAnsi="宋体" w:cs="宋体"/>
        </w:rPr>
      </w:pPr>
      <w:r>
        <w:rPr>
          <w:rFonts w:hint="eastAsia" w:ascii="宋体" w:hAnsi="宋体" w:cs="宋体"/>
        </w:rPr>
        <w:t xml:space="preserve">我方郑重承诺，</w:t>
      </w:r>
      <w:bookmarkStart w:id="409" w:name="_Hlk240982917"/>
      <w:r>
        <w:rPr>
          <w:rFonts w:hint="eastAsia" w:ascii="宋体" w:hAnsi="宋体" w:cs="宋体"/>
        </w:rPr>
        <w:t xml:space="preserve">本项目基础设施的各项技术指标、性能参数完全符合《数据中心基础设施施工及验收标准》(GB50462-2024)和《数据中心设计规范》（GB50174-2017）中B级机房的建设要求。本项目合同签订后75日历天内完成本项目集成实施服务并取得B级机房认证评测报告；合同签订后1</w:t>
      </w:r>
      <w:r>
        <w:rPr>
          <w:rFonts w:ascii="宋体" w:hAnsi="宋体" w:cs="宋体"/>
        </w:rPr>
        <w:t xml:space="preserve">2</w:t>
      </w:r>
      <w:r>
        <w:rPr>
          <w:rFonts w:hint="eastAsia" w:ascii="宋体" w:hAnsi="宋体" w:cs="宋体"/>
        </w:rPr>
        <w:t xml:space="preserve">0日历天内能顺利通过中国质量认证中心（CQC）的现场核验并取得由中国质量认证中心（CQC）颁发的B级《数据中心场地基础设施认证证书》</w:t>
      </w:r>
      <w:bookmarkEnd w:id="409"/>
      <w:r>
        <w:rPr>
          <w:rFonts w:hint="eastAsia" w:ascii="宋体" w:hAnsi="宋体" w:cs="宋体"/>
        </w:rPr>
        <w:t xml:space="preserve">。</w:t>
      </w:r>
      <w:r>
        <w:rPr>
          <w:rFonts w:ascii="宋体" w:hAnsi="宋体" w:cs="宋体"/>
        </w:rPr>
      </w:r>
      <w:r/>
    </w:p>
    <w:p>
      <w:pPr>
        <w:pStyle w:val="812"/>
        <w:numPr>
          <w:ilvl w:val="0"/>
          <w:numId w:val="7"/>
        </w:numPr>
        <w:spacing w:line="560" w:lineRule="exact"/>
        <w:rPr>
          <w:rFonts w:ascii="宋体" w:hAnsi="宋体" w:cs="宋体"/>
          <w:b/>
          <w:bCs/>
        </w:rPr>
      </w:pPr>
      <w:r>
        <w:rPr>
          <w:rFonts w:hint="eastAsia" w:ascii="宋体" w:hAnsi="宋体" w:cs="宋体"/>
          <w:b/>
          <w:bCs/>
        </w:rPr>
        <w:t xml:space="preserve"> 整改责任与费用承担承诺</w:t>
      </w:r>
      <w:r>
        <w:rPr>
          <w:rFonts w:ascii="宋体" w:hAnsi="宋体" w:cs="宋体"/>
          <w:b/>
          <w:bCs/>
        </w:rPr>
      </w:r>
      <w:r/>
    </w:p>
    <w:p>
      <w:pPr>
        <w:pStyle w:val="720"/>
        <w:ind w:firstLine="396"/>
        <w:spacing w:line="560" w:lineRule="exact"/>
        <w:rPr>
          <w:rFonts w:ascii="宋体" w:hAnsi="宋体" w:cs="宋体"/>
        </w:rPr>
      </w:pPr>
      <w:r>
        <w:rPr>
          <w:rFonts w:hint="eastAsia" w:ascii="宋体" w:hAnsi="宋体" w:cs="宋体"/>
        </w:rPr>
        <w:t xml:space="preserve">在项目施工、设备调试、B级机房认证评测及CQC现场核验过程中，如因我方设备选型、材料选用、施工质量、系统调试等原因导致未能达到B级机房标准或认证要求，我方承诺将无条件承担全部整改工作。所有因未达标而产生的整改费用（包括但不限于人工费、材料费、设备更换费、重新测试费、专家评审费等）均由我方全额承担，绝不向采购人提出任何额外的费用索赔或签证要求。</w:t>
      </w:r>
      <w:r>
        <w:rPr>
          <w:rFonts w:ascii="宋体" w:hAnsi="宋体" w:cs="宋体"/>
        </w:rPr>
      </w:r>
      <w:r/>
    </w:p>
    <w:p>
      <w:pPr>
        <w:pStyle w:val="720"/>
        <w:spacing w:line="560" w:lineRule="exact"/>
        <w:rPr>
          <w:rFonts w:ascii="宋体" w:hAnsi="宋体" w:cs="宋体"/>
          <w:b/>
          <w:bCs/>
        </w:rPr>
      </w:pPr>
      <w:r>
        <w:rPr>
          <w:rFonts w:hint="eastAsia" w:ascii="宋体" w:hAnsi="宋体" w:cs="宋体"/>
          <w:b/>
          <w:bCs/>
        </w:rPr>
        <w:t xml:space="preserve">四、 违约责任</w:t>
      </w:r>
      <w:r>
        <w:rPr>
          <w:rFonts w:ascii="宋体" w:hAnsi="宋体" w:cs="宋体"/>
          <w:b/>
          <w:bCs/>
        </w:rPr>
      </w:r>
      <w:r/>
    </w:p>
    <w:p>
      <w:pPr>
        <w:pStyle w:val="720"/>
        <w:ind w:firstLine="396"/>
        <w:spacing w:line="560" w:lineRule="exact"/>
        <w:rPr>
          <w:rFonts w:ascii="宋体" w:hAnsi="宋体" w:cs="宋体"/>
        </w:rPr>
      </w:pPr>
      <w:r>
        <w:rPr>
          <w:rFonts w:hint="eastAsia" w:ascii="宋体" w:hAnsi="宋体" w:cs="宋体"/>
        </w:rPr>
        <w:t xml:space="preserve">若我方未能履行上述承诺，导致本项目合同签订后75</w:t>
      </w:r>
      <w:r>
        <w:rPr>
          <w:rFonts w:hint="eastAsia" w:ascii="宋体" w:hAnsi="宋体" w:cs="宋体"/>
          <w:szCs w:val="21"/>
        </w:rPr>
        <w:t xml:space="preserve">日历天</w:t>
      </w:r>
      <w:r>
        <w:rPr>
          <w:rFonts w:hint="eastAsia" w:ascii="宋体" w:hAnsi="宋体" w:cs="宋体"/>
        </w:rPr>
        <w:t xml:space="preserve">内未能完成并取得B级机房认证评测报告或合同签订后1</w:t>
      </w:r>
      <w:r>
        <w:rPr>
          <w:rFonts w:ascii="宋体" w:hAnsi="宋体" w:cs="宋体"/>
        </w:rPr>
        <w:t xml:space="preserve">2</w:t>
      </w:r>
      <w:r>
        <w:rPr>
          <w:rFonts w:hint="eastAsia" w:ascii="宋体" w:hAnsi="宋体" w:cs="宋体"/>
        </w:rPr>
        <w:t xml:space="preserve">0</w:t>
      </w:r>
      <w:r>
        <w:rPr>
          <w:rFonts w:hint="eastAsia" w:ascii="宋体" w:hAnsi="宋体" w:cs="宋体"/>
          <w:szCs w:val="21"/>
        </w:rPr>
        <w:t xml:space="preserve">日历</w:t>
      </w:r>
      <w:r>
        <w:rPr>
          <w:rFonts w:hint="eastAsia" w:ascii="宋体" w:hAnsi="宋体" w:cs="宋体"/>
        </w:rPr>
        <w:t xml:space="preserve">天内未能取得B级《数据中心场地基础设施认证证书》，我方自愿承担以每天</w:t>
      </w:r>
      <w:bookmarkStart w:id="410" w:name="_Hlk242366210"/>
      <w:r>
        <w:rPr>
          <w:rFonts w:hint="eastAsia" w:ascii="宋体" w:hAnsi="宋体" w:cs="宋体"/>
          <w:u w:val="single"/>
        </w:rPr>
        <w:t xml:space="preserve"> 0.3%</w:t>
      </w:r>
      <w:bookmarkEnd w:id="410"/>
      <w:r>
        <w:rPr>
          <w:rFonts w:hint="eastAsia" w:ascii="宋体" w:hAnsi="宋体" w:cs="宋体"/>
          <w:u w:val="single"/>
        </w:rPr>
        <w:t xml:space="preserve"> </w:t>
      </w:r>
      <w:r>
        <w:rPr>
          <w:rFonts w:hint="eastAsia" w:ascii="宋体" w:hAnsi="宋体" w:cs="宋体"/>
        </w:rPr>
        <w:t xml:space="preserve">合同总额的违约金，超过30日历天仍无法通过项目初验或未能取得B级《数据中心场地基础设施认证证书》，我方同意采购人取消合同，我方已经完成的工作无偿赠送予采购人并退还采购人所有已经支付的款项。</w:t>
      </w:r>
      <w:r>
        <w:rPr>
          <w:rFonts w:ascii="宋体" w:hAnsi="宋体" w:cs="宋体"/>
        </w:rPr>
      </w:r>
      <w:r/>
    </w:p>
    <w:p>
      <w:pPr>
        <w:pStyle w:val="720"/>
        <w:ind w:firstLine="396"/>
        <w:spacing w:line="560" w:lineRule="exact"/>
        <w:rPr>
          <w:rFonts w:ascii="宋体" w:hAnsi="宋体" w:cs="宋体"/>
        </w:rPr>
      </w:pPr>
      <w:r>
        <w:rPr>
          <w:rFonts w:hint="eastAsia" w:ascii="宋体" w:hAnsi="宋体" w:cs="宋体"/>
        </w:rPr>
        <w:t xml:space="preserve">特此承诺！</w:t>
      </w:r>
      <w:r>
        <w:rPr>
          <w:rFonts w:ascii="宋体" w:hAnsi="宋体" w:cs="宋体"/>
        </w:rPr>
      </w:r>
      <w:r/>
    </w:p>
    <w:p>
      <w:pPr>
        <w:pStyle w:val="720"/>
        <w:ind w:left="2420"/>
        <w:spacing w:line="360" w:lineRule="auto"/>
        <w:rPr>
          <w:rFonts w:ascii="宋体" w:hAnsi="宋体" w:cs="宋体"/>
        </w:rPr>
      </w:pPr>
      <w:r>
        <w:rPr>
          <w:rFonts w:ascii="宋体" w:hAnsi="宋体" w:cs="宋体"/>
        </w:rPr>
      </w:r>
      <w:r/>
    </w:p>
    <w:p>
      <w:pPr>
        <w:pStyle w:val="720"/>
        <w:ind w:left="2420"/>
        <w:spacing w:line="360" w:lineRule="auto"/>
        <w:rPr>
          <w:rFonts w:ascii="宋体" w:hAnsi="宋体" w:cs="宋体"/>
        </w:rPr>
      </w:pPr>
      <w:r>
        <w:rPr>
          <w:rFonts w:ascii="宋体" w:hAnsi="宋体" w:cs="宋体"/>
        </w:rPr>
      </w:r>
      <w:r/>
    </w:p>
    <w:p>
      <w:pPr>
        <w:pStyle w:val="720"/>
        <w:ind w:firstLine="480"/>
        <w:jc w:val="right"/>
        <w:spacing w:line="560" w:lineRule="exact"/>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560" w:lineRule="exact"/>
        <w:rPr>
          <w:rFonts w:ascii="宋体" w:hAnsi="宋体" w:cs="宋体"/>
        </w:rPr>
      </w:pPr>
      <w:r>
        <w:rPr>
          <w:rFonts w:hint="eastAsia" w:ascii="宋体" w:hAnsi="宋体" w:cs="宋体"/>
        </w:rPr>
        <w:t xml:space="preserve">法定代表人：            （电子签章）</w:t>
      </w:r>
      <w:r>
        <w:rPr>
          <w:rFonts w:ascii="宋体" w:hAnsi="宋体" w:cs="宋体"/>
        </w:rPr>
      </w:r>
      <w:r/>
    </w:p>
    <w:p>
      <w:pPr>
        <w:pStyle w:val="720"/>
        <w:ind w:firstLine="480"/>
        <w:jc w:val="right"/>
        <w:spacing w:line="360" w:lineRule="auto"/>
        <w:rPr>
          <w:rFonts w:ascii="华文中宋" w:hAnsi="华文中宋" w:eastAsia="华文中宋" w:cs="华文中宋"/>
        </w:rPr>
      </w:pP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jc w:val="center"/>
        <w:spacing w:line="360" w:lineRule="auto"/>
        <w:rPr>
          <w:rFonts w:ascii="黑体" w:hAnsi="黑体" w:eastAsia="黑体"/>
          <w:sz w:val="32"/>
          <w:szCs w:val="24"/>
          <w:lang w:val="en-US" w:eastAsia="zh-CN"/>
        </w:rPr>
      </w:pPr>
      <w:r>
        <w:rPr>
          <w:rFonts w:hint="eastAsia" w:ascii="黑体" w:hAnsi="黑体" w:eastAsia="黑体"/>
          <w:sz w:val="32"/>
          <w:szCs w:val="24"/>
          <w:lang w:val="en-US" w:eastAsia="zh-CN"/>
        </w:rPr>
        <w:t xml:space="preserve">集成实施方案</w:t>
      </w:r>
      <w:r>
        <w:rPr>
          <w:rFonts w:ascii="黑体" w:hAnsi="黑体" w:eastAsia="黑体"/>
          <w:sz w:val="32"/>
          <w:szCs w:val="24"/>
          <w:lang w:val="en-US" w:eastAsia="zh-CN"/>
        </w:rPr>
      </w:r>
      <w:r/>
    </w:p>
    <w:p>
      <w:pPr>
        <w:pStyle w:val="720"/>
        <w:ind w:firstLine="480"/>
        <w:spacing w:line="360" w:lineRule="auto"/>
        <w:rPr>
          <w:rFonts w:hint="eastAsia" w:ascii="华文中宋" w:hAnsi="华文中宋" w:eastAsia="华文中宋" w:cs="华文中宋"/>
          <w:lang w:eastAsia="zh-CN"/>
        </w:rPr>
      </w:pPr>
      <w:r>
        <w:rPr>
          <w:rFonts w:hint="eastAsia" w:ascii="华文中宋" w:hAnsi="华文中宋" w:eastAsia="华文中宋" w:cs="华文中宋"/>
          <w:lang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系统安装工艺</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质量管控流程及措施</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进度计划及管控措施</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安全文明生产管理</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系统调试检测试运行</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售后培训及质保服务</w:t>
      </w:r>
      <w:r>
        <w:rPr>
          <w:rFonts w:hint="eastAsia" w:ascii="黑体" w:hAnsi="黑体" w:eastAsia="黑体"/>
          <w:sz w:val="24"/>
          <w:szCs w:val="21"/>
          <w:lang w:val="en-US" w:eastAsia="zh-CN"/>
        </w:rPr>
        <w:tab/>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机房验收方案</w:t>
      </w:r>
      <w:r>
        <w:rPr>
          <w:rFonts w:hint="eastAsia" w:ascii="黑体" w:hAnsi="黑体" w:eastAsia="黑体"/>
          <w:sz w:val="24"/>
          <w:szCs w:val="21"/>
          <w:lang w:val="en-US" w:eastAsia="zh-CN"/>
        </w:rPr>
      </w:r>
      <w:r/>
    </w:p>
    <w:p>
      <w:pPr>
        <w:pStyle w:val="720"/>
        <w:jc w:val="center"/>
        <w:spacing w:line="360" w:lineRule="auto"/>
        <w:rPr>
          <w:rFonts w:hint="eastAsia" w:ascii="黑体" w:hAnsi="黑体" w:eastAsia="黑体"/>
          <w:sz w:val="24"/>
          <w:szCs w:val="21"/>
          <w:lang w:val="en-US" w:eastAsia="zh-CN"/>
        </w:rPr>
      </w:pPr>
      <w:r>
        <w:rPr>
          <w:rFonts w:hint="eastAsia" w:ascii="黑体" w:hAnsi="黑体" w:eastAsia="黑体"/>
          <w:sz w:val="24"/>
          <w:szCs w:val="21"/>
          <w:lang w:val="en-US" w:eastAsia="zh-CN"/>
        </w:rPr>
        <w:t xml:space="preserve">……</w:t>
      </w:r>
      <w:r>
        <w:rPr>
          <w:rFonts w:hint="eastAsia" w:ascii="黑体" w:hAnsi="黑体" w:eastAsia="黑体"/>
          <w:sz w:val="24"/>
          <w:szCs w:val="21"/>
          <w:lang w:val="en-US" w:eastAsia="zh-CN"/>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ind w:firstLine="480"/>
        <w:spacing w:line="360" w:lineRule="auto"/>
        <w:rPr>
          <w:rFonts w:ascii="华文中宋" w:hAnsi="华文中宋" w:eastAsia="华文中宋" w:cs="华文中宋"/>
        </w:rPr>
      </w:pPr>
      <w:r>
        <w:rPr>
          <w:rFonts w:ascii="华文中宋" w:hAnsi="华文中宋" w:eastAsia="华文中宋" w:cs="华文中宋"/>
        </w:rPr>
      </w:r>
      <w:r/>
    </w:p>
    <w:p>
      <w:pPr>
        <w:pStyle w:val="720"/>
        <w:spacing w:line="360" w:lineRule="auto"/>
        <w:rPr>
          <w:rFonts w:ascii="华文中宋" w:hAnsi="华文中宋" w:eastAsia="华文中宋" w:cs="华文中宋"/>
        </w:rPr>
        <w:sectPr>
          <w:footnotePr/>
          <w:endnotePr/>
          <w:type w:val="nextPage"/>
          <w:pgSz w:w="11906" w:h="16838" w:orient="portrait"/>
          <w:pgMar w:top="1440" w:right="1463" w:bottom="1440" w:left="1633" w:header="851" w:footer="850" w:gutter="0"/>
          <w:cols w:num="1" w:sep="0" w:space="1701" w:equalWidth="1"/>
          <w:docGrid w:linePitch="360"/>
        </w:sectPr>
      </w:pPr>
      <w:r>
        <w:rPr>
          <w:rFonts w:ascii="华文中宋" w:hAnsi="华文中宋" w:eastAsia="华文中宋" w:cs="华文中宋"/>
        </w:rPr>
      </w:r>
      <w:r/>
    </w:p>
    <w:p>
      <w:pPr>
        <w:pStyle w:val="720"/>
        <w:jc w:val="center"/>
        <w:spacing w:line="360" w:lineRule="auto"/>
        <w:rPr>
          <w:rFonts w:ascii="黑体" w:hAnsi="黑体" w:eastAsia="黑体"/>
          <w:sz w:val="36"/>
          <w:szCs w:val="28"/>
        </w:rPr>
      </w:pPr>
      <w:r>
        <w:rPr>
          <w:rFonts w:hint="eastAsia" w:ascii="黑体" w:hAnsi="黑体" w:eastAsia="黑体"/>
          <w:sz w:val="28"/>
        </w:rPr>
        <w:t xml:space="preserve">技术条款响应表</w:t>
      </w:r>
      <w:r>
        <w:rPr>
          <w:rFonts w:ascii="黑体" w:hAnsi="黑体" w:eastAsia="黑体"/>
          <w:sz w:val="36"/>
          <w:szCs w:val="28"/>
        </w:rPr>
      </w:r>
      <w:r/>
    </w:p>
    <w:tbl>
      <w:tblPr>
        <w:tblW w:w="1423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29"/>
        <w:gridCol w:w="5404"/>
        <w:gridCol w:w="4394"/>
        <w:gridCol w:w="1657"/>
      </w:tblGrid>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ascii="宋体" w:hAnsi="宋体" w:cs="宋体"/>
                <w:b/>
                <w:bCs/>
                <w:color w:val="000000"/>
                <w:sz w:val="20"/>
                <w:szCs w:val="20"/>
              </w:rPr>
            </w:r>
            <w:r/>
          </w:p>
        </w:tc>
        <w:tc>
          <w:tcPr>
            <w:shd w:val="clear" w:color="auto" w:fill="ffffff"/>
            <w:tcW w:w="2029" w:type="dxa"/>
            <w:vAlign w:val="center"/>
            <w:vMerge w:val="restart"/>
            <w:textDirection w:val="lrTb"/>
            <w:noWrap/>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系统/名称</w:t>
            </w:r>
            <w:r>
              <w:rPr>
                <w:rFonts w:ascii="宋体" w:hAnsi="宋体" w:cs="宋体"/>
                <w:b/>
                <w:bCs/>
                <w:color w:val="000000"/>
                <w:sz w:val="20"/>
                <w:szCs w:val="20"/>
              </w:rPr>
            </w:r>
            <w:r/>
          </w:p>
        </w:tc>
        <w:tc>
          <w:tcPr>
            <w:gridSpan w:val="2"/>
            <w:shd w:val="clear" w:color="auto" w:fill="ffffff"/>
            <w:tcW w:w="9798" w:type="dxa"/>
            <w:vAlign w:val="center"/>
            <w:textDirection w:val="lrTb"/>
            <w:noWrap/>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技术要求</w:t>
            </w:r>
            <w:r>
              <w:rPr>
                <w:rFonts w:ascii="宋体" w:hAnsi="宋体" w:cs="宋体"/>
                <w:b/>
                <w:bCs/>
                <w:color w:val="000000"/>
                <w:sz w:val="20"/>
                <w:szCs w:val="20"/>
              </w:rPr>
            </w:r>
            <w:r/>
          </w:p>
        </w:tc>
        <w:tc>
          <w:tcPr>
            <w:shd w:val="clear" w:color="auto" w:fill="ffffff"/>
            <w:tcW w:w="1657" w:type="dxa"/>
            <w:vAlign w:val="center"/>
            <w:vMerge w:val="restart"/>
            <w:textDirection w:val="lrTb"/>
            <w:noWrap w:val="false"/>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偏离情况</w:t>
            </w:r>
            <w:r>
              <w:rPr>
                <w:rFonts w:hint="eastAsia" w:ascii="宋体" w:hAnsi="宋体" w:cs="宋体"/>
                <w:b/>
                <w:bCs/>
                <w:color w:val="000000"/>
                <w:sz w:val="20"/>
                <w:szCs w:val="20"/>
                <w:lang w:bidi="ar"/>
              </w:rPr>
              <w:br w:type="textWrapping" w:clear="all"/>
            </w:r>
            <w:r>
              <w:rPr>
                <w:rFonts w:hint="eastAsia" w:ascii="宋体" w:hAnsi="宋体" w:cs="宋体"/>
                <w:b/>
                <w:bCs/>
                <w:color w:val="000000"/>
                <w:sz w:val="20"/>
                <w:szCs w:val="20"/>
                <w:lang w:bidi="ar"/>
              </w:rPr>
              <w:t xml:space="preserve">（正/负/无）</w:t>
            </w:r>
            <w:r>
              <w:rPr>
                <w:rFonts w:ascii="宋体" w:hAnsi="宋体" w:cs="宋体"/>
                <w:b/>
                <w:bCs/>
                <w:color w:val="000000"/>
                <w:sz w:val="20"/>
                <w:szCs w:val="20"/>
              </w:rPr>
            </w:r>
            <w:r/>
          </w:p>
        </w:tc>
      </w:tr>
      <w:tr>
        <w:trPr>
          <w:trHeight w:val="356"/>
        </w:trPr>
        <w:tc>
          <w:tcPr>
            <w:shd w:val="clear" w:color="auto" w:fill="ffffff"/>
            <w:tcW w:w="746" w:type="dxa"/>
            <w:vAlign w:val="center"/>
            <w:vMerge w:val="continue"/>
            <w:textDirection w:val="lrTb"/>
            <w:noWrap/>
          </w:tcPr>
          <w:p>
            <w:pPr>
              <w:pStyle w:val="720"/>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W w:w="2029" w:type="dxa"/>
            <w:vAlign w:val="center"/>
            <w:vMerge w:val="continue"/>
            <w:textDirection w:val="lrTb"/>
            <w:noWrap/>
          </w:tcPr>
          <w:p>
            <w:pPr>
              <w:pStyle w:val="720"/>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ffffff"/>
            <w:tcW w:w="5404" w:type="dxa"/>
            <w:vAlign w:val="center"/>
            <w:textDirection w:val="lrTb"/>
            <w:noWrap w:val="false"/>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招标要求</w:t>
            </w:r>
            <w:r>
              <w:rPr>
                <w:rFonts w:ascii="宋体" w:hAnsi="宋体" w:cs="宋体"/>
                <w:b/>
                <w:bCs/>
                <w:color w:val="000000"/>
                <w:sz w:val="20"/>
                <w:szCs w:val="20"/>
              </w:rPr>
            </w:r>
            <w:r/>
          </w:p>
        </w:tc>
        <w:tc>
          <w:tcPr>
            <w:shd w:val="clear" w:color="auto" w:fill="ffffff"/>
            <w:tcW w:w="4394" w:type="dxa"/>
            <w:vAlign w:val="center"/>
            <w:textDirection w:val="lrTb"/>
            <w:noWrap w:val="false"/>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投标响应</w:t>
            </w:r>
            <w:r>
              <w:rPr>
                <w:rFonts w:ascii="宋体" w:hAnsi="宋体" w:cs="宋体"/>
                <w:b/>
                <w:bCs/>
                <w:color w:val="000000"/>
                <w:sz w:val="20"/>
                <w:szCs w:val="20"/>
              </w:rPr>
            </w:r>
            <w:r/>
          </w:p>
        </w:tc>
        <w:tc>
          <w:tcPr>
            <w:shd w:val="clear" w:color="auto" w:fill="ffffff"/>
            <w:tcW w:w="1657" w:type="dxa"/>
            <w:vAlign w:val="center"/>
            <w:vMerge w:val="continue"/>
            <w:textDirection w:val="lrTb"/>
            <w:noWrap w:val="false"/>
          </w:tcPr>
          <w:p>
            <w:pPr>
              <w:pStyle w:val="720"/>
              <w:jc w:val="center"/>
              <w:rPr>
                <w:rFonts w:ascii="宋体" w:hAnsi="宋体" w:cs="宋体"/>
                <w:b/>
                <w:bCs/>
                <w:color w:val="000000"/>
                <w:sz w:val="20"/>
                <w:szCs w:val="20"/>
              </w:rPr>
            </w:pPr>
            <w:r>
              <w:rPr>
                <w:rFonts w:ascii="宋体" w:hAnsi="宋体" w:cs="宋体"/>
                <w:b/>
                <w:bCs/>
                <w:color w:val="000000"/>
                <w:sz w:val="20"/>
                <w:szCs w:val="20"/>
              </w:rPr>
            </w:r>
            <w:r/>
          </w:p>
        </w:tc>
      </w:tr>
      <w:tr>
        <w:trPr>
          <w:trHeight w:val="260"/>
        </w:trPr>
        <w:tc>
          <w:tcPr>
            <w:gridSpan w:val="5"/>
            <w:shd w:val="clear" w:color="auto" w:fill="ffffff"/>
            <w:tcW w:w="14230" w:type="dxa"/>
            <w:vAlign w:val="center"/>
            <w:textDirection w:val="lrTb"/>
            <w:noWrap w:val="false"/>
          </w:tcPr>
          <w:p>
            <w:pPr>
              <w:pStyle w:val="720"/>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一、机房装修系统</w:t>
            </w:r>
            <w:r>
              <w:rPr>
                <w:rFonts w:ascii="宋体" w:hAnsi="宋体" w:cs="宋体"/>
                <w:b/>
                <w:bCs/>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（一）顶面部分</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微孔铝吊顶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★（1）材质规格：冲孔铝扣板，600mm*600mm*1.0mm。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（2）表面工艺：聚脂粉末漆，厚度1.0mm。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（3）配套体系：全套双面镀锌防锈轻钢龙骨（U50、厚度≥0.5mm）、4141C型钢、热镀锌吊筋、膨胀螺栓、吊件、挂件、连接件、垫片等防腐辅材；配套同色同工艺L型25*25mm铝合金压边条及中性耐候密封胶。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（4）安装规范：吊杆独立固定于结构楼板，严禁固定在机电管线、设备、桥架上；吊杆长度大于1.5m设置反支撑加固；龙骨按房间短跨1‰～3‰起拱，龙骨拼接错缝布置，整体骨架牢固、平整、顺直。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（5）集成内容：包含材料采购、运输、现场安装、龙骨排布调平、面板安装、设备洞口开孔加固、收边密封、现场清洁、全过程成品保护等全部工序。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★（6）燃烧性能：符合《建筑材料及制品燃烧性能分级》GB8624-2012标准中平板状建筑材料及制品A(A2)级的规定要求，【到货验收时提供有效的检测报告供采购人核验】。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橡塑保温</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（1）材质：高密度橡塑保温材料。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（2）厚度：保温层标准厚度20mm。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（3）表面构造：保温层外表面自带贴合铝箔面层。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（4）性能指标：橡塑保温为难燃B1级，防火、隔热、保温性能满足建筑节能及消防规范要求。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（5）施工范围：用于吊顶以上楼板、风管、管线对应区域保温铺贴，满铺施工，不留空白、不漏铺。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（6）粘贴工艺：采用专用橡塑专用粘结胶水满粘粘贴，粘接牢固，接缝严密，拼缝错开，杜绝空鼓、松动、翘边。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（7）收口处理：保温接缝、端头、边角位置密封严实，搭接规整，整体封闭完整，杜绝冷桥、结露现象。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（8）集成内容：包含基层清理、裁切下料、涂刷胶水、粘贴保温板、铝箔面层平整压实、接缝密封、成品保护、清理收尾等全部工序。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防尘涂料</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（1）涂料材质：采用专用环保防尘涂料。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（2）涂刷范围：机房吊顶区域。</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（3）施工工艺：基层处理完成后，分三遍均匀涂刷，薄涂多遍，严禁一遍厚涂，确保漆膜均匀饱满。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（4）基层要求：施工前基层平整、坚实、干燥、无浮灰、无油污、无起砂起皮，彻底清理干净。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（5）面层效果：涂刷完成后表面致密光滑，封闭基层孔隙，有效防尘、防起灰、防静电。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（6）质量要求：漆膜厚薄均匀、无色差、无流挂、无漏刷、无起皮开裂，整体观感整洁统一。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（7）集成内容：包含基层清理、打磨除尘、三遍分层涂刷、养护、成品保护、现场清洁等全部工序。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（二）墙面部分</w:t>
            </w: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金属面夹心板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（1）基层处理：基层采用专用环保防潮防尘涂料三遍涂刷，基层清理干净、平整坚实，有效封闭基层、防潮防尘、防静电、防起砂脱落。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（2）龙骨体系：采用C75型双面热镀锌轻钢龙骨。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（3）保温材料：内置50mm厚高密度阻燃保温岩棉，岩棉容重达标、阻燃隔热、吸音防潮，铺设饱满无空隙、无塌陷、不漏铺。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★（4）板材材质：表面材采用SGCC冷轧热熔镀锌钢板，钢板厚度≥0.8mm；内衬12mm厚度钢质瓦楞板，板材强度高、刚度足、防腐耐久、不易变形。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（5）表面涂装：采用全自动粉末喷涂高温烤漆固化成膜，涂装前严格进行脱脂、锐化预处理；涂层均匀饱满、附着力强、耐候耐污。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（6）漆膜性能：符合国家标准；耐划伤试验划破涂层最大负重500g；24h耐污染试验，试样失光、变色、起泡、脱落等级均为0级。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产品式样及安装：成品尺寸W1200*H定制；包门位置采用专用阳角套件收口，机房阴角采用配套阴角件衔接；板与板采用专用H型卡件、自攻螺丝及同材质钢质压条固定，压条可选天蓝色、黑色及定制色系，安装拼缝严密、规整顺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★（8）燃烧性能：符合《建筑材料及制品燃烧性能分级》GB8624-2012标准中平板状建筑材料及制品A(A2)级的规定要求，【到货验收时提供有效的检测报告供采购人核验】。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（9）耐划伤性能：符合国家标准，产品耐划伤值≥20N，抗磕碰、耐磨损、面层不易破损。</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（10）抗静电性能：符合国家标准，产品表面电阻率3.84×10</w:t>
            </w:r>
            <w:r>
              <w:rPr>
                <w:color w:val="000000"/>
                <w:sz w:val="20"/>
                <w:szCs w:val="20"/>
                <w:lang w:bidi="ar"/>
              </w:rPr>
              <w:t xml:space="preserve">⁶</w:t>
            </w:r>
            <w:r>
              <w:rPr>
                <w:rFonts w:ascii="Calibri" w:hAnsi="Calibri" w:cs="Calibri"/>
                <w:color w:val="000000"/>
                <w:sz w:val="20"/>
                <w:szCs w:val="20"/>
                <w:lang w:bidi="ar"/>
              </w:rPr>
              <w:t xml:space="preserve">Ω</w:t>
            </w:r>
            <w:r>
              <w:rPr>
                <w:rFonts w:hint="eastAsia" w:ascii="宋体" w:hAnsi="宋体" w:cs="宋体"/>
                <w:color w:val="000000"/>
                <w:sz w:val="20"/>
                <w:szCs w:val="20"/>
                <w:lang w:bidi="ar"/>
              </w:rPr>
              <w:t xml:space="preserve">，具备稳定抗静电、防尘积性能。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（12）质量要求：整体结构稳定、无松动异响，板面观感平整统一，保温层封闭严密，无冷桥、无空鼓、无松动脱落现象。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（13）集成内容：包含基层清理防潮处理、龙骨安装固定、岩棉裁切满铺、瓦楞板精准安装、阴阳角收口、配件固定、接缝处理、成品保护、现场清洁等全部工序。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防火石膏板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★（1）板材规格：采用 12mm 厚防火石膏板，板材强度高、防火性能达标，板面平整，无缺角、裂纹、受潮变形。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（2）封堵范围：钢制瓦楞板上下部位封堵、机房窗户面封堵，封堵完整连续，不留缝隙、断口。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（3）配套辅材：配套自攻螺钉、嵌缝带、嵌缝石膏、密封辅料等全套辅材，配件防腐防锈。</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（4）技术标准：符合国家标准，成品整体燃烧性能检测达到A2级。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（5）安装工艺：板材裁切规整，固定牢固，板间缝隙嵌缝处理，接缝平顺，封堵部位严密。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（6）质量要求：板面平整牢固，无松动翘曲，封堵严实，满足防火隔断封堵要求。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（7）集成内容：包含基层清理、板材裁切、固定安装、嵌缝处理、成品保护、现场清洁等全部工序、老机房墙面修复。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（三）地面部分</w:t>
            </w:r>
            <w:r>
              <w:rPr>
                <w:rFonts w:ascii="宋体" w:hAnsi="宋体" w:cs="宋体"/>
                <w:b/>
                <w:bCs/>
                <w:color w:val="000000"/>
                <w:sz w:val="20"/>
                <w:szCs w:val="20"/>
                <w:lang w:bidi="ar"/>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水泥基自流平</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（1）找平厚度：水泥基自流平面层厚度 5mm，厚度均匀，整体平整度满足后续面层施工要求。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（2）基层处理：施工前对基层进行全面清理，清除浮灰、油污、起砂、松散物，基层坚实干燥。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（3）界面处理：涂刷专用界面剂，涂刷均匀、无漏涂，增强自流平与基层粘结力，防止起壳空鼓。</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（4）施工工艺：水泥基自流平浆料搅拌浇筑，施工过程进行消泡处理，避免气泡、针孔缺陷。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（5）养护要求：完工后按规范进行养护，避免磕碰、积水，防止开裂、起砂。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（6）质量要求：表面平整光滑，无空鼓、开裂、起砂、气泡、针孔，坡度及标高符合设计要求。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（7）集成内容：包含基层清理、界面剂涂刷、浆料配制浇筑、消泡、养护、成品保护、现场清洁等全部工序。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防尘漆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（1）耐水性能：浸水试验后漆膜不起泡、不脱落。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（2）材料密度：1.1～1.3 g/cm³。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（3）基层处理：施工前对基层进行全面清理，清除浮灰、油污、起砂、松散物，基层坚实干燥。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（4）施工工艺：基面处理合格后连续涂刷三遍，各涂层之间须待上道漆膜实干后方可涂刷下一道；涂刷均匀、无漏涂。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（5）外观要求：成膜后漆膜色泽均匀，无流挂、针孔、漏涂、起皮缺陷。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（6）质量要求：漆膜完整封闭，具备防尘效果，无起泡、脱落现象。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（7）集成内容：包含基层清理、材料调配、三遍涂刷、成品保护、现场清洁等全部工序。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陶瓷抗静电地板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（1）规格尺寸：防静电活动地板 600×600×40mm。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★（2）机械性能：集中载荷≥2950N（挠度≤2mm）；极限集中载荷≥8850N；均布载荷≥12500N/㎡（挠度≤2mm），【到货验收时提供有效的检测报告供采购人核验】。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★（3）燃烧性能：钢地板基材符合GB 8624-2012 建筑材料及制品燃烧性能分级中铺地状建筑材料及制品燃烧性能的A(A1)等级，【到货验收时提供有效的检测报告供采购人核验】。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（4）陶瓷贴面性能：耐烟火性高，耐磨性好、抗弯曲强度高、抗绕曲性能好，表面光洁、抗污能力强。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（5）配套构件：地板四周配置 L30 角钢支架、全钢抗静电地板支架高度250mm。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（6）基层处理：安装前清理基层，保证地面平整、干燥、无杂物。</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（7）施工工艺：支架找平、横梁组装、地板铺设，板块排布整齐，缝隙均匀，接地可靠。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（8）质量要求：板面平整，接缝严密，无松动、翘曲，防静电性能满足规范要求。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（9）集成内容：基层清理、支架安装调平、地板铺设、接地连接、成品保护、现场清洁等全部工序。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橡塑保温</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（1）材质：高密度橡塑保温材料。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（2）厚度：保温层标准厚度20mm。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（3）性能指标：橡塑保温为难燃B1级，防火、隔热、保温性能满足建筑节能及消防规范要求。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（4）施工范围：用于吊顶以上楼板、风管、管线对应区域保温铺贴，满铺施工，不留空白、不漏铺。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（5）粘贴工艺：采用专用橡塑专用粘结胶水满粘粘贴，粘接牢固，接缝严密，拼缝错开，杜绝空鼓、松动、翘边。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（6）收口处理：保温接缝、端头、边角位置密封严实，搭接规整，整体封闭完整，杜绝冷桥、结露现象。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（7）集成内容：包含基层清理、裁切下料、涂刷胶水、粘贴保温板、铝箔面层平整压实、接缝密封、成品保护、清理收尾等全部工序。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门口踏步</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（1）支架材质：采用L30角钢支架，结构稳固，整体做防锈防腐处理。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（2）面层处理：踏步外侧及边缘采用不锈钢包边处理，表面平整顺滑、无毛刺、不易锈蚀。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（3）基层处理：施工前清理踏步基层，保证基层坚实平整、干净无杂物。</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（4）施工工艺：角钢支架下料、焊接固定、调平校正，不锈钢板材精准裁切、贴合包边、收口密实。</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（5）质量要求：支架牢固无松动、变形，不锈钢包边平整贴合、接缝严密、美观耐用。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（6）集成内容：基层清理、支架制作安装、除锈防腐、不锈钢包边裁切安装、收口打磨、成品保护、现场清洁等全部工序。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金属踢脚线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（1）基层参数：采用防火板基层，配套定制安装，基层平整牢固。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（2）面层材质：1mm厚拉丝不锈钢板。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（3）安装高度：踢脚线高度H=80mm。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（4）基层处理：墙面基层清理找平，保证安装面平整、坚实、无浮灰油污。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（5）施工工艺：防火板基层固定找平，不锈钢踢脚线裁切、安装、收口拼接，缝隙均匀密实。</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（6）质量要求：踢脚线顺直平整、粘贴牢固、无翘曲变形，表面拉丝纹理均匀、光洁抗污、接缝美观。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（7）集成内容：基层清理、防火板基层安装、不锈钢踢脚线制作安装、收口打磨、成品保护、现场清洁等全部工序。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空调挡水墙</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（1）挡水高度：挡水墙高度100mm。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（2）防水处理：挡水墙内侧整体涂刷配套防水涂料，防水涂层完整无遗漏。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（3）基层处理：挡水墙基层平整坚实，清理干净浮灰、杂物、油污，保证防水粘结牢固。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（4）施工工艺：挡水墙基层修整、节点处理，分层涂刷配套防水涂料，涂层均匀、厚薄一致。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（5）质量要求：防水涂膜无针孔、流挂、开裂、脱落，防水密闭性好，有效阻挡积水渗漏。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（6）集成内容：基层清理修整、节点细部处理、防水涂料涂刷、养护、成品保护、现场清洁等全部工序。家现行防水工程施工验收规范，无渗漏隐患。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（四）隔断部分</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砖墙</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（1）墙体材料：加气块砌筑，含构造柱，完成面墙体厚度 200mm，用于电池间、配电间砖墙。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（2）砌筑工艺：加气块砌筑，按规范设置构造柱，砌筑灰缝饱满，墙体垂直度、平整度满足设计及规范要求。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（3）砂浆粉墙：墙面砂浆抹灰粉墙，基层清理、挂网（如需）、分层抹灰，抹灰层平整牢固，无空鼓开裂。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（4）面层乳胶漆：墙面涂刷乳胶漆，基层处理到位，腻子打磨平整，漆膜均匀，无漏涂、起皮、流挂。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（5）质量要求：墙体砌筑牢固，构造柱设置符合规范；抹灰层无空鼓、开裂；乳胶漆面层色泽均匀，观感良好。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（6）集成内容：加气块砌筑、构造柱施工、墙面清理、砂浆抹灰粉墙、腻子批刮打磨、乳胶漆涂刷、成品保护、现场清洁等全部工序。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石膏板隔墙</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（1）适用部位：备品备件库石膏板隔墙。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（2）骨架材料：75 系列轻钢龙骨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（3）板材：12mm 防火石膏板，双面封板。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（4）填充材料：空腔内填充岩棉，填充密实。</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（5）面层处理：双面批刮腻子、打磨，涂刷乳胶漆，漆膜均匀，无漏涂、起皮、流挂。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（6）基层处理：隔墙放线定位，龙骨安装校正，板缝处理，防开裂措施到位。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（7）质量要求：隔墙整体稳固，石膏板无破损、翘曲，板缝不开裂；乳胶漆面层色泽均匀，观感良好。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（8）集成内容：定位放线、轻钢龙骨安装、岩棉填充、防火石膏板封板、板缝处理、腻子批刮打磨、乳胶漆涂刷、成品保护、现场清洁等全部工序。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（五）门窗部分</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钢制甲级防火门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★（1）规格尺寸：1500×2200mm*3，900×2200mm*3，900×2100mm*1（备品备件库）。</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★（2）防火等级：甲级防火，耐火极限 1.5h，符合国家标准。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（3）外观颜色：门板喷涂颜色与大楼工艺门颜色相适应，钢板面喷涂与墙面饰面板颜色保持一致。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（4）板材参数：门扇面板采用 0.8mm 优质 SGCC 冷轧热熔镀锌钢板，门扇厚度 60mm；门框面板采用 1.5mm 优质 SGCC 冷轧热熔镀锌钢板，框厚 130mm。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（5）安装及构造：配置配套优质五金件，保障门体使用寿命；门框与墙体连接牢固稳定，门框与墙体缝隙进行灌浆处理。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（6）基层处理：门洞基层清理修整，复核洞口尺寸，保证安装基面坚实。</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（7）施工工艺：门框定位安装、调平校正、缝隙灌浆，门扇、五金安装调试，表面成品保护。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（8）质量要求：门框门扇安装垂直平整，启闭灵活，密封严密，防火性能满足规范要求，表面喷涂均匀无缺陷。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（9）集成内容：门洞清理、门框安装灌浆、门扇及五金安装调试、表面处理、成品保护、现场清洁等全部工序。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（六）其他</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窗户贴膜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（1）施工部位：建筑窗户玻璃面粘贴波音贴膜。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（2）施工要求：贴膜粘贴全面、全覆盖无漏贴，粘贴牢固不起翘、不脱边。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（3）外观质量：贴膜表面平整顺滑，无明显褶皱、划痕、气泡、污渍。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（4）基层处理：清理玻璃表面灰尘、水渍、油污，保证基面洁净干燥。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（5）施工工艺：精准裁膜、对位粘贴、排气整平、修边收口。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（6）集成内容：玻璃基层清理、贴膜裁切、粘贴整平、修边、成品保护、现场清洁等全部工序。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329"/>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二、机房供配电系统</w:t>
            </w: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ATS总配电柜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★（1）配置规格：柜内配置 ATS 切换装置 630A/4P×1 、断路器630A/4P×2 、断路器400A/3P×3 、断路器200A/3P×1 、断路器160A/3P×1 ；配套配置 60KA 一级浪涌保护器 1 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（2）元器件要求：柜内断路器、ATS 开关、浪涌保护器等所有元器件品牌、型号、规格须在投标文件中逐一明确，严格匹配图纸设计参数。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（3）柜体性能：柜体结构坚固，防护等级满足室内机房使用要求，防尘防锈，布线规整，设有可靠接地、标识齐全。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（5）质量要求：成套柜提供型式试验报告；PC 级 ATSE ；双重联锁可靠，严禁两路电源并联；电源异常检测灵敏，切换动作稳定；多功能仪表测量精度满足机房监控；柜体结构牢固、接地可靠，接地母线规格满足短路耐受；二次接线规范、标识清晰；绝缘、耐压、回路电阻出厂试验合格；具备手动检修隔离功能，方便维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柜体就位、找平固定；一次电缆、二次控制线缆接线；接地系统施工；双电源切换参数整定（欠压、过压、延时）；仪表通讯配置；自动切换、手动切换试验；模拟主电源失电、缺相、过欠压故障测试；遥信遥测联调；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市电配电柜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★（1）配置参数：配置 200A/3P 断路器 ×1、63A/3P 断路器 ×6、40A/3P 断路器 ×6、32A/3P 断路器 ×1、100A/3P 断路器 ×1、25A/2P 断路器 ×3、25A/3P 断路器 ×1；配套设置 40KA 浪涌保护器 ×1。</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（2）元器件要求：柜内所有断路器、浪涌保护器等元器件品牌、规格、型号须在投标文件中详细明确，设备配置、接线方式严格遵照设计图纸执行。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（3）柜体性能：柜体结构坚固、防锈防尘，内部布线分区清晰，绝缘性能良好，接地系统可靠，回路标识齐全规范。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柜提供型式试验报告；所有断路器、浪涌保护器等元器件为全新正品；回路配置与图纸一致；绝缘、耐压、接地电阻出厂试验合格；柜内铜排、线缆选型满足载流量及短路耐受要求；标识清晰，PE 接地可靠；浪涌保护器安装规范。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（6）集成内容：柜体就位、找平固定；一次电缆、二次控制线敷设接线；接地系统施工；回路绝缘电阻测试；断路器通断试验；浪涌保护回路检查；分路通电测试；与 UPS 主机联调；标识粘贴、成品保护、现场清理。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UPS输入输出配电柜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★（1）配置参数：配置 400A/3P 断路器 ×2、250A/3P 断路器 ×4、100A/3P 断路器 ×2、63A/3P 断路器 ×2、160A/3P 断路器 ×2；配套设置 20KA 浪涌保护器 ×1。</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（2）元器件要求：柜内所有断路器、浪涌保护器等元器件品牌、规格、型号须在投标文件中逐一明确，设备配置及接线工艺严格按照设计图纸实施。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（3）柜体性能：柜体结构稳固、防腐防尘，内部布局规整、分区清晰，绝缘性能优良，专用可靠接地，回路标识完整清晰。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柜具备型式试验报告；柜内断路器、浪涌保护器等元器件为全新原厂正品；回路配置与设计图纸保持一致；出厂完成绝缘、耐压、接地电阻试验；主回路铜排选型满足载流量及短路耐受能力；柜内标识完整清晰，PE 接地可靠；浪涌保护器安装规范。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（6）集成内容：柜体就位、找平固定；一次电缆、二次控制线敷设接线；接地系统施工；回路绝缘电阻测试；断路器通断试验；浪涌保护回路检查；分路通电测试；与 UPS 主机联调；标识粘贴、成品保护、现场清理。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照明配电箱</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★（1）配置参数：配置 32A/3P 断路器 ×1、16A/1P 断路器 ×6、16A/DPN 带 30mA 漏电保护断路器 ×3。</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（2）元器件要求：柜内所有断路器、漏电保护器等元器件品牌、规格、型号须在投标文件中逐一明确，整体配置、接线方式严格遵照设计图纸施工。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（3）箱体性能：箱体材质坚固、防腐防锈，内部布线规整、绝缘良好，接地可靠，回路标识清晰齐全，适配室内照明系统长期稳定运行。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（5）质量要求：成套配电箱具备型式试验报告；箱内断路器、剩余电流保护器等元器件为全新原厂正品；回路配置与设计图纸一致；出厂完成绝缘、耐压、接地电阻试验；箱内标识完整清晰，PE 接地可靠；漏电保护器 30mA 漏电保护功能正常，可手动测试。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（6）集成内容：安装固定；线缆敷设接线；接地连接施工；回路绝缘电阻测试；断路器通断试验；漏电保护功能测试；逐回路通电校验；标识粘贴、成品保护、现场清理。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备用配电箱</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★（1）配置参数：配置 32A/3P 断路器 ×1、16A/1P 断路器 ×12。</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（2）元器件要求：柜内所有断路器元器件品牌、规格及型号须在投标文件中逐一明确，设备配置、接线方式严格按照设计图纸执行。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（3）箱体性能：箱体结构坚固、防腐防锈，内部布线规整、绝缘性能良好，接地系统可靠，回路标识清晰、排布规范。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（5）质量要求：成套应急配电箱具备型式试验报告；箱内断路器元器件为全新原厂正品；回路配置与设计图纸一致；出厂完成绝缘、耐压、接地电阻试验；箱内标识完整清晰，PE 接地可靠；断路器通断、过载、短路保护功能正常。</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（6）集成内容：安装固定；线缆敷设接线；接地连接施工；回路绝缘电阻测试；断路器通断试验；逐回路通电校验；与应急负载联动调试；标识粘贴、成品保护、现场清理。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精密配电柜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（1）模块化精密配电柜机架-600mm(W)*1200mm(D)*2000mm(H)-支持250A MCCB双路输入。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（2）告警功能：支持输入开关断开告警、故障脱扣告警。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30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监控功能：需提供对精密配电柜主路、支路等多回路进行监控的智能监控板。监控板需能够实现界面可视化，采用7寸液晶彩色触摸屏可监：配电支路输出：相电压、相电流、负载率、频率、功率因数、总有功功率、总电能、总视在功率、总无功功率、母排温度、空开状态、防雷状态；配电主路输入：相电压、相电流、负载率、频率、功率因数、总有功功率、总电能、总视在功率、总无功功率、母排温度、空开状态、防雷状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（4）工作环境：防护等级：IP20；工作温度：-5℃ ~ +40℃；相对湿度：最大95%；海拔高度：0~2000 米，大于 2000 米时，设备应按 国家标准规定降额使用；C级防雷。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30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（5）外观结构：柜体应采用高强度优质碳素冷轧钢板和镀锌板，表面喷涂厚度应不小于60μm ,采用黑色砂纹工艺，满足防腐、防锈、光洁、色泽均匀、无流挂、不露底、无起泡、无裂纹、金属件无毛刺锈蚀要求。柜体采用优质碳素冷轧钢板和无锌花热镀锌钢板。所有面板支持单独拆卸和拼装。母排需为预制式工艺，母排需根据设计折弯、打孔、压制成型后再进行镀镍处理，以保证母排表面镀镍层均匀完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▲（6）抗震要求：整机通过《通信设备抗地震性能检测规范》(YD5083-2005)不小于8级烈度抗震测试。（投标时需提供第三方机构测试报告关键页证明。）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▲（7）认证要求：整机性能应满足 YD/T585《通信用配电设备》的要求。（投标时需提供第三方认证机构出具的有效产品认证证书）。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8）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（9）质量要求：成套精密配电柜具备型式试验报告；柜体板材、喷涂工艺、预制镀镍母排满足技术指标；智能监控板、7 寸触摸屏运行稳定，全部主 / 支路电参量、温度、开关、防雷状态采集准确；输入开关断开、脱扣故障告警可靠；C 级防雷模块性能达标；所有元器件全新原厂正品；出厂完成绝缘、耐压、接地电阻试验，接线标识清晰，PE 接地可靠。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集成内容：柜体就位、找平固定；一次电缆、预制镀镍母排安装；二次监控线缆敷设接线；接地系统施工；回路绝缘电阻测试；通电调试；触摸屏参数配置，主路、支路电参量采集校验；开关告警、脱扣告警模拟测试；防雷回路检查；与机房监控平台联调；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排烟控制柜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★（1）配置参数：配置 40A/3P 双电源切换开关 ×1、20A/3P 断路器 ×3。</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（2）元器件要求：柜内 ATS 开关、断路器等所有元器件品牌、规格、型号须在投标文件中逐一明确，设备配置及接线方式严格遵照设计图纸实施。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（3）柜体性能：柜体结构坚固、防尘防腐，内部布线规整、绝缘性能优异，接地可靠，回路标识清晰规范，适配消防系统长期待机运行。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4）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（5）质量要求：成套排烟控制柜具备型式试验报告；柜内 ATS、断路器等元器件为全新原厂正品；回路配置与设计图纸一致；出厂完成绝缘、耐压、接地电阻试验；具备电气 + 机械联锁，两路电源禁止并列输出；支持消防联动控制，状态反馈信号输出可靠；箱内标识完整清晰，PE 接地可靠。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（6）集成内容：柜体安装固定；一次电缆、二次控制线敷设接线；接地系统施工；回路绝缘电阻测试；ATS 自动 / 手动切换试验；断路器通断保护测试；消防联动信号联调；状态信号上传测试；标识粘贴、成品保护、现场清理。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抗震承重底座</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（1）结构形式：设备抗震承重底座，采用拼装式模块化结构，工厂预制成型，无需现场焊接，安装便捷、整体性强。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（2）材质工艺：采用 2.0mm 厚优质钢板制作，承重框架为整体焊接结构，结构强度高、承载力强；表面采用黑色静电喷塑工艺，颜色与机柜柜体保持一致。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（3）调节性能：配备可调水平脚，水平调节范围 0～50mm，可精准找平、适配场地高差，保证设备水平稳固。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▲（4）按照标准YD5083-2005《电信设备抗地震性能检测规范》要求，机柜配重不小于500kg承重下，通过不小于8级烈度结构抗地震检测（投标时提供同系列机型第三方机构出具的检测报告关键页）。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（5）适配尺寸：底座尺寸精准匹配现场设备，适配机柜、精密列头柜、行间空调、ATS 总配电柜、市电配电柜、UPS 输入输出配电柜、UPS 主机等设备安装。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钢板材质、板厚满足技术要求；承重框焊接牢固，焊缝平整无虚焊、夹渣、裂纹；黑色静电喷塑层附着力强，无起皮、掉漆；模块化构件尺寸精度高，现场拼装便捷；水平调节脚调节顺畅，承载力达标；底座与对应设备、地面安装孔位匹配，可可靠锚固，满足抗震加固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（6）集成内容：底座构件现场拼装；水平调节脚预调；底座定位、地面锚固施工；设备就位安放；整体水平度复核；成品保护。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KBG25电线管</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（1）管材性能：采用紧定式镀锌薄壁钢管，管材强度高、耐腐蚀，连接方式为紧定式套接，无需焊接、套丝，施工便捷。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管材内外镀锌层完整，无起皮、漏镀、锈蚀、裂纹、凹陷；管材圆度规整，切口平整无毛刺；配套管件同材质同工艺，紧定螺钉紧固可靠；管材弯折后镀锌层不脱落；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（3）集成内容：进场验收，核验合格证、材质证明；管路测量下料；管材切割、弯管；管路敷设、固定；管件套接紧定；跨接接地施工；管路检查清扫；管线隐蔽验收。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KBG20电线管</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（1）管材性能：采用紧定式镀锌薄壁钢管，管材强度高、耐腐蚀，连接方式为紧定式套接，无需焊接、套丝，施工便捷。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管材内外镀锌层完整，无起皮、漏镀、锈蚀、裂纹、凹陷；管材圆度规整，切口平整无毛刺；配套管件同材质同工艺，紧定螺钉紧固可靠；管材弯折后镀锌层不脱落；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（3）集成内容：进场验收，核验合格证、材质证明；管路测量下料；管材切割、弯管；管路敷设、固定；管件套接紧定；跨接接地施工；管路检查清扫；管线隐蔽验收。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金属软管</w:t>
            </w:r>
            <w:r>
              <w:rPr>
                <w:rFonts w:ascii="Calibri" w:hAnsi="Calibri" w:cs="Calibri"/>
                <w:color w:val="000000"/>
                <w:sz w:val="20"/>
                <w:szCs w:val="20"/>
                <w:lang w:bidi="ar"/>
              </w:rPr>
              <w:t xml:space="preserve">Φ</w:t>
            </w: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（1）管材性能：采用金属柔性软管，具备良好弯曲性能，防腐防锈，用于设备与刚性导管之间的柔性过渡连接。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（2）质量要求：镀锌钢带无锈蚀、断裂；PVC 护套无开裂、老化、破损；弯曲灵活，弯折无明显扁瘪；接头连接紧密，密封可靠；进场提供产品合格证。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（3）集成内容：进场验收，核验合格证；按现场长度裁切；软管与设备、KBG 管之间安装专用接头锁紧；管路固定；线缆穿线；管路外观、连接可靠性检查。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金属软管Φ20</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（1）管材性能：采用金属柔性软管，具备良好弯曲性能，防腐防锈，用于设备与刚性导管之间的柔性过渡连接。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（2）质量要求：镀锌钢带无锈蚀、断裂；PVC 护套无开裂、老化、破损；弯曲灵活，弯折无明显扁瘪；接头连接紧密，密封可靠；进场提供产品合格证。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（3）集成内容：进场验收，核验合格证；按现场长度裁切；软管与设备、KBG 管之间安装专用接头锁紧；管路固定；线缆穿线；管路外观、连接可靠性检查。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墙面3+2插座</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（1）参数：额定电压 250V，额定电流 10A，3+2 组合五孔插座，阻燃面板，绝缘性能良好，适用于室内墙面低压用电回路，插拔可靠、接触稳定。</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★（2）强制认证：本产品属于国家强制性产品认证目录内【插头插座（0201）】类产品，具有有效的3C认证证书（到货验收时提供有效的3C认证证书供采购人核验）。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（3）质量要求：产品全新原厂正品，外观平整无毛刺、开裂；阻燃性能达标；锡磷青铜弹片弹性良好，插拔无松动、无明显发热；安全保护门动作可靠。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（4）集成内容：进场验收，核验合格证及 3C 证书；底盒清理；导线接入插座端子，牢固压接；插座面板固定安装；通电测试电压、接地连续性；标识粘贴。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防爆墙面3+2插座</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（1）参数：额定电压 250V，额定电流 10A，3+2 组合五孔，防爆型结构，外壳强度高，阻燃耐腐蚀，适用于有防爆要求区域墙面配电。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★（2）强制认证：本产品属于国家强制性产品认证目录内【防爆插接装置（2308）】类产品，具有有效的3C认证证书（到货验收时提供有效的3C认证证书供采购人核验）。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（3）质量要求：产品全新原厂正品，铸铝壳体无砂眼、裂纹；隔爆面平整，密封件完好；防爆密封接头压紧可靠；内部铜件弹性良好，无松动发热。</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（4）集成内容：底盒固定；电缆经防爆密封接头引入；导线可靠压接；插座本体安装，隔爆面清理、密封；管路与防爆盒密封连接；通电测试，接地连续性检查。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LED平板灯</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600×600mm，电子式无眩光型。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（2）参数：内置电子式驱动电源，无眩光设计，发光均匀柔和，光衰小，显色性能良好。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本产品属于国家强制性产品认证目录内【灯具（1001）】类产品，具有有效的3C认证证书（到货验收时提供有效的3C认证证书供采购人核验）。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（4）质量要求：灯具全新原厂正品；发光面亮度均匀，无暗斑、频闪；隔离恒流驱动稳定，保护功能齐全；铝合金边框无变形、掉漆；通电无异常噪声、无明显温升。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（5）集成内容：吊顶开孔定位；灯具卡扣固定；电源线连接；绝缘检查；通电点亮测试；照度、外观复核；成品保护。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电池间防爆灯</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（1）参数：额定电压 AC220V，LED 光源，防爆结构设计，外壳防护等级满足电池间环境要求。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★（2）强制认证：本产品属于国家强制性产品认证目录内【防爆灯具及控制装置（2318）】类产品，具有有效的3C认证证书（到货验收时提供有效的3C认证证书供采购人核验）。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（3）质量要求：产品全新原厂正品；铸铝壳体无砂眼、裂纹；隔爆面平整无损伤，密封件完好；钢化玻璃无裂纹；LED 发光均匀，无频闪，驱动稳定；壳体永久刻印防爆标志、型号、参数。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（4）集成内容：安装定位，支架固定；电缆通过防爆密封接头引入灯具；接线可靠，接地连接；隔爆面检查清理；密封装配；通电点亮测试；接地连续性检查。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双头应急探照灯</w:t>
            </w: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（1）参数：额定电压 AC220V，LED 光源，双灯头可角度调节，内置备用蓄电池，断电自动切换应急照明。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★（2）强制认证：本产品属于国家强制性产品认证目录内【避难逃生产品（1815）】类产品，具有有效的3C认证证书（到货验收时提供有效的3C认证证书供采购人核验）。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（3）质量要求：产品全新原厂正品；外壳阻燃达标；主电 / 应急模式切换灵敏可靠；应急时长满足≥90 分钟；自检功能正常，故障告警有效；电池充放电稳定，无漏液。</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（4）集成内容：定位、壁挂固定；电源线接入；通电主电充电试验；模拟断电，测试应急点亮；故障自检功能测试；外观复核、成品保护。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应急疏散标志灯</w:t>
            </w: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（1）参数：额定电压 AC220V，LED 光源，内置备用蓄电池，断电自动转入应急工作状态。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★（2）强制认证：本产品属于国家强制性产品认证目录内【避难逃生产品（1815）】类产品，具有有效的3C认证证书（到货验收时提供有效的3C认证证书供采购人核验）。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（3）质量要求：产品全新原厂正品，外壳阻燃性能满足国标；标识图案清晰、无褪色；主备电切换灵敏可靠；应急续航≥90min；自检、故障告警功能正常；电池充放电稳定，无漏液。</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（4）集成内容：现场定位，壁挂 / 吊装固定；电源线可靠接线；通电充电测试；模拟断电试验，核查指示点亮；自检及故障报警功能测试；外观复核、成品保护。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单联单控开关</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（1）规格：86型单联单控开关+配套86型暗盒。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250V，额定电流 10A。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（5）集成内容：清理、安装 86 底盒；控制线接入开关端子并压紧；开关面板固定安装；通电测试通断功能；外观检查。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二位二控开关</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（1）规格：86 型二位二控开关+配套 86 型暗盒。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250V，额定电流 10A。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（5）集成内容：清理、安装 86 底盒；控制线接入开关端子并压紧；开关面板固定安装；通电测试通断功能；外观检查。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三位三控开关</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（1）规格：86 型三位三控开关+配套 86 型暗盒。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250V，额定电流 10A。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★（3）强制认证：本产品属于国家强制性产品认证目录内【家用和类似用途固定式电气装置的开关（0202）】类产品，具有有效的3C认证证书（到货验收时提供有效的3C认证证书供采购人核验）。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（4）质量要求：产品全新原厂正品；面板平整无毛刺、开裂；阻燃性能达标；开关通断动作可靠，无接触不良、打火现象；接线端子压接牢固。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（5）集成内容：清理、安装 86 底盒；控制线接入开关端子并压紧；开关面板固定安装；通电测试通断功能；外观检查。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网格桥架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（1）材料规格 300×100mm。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（2）参数：采用钢丝网片拼装结构，表面热镀锌 / 电镀锌防腐。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（3）质量要求：钢丝焊接牢固，无虚焊、脱焊；镀锌层均匀完整，无漏镀、锈蚀；切口打磨光滑无毛刺；构件尺寸统一，拼接安装便捷；配套接地配件齐全；进场提供材质证明、产品合格证。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（4）集成内容：测量定位；吊装支架、横担安装；网格桥架分段拼接固定；弯头、三通等异形件装配；接地跨接施工；线缆敷设；整体调直；成品保护。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镀锌桥架300*100*1.0</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300×100mm，板材厚度 1.0mm。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（2）参数：钢板折弯成型，表面热镀锌防腐处理。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（3）质量要求：镀锌层均匀完整，无漏镀、起皮、锈蚀；板材厚度达标；焊接部位牢固、焊缝平整；桥架直线段顺直，无明显扭曲变形；配套配件齐全；进场提供材质证明、产品合格证。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（4）集成内容：现场定位放线；支吊架安装；桥架本体拼接、螺栓紧固；盖板安装；弯头、三通、变径装配；接地跨接；线缆敷设；整体调直校正；成品保护。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镀锌桥架200*100*1.0</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（1）规格：镀锌电缆桥架，规格 200×100mm，板材厚度 1.0mm。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（2）参数：钢板折弯成型，表面热镀锌防腐处理。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（3）质量要求：镀锌层均匀完整，无漏镀、起皮、锈蚀；板材厚度达标；焊接部位牢固、焊缝平整；桥架直线段顺直，无明显扭曲变形；配套配件齐全；进场提供材质证明、产品合格证。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（4）集成内容：现场定位放线；支吊架安装；桥架本体拼接、螺栓紧固；盖板安装；弯头、三通、变径装配；接地跨接；线缆敷设；整体调直校正；成品保护。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★（1）规格：ZC，铜芯聚氯乙烯绝缘电线，型号 BV，截面 2.5mm²。</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450/750V，实心铜导体，PVC 绝缘。</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②制造商具备《工业产品生产许可证》（到货验收时提供有效的证明供采购人核验）。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（4）质量要求：铜芯纯度达标，电阻满足国标要求；绝缘层厚薄均匀，无偏心、气孔、破损；绝缘与导体之间不粘连；线芯表面光亮无氧化发黑；每盘线缆标识完整。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（5）集成内容：核对规格、线色；管路清扫；线缆穿管敷设；回路绝缘电阻测试；接线；隐蔽验收。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UPS 输入输出电缆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★（1）规格：ZCYJV，规格 4×185mm²+1×95mm²，含配套接线端子及辅材。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AP 柜电缆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ZCYJV，规格 4×95mm²+1×50mm²，含配套接线端子及辅材。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列头柜进线电缆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★（1）型号 ZCYJV，规格 4×95mm²+1×50mm²，含配套接线端子及辅材。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ZCYJV 4×25mm²+1×10mm²电缆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ZCYJV，4×25mm²+1×10mm²，含配套接线端子及辅材。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7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ZCYJV-5*6mm²电缆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ZCYJV，5×6mm²，含配套接线端子及辅材。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55"/>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（2）适用部位：照明配电箱、应急配电箱电缆，含配套接线端子及辅材。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ZCYJV3×6mm²电缆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ZCYJV，3×6mm²，含配套接线端子及辅材。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（2）适用部位：PDU输入电缆，含配套接线端子及辅材。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ZCYJV-2*16+1*10mm²电缆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ZCYJV，2*16+1*10mm²，含配套接线端子及辅材。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（2）适用部位：PDU输入电缆含配套接线端子及辅材。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（3）参数：额定电压 0.6/1kV，铜芯 C 级阻燃交联聚乙烯绝缘聚氯乙烯护套电力电缆。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（4）质量要求：导体电阻符合国标；绝缘层厚度均匀无偏心；护套完整无破损、开裂；电缆标识连续清晰；阻燃性能满足对应等级。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（5）集成内容：桥架清理；电缆敷设、排列绑扎；电缆头制作；接线压接；回路绝缘电阻测试；相序核对；通电核相；成品保护。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三、防雷接地系统</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等电位联结端子箱</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300×200mm。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（2）参数：箱体钢板制作，内置铜质等电位端子排。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（3）质量要求：箱体钢板厚度达标，无变形、掉漆；紫铜排镀锡层均匀完整，无锈蚀；螺栓配套齐全，连接可靠；箱体警示标识清晰牢固；进场提供材质证明、产品合格证。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（4）集成内容：箱体定位固定；等电位干线、分支接地线接入铜排；螺栓紧固；接触电阻检查；标识复核；隐蔽验收。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接地铜排</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 3mm×30mm，紫铜材质。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（2）参数：T2 紫铜，表面可镀锡处理，用于机房等电位、接地汇集。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（3）质量要求：紫铜材质纯度达标；镀锡层均匀完整，无漏镀、起皮；冲孔位置准确，边缘无毛刺；平直无扭曲；进场提供材质检测报告、产品合格证。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（4）集成内容：铜排定位固定；接地支线、干线接入铜排；螺栓依次紧固；接触电阻检查；标识标注。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BVR软线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（1）材料名称：静电释放接地线，BVR-6mm²、BVR-16mm²等。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450/750V，铜芯聚氯乙烯绝缘软导线。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★（3）强制认证及生产许可：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②制造商具备《工业产品生产许可证》（到货验收时提供有效的证明供采购人核验）。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（4）质量要求：导体绞合紧密，铜丝无氧化发黑；绝缘层厚薄均匀，无偏心、气孔、破损；绝缘不易剥离但不粘连导体；线缆表面标识连续清晰。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（5）集成内容：核对规格、线色；线缆裁切；端子压接；柜内布线绑扎；回路绝缘电阻测试；标识编号。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BVR50mm²接地线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（1）材料名称：铜芯聚氯乙烯绝缘软电线，型号 BVR，截面 50mm²。</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（2）参数：额定电压 450/750V，多股铜导体，PVC 绝缘。</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★（3）强制认证及生产许可：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②制造商具备《工业产品生产许可证》（到货验收时提供有效的证明供采购人核验）。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（4）质量要求：导体绞合紧密，铜丝无氧化发黑；绝缘层厚薄均匀，无偏心、气孔、破损；绝缘不易剥离但不粘连导体；线缆表面标识连续清晰。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（5）集成内容：核对规格、线色；线缆裁切；端子压接；柜内布线绑扎；回路绝缘电阻测试；标识编号。</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四、机房微模块系统</w:t>
            </w: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（一）模块化UPS系统</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UPS主机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（1）模块化设计，单个机架≥200KVA电气柜。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（2）UPS类型为在线双变换式模块化UPS，制式为三相输入，三相输出；上进线，单个功率模块≥50KVA。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▲（3）模块化UPS的的功率、旁路、监控模块均支持热拔插（投标时需提供第三方检测机构出具的同系列机型检测报告关键页，并在有效期内）。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（4）UPS采用≥7英寸彩色触摸屏，配置SNMP卡/接口及485卡/接口。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▲（5）UPS支持对母线电容及风扇寿命预测（投标时需提供第三方检测机构出具的同系列机型检测报告关键页，并在有效期内）。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（6）线性负载输入谐波电流总含量THDi＜3%；输入功率因数要求不小于0.99。</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（7）UPS输出特性要求:额定电压380/400/415VAC，稳压精度380/400/415±1%，输出电压波形为标准正弦波。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（8）逆变输出过载能力:要求逆变输出具有较强的过载能力，且不低于下述标准：110%负载时，60min后转旁路,125%负载时，10min后转旁路,150%负载时，1min后转旁路。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▲（9）UPS应通过不小于8级度抗震性能检测。（投标时需提供第三方认证机构出具的有效的产品认证合格证书并在有效期内。）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支持模块轮换休眠，主机柜系统设置为智能休眠模式后，当模块的负载率小于休眠负载级别时，控制器根据当前负载量来决定进入休眠模式的模块数量，并在根据所设置的轮休时间来进行休眠轮换，绿色节能的同时提高系统综合使用寿命（投标时需提供产品彩页证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▲（11）UPS具有优秀的高温低气压适用性， 0-40℃不降额工作；≥55℃降额工况可工作。（投标时提供同系列机型第三方检测报告关键页证明）。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（12）UPS支持电池节数30~44节可调，并支持在控制器上直接修改电池数量，无需对UPS其他板件进行调整。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（13）集成内容：基础复核、设备就位固定、电缆敷设接线、接地施工、绝缘检测、单机调试、成品保护、现场清洁等全部工序。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UPS功率模块</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★（1）规格：模块化设计，单个功率模块≥50KVA，适配本项目UPS主机机架，在线双变换架构。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功率模块支持热拔插，可在线扩容、在线维护；模块自带独立的控制、保护、功率变换单元；具备过载、短路、过温保护功能；模块支持与主机监控系统通讯，可单独采集模块电压、电流、温度、故障告警等信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（3）质量要求：模块插接到位、锁定可靠，接触良好；模块可被UPS主机正常识别，无告警；带载输出稳定，故障保护功能有效。</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（4）集成内容：机架内部清理、功率模块就位插接、通讯对接校验、通电识别检测、输出性能调试、故障保护功能验证、系统联调、标识规整、成品保护、现场清洁等全部集成工序。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蓄电池</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★（1）采用免维护铅酸蓄电池，单块电池规格12V120AH，适配项目120KW负载，满足系统后备续航2小时使用要求。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（2）参数：电池为全密封免维护结构，无需日常补液维护；具备优良的充放电性能、抗老化、耐冲击、自放电率低；适配UPS系统充放电逻辑，运行电压稳定，适配配套主机启停保护逻辑。</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（3）技术标准：产品符合国家蓄电池相关行业标准，质量稳定，安全防护、绝缘性能达标，适配机房不间断电源配套使用场景。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（4）质量要求：电池外观完好无破损、无漏液、无鼓包、无锈蚀；接线端子完好、无氧化；电池容量、电压参数达标，充放电工况正常，无异常告警。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电池进场验收、电池柜体清理摆放、电池规整排布、串联接线安装、接线紧固绝缘处理、电池组电压校验、极性核对、充放电测试、系统匹配调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开放式电池柜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★（1）规格：开放式电池架结构，单组电池柜可容纳40节12V120AH蓄电池，结构尺寸适配本项目电池组排布及机房安装空间，配套UPS 120KW负载后备续航配置。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电池架采用高强度钢制材质，整体承重性能优异，不易变形、耐腐蚀、抗氧化；分层分区规整设计，满足40节电池整齐排布、间距合理；柜体预留充足接线、散热空间，适配蓄电池长期稳定运行，便于后期巡检与维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（3）技术标准：产品符合机房电气设备安装相关行业标准，柜体结构稳固，接地、绝缘、散热性能达标，满足不间断电源系统配套安装使用要求。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（4）质量要求：电池柜/电池架外观平整光滑，无变形、无掉漆、无锈蚀；焊接、拼接部位牢固无松动，配件齐全；柜体水平、垂直安装精度达标，整体排布规整，接地可靠。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进场柜体验收、安装位置定位找平、电池架固定安装（根据电池架承重加固图纸定制）、柜体接地处理、40节电池规整排布定位、柜体清洁整理、安装精度校验、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电池开关柜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（1）规格：电池开关箱配置 400A 母排，配置 160A/3P 直流开关共 4 只，输出端从箱体左侧引出，适配本项目蓄电池组配套使用。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（2）参数：箱体采用金属外壳，内置 400A 导电母排，母排载流量满足系统最大工作电流；配置 160A/3P 直流断路器 4 路，具备过载、短路保护功能；接线端子牢固可靠，左侧预留输出接口，满足线缆从左侧直接输出的布线要求。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属于国家强制性产品认证目录内【低压成套开关设备（0301）】类产品，具有有效的《型式试验报告》和《强制性认证产品符合性自我声明》（到货验收时提供有效的型式试验报告和强制性认证产品符合性自我声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（4）质量要求：箱体无变形、掉漆；母排连接紧固无松动；开关动作可靠，分合闸正常；回路标识清晰，绝缘检测合格，无漏电、发热隐患。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（5）集成内容：设备进场验收、箱体定位固定、箱体接地安装、400A 母排装配、直流开关安装固定、回路接线、线缆左侧引出排布、接线紧固与绝缘防护、回路通断校验、标识粘贴、成品保护、现场清洁等全部集成工序。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电池电缆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（1）规格：采用 BVR 185mm² 电池电缆，含配套接线端子及安装辅材，用于本项目蓄电池组与电池开关柜之间电气连接。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（2）参数：BVR 多股软导体结构，载流量满足系统工作电流需求；绝缘层耐温、阻燃，适配机房直流供电回路；配套专用接线端子，接触电阻小，压接可靠；配套包含固定件、绝缘护套、扎带等全套安装辅材。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★（3）强制认证及生产许可：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①本产品属于国家强制性产品认证目录内【额定电压450/750 V及以下聚氯乙烯绝缘电线电缆（0105）】类产品，具有有效的3C认证证书（到货验收时提供有效的3C认证证书供采购人核验）。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②制造商具备《工业产品生产许可证》（到货验收时提供有效的证明供采购人核验）。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（4）质量要求：电缆外皮完好无破损、无龟裂；导体无氧化；接线端子规格匹配，压接牢固；电缆无扭曲损伤，绝缘电阻检测合格。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（5）集成内容：电缆进场验收、线缆敷设排布、线缆裁剪、接线端子压接、接线紧固、绝缘包裹防护、线缆固定整理、回路核对、标识粘贴、成品保护、现场清洁等全部集成工序。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（二）机房空调系统</w:t>
            </w: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59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行级精密空调室内机（加热加湿）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★（1）总冷量：≥45kW；显冷量：≥45kW；风量：≥9000 m3/h；加湿量（kg/h）≥3，加热量（kw）≥6；水平送风。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（2）尺寸统一为600*1200*2000mm，与微模块整体外观统一。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（3）显热比（显冷量/总冷量）=1。</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（4）室内机应由直流变频压缩机、蒸发器、EC风机、控制器、电子膨胀阀、油分  、视液镜、干燥过滤器、加湿器和加热器等主要部件组成。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（5）采用高效工业用直流变频涡旋压缩机，20%~100%无极调节，按需输出冷量，大幅降低能耗。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（6）行级精密空调控制器采用7寸LCD触摸屏。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▲（7）机组为湿膜加湿，加湿采用的湿膜无需供电；加湿量不小于3kg/h（投标时需提供第三方检测机构出具的检测报告关键页，并在有效期内）。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▲（8）轻载除湿：行级精密空调室内机应具有低载除湿功能，显热制冷量≤2000W时，除湿量≥5KG/h（投标时需提供第三方检测机构出具的检测报告关键页，并在有效期内）。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（9）要求机组平均无故障时间MTBF≥10万小时。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（10）机组应具有过压、欠压等报警及故、障诊断，告警记录功能，自动保护，自动恢复，自动重启动等功能。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（11）安全保护：室内风机和风机电源模块在线维护，更换无需停机；整机异常掉电后电子膨胀阀自动关闭，避免异常掉电回液导致重启后压缩机液击风险。</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（12）行间级精密空调机组须有节能措施的设计，保障换热效率；除湿控制精确，以减少空气过冷及热补偿的能量损失；室外风机应可根据室外温度无极调速，减少风机能耗。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▲（13）抗震要求：整机通过YD/T 2061《通信机房用恒温恒湿空调系统》不小于8级烈度抗震测试。（投标时需提供第三方机构测试报告关键页证明。）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（14）含进出水、冷媒管路、制冷剂、内外机电源线、内外机信号线、内外机底座等材料。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质量要求：机组外观完好无变形、掉漆、磕碰，整机尺寸合规，与微模块外观协调统一；各核心部件装配紧固、连接可靠，管路无渗漏、线路无虚接；制冷、加热、加湿、除湿、调速等功能运行稳定；各类告警、保护、记忆重启功能响应精准，无故障误报、漏报；风机、压缩机运行平稳，无异常震动及噪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（16）集成内容：设备进场验收、设备就位定位固定、水平度调校、管路及线缆敷设连接、控制接线、接地安装、上电检查、制冷 / 加热 / 加湿 / 除湿功能调试、告警保护功能校验、系统联调、标识粘贴、成品保护、现场清洁等全部集成工序。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★（17）强制节能：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产品列入强制节能产品政府采购品目清单 A02052309 专用制冷、空调设备（机房空调），整套机组具有对应的有效节能产品认证证书。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行级精密空调室外机（加热加湿）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（1）规格：配套行级精密空调风冷室外机，与室内机一一匹配，适配本项目行级精密单冷 / 加热加湿室内机组使用，风冷散热型式。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配套风冷室外冷凝器，配置室外风机，风机可根据室外温度无极调速，降低风机能耗；与室内机冷媒回路匹配，保障系统换热效率；具备高低压保护、过流保护等安全保护功能；可与室内控制器通讯，实时上传运行状态、告警信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（3）质量要求：机组外壳无变形、掉漆、锈蚀；风机运转平稳无异常振动、噪音；管路焊接可靠无泄漏；电气接线牢固；保护、告警功能动作准确。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行级精密空调室内机（单冷）</w:t>
            </w: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★（1）总冷量：≥45kW；显冷量：≥45kW；风量：≥9000 m3/h；水平送风。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（2）行级精密空调尺寸统一为600*1200*2000mm，与微模块整体外观统一。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（3）应具备高显热比，要求显热比（显冷量/总冷量）=1。</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（4）室内机应由直流变频压缩机、蒸发器、EC风机、控制器、电子膨胀阀、油分、视液镜、干燥过滤器、等主要部件组成。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（5）采用高效工业用直流变频涡旋压缩机，20%~100%无极调节，按需输出冷量，大幅降低能耗。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▲（6）具备制冷剂不足分级检测功能，支持制冷剂正常充注、制冷剂不足、制冷剂严重不足等状态检测（投标时需提供第三方检测机构出具的检测报告关键页）。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（7）含进出水、冷媒管路、制冷剂、内外机电源线、内外机信号线、内外机底座等材料。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质量要求：机组外观完好无变形、掉漆、磕碰，整机尺寸合规，与微模块外观协调统一；各核心部件装配紧固、连接可靠，管路无渗漏、线路无虚接；制冷功能运行稳定；制冷剂分级检测功能响应准确；风机、压缩机运行平稳，无异常震动及噪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集成内容：设备进场验收、设备就位定位固定、水平度调校、管路及线缆敷设连接、控制接线、接地安装、上电检查、制冷功能调试、制冷剂检测功能校验、系统联调、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★（10）强制节能：产品列入强制节能产品政府采购品目清单 A02052309 专用制冷、空调设备（机房空调），整套机组具有对应的有效节能产品认证证书。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行级精密空调室外机（单冷）</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（1）规格：配套行级精密空调风冷室外机，与室内机一一匹配，适配本项目行级精密单冷 / 加热加湿室内机组使用，风冷散热型式。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配套风冷室外冷凝器，配置室外风机，风机可根据室外温度无极调速，降低风机能耗；与室内机冷媒回路匹配，保障系统换热效率；具备高低压保护、过流保护等安全保护功能；可与室内控制器通讯，实时上传运行状态、告警信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（3）质量要求：机组外壳无变形、掉漆、锈蚀；风机运转平稳无异常振动、噪音；管路焊接可靠无泄漏；电气接线牢固；保护、告警功能动作准确。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房间精密空调室内机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★（1）总冷量：≥12.5kW；显冷量：≥11.7kW；风量：≥3100 m3/h。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（2）显热比（显冷量/总冷量）≥0.9。</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（3）精密空调应由直流变频压缩机、EC风机、电子膨胀阀等主要部件组成。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（4）精密空调可支持制冷量30%~100%无极调节，按需输出冷量，大幅降低能耗。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▲（5）机组应具备不低于6kV防雷滤波规格（投标时需提供第三方检测机构出具的检测报告关键页）。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（6）采用不低于3.2寸LCD显示屏。支持温湿度曲线显示。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（7）机组的控制器应具有标准报警功能，包括：高温报警、低温报警、风扇故障报警、温湿度传感器故障报警等功能。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（8）连管长度：出厂预充注冷媒，30m以内的内外机连管长度无需添加制冷剂。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▲（9）抗震要求：整机通过YD/T 2061《通信机房用恒温恒湿空调系统》不小于8级烈度抗震测试。（投标时需提供第三方机构测试报告关键页证明。）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（10）管路连接：内外机管路连接采用免焊接设计，安装现场无需动火。</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（11）含进出水、冷媒管路、制冷剂、内外机电源线、内外机信号线、内外机底座等材料。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★（12）强制认证：本产品属于国家强制性产品认证目录内【空调器（0703）】类产品，具有有效的3C认证证书（到货验收时提供有效的3C认证证书供采购人核验）。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（13）质量要求：机组外壳无变形、掉漆、锈蚀；风机运转平稳无异常振动、噪音；管路焊接可靠无泄漏；电气接线牢固；保护、告警功能动作准确。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集成内容：设备进场验收、室外机基础复核、设备就位固定、找平加固、设备接地、冷媒管路对接、电气及通讯线缆敷设接线、气密性试验、抽真空、冷媒加注、整机联动调试、运行状态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★（15）强制节能：产品列入强制节能产品政府采购品目清单 A02052309 专用制冷、空调设备（机房空调），整套机组具有对应的有效节能产品认证证书。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房间精密空调室外机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（1）规格：配套房间级精密空调风冷室外机，与本项目房间精密空调室内机一一匹配，风冷散热型式。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配套风冷室外冷凝器，配置室外风机，可根据环境温度调速，降低风机能耗；冷媒回路参数与室内机匹配，保障整机换热效率；具备高低压保护、过流保护等安全保护功能；可与室内机控制器通讯，实时上传机组运行状态、故障告警信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（3）质量要求：机组外壳无变形、掉漆、锈蚀；风机运转平稳，无异常振动及噪音；管路连接可靠无泄漏；电气接线牢固；各项保护、告警功能动作准确。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室外机基础复核、设备就位固定、找平加固、设备接地、冷媒管路对接、电气及通讯线缆敷设接线、气密性试验、抽真空、冷媒系统检查、整机联动调试、运行状态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（三）机柜冷通道系统</w:t>
            </w: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服务器机柜</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★（1）机柜采用标准的服务器机柜，尺寸（宽*深 *高）为600*1200*2000mm，支持19英寸标准的服务器、存储及网络设备安装；服务器机柜含20个1U盲板、1对轻载滑道U等机柜配件，布线含30个1U盲板、2对轻载滑道U等机柜配件。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★（2）32A单相国标机柜PDU规格：输出接口不少于 20 个 GB 10A 国标插座 + 4 个 GB 16A 国标插座，适配标准 19 英寸服务器机柜内安装使用（1个机柜配置2个，22个机柜使用这种规格）。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★（3）63A单相国标机柜PDU规格：采用 63A 单相国标机柜专用 PDU，适配 19 英寸标准机柜嵌入式安装；设备输出接口配置不少于 16 路 GB 10A 国标插座、8 路 GB 16A 国标插座，满足机房设备多回路、多功率设备供电需求（1个机柜配置2个，4个机柜使用这种规格）。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（4）机柜颜色为黑色，机柜应采用高强度A级优质碳素冷轧钢板和镀锌板，表面喷涂厚度应不小于60</w:t>
            </w:r>
            <w:r>
              <w:rPr>
                <w:rFonts w:ascii="Calibri" w:hAnsi="Calibri" w:cs="Calibri"/>
                <w:color w:val="000000"/>
                <w:sz w:val="20"/>
                <w:szCs w:val="20"/>
                <w:lang w:bidi="ar"/>
              </w:rPr>
              <w:t xml:space="preserve">μ</w:t>
            </w:r>
            <w:r>
              <w:rPr>
                <w:rFonts w:hint="eastAsia" w:ascii="宋体" w:hAnsi="宋体" w:cs="宋体"/>
                <w:color w:val="000000"/>
                <w:sz w:val="20"/>
                <w:szCs w:val="20"/>
                <w:lang w:bidi="ar"/>
              </w:rPr>
              <w:t xml:space="preserve">m ,采用黑色砂纹工艺，满足防腐、防锈、光洁、色泽均匀、无流挂、不露底、无起泡、无裂纹、金属件无毛刺锈蚀要求。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（5）机架前门立柱需要有具体U数标示。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（6）机柜立柱采用八折型材一次滚压成型技术，保证承重要求。机柜主要承重部件包括立柱、横梁、框架等的板材厚度不小于1.5mm，顶板、侧板、底板等非承重部件的板材厚度1.0mm。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▲（7）机柜前后门开孔率需均≥75%（投标时需提供同系列机型第三方机构出具的检测报告）。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▲（8）机柜保证在承重情况下各部件不变形弯曲，被检机柜配置≥2300KG荷载情况下，静置24H，卸荷后目测托盘和柜体无损坏或变形（投标时需提供同系列机型第三方机构出具的检测报告关键页）。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▲（9）按照标准YD5083-2005《电信设备抗地震性能检测规范》要求，机柜配重不小于580kg承重下，通过不小于8级烈度结构抗地震检测（提供同系列机型第三方机构出具的检测报告关键页）。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（10）质量要求：机柜外形尺寸精准，板材厚度达标，型材成型规整无变形；表面喷塑均匀饱满，无流挂、漏底、起泡、裂纹、锈蚀、毛刺等缺陷；柜门开合顺畅、锁紧可靠；内部 U 位标识清晰准确；整机承重、散热、防护、抗震性能达标，结构稳固无松动隐患。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集成内容：设备进场验收、外观及参数核查、安装场地清理、机柜就位摆放、水平垂直调平、机柜固定加固、设备接地处理、盲板及轻载滑道、柜顶部围板、顶部强弱电走线槽、机柜下封板等配件安装规整、整机结构检查、散热及防护结构核验、标识粘贴、成品保护、施工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冷通道系统</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★（1）规格：机柜专用侧板适配 1200mm 深、2000mm 高落地 机柜专用侧板*4，固定天窗1200mm 宽密封冷热通道顶部封闭*3，活动天窗1200mm 宽密封冷热通道顶部封闭*13，1200mm 宽冷热密封通道端部电动推拉自动移门*2，LED照明*34，冷通道指纹/密码/刷卡一体化门禁系统*2，微模块门框*2。</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（2）参数：与机柜冷通道配套；安装后封堵通道顶部间隙，阻断冷热气流短路，保障密封通道气流组织，维持机柜散热效率；预留检修拆装条件，为消防系统配套预留接口。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微模块门框参数：模块应有明确的状态指示，可支持状态指示灯，与门禁及告警等级联动，在微模块产生告警后可与灯光进行联动。能够与紧急告警、严重告警、次要告警、提示告警进行联动。告警信号接入微模块监控系统，不同告警等级对应差异化灯光颜色 / 闪烁逻辑，便于运维人员快速识别告警级别（投标时需提供同系列机型第三方机构出具的检测报告关键页）。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（4）技术标准：产品符合机房冷通道系统相关技术规范；电气安全、信号接口满足机房弱电系统使用要求。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（5）质量要求：板面平整无变形，喷塑完好无流挂、漏底；开孔、固定孔位与机柜框架完全匹配；装配后贴合紧密，无明显缝隙。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集成内容：设备进场验收、外观及参数核查、安装场地清理、冷通道就位摆放、水平垂直调平、冷通道固定加固、设备接地处理、机柜侧板、固定天窗、活动天窗、自动移门、冷通道照明灯、冷通道门禁等配件安装规整、整机结构检查、散热及防护结构核验、标识粘贴、成品保护、施工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五、新风排烟系统</w:t>
            </w: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（一）新风系统</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吊顶式洁净新风机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★（1）规格：额定风量 ≥1500m³/h，吊顶暗装式结构。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产品功能：配置四层过滤，内置活性炭材质过滤器，可对引入新风实现除菌、去除异味；搭载智能液晶控制器，支持可编程分时段开关机运行；具备过滤器更换提醒功能；整机吊顶安装，噪声低，适配机房新风补给与空气净化需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（3）技术标准：产品符合新风净化设备相关国家、行业标准；风量、余压、过滤、除菌、异味处理、时段控制、滤网提醒功能满足机房使用环境要求。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（4）质量要求：机组壳体无变形、锈蚀；风机运转平稳无异常振动噪音；各级过滤器安装密封良好，无漏风；液晶控制器显示清晰，时段启停、滤网告警功能响应准确；电气接线牢固，绝缘耐压性能合格。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设备进场验收、参数及外观核查、吊装支架制作安装、机组吊装固定、新风管道接驳、风管密封处理、冷凝水管路安装、供电及控制线敷设接线、控制器配置调试、整机试运行、风量测试、功能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防火阀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400mm×300mm*1，300*200mm*1常开型防火阀，可接入消防控制系统，与消防主机联动；接收 DC24V 控制信号，支持远程电动复位。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69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电动风阀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400mm×300mm 。</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（2）采用 AC220V 供电，可与风机实现连锁启停控制，配套机房通风管路使用。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手动风量调节阀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（1）尺寸 300mm×200mm 。</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（2）阀体采用镀锌钢板制作，叶片转动灵活，定位锁紧可靠；关闭状态具备一定密闭性能，可用于管路风量平衡调试。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（3）技术标准：产品符合通风与空调工程风量调节阀相关国家行业标准；钣金加工尺寸、叶片调节机构满足风管风量平衡使用要求。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（4）质量要求：阀体板材平整无变形、锈蚀；叶片转动顺滑无卡滞，调节后锁紧定位牢靠；法兰平整，便于风管对接密封。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（5）集成内容：阀体风管定位安装、法兰密封、安装固定、风量调试、定位锁紧、标识粘贴、成品保护、现场清洁等全部集成工序。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风管</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（二）事故排风系统</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轴流排风机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★（1）规格：额定风量 ≥3000m³/h。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（2）技术标准：产品符合轴流排风机设备相关国家、行业标准。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（4）质量要求：机组壳体无变形、锈蚀；风机运转平稳无异常振动噪音；各级过滤器安装密封良好，无漏风；电气接线牢固，绝缘耐压性能合格。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设备进场验收、参数及外观核查、吊装支架制作安装、机组吊装固定、新风管道接驳、风管密封处理、供电及控制线敷设接线、控制器配置调试、整机试运行、风量测试、功能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防爆轴流排风机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★（1）规格：额定风量 ≥4500m³/h。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★（2）强制认证：本产品电动机属于国家强制性产品认证目录内【防爆电机（2301）】类产品，具有有效的3C认证证书（到货验收时提供有效的3C认证证书供采购人核验）。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（3）质量要求：机组壳体无变形、锈蚀；风机运转平稳无异常振动噪音；各级过滤器安装密封良好，无漏风；电气接线牢固，绝缘耐压性能合格。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参数及外观核查、吊装支架制作安装、机组吊装固定、新风管道接驳、风管密封处理、供电及控制线敷设接线、控制器配置调试、整机试运行、风量测试、功能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防火阀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300mm×200mm*1 ，尺寸 300mm×150mm *1常开型防火阀，可接入消防控制系统，与消防主机联动；接收 DC24V 控制信号，支持远程电动复位。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电动风阀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300mm×200mm*1 ，尺寸 300mm×150mm *1电动风阀。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（2）采用 AC220V 供电，可与风机实现连锁启停控制，配套机房通风管路使用。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风管</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（三）电池间日常排风系统</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吊顶式洁净新风机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★（1）规格：额定风量≥250m³/h，吊顶暗装式结构。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（2）技术标准：产品符合新风净化设备相关国家、行业标准；风量、余压、过滤、除菌、异味处理、时段控制、滤网提醒功能满足机房使用环境要求。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（3）质量要求：机组壳体无变形、锈蚀；风机运转平稳无异常振动噪音；各级过滤器安装密封良好，无漏风；液晶控制器显示清晰，时段启停、滤网告警功能响应准确；电气接线牢固，绝缘耐压性能合格。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参数及外观核查、吊装支架制作安装、机组吊装固定、新风管道接驳、风管密封处理、冷凝水管路安装、供电及控制线敷设接线、控制器配置调试、整机试运行、风量测试、功能校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防火阀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200mm×150mm 常开型防火阀，可接入消防控制系统，与消防主机联动；接收 DC24V 控制信号，支持远程电动复位。</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（3）质量要求：阀体外观完好无变形锈蚀，叶片启闭顺畅无卡滞；执行机构动作灵敏，接收 24V 信号可正常关闭，远程电动复位可靠；密封良好，关闭后漏风率满足规范要求，接线端子牢固绝缘。</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（4）集成内容：阀体风管定位安装、法兰密封、执行机构固定、消防控制线敷设接线、联动回路测试、动作与复位调试、标识粘贴、成品保护、现场清洁等全部集成工序。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79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电动风阀</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（1）规格：尺寸 200mm×150mm 电动风阀。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（2）采用 AC220V 供电，可与风机实现连锁启停控制，配套机房通风管路使用。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（3）质量要求：阀体外观平整无变形锈蚀，叶片转动无卡滞；执行器动作灵敏，启闭到位；密封性能良好，接线端子牢固、绝缘可靠。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（4）集成内容：阀体风管定位安装、法兰密封、执行机构固定、220V 供电及连锁控制线敷设接线、连锁逻辑配置、启闭调试、联动测试、标识粘贴、成品保护、现场清洁等全部集成工序。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风管</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（1）采用 ≥0.6mm 厚度镀锌钢板制作风管，外壁包覆 20mm 厚橡塑保温板，配套含三通、弯头、变径等异形管件，用于机房新风通风管路输送。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（2）技术标准：风管制作、保温施工符合相关国家行业标准；镀锌板材、橡塑保温材料满足机房环境防火、防腐、防潮相关技术要求。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（3）质量要求：镀锌钢板表面无起皮、锈蚀、孔洞；风管成型规整，咬口严密；橡塑保温板粘贴牢固、接缝严密无空鼓，保温层厚度达标；三通、弯头、变径等异形管件尺寸准确，对接顺畅，密封良好。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风管预制、风管及异形管件现场吊装、支吊架安装、管路拼接密封、橡塑保温施工、漏光漏风检测、管路固定、防雨百叶风口、控制线、电源信号线、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六、机房气体消防系统</w:t>
            </w: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（一）七氟丙烷灭火系统无管网式</w:t>
            </w: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单瓶组柜式灭火装置</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★（1）规格：40KG*1、84KG*1、111KG*2。单瓶组成套柜式结构，含灭火剂瓶组、容器阀、信号反馈装置、喷嘴、柜体等全套部件；具备自动、手动、机械应急三种启动方式；可接入火灾报警控制器，接收 DC24V 启动信号，喷放后输出动作反馈信号，用于机房电气火灾防护，不损伤机房精密设备。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（3）质量要求：柜体结构牢固，瓶组钢印、铭牌齐全；容器阀、安全泄放装置性能可靠；启动、喷放动作灵敏，密封无泄漏；信号反馈准确，机械应急操作省力可靠。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（4）集成内容：柜体定位固定、灭火剂管路及喷嘴安装、火灾报警控制线敷设接线、联动逻辑配置、模拟启动试验、喷放反馈测试、标识粘贴、成品保护、现场清洁等全部集成工序。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82</w:t>
            </w:r>
            <w:r>
              <w:rPr>
                <w:rFonts w:ascii="宋体" w:hAnsi="宋体" w:cs="宋体"/>
                <w:color w:val="000000"/>
                <w:sz w:val="20"/>
                <w:szCs w:val="20"/>
              </w:rPr>
            </w:r>
            <w:r/>
          </w:p>
        </w:tc>
        <w:tc>
          <w:tcPr>
            <w:shd w:val="clear" w:color="auto" w:fill="ffffff"/>
            <w:tcW w:w="2029" w:type="dxa"/>
            <w:vAlign w:val="center"/>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HFC-227ea灭火剂</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七氟丙烷（HFC-227ea/FM200），结构式是 CF3CHFCF3。是一无色的无气味气体;化学式是C3HF7，微溶于水(260 mg/l) 。</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泄压装置</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（1）规格：气体灭火防护区专用泄压装置，有效泄压面积 0.07㎡，本体开孔尺寸 300mm×300mm*2，本体开孔尺寸 400mm×400mm*1，安装于机房防护区墙体，用于七氟丙烷喷放时释放防护区内超压。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（2）质量要求：装置壳体平整无变形锈蚀；泄压动作灵敏，开启与复位可靠；密封片完好，平时密闭不漏风，超压开启顺畅；安装法兰尺寸匹配预留洞口。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（3）集成内容：墙体洞口清理定位、泄压装置固定安装、接缝密封、功能外观检查、标识粘贴、成品保护、现场清洁等全部集成工序。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（二）火灾自动报警系统</w:t>
            </w: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点型光电感烟火灾探测器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内置单片机，可对环境参数自动补偿，智能算法判别火警，降低误报率；采用电子编码，现场可单独编址，具备故障自诊断功能；探测器自带火警确认指示灯，烟雾浓度达到阈值后向火灾报警控制器上传火警信号，可联动后续灭火、排风等消防设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（3）质量要求：外壳完好无破损；光学迷宫洁净；通讯稳定，火警、故障信号上传准确；编码地址唯一，无地址冲突；工作电流、灵敏度指标满足国标。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（4）集成内容：底座固定安装、二总线接线、电子编码设置、地址注册、火警模拟测试、故障测试、标识粘贴、成品保护、现场清洁等全部集成工序。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点型感温火灾探测器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（1）参数：内置单片机，支持温度算法处理，可现场切换设置 A1R、BS 探测类别；电子编码，独立编址，自带故障自诊断；温度达到报警阈值后点亮火警指示灯，向火灾报警控制器上传火警信号，可联动气体灭火、通风等消防设备。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（3）质量要求：外壳完好无破损；温度传感元件性能稳定；通讯可靠，火警、故障信号上传准确；地址编码唯一，无地址冲突；A1R、BS 类别切换设置功能正常。</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（4）集成内容：底座固定安装、二总线接线、电子编码、探测类别参数配置、主机地址注册、温度模拟报警测试、故障测试、标识粘贴、成品保护、现场清洁等全部集成工序。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火灾声警报器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（1）参数：金属外壳，直径 150mm；额定工作电压 DC24V；输出声压级 75dB~90dB；接收报警主机火警指令后发出持续警报声响，提示现场人员发生火情，适配机房消防系统联动使用。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（2）质量要求：外壳无变形锈蚀，发声器件完好；供电 DC24V 工况下发声稳定，声压指标满足要求；接线端子牢固，绝缘性能合格，响应及时。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（3）集成内容：定位固定、DC24V 控制线敷设接线、主机联动配置、警报发声测试、标识粘贴、成品保护、现场清洁等全部集成工序。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火灾声光警报器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（1）参数：二线制通讯供电，支持电子编码，可在主机上独立编址；火警启动后同步输出强光与蜂鸣警报；内置蜂鸣器检线功能，实时监测线路故障，线路异常时反馈故障信号至报警主机，适配消防联动系统。</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★（2）强制认证：本产品属于国家强制性产品认证目录内【火灾报警产品（1801）】类产品，具有有效的3C认证证书（到货验收时提供有效的3C认证证书供采购人核验）。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（3）质量要求：外壳完好无破损；光源、蜂鸣器件性能稳定；二线总线通讯可靠，声光输出强劲；检线功能正常，故障信号上报准确；编码地址唯一无冲突。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（4）集成内容：设备进场验收、3C 证书核验、底座固定安装、二线总线接线、电子编码设置、主机注册、火警联动声光测试、线路故障检线功能测试、标识粘贴、成品保护、现场清洁等全部集成工序。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气体释放警报器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（1）参数：电子编码，二总线无极性接入气体灭火控制器；接收喷放联动指令后，红色 “放气勿入” 标识闪烁，闪光频率 1Hz～2Hz；内置 MCU，具备总线通讯、故障自检功能；DC24V 总线供电；用于七氟丙烷防护区，在灭火剂喷放后警示现场人员，防止人员误入造成窒息伤害。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（2）质量要求：外壳完好，LED 发光均匀醒目；总线通讯稳定，可正常注册编码；收到联动信号可靠点亮警示，故障状态可上传至主机；标识文字尺寸、亮度满足国标要求。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（3）集成内容：底座固定安装、二总线接线、电子编码、主机注册、喷放联动试验、故障自检测试、标识粘贴、成品保护、现场清洁等全部集成工序。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89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气体灭火控制器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★（1）规格：壁挂式气体灭火控制器，支持 4 个防区气体灭火控制；每 2 个区共享 1 路 242 点回路，共计 4 个区；自带 CAN 联网卡，内置备用电源，不含打印机；最多可扩展 5 块通讯板，符合 2O24 新国标。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（2）参数：可配接编码型火灾探测器、手动火灾报警按钮、紧急启 / 停按钮、声光警报器、气体释放警报器、手自动转换开关、输出模块等设备；具备火灾探测报警 + 气体灭火控制双重功能；具备火警识别、延时启动、喷放输出、状态反馈、故障监测、手自动切换功能；支持 CAN 总线联网通信，自带备电保障断电持续工作，无打印模块，可扩展最多 5 块通讯板。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★（3）强制认证：本产品属于国家强制性产品认证目录内【火灾报警产品（1801）】类产品，具有有效的3C认证证书（到货验收时提供有效的3C认证证书供采购人核验）。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（4）质量要求：壁挂壳体坚固，显示屏、按键操作正常；回路通讯稳定，4 个防区独立状态监视；火警、故障、延时、喷放信号准确；CAN 联网、备电充放电功能可靠；扩展通讯板接口稳定。</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（5）集成内容：智能电源箱、壁挂固定安装、回路总线、控制输出、CAN 联网线敷设接线、备用电源接线、设备注册、防区参数配置、火警模拟、延时及喷放联动试验、手自动切换测试、故障自检测试、标识粘贴、成品保护、现场清洁等全部集成工序。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紧急启停按钮</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电子编码，启动和停动共占用一个编码点；可输出无源常开触点信号，能够直接控制声光警报器等外部设备；具备紧急启动、紧急停止双按键，带防护盖板，防止误操作；信号接入气体灭火控制器，将现场手动指令上传至主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（2）质量要求：壳体完好，盖板开合顺畅；按键动作可靠，无卡滞；编码注册正常，启停指令上传准确；无源常开触点通断可靠，触点容量满足外接设备控制要求。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（3）集成内容：底座固定安装、二总线接线、电子编码设置、主机地址注册、启停功能模拟测试、无源触点输出测试、标识粘贴、成品保护、现场清洁等全部集成工序。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输入/输出模块</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（1）参数：电子编码，单动作输入、输出；无源输出容量 DC24V/2A，有源输出容量 DC24V/1A；可采集现场设备反馈信号，同时输出控制信号联动外部消防设备，具备故障自检、总线通讯监测功能。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jc w:val="left"/>
              <w:widowControl/>
              <w:rPr>
                <w:rFonts w:ascii="宋体" w:hAnsi="宋体" w:cs="宋体"/>
                <w:color w:val="000000"/>
                <w:sz w:val="20"/>
                <w:szCs w:val="20"/>
              </w:rPr>
            </w:pPr>
            <w:r>
              <w:rPr>
                <w:rFonts w:hint="eastAsia" w:ascii="宋体" w:hAnsi="宋体" w:cs="宋体"/>
                <w:color w:val="000000"/>
                <w:sz w:val="20"/>
                <w:szCs w:val="20"/>
                <w:lang w:bidi="ar"/>
              </w:rPr>
              <w:t xml:space="preserve">★（2）强制认证：本产品具备有效的消防产品强制性认证（CCCF）证书（到货验收时提供有效的证书供采购人核验）。</w:t>
            </w:r>
            <w:r>
              <w:rPr>
                <w:rFonts w:ascii="宋体" w:hAnsi="宋体" w:cs="宋体"/>
                <w:color w:val="000000"/>
                <w:sz w:val="20"/>
                <w:szCs w:val="20"/>
              </w:rPr>
            </w:r>
            <w:r/>
          </w:p>
        </w:tc>
        <w:tc>
          <w:tcPr>
            <w:shd w:val="clear" w:color="auto" w:fill="ffffff"/>
            <w:tcW w:w="4394"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（3）质量要求：模块壳体完好，接线端子牢固；总线通讯稳定，编码注册正常；输入信号采集准确，无源、有源输出触点动作可靠，输出容量满足参数要求；故障信号可上传主机。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（4）集成内容：模块底座固定安装、信号总线及受控设备接线、电子编码、主机地址注册、输入反馈测试、无源 / 有源输出动作试验、标识粘贴、成品保护、现场清洁等全部集成工序。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总线短路隔离器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（1）参数：电子编码，接入信号二总线；当总线发生短路故障时自动隔离故障段，保障其余回路设备正常工作；故障消除后可自动恢复总线通讯，具备总线状态监测功能，故障信号上传至消防主机。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（2）质量要求：壳体完好，接线端子牢固；短路保护动作灵敏，故障隔离可靠；短路消除后自动恢复通讯，通讯稳定无丢点；故障反馈信号上传准确。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（3）集成内容：固定安装、二总线接线、主机注册、短路模拟试验、自恢复功能测试、标识粘贴、成品保护、现场清洁等全部集成工序。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电子编码器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（1）参数：适用于可进行电子编码的各类探测器、现场模块、指示部件。搜点功能，带数据线。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（2）质量要求：整机运行稳定，屏幕显示清晰；数据线连接可靠；写码、读码、搜点功能正常；编码写入准确，地址无错乱，可快速检索回路在线设备。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（3）集成内容：数据线检查、现场编码读写测试、搜点功能验证、设备调试使用、成品保护。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七、综合布线系统</w:t>
            </w: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（一）IT柜（规划24台）</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六类非屏蔽双绞线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★（1）芯线规格： 23AWG。</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★（2）信道带宽：ACR有效带宽≥250MHz。</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（3）实心裸铜线，HDPE包层。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（4）符合IEEE 802.3af , IEEE 802.3at 以及 IEEE802.3bt 对于POE应用的标准。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（5）外皮：护套使用低烟无卤(LSZH)材料。</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（6）线对采用十字隔离。</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（7）包装纸箱中自带转轴,有可转动轴心，方便施工。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（8）线缆上的递减尺寸标识简化安装。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（9）▲防伪：铜缆的外包装上须自带涂层防伪码，并可以现场输入防伪码到厂商官网即时查询货物真伪。（投标时需提供官网防伪验证页面的截屏。）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（10）▲六类低烟无卤非屏蔽双绞线，最大插入损耗：≤1.05dB；回波损耗≥25dB；传输延时10Mhlz≤550ns；时延差10mhz≤ 50ns。（投标时需提供单独的产品性能永久链路检测报告检；以及第三方认证机构出具的四连接永久链路测试报告）。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（11）质量要求：导体为 23AWG 实心裸铜，铜芯无杂质、无断芯；HDPE 绝缘均匀；十字隔离完整；LSZH 护套表面无破损、开裂；线对串扰、回波损耗、插入损耗等六类电气指标全部合格；低烟无卤燃烧、烟密度、卤素释放指标达标；防伪码可正常官网核验，所有要求检测报告齐全、可溯源。</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（12）集成内容：布放线缆、理线、端接、永久链路测试、标识粘贴、成品保护、现场清理。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24口六类非屏蔽模块化配线架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（1）配线架端口：24，模块化安装。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（2）可安装超5类/6类/6A类的标准模块，且可实现同时安装LC/SC/FJ/ST光纤模块或BNC等模块。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（3）可从正面拆卸配线架上的模块而无需把配线架整体拆下，每个模块都可单独拆卸，方便维护更换。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（4）安装在配线架上的RJ45模块采用免打线的端接方式。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（5）模块的插拔次数不小于2500次。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（6）模块至少有6种颜色可选。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（7）框架为冷轧钢材质。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（8）提供标签座便于端口标示。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（9）可提供置换标签/标签盖。</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（10）安装在标准EIA19”机架或使用可选的延伸支架安装于标准23”机架上。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（11）技术标准：满足 ANSI/TIA-568.2、ISO 11801 综合布线连接硬件标准，配套模块满足六类传输性能，可通过福禄克永久链路测试。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（12）质量要求：冷轧钢框架平整无变形、无锈蚀；模块插拔顺畅，免打线 IDC 卡接可靠；模块正面拆装结构牢固；镀金触点抗氧化，插拔 2500 次后接触性能无明显衰减；标签座、替换标签齐全；机架安装孔位精准，19 英寸机架直接适配，选配支架支持 23 英寸机架安装。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（13）集成内容：机架固定安装、模块装配、线缆免打端接、端口标签粘贴、链路测试、成品保护、现场清理。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2米六类非屏蔽网络跳线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（1）原厂成品跳线，采用多股铜导体，插头带护套。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（2）采用紧凑型设计技术，易于安装、防打结，且可快速标识端口。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（3）所有的跳线都经过了100%的出厂测试,打线方式为T568B。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（4）模块插头镀镍针脚上有50微英寸的镀金层。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（5）▲耐用性：RJ45插头接插次数≥2500次（投标时需提供第三方机构的接插测试认证报告）。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（6）跳线外径：≤3.8mm，以支持高密度环境应用和数据中心的维护方便。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（7）颜色：可提供至少6种以上彩色跳线用于区分不同应用类型；跳线的颜色编码与模块的颜色编码一致。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（8）跳线上的标签提供性能水平、长度和质量控制编号的标识。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（9）跳线护套采用与RJ45水晶头一样粗细的尺寸设计，在高密度应用中提供便利的接入。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（10）可以选配同厂RJ45跳线锁，可阻止未经授权的跳线拔出，适用于网络设备或关键性的连接。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（11）技术标准：ANSI/TIA-568.2-D Category 6、ISO 11801 Class E、ANSI/TIA-1096-A、IEC 60603-7；IEEE 802.3af/at。</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（12）质量要求：多股铜芯连续无断丝，护套无开裂；水晶头镀金层均匀无脱落；紧凑型线缆柔韧不易打结；每根成品跳线均经过出厂全检；彩色外皮色泽均匀；选配跳线锁与插头匹配，锁止可靠；插拔 2500 次后接触性能无明显衰减。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（13）集成内容：机柜端接布线、端口标识粘贴、链路性能测试、选配跳线锁安装、成品保护、现场清理。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理线架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（1）规格：高度1U。</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（2）带有双铰链盖板，双铰链盖板可上下双开；可再生塑料材质，有效防护光缆。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（3）理线方式：水平整理跳线，正面或正反双面。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（4）理线棘爪采用圆边设计，保护线缆以免缠结和损坏。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（5）柔性的理线棘爪便于安装和拆卸线缆。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（6）增大的理线棘爪间距，为高性能六类或6A类线缆提供更大的空间。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（7）背板带有贯穿孔，允许前部至后部走线。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（8）含盖板及安装螺钉；。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（9）技术标准：ANSI/TIA-568-C、ISO/IEC 11801:2002 Ed2.0。</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（11）集成内容：固定安装、盖板装配、跳线梳理固定、线缆规整、成品保护、现场清理。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单模预端接光缆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米12芯OS2单模预端接光缆*4，9米12芯OS2单模预端接光缆*4，11米12芯OS2单模预端接光缆*4，12米12芯OS2单模预端接光缆*8，13米12芯OS2单模预端接光缆*6，15米12芯OS2单模预端接光缆*6，16米12芯OS2单模预端接光缆*6，17米12芯OS2单模预端接光缆*4，19米12芯OS2单模预端接光缆*4，20米12芯OS2单模预端接光缆*2。</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（2）极性：B极性。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（3）▲连接器：MPO连接器可以在现场改变极性及插针公母, 可以灵活的适应现场各种应用模型。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（4）光纤接口:12芯/1个MPO。</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（5）外皮等级：LSZH 低烟无卤。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（6）材料：符合ROHS指令。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（7）MPO连接器最大插入损耗&lt;=0.75dB。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（8）技术标准：ISO/IEC 11801、TIA/EIA-568-C.3、TIA-604-5 (FOCIS-5)、TIA/EIA-568-C.1，ROHS。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（9）质量要求：OS2 单模光纤纤芯连续无断纤；预端接 MPO 接头成品出厂研磨合格；低烟无卤护套无开裂、老化；极性切换、公母转换结构操作顺畅；插入损耗指标满足≤0.75dB；整根光缆出厂全项光学检测，ROHS 材质合规。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（10）集成内容：光缆布放、路由固定、MPO 接头清洁、链路光损耗测试、端口标识粘贴、成品保护、现场清理。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96芯预端接光纤配线架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（1）96芯光纤预端接配线架空架。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（2）模块化设计，19英寸机架安装，1U光纤箱可安装4个MPO预端接模块盒，最大可管理光纤芯数达96芯。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（3）高密度设计，可安装MPO适配器面板、LC适配器面板、MPO模块盒。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（4）箱体采用优质冷轧钢板，表面静电喷塑，外形美观。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（5）技术标准：符合 ISO/IEC 11801、TIA/EIA-568-C.3 综合布线光纤系统相关要求。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（6）质量要求：冷轧钢板箱体厚度达标，静电喷塑涂层均匀，无掉漆、锈蚀、毛刺；机架安装孔位精准；模块化卡槽结构牢固，模块盒、适配器面板拆装顺畅；内部走线空间充足，可保护光纤弯曲半径。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（7）集成内容：机架固定安装、模块盒 / 适配器面板装配、光纤布放、光缆固定与盘纤、端口标识粘贴、成品保护、现场清理。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12芯单模MPO-LC光模组</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（1）12芯OS2 MPO-LC光纤接线盒。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（2）LC 双工6个，MPO 公头1个。</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（3）MPO连接器符合TIA/EIA-568.C.3标准。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（4）MPO接口耐用性：不少于500次。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（5）可提供专用插入式LC模块锁防止未经授权的非法接入。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（6）技术标准：TIA/EIA-568.C.3，ISO/IEC 11801 光纤布线相关规范。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（7）质量要求：OS2 光纤纤芯无断纤；MPO、LC 接头研磨良好，光学损耗满足指标；外壳结构牢固，插拔顺畅；LC 模块锁装配可靠，锁止解锁操作方便；出厂完成光学性能检测。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（8）集成内容：光纤配线架内模块盒安装、MPO 与 LC 光纤对接、光损耗测试、端口标识粘贴、成品保护、现场清理。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3米LC-LC单模双芯光纤跳线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（1）OS2 单模9/125um, LC插头类型。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（2）护套防火等级： LSZH。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（3）符合ISO/IEC 11801、TIA/EIA-568-D.3、TIA-604-10 (FOCIS-10)标准要求。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（4）符合 RoHS 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（5）双芯单管，Push-Pull推拉式，带操作杆,适用高密环境。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（6）插入损耗 ≤0.25dB，回波损耗≥55dB。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（7）工厂检测：工厂端接并经过100%插入损耗和端面形状测试。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（8）技术标准：ISO/IEC 11801、TIA/EIA-568-D.3、TIA-604-10 (FOCIS-10)、RoHS。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（9）质量要求：OS2 光纤无断纤；LC 接头端面研磨优良；LSZH 护套无开裂损伤；推拉式操作杆插拔顺畅，便于高密度机柜操作；每根跳线出厂光学指标全部合格。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（二）网络机柜(规划2台)</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24口六类非屏蔽模块化配线架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（1）配线架端口：24，模块化安装。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（2）可安装超5类/6类/6A类的标准模块，且可实现同时安装LC/SC/FJ/ST光纤模块或BNC等模块。</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（3）可从正面拆卸配线架上的模块而无需把配线架整体拆下，每个模块都可单独拆卸，方便维护更换。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（4）安装在配线架上的RJ45模块采用免打线的端接方式。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（5）模块的插拔次数不小于2500次。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（6）模块至少有6种颜色可选。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（7）框架为冷轧钢材质。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（8）提供标签座便于端口标示。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（9）可提供置换标签/标签盖。</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（10）安装在标准EIA19”机架或使用可选的延伸支架安装于标准23”机架上。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（11）技术标准：满足 ANSI/TIA-568.2、ISO 11801 综合布线连接硬件标准，配套模块满足六类传输性能，可通过福禄克永久链路测试。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（12）质量要求：冷轧钢框架平整无变形、无锈蚀；模块插拔顺畅，免打线 IDC 卡接可靠；模块正面拆装结构牢固；镀金触点抗氧化，插拔 2500 次后接触性能无明显衰减；标签座、替换标签齐全；机架安装孔位精准，19 英寸机架直接适配，选配支架支持 23 英寸机架安装。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（13）集成内容：机架固定安装、模块装配、线缆免打端接、端口标签粘贴、链路测试、成品保护、现场清理。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理线架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（1）规格：高度1U或2U。</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（2）带有双铰链盖板，双铰链盖板可上下双开；可再生塑料材质，有效防护光缆。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（3）理线方式：水平整理跳线，正面或正反双面。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（4）理线棘爪采用圆边设计，保护线缆以免缠结和损坏。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（5）柔性的理线棘爪便于安装和拆卸线缆；。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（6）增大的理线棘爪间距，为高性能六类或6A类线缆提供更大的空间。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（7）背板带有贯穿孔，允许前部至后部走线。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（8）含盖板及安装螺钉。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（9）技术标准：ANSI/TIA-568-C、ISO/IEC 11801:2002 Ed2.0。</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（11）集成内容：固定安装、盖板装配、跳线梳理固定、线缆规整、成品保护、现场清理。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288芯预端接光纤配线架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（1）288芯光纤预端接配线架空架。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（2）模块化设计，19英寸机架安装，3U光纤箱可安装12个MPO预端接模块盒，最大可管理光纤芯数达288芯。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（3）高密度设计，可安装MPO适配器面板、LC适配器面板、MPO模块盒。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（4）采用优质冷轧钢板制作，无毛刺、无气泡、无螺丝固定，免工具开启，有机玻璃盖板，更美观。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（5）技术标准：符合 ISO/IEC 11801、TIA/EIA-568-C.3 综合布线光纤系统相关要求。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（6）质量要求：冷轧钢板箱体强度充足，板面平整，无毛刺、气泡；免工具开合结构动作顺畅，无卡滞；有机玻璃盖板通透无划痕；模块化卡槽牢固，各类适配器面板、MPO 模块盒拆装方便；内部盘纤空间充足，保障光纤最小弯曲半径。</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（7）集成内容：机架固定安装、模块盒 / 适配器面板装配、光缆引入固定、盘纤整理、光纤端接调试、端口标识粘贴、成品保护、现场清理。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24芯单模MPO-LC光模组</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（1）24芯OS2 MPO-LC光纤接线盒。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（2）LC 双工12个，MPO 公头2个。</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（3）MPO接口耐用性：不少于500次。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（4）可提供专用插入式LC模块锁防止未经授权的非法接入。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（5）技术标准：TIA/EIA-568.C.3，ISO/IEC 11801 光纤布线相关规范。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（6）质量要求：OS2 光纤纤芯无断纤；MPO、LC 接头研磨良好，光学损耗满足指标；外壳结构牢固，插拔顺畅；LC 模块锁装配可靠，锁止解锁操作方便；出厂完成光学性能检测。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（7）集成内容：光纤配线架内模块盒安装、MPO 与 LC 光纤对接、光损耗测试、端口标识粘贴、成品保护、现场清理。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3米LC-LC单模双芯光纤跳线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（1）OS2 单模9/125um, LC插头类型。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（2）护套防火等级： LSZH。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（3）双芯单管，Push-Pull推拉式，带操作杆,适用高密环境。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（4）插入损耗 ≤0.25dB，回波损耗≥55dB。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（5）工厂检测：工厂端接并经过100%插入损耗和端面形状测试。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（6）技术标准：ISO/IEC 11801、TIA/EIA-568-D.3、TIA-604-10 (FOCIS-10)、RoHS。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（7）质量要求：OS2 光纤无断纤；LC 接头端面研磨优良；LSZH 护套无开裂损伤；推拉式操作杆插拔顺畅，便于高密度机柜操作；每根跳线出厂光学指标全部合格。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（8）集成内容：跳线布放、端口对接、端面清洁、光链路损耗测试、端口标识粘贴、成品保护、现场清理。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（三）机房间互联</w:t>
            </w: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24芯单模光缆</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（1）满足以长波1550nm激光Laser光源在40公里链路长度内支持10Gbit/s网络传输速度、或以中波1310nm激光Laser光源在10公里链路长度内支持10Gbit/s网络传输速度。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（2）光纤规格：9/125um-OS2。</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（3）传输性能：支持10GBASE-LX4@CWDM达到10Km；支持10GBASE-LX@1310nm达到10Km，支持10GBASE-EX@1550nm达到40Km。（CWDM-表示波分复用技术）。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（4）光纤衰减：0.34dB/Km @ 1310nm，0.31dB/Km @ 1383nm，0.22dB/Km @ 1550nm。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（5）外皮：低烟无卤（LSZH），防火等级须同时符合IEC60332、IEC61034和IEC 60754标准。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（6）光缆护套刻印有标记，便于识别、质量追溯和长度验证。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（7）技术标准：IEEE802.3ae、IEEE802.3z、IEC60332、IEC61034、IEC 60754。</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（8）质量要求：OS2 光纤纤芯无断纤、无挤压损伤；光纤衰减指标满足要求；LSZH 护套表面完好无开裂；燃烧、烟密度、卤素释放指标符合 IEC 系列标准；护套连续印字清晰，长度标识连续可计量。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（9）集成内容：光缆布放、固定保护、熔接 / 端接、光衰减测试、链路调试、标识粘贴、成品保护、现场清理。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24芯LC光纤配线架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（1）1U机架式安装。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（2）12个双工LC（24芯）接头。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（3）抽屉式，以便对所有光纤终端进行安装和维护。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（4）全金属机身。</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（5）技术标准：符合 ISO/IEC 11801、TIA/EIA-568-C.3 综合布线光纤系统相关要求。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（6）质量要求：金属壳体平整、无变形毛刺；抽屉推拉顺畅无卡滞；LC 适配器固定牢固；内部预留盘纤空间，保证光纤最小弯曲半径；机架安装孔位匹配标准 19 英寸机柜。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（7）集成内容：机架固定安装、适配器装配、光缆引入固定、盘纤整理、光纤端接、光损耗测试、端口标识粘贴、成品保护、现场清理。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109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单模尾纤</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（1）OS2 单模9/125um, LC插头类型。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（2）符合TIA/EIA-568.3和ISO/IEC-11801性能要求。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（3）插入损耗：≤0.35dB。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（4）工厂检测：工厂端接并经过100%端面形状测试。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（5）尾纤长度：1米。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（6）技术标准：TIA/EIA-568.3、ISO/IEC-11801。</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（7）质量要求：OS2 光纤无断纤；LC 接头端面研磨良好；护套无破损；每根尾纤出厂端面检测合格，光学指标满足插入损耗要求。</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（8）集成内容：配线架内布放、光缆熔接、端面清洁、光损耗测试、端口标识粘贴、成品保护、现场清理。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3米LC-LC单模双芯光纤跳线</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（1）OS2 单模9/125um, LC插头类型。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（2）护套防火等级： LSZH。</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（3）双芯单管，Push-Pull推拉式，带操作杆,适用高密环境。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（4）插入损耗 ≤0.25dB，回波损耗≥55dB。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（5）工厂检测：工厂端接并经过100%插入损耗和端面形状测试。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（6）技术标准：ISO/IEC 11801、TIA/EIA-568-D.3、TIA-604-10 (FOCIS-10)、RoHS。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（7）质量要求：OS2 光纤无断纤；LC 接头端面研磨优良；LSZH 护套无开裂损伤；推拉式操作杆插拔顺畅，便于高密度机柜操作；每根跳线出厂光学指标全部合格。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（8）集成内容：跳线布放、端口对接、端面清洁、光链路损耗测试、端口标识粘贴、成品保护、现场清理。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理线架</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（1）规格：高度1U或2U。</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（2）带有双铰链盖板，双铰链盖板可上下双开；可再生塑料材质，有效防护光缆。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（3）理线方式：水平整理跳线，正面或正反双面。</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（4）理线棘爪采用圆边设计，保护线缆以免缠结和损坏。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（5）柔性的理线棘爪便于安装和拆卸线缆。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（6）增大的理线棘爪间距，为高性能六类或6A类线缆提供更大的空间。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（7）背板带有贯穿孔，允许前部至后部走线。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（8）含盖板及安装螺钉。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（9）技术标准：ANSI/TIA-568-C、ISO/IEC 11801:2002 Ed2.0。</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（10）质量要求：框架结构牢固不变形；双铰链盖板开合顺畅无卡滞；可再生塑料盖板无毛刺、无脆裂；圆边柔性棘爪弹性良好，不伤线缆；背板开孔规整；配套螺钉齐全，机架安装孔位匹配机柜。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（11）集成内容：固定安装、盖板装配、跳线梳理固定、线缆规整、成品保护、现场清理。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八、机房动力环境监控系统</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微模块监控采集器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（1）数据采集器：支持无线通讯。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（2）支持两路交流输入。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（3）具备本地存储功能，固态硬盘≥2G。</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（4）支持Default一键复位，恢复默认IP地址。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（5）支持SIM卡短信告警功能。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（6）支持蜂鸣器现场告警。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（7）支持配电、精密空调、温湿度等历史数据和告警统计，储存时间不少于15天。</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（8）支持至少2路WAN接入，至少2路LAN接入，RS485接口，/DI/DO接口。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（9）数据采集器必须采用嵌入式一体化集中监控主机，自带linux系统，避免在客户端安装监控软件带来的与操作系统或其它程序之间的兼容性隐患。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（10）RS485接口、AI/DI接口需可支持DC12V电源输出，可为智能温湿度传感器、水浸传感器等监控部件供电。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（11）接口需统一采用RJ45端子，简化线缆种类，简化交付难度。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（12）所有板卡、传感器需支持热插拔，即插即用。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（13）需支持web服务，可通过浏览器直接访问实现远程管理。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（14）支持LCD显示屏交互界面，可实时显示监控设备的运行参数。</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▲（15）管理系统通信总线具备容错能力，单点故障不影响其他设备。管理系统通信总线具有热备份，具备支持热插拔，在线更换功能（投标时需提供第三方检测机构出具的检测报告关键页）。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★机房动力环境监控系统数据接口向采购人免费开放。</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▲（16）采集器具有网络安全认证证书【投标时需提供第三方认证机构的网络安全认证证书】。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30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（17）质量要求：嵌入式 Linux 系统稳定可靠；两路交流输入供电冗余可靠；固态存储读写正常；一键复位功能有效；SIM 短信、蜂鸣告警触发及时；历史数据完整保存≥15 天；WAN/LAN/RS485/AI/DI/DO 接口工作正常，RJ45 端子连接可靠；DC12V 传感器供电输出稳定；板卡、传感器热插拔无系统宕机；Web 访问、LCD 本地显示正常；通信总线容错、热备份、在线更换功能满足指标。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（18）集成内容：机架安装、供电接线、传感器布线、网络配置、IP 参数调试、告警策略配置、Web 远程管理调试、LCD 界面校验、热插拔功能测试、单点故障模拟测试、数据存储验证、标识粘贴、成品保护、现场清理。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智能插座</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（1）规格：48VDC 智能插座，配置 4 路 POE 输出接口。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（2）技术标准：符合 IEEE 802.3af/at POE 供电标准，机房动力环境监控接入相关规范。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（3）质量要求：壳体牢固，接线端子可靠；48VDC 输入稳定，4 路 POE 输出供电正常；保护功能触发可靠；可与微模块监控采集器正常通讯，端口状态、能耗数据上传准确，远程通断控制响应及时。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（4）集成内容：机架安装、48VDC 电源接线、POE 端口布线、监控通讯接线、通讯调试、端口供电测试、保护功能测试、标识粘贴、成品保护、现场清理。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监控系统</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（1）≥40寸，分辨率≥1920×1080，多点触控。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（2）智慧屏支持无线和有线接入数据机房管理系统，通过APP可对数据机房设备和环境参数进行实时监测。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（3）内置摄像头，支持人脸识别，像素≥280万。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（4）通过红外传感器实现无触摸唤醒。</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▲（5）具有相应的制冷链路显示功能(投标时需提供第三方检测机构出具的检测报告)。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（6）质量要求：显示屏画面清晰，色彩均匀，无亮点、暗斑；多点触控响应灵敏；有线 / 无线网络通讯稳定，APP 数据实时同步；人脸识别识别速度快、准确率达标；红外无触摸唤醒功能可靠；制冷链路可视化界面完整、展示数据准确。</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（7）集成内容：屏幕支架安装、供电接线、网络布线、系统对接调试、人脸识别配置、红外唤醒功能测试、制冷链路显示校验、APP 联动测试、标识粘贴、成品保护、现场清理。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多功能传感器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（1）规格：集成烟感、温度、湿度检测多功能传感器，支持 POE 供电及 Zigbee 无线通讯。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（2）质量要求：烟雾探测响应及时，温湿度采集精度满足机房监控要求；POE 供电稳定，Zigbee 无线通讯可靠；支持自检，故障、超限告警正常；可稳定上传数据至微模块监控采集器。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（3）集成内容：传感器点位固定安装、POE 网线布线 / 无线配置、接入微模块采集器、参数标定、阈值配置、模拟告警测试、数据上传校验、标识粘贴、成品保护、现场清理。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116</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定位式水浸传感器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（1）规格：定位式水浸传感器，DC12V 供电，支持常开 / 常闭触点输出，接入微模块监控采集器，用于机房地面漏水定点检测、漏水告警。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（2）质量要求：传感器探头响应灵敏，遇水可靠触发；常开 / 常闭触点切换正常；定位漏水位置准确；断线自检功能有效；与微模块监控采集器 DI 接口通讯稳定，告警信号上传无误。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（3）集成内容：传感器探头及感应线缆敷设固定、接线接入采集器 DI 口、供电检查、模拟漏水测试、断线故障测试、告警阈值校验、标识粘贴、成品保护、现场清理。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117</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非定位式水浸传感器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（1）规格：非定位式水浸检测传感绳，长度 5m，配合水浸传感器主机使用，用于机房地面、机柜底部区域大范围漏水监测，发生浸水时输出开关量告警信号，接入微模块监控采集器。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（2）质量要求：传感绳外皮无破损、无断线；遇水可可靠触发告警；敷设弯折不易损坏；与水浸变送器匹配良好，信号输出稳定。</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（3）集成内容：传感绳敷设固定、两端接入水浸变送器、模拟浸水测试、告警信号上传校验、标识粘贴、成品保护、现场清理。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九、机房安防门禁系统</w:t>
            </w: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（一）门禁系统</w:t>
            </w: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118</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单门门禁锁</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（1）单门磁力锁。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（2）最大静态直线拉力：280kg ± 5%。</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（3）状态指示灯：红灯(开门状态) 绿灯(上锁状态)。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（4）锁状态侦测信号(门磁)输出:NO/NC/COM接点。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（5）使用环境：室内。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（6）适用门型：木门、玻璃门、金属门、防火门。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（7）质量要求：磁力锁吸力达标，吸合牢固；门磁 NO/NC/COM 干接点输出正常；状态指示灯显示准确；断电开锁满足消防逃生要求；适配各类指定门型。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（8）集成内容：磁力锁与吸板安装固定、接线接入门禁控制器、供电检查、上锁 / 开门功能测试、门磁信号测试、状态指示灯校验、告警联动测试、标识粘贴、成品保护、现场清理。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119</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双门门禁锁</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（1）双门磁力锁。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（2）最大静态直线拉力：280kg ± 5%。</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（3）状态指示灯：红灯(开门状态) 绿灯(上锁状态)。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（4）锁状态侦测信号(门磁)输出:NO/NC/COM接点。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（5）使用环境：室内。</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（6）适用门型：木门、玻璃门、金属门、防火门。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（7）质量要求：磁力锁吸力达标，吸合牢固；门磁 NO/NC/COM 干接点输出正常；状态指示灯显示准确；断电开锁满足消防逃生要求；适配各类指定门型。</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（8）集成内容：磁力锁与吸板安装固定、接线接入门禁控制器、供电检查、上锁 / 开门功能测试、门磁信号测试、状态指示灯校验、告警联动测试、标识粘贴、成品保护、现场清理。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人脸识别指纹机7寸屏</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（1）人脸门禁一体机含开门按钮、IC卡（≥10张）。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（2）人脸认证：采用深度学习算法，支持单人和多人识别（最多支持5人同时识别），支持照片、视频防假。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（3）组合认证：人脸+密码，人脸+卡片，卡片+密码，刷卡+指纹，密码+指纹，人脸+指纹。</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（4）多重认证：设备支持本地认证、本地+远程开门认证、本地+超级密码认证三种认证模式。每种模式最大支持20个认证组，每个认证组最多支持128人多重认证（每个认证组支持8个群组，每个群组支持16个人）。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（5）跨主机多门互锁：在同一局域网内，多台设备可配置互锁，实现同一时间只有一个门可以打开。</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（6）闭门回锁功能：支持认证开门后，在开门时间内检测到门磁关闭后，立即锁门。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（7）门禁计划配置：支持计划模板管理，支持常开、常闭时段管理。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（8）可视对讲：支持云平台、客户端、室内机、管理机进行可视对讲、远程开门。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（9）视频预览：支持管理中心远程视频预览，支持接入NVR设备，实现7*24H视频监控录像。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（10）口罩检测：支持戴口罩检测，可配置提醒戴口罩、强制戴口罩（未戴口罩不开门）。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（11）安全帽检测：支持工地安全帽检测，可配置提醒戴安全帽、强制戴安全帽（未戴安全帽不开门）。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桌面自定义：支持待机画面、通话背景图片的自定义配置；支持预览框画面、时间控件的自定义配置（位置、大小、样式），支持二维码、呼叫、密码的按钮控件自定义设置（位置、大小、样式）；支持状态栏显示配置；支持姓名、工号、人脸图片、认证结果的自定义配置（位置、大小、字体颜色）。</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（13）提示音自定义：集成TTS文字转语音，可自定义配置认证成功和认证失败的提示音及内容。可叠加播报姓名/称呼。</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（14）信息发布功能：支持图片、文字、视频的信息发布。</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（15）读卡器模式：支持通过RS-485或韦根（W26/W34）接入门禁控制器，作为读卡器使用。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（16）胁迫开门：支持配置胁迫码/胁迫卡后，遇到胁迫后，输入胁迫码/刷胁迫卡后立即开门，同时上报胁迫事件。</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（17）非授权人员管理：支持对非授权人员进行开门管理、报警联动。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（18）报警功能：支持防拆报警、门被外力开起报警、胁迫卡和胁迫密码报警、事件联动报警等。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（19）联动配置：支持事件联动、卡号联动、工号联动，可配置联动门开关、联动报警输出、联动抓拍等功能。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（20）本地功能：支持本地注册人脸、查询、设置、管理设备参数等操作。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（21）Web端管理：可进行人员管理、参数配置、事件查询、系统维护等操作。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30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（22）质量要求：7 寸屏显示清晰，人脸识别、指纹、刷卡识别稳定，照片视频防假有效；各类组合认证、多重认证策略执行准确；局域网多门互锁、闭门回锁、时段门禁计划工作正常；可视对讲、远程开门、NVR 视频预览、录像功能正常；口罩、安全帽检测识别准确；界面控件、TTS 语音自定义生效；RS485 / 韦根读卡器模式通讯稳定；胁迫报警、防拆、非法开门等各类报警信号可联动上传；本地及 Web 管理功能完整。</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（23）集成内容：设备进场验收、资料核验、设备支架安装、供电、网络 / 韦根 / RS485 布线、人员信息录入、认证策略配置、多门互锁配置、对讲与 NVR 对接、报警联动调试、人脸 / 指纹 / 卡片识别测试、胁迫告警测试、界面及语音自定义调试、事件记录校验、标识粘贴、成品保护、现场清理。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121</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四门禁控制器</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（1）传统四门门禁主机。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（2）操作系统：嵌入式Linux系统。</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（3）门禁控制：主机可直接管控4门。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（4）存储容量：本地支持10万用户、10万张卡、1万枚指纹，30万条事件记录。</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（5）认证方式：搭配读卡器可以实现刷卡、指纹、密码、扫二维码认证方式。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（6）组合认证：搭配读卡器可实现刷卡+密码、刷卡+指纹、刷卡+指纹+密码等组合认证方式。</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（7）多重认证：支持多个人员认证（刷卡、密码、指纹等）通过后才开门。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（8）门禁计划模板：支持256组计划模板管理，256个周计划（每天8个时段），1024个假日计划；支持常开、常闭时段管理；实现人员的门禁权限按时间段管控。</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（9）门禁高级功能：反潜回功能、跨主机反潜回、多门互锁功能（支持跨控制器多门互锁，最多支持32门多门互锁）、首卡常开功能、首开授权功能、超级密码开门功能、胁迫密码开门功能、闭门回锁功能等。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（10）事件上传：在线状态下将设备认证结果信息实时上传给平台，支持断网续传功能，设备离线状态下产生事件在与平台连接后会重新上传。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（11）报警功能：支持防拆报警、门被异常打开、门超时未关、胁迫卡和胁迫密码报警等。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（12）报警联动：具有报警输入接口，实现外部报警信号输入，并上传报警事件；具有报警输出接口，可配置实现事件联动报警输出功能。</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（13）消防联动：自带消防联动继电器，实现当消防信号输入时，可直接联动锁断电开门。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（14）蓄电池接入：可接蓄电池，当设备外部电源断电时，可不间断切换为蓄电池供电；外部电源恢复时可自动给蓄电池充电；并支持蓄电池欠压报警。</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（15）状态指示：具有电源、网络通讯、485通讯、布防状态、门锁状态指示灯，方便调试及故障排查。</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（16）升级功能：支持局域网、公网远程升级，支持设备升级固件备份机制，防止升级过程异常断电导致设备异常；。</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（17）WEB管理：支持Web端管理，可进行人员管理、参数配置、事件查询、系统维护等操作。</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（18）设备应采用嵌入式Linux系统，运行内存1G，存储容量4G。</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19）主机应具有丰富的通讯接口、控制接口及拓展接口：LAN接口（10M/100M/1000M自适应）1个；RS485通讯接口2个；韦根通讯接口4个；事件I/O输入接口8个；事件I/O输出接口4个；门磁I/O输入接口4个；开门I/O按钮接口4个；门锁I/O输出接口4个；备用电池充放电接口1个；消防接口1个；防拆接口1个。</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8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（20）质量要求：嵌入式 Linux 系统运行稳定，内存、存储满</w:t>
            </w:r>
            <w:r>
              <w:rPr>
                <w:rFonts w:hint="eastAsia" w:ascii="宋体" w:hAnsi="宋体" w:cs="宋体"/>
                <w:color w:val="000000"/>
                <w:sz w:val="20"/>
                <w:szCs w:val="20"/>
                <w:lang w:bidi="ar"/>
              </w:rPr>
              <w:t xml:space="preserve">足指标；4 门管控功能正常；本地用户、卡片、指纹、事件记录存储容量达标；各类认证、组合认证、多人多重认证策略执行可靠；门禁时段计划、反潜回、跨控制器多门互锁（最大 32 门）、首卡常开、胁迫开门、闭门回锁等高级功能正常；事件实时上传 + 断网续传；防拆、门异常开启、门超时未关、蓄电池欠压等告警功能正常；报警输入输出联动有效；消防联动继电器可实现消防信号触发门锁断电开门；后备蓄电池充放电切换、欠压告警可靠；各状态指示灯正常；远程升级带固件备份，断电保护；Web 管理功能完整；全部通讯与 I/O 接口工作稳定。</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（21）集成内容：安装、供电接线、蓄电池接线、网络、RS485、韦根、I/O 接口布线；前端读卡器、磁力锁、门磁、出门按钮接入；权限模板、时段、假日计划配置；反潜回、跨机多门互锁、首卡常开、胁迫开门策略配置；消防联动、报警联动调试；断网续传、远程升级测试；Web 后台管理功能校验；标识粘贴、成品保护、现场清理。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gridSpan w:val="5"/>
            <w:shd w:val="clear" w:color="auto" w:fill="ffffff"/>
            <w:tcW w:w="14230" w:type="dxa"/>
            <w:vAlign w:val="center"/>
            <w:textDirection w:val="lrTb"/>
            <w:noWrap w:val="false"/>
          </w:tcPr>
          <w:p>
            <w:pPr>
              <w:pStyle w:val="720"/>
              <w:jc w:val="center"/>
              <w:rPr>
                <w:rFonts w:ascii="宋体" w:hAnsi="宋体" w:cs="宋体"/>
                <w:color w:val="000000"/>
                <w:sz w:val="20"/>
                <w:szCs w:val="20"/>
              </w:rPr>
            </w:pPr>
            <w:r>
              <w:rPr>
                <w:rFonts w:hint="eastAsia" w:ascii="宋体" w:hAnsi="宋体" w:cs="宋体"/>
                <w:b/>
                <w:bCs/>
                <w:color w:val="000000"/>
                <w:sz w:val="20"/>
                <w:szCs w:val="20"/>
                <w:lang w:bidi="ar"/>
              </w:rPr>
              <w:t xml:space="preserve">（二）视频监控系统</w:t>
            </w: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122</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16路网络硬盘录像机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（1）16路5盘位嵌入式网络硬盘录像机。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★（2）硬盘配置8TB*2。</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具有2个HDMI接口、1个VGA接口、2个RJ45千兆网络接口、2个USB2.0接口、1个USB3.0接口、1个RS232接口、2个RS485接口（可接入RS485键盘）、1个eSATA接口；具有1路音频输入接口、1路音频输出接口、16路报警输入接口、9路报警输出接口（其中第9路支持受控直流12V输出）、具有1路直流12V输出接口（12V 1A）。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▲（4）设备支持内容合规性检测，可自动过滤敏感内容，且合规检测算法支持在线升级。（投标时需提供第三方检测机构出具的检测报告）。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▲（5）检索结果支持选中查看关联录像/图片，录像片段内显示关联目标跟踪框，支持对录像关联目标及其周围目标进行二次精准检索；（投标时需提供第三方检测机构出具的检测报告）。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▲（6）支持本地预览权限的配置，设置权限后的通道只有登录后才会出现预览画面；支持远程预览加密，只有输入密钥才能解开视频；（投标时需提供第三方检测机构出具的检测报告）。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▲（7）支持密码复杂度等级显示；设备密码不允许明文显示和拷贝操作；并支持通过安全问题恢复密码，密码重置功能可开启或关闭。（投标时需提供第三方检测机构出具的检测报告）。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（8）集成内容：硬盘安装、供电接线、网络布线、RS485 键盘、报警信号接线、音视频接线；通道添加、录像策略配置；权限、视频加密配置；密码安全策略配置；智能检索、文搜合规检测功能调试；报警联动测试；回放检索功能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123</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400万全彩网络半球摄像机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（1）400万全彩海螺网络摄像机。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（2）传感器类型：1/3" Progressive Scan CMOS。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（3）最低照度：彩色：0.005 Lux。</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（4）宽动态：120 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（5）焦距&amp;视场角：2.8 mm，水平视场角：98°，垂直视场角：54°，对角视场角：115°。</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（6）4 mm，水平视场角：79°，垂直视场角：42°，对角视场角：93°。</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（7）6 mm，水平视场角：49°，垂直视场角：26°，对角视场角：57°。</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（8）8 mm，水平视场角：38°，垂直视场角：21°，对角视场角：44°。</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（9）防补光过曝：支持。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（10）补光灯类型：智能补光，可切换白光灯、红外灯。</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（11）补光距离：红外光最远可达30 m，白光最远可达20 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（12）波长范围：850 nm。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（13）最大分辨率：2560 × 1440。</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（14）视频压缩标准：主码流：H.265/H.264，支持超级智能编码。</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（15）子码流：H.265/H.264/MJPEG。</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（16）网络：1个RJ45 10 M/100 M自适应以太网口。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（17）音频：1个内置麦克风。</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（18）供电方式：DC：12 V ± 25%，支持防反接保护。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（19）PoE：IEEE 802.3af，CLASS 3。</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（20）防护：IP67。</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77"/>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（21）集成内容：摄像机点位安装固定、网线敷设、PoE/DC12V 供电接线、接入 NVR、IP 及码流参数配置、图像调试、音频测试、夜视/智能补光切换测试、录像预览校验、标识粘贴、成品保护、现场清理。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124</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400万全彩网络人脸半球摄像机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（1）400万全彩网络人脸半球摄像机。</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（2）传感器类型：1/2.7" 逐行扫描 CMOS。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（3）最低照度：彩色：0.005 Lux @（F1.2，AGC ON），0 Lux with Light。</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（4）黑白：0.0002 Lux @（F1.2，AGC ON），0 Lux with IR  。</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（5）焦距：2.7~13.5 mm。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（6）补光灯类型：红外（850nm 反射式补光）。</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（7）补光距离：红外最远可达30m。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（8）网络传输类型：有线。</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（9）宽动态：120 dB。</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（10）连接方式：甩线式接口，线缆长度35cm。</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（11）音频：1路输入（Line in），1路输出（Line out），2个内置麦克风，1个内置扬声器。</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（12）报警：1路输入，湿接点，支持3.3 V~5 V范围电位；1路输出，湿接点，电平量，最大支持DC12V，30mA（无源接口）。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（13）电源输出：1路DC12V输出，最大电流100mA。</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（14）电流及功耗：DC：12 V，0.88A，最大功耗10.5 W。</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（15）PoE：IEEE 802.3af，Type 1, Class 3，36 V~57 V，0.33 A~0.21 A，最大功耗：11.7 W。</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（16）内置GPU芯片。</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52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（17）内置3个双半弧形鳞片状镜面反射式补光灯，灯珠朝向与设备照射方向不同；补光灯开启后正面不可见补光灯灯珠。</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18）具有AI-ISP图像质量提升功能，在低照度环境下，可自动调节预览场景视频画面中人脸、人体等目标及预览场景视频画面的区域曝光、亮度、色彩饱和度、对比度、锐度等（投标时需提供第三方检测机构出具的检测报告）。</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78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（19）集成内容：摄像机点位安装固定、网线敷设、PoE/DC12V 供电接线、接入 NVR、IP 及码流参数配置、图像调试、音频测试、夜视/智能补光切换测试、录像预览校验、标识粘贴、成品保护、现场清理。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restart"/>
            <w:textDirection w:val="lrTb"/>
            <w:noWrap/>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125</w:t>
            </w:r>
            <w:r>
              <w:rPr>
                <w:rFonts w:ascii="宋体" w:hAnsi="宋体" w:cs="宋体"/>
                <w:color w:val="000000"/>
                <w:sz w:val="20"/>
                <w:szCs w:val="20"/>
              </w:rPr>
            </w:r>
            <w:r/>
          </w:p>
        </w:tc>
        <w:tc>
          <w:tcPr>
            <w:shd w:val="clear" w:color="auto" w:fill="ffffff"/>
            <w:tcW w:w="2029" w:type="dxa"/>
            <w:vAlign w:val="center"/>
            <w:vMerge w:val="restart"/>
            <w:textDirection w:val="lrTb"/>
            <w:noWrap w:val="false"/>
          </w:tcPr>
          <w:p>
            <w:pPr>
              <w:pStyle w:val="720"/>
              <w:jc w:val="center"/>
              <w:widowControl/>
              <w:rPr>
                <w:rFonts w:ascii="宋体" w:hAnsi="宋体" w:cs="宋体"/>
                <w:color w:val="000000"/>
                <w:sz w:val="20"/>
                <w:szCs w:val="20"/>
              </w:rPr>
            </w:pPr>
            <w:r>
              <w:rPr>
                <w:rFonts w:hint="eastAsia" w:ascii="宋体" w:hAnsi="宋体" w:cs="宋体"/>
                <w:color w:val="000000"/>
                <w:sz w:val="20"/>
                <w:szCs w:val="20"/>
                <w:lang w:bidi="ar"/>
              </w:rPr>
              <w:t xml:space="preserve">POE交换机</w:t>
            </w: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★（1）提供24个千兆PoE电口，2个千兆光口。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（2）交换容量 52 Gbps。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（3）包转发率 38.688 Mpps。</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（4）支持IEEE 802.3at/af。</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（5）支持IEEE 802.（3）IEEE 802.3u、IEEE 802.3x。</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（6）支持6 KV防浪涌（PoE口）。</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（7）支持PoE输出功率管理。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（8）远距离端口：17～24。</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（9）整机最大供电功率370 W。</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（10）端口最大供电功率30 W。</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（11）线速转发、无阻塞设计。</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（12）PD功率智能检测，系统级过载保护。</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26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（13）坚固式高强度金属外壳。</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（14）质量要求：整机无阻塞线速转发，端口识别正常；PoE 供电可自动识别 af/at 受电设备，智能功率分配，具备过载保护；17～24 口远距离传输功能可靠；PoE 端口 6KV 防浪涌防护有效；高强度金属外壳，散热良好，长时间连续运行稳定；可稳定为网络摄像机等前端设备同时提供网络传输与 PoE 供电。</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r>
        <w:trPr>
          <w:trHeight w:val="1040"/>
        </w:trPr>
        <w:tc>
          <w:tcPr>
            <w:shd w:val="clear" w:color="auto" w:fill="ffffff"/>
            <w:tcW w:w="746" w:type="dxa"/>
            <w:vAlign w:val="center"/>
            <w:vMerge w:val="continue"/>
            <w:textDirection w:val="lrTb"/>
            <w:noWrap/>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2029" w:type="dxa"/>
            <w:vAlign w:val="center"/>
            <w:vMerge w:val="continue"/>
            <w:textDirection w:val="lrTb"/>
            <w:noWrap w:val="false"/>
          </w:tcPr>
          <w:p>
            <w:pPr>
              <w:pStyle w:val="720"/>
              <w:jc w:val="center"/>
              <w:rPr>
                <w:rFonts w:ascii="宋体" w:hAnsi="宋体" w:cs="宋体"/>
                <w:color w:val="000000"/>
                <w:sz w:val="20"/>
                <w:szCs w:val="20"/>
              </w:rPr>
            </w:pPr>
            <w:r>
              <w:rPr>
                <w:rFonts w:ascii="宋体" w:hAnsi="宋体" w:cs="宋体"/>
                <w:color w:val="000000"/>
                <w:sz w:val="20"/>
                <w:szCs w:val="20"/>
              </w:rPr>
            </w:r>
            <w:r/>
          </w:p>
        </w:tc>
        <w:tc>
          <w:tcPr>
            <w:shd w:val="clear" w:color="auto" w:fill="ffffff"/>
            <w:tcW w:w="5404" w:type="dxa"/>
            <w:vAlign w:val="center"/>
            <w:textDirection w:val="lrTb"/>
            <w:noWrap w:val="false"/>
          </w:tcPr>
          <w:p>
            <w:pPr>
              <w:pStyle w:val="720"/>
              <w:widowControl/>
              <w:rPr>
                <w:rFonts w:ascii="宋体" w:hAnsi="宋体" w:cs="宋体"/>
                <w:color w:val="000000"/>
                <w:sz w:val="20"/>
                <w:szCs w:val="20"/>
              </w:rPr>
            </w:pPr>
            <w:r>
              <w:rPr>
                <w:rFonts w:hint="eastAsia" w:ascii="宋体" w:hAnsi="宋体" w:cs="宋体"/>
                <w:color w:val="000000"/>
                <w:sz w:val="20"/>
                <w:szCs w:val="20"/>
                <w:lang w:bidi="ar"/>
              </w:rPr>
              <w:t xml:space="preserve">（15）集成内容：安装固定；网线、光纤布线；端口接线；PoE 供电测试；远距离端口功能验证；整机压力测试；网络连通性测试；标识粘贴、成品保护、现场清理。</w:t>
            </w:r>
            <w:r>
              <w:rPr>
                <w:rFonts w:ascii="宋体" w:hAnsi="宋体" w:cs="宋体"/>
                <w:color w:val="000000"/>
                <w:sz w:val="20"/>
                <w:szCs w:val="20"/>
              </w:rPr>
            </w:r>
            <w:r/>
          </w:p>
        </w:tc>
        <w:tc>
          <w:tcPr>
            <w:shd w:val="clear" w:color="auto" w:fill="ffffff"/>
            <w:tcW w:w="4394"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c>
          <w:tcPr>
            <w:shd w:val="clear" w:color="auto" w:fill="ffffff"/>
            <w:tcW w:w="1657" w:type="dxa"/>
            <w:vAlign w:val="center"/>
            <w:textDirection w:val="lrTb"/>
            <w:noWrap w:val="false"/>
          </w:tcPr>
          <w:p>
            <w:pPr>
              <w:pStyle w:val="720"/>
              <w:rPr>
                <w:rFonts w:ascii="宋体" w:hAnsi="宋体" w:cs="宋体"/>
                <w:color w:val="000000"/>
                <w:sz w:val="20"/>
                <w:szCs w:val="20"/>
              </w:rPr>
            </w:pPr>
            <w:r>
              <w:rPr>
                <w:rFonts w:ascii="宋体" w:hAnsi="宋体" w:cs="宋体"/>
                <w:color w:val="000000"/>
                <w:sz w:val="20"/>
                <w:szCs w:val="20"/>
              </w:rPr>
            </w:r>
            <w:r/>
          </w:p>
        </w:tc>
      </w:tr>
    </w:tbl>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注：</w:t>
      </w:r>
      <w:r>
        <w:rPr>
          <w:rFonts w:ascii="宋体" w:hAnsi="宋体" w:eastAsia="宋体" w:cs="宋体"/>
          <w:sz w:val="21"/>
          <w:szCs w:val="21"/>
        </w:rPr>
      </w:r>
      <w:r/>
    </w:p>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1.技术条款响应表中“投标文件响应”栏应答有不符合下列情形之一的，评标委员会将判定该技术条款相应应答不满足招标文件要求，认定为负偏离。对于未加“★”项认定为负偏离的，该项不予得分；</w:t>
      </w:r>
      <w:r>
        <w:rPr>
          <w:rFonts w:hint="eastAsia" w:ascii="隶书" w:hAnsi="隶书" w:eastAsia="隶书" w:cs="隶书"/>
          <w:b/>
          <w:bCs/>
          <w:i/>
          <w:iCs/>
        </w:rPr>
        <w:t xml:space="preserve">对于加“★”项认定为负偏离的，其投标无效</w:t>
      </w:r>
      <w:r>
        <w:rPr>
          <w:rFonts w:hint="eastAsia" w:ascii="隶书" w:hAnsi="隶书" w:eastAsia="隶书" w:cs="隶书"/>
        </w:rPr>
        <w:t xml:space="preserve">。</w:t>
      </w:r>
      <w:r>
        <w:rPr>
          <w:rFonts w:ascii="宋体" w:hAnsi="宋体" w:eastAsia="宋体" w:cs="宋体"/>
          <w:sz w:val="21"/>
          <w:szCs w:val="21"/>
        </w:rPr>
      </w:r>
      <w:r/>
    </w:p>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（1）投标人针对上表列明的技术条款在“投标文件响应”栏逐条应答，不得合并应答、漏项应答，且实质内容满足招标文件要求。</w:t>
      </w:r>
      <w:r>
        <w:rPr>
          <w:rFonts w:ascii="宋体" w:hAnsi="宋体" w:eastAsia="宋体" w:cs="宋体"/>
          <w:sz w:val="21"/>
          <w:szCs w:val="21"/>
        </w:rPr>
      </w:r>
      <w:r/>
    </w:p>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（2）“投标文件响应”应答文字表述可以和招标文件要求原文不完全一致，但实质性涵义无歧义且满足招标文件要求。</w:t>
      </w:r>
      <w:r>
        <w:rPr>
          <w:rFonts w:ascii="宋体" w:hAnsi="宋体" w:eastAsia="宋体" w:cs="宋体"/>
          <w:sz w:val="21"/>
          <w:szCs w:val="21"/>
        </w:rPr>
      </w:r>
      <w:r/>
    </w:p>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（3）“投标文件响应”栏应答表述禁止仅使用“满足”“符合”“无偏离”“同意”“完全响应”等概括性简单词语应答，须对条款内容作出陈述性说明。</w:t>
      </w:r>
      <w:r>
        <w:rPr>
          <w:rFonts w:ascii="宋体" w:hAnsi="宋体" w:eastAsia="宋体" w:cs="宋体"/>
          <w:sz w:val="21"/>
          <w:szCs w:val="21"/>
        </w:rPr>
      </w:r>
      <w:r/>
    </w:p>
    <w:p>
      <w:pPr>
        <w:pStyle w:val="720"/>
        <w:ind w:firstLine="378"/>
        <w:jc w:val="left"/>
        <w:spacing w:line="440" w:lineRule="exact"/>
        <w:rPr>
          <w:rFonts w:ascii="宋体" w:hAnsi="宋体" w:eastAsia="宋体" w:cs="宋体"/>
          <w:sz w:val="21"/>
          <w:szCs w:val="21"/>
        </w:rPr>
      </w:pPr>
      <w:r>
        <w:rPr>
          <w:rFonts w:hint="eastAsia" w:ascii="宋体" w:hAnsi="宋体" w:eastAsia="宋体" w:cs="宋体"/>
          <w:sz w:val="21"/>
          <w:szCs w:val="21"/>
        </w:rPr>
        <w:t xml:space="preserve">2.我方郑重承诺：技术条款响应表内容真实、准确，所投产品参数、检测报告及资质材料均与实物一致，不存在虚假材料、虚假响应情形。若经查实存在虚假响应行为，我方自愿接受招标文件约定的全部处罚，并无条件接受采购人将相关情况上报财政部门，承担《中华人民共和国政府采购法》等法律法规规定的一切法律责任。</w:t>
      </w:r>
      <w:r>
        <w:rPr>
          <w:rFonts w:ascii="宋体" w:hAnsi="宋体" w:eastAsia="宋体" w:cs="宋体"/>
          <w:sz w:val="21"/>
          <w:szCs w:val="21"/>
        </w:rPr>
      </w:r>
      <w:r/>
    </w:p>
    <w:p>
      <w:pPr>
        <w:pStyle w:val="720"/>
        <w:ind w:left="420"/>
        <w:jc w:val="right"/>
        <w:spacing w:line="480" w:lineRule="auto"/>
        <w:rPr>
          <w:rFonts w:ascii="宋体" w:hAnsi="宋体" w:eastAsia="宋体" w:cs="宋体"/>
        </w:rPr>
      </w:pPr>
      <w:r>
        <w:rPr>
          <w:rFonts w:ascii="宋体" w:hAnsi="宋体" w:eastAsia="宋体" w:cs="宋体"/>
        </w:rPr>
      </w:r>
      <w:r/>
    </w:p>
    <w:p>
      <w:pPr>
        <w:pStyle w:val="720"/>
        <w:ind w:left="420"/>
        <w:jc w:val="right"/>
        <w:spacing w:line="480" w:lineRule="auto"/>
        <w:rPr>
          <w:rFonts w:ascii="宋体" w:hAnsi="宋体" w:eastAsia="宋体" w:cs="宋体"/>
        </w:rPr>
      </w:pPr>
      <w:r>
        <w:rPr>
          <w:rFonts w:hint="eastAsia" w:ascii="宋体" w:hAnsi="宋体" w:eastAsia="宋体" w:cs="宋体"/>
        </w:rPr>
        <w:t xml:space="preserve">投标人公章：            （电子签章）</w:t>
      </w:r>
      <w:r>
        <w:rPr>
          <w:rFonts w:ascii="宋体" w:hAnsi="宋体" w:eastAsia="宋体" w:cs="宋体"/>
        </w:rPr>
      </w:r>
      <w:r/>
    </w:p>
    <w:p>
      <w:pPr>
        <w:pStyle w:val="720"/>
        <w:ind w:firstLine="480"/>
        <w:jc w:val="right"/>
        <w:spacing w:line="360" w:lineRule="auto"/>
        <w:rPr>
          <w:rFonts w:ascii="Segoe UI" w:hAnsi="Segoe UI" w:cs="Segoe UI"/>
          <w:szCs w:val="21"/>
        </w:rPr>
        <w:sectPr>
          <w:footnotePr/>
          <w:endnotePr/>
          <w:type w:val="nextPage"/>
          <w:pgSz w:w="16838" w:h="11906" w:orient="landscape"/>
          <w:pgMar w:top="1633" w:right="1440" w:bottom="1463" w:left="1440" w:header="851" w:footer="850" w:gutter="0"/>
          <w:cols w:num="1" w:sep="0" w:space="1701" w:equalWidth="1"/>
          <w:docGrid w:linePitch="360"/>
        </w:sect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ascii="Segoe UI" w:hAnsi="Segoe UI" w:cs="Segoe UI"/>
          <w:szCs w:val="21"/>
        </w:rPr>
      </w:r>
      <w:r/>
    </w:p>
    <w:p>
      <w:pPr>
        <w:pStyle w:val="720"/>
        <w:jc w:val="center"/>
        <w:spacing w:line="480" w:lineRule="auto"/>
        <w:rPr>
          <w:rFonts w:ascii="Segoe UI" w:hAnsi="Segoe UI" w:cs="Segoe UI"/>
          <w:szCs w:val="21"/>
        </w:rPr>
      </w:pPr>
      <w:r>
        <w:rPr>
          <w:rFonts w:hint="eastAsia" w:ascii="黑体" w:hAnsi="黑体" w:eastAsia="黑体" w:cs="Segoe UI"/>
          <w:sz w:val="28"/>
          <w:szCs w:val="18"/>
        </w:rPr>
        <w:t xml:space="preserve">项目团队配置一览表</w:t>
      </w:r>
      <w:r>
        <w:rPr>
          <w:rFonts w:ascii="Segoe UI" w:hAnsi="Segoe UI" w:cs="Segoe UI"/>
          <w:szCs w:val="21"/>
        </w:rPr>
      </w:r>
      <w:r/>
    </w:p>
    <w:tbl>
      <w:tblPr>
        <w:tblW w:w="90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380"/>
        <w:gridCol w:w="1640"/>
        <w:gridCol w:w="2430"/>
        <w:gridCol w:w="2010"/>
      </w:tblGrid>
      <w:tr>
        <w:trPr>
          <w:cantSplit/>
          <w:trHeight w:val="501"/>
        </w:trPr>
        <w:tc>
          <w:tcPr>
            <w:tcW w:w="1598"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岗位</w:t>
            </w:r>
            <w:r>
              <w:rPr>
                <w:rFonts w:ascii="宋体" w:hAnsi="宋体" w:cs="宋体"/>
                <w:b/>
                <w:bCs/>
              </w:rPr>
            </w:r>
            <w:r/>
          </w:p>
        </w:tc>
        <w:tc>
          <w:tcPr>
            <w:tcW w:w="1380"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姓名</w:t>
            </w:r>
            <w:r>
              <w:rPr>
                <w:rFonts w:ascii="宋体" w:hAnsi="宋体" w:cs="宋体"/>
                <w:b/>
                <w:bCs/>
              </w:rPr>
            </w:r>
            <w:r/>
          </w:p>
        </w:tc>
        <w:tc>
          <w:tcPr>
            <w:tcW w:w="1640"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职称</w:t>
            </w:r>
            <w:r>
              <w:rPr>
                <w:rFonts w:ascii="宋体" w:hAnsi="宋体" w:cs="宋体"/>
                <w:b/>
                <w:bCs/>
              </w:rPr>
            </w:r>
            <w:r/>
          </w:p>
        </w:tc>
        <w:tc>
          <w:tcPr>
            <w:tcW w:w="2430"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注册证书名称及编号</w:t>
            </w:r>
            <w:r>
              <w:rPr>
                <w:rFonts w:ascii="宋体" w:hAnsi="宋体" w:cs="宋体"/>
                <w:b/>
                <w:bCs/>
              </w:rPr>
            </w:r>
            <w:r/>
          </w:p>
        </w:tc>
        <w:tc>
          <w:tcPr>
            <w:tcW w:w="2010"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发证机关</w:t>
            </w:r>
            <w:r>
              <w:rPr>
                <w:rFonts w:ascii="宋体" w:hAnsi="宋体" w:cs="宋体"/>
                <w:b/>
                <w:bCs/>
              </w:rPr>
            </w:r>
            <w:r/>
          </w:p>
        </w:tc>
      </w:tr>
      <w:tr>
        <w:trPr>
          <w:cantSplit/>
          <w:trHeight w:val="501"/>
        </w:trPr>
        <w:tc>
          <w:tcPr>
            <w:tcW w:w="1598"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项目负责人</w:t>
            </w:r>
            <w:r>
              <w:rPr>
                <w:rFonts w:ascii="宋体" w:hAnsi="宋体" w:cs="宋体"/>
                <w:b/>
                <w:bCs/>
              </w:rPr>
            </w:r>
            <w:r/>
          </w:p>
        </w:tc>
        <w:tc>
          <w:tcPr>
            <w:tcW w:w="1380" w:type="dxa"/>
            <w:vAlign w:val="center"/>
            <w:textDirection w:val="lrTb"/>
            <w:noWrap w:val="false"/>
          </w:tcPr>
          <w:p>
            <w:pPr>
              <w:pStyle w:val="720"/>
              <w:jc w:val="center"/>
              <w:rPr>
                <w:rFonts w:ascii="宋体" w:hAnsi="宋体" w:cs="宋体"/>
                <w:b/>
                <w:bCs/>
              </w:rPr>
            </w:pPr>
            <w:r>
              <w:rPr>
                <w:rFonts w:ascii="宋体" w:hAnsi="宋体" w:cs="宋体"/>
                <w:b/>
                <w:bCs/>
              </w:rPr>
            </w:r>
            <w:r/>
          </w:p>
        </w:tc>
        <w:tc>
          <w:tcPr>
            <w:tcW w:w="164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43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010" w:type="dxa"/>
            <w:vAlign w:val="center"/>
            <w:textDirection w:val="lrTb"/>
            <w:noWrap w:val="false"/>
          </w:tcPr>
          <w:p>
            <w:pPr>
              <w:pStyle w:val="720"/>
              <w:jc w:val="center"/>
              <w:rPr>
                <w:rFonts w:ascii="宋体" w:hAnsi="宋体" w:cs="宋体"/>
                <w:b/>
                <w:bCs/>
              </w:rPr>
            </w:pPr>
            <w:r>
              <w:rPr>
                <w:rFonts w:ascii="宋体" w:hAnsi="宋体" w:cs="宋体"/>
                <w:b/>
                <w:bCs/>
              </w:rPr>
            </w:r>
            <w:r/>
          </w:p>
        </w:tc>
      </w:tr>
      <w:tr>
        <w:trPr>
          <w:cantSplit/>
          <w:trHeight w:val="501"/>
        </w:trPr>
        <w:tc>
          <w:tcPr>
            <w:tcW w:w="1598" w:type="dxa"/>
            <w:vAlign w:val="center"/>
            <w:vMerge w:val="restart"/>
            <w:textDirection w:val="lrTb"/>
            <w:noWrap w:val="false"/>
          </w:tcPr>
          <w:p>
            <w:pPr>
              <w:pStyle w:val="720"/>
              <w:jc w:val="center"/>
              <w:rPr>
                <w:rFonts w:ascii="宋体" w:hAnsi="宋体" w:cs="宋体"/>
                <w:b/>
                <w:bCs/>
              </w:rPr>
            </w:pPr>
            <w:r>
              <w:rPr>
                <w:rFonts w:hint="eastAsia" w:ascii="宋体" w:hAnsi="宋体" w:cs="宋体"/>
                <w:b/>
                <w:bCs/>
              </w:rPr>
              <w:t xml:space="preserve">其他人员</w:t>
            </w:r>
            <w:r>
              <w:rPr>
                <w:rFonts w:ascii="宋体" w:hAnsi="宋体" w:cs="宋体"/>
                <w:b/>
                <w:bCs/>
              </w:rPr>
            </w:r>
            <w:r/>
          </w:p>
        </w:tc>
        <w:tc>
          <w:tcPr>
            <w:tcW w:w="1380" w:type="dxa"/>
            <w:vAlign w:val="center"/>
            <w:textDirection w:val="lrTb"/>
            <w:noWrap w:val="false"/>
          </w:tcPr>
          <w:p>
            <w:pPr>
              <w:pStyle w:val="720"/>
              <w:jc w:val="center"/>
              <w:rPr>
                <w:rFonts w:ascii="宋体" w:hAnsi="宋体" w:cs="宋体"/>
                <w:b/>
                <w:bCs/>
              </w:rPr>
            </w:pPr>
            <w:r>
              <w:rPr>
                <w:rFonts w:ascii="宋体" w:hAnsi="宋体" w:cs="宋体"/>
                <w:b/>
                <w:bCs/>
              </w:rPr>
            </w:r>
            <w:r/>
          </w:p>
        </w:tc>
        <w:tc>
          <w:tcPr>
            <w:tcW w:w="164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43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010" w:type="dxa"/>
            <w:vAlign w:val="center"/>
            <w:textDirection w:val="lrTb"/>
            <w:noWrap w:val="false"/>
          </w:tcPr>
          <w:p>
            <w:pPr>
              <w:pStyle w:val="720"/>
              <w:jc w:val="center"/>
              <w:rPr>
                <w:rFonts w:ascii="宋体" w:hAnsi="宋体" w:cs="宋体"/>
                <w:b/>
                <w:bCs/>
              </w:rPr>
            </w:pPr>
            <w:r>
              <w:rPr>
                <w:rFonts w:ascii="宋体" w:hAnsi="宋体" w:cs="宋体"/>
                <w:b/>
                <w:bCs/>
              </w:rPr>
            </w:r>
            <w:r/>
          </w:p>
        </w:tc>
      </w:tr>
      <w:tr>
        <w:trPr>
          <w:cantSplit/>
          <w:trHeight w:val="501"/>
        </w:trPr>
        <w:tc>
          <w:tcPr>
            <w:tcW w:w="1598" w:type="dxa"/>
            <w:vAlign w:val="center"/>
            <w:vMerge w:val="continue"/>
            <w:textDirection w:val="lrTb"/>
            <w:noWrap w:val="false"/>
          </w:tcPr>
          <w:p>
            <w:pPr>
              <w:pStyle w:val="720"/>
              <w:jc w:val="center"/>
              <w:rPr>
                <w:rFonts w:ascii="宋体" w:hAnsi="宋体" w:cs="宋体"/>
                <w:b/>
                <w:bCs/>
              </w:rPr>
            </w:pPr>
            <w:r>
              <w:rPr>
                <w:rFonts w:ascii="宋体" w:hAnsi="宋体" w:cs="宋体"/>
                <w:b/>
                <w:bCs/>
              </w:rPr>
            </w:r>
            <w:r/>
          </w:p>
        </w:tc>
        <w:tc>
          <w:tcPr>
            <w:tcW w:w="1380" w:type="dxa"/>
            <w:vAlign w:val="center"/>
            <w:textDirection w:val="lrTb"/>
            <w:noWrap w:val="false"/>
          </w:tcPr>
          <w:p>
            <w:pPr>
              <w:pStyle w:val="720"/>
              <w:jc w:val="center"/>
              <w:rPr>
                <w:rFonts w:ascii="宋体" w:hAnsi="宋体" w:cs="宋体"/>
                <w:b/>
                <w:bCs/>
              </w:rPr>
            </w:pPr>
            <w:r>
              <w:rPr>
                <w:rFonts w:ascii="宋体" w:hAnsi="宋体" w:cs="宋体"/>
                <w:b/>
                <w:bCs/>
              </w:rPr>
            </w:r>
            <w:r/>
          </w:p>
        </w:tc>
        <w:tc>
          <w:tcPr>
            <w:tcW w:w="164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43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010" w:type="dxa"/>
            <w:vAlign w:val="center"/>
            <w:textDirection w:val="lrTb"/>
            <w:noWrap w:val="false"/>
          </w:tcPr>
          <w:p>
            <w:pPr>
              <w:pStyle w:val="720"/>
              <w:jc w:val="center"/>
              <w:rPr>
                <w:rFonts w:ascii="宋体" w:hAnsi="宋体" w:cs="宋体"/>
                <w:b/>
                <w:bCs/>
              </w:rPr>
            </w:pPr>
            <w:r>
              <w:rPr>
                <w:rFonts w:ascii="宋体" w:hAnsi="宋体" w:cs="宋体"/>
                <w:b/>
                <w:bCs/>
              </w:rPr>
            </w:r>
            <w:r/>
          </w:p>
        </w:tc>
      </w:tr>
      <w:tr>
        <w:trPr>
          <w:trHeight w:val="501"/>
        </w:trPr>
        <w:tc>
          <w:tcPr>
            <w:tcW w:w="1598" w:type="dxa"/>
            <w:vAlign w:val="center"/>
            <w:vMerge w:val="continue"/>
            <w:textDirection w:val="lrTb"/>
            <w:noWrap w:val="false"/>
          </w:tcPr>
          <w:p>
            <w:pPr>
              <w:pStyle w:val="720"/>
              <w:jc w:val="center"/>
              <w:rPr>
                <w:rFonts w:ascii="宋体" w:hAnsi="宋体" w:cs="宋体"/>
                <w:b/>
                <w:bCs/>
              </w:rPr>
            </w:pPr>
            <w:r>
              <w:rPr>
                <w:rFonts w:ascii="宋体" w:hAnsi="宋体" w:cs="宋体"/>
                <w:b/>
                <w:bCs/>
              </w:rPr>
            </w:r>
            <w:r/>
          </w:p>
        </w:tc>
        <w:tc>
          <w:tcPr>
            <w:tcW w:w="1380" w:type="dxa"/>
            <w:vAlign w:val="center"/>
            <w:textDirection w:val="lrTb"/>
            <w:noWrap w:val="false"/>
          </w:tcPr>
          <w:p>
            <w:pPr>
              <w:pStyle w:val="720"/>
              <w:jc w:val="center"/>
              <w:rPr>
                <w:rFonts w:ascii="宋体" w:hAnsi="宋体" w:cs="宋体"/>
                <w:b/>
                <w:bCs/>
              </w:rPr>
            </w:pPr>
            <w:r>
              <w:rPr>
                <w:rFonts w:ascii="宋体" w:hAnsi="宋体" w:cs="宋体"/>
                <w:b/>
                <w:bCs/>
              </w:rPr>
            </w:r>
            <w:r/>
          </w:p>
        </w:tc>
        <w:tc>
          <w:tcPr>
            <w:tcW w:w="164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430" w:type="dxa"/>
            <w:vAlign w:val="center"/>
            <w:textDirection w:val="lrTb"/>
            <w:noWrap w:val="false"/>
          </w:tcPr>
          <w:p>
            <w:pPr>
              <w:pStyle w:val="720"/>
              <w:jc w:val="center"/>
              <w:rPr>
                <w:rFonts w:ascii="宋体" w:hAnsi="宋体" w:cs="宋体"/>
                <w:b/>
                <w:bCs/>
              </w:rPr>
            </w:pPr>
            <w:r>
              <w:rPr>
                <w:rFonts w:ascii="宋体" w:hAnsi="宋体" w:cs="宋体"/>
                <w:b/>
                <w:bCs/>
              </w:rPr>
            </w:r>
            <w:r/>
          </w:p>
        </w:tc>
        <w:tc>
          <w:tcPr>
            <w:tcW w:w="2010" w:type="dxa"/>
            <w:vAlign w:val="center"/>
            <w:textDirection w:val="lrTb"/>
            <w:noWrap w:val="false"/>
          </w:tcPr>
          <w:p>
            <w:pPr>
              <w:pStyle w:val="720"/>
              <w:jc w:val="center"/>
              <w:rPr>
                <w:rFonts w:ascii="宋体" w:hAnsi="宋体" w:cs="宋体"/>
                <w:b/>
                <w:bCs/>
              </w:rPr>
            </w:pPr>
            <w:r>
              <w:rPr>
                <w:rFonts w:ascii="宋体" w:hAnsi="宋体" w:cs="宋体"/>
                <w:b/>
                <w:bCs/>
              </w:rPr>
            </w:r>
            <w:r/>
          </w:p>
        </w:tc>
      </w:tr>
    </w:tbl>
    <w:p>
      <w:pPr>
        <w:pStyle w:val="720"/>
        <w:jc w:val="left"/>
        <w:spacing w:line="360" w:lineRule="auto"/>
        <w:rPr>
          <w:rFonts w:ascii="宋体" w:hAnsi="宋体" w:eastAsia="宋体" w:cs="宋体"/>
        </w:rPr>
      </w:pPr>
      <w:r>
        <w:rPr>
          <w:rFonts w:hint="eastAsia" w:ascii="宋体" w:hAnsi="宋体" w:eastAsia="宋体" w:cs="宋体"/>
        </w:rPr>
        <w:t xml:space="preserve">注：本表后附第四章评标办法前附表第2.3.2（3）项评分所需证明材料。</w:t>
      </w:r>
      <w:r>
        <w:rPr>
          <w:rFonts w:ascii="宋体" w:hAnsi="宋体" w:eastAsia="宋体" w:cs="宋体"/>
        </w:rPr>
      </w:r>
      <w:r/>
    </w:p>
    <w:p>
      <w:pPr>
        <w:pStyle w:val="720"/>
        <w:jc w:val="left"/>
        <w:spacing w:line="360" w:lineRule="auto"/>
        <w:rPr>
          <w:rFonts w:ascii="宋体" w:hAnsi="宋体" w:eastAsia="宋体" w:cs="宋体"/>
        </w:rPr>
      </w:pPr>
      <w:r>
        <w:rPr>
          <w:rFonts w:ascii="宋体" w:hAnsi="宋体" w:eastAsia="宋体" w:cs="宋体"/>
        </w:rPr>
      </w:r>
      <w:r/>
    </w:p>
    <w:p>
      <w:pPr>
        <w:pStyle w:val="720"/>
        <w:jc w:val="left"/>
        <w:spacing w:line="360" w:lineRule="auto"/>
        <w:rPr>
          <w:rFonts w:ascii="宋体" w:hAnsi="宋体" w:eastAsia="宋体" w:cs="宋体"/>
        </w:rPr>
      </w:pPr>
      <w:r>
        <w:rPr>
          <w:rFonts w:ascii="宋体" w:hAnsi="宋体" w:eastAsia="宋体" w:cs="宋体"/>
        </w:rPr>
      </w:r>
      <w:r/>
    </w:p>
    <w:p>
      <w:pPr>
        <w:pStyle w:val="720"/>
        <w:jc w:val="left"/>
        <w:spacing w:line="360" w:lineRule="auto"/>
        <w:rPr>
          <w:rFonts w:ascii="宋体" w:hAnsi="宋体" w:eastAsia="宋体" w:cs="宋体"/>
        </w:rPr>
      </w:pPr>
      <w:r>
        <w:rPr>
          <w:rFonts w:ascii="宋体" w:hAnsi="宋体" w:eastAsia="宋体" w:cs="宋体"/>
        </w:rPr>
      </w:r>
      <w:r/>
    </w:p>
    <w:p>
      <w:pPr>
        <w:pStyle w:val="720"/>
        <w:jc w:val="left"/>
        <w:spacing w:line="360" w:lineRule="auto"/>
        <w:rPr>
          <w:rFonts w:ascii="宋体" w:hAnsi="宋体" w:eastAsia="宋体" w:cs="宋体"/>
        </w:rPr>
      </w:pPr>
      <w:r>
        <w:rPr>
          <w:rFonts w:ascii="宋体" w:hAnsi="宋体" w:eastAsia="宋体" w:cs="宋体"/>
        </w:rPr>
      </w:r>
      <w:r/>
    </w:p>
    <w:p>
      <w:pPr>
        <w:pStyle w:val="1149"/>
        <w:rPr>
          <w:rFonts w:hAnsi="宋体" w:cs="宋体"/>
        </w:rPr>
      </w:pPr>
      <w:r>
        <w:rPr>
          <w:rFonts w:hAnsi="宋体" w:cs="宋体"/>
        </w:rPr>
      </w:r>
      <w:r/>
    </w:p>
    <w:p>
      <w:pPr>
        <w:pStyle w:val="720"/>
        <w:ind w:left="420"/>
        <w:jc w:val="right"/>
        <w:spacing w:line="480" w:lineRule="auto"/>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360" w:lineRule="auto"/>
        <w:rPr>
          <w:rFonts w:ascii="宋体" w:hAnsi="宋体" w:cs="宋体"/>
          <w:u w:val="single"/>
        </w:rPr>
      </w:pPr>
      <w:r>
        <w:rPr>
          <w:rFonts w:ascii="宋体" w:hAnsi="宋体" w:cs="宋体"/>
          <w:u w:val="single"/>
        </w:rPr>
      </w:r>
      <w:r/>
    </w:p>
    <w:p>
      <w:pPr>
        <w:pStyle w:val="720"/>
        <w:jc w:val="right"/>
        <w:spacing w:line="360" w:lineRule="auto"/>
        <w:rPr>
          <w:rFonts w:ascii="黑体" w:hAnsi="黑体" w:eastAsia="黑体"/>
          <w:sz w:val="28"/>
        </w:rPr>
      </w:pP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ascii="黑体" w:hAnsi="黑体" w:eastAsia="黑体"/>
          <w:sz w:val="28"/>
        </w:rPr>
      </w:r>
      <w:r/>
    </w:p>
    <w:p>
      <w:pPr>
        <w:pStyle w:val="720"/>
        <w:jc w:val="center"/>
        <w:spacing w:line="360" w:lineRule="auto"/>
        <w:rPr>
          <w:rFonts w:ascii="黑体" w:hAnsi="黑体" w:eastAsia="黑体"/>
          <w:sz w:val="28"/>
        </w:rPr>
      </w:pPr>
      <w:r>
        <w:rPr>
          <w:rFonts w:hint="eastAsia" w:ascii="黑体" w:hAnsi="黑体" w:eastAsia="黑体"/>
          <w:sz w:val="28"/>
        </w:rPr>
        <w:t xml:space="preserve">节能产品一览表</w:t>
      </w:r>
      <w:r>
        <w:rPr>
          <w:rFonts w:ascii="黑体" w:hAnsi="黑体" w:eastAsia="黑体"/>
          <w:sz w:val="28"/>
        </w:rPr>
      </w:r>
      <w:r/>
    </w:p>
    <w:tbl>
      <w:tblPr>
        <w:tblW w:w="8695"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525"/>
        <w:gridCol w:w="929"/>
        <w:gridCol w:w="1313"/>
        <w:gridCol w:w="2182"/>
        <w:gridCol w:w="1960"/>
      </w:tblGrid>
      <w:tr>
        <w:trPr>
          <w:cantSplit/>
          <w:trHeight w:val="977"/>
        </w:trPr>
        <w:tc>
          <w:tcPr>
            <w:tcW w:w="786"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序号</w:t>
            </w:r>
            <w:r>
              <w:rPr>
                <w:rFonts w:ascii="宋体" w:hAnsi="宋体" w:eastAsia="宋体" w:cs="宋体"/>
                <w:b/>
                <w:bCs/>
              </w:rPr>
            </w:r>
            <w:r/>
          </w:p>
        </w:tc>
        <w:tc>
          <w:tcPr>
            <w:shd w:val="clear" w:color="ffffff" w:fill="ffffff"/>
            <w:tcW w:w="1525"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产品名称</w:t>
            </w:r>
            <w:r>
              <w:rPr>
                <w:rFonts w:ascii="宋体" w:hAnsi="宋体" w:eastAsia="宋体" w:cs="宋体"/>
                <w:b/>
                <w:bCs/>
              </w:rPr>
            </w:r>
            <w:r/>
          </w:p>
        </w:tc>
        <w:tc>
          <w:tcPr>
            <w:shd w:val="clear" w:color="ffffff" w:fill="ffffff"/>
            <w:tcW w:w="929"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品牌</w:t>
            </w:r>
            <w:r>
              <w:rPr>
                <w:rFonts w:ascii="宋体" w:hAnsi="宋体" w:eastAsia="宋体" w:cs="宋体"/>
                <w:b/>
                <w:bCs/>
              </w:rPr>
            </w:r>
            <w:r/>
          </w:p>
        </w:tc>
        <w:tc>
          <w:tcPr>
            <w:shd w:val="clear" w:color="ffffff" w:fill="ffffff"/>
            <w:tcW w:w="1313"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规格型号</w:t>
            </w:r>
            <w:r>
              <w:rPr>
                <w:rFonts w:ascii="宋体" w:hAnsi="宋体" w:eastAsia="宋体" w:cs="宋体"/>
                <w:b/>
                <w:bCs/>
              </w:rPr>
            </w:r>
            <w:r/>
          </w:p>
        </w:tc>
        <w:tc>
          <w:tcPr>
            <w:shd w:val="clear" w:color="ffffff" w:fill="ffffff"/>
            <w:tcW w:w="2182"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制造商名称</w:t>
            </w:r>
            <w:r>
              <w:rPr>
                <w:rFonts w:ascii="宋体" w:hAnsi="宋体" w:eastAsia="宋体" w:cs="宋体"/>
                <w:b/>
                <w:bCs/>
              </w:rPr>
            </w:r>
            <w:r/>
          </w:p>
        </w:tc>
        <w:tc>
          <w:tcPr>
            <w:shd w:val="clear" w:color="ffffff" w:fill="ffffff"/>
            <w:tcW w:w="1960" w:type="dxa"/>
            <w:vAlign w:val="center"/>
            <w:vMerge w:val="restart"/>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节能产品认证</w:t>
            </w:r>
            <w:r>
              <w:rPr>
                <w:rFonts w:ascii="宋体" w:hAnsi="宋体" w:eastAsia="宋体" w:cs="宋体"/>
                <w:b/>
                <w:bCs/>
              </w:rPr>
            </w:r>
            <w:r/>
          </w:p>
          <w:p>
            <w:pPr>
              <w:pStyle w:val="720"/>
              <w:jc w:val="center"/>
              <w:spacing w:line="240" w:lineRule="atLeast"/>
              <w:rPr>
                <w:rFonts w:ascii="宋体" w:hAnsi="宋体" w:eastAsia="宋体" w:cs="宋体"/>
                <w:b/>
                <w:bCs/>
              </w:rPr>
            </w:pPr>
            <w:r>
              <w:rPr>
                <w:rFonts w:hint="eastAsia" w:ascii="宋体" w:hAnsi="宋体" w:eastAsia="宋体" w:cs="宋体"/>
                <w:b/>
                <w:bCs/>
              </w:rPr>
              <w:t xml:space="preserve">证书编号</w:t>
            </w:r>
            <w:r>
              <w:rPr>
                <w:rFonts w:ascii="宋体" w:hAnsi="宋体" w:eastAsia="宋体" w:cs="宋体"/>
                <w:b/>
                <w:bCs/>
              </w:rPr>
            </w:r>
            <w:r/>
          </w:p>
        </w:tc>
      </w:tr>
      <w:tr>
        <w:trPr>
          <w:cantSplit/>
          <w:trHeight w:val="498"/>
        </w:trPr>
        <w:tc>
          <w:tcPr>
            <w:gridSpan w:val="6"/>
            <w:tcW w:w="8695" w:type="dxa"/>
            <w:vAlign w:val="center"/>
            <w:textDirection w:val="lrTb"/>
            <w:noWrap w:val="false"/>
          </w:tcPr>
          <w:p>
            <w:pPr>
              <w:pStyle w:val="720"/>
              <w:jc w:val="center"/>
              <w:spacing w:line="240" w:lineRule="atLeast"/>
              <w:rPr>
                <w:rFonts w:ascii="宋体" w:hAnsi="宋体" w:eastAsia="宋体" w:cs="宋体"/>
                <w:b/>
                <w:bCs/>
              </w:rPr>
            </w:pPr>
            <w:r>
              <w:rPr>
                <w:rFonts w:hint="eastAsia" w:ascii="黑体" w:hAnsi="黑体" w:eastAsia="黑体" w:cs="黑体"/>
              </w:rPr>
              <w:t xml:space="preserve">强制采购节能产品</w:t>
            </w: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1</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2</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3</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gridSpan w:val="6"/>
            <w:tcW w:w="8695" w:type="dxa"/>
            <w:vAlign w:val="center"/>
            <w:textDirection w:val="lrTb"/>
            <w:noWrap w:val="false"/>
          </w:tcPr>
          <w:p>
            <w:pPr>
              <w:pStyle w:val="720"/>
              <w:jc w:val="center"/>
              <w:spacing w:line="240" w:lineRule="atLeast"/>
              <w:rPr>
                <w:rFonts w:ascii="宋体" w:hAnsi="宋体" w:eastAsia="宋体" w:cs="宋体"/>
                <w:b/>
                <w:bCs/>
              </w:rPr>
            </w:pPr>
            <w:r>
              <w:rPr>
                <w:rFonts w:hint="eastAsia" w:ascii="黑体" w:hAnsi="黑体" w:eastAsia="黑体" w:cs="黑体"/>
              </w:rPr>
              <w:t xml:space="preserve">优先采购节能产品</w:t>
            </w: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1</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2</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3</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r>
        <w:trPr>
          <w:cantSplit/>
          <w:trHeight w:val="498"/>
        </w:trPr>
        <w:tc>
          <w:tcPr>
            <w:tcW w:w="786" w:type="dxa"/>
            <w:vAlign w:val="center"/>
            <w:textDirection w:val="lrTb"/>
            <w:noWrap w:val="false"/>
          </w:tcPr>
          <w:p>
            <w:pPr>
              <w:pStyle w:val="720"/>
              <w:jc w:val="center"/>
              <w:spacing w:line="240" w:lineRule="atLeast"/>
              <w:rPr>
                <w:rFonts w:ascii="宋体" w:hAnsi="宋体" w:eastAsia="宋体" w:cs="宋体"/>
                <w:b/>
                <w:bCs/>
              </w:rPr>
            </w:pPr>
            <w:r>
              <w:rPr>
                <w:rFonts w:hint="eastAsia" w:ascii="宋体" w:hAnsi="宋体" w:eastAsia="宋体" w:cs="宋体"/>
                <w:b/>
                <w:bCs/>
              </w:rPr>
              <w:t xml:space="preserve">……</w:t>
            </w:r>
            <w:r>
              <w:rPr>
                <w:rFonts w:ascii="宋体" w:hAnsi="宋体" w:eastAsia="宋体" w:cs="宋体"/>
                <w:b/>
                <w:bCs/>
              </w:rPr>
            </w:r>
            <w:r/>
          </w:p>
        </w:tc>
        <w:tc>
          <w:tcPr>
            <w:tcW w:w="1525" w:type="dxa"/>
            <w:vAlign w:val="center"/>
            <w:textDirection w:val="lrTb"/>
            <w:noWrap w:val="false"/>
          </w:tcPr>
          <w:p>
            <w:pPr>
              <w:pStyle w:val="720"/>
              <w:jc w:val="center"/>
              <w:spacing w:line="240" w:lineRule="atLeast"/>
              <w:widowControl/>
              <w:rPr>
                <w:rFonts w:ascii="宋体" w:hAnsi="宋体" w:eastAsia="宋体" w:cs="宋体"/>
                <w:b/>
                <w:bCs/>
              </w:rPr>
            </w:pPr>
            <w:r>
              <w:rPr>
                <w:rFonts w:ascii="宋体" w:hAnsi="宋体" w:eastAsia="宋体" w:cs="宋体"/>
                <w:b/>
                <w:bCs/>
              </w:rPr>
            </w:r>
            <w:r/>
          </w:p>
        </w:tc>
        <w:tc>
          <w:tcPr>
            <w:tcW w:w="929"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313"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2182"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c>
          <w:tcPr>
            <w:tcW w:w="1960" w:type="dxa"/>
            <w:vAlign w:val="center"/>
            <w:textDirection w:val="lrTb"/>
            <w:noWrap w:val="false"/>
          </w:tcPr>
          <w:p>
            <w:pPr>
              <w:pStyle w:val="720"/>
              <w:jc w:val="center"/>
              <w:spacing w:line="240" w:lineRule="atLeast"/>
              <w:rPr>
                <w:rFonts w:ascii="宋体" w:hAnsi="宋体" w:eastAsia="宋体" w:cs="宋体"/>
                <w:b/>
                <w:bCs/>
              </w:rPr>
            </w:pPr>
            <w:r>
              <w:rPr>
                <w:rFonts w:ascii="宋体" w:hAnsi="宋体" w:eastAsia="宋体" w:cs="宋体"/>
                <w:b/>
                <w:bCs/>
              </w:rPr>
            </w:r>
            <w:r/>
          </w:p>
        </w:tc>
      </w:tr>
    </w:tbl>
    <w:p>
      <w:pPr>
        <w:pStyle w:val="720"/>
        <w:jc w:val="left"/>
        <w:spacing w:line="360" w:lineRule="auto"/>
        <w:rPr>
          <w:rFonts w:ascii="宋体" w:hAnsi="宋体" w:eastAsia="宋体" w:cs="宋体"/>
        </w:rPr>
      </w:pPr>
      <w:r>
        <w:rPr>
          <w:rFonts w:hint="eastAsia" w:ascii="宋体" w:hAnsi="宋体" w:eastAsia="宋体" w:cs="宋体"/>
        </w:rPr>
        <w:t xml:space="preserve">注：</w:t>
      </w:r>
      <w:r>
        <w:rPr>
          <w:rFonts w:ascii="宋体" w:hAnsi="宋体" w:eastAsia="宋体" w:cs="宋体"/>
        </w:rPr>
      </w:r>
      <w:r/>
    </w:p>
    <w:p>
      <w:pPr>
        <w:pStyle w:val="720"/>
        <w:ind w:firstLine="396"/>
        <w:jc w:val="left"/>
        <w:spacing w:line="360" w:lineRule="auto"/>
        <w:rPr>
          <w:rFonts w:ascii="宋体" w:hAnsi="宋体" w:eastAsia="宋体" w:cs="宋体"/>
        </w:rPr>
      </w:pPr>
      <w:r>
        <w:rPr>
          <w:rFonts w:hint="eastAsia" w:ascii="宋体" w:hAnsi="宋体" w:eastAsia="宋体" w:cs="宋体"/>
        </w:rPr>
        <w:t xml:space="preserve">（1）投标产品属于《节能产品政府采购品目清单》中以“★”标注的政府强制采购产品，投标人所投该类产品必须提供国家确定的认证机构出具、开标时处于有效期内的节能产品认证证书原件扫描件或全国认证认可信息公共服务平台查询打印件作为证明材料（证书所载产品型号、制造商应与投标产品一致；处于暂停、注销状态的不予认可）；未提供有效证明材料的，</w:t>
      </w:r>
      <w:r>
        <w:rPr>
          <w:rFonts w:hint="eastAsia" w:ascii="隶书" w:hAnsi="隶书" w:eastAsia="隶书" w:cs="隶书"/>
          <w:b/>
          <w:bCs/>
          <w:i/>
          <w:iCs/>
          <w:sz w:val="24"/>
          <w:szCs w:val="24"/>
        </w:rPr>
        <w:t xml:space="preserve">其投标无效</w:t>
      </w:r>
      <w:r>
        <w:rPr>
          <w:rFonts w:hint="eastAsia" w:ascii="宋体" w:hAnsi="宋体" w:eastAsia="宋体" w:cs="宋体"/>
        </w:rPr>
        <w:t xml:space="preserve">。</w:t>
      </w:r>
      <w:r>
        <w:rPr>
          <w:rFonts w:ascii="宋体" w:hAnsi="宋体" w:eastAsia="宋体" w:cs="宋体"/>
        </w:rPr>
      </w:r>
      <w:r/>
    </w:p>
    <w:p>
      <w:pPr>
        <w:pStyle w:val="720"/>
        <w:ind w:firstLine="396"/>
        <w:jc w:val="left"/>
        <w:spacing w:line="360" w:lineRule="auto"/>
        <w:rPr>
          <w:rFonts w:ascii="宋体" w:hAnsi="宋体" w:eastAsia="宋体" w:cs="宋体"/>
        </w:rPr>
      </w:pPr>
      <w:r>
        <w:rPr>
          <w:rFonts w:hint="eastAsia" w:ascii="宋体" w:hAnsi="宋体" w:eastAsia="宋体" w:cs="宋体"/>
        </w:rPr>
        <w:t xml:space="preserve">（2）投标产品属于《节能产品政府采购品目清单》中非以“★”标注的产品，投标人所投该类产品提供了国家确定的认证机构出具、开标时处于有效期内的节能产品认证证书原件扫描件或全国认证认可信息公共服务平台查询打印件作为证明材料（证书所载产品型号、制造商应与投标产品一致；处于暂停、注销状态的不予认可），可享受节能产品优先采购政策（加分）；未提供有效证明材料的，不享受节能产品优先采购政策（加分），投标有效。</w:t>
      </w:r>
      <w:r>
        <w:rPr>
          <w:rFonts w:ascii="宋体" w:hAnsi="宋体" w:eastAsia="宋体" w:cs="宋体"/>
        </w:rPr>
      </w:r>
      <w:r/>
    </w:p>
    <w:p>
      <w:pPr>
        <w:pStyle w:val="720"/>
        <w:ind w:firstLine="396"/>
        <w:jc w:val="left"/>
        <w:spacing w:line="360" w:lineRule="auto"/>
        <w:rPr>
          <w:rFonts w:ascii="宋体" w:hAnsi="宋体" w:eastAsia="宋体" w:cs="宋体"/>
        </w:rPr>
      </w:pPr>
      <w:r>
        <w:rPr>
          <w:rFonts w:ascii="宋体" w:hAnsi="宋体" w:eastAsia="宋体" w:cs="宋体"/>
        </w:rPr>
      </w:r>
      <w:r/>
    </w:p>
    <w:p>
      <w:pPr>
        <w:pStyle w:val="720"/>
        <w:ind w:firstLine="396"/>
        <w:jc w:val="left"/>
        <w:spacing w:line="360" w:lineRule="auto"/>
        <w:rPr>
          <w:rFonts w:ascii="宋体" w:hAnsi="宋体" w:eastAsia="宋体" w:cs="宋体"/>
        </w:rPr>
      </w:pPr>
      <w:r>
        <w:rPr>
          <w:rFonts w:ascii="宋体" w:hAnsi="宋体" w:eastAsia="宋体" w:cs="宋体"/>
        </w:rPr>
      </w:r>
      <w:r/>
    </w:p>
    <w:p>
      <w:pPr>
        <w:pStyle w:val="720"/>
        <w:ind w:left="420"/>
        <w:jc w:val="right"/>
        <w:spacing w:line="480" w:lineRule="auto"/>
        <w:rPr>
          <w:rFonts w:ascii="宋体" w:hAnsi="宋体" w:cs="宋体"/>
        </w:rPr>
      </w:pPr>
      <w:r>
        <w:rPr>
          <w:rFonts w:hint="eastAsia" w:ascii="宋体" w:hAnsi="宋体" w:cs="宋体"/>
        </w:rPr>
        <w:t xml:space="preserve">投标人公章：            （电子签章）</w:t>
      </w:r>
      <w:r>
        <w:rPr>
          <w:rFonts w:ascii="宋体" w:hAnsi="宋体" w:cs="宋体"/>
        </w:rPr>
      </w:r>
      <w:r/>
    </w:p>
    <w:p>
      <w:pPr>
        <w:pStyle w:val="720"/>
        <w:jc w:val="right"/>
        <w:spacing w:line="360" w:lineRule="auto"/>
        <w:rPr>
          <w:rFonts w:hAnsi="宋体" w:cs="宋体"/>
        </w:rPr>
      </w:pP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rPr>
          <w:rFonts w:hAnsi="宋体" w:cs="宋体"/>
        </w:rPr>
      </w:r>
      <w:r/>
    </w:p>
    <w:p>
      <w:pPr>
        <w:pStyle w:val="720"/>
        <w:jc w:val="right"/>
        <w:spacing w:line="360" w:lineRule="auto"/>
        <w:rPr>
          <w:rFonts w:hAnsi="宋体" w:cs="宋体"/>
        </w:rPr>
      </w:pPr>
      <w:r>
        <w:rPr>
          <w:rFonts w:hAnsi="宋体" w:cs="宋体"/>
        </w:rPr>
      </w:r>
      <w:r/>
    </w:p>
    <w:p>
      <w:pPr>
        <w:pStyle w:val="720"/>
        <w:jc w:val="right"/>
        <w:spacing w:line="360" w:lineRule="auto"/>
        <w:rPr>
          <w:rFonts w:hAnsi="宋体" w:cs="宋体"/>
        </w:rPr>
      </w:pPr>
      <w:r>
        <w:rPr>
          <w:rFonts w:hAnsi="宋体" w:cs="宋体"/>
        </w:rPr>
      </w:r>
      <w:r/>
    </w:p>
    <w:p>
      <w:pPr>
        <w:pStyle w:val="720"/>
        <w:jc w:val="center"/>
        <w:spacing w:line="360" w:lineRule="auto"/>
        <w:rPr>
          <w:rFonts w:ascii="黑体" w:hAnsi="黑体" w:eastAsia="黑体"/>
          <w:sz w:val="28"/>
        </w:rPr>
      </w:pPr>
      <w:r>
        <w:rPr>
          <w:rFonts w:hint="eastAsia" w:ascii="黑体" w:hAnsi="黑体" w:eastAsia="黑体"/>
          <w:sz w:val="28"/>
        </w:rPr>
        <w:t xml:space="preserve">环境标志产品一览表</w:t>
      </w:r>
      <w:r>
        <w:rPr>
          <w:rFonts w:ascii="黑体" w:hAnsi="黑体" w:eastAsia="黑体"/>
          <w:sz w:val="28"/>
        </w:rPr>
      </w:r>
      <w:r/>
    </w:p>
    <w:tbl>
      <w:tblPr>
        <w:tblW w:w="8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510"/>
        <w:gridCol w:w="920"/>
        <w:gridCol w:w="1300"/>
        <w:gridCol w:w="2360"/>
        <w:gridCol w:w="2050"/>
      </w:tblGrid>
      <w:tr>
        <w:trPr>
          <w:cantSplit/>
          <w:trHeight w:val="704"/>
        </w:trPr>
        <w:tc>
          <w:tcPr>
            <w:tcW w:w="68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序号</w:t>
            </w:r>
            <w:r>
              <w:rPr>
                <w:rFonts w:ascii="宋体" w:hAnsi="宋体" w:eastAsia="宋体" w:cs="宋体"/>
                <w:b/>
                <w:bCs/>
              </w:rPr>
            </w:r>
            <w:r/>
          </w:p>
        </w:tc>
        <w:tc>
          <w:tcPr>
            <w:shd w:val="clear" w:color="ffffff" w:fill="ffffff"/>
            <w:tcW w:w="151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产品名称</w:t>
            </w:r>
            <w:r>
              <w:rPr>
                <w:rFonts w:ascii="宋体" w:hAnsi="宋体" w:eastAsia="宋体" w:cs="宋体"/>
                <w:b/>
                <w:bCs/>
              </w:rPr>
            </w:r>
            <w:r/>
          </w:p>
        </w:tc>
        <w:tc>
          <w:tcPr>
            <w:shd w:val="clear" w:color="ffffff" w:fill="ffffff"/>
            <w:tcW w:w="92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品牌</w:t>
            </w:r>
            <w:r>
              <w:rPr>
                <w:rFonts w:ascii="宋体" w:hAnsi="宋体" w:eastAsia="宋体" w:cs="宋体"/>
                <w:b/>
                <w:bCs/>
              </w:rPr>
            </w:r>
            <w:r/>
          </w:p>
        </w:tc>
        <w:tc>
          <w:tcPr>
            <w:shd w:val="clear" w:color="ffffff" w:fill="ffffff"/>
            <w:tcW w:w="130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规格型号</w:t>
            </w:r>
            <w:r>
              <w:rPr>
                <w:rFonts w:ascii="宋体" w:hAnsi="宋体" w:eastAsia="宋体" w:cs="宋体"/>
                <w:b/>
                <w:bCs/>
              </w:rPr>
            </w:r>
            <w:r/>
          </w:p>
        </w:tc>
        <w:tc>
          <w:tcPr>
            <w:shd w:val="clear" w:color="ffffff" w:fill="ffffff"/>
            <w:tcW w:w="236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制造商名称</w:t>
            </w:r>
            <w:r>
              <w:rPr>
                <w:rFonts w:ascii="宋体" w:hAnsi="宋体" w:eastAsia="宋体" w:cs="宋体"/>
                <w:b/>
                <w:bCs/>
              </w:rPr>
            </w:r>
            <w:r/>
          </w:p>
        </w:tc>
        <w:tc>
          <w:tcPr>
            <w:shd w:val="clear" w:color="ffffff" w:fill="ffffff"/>
            <w:tcW w:w="2050" w:type="dxa"/>
            <w:vAlign w:val="center"/>
            <w:vMerge w:val="restart"/>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环境标志认证</w:t>
            </w:r>
            <w:r>
              <w:rPr>
                <w:rFonts w:ascii="宋体" w:hAnsi="宋体" w:eastAsia="宋体" w:cs="宋体"/>
                <w:b/>
                <w:bCs/>
              </w:rPr>
            </w:r>
            <w:r/>
          </w:p>
          <w:p>
            <w:pPr>
              <w:pStyle w:val="720"/>
              <w:jc w:val="center"/>
              <w:spacing w:line="0" w:lineRule="atLeast"/>
              <w:rPr>
                <w:rFonts w:ascii="宋体" w:hAnsi="宋体" w:eastAsia="宋体" w:cs="宋体"/>
                <w:b/>
                <w:bCs/>
              </w:rPr>
            </w:pPr>
            <w:r>
              <w:rPr>
                <w:rFonts w:hint="eastAsia" w:ascii="宋体" w:hAnsi="宋体" w:eastAsia="宋体" w:cs="宋体"/>
                <w:b/>
                <w:bCs/>
              </w:rPr>
              <w:t xml:space="preserve">证书编号</w:t>
            </w:r>
            <w:r>
              <w:rPr>
                <w:rFonts w:ascii="宋体" w:hAnsi="宋体" w:eastAsia="宋体" w:cs="宋体"/>
                <w:b/>
                <w:bCs/>
              </w:rPr>
            </w:r>
            <w:r/>
          </w:p>
        </w:tc>
      </w:tr>
      <w:tr>
        <w:trPr>
          <w:cantSplit/>
          <w:trHeight w:val="604"/>
        </w:trPr>
        <w:tc>
          <w:tcPr>
            <w:tcW w:w="680" w:type="dxa"/>
            <w:vAlign w:val="center"/>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1</w:t>
            </w:r>
            <w:r>
              <w:rPr>
                <w:rFonts w:ascii="宋体" w:hAnsi="宋体" w:eastAsia="宋体" w:cs="宋体"/>
                <w:b/>
                <w:bCs/>
              </w:rPr>
            </w:r>
            <w:r/>
          </w:p>
        </w:tc>
        <w:tc>
          <w:tcPr>
            <w:tcW w:w="1510" w:type="dxa"/>
            <w:vAlign w:val="center"/>
            <w:textDirection w:val="lrTb"/>
            <w:noWrap w:val="false"/>
          </w:tcPr>
          <w:p>
            <w:pPr>
              <w:pStyle w:val="720"/>
              <w:jc w:val="center"/>
              <w:widowControl/>
              <w:rPr>
                <w:rFonts w:ascii="宋体" w:hAnsi="宋体" w:eastAsia="宋体" w:cs="宋体"/>
                <w:b/>
                <w:bCs/>
              </w:rPr>
            </w:pPr>
            <w:r>
              <w:rPr>
                <w:rFonts w:ascii="宋体" w:hAnsi="宋体" w:eastAsia="宋体" w:cs="宋体"/>
                <w:b/>
                <w:bCs/>
              </w:rPr>
            </w:r>
            <w:r/>
          </w:p>
        </w:tc>
        <w:tc>
          <w:tcPr>
            <w:tcW w:w="92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130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36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05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r>
      <w:tr>
        <w:trPr>
          <w:cantSplit/>
          <w:trHeight w:val="604"/>
        </w:trPr>
        <w:tc>
          <w:tcPr>
            <w:tcW w:w="680" w:type="dxa"/>
            <w:vAlign w:val="center"/>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2</w:t>
            </w:r>
            <w:r>
              <w:rPr>
                <w:rFonts w:ascii="宋体" w:hAnsi="宋体" w:eastAsia="宋体" w:cs="宋体"/>
                <w:b/>
                <w:bCs/>
              </w:rPr>
            </w:r>
            <w:r/>
          </w:p>
        </w:tc>
        <w:tc>
          <w:tcPr>
            <w:tcW w:w="1510" w:type="dxa"/>
            <w:vAlign w:val="center"/>
            <w:textDirection w:val="lrTb"/>
            <w:noWrap w:val="false"/>
          </w:tcPr>
          <w:p>
            <w:pPr>
              <w:pStyle w:val="720"/>
              <w:jc w:val="center"/>
              <w:widowControl/>
              <w:rPr>
                <w:rFonts w:ascii="宋体" w:hAnsi="宋体" w:eastAsia="宋体" w:cs="宋体"/>
                <w:b/>
                <w:bCs/>
              </w:rPr>
            </w:pPr>
            <w:r>
              <w:rPr>
                <w:rFonts w:ascii="宋体" w:hAnsi="宋体" w:eastAsia="宋体" w:cs="宋体"/>
                <w:b/>
                <w:bCs/>
              </w:rPr>
            </w:r>
            <w:r/>
          </w:p>
        </w:tc>
        <w:tc>
          <w:tcPr>
            <w:tcW w:w="92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130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36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05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r>
      <w:tr>
        <w:trPr>
          <w:cantSplit/>
          <w:trHeight w:val="604"/>
        </w:trPr>
        <w:tc>
          <w:tcPr>
            <w:tcW w:w="680" w:type="dxa"/>
            <w:vAlign w:val="center"/>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3</w:t>
            </w:r>
            <w:r>
              <w:rPr>
                <w:rFonts w:ascii="宋体" w:hAnsi="宋体" w:eastAsia="宋体" w:cs="宋体"/>
                <w:b/>
                <w:bCs/>
              </w:rPr>
            </w:r>
            <w:r/>
          </w:p>
        </w:tc>
        <w:tc>
          <w:tcPr>
            <w:tcW w:w="1510" w:type="dxa"/>
            <w:vAlign w:val="center"/>
            <w:textDirection w:val="lrTb"/>
            <w:noWrap w:val="false"/>
          </w:tcPr>
          <w:p>
            <w:pPr>
              <w:pStyle w:val="720"/>
              <w:jc w:val="center"/>
              <w:widowControl/>
              <w:rPr>
                <w:rFonts w:ascii="宋体" w:hAnsi="宋体" w:eastAsia="宋体" w:cs="宋体"/>
                <w:b/>
                <w:bCs/>
              </w:rPr>
            </w:pPr>
            <w:r>
              <w:rPr>
                <w:rFonts w:ascii="宋体" w:hAnsi="宋体" w:eastAsia="宋体" w:cs="宋体"/>
                <w:b/>
                <w:bCs/>
              </w:rPr>
            </w:r>
            <w:r/>
          </w:p>
        </w:tc>
        <w:tc>
          <w:tcPr>
            <w:tcW w:w="92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130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36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05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r>
      <w:tr>
        <w:trPr>
          <w:cantSplit/>
          <w:trHeight w:val="604"/>
        </w:trPr>
        <w:tc>
          <w:tcPr>
            <w:tcW w:w="680" w:type="dxa"/>
            <w:vAlign w:val="center"/>
            <w:textDirection w:val="lrTb"/>
            <w:noWrap w:val="false"/>
          </w:tcPr>
          <w:p>
            <w:pPr>
              <w:pStyle w:val="720"/>
              <w:jc w:val="center"/>
              <w:spacing w:line="0" w:lineRule="atLeast"/>
              <w:rPr>
                <w:rFonts w:ascii="宋体" w:hAnsi="宋体" w:eastAsia="宋体" w:cs="宋体"/>
                <w:b/>
                <w:bCs/>
              </w:rPr>
            </w:pPr>
            <w:r>
              <w:rPr>
                <w:rFonts w:hint="eastAsia" w:ascii="宋体" w:hAnsi="宋体" w:eastAsia="宋体" w:cs="宋体"/>
                <w:b/>
                <w:bCs/>
              </w:rPr>
              <w:t xml:space="preserve">……</w:t>
            </w:r>
            <w:r>
              <w:rPr>
                <w:rFonts w:ascii="宋体" w:hAnsi="宋体" w:eastAsia="宋体" w:cs="宋体"/>
                <w:b/>
                <w:bCs/>
              </w:rPr>
            </w:r>
            <w:r/>
          </w:p>
        </w:tc>
        <w:tc>
          <w:tcPr>
            <w:tcW w:w="1510" w:type="dxa"/>
            <w:vAlign w:val="center"/>
            <w:textDirection w:val="lrTb"/>
            <w:noWrap w:val="false"/>
          </w:tcPr>
          <w:p>
            <w:pPr>
              <w:pStyle w:val="720"/>
              <w:jc w:val="center"/>
              <w:widowControl/>
              <w:rPr>
                <w:rFonts w:ascii="宋体" w:hAnsi="宋体" w:eastAsia="宋体" w:cs="宋体"/>
                <w:b/>
                <w:bCs/>
              </w:rPr>
            </w:pPr>
            <w:r>
              <w:rPr>
                <w:rFonts w:ascii="宋体" w:hAnsi="宋体" w:eastAsia="宋体" w:cs="宋体"/>
                <w:b/>
                <w:bCs/>
              </w:rPr>
            </w:r>
            <w:r/>
          </w:p>
        </w:tc>
        <w:tc>
          <w:tcPr>
            <w:tcW w:w="92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130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36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c>
          <w:tcPr>
            <w:tcW w:w="2050" w:type="dxa"/>
            <w:vAlign w:val="center"/>
            <w:textDirection w:val="lrTb"/>
            <w:noWrap w:val="false"/>
          </w:tcPr>
          <w:p>
            <w:pPr>
              <w:pStyle w:val="720"/>
              <w:jc w:val="center"/>
              <w:spacing w:line="0" w:lineRule="atLeast"/>
              <w:rPr>
                <w:rFonts w:ascii="宋体" w:hAnsi="宋体" w:eastAsia="宋体" w:cs="宋体"/>
                <w:b/>
                <w:bCs/>
              </w:rPr>
            </w:pPr>
            <w:r>
              <w:rPr>
                <w:rFonts w:ascii="宋体" w:hAnsi="宋体" w:eastAsia="宋体" w:cs="宋体"/>
                <w:b/>
                <w:bCs/>
              </w:rPr>
            </w:r>
            <w:r/>
          </w:p>
        </w:tc>
      </w:tr>
    </w:tbl>
    <w:p>
      <w:pPr>
        <w:pStyle w:val="720"/>
        <w:jc w:val="left"/>
        <w:spacing w:line="360" w:lineRule="auto"/>
        <w:rPr>
          <w:rFonts w:ascii="宋体" w:hAnsi="宋体" w:eastAsia="宋体" w:cs="宋体"/>
        </w:rPr>
      </w:pPr>
      <w:r>
        <w:rPr>
          <w:rFonts w:hint="eastAsia" w:ascii="宋体" w:hAnsi="宋体" w:eastAsia="宋体" w:cs="宋体"/>
        </w:rPr>
        <w:t xml:space="preserve">注：投标产品属于《环境标志产品政府采购品目清单》中的产品，提供国家确定的认证机构出具、开标时处于有效期内的环境标志产品认证证书原件扫描件或全国认证认可信息公共服务平台查询打印件作为证明材料（证书所载产品型号、制造商应与投标产品一致；处于暂停、注销状态的不予认可），可享受环境标志产品优先采购政策（加分）；未提供有效证明材料的，不享受环境标志产品优先采购政策（加分）。</w:t>
      </w:r>
      <w:r>
        <w:rPr>
          <w:rFonts w:ascii="宋体" w:hAnsi="宋体" w:eastAsia="宋体" w:cs="宋体"/>
        </w:rPr>
      </w:r>
      <w:r/>
    </w:p>
    <w:p>
      <w:pPr>
        <w:pStyle w:val="720"/>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ind w:left="420"/>
        <w:jc w:val="right"/>
        <w:spacing w:line="480" w:lineRule="auto"/>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360" w:lineRule="auto"/>
        <w:rPr>
          <w:rFonts w:ascii="宋体" w:hAnsi="宋体" w:cs="宋体"/>
          <w:u w:val="single"/>
        </w:rPr>
      </w:pPr>
      <w:r>
        <w:rPr>
          <w:rFonts w:ascii="宋体" w:hAnsi="宋体" w:cs="宋体"/>
          <w:u w:val="single"/>
        </w:rPr>
      </w:r>
      <w:r/>
    </w:p>
    <w:p>
      <w:pPr>
        <w:pStyle w:val="720"/>
        <w:jc w:val="right"/>
        <w:spacing w:line="360" w:lineRule="auto"/>
        <w:rPr>
          <w:rFonts w:ascii="Segoe UI" w:hAnsi="Segoe UI" w:cs="Segoe UI"/>
          <w:szCs w:val="21"/>
        </w:rPr>
      </w:pP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rPr>
          <w:rFonts w:ascii="Segoe UI" w:hAnsi="Segoe UI" w:cs="Segoe UI"/>
          <w:szCs w:val="21"/>
        </w:rPr>
      </w:r>
      <w:r/>
    </w:p>
    <w:p>
      <w:pPr>
        <w:pStyle w:val="720"/>
        <w:jc w:val="center"/>
        <w:spacing w:line="360" w:lineRule="auto"/>
        <w:rPr>
          <w:rFonts w:ascii="Segoe UI" w:hAnsi="Segoe UI" w:cs="Segoe UI"/>
          <w:strike/>
          <w:szCs w:val="21"/>
        </w:rPr>
      </w:pPr>
      <w:r>
        <w:rPr>
          <w:rFonts w:ascii="Segoe UI" w:hAnsi="Segoe UI" w:cs="Segoe UI"/>
          <w:strike/>
          <w:szCs w:val="21"/>
        </w:rPr>
      </w:r>
      <w:r/>
    </w:p>
    <w:p>
      <w:pPr>
        <w:pStyle w:val="720"/>
        <w:jc w:val="center"/>
        <w:spacing w:line="360" w:lineRule="auto"/>
        <w:rPr>
          <w:rFonts w:ascii="Segoe UI" w:hAnsi="Segoe UI" w:cs="Segoe UI"/>
          <w:strike/>
          <w:szCs w:val="21"/>
        </w:rPr>
      </w:pPr>
      <w:r>
        <w:rPr>
          <w:rFonts w:ascii="Segoe UI" w:hAnsi="Segoe UI" w:cs="Segoe UI"/>
          <w:strike/>
          <w:szCs w:val="21"/>
        </w:rPr>
      </w:r>
      <w:r/>
    </w:p>
    <w:p>
      <w:pPr>
        <w:pStyle w:val="720"/>
        <w:jc w:val="center"/>
        <w:spacing w:line="360" w:lineRule="auto"/>
        <w:rPr>
          <w:rFonts w:ascii="Segoe UI" w:hAnsi="Segoe UI" w:cs="Segoe UI"/>
          <w:strike/>
          <w:szCs w:val="21"/>
        </w:rPr>
      </w:pPr>
      <w:r>
        <w:rPr>
          <w:rFonts w:ascii="Segoe UI" w:hAnsi="Segoe UI" w:cs="Segoe UI"/>
          <w:strike/>
          <w:szCs w:val="21"/>
        </w:rPr>
      </w:r>
      <w:r/>
    </w:p>
    <w:p>
      <w:pPr>
        <w:pStyle w:val="720"/>
        <w:jc w:val="center"/>
        <w:spacing w:line="360" w:lineRule="auto"/>
        <w:rPr>
          <w:rFonts w:ascii="Segoe UI" w:hAnsi="Segoe UI" w:cs="Segoe UI"/>
          <w:strike/>
          <w:szCs w:val="21"/>
        </w:rPr>
      </w:pPr>
      <w:r>
        <w:rPr>
          <w:rFonts w:ascii="Segoe UI" w:hAnsi="Segoe UI" w:cs="Segoe UI"/>
          <w:strike/>
          <w:szCs w:val="21"/>
        </w:rPr>
      </w:r>
      <w:r/>
    </w:p>
    <w:p>
      <w:pPr>
        <w:pStyle w:val="720"/>
        <w:jc w:val="center"/>
        <w:spacing w:line="360" w:lineRule="auto"/>
        <w:rPr>
          <w:rFonts w:ascii="Segoe UI" w:hAnsi="Segoe UI" w:cs="Segoe UI"/>
          <w:strike/>
          <w:szCs w:val="21"/>
        </w:rPr>
      </w:pPr>
      <w:r>
        <w:rPr>
          <w:rFonts w:ascii="Segoe UI" w:hAnsi="Segoe UI" w:cs="Segoe UI"/>
          <w:strike/>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480" w:lineRule="auto"/>
        <w:rPr>
          <w:rFonts w:ascii="黑体" w:hAnsi="黑体" w:eastAsia="黑体" w:cs="Segoe UI"/>
          <w:sz w:val="28"/>
          <w:szCs w:val="18"/>
        </w:rPr>
      </w:pPr>
      <w:r>
        <w:rPr>
          <w:rFonts w:hint="eastAsia" w:ascii="黑体" w:hAnsi="黑体" w:eastAsia="黑体" w:cs="Segoe UI"/>
          <w:sz w:val="28"/>
          <w:szCs w:val="18"/>
        </w:rPr>
        <w:t xml:space="preserve">类似业绩一览表</w:t>
      </w:r>
      <w:r>
        <w:rPr>
          <w:rFonts w:ascii="黑体" w:hAnsi="黑体" w:eastAsia="黑体" w:cs="Segoe UI"/>
          <w:sz w:val="28"/>
          <w:szCs w:val="18"/>
        </w:rPr>
      </w:r>
      <w:r/>
    </w:p>
    <w:tbl>
      <w:tblPr>
        <w:tblW w:w="90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85"/>
        <w:gridCol w:w="1872"/>
        <w:gridCol w:w="2211"/>
        <w:gridCol w:w="2507"/>
      </w:tblGrid>
      <w:tr>
        <w:trPr>
          <w:cantSplit/>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合同名称</w:t>
            </w: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采购人名称</w:t>
            </w: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合同主要内容</w:t>
            </w: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CQC认证证书获得时间</w:t>
            </w:r>
            <w:r>
              <w:rPr>
                <w:rFonts w:ascii="宋体" w:hAnsi="宋体" w:cs="宋体"/>
                <w:b/>
                <w:bCs/>
              </w:rPr>
            </w:r>
            <w:r/>
          </w:p>
        </w:tc>
      </w:tr>
      <w:tr>
        <w:trPr>
          <w:cantSplit/>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1</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r>
        <w:trPr>
          <w:cantSplit/>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2</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r>
        <w:trPr>
          <w:cantSplit/>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3</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r>
        <w:trPr>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4</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r>
        <w:trPr>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cs="宋体"/>
                <w:b/>
                <w:bCs/>
              </w:rPr>
              <w:t xml:space="preserve">5</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r>
        <w:trPr>
          <w:trHeight w:val="501"/>
        </w:trPr>
        <w:tc>
          <w:tcPr>
            <w:tcW w:w="783" w:type="dxa"/>
            <w:vAlign w:val="center"/>
            <w:textDirection w:val="lrTb"/>
            <w:noWrap w:val="false"/>
          </w:tcPr>
          <w:p>
            <w:pPr>
              <w:pStyle w:val="720"/>
              <w:jc w:val="center"/>
              <w:rPr>
                <w:rFonts w:ascii="宋体" w:hAnsi="宋体" w:cs="宋体"/>
                <w:b/>
                <w:bCs/>
              </w:rPr>
            </w:pPr>
            <w:r>
              <w:rPr>
                <w:rFonts w:hint="eastAsia" w:ascii="宋体" w:hAnsi="宋体" w:eastAsia="宋体" w:cs="宋体"/>
                <w:b/>
                <w:bCs/>
              </w:rPr>
              <w:t xml:space="preserve">……</w:t>
            </w:r>
            <w:r>
              <w:rPr>
                <w:rFonts w:ascii="宋体" w:hAnsi="宋体" w:cs="宋体"/>
                <w:b/>
                <w:bCs/>
              </w:rPr>
            </w:r>
            <w:r/>
          </w:p>
        </w:tc>
        <w:tc>
          <w:tcPr>
            <w:tcW w:w="1685" w:type="dxa"/>
            <w:vAlign w:val="center"/>
            <w:textDirection w:val="lrTb"/>
            <w:noWrap w:val="false"/>
          </w:tcPr>
          <w:p>
            <w:pPr>
              <w:pStyle w:val="720"/>
              <w:jc w:val="center"/>
              <w:rPr>
                <w:rFonts w:ascii="宋体" w:hAnsi="宋体" w:cs="宋体"/>
                <w:b/>
                <w:bCs/>
              </w:rPr>
            </w:pPr>
            <w:r>
              <w:rPr>
                <w:rFonts w:ascii="宋体" w:hAnsi="宋体" w:cs="宋体"/>
                <w:b/>
                <w:bCs/>
              </w:rPr>
            </w:r>
            <w:r/>
          </w:p>
        </w:tc>
        <w:tc>
          <w:tcPr>
            <w:tcW w:w="1872" w:type="dxa"/>
            <w:vAlign w:val="center"/>
            <w:textDirection w:val="lrTb"/>
            <w:noWrap w:val="false"/>
          </w:tcPr>
          <w:p>
            <w:pPr>
              <w:pStyle w:val="720"/>
              <w:jc w:val="center"/>
              <w:rPr>
                <w:rFonts w:ascii="宋体" w:hAnsi="宋体" w:cs="宋体"/>
                <w:b/>
                <w:bCs/>
              </w:rPr>
            </w:pPr>
            <w:r>
              <w:rPr>
                <w:rFonts w:ascii="宋体" w:hAnsi="宋体" w:cs="宋体"/>
                <w:b/>
                <w:bCs/>
              </w:rPr>
            </w:r>
            <w:r/>
          </w:p>
        </w:tc>
        <w:tc>
          <w:tcPr>
            <w:tcW w:w="2211" w:type="dxa"/>
            <w:vAlign w:val="center"/>
            <w:textDirection w:val="lrTb"/>
            <w:noWrap w:val="false"/>
          </w:tcPr>
          <w:p>
            <w:pPr>
              <w:pStyle w:val="720"/>
              <w:jc w:val="center"/>
              <w:rPr>
                <w:rFonts w:ascii="宋体" w:hAnsi="宋体" w:cs="宋体"/>
                <w:b/>
                <w:bCs/>
              </w:rPr>
            </w:pPr>
            <w:r>
              <w:rPr>
                <w:rFonts w:ascii="宋体" w:hAnsi="宋体" w:cs="宋体"/>
                <w:b/>
                <w:bCs/>
              </w:rPr>
            </w:r>
            <w:r/>
          </w:p>
        </w:tc>
        <w:tc>
          <w:tcPr>
            <w:tcW w:w="2507" w:type="dxa"/>
            <w:vAlign w:val="center"/>
            <w:textDirection w:val="lrTb"/>
            <w:noWrap w:val="false"/>
          </w:tcPr>
          <w:p>
            <w:pPr>
              <w:pStyle w:val="720"/>
              <w:jc w:val="center"/>
              <w:rPr>
                <w:rFonts w:ascii="宋体" w:hAnsi="宋体" w:cs="宋体"/>
                <w:b/>
                <w:bCs/>
              </w:rPr>
            </w:pPr>
            <w:r>
              <w:rPr>
                <w:rFonts w:ascii="宋体" w:hAnsi="宋体" w:cs="宋体"/>
                <w:b/>
                <w:bCs/>
              </w:rPr>
            </w:r>
            <w:r/>
          </w:p>
        </w:tc>
      </w:tr>
    </w:tbl>
    <w:p>
      <w:pPr>
        <w:pStyle w:val="720"/>
        <w:jc w:val="left"/>
        <w:spacing w:line="360" w:lineRule="auto"/>
        <w:rPr>
          <w:rFonts w:ascii="宋体" w:hAnsi="宋体" w:eastAsia="宋体" w:cs="宋体"/>
        </w:rPr>
      </w:pPr>
      <w:r>
        <w:rPr>
          <w:rFonts w:hint="eastAsia" w:ascii="宋体" w:hAnsi="宋体" w:eastAsia="宋体" w:cs="宋体"/>
        </w:rPr>
        <w:t xml:space="preserve">注：本表后附第四章评标办法前附表第2.3.2（5）项评分所需证明材料。</w:t>
      </w:r>
      <w:r>
        <w:rPr>
          <w:rFonts w:ascii="宋体" w:hAnsi="宋体" w:eastAsia="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1149"/>
        <w:rPr>
          <w:rFonts w:hAnsi="宋体" w:cs="宋体"/>
        </w:rPr>
      </w:pPr>
      <w:r>
        <w:rPr>
          <w:rFonts w:hAnsi="宋体" w:cs="宋体"/>
        </w:rPr>
      </w:r>
      <w:r/>
    </w:p>
    <w:p>
      <w:pPr>
        <w:pStyle w:val="720"/>
        <w:ind w:left="420"/>
        <w:jc w:val="right"/>
        <w:spacing w:line="480" w:lineRule="auto"/>
        <w:rPr>
          <w:rFonts w:ascii="宋体" w:hAnsi="宋体" w:cs="宋体"/>
        </w:rPr>
      </w:pPr>
      <w:r>
        <w:rPr>
          <w:rFonts w:hint="eastAsia" w:ascii="宋体" w:hAnsi="宋体" w:cs="宋体"/>
        </w:rPr>
        <w:t xml:space="preserve">投标人公章：            （电子签章）</w:t>
      </w:r>
      <w:r>
        <w:rPr>
          <w:rFonts w:ascii="宋体" w:hAnsi="宋体" w:cs="宋体"/>
        </w:rPr>
      </w:r>
      <w:r/>
    </w:p>
    <w:p>
      <w:pPr>
        <w:pStyle w:val="720"/>
        <w:ind w:firstLine="480"/>
        <w:jc w:val="right"/>
        <w:spacing w:line="360" w:lineRule="auto"/>
        <w:rPr>
          <w:rFonts w:ascii="宋体" w:hAnsi="宋体" w:cs="宋体"/>
          <w:u w:val="single"/>
        </w:rPr>
      </w:pPr>
      <w:r>
        <w:rPr>
          <w:rFonts w:ascii="宋体" w:hAnsi="宋体" w:cs="宋体"/>
          <w:u w:val="single"/>
        </w:rPr>
      </w:r>
      <w:r/>
    </w:p>
    <w:p>
      <w:pPr>
        <w:pStyle w:val="720"/>
        <w:jc w:val="right"/>
        <w:spacing w:line="360" w:lineRule="auto"/>
        <w:rPr>
          <w:rFonts w:ascii="Segoe UI" w:hAnsi="Segoe UI" w:cs="Segoe UI"/>
          <w:szCs w:val="21"/>
        </w:rPr>
      </w:pP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w:t>
      </w: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Segoe UI" w:hAnsi="Segoe UI" w:cs="Segoe UI"/>
          <w:szCs w:val="21"/>
        </w:rPr>
      </w:pPr>
      <w:r>
        <w:rPr>
          <w:rFonts w:ascii="Segoe UI" w:hAnsi="Segoe UI" w:cs="Segoe UI"/>
          <w:szCs w:val="21"/>
        </w:rPr>
      </w:r>
      <w:r/>
    </w:p>
    <w:p>
      <w:pPr>
        <w:pStyle w:val="720"/>
        <w:jc w:val="center"/>
        <w:spacing w:line="360" w:lineRule="auto"/>
        <w:rPr>
          <w:rFonts w:ascii="黑体" w:hAnsi="黑体" w:eastAsia="黑体" w:cs="Segoe UI"/>
          <w:sz w:val="36"/>
          <w:szCs w:val="21"/>
        </w:rPr>
      </w:pPr>
      <w:r>
        <w:rPr>
          <w:rFonts w:hint="eastAsia" w:ascii="黑体" w:hAnsi="黑体" w:eastAsia="黑体" w:cs="Segoe UI"/>
          <w:sz w:val="36"/>
          <w:szCs w:val="21"/>
        </w:rPr>
        <w:t xml:space="preserve">企业报价折扣证明</w:t>
      </w:r>
      <w:r>
        <w:rPr>
          <w:rFonts w:ascii="黑体" w:hAnsi="黑体" w:eastAsia="黑体" w:cs="Segoe UI"/>
          <w:sz w:val="36"/>
          <w:szCs w:val="21"/>
        </w:rPr>
      </w:r>
      <w:r/>
    </w:p>
    <w:p>
      <w:pPr>
        <w:pStyle w:val="744"/>
        <w:jc w:val="center"/>
        <w:rPr>
          <w:rFonts w:cs="宋体"/>
          <w:b/>
          <w:bCs/>
          <w:sz w:val="28"/>
          <w:szCs w:val="28"/>
        </w:rPr>
      </w:pPr>
      <w:r>
        <w:rPr>
          <w:rFonts w:hint="eastAsia" w:cs="宋体"/>
          <w:b/>
          <w:bCs/>
          <w:sz w:val="28"/>
          <w:szCs w:val="28"/>
        </w:rPr>
        <w:t xml:space="preserve">（一）中小企业声明函</w:t>
      </w:r>
      <w:r>
        <w:rPr>
          <w:rFonts w:cs="宋体"/>
          <w:b/>
          <w:bCs/>
          <w:sz w:val="28"/>
          <w:szCs w:val="28"/>
        </w:rPr>
      </w:r>
      <w:r/>
    </w:p>
    <w:p>
      <w:pPr>
        <w:pStyle w:val="720"/>
        <w:ind w:firstLine="442"/>
        <w:spacing w:line="360" w:lineRule="auto"/>
        <w:rPr>
          <w:rFonts w:cs="宋体"/>
        </w:rPr>
      </w:pPr>
      <w:r>
        <w:rPr>
          <w:rFonts w:hint="eastAsia" w:cs="宋体"/>
        </w:rPr>
        <w:t xml:space="preserve">本公司郑重声明，根据《政府采购促进中小企业发展管理办法》（财库﹝2020﹞46 号）的规定，本公司参加</w:t>
      </w:r>
      <w:r>
        <w:rPr>
          <w:rFonts w:hint="eastAsia" w:cs="宋体"/>
          <w:u w:val="single"/>
        </w:rPr>
        <w:t xml:space="preserve"> </w:t>
      </w:r>
      <w:r>
        <w:rPr>
          <w:rFonts w:cs="宋体"/>
          <w:u w:val="single"/>
        </w:rPr>
        <w:t xml:space="preserve"> </w:t>
      </w:r>
      <w:r>
        <w:rPr>
          <w:rFonts w:hint="eastAsia" w:cs="宋体"/>
          <w:u w:val="single"/>
        </w:rPr>
        <w:t xml:space="preserve">靖江市人民医院 </w:t>
      </w:r>
      <w:r>
        <w:rPr>
          <w:rFonts w:hint="eastAsia" w:cs="宋体"/>
        </w:rPr>
        <w:t xml:space="preserve">的</w:t>
      </w:r>
      <w:r>
        <w:rPr>
          <w:rFonts w:hint="eastAsia" w:cs="宋体"/>
          <w:u w:val="single"/>
        </w:rPr>
        <w:t xml:space="preserve">  靖江市人民医院数据中心机房升级改造基础环境集成实施服务项目   </w:t>
      </w:r>
      <w:r>
        <w:rPr>
          <w:rFonts w:hint="eastAsia" w:cs="宋体"/>
        </w:rPr>
        <w:t xml:space="preserve">采购活动，服务全部由符合政策要求的中小企业承接。相关企业的具体情况如下：</w:t>
      </w:r>
      <w:r>
        <w:rPr>
          <w:rFonts w:cs="宋体"/>
        </w:rPr>
      </w:r>
      <w:r/>
    </w:p>
    <w:p>
      <w:pPr>
        <w:pStyle w:val="720"/>
        <w:ind w:firstLine="442"/>
        <w:spacing w:line="360" w:lineRule="auto"/>
        <w:rPr>
          <w:rFonts w:ascii="宋体" w:hAnsi="宋体" w:cs="宋体"/>
        </w:rPr>
      </w:pPr>
      <w:r>
        <w:rPr>
          <w:rFonts w:hint="eastAsia" w:ascii="宋体" w:hAnsi="宋体" w:cs="宋体"/>
          <w:u w:val="single"/>
        </w:rPr>
        <w:t xml:space="preserve"> </w:t>
      </w:r>
      <w:bookmarkStart w:id="411" w:name="_Hlk243407915"/>
      <w:r/>
      <w:bookmarkStart w:id="412" w:name="_Hlk243407934"/>
      <w:r>
        <w:rPr>
          <w:rFonts w:hint="eastAsia" w:ascii="宋体" w:hAnsi="宋体" w:cs="宋体"/>
          <w:b/>
          <w:bCs/>
          <w:u w:val="single"/>
        </w:rPr>
        <w:t xml:space="preserve">靖江市人民医院</w:t>
      </w:r>
      <w:bookmarkEnd w:id="411"/>
      <w:r>
        <w:rPr>
          <w:rFonts w:hint="eastAsia" w:ascii="宋体" w:hAnsi="宋体" w:cs="宋体"/>
          <w:b/>
          <w:bCs/>
          <w:u w:val="single"/>
        </w:rPr>
        <w:t xml:space="preserve">数据中心机房升级改造基础环境集成实施服务项目</w:t>
      </w:r>
      <w:bookmarkEnd w:id="412"/>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b/>
          <w:bCs/>
          <w:u w:val="single"/>
        </w:rPr>
        <w:t xml:space="preserve">软件和信息技术服务业</w:t>
      </w:r>
      <w:r>
        <w:rPr>
          <w:rFonts w:hint="eastAsia" w:ascii="宋体" w:hAnsi="宋体" w:cs="宋体"/>
          <w:u w:val="single"/>
        </w:rPr>
        <w:t xml:space="preserve">   </w:t>
      </w:r>
      <w:r>
        <w:rPr>
          <w:rFonts w:hint="eastAsia" w:ascii="宋体" w:hAnsi="宋体" w:cs="宋体"/>
        </w:rPr>
        <w:t xml:space="preserve">；承接企业为</w:t>
      </w:r>
      <w:r>
        <w:rPr>
          <w:rFonts w:hint="eastAsia" w:ascii="宋体" w:hAnsi="宋体" w:cs="宋体"/>
          <w:u w:val="single"/>
        </w:rPr>
        <w:t xml:space="preserve">     </w:t>
      </w:r>
      <w:r>
        <w:rPr>
          <w:rFonts w:hint="eastAsia" w:ascii="宋体" w:hAnsi="宋体" w:cs="宋体"/>
          <w:b/>
          <w:bCs/>
          <w:u w:val="single"/>
        </w:rPr>
        <w:t xml:space="preserve">（企业名称）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w:t>
      </w:r>
      <w:r>
        <w:rPr>
          <w:rFonts w:ascii="宋体" w:hAnsi="宋体" w:cs="宋体"/>
          <w:color w:val="000000"/>
        </w:rPr>
        <w:t xml:space="preserve">营业收入为</w:t>
      </w:r>
      <w:r>
        <w:rPr>
          <w:rFonts w:ascii="宋体" w:hAnsi="宋体" w:cs="宋体"/>
          <w:color w:val="000000"/>
          <w:u w:val="single"/>
        </w:rPr>
        <w:t xml:space="preserve">   </w:t>
      </w:r>
      <w:r>
        <w:rPr>
          <w:rFonts w:ascii="宋体" w:hAnsi="宋体" w:cs="宋体"/>
          <w:color w:val="000000"/>
        </w:rPr>
        <w:t xml:space="preserve">万元；资产总额为：</w:t>
      </w: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u w:val="single"/>
        </w:rPr>
        <w:t xml:space="preserve"> </w:t>
      </w:r>
      <w:r>
        <w:rPr>
          <w:rFonts w:ascii="宋体" w:hAnsi="宋体" w:cs="宋体"/>
          <w:color w:val="000000"/>
        </w:rPr>
        <w:t xml:space="preserve">万元，属于</w:t>
      </w:r>
      <w:r>
        <w:rPr>
          <w:rFonts w:ascii="宋体" w:hAnsi="宋体" w:cs="宋体"/>
          <w:b/>
          <w:color w:val="000000"/>
          <w:u w:val="single"/>
        </w:rPr>
        <w:t xml:space="preserve"> </w:t>
      </w:r>
      <w:r>
        <w:rPr>
          <w:rFonts w:hint="eastAsia" w:ascii="宋体" w:hAnsi="宋体" w:cs="宋体"/>
          <w:b/>
          <w:color w:val="000000"/>
          <w:u w:val="single"/>
        </w:rPr>
        <w:t xml:space="preserve"> □</w:t>
      </w:r>
      <w:r>
        <w:rPr>
          <w:rFonts w:ascii="宋体" w:hAnsi="宋体" w:cs="宋体"/>
          <w:b/>
          <w:color w:val="000000"/>
          <w:u w:val="single"/>
        </w:rPr>
        <w:t xml:space="preserve">中型企业</w:t>
      </w:r>
      <w:r>
        <w:rPr>
          <w:rFonts w:hint="eastAsia" w:ascii="宋体" w:hAnsi="宋体" w:cs="宋体"/>
          <w:b/>
          <w:color w:val="000000"/>
          <w:u w:val="single"/>
        </w:rPr>
        <w:t xml:space="preserve">  </w:t>
      </w:r>
      <w:r>
        <w:rPr>
          <w:rFonts w:ascii="宋体" w:hAnsi="宋体" w:cs="宋体"/>
          <w:b/>
          <w:color w:val="000000"/>
          <w:u w:val="single"/>
        </w:rPr>
        <w:t xml:space="preserve">□小型企业</w:t>
      </w:r>
      <w:r>
        <w:rPr>
          <w:rFonts w:hint="eastAsia" w:ascii="宋体" w:hAnsi="宋体" w:cs="宋体"/>
          <w:b/>
          <w:color w:val="000000"/>
          <w:u w:val="single"/>
        </w:rPr>
        <w:t xml:space="preserve">  </w:t>
      </w:r>
      <w:r>
        <w:rPr>
          <w:rFonts w:ascii="宋体" w:hAnsi="宋体" w:cs="宋体"/>
          <w:b/>
          <w:color w:val="000000"/>
          <w:u w:val="single"/>
        </w:rPr>
        <w:t xml:space="preserve">□微型企业</w:t>
      </w:r>
      <w:r>
        <w:rPr>
          <w:rFonts w:ascii="宋体" w:hAnsi="宋体" w:cs="宋体"/>
          <w:color w:val="000000"/>
          <w:u w:val="single"/>
        </w:rPr>
        <w:t xml:space="preserve"> </w:t>
      </w:r>
      <w:r>
        <w:rPr>
          <w:rFonts w:ascii="宋体" w:hAnsi="宋体" w:cs="宋体"/>
          <w:color w:val="000000"/>
        </w:rPr>
        <w:t xml:space="preserve">。</w:t>
      </w:r>
      <w:r>
        <w:rPr>
          <w:rFonts w:ascii="宋体" w:hAnsi="宋体" w:cs="宋体"/>
        </w:rPr>
      </w:r>
      <w:r/>
    </w:p>
    <w:p>
      <w:pPr>
        <w:pStyle w:val="720"/>
        <w:ind w:firstLine="442"/>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720"/>
        <w:ind w:firstLine="480"/>
        <w:spacing w:line="360" w:lineRule="auto"/>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720"/>
        <w:ind w:firstLine="422"/>
        <w:spacing w:line="360" w:lineRule="auto"/>
        <w:rPr>
          <w:rFonts w:ascii="宋体" w:hAnsi="宋体" w:cs="宋体"/>
          <w:b/>
          <w:bCs/>
        </w:rPr>
      </w:pPr>
      <w:r>
        <w:rPr>
          <w:rFonts w:ascii="宋体" w:hAnsi="宋体" w:cs="宋体"/>
          <w:b/>
          <w:bCs/>
        </w:rPr>
      </w:r>
      <w:r/>
    </w:p>
    <w:p>
      <w:pPr>
        <w:pStyle w:val="720"/>
        <w:spacing w:line="360" w:lineRule="auto"/>
        <w:rPr>
          <w:rFonts w:ascii="黑体" w:hAnsi="黑体" w:eastAsia="黑体" w:cs="黑体"/>
          <w:sz w:val="20"/>
          <w:szCs w:val="20"/>
        </w:rPr>
      </w:pPr>
      <w:r>
        <w:rPr>
          <w:rFonts w:hint="eastAsia" w:ascii="黑体" w:hAnsi="黑体" w:eastAsia="黑体" w:cs="黑体"/>
          <w:sz w:val="20"/>
          <w:szCs w:val="20"/>
        </w:rPr>
        <w:t xml:space="preserve">备注：</w:t>
      </w:r>
      <w:r>
        <w:rPr>
          <w:rFonts w:ascii="黑体" w:hAnsi="黑体" w:eastAsia="黑体" w:cs="黑体"/>
          <w:sz w:val="20"/>
          <w:szCs w:val="20"/>
        </w:rPr>
      </w:r>
      <w:r/>
    </w:p>
    <w:p>
      <w:pPr>
        <w:pStyle w:val="720"/>
        <w:ind w:firstLine="422"/>
        <w:spacing w:line="360" w:lineRule="auto"/>
        <w:rPr>
          <w:rFonts w:ascii="黑体" w:hAnsi="黑体" w:eastAsia="黑体" w:cs="黑体"/>
          <w:sz w:val="20"/>
          <w:szCs w:val="20"/>
        </w:rPr>
      </w:pPr>
      <w:r>
        <w:rPr>
          <w:rFonts w:hint="eastAsia" w:ascii="黑体" w:hAnsi="黑体" w:eastAsia="黑体" w:cs="黑体"/>
          <w:sz w:val="20"/>
          <w:szCs w:val="20"/>
        </w:rPr>
        <w:t xml:space="preserve">1.从业人员、营业收入、资产总额填报上一年度数据，无上一年度数据的新成立企业可不填报。</w:t>
      </w:r>
      <w:r>
        <w:rPr>
          <w:rFonts w:ascii="黑体" w:hAnsi="黑体" w:eastAsia="黑体" w:cs="黑体"/>
          <w:sz w:val="20"/>
          <w:szCs w:val="20"/>
        </w:rPr>
      </w:r>
      <w:r/>
    </w:p>
    <w:p>
      <w:pPr>
        <w:pStyle w:val="720"/>
        <w:ind w:firstLine="422"/>
        <w:spacing w:line="360" w:lineRule="auto"/>
        <w:rPr>
          <w:rFonts w:ascii="黑体" w:hAnsi="黑体" w:eastAsia="黑体" w:cs="黑体"/>
          <w:sz w:val="20"/>
          <w:szCs w:val="20"/>
        </w:rPr>
      </w:pPr>
      <w:r>
        <w:rPr>
          <w:rFonts w:hint="eastAsia" w:ascii="黑体" w:hAnsi="黑体" w:eastAsia="黑体" w:cs="黑体"/>
          <w:sz w:val="20"/>
          <w:szCs w:val="20"/>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内打“✓”勾选制造商的企业规模类型；未打“✓”勾选制造商的企业规模类型的，不予认可。</w:t>
      </w:r>
      <w:r>
        <w:rPr>
          <w:rFonts w:ascii="黑体" w:hAnsi="黑体" w:eastAsia="黑体" w:cs="黑体"/>
          <w:sz w:val="20"/>
          <w:szCs w:val="20"/>
        </w:rPr>
      </w:r>
      <w:r/>
    </w:p>
    <w:p>
      <w:pPr>
        <w:pStyle w:val="720"/>
        <w:ind w:firstLine="422"/>
        <w:spacing w:line="360" w:lineRule="auto"/>
        <w:rPr>
          <w:rFonts w:ascii="宋体" w:hAnsi="宋体" w:cs="宋体"/>
        </w:rPr>
      </w:pPr>
      <w:r>
        <w:rPr>
          <w:rFonts w:hint="eastAsia" w:ascii="黑体" w:hAnsi="黑体" w:eastAsia="黑体" w:cs="黑体"/>
          <w:sz w:val="20"/>
          <w:szCs w:val="20"/>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宋体" w:hAnsi="宋体" w:cs="宋体"/>
        </w:rPr>
        <w:t xml:space="preserve"> </w:t>
      </w:r>
      <w:r>
        <w:rPr>
          <w:rFonts w:ascii="宋体" w:hAnsi="宋体" w:cs="宋体"/>
        </w:rPr>
      </w:r>
      <w:r/>
    </w:p>
    <w:p>
      <w:pPr>
        <w:pStyle w:val="720"/>
        <w:ind w:firstLine="422"/>
        <w:spacing w:line="360" w:lineRule="auto"/>
        <w:rPr>
          <w:rFonts w:ascii="宋体" w:hAnsi="宋体" w:cs="宋体"/>
        </w:rPr>
      </w:pPr>
      <w:r>
        <w:rPr>
          <w:rFonts w:ascii="宋体" w:hAnsi="宋体" w:cs="宋体"/>
        </w:rPr>
      </w:r>
      <w:r/>
    </w:p>
    <w:p>
      <w:pPr>
        <w:pStyle w:val="720"/>
        <w:ind w:firstLine="422"/>
        <w:spacing w:line="360" w:lineRule="auto"/>
        <w:rPr>
          <w:rFonts w:ascii="宋体" w:hAnsi="宋体" w:cs="宋体"/>
        </w:rPr>
      </w:pPr>
      <w:r>
        <w:rPr>
          <w:rFonts w:ascii="宋体" w:hAnsi="宋体" w:cs="宋体"/>
        </w:rPr>
      </w:r>
      <w:r/>
    </w:p>
    <w:p>
      <w:pPr>
        <w:pStyle w:val="720"/>
        <w:spacing w:line="360" w:lineRule="auto"/>
      </w:pPr>
      <w:r/>
      <w:r/>
    </w:p>
    <w:p>
      <w:pPr>
        <w:pStyle w:val="720"/>
        <w:ind w:left="420"/>
        <w:jc w:val="right"/>
        <w:spacing w:line="360" w:lineRule="auto"/>
        <w:rPr>
          <w:rFonts w:ascii="宋体" w:hAnsi="宋体" w:cs="宋体"/>
        </w:rPr>
      </w:pPr>
      <w:r>
        <w:rPr>
          <w:rFonts w:hint="eastAsia" w:ascii="宋体" w:hAnsi="宋体" w:cs="宋体"/>
        </w:rPr>
        <w:t xml:space="preserve">投标人公章：            （电子签章）</w:t>
      </w:r>
      <w:r>
        <w:rPr>
          <w:rFonts w:ascii="宋体" w:hAnsi="宋体" w:cs="宋体"/>
        </w:rPr>
      </w:r>
      <w:r/>
    </w:p>
    <w:p>
      <w:pPr>
        <w:pStyle w:val="720"/>
        <w:jc w:val="right"/>
        <w:spacing w:line="360" w:lineRule="auto"/>
        <w:rPr>
          <w:rFonts w:ascii="宋体" w:hAnsi="宋体"/>
          <w:u w:val="single"/>
        </w:rPr>
      </w:pPr>
      <w:r>
        <w:rPr>
          <w:rFonts w:ascii="宋体" w:hAnsi="宋体"/>
          <w:u w:val="single"/>
        </w:rPr>
      </w:r>
      <w:r/>
    </w:p>
    <w:p>
      <w:pPr>
        <w:pStyle w:val="720"/>
        <w:jc w:val="right"/>
        <w:spacing w:line="360" w:lineRule="auto"/>
        <w:rPr>
          <w:rFonts w:ascii="宋体" w:hAnsi="宋体"/>
          <w:sz w:val="24"/>
          <w:szCs w:val="24"/>
        </w:rPr>
      </w:pP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ascii="宋体" w:hAnsi="宋体"/>
          <w:sz w:val="24"/>
          <w:szCs w:val="24"/>
        </w:rPr>
      </w:r>
      <w:r/>
    </w:p>
    <w:p>
      <w:pPr>
        <w:pStyle w:val="720"/>
        <w:jc w:val="right"/>
        <w:rPr>
          <w:rFonts w:ascii="宋体" w:hAnsi="宋体"/>
          <w:sz w:val="24"/>
          <w:szCs w:val="24"/>
        </w:rPr>
      </w:pPr>
      <w:r>
        <w:rPr>
          <w:rFonts w:ascii="宋体" w:hAnsi="宋体"/>
          <w:sz w:val="24"/>
          <w:szCs w:val="24"/>
        </w:rPr>
      </w:r>
      <w:r/>
    </w:p>
    <w:p>
      <w:pPr>
        <w:pStyle w:val="720"/>
        <w:jc w:val="right"/>
        <w:rPr>
          <w:rFonts w:ascii="宋体" w:hAnsi="宋体"/>
          <w:sz w:val="24"/>
          <w:szCs w:val="24"/>
        </w:rPr>
      </w:pPr>
      <w:r>
        <w:rPr>
          <w:rFonts w:ascii="宋体" w:hAnsi="宋体"/>
          <w:sz w:val="24"/>
          <w:szCs w:val="24"/>
        </w:rPr>
      </w:r>
      <w:r/>
    </w:p>
    <w:p>
      <w:pPr>
        <w:pStyle w:val="720"/>
        <w:jc w:val="right"/>
        <w:rPr>
          <w:rFonts w:ascii="宋体" w:hAnsi="宋体"/>
          <w:sz w:val="24"/>
          <w:szCs w:val="24"/>
        </w:rPr>
      </w:pPr>
      <w:r>
        <w:rPr>
          <w:rFonts w:ascii="宋体" w:hAnsi="宋体"/>
          <w:sz w:val="24"/>
          <w:szCs w:val="24"/>
        </w:rPr>
      </w:r>
      <w:r/>
    </w:p>
    <w:p>
      <w:pPr>
        <w:pStyle w:val="720"/>
        <w:jc w:val="right"/>
        <w:rPr>
          <w:rFonts w:ascii="宋体" w:hAnsi="宋体"/>
          <w:sz w:val="24"/>
          <w:szCs w:val="24"/>
        </w:rPr>
      </w:pPr>
      <w:r>
        <w:rPr>
          <w:rFonts w:ascii="宋体" w:hAnsi="宋体"/>
          <w:sz w:val="24"/>
          <w:szCs w:val="24"/>
        </w:rPr>
      </w:r>
      <w:r/>
    </w:p>
    <w:p>
      <w:pPr>
        <w:pStyle w:val="720"/>
        <w:jc w:val="right"/>
        <w:rPr>
          <w:rFonts w:ascii="宋体" w:hAnsi="宋体"/>
          <w:sz w:val="24"/>
          <w:szCs w:val="24"/>
        </w:rPr>
      </w:pPr>
      <w:r>
        <w:rPr>
          <w:rFonts w:ascii="宋体" w:hAnsi="宋体"/>
          <w:sz w:val="24"/>
          <w:szCs w:val="24"/>
        </w:rPr>
      </w:r>
      <w:r/>
    </w:p>
    <w:p>
      <w:pPr>
        <w:pStyle w:val="720"/>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rPr>
          <w:rFonts w:ascii="宋体" w:hAnsi="宋体" w:cs="宋体"/>
          <w:b/>
          <w:bCs/>
          <w:sz w:val="28"/>
          <w:szCs w:val="28"/>
        </w:rPr>
      </w:r>
      <w:r/>
    </w:p>
    <w:p>
      <w:pPr>
        <w:pStyle w:val="720"/>
        <w:jc w:val="center"/>
        <w:spacing w:line="588" w:lineRule="exact"/>
        <w:rPr>
          <w:rFonts w:ascii="仿宋_GB2312" w:eastAsia="仿宋_GB2312"/>
          <w:b/>
          <w:spacing w:val="6"/>
          <w:sz w:val="30"/>
          <w:szCs w:val="30"/>
        </w:rPr>
      </w:pPr>
      <w:r>
        <w:rPr>
          <w:rFonts w:hint="eastAsia" w:ascii="仿宋_GB2312" w:eastAsia="仿宋_GB2312"/>
          <w:b/>
          <w:spacing w:val="6"/>
          <w:sz w:val="24"/>
          <w:szCs w:val="24"/>
        </w:rPr>
        <w:t xml:space="preserve">【非残疾人福利性单位无需提供】</w:t>
      </w:r>
      <w:r>
        <w:rPr>
          <w:rFonts w:ascii="仿宋_GB2312" w:eastAsia="仿宋_GB2312"/>
          <w:b/>
          <w:spacing w:val="6"/>
          <w:sz w:val="30"/>
          <w:szCs w:val="30"/>
        </w:rPr>
      </w:r>
      <w:r/>
    </w:p>
    <w:p>
      <w:pPr>
        <w:pStyle w:val="720"/>
        <w:ind w:firstLine="480"/>
        <w:jc w:val="left"/>
        <w:spacing w:line="360" w:lineRule="auto"/>
        <w:rPr>
          <w:rFonts w:ascii="华文中宋" w:hAnsi="华文中宋" w:eastAsia="华文中宋" w:cs="华文中宋"/>
          <w:sz w:val="24"/>
          <w:szCs w:val="24"/>
          <w:shd w:val="clear" w:color="auto" w:fill="ffffff"/>
        </w:rPr>
      </w:pPr>
      <w:r>
        <w:rPr>
          <w:rFonts w:ascii="华文中宋" w:hAnsi="华文中宋" w:eastAsia="华文中宋" w:cs="华文中宋"/>
          <w:sz w:val="24"/>
          <w:szCs w:val="24"/>
          <w:shd w:val="clear" w:color="auto" w:fill="ffffff"/>
        </w:rPr>
      </w:r>
      <w:r/>
    </w:p>
    <w:p>
      <w:pPr>
        <w:pStyle w:val="720"/>
        <w:ind w:firstLine="480"/>
        <w:jc w:val="left"/>
        <w:spacing w:line="360" w:lineRule="auto"/>
        <w:rPr>
          <w:rFonts w:ascii="宋体" w:hAnsi="宋体" w:eastAsia="宋体" w:cs="宋体"/>
          <w:shd w:val="clear" w:color="auto" w:fill="ffffff"/>
        </w:rPr>
      </w:pPr>
      <w:r>
        <w:rPr>
          <w:rFonts w:hint="eastAsia" w:ascii="宋体" w:hAnsi="宋体" w:eastAsia="宋体" w:cs="宋体"/>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shd w:val="clear" w:color="auto" w:fill="ffffff"/>
        </w:rPr>
        <w:t xml:space="preserve">  靖江市人民医院  </w:t>
      </w:r>
      <w:r>
        <w:rPr>
          <w:rFonts w:hint="eastAsia" w:ascii="宋体" w:hAnsi="宋体" w:eastAsia="宋体" w:cs="宋体"/>
          <w:shd w:val="clear" w:color="auto" w:fill="ffffff"/>
        </w:rPr>
        <w:t xml:space="preserve">单位的</w:t>
      </w:r>
      <w:r>
        <w:rPr>
          <w:rFonts w:hint="eastAsia" w:ascii="宋体" w:hAnsi="宋体" w:eastAsia="宋体" w:cs="宋体"/>
          <w:u w:val="single"/>
          <w:shd w:val="clear" w:color="auto" w:fill="ffffff"/>
        </w:rPr>
        <w:t xml:space="preserve">  </w:t>
      </w:r>
      <w:bookmarkStart w:id="413" w:name="_Hlk243407960"/>
      <w:r>
        <w:rPr>
          <w:rFonts w:hint="eastAsia" w:ascii="宋体" w:hAnsi="宋体" w:eastAsia="宋体" w:cs="宋体"/>
          <w:u w:val="single"/>
          <w:shd w:val="clear" w:color="auto" w:fill="ffffff"/>
        </w:rPr>
        <w:t xml:space="preserve">靖江市人民医院</w:t>
      </w:r>
      <w:bookmarkEnd w:id="413"/>
      <w:r>
        <w:rPr>
          <w:rFonts w:hint="eastAsia" w:ascii="宋体" w:hAnsi="宋体" w:eastAsia="宋体" w:cs="宋体"/>
          <w:u w:val="single"/>
          <w:shd w:val="clear" w:color="auto" w:fill="ffffff"/>
        </w:rPr>
        <w:t xml:space="preserve">数据中心机房升级改造基础环境集成实施服务项目  </w:t>
      </w:r>
      <w:r>
        <w:rPr>
          <w:rFonts w:hint="eastAsia" w:ascii="宋体" w:hAnsi="宋体" w:eastAsia="宋体" w:cs="宋体"/>
          <w:shd w:val="clear" w:color="auto" w:fill="ffffff"/>
        </w:rPr>
        <w:t xml:space="preserve">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hint="eastAsia" w:ascii="宋体" w:hAnsi="宋体" w:eastAsia="宋体" w:cs="宋体"/>
          <w:shd w:val="clear" w:color="auto" w:fill="ffffff"/>
        </w:rPr>
        <w:t xml:space="preserve">本单位对上述声明的真实性负责。如有虚假，将依法承担相应责任。</w:t>
      </w: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left"/>
        <w:spacing w:line="360" w:lineRule="auto"/>
        <w:rPr>
          <w:rFonts w:ascii="宋体" w:hAnsi="宋体" w:eastAsia="宋体" w:cs="宋体"/>
          <w:shd w:val="clear" w:color="auto" w:fill="ffffff"/>
        </w:rPr>
      </w:pPr>
      <w:r>
        <w:rPr>
          <w:rFonts w:ascii="宋体" w:hAnsi="宋体" w:eastAsia="宋体" w:cs="宋体"/>
          <w:shd w:val="clear" w:color="auto" w:fill="ffffff"/>
        </w:rPr>
      </w:r>
      <w:r/>
    </w:p>
    <w:p>
      <w:pPr>
        <w:pStyle w:val="720"/>
        <w:ind w:firstLine="480"/>
        <w:jc w:val="right"/>
        <w:spacing w:line="360" w:lineRule="auto"/>
        <w:rPr>
          <w:rFonts w:ascii="宋体" w:hAnsi="宋体" w:eastAsia="宋体" w:cs="宋体"/>
        </w:rPr>
      </w:pPr>
      <w:r>
        <w:rPr>
          <w:rFonts w:hint="eastAsia" w:ascii="宋体" w:hAnsi="宋体" w:eastAsia="宋体" w:cs="宋体"/>
        </w:rPr>
        <w:t xml:space="preserve">投标人公章：            （电子签章）</w:t>
      </w:r>
      <w:r>
        <w:rPr>
          <w:rFonts w:ascii="宋体" w:hAnsi="宋体" w:eastAsia="宋体" w:cs="宋体"/>
        </w:rPr>
      </w:r>
      <w:r/>
    </w:p>
    <w:p>
      <w:pPr>
        <w:pStyle w:val="720"/>
        <w:ind w:firstLine="480"/>
        <w:jc w:val="right"/>
        <w:spacing w:line="360" w:lineRule="auto"/>
        <w:rPr>
          <w:rFonts w:ascii="宋体" w:hAnsi="宋体" w:eastAsia="宋体" w:cs="宋体"/>
        </w:rPr>
      </w:pPr>
      <w:r>
        <w:rPr>
          <w:rFonts w:ascii="宋体" w:hAnsi="宋体" w:eastAsia="宋体" w:cs="宋体"/>
        </w:rPr>
      </w:r>
      <w:r/>
    </w:p>
    <w:p>
      <w:pPr>
        <w:pStyle w:val="720"/>
        <w:ind w:firstLine="480"/>
        <w:jc w:val="right"/>
        <w:spacing w:line="360" w:lineRule="auto"/>
        <w:rPr>
          <w:rFonts w:ascii="宋体" w:hAnsi="宋体" w:eastAsia="宋体" w:cs="宋体"/>
        </w:rPr>
      </w:pPr>
      <w:r>
        <w:rPr>
          <w:rFonts w:ascii="宋体" w:hAnsi="宋体" w:eastAsia="宋体" w:cs="宋体"/>
        </w:rPr>
      </w:r>
      <w:r/>
    </w:p>
    <w:p>
      <w:pPr>
        <w:pStyle w:val="720"/>
        <w:ind w:firstLine="480"/>
        <w:jc w:val="right"/>
        <w:spacing w:line="360" w:lineRule="auto"/>
        <w:rPr>
          <w:rFonts w:ascii="宋体" w:hAnsi="宋体"/>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right"/>
        <w:spacing w:line="440" w:lineRule="exact"/>
        <w:rPr>
          <w:rFonts w:ascii="宋体" w:hAnsi="宋体"/>
        </w:rPr>
      </w:pPr>
      <w:r>
        <w:rPr>
          <w:rFonts w:ascii="宋体" w:hAnsi="宋体"/>
        </w:rPr>
      </w:r>
      <w:r/>
    </w:p>
    <w:p>
      <w:pPr>
        <w:pStyle w:val="720"/>
        <w:jc w:val="center"/>
        <w:spacing w:line="360" w:lineRule="auto"/>
        <w:rPr>
          <w:rFonts w:ascii="宋体" w:hAnsi="宋体" w:cs="宋体"/>
          <w:b/>
          <w:bCs/>
          <w:sz w:val="28"/>
          <w:szCs w:val="28"/>
        </w:rPr>
      </w:pPr>
      <w:r>
        <w:rPr>
          <w:rFonts w:hint="eastAsia" w:ascii="宋体" w:hAnsi="宋体" w:cs="宋体"/>
          <w:b/>
          <w:bCs/>
          <w:sz w:val="28"/>
          <w:szCs w:val="28"/>
        </w:rPr>
        <w:t xml:space="preserve">（三）监狱企业证明</w:t>
      </w:r>
      <w:r>
        <w:rPr>
          <w:rFonts w:ascii="宋体" w:hAnsi="宋体" w:cs="宋体"/>
          <w:b/>
          <w:bCs/>
          <w:sz w:val="28"/>
          <w:szCs w:val="28"/>
        </w:rPr>
      </w:r>
      <w:r/>
    </w:p>
    <w:p>
      <w:pPr>
        <w:pStyle w:val="983"/>
        <w:jc w:val="center"/>
        <w:spacing w:line="360" w:lineRule="auto"/>
        <w:rPr>
          <w:rFonts w:ascii="宋体" w:hAnsi="宋体" w:eastAsia="宋体" w:cs="宋体"/>
          <w:sz w:val="22"/>
          <w:szCs w:val="22"/>
        </w:rPr>
      </w:pPr>
      <w:r>
        <w:rPr>
          <w:rFonts w:hint="eastAsia" w:ascii="宋体" w:hAnsi="宋体" w:eastAsia="宋体" w:cs="宋体"/>
          <w:b/>
          <w:spacing w:val="6"/>
          <w:sz w:val="24"/>
        </w:rPr>
        <w:t xml:space="preserve">【非监狱企业无需提供】</w:t>
      </w:r>
      <w:r>
        <w:rPr>
          <w:rFonts w:ascii="宋体" w:hAnsi="宋体" w:eastAsia="宋体" w:cs="宋体"/>
          <w:sz w:val="22"/>
          <w:szCs w:val="22"/>
        </w:rPr>
      </w:r>
      <w:r/>
    </w:p>
    <w:p>
      <w:pPr>
        <w:pStyle w:val="983"/>
        <w:ind w:firstLine="482"/>
        <w:spacing w:line="480" w:lineRule="auto"/>
        <w:rPr>
          <w:rFonts w:ascii="宋体" w:hAnsi="宋体" w:cs="宋体"/>
          <w:b/>
          <w:bCs/>
          <w:sz w:val="24"/>
          <w:szCs w:val="21"/>
        </w:rPr>
      </w:pPr>
      <w:r>
        <w:rPr>
          <w:rFonts w:ascii="宋体" w:hAnsi="宋体" w:cs="宋体"/>
          <w:b/>
          <w:bCs/>
          <w:sz w:val="24"/>
          <w:szCs w:val="21"/>
        </w:rPr>
      </w:r>
      <w:r/>
    </w:p>
    <w:p>
      <w:pPr>
        <w:pStyle w:val="720"/>
        <w:ind w:firstLine="396"/>
        <w:jc w:val="left"/>
        <w:spacing w:line="360" w:lineRule="auto"/>
        <w:rPr>
          <w:rFonts w:ascii="宋体" w:hAnsi="宋体" w:eastAsia="宋体" w:cs="宋体"/>
        </w:rPr>
      </w:pPr>
      <w:r>
        <w:rPr>
          <w:rFonts w:hint="eastAsia" w:ascii="宋体" w:hAnsi="宋体" w:eastAsia="宋体" w:cs="宋体"/>
        </w:rPr>
        <w:t xml:space="preserve">提供由省级以上监狱管理局、戒毒管理局（含新疆生产建设兵团）出具的投标人属于监狱企业的证明文件原件扫描件。</w:t>
      </w:r>
      <w:r>
        <w:rPr>
          <w:rFonts w:ascii="宋体" w:hAnsi="宋体" w:eastAsia="宋体" w:cs="宋体"/>
        </w:rPr>
      </w:r>
      <w:r/>
    </w:p>
    <w:p>
      <w:pPr>
        <w:pStyle w:val="983"/>
        <w:ind w:firstLine="440"/>
        <w:rPr>
          <w:rFonts w:ascii="宋体" w:hAnsi="宋体" w:cs="宋体"/>
          <w:sz w:val="22"/>
          <w:szCs w:val="22"/>
        </w:rPr>
      </w:pPr>
      <w:r>
        <w:rPr>
          <w:rFonts w:ascii="宋体" w:hAnsi="宋体" w:cs="宋体"/>
          <w:sz w:val="22"/>
          <w:szCs w:val="22"/>
        </w:rPr>
      </w:r>
      <w:r/>
    </w:p>
    <w:p>
      <w:pPr>
        <w:pStyle w:val="983"/>
        <w:ind w:firstLine="440"/>
        <w:rPr>
          <w:rFonts w:ascii="宋体" w:hAnsi="宋体" w:cs="宋体"/>
          <w:sz w:val="22"/>
          <w:szCs w:val="22"/>
        </w:rPr>
      </w:pPr>
      <w:r>
        <w:rPr>
          <w:rFonts w:ascii="宋体" w:hAnsi="宋体" w:cs="宋体"/>
          <w:sz w:val="22"/>
          <w:szCs w:val="22"/>
        </w:rPr>
      </w:r>
      <w:r/>
    </w:p>
    <w:p>
      <w:pPr>
        <w:pStyle w:val="983"/>
        <w:ind w:firstLine="440"/>
        <w:rPr>
          <w:rFonts w:ascii="宋体" w:hAnsi="宋体" w:cs="宋体"/>
          <w:sz w:val="22"/>
          <w:szCs w:val="22"/>
        </w:rPr>
      </w:pPr>
      <w:r>
        <w:rPr>
          <w:rFonts w:ascii="宋体" w:hAnsi="宋体" w:cs="宋体"/>
          <w:sz w:val="22"/>
          <w:szCs w:val="22"/>
        </w:rPr>
      </w:r>
      <w:r/>
    </w:p>
    <w:p>
      <w:pPr>
        <w:pStyle w:val="720"/>
        <w:jc w:val="center"/>
        <w:spacing w:line="360" w:lineRule="auto"/>
        <w:rPr>
          <w:rFonts w:ascii="宋体" w:hAnsi="宋体" w:cs="宋体"/>
          <w:b/>
          <w:bCs/>
          <w:sz w:val="28"/>
          <w:szCs w:val="28"/>
        </w:rPr>
      </w:pPr>
      <w:r>
        <w:rPr>
          <w:rFonts w:ascii="宋体" w:hAnsi="宋体" w:cs="宋体"/>
          <w:b/>
          <w:bCs/>
          <w:sz w:val="28"/>
          <w:szCs w:val="28"/>
        </w:rPr>
      </w:r>
      <w:r/>
    </w:p>
    <w:p>
      <w:pPr>
        <w:pStyle w:val="720"/>
        <w:spacing w:line="360" w:lineRule="auto"/>
        <w:rPr>
          <w:rFonts w:ascii="宋体" w:hAnsi="宋体"/>
          <w:sz w:val="24"/>
          <w:szCs w:val="24"/>
        </w:rPr>
      </w:pPr>
      <w:r>
        <w:rPr>
          <w:rFonts w:ascii="宋体" w:hAnsi="宋体"/>
          <w:sz w:val="24"/>
          <w:szCs w:val="24"/>
        </w:r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pPr>
      <w:r/>
      <w:r/>
    </w:p>
    <w:p>
      <w:pPr>
        <w:pStyle w:val="720"/>
        <w:jc w:val="center"/>
        <w:rPr>
          <w:rFonts w:ascii="黑体" w:hAnsi="黑体" w:eastAsia="黑体" w:cs="Segoe UI"/>
          <w:sz w:val="36"/>
          <w:szCs w:val="21"/>
        </w:rPr>
      </w:pPr>
      <w:r>
        <w:rPr>
          <w:rFonts w:hint="eastAsia" w:ascii="黑体" w:hAnsi="黑体" w:eastAsia="黑体" w:cs="Segoe UI"/>
          <w:sz w:val="28"/>
          <w:szCs w:val="18"/>
        </w:rPr>
        <w:t xml:space="preserve">关于符合本国产品标准的声明函</w:t>
      </w:r>
      <w:r>
        <w:rPr>
          <w:rFonts w:ascii="黑体" w:hAnsi="黑体" w:eastAsia="黑体" w:cs="Segoe UI"/>
          <w:sz w:val="36"/>
          <w:szCs w:val="21"/>
        </w:rPr>
      </w:r>
      <w:r/>
    </w:p>
    <w:p>
      <w:pPr>
        <w:pStyle w:val="720"/>
      </w:pPr>
      <w:r/>
      <w:r/>
    </w:p>
    <w:p>
      <w:pPr>
        <w:pStyle w:val="720"/>
        <w:ind w:firstLine="396"/>
        <w:spacing w:line="520" w:lineRule="exact"/>
        <w:rPr>
          <w:rFonts w:ascii="宋体" w:hAnsi="宋体" w:cs="宋体"/>
        </w:rPr>
      </w:pPr>
      <w:r>
        <w:rPr>
          <w:rFonts w:hint="eastAsia" w:ascii="宋体" w:hAnsi="宋体" w:cs="宋体"/>
        </w:rPr>
        <w:t xml:space="preserve"> 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65"/>
        <w:ind w:firstLine="482"/>
        <w:spacing w:before="30" w:beforeAutospacing="0" w:after="30" w:afterAutospacing="0" w:line="560" w:lineRule="atLeast"/>
        <w:rPr>
          <w:sz w:val="22"/>
          <w:szCs w:val="22"/>
          <w:shd w:val="clear" w:color="auto" w:fill="ffffff"/>
        </w:rPr>
      </w:pPr>
      <w:r>
        <w:rPr>
          <w:rFonts w:hint="eastAsia" w:ascii="黑体" w:hAnsi="黑体" w:eastAsia="黑体" w:cs="黑体"/>
          <w:b w:val="0"/>
          <w:bCs w:val="0"/>
          <w:sz w:val="22"/>
          <w:szCs w:val="22"/>
          <w:u w:val="none"/>
          <w:lang w:val="en-US" w:eastAsia="zh-CN"/>
        </w:rPr>
        <w:t xml:space="preserve">1.</w:t>
      </w:r>
      <w:r>
        <w:rPr>
          <w:rFonts w:hint="eastAsia" w:ascii="黑体" w:hAnsi="黑体" w:eastAsia="黑体" w:cs="黑体"/>
          <w:b w:val="0"/>
          <w:bCs w:val="0"/>
          <w:sz w:val="22"/>
          <w:szCs w:val="22"/>
          <w:u w:val="single"/>
          <w:lang w:eastAsia="zh-CN"/>
        </w:rPr>
        <w:t xml:space="preserve">（</w:t>
      </w:r>
      <w:r>
        <w:rPr>
          <w:rFonts w:hint="eastAsia" w:ascii="黑体" w:hAnsi="黑体" w:eastAsia="黑体" w:cs="黑体"/>
          <w:b w:val="0"/>
          <w:bCs w:val="0"/>
          <w:sz w:val="22"/>
          <w:szCs w:val="22"/>
          <w:u w:val="single"/>
          <w:lang w:val="en-US" w:eastAsia="zh-CN"/>
        </w:rPr>
        <w:t xml:space="preserve">产品名称</w:t>
      </w:r>
      <w:r>
        <w:rPr>
          <w:rFonts w:hint="eastAsia" w:ascii="黑体" w:hAnsi="黑体" w:eastAsia="黑体" w:cs="黑体"/>
          <w:b w:val="0"/>
          <w:bCs w:val="0"/>
          <w:sz w:val="22"/>
          <w:szCs w:val="22"/>
          <w:u w:val="single"/>
          <w:lang w:eastAsia="zh-CN"/>
        </w:rPr>
        <w:t xml:space="preserve">）</w:t>
      </w:r>
      <w:r>
        <w:rPr>
          <w:rStyle w:val="770"/>
          <w:rFonts w:hint="eastAsia"/>
          <w:i w:val="0"/>
          <w:sz w:val="22"/>
          <w:szCs w:val="22"/>
          <w:shd w:val="clear" w:color="auto" w:fill="ffffff"/>
          <w:vertAlign w:val="superscript"/>
        </w:rPr>
        <w:t xml:space="preserve">1</w:t>
      </w:r>
      <w:r>
        <w:rPr>
          <w:rFonts w:hint="eastAsia"/>
          <w:sz w:val="22"/>
          <w:szCs w:val="22"/>
          <w:shd w:val="clear" w:color="auto" w:fill="ffffff"/>
        </w:rPr>
        <w:t xml:space="preserve">，生产厂为</w:t>
      </w:r>
      <w:r>
        <w:rPr>
          <w:rFonts w:hint="eastAsia"/>
          <w:sz w:val="22"/>
          <w:szCs w:val="22"/>
          <w:u w:val="single"/>
          <w:shd w:val="clear" w:color="auto" w:fill="ffffff"/>
        </w:rPr>
        <w:t xml:space="preserve">   </w:t>
      </w:r>
      <w:r>
        <w:rPr>
          <w:rStyle w:val="770"/>
          <w:rFonts w:hint="eastAsia" w:ascii="黑体" w:hAnsi="黑体" w:eastAsia="黑体" w:cs="黑体"/>
          <w:b w:val="0"/>
          <w:bCs w:val="0"/>
          <w:i w:val="0"/>
          <w:sz w:val="22"/>
          <w:szCs w:val="22"/>
          <w:u w:val="single"/>
          <w:shd w:val="clear" w:color="auto" w:fill="ffffff"/>
        </w:rPr>
        <w:t xml:space="preserve"> </w:t>
      </w:r>
      <w:r>
        <w:rPr>
          <w:rFonts w:hint="eastAsia" w:ascii="黑体" w:hAnsi="黑体" w:eastAsia="黑体" w:cs="黑体"/>
          <w:b w:val="0"/>
          <w:bCs w:val="0"/>
          <w:sz w:val="22"/>
          <w:szCs w:val="22"/>
          <w:u w:val="single"/>
          <w:lang w:val="en-US" w:eastAsia="zh-CN"/>
        </w:rPr>
        <w:t xml:space="preserve">（厂名）</w:t>
      </w:r>
      <w:r>
        <w:rPr>
          <w:rStyle w:val="770"/>
          <w:rFonts w:hint="eastAsia"/>
          <w:i w:val="0"/>
          <w:sz w:val="22"/>
          <w:szCs w:val="22"/>
          <w:u w:val="single"/>
          <w:shd w:val="clear" w:color="auto" w:fill="ffffff"/>
          <w:vertAlign w:val="superscript"/>
        </w:rPr>
        <w:t xml:space="preserve">2  </w:t>
      </w:r>
      <w:r>
        <w:rPr>
          <w:rStyle w:val="770"/>
          <w:rFonts w:hint="eastAsia"/>
          <w:i w:val="0"/>
          <w:sz w:val="22"/>
          <w:szCs w:val="22"/>
          <w:u w:val="single"/>
          <w:shd w:val="clear" w:color="auto" w:fill="ffffff"/>
          <w:vertAlign w:val="superscript"/>
          <w:lang w:val="en-US" w:eastAsia="zh-CN"/>
        </w:rPr>
        <w:t xml:space="preserve">  </w:t>
      </w:r>
      <w:r>
        <w:rPr>
          <w:rStyle w:val="770"/>
          <w:rFonts w:hint="eastAsia"/>
          <w:i w:val="0"/>
          <w:sz w:val="22"/>
          <w:szCs w:val="22"/>
          <w:u w:val="single"/>
          <w:shd w:val="clear" w:color="auto" w:fill="ffffff"/>
          <w:vertAlign w:val="superscript"/>
        </w:rPr>
        <w:t xml:space="preserve"> </w:t>
      </w:r>
      <w:r>
        <w:rPr>
          <w:rFonts w:hint="eastAsia"/>
          <w:sz w:val="22"/>
          <w:szCs w:val="22"/>
          <w:shd w:val="clear" w:color="auto" w:fill="ffffff"/>
        </w:rPr>
        <w:t xml:space="preserve">，厂址为</w:t>
      </w:r>
      <w:r>
        <w:rPr>
          <w:rFonts w:hint="eastAsia"/>
          <w:sz w:val="22"/>
          <w:szCs w:val="22"/>
          <w:u w:val="single"/>
          <w:shd w:val="clear" w:color="auto" w:fill="ffffff"/>
        </w:rPr>
        <w:t xml:space="preserve">  </w:t>
      </w:r>
      <w:r>
        <w:rPr>
          <w:rFonts w:hint="eastAsia"/>
          <w:b/>
          <w:bCs/>
          <w:sz w:val="22"/>
          <w:szCs w:val="22"/>
          <w:u w:val="single"/>
          <w:shd w:val="clear" w:color="auto" w:fill="ffffff"/>
        </w:rPr>
        <w:t xml:space="preserve"> </w:t>
      </w:r>
      <w:r>
        <w:rPr>
          <w:rFonts w:hint="eastAsia" w:ascii="黑体" w:hAnsi="黑体" w:eastAsia="黑体" w:cs="黑体"/>
          <w:b w:val="0"/>
          <w:bCs w:val="0"/>
          <w:sz w:val="22"/>
          <w:szCs w:val="22"/>
          <w:u w:val="single"/>
          <w:lang w:val="en-US" w:eastAsia="zh-CN"/>
        </w:rPr>
        <w:t xml:space="preserve">（生产厂址） </w:t>
      </w:r>
      <w:r>
        <w:rPr>
          <w:rStyle w:val="770"/>
          <w:rFonts w:hint="eastAsia"/>
          <w:i w:val="0"/>
          <w:sz w:val="22"/>
          <w:szCs w:val="22"/>
          <w:u w:val="single"/>
          <w:shd w:val="clear" w:color="auto" w:fill="ffffff"/>
        </w:rPr>
        <w:t xml:space="preserve">  </w:t>
      </w:r>
      <w:r>
        <w:rPr>
          <w:rFonts w:hint="eastAsia"/>
          <w:sz w:val="22"/>
          <w:szCs w:val="22"/>
          <w:shd w:val="clear" w:color="auto" w:fill="ffffff"/>
        </w:rPr>
        <w:t xml:space="preserve">。</w:t>
      </w:r>
      <w:r>
        <w:rPr>
          <w:rFonts w:hint="eastAsia"/>
          <w:sz w:val="22"/>
          <w:szCs w:val="22"/>
          <w:u w:val="single"/>
          <w:shd w:val="clear" w:color="auto" w:fill="ffffff"/>
        </w:rPr>
        <w:t xml:space="preserve"> </w:t>
      </w:r>
      <w:r>
        <w:rPr>
          <w:rFonts w:hint="eastAsia"/>
          <w:b/>
          <w:bCs/>
          <w:sz w:val="22"/>
          <w:szCs w:val="22"/>
          <w:u w:val="single"/>
        </w:rPr>
        <w:t xml:space="preserve"> / </w:t>
      </w:r>
      <w:r>
        <w:rPr>
          <w:rStyle w:val="770"/>
          <w:rFonts w:hint="eastAsia"/>
          <w:i w:val="0"/>
          <w:sz w:val="22"/>
          <w:szCs w:val="22"/>
          <w:u w:val="single"/>
          <w:shd w:val="clear" w:color="auto" w:fill="ffffff"/>
          <w:vertAlign w:val="superscript"/>
        </w:rPr>
        <w:t xml:space="preserve">1</w:t>
      </w:r>
      <w:r>
        <w:rPr>
          <w:rStyle w:val="770"/>
          <w:rFonts w:hint="eastAsia"/>
          <w:i w:val="0"/>
          <w:sz w:val="22"/>
          <w:szCs w:val="22"/>
          <w:u w:val="single"/>
          <w:shd w:val="clear" w:color="auto" w:fill="ffffff"/>
        </w:rPr>
        <w:t xml:space="preserve"> </w:t>
      </w:r>
      <w:r>
        <w:rPr>
          <w:rFonts w:hint="eastAsia"/>
          <w:sz w:val="22"/>
          <w:szCs w:val="22"/>
          <w:shd w:val="clear" w:color="auto" w:fill="ffffff"/>
        </w:rPr>
        <w:t xml:space="preserve">的中国境内生产的组件成本占比≥</w:t>
      </w:r>
      <w:r>
        <w:rPr>
          <w:rStyle w:val="770"/>
          <w:rFonts w:hint="eastAsia"/>
          <w:i w:val="0"/>
          <w:sz w:val="22"/>
          <w:szCs w:val="22"/>
          <w:u w:val="single"/>
          <w:shd w:val="clear" w:color="auto" w:fill="ffffff"/>
        </w:rPr>
        <w:t xml:space="preserve">  </w:t>
      </w:r>
      <w:r>
        <w:rPr>
          <w:rFonts w:hint="eastAsia"/>
          <w:b/>
          <w:bCs/>
          <w:sz w:val="22"/>
          <w:szCs w:val="22"/>
          <w:u w:val="single"/>
        </w:rPr>
        <w:t xml:space="preserve">/</w:t>
      </w:r>
      <w:r>
        <w:rPr>
          <w:rStyle w:val="770"/>
          <w:rFonts w:hint="eastAsia"/>
          <w:i w:val="0"/>
          <w:sz w:val="22"/>
          <w:szCs w:val="22"/>
          <w:u w:val="single"/>
          <w:shd w:val="clear" w:color="auto" w:fill="ffffff"/>
        </w:rPr>
        <w:t xml:space="preserve"> </w:t>
      </w:r>
      <w:r>
        <w:rPr>
          <w:rStyle w:val="770"/>
          <w:rFonts w:hint="eastAsia"/>
          <w:i w:val="0"/>
          <w:sz w:val="22"/>
          <w:szCs w:val="22"/>
          <w:shd w:val="clear" w:color="auto" w:fill="ffffff"/>
          <w:vertAlign w:val="superscript"/>
        </w:rPr>
        <w:t xml:space="preserve">3</w:t>
      </w:r>
      <w:r>
        <w:rPr>
          <w:rFonts w:hint="eastAsia"/>
          <w:sz w:val="22"/>
          <w:szCs w:val="22"/>
          <w:shd w:val="clear" w:color="auto" w:fill="ffffff"/>
        </w:rPr>
        <w:t xml:space="preserve">。</w:t>
      </w:r>
      <w:r>
        <w:rPr>
          <w:rFonts w:hint="eastAsia"/>
          <w:b/>
          <w:bCs/>
          <w:sz w:val="22"/>
          <w:szCs w:val="22"/>
          <w:u w:val="single"/>
        </w:rPr>
        <w:t xml:space="preserve">   /  </w:t>
      </w:r>
      <w:r>
        <w:rPr>
          <w:rStyle w:val="770"/>
          <w:rFonts w:hint="eastAsia"/>
          <w:i w:val="0"/>
          <w:sz w:val="22"/>
          <w:szCs w:val="22"/>
          <w:shd w:val="clear" w:color="auto" w:fill="ffffff"/>
          <w:vertAlign w:val="superscript"/>
        </w:rPr>
        <w:t xml:space="preserve">1 </w:t>
      </w:r>
      <w:r>
        <w:rPr>
          <w:rFonts w:hint="eastAsia"/>
          <w:sz w:val="22"/>
          <w:szCs w:val="22"/>
          <w:shd w:val="clear" w:color="auto" w:fill="ffffff"/>
        </w:rPr>
        <w:t xml:space="preserve">的</w:t>
      </w:r>
      <w:r>
        <w:rPr>
          <w:rFonts w:hint="eastAsia"/>
          <w:b/>
          <w:bCs/>
          <w:sz w:val="22"/>
          <w:szCs w:val="22"/>
          <w:u w:val="single"/>
        </w:rPr>
        <w:t xml:space="preserve">  / </w:t>
      </w:r>
      <w:r>
        <w:rPr>
          <w:rStyle w:val="770"/>
          <w:rFonts w:hint="eastAsia"/>
          <w:i w:val="0"/>
          <w:sz w:val="22"/>
          <w:szCs w:val="22"/>
          <w:shd w:val="clear" w:color="auto" w:fill="ffffff"/>
          <w:vertAlign w:val="superscript"/>
        </w:rPr>
        <w:t xml:space="preserve">4</w:t>
      </w:r>
      <w:r>
        <w:rPr>
          <w:rFonts w:hint="eastAsia"/>
          <w:sz w:val="22"/>
          <w:szCs w:val="22"/>
          <w:shd w:val="clear" w:color="auto" w:fill="ffffff"/>
        </w:rPr>
        <w:t xml:space="preserve">在中国境内生产。</w:t>
      </w:r>
      <w:r>
        <w:rPr>
          <w:rFonts w:hint="eastAsia"/>
          <w:b/>
          <w:bCs/>
          <w:sz w:val="22"/>
          <w:szCs w:val="22"/>
          <w:u w:val="single"/>
        </w:rPr>
        <w:t xml:space="preserve">  /</w:t>
      </w:r>
      <w:r>
        <w:rPr>
          <w:rFonts w:hint="eastAsia"/>
          <w:b/>
          <w:bCs/>
          <w:sz w:val="22"/>
          <w:szCs w:val="22"/>
          <w:u w:val="single"/>
          <w:lang w:val="en-US" w:eastAsia="zh-CN"/>
        </w:rPr>
        <w:t xml:space="preserve"> </w:t>
      </w:r>
      <w:r>
        <w:rPr>
          <w:rStyle w:val="770"/>
          <w:rFonts w:hint="eastAsia"/>
          <w:i w:val="0"/>
          <w:sz w:val="22"/>
          <w:szCs w:val="22"/>
          <w:shd w:val="clear" w:color="auto" w:fill="ffffff"/>
          <w:vertAlign w:val="superscript"/>
        </w:rPr>
        <w:t xml:space="preserve">1</w:t>
      </w:r>
      <w:r>
        <w:rPr>
          <w:rFonts w:hint="eastAsia"/>
          <w:sz w:val="22"/>
          <w:szCs w:val="22"/>
          <w:shd w:val="clear" w:color="auto" w:fill="ffffff"/>
        </w:rPr>
        <w:t xml:space="preserve">的</w:t>
      </w:r>
      <w:r>
        <w:rPr>
          <w:rFonts w:hint="eastAsia"/>
          <w:b/>
          <w:bCs/>
          <w:sz w:val="22"/>
          <w:szCs w:val="22"/>
          <w:u w:val="single"/>
        </w:rPr>
        <w:t xml:space="preserve">  /</w:t>
      </w:r>
      <w:r>
        <w:rPr>
          <w:rFonts w:hint="eastAsia"/>
          <w:b/>
          <w:bCs/>
          <w:sz w:val="22"/>
          <w:szCs w:val="22"/>
          <w:u w:val="single"/>
          <w:lang w:val="en-US" w:eastAsia="zh-CN"/>
        </w:rPr>
        <w:t xml:space="preserve"> </w:t>
      </w:r>
      <w:r>
        <w:rPr>
          <w:rStyle w:val="770"/>
          <w:rFonts w:hint="eastAsia"/>
          <w:i w:val="0"/>
          <w:sz w:val="22"/>
          <w:szCs w:val="22"/>
          <w:shd w:val="clear" w:color="auto" w:fill="ffffff"/>
          <w:vertAlign w:val="superscript"/>
        </w:rPr>
        <w:t xml:space="preserve">5</w:t>
      </w:r>
      <w:r>
        <w:rPr>
          <w:rFonts w:hint="eastAsia"/>
          <w:sz w:val="22"/>
          <w:szCs w:val="22"/>
          <w:shd w:val="clear" w:color="auto" w:fill="ffffff"/>
        </w:rPr>
        <w:t xml:space="preserve">在中国境内完成。</w:t>
      </w:r>
      <w:r>
        <w:rPr>
          <w:sz w:val="22"/>
          <w:szCs w:val="22"/>
          <w:shd w:val="clear" w:color="auto" w:fill="ffffff"/>
        </w:rPr>
      </w:r>
      <w:r/>
    </w:p>
    <w:p>
      <w:pPr>
        <w:pStyle w:val="765"/>
        <w:ind w:firstLine="440"/>
        <w:spacing w:before="0" w:beforeAutospacing="0" w:after="0" w:afterAutospacing="0" w:line="520" w:lineRule="exact"/>
        <w:rPr>
          <w:rFonts w:hint="eastAsia"/>
          <w:sz w:val="22"/>
          <w:szCs w:val="22"/>
          <w:shd w:val="clear" w:color="auto" w:fill="ffffff"/>
        </w:rPr>
      </w:pPr>
      <w:r>
        <w:rPr>
          <w:rFonts w:hint="eastAsia" w:ascii="黑体" w:hAnsi="黑体" w:eastAsia="黑体" w:cs="黑体"/>
          <w:b w:val="0"/>
          <w:bCs w:val="0"/>
          <w:sz w:val="22"/>
          <w:szCs w:val="22"/>
          <w:u w:val="none"/>
          <w:lang w:val="en-US" w:eastAsia="zh-CN"/>
        </w:rPr>
        <w:t xml:space="preserve">2.</w:t>
      </w:r>
      <w:r>
        <w:rPr>
          <w:rFonts w:hint="eastAsia" w:ascii="黑体" w:hAnsi="黑体" w:eastAsia="黑体" w:cs="黑体"/>
          <w:b w:val="0"/>
          <w:bCs w:val="0"/>
          <w:sz w:val="22"/>
          <w:szCs w:val="22"/>
          <w:u w:val="single"/>
          <w:lang w:eastAsia="zh-CN"/>
        </w:rPr>
        <w:t xml:space="preserve">（</w:t>
      </w:r>
      <w:r>
        <w:rPr>
          <w:rFonts w:hint="eastAsia" w:ascii="黑体" w:hAnsi="黑体" w:eastAsia="黑体" w:cs="黑体"/>
          <w:b w:val="0"/>
          <w:bCs w:val="0"/>
          <w:sz w:val="22"/>
          <w:szCs w:val="22"/>
          <w:u w:val="single"/>
          <w:lang w:val="en-US" w:eastAsia="zh-CN"/>
        </w:rPr>
        <w:t xml:space="preserve">产品名称</w:t>
      </w:r>
      <w:r>
        <w:rPr>
          <w:rFonts w:hint="eastAsia" w:ascii="黑体" w:hAnsi="黑体" w:eastAsia="黑体" w:cs="黑体"/>
          <w:b w:val="0"/>
          <w:bCs w:val="0"/>
          <w:sz w:val="22"/>
          <w:szCs w:val="22"/>
          <w:u w:val="single"/>
          <w:lang w:eastAsia="zh-CN"/>
        </w:rPr>
        <w:t xml:space="preserve">）</w:t>
      </w:r>
      <w:r>
        <w:rPr>
          <w:rStyle w:val="770"/>
          <w:rFonts w:hint="eastAsia"/>
          <w:i w:val="0"/>
          <w:sz w:val="22"/>
          <w:szCs w:val="22"/>
          <w:shd w:val="clear" w:color="auto" w:fill="ffffff"/>
          <w:vertAlign w:val="superscript"/>
        </w:rPr>
        <w:t xml:space="preserve">1</w:t>
      </w:r>
      <w:r>
        <w:rPr>
          <w:rFonts w:hint="eastAsia"/>
          <w:sz w:val="22"/>
          <w:szCs w:val="22"/>
          <w:shd w:val="clear" w:color="auto" w:fill="ffffff"/>
        </w:rPr>
        <w:t xml:space="preserve">，生产厂为</w:t>
      </w:r>
      <w:r>
        <w:rPr>
          <w:rFonts w:hint="eastAsia"/>
          <w:sz w:val="22"/>
          <w:szCs w:val="22"/>
          <w:u w:val="single"/>
          <w:shd w:val="clear" w:color="auto" w:fill="ffffff"/>
        </w:rPr>
        <w:t xml:space="preserve">   </w:t>
      </w:r>
      <w:r>
        <w:rPr>
          <w:rStyle w:val="770"/>
          <w:rFonts w:hint="eastAsia" w:ascii="黑体" w:hAnsi="黑体" w:eastAsia="黑体" w:cs="黑体"/>
          <w:b w:val="0"/>
          <w:bCs w:val="0"/>
          <w:i w:val="0"/>
          <w:sz w:val="22"/>
          <w:szCs w:val="22"/>
          <w:u w:val="single"/>
          <w:shd w:val="clear" w:color="auto" w:fill="ffffff"/>
        </w:rPr>
        <w:t xml:space="preserve"> </w:t>
      </w:r>
      <w:r>
        <w:rPr>
          <w:rFonts w:hint="eastAsia" w:ascii="黑体" w:hAnsi="黑体" w:eastAsia="黑体" w:cs="黑体"/>
          <w:b w:val="0"/>
          <w:bCs w:val="0"/>
          <w:sz w:val="22"/>
          <w:szCs w:val="22"/>
          <w:u w:val="single"/>
          <w:lang w:val="en-US" w:eastAsia="zh-CN"/>
        </w:rPr>
        <w:t xml:space="preserve">（厂名）</w:t>
      </w:r>
      <w:r>
        <w:rPr>
          <w:rStyle w:val="770"/>
          <w:rFonts w:hint="eastAsia"/>
          <w:i w:val="0"/>
          <w:sz w:val="22"/>
          <w:szCs w:val="22"/>
          <w:u w:val="single"/>
          <w:shd w:val="clear" w:color="auto" w:fill="ffffff"/>
          <w:vertAlign w:val="superscript"/>
        </w:rPr>
        <w:t xml:space="preserve">2  </w:t>
      </w:r>
      <w:r>
        <w:rPr>
          <w:rStyle w:val="770"/>
          <w:rFonts w:hint="eastAsia"/>
          <w:i w:val="0"/>
          <w:sz w:val="22"/>
          <w:szCs w:val="22"/>
          <w:u w:val="single"/>
          <w:shd w:val="clear" w:color="auto" w:fill="ffffff"/>
          <w:vertAlign w:val="superscript"/>
          <w:lang w:val="en-US" w:eastAsia="zh-CN"/>
        </w:rPr>
        <w:t xml:space="preserve">  </w:t>
      </w:r>
      <w:r>
        <w:rPr>
          <w:rStyle w:val="770"/>
          <w:rFonts w:hint="eastAsia"/>
          <w:i w:val="0"/>
          <w:sz w:val="22"/>
          <w:szCs w:val="22"/>
          <w:u w:val="single"/>
          <w:shd w:val="clear" w:color="auto" w:fill="ffffff"/>
          <w:vertAlign w:val="superscript"/>
        </w:rPr>
        <w:t xml:space="preserve"> </w:t>
      </w:r>
      <w:r>
        <w:rPr>
          <w:rFonts w:hint="eastAsia"/>
          <w:sz w:val="22"/>
          <w:szCs w:val="22"/>
          <w:shd w:val="clear" w:color="auto" w:fill="ffffff"/>
        </w:rPr>
        <w:t xml:space="preserve">，厂址为</w:t>
      </w:r>
      <w:r>
        <w:rPr>
          <w:rFonts w:hint="eastAsia"/>
          <w:sz w:val="22"/>
          <w:szCs w:val="22"/>
          <w:u w:val="single"/>
          <w:shd w:val="clear" w:color="auto" w:fill="ffffff"/>
        </w:rPr>
        <w:t xml:space="preserve">  </w:t>
      </w:r>
      <w:r>
        <w:rPr>
          <w:rFonts w:hint="eastAsia"/>
          <w:b/>
          <w:bCs/>
          <w:sz w:val="22"/>
          <w:szCs w:val="22"/>
          <w:u w:val="single"/>
          <w:shd w:val="clear" w:color="auto" w:fill="ffffff"/>
        </w:rPr>
        <w:t xml:space="preserve"> </w:t>
      </w:r>
      <w:r>
        <w:rPr>
          <w:rFonts w:hint="eastAsia" w:ascii="黑体" w:hAnsi="黑体" w:eastAsia="黑体" w:cs="黑体"/>
          <w:b w:val="0"/>
          <w:bCs w:val="0"/>
          <w:sz w:val="22"/>
          <w:szCs w:val="22"/>
          <w:u w:val="single"/>
          <w:lang w:val="en-US" w:eastAsia="zh-CN"/>
        </w:rPr>
        <w:t xml:space="preserve">（生产厂址） </w:t>
      </w:r>
      <w:r>
        <w:rPr>
          <w:rStyle w:val="770"/>
          <w:rFonts w:hint="eastAsia"/>
          <w:i w:val="0"/>
          <w:sz w:val="22"/>
          <w:szCs w:val="22"/>
          <w:u w:val="single"/>
          <w:shd w:val="clear" w:color="auto" w:fill="ffffff"/>
        </w:rPr>
        <w:t xml:space="preserve">  </w:t>
      </w:r>
      <w:r>
        <w:rPr>
          <w:rFonts w:hint="eastAsia"/>
          <w:sz w:val="22"/>
          <w:szCs w:val="22"/>
          <w:shd w:val="clear" w:color="auto" w:fill="ffffff"/>
        </w:rPr>
        <w:t xml:space="preserve">。</w:t>
      </w:r>
      <w:r>
        <w:rPr>
          <w:rFonts w:hint="eastAsia"/>
          <w:sz w:val="22"/>
          <w:szCs w:val="22"/>
          <w:u w:val="single"/>
          <w:shd w:val="clear" w:color="auto" w:fill="ffffff"/>
        </w:rPr>
        <w:t xml:space="preserve"> </w:t>
      </w:r>
      <w:r>
        <w:rPr>
          <w:rFonts w:hint="eastAsia"/>
          <w:b/>
          <w:bCs/>
          <w:sz w:val="22"/>
          <w:szCs w:val="22"/>
          <w:u w:val="single"/>
        </w:rPr>
        <w:t xml:space="preserve"> / </w:t>
      </w:r>
      <w:r>
        <w:rPr>
          <w:rStyle w:val="770"/>
          <w:rFonts w:hint="eastAsia"/>
          <w:i w:val="0"/>
          <w:sz w:val="22"/>
          <w:szCs w:val="22"/>
          <w:u w:val="single"/>
          <w:shd w:val="clear" w:color="auto" w:fill="ffffff"/>
          <w:vertAlign w:val="superscript"/>
        </w:rPr>
        <w:t xml:space="preserve">1</w:t>
      </w:r>
      <w:r>
        <w:rPr>
          <w:rStyle w:val="770"/>
          <w:rFonts w:hint="eastAsia"/>
          <w:i w:val="0"/>
          <w:sz w:val="22"/>
          <w:szCs w:val="22"/>
          <w:u w:val="single"/>
          <w:shd w:val="clear" w:color="auto" w:fill="ffffff"/>
        </w:rPr>
        <w:t xml:space="preserve"> </w:t>
      </w:r>
      <w:r>
        <w:rPr>
          <w:rFonts w:hint="eastAsia"/>
          <w:sz w:val="22"/>
          <w:szCs w:val="22"/>
          <w:shd w:val="clear" w:color="auto" w:fill="ffffff"/>
        </w:rPr>
        <w:t xml:space="preserve">的中国境内生产的组件成本占比≥</w:t>
      </w:r>
      <w:r>
        <w:rPr>
          <w:rStyle w:val="770"/>
          <w:rFonts w:hint="eastAsia"/>
          <w:i w:val="0"/>
          <w:sz w:val="22"/>
          <w:szCs w:val="22"/>
          <w:u w:val="single"/>
          <w:shd w:val="clear" w:color="auto" w:fill="ffffff"/>
        </w:rPr>
        <w:t xml:space="preserve">  </w:t>
      </w:r>
      <w:r>
        <w:rPr>
          <w:rFonts w:hint="eastAsia"/>
          <w:b/>
          <w:bCs/>
          <w:sz w:val="22"/>
          <w:szCs w:val="22"/>
          <w:u w:val="single"/>
        </w:rPr>
        <w:t xml:space="preserve">/</w:t>
      </w:r>
      <w:r>
        <w:rPr>
          <w:rStyle w:val="770"/>
          <w:rFonts w:hint="eastAsia"/>
          <w:i w:val="0"/>
          <w:sz w:val="22"/>
          <w:szCs w:val="22"/>
          <w:u w:val="single"/>
          <w:shd w:val="clear" w:color="auto" w:fill="ffffff"/>
        </w:rPr>
        <w:t xml:space="preserve"> </w:t>
      </w:r>
      <w:r>
        <w:rPr>
          <w:rStyle w:val="770"/>
          <w:rFonts w:hint="eastAsia"/>
          <w:i w:val="0"/>
          <w:sz w:val="22"/>
          <w:szCs w:val="22"/>
          <w:shd w:val="clear" w:color="auto" w:fill="ffffff"/>
          <w:vertAlign w:val="superscript"/>
        </w:rPr>
        <w:t xml:space="preserve">3</w:t>
      </w:r>
      <w:r>
        <w:rPr>
          <w:rFonts w:hint="eastAsia"/>
          <w:sz w:val="22"/>
          <w:szCs w:val="22"/>
          <w:shd w:val="clear" w:color="auto" w:fill="ffffff"/>
        </w:rPr>
        <w:t xml:space="preserve">。</w:t>
      </w:r>
      <w:r>
        <w:rPr>
          <w:rFonts w:hint="eastAsia"/>
          <w:b/>
          <w:bCs/>
          <w:sz w:val="22"/>
          <w:szCs w:val="22"/>
          <w:u w:val="single"/>
        </w:rPr>
        <w:t xml:space="preserve">   /  </w:t>
      </w:r>
      <w:r>
        <w:rPr>
          <w:rStyle w:val="770"/>
          <w:rFonts w:hint="eastAsia"/>
          <w:i w:val="0"/>
          <w:sz w:val="22"/>
          <w:szCs w:val="22"/>
          <w:shd w:val="clear" w:color="auto" w:fill="ffffff"/>
          <w:vertAlign w:val="superscript"/>
        </w:rPr>
        <w:t xml:space="preserve">1 </w:t>
      </w:r>
      <w:r>
        <w:rPr>
          <w:rFonts w:hint="eastAsia"/>
          <w:sz w:val="22"/>
          <w:szCs w:val="22"/>
          <w:shd w:val="clear" w:color="auto" w:fill="ffffff"/>
        </w:rPr>
        <w:t xml:space="preserve">的</w:t>
      </w:r>
      <w:r>
        <w:rPr>
          <w:rFonts w:hint="eastAsia"/>
          <w:b/>
          <w:bCs/>
          <w:sz w:val="22"/>
          <w:szCs w:val="22"/>
          <w:u w:val="single"/>
        </w:rPr>
        <w:t xml:space="preserve">  / </w:t>
      </w:r>
      <w:r>
        <w:rPr>
          <w:rStyle w:val="770"/>
          <w:rFonts w:hint="eastAsia"/>
          <w:i w:val="0"/>
          <w:sz w:val="22"/>
          <w:szCs w:val="22"/>
          <w:shd w:val="clear" w:color="auto" w:fill="ffffff"/>
          <w:vertAlign w:val="superscript"/>
        </w:rPr>
        <w:t xml:space="preserve">4</w:t>
      </w:r>
      <w:r>
        <w:rPr>
          <w:rFonts w:hint="eastAsia"/>
          <w:sz w:val="22"/>
          <w:szCs w:val="22"/>
          <w:shd w:val="clear" w:color="auto" w:fill="ffffff"/>
        </w:rPr>
        <w:t xml:space="preserve">在中国境内生产。</w:t>
      </w:r>
      <w:r>
        <w:rPr>
          <w:rFonts w:hint="eastAsia"/>
          <w:b/>
          <w:bCs/>
          <w:sz w:val="22"/>
          <w:szCs w:val="22"/>
          <w:u w:val="single"/>
        </w:rPr>
        <w:t xml:space="preserve">  /</w:t>
      </w:r>
      <w:r>
        <w:rPr>
          <w:rFonts w:hint="eastAsia"/>
          <w:b/>
          <w:bCs/>
          <w:sz w:val="22"/>
          <w:szCs w:val="22"/>
          <w:u w:val="single"/>
          <w:lang w:val="en-US" w:eastAsia="zh-CN"/>
        </w:rPr>
        <w:t xml:space="preserve"> </w:t>
      </w:r>
      <w:r>
        <w:rPr>
          <w:rStyle w:val="770"/>
          <w:rFonts w:hint="eastAsia"/>
          <w:i w:val="0"/>
          <w:sz w:val="22"/>
          <w:szCs w:val="22"/>
          <w:shd w:val="clear" w:color="auto" w:fill="ffffff"/>
          <w:vertAlign w:val="superscript"/>
        </w:rPr>
        <w:t xml:space="preserve">1</w:t>
      </w:r>
      <w:r>
        <w:rPr>
          <w:rFonts w:hint="eastAsia"/>
          <w:sz w:val="22"/>
          <w:szCs w:val="22"/>
          <w:shd w:val="clear" w:color="auto" w:fill="ffffff"/>
        </w:rPr>
        <w:t xml:space="preserve">的</w:t>
      </w:r>
      <w:r>
        <w:rPr>
          <w:rFonts w:hint="eastAsia"/>
          <w:b/>
          <w:bCs/>
          <w:sz w:val="22"/>
          <w:szCs w:val="22"/>
          <w:u w:val="single"/>
        </w:rPr>
        <w:t xml:space="preserve">  /</w:t>
      </w:r>
      <w:r>
        <w:rPr>
          <w:rFonts w:hint="eastAsia"/>
          <w:b/>
          <w:bCs/>
          <w:sz w:val="22"/>
          <w:szCs w:val="22"/>
          <w:u w:val="single"/>
          <w:lang w:val="en-US" w:eastAsia="zh-CN"/>
        </w:rPr>
        <w:t xml:space="preserve"> </w:t>
      </w:r>
      <w:r>
        <w:rPr>
          <w:rStyle w:val="770"/>
          <w:rFonts w:hint="eastAsia"/>
          <w:i w:val="0"/>
          <w:sz w:val="22"/>
          <w:szCs w:val="22"/>
          <w:shd w:val="clear" w:color="auto" w:fill="ffffff"/>
          <w:vertAlign w:val="superscript"/>
        </w:rPr>
        <w:t xml:space="preserve">5</w:t>
      </w:r>
      <w:r>
        <w:rPr>
          <w:rFonts w:hint="eastAsia"/>
          <w:sz w:val="22"/>
          <w:szCs w:val="22"/>
          <w:shd w:val="clear" w:color="auto" w:fill="ffffff"/>
        </w:rPr>
        <w:t xml:space="preserve">在中国境内完成。</w:t>
      </w:r>
      <w:r>
        <w:rPr>
          <w:rFonts w:hint="eastAsia"/>
          <w:sz w:val="22"/>
          <w:szCs w:val="22"/>
          <w:shd w:val="clear" w:color="auto" w:fill="ffffff"/>
        </w:rPr>
      </w:r>
      <w:r/>
    </w:p>
    <w:p>
      <w:pPr>
        <w:pStyle w:val="765"/>
        <w:ind w:firstLine="440"/>
        <w:spacing w:before="0" w:beforeAutospacing="0" w:after="0" w:afterAutospacing="0" w:line="520" w:lineRule="exact"/>
        <w:rPr>
          <w:rFonts w:eastAsia="宋体"/>
          <w:sz w:val="22"/>
          <w:szCs w:val="22"/>
          <w:shd w:val="clear" w:color="auto" w:fill="ffffff"/>
          <w:lang w:val="en-US" w:eastAsia="zh-CN"/>
        </w:rPr>
      </w:pPr>
      <w:r>
        <w:rPr>
          <w:rFonts w:hint="eastAsia"/>
          <w:sz w:val="22"/>
          <w:szCs w:val="22"/>
          <w:shd w:val="clear" w:color="auto" w:fill="ffffff"/>
          <w:lang w:val="en-US" w:eastAsia="zh-CN"/>
        </w:rPr>
        <w:t xml:space="preserve">……</w:t>
      </w:r>
      <w:r>
        <w:rPr>
          <w:rFonts w:eastAsia="宋体"/>
          <w:sz w:val="22"/>
          <w:szCs w:val="22"/>
          <w:shd w:val="clear" w:color="auto" w:fill="ffffff"/>
          <w:lang w:val="en-US" w:eastAsia="zh-CN"/>
        </w:rPr>
      </w:r>
      <w:r/>
    </w:p>
    <w:p>
      <w:pPr>
        <w:pStyle w:val="765"/>
        <w:ind w:firstLine="396"/>
        <w:spacing w:before="0" w:beforeAutospacing="0" w:after="0" w:afterAutospacing="0" w:line="520" w:lineRule="exact"/>
        <w:rPr>
          <w:sz w:val="22"/>
          <w:szCs w:val="22"/>
        </w:rPr>
      </w:pPr>
      <w:r>
        <w:rPr>
          <w:rFonts w:hint="eastAsia"/>
          <w:sz w:val="22"/>
          <w:szCs w:val="22"/>
          <w:shd w:val="clear" w:color="auto" w:fill="ffffff"/>
        </w:rPr>
        <w:t xml:space="preserve">本公司（单位）对上述声明内容的真实性负责。如有虚假，愿承担相应法律责任。</w:t>
      </w:r>
      <w:r>
        <w:rPr>
          <w:sz w:val="22"/>
          <w:szCs w:val="22"/>
        </w:rPr>
      </w:r>
      <w:r/>
    </w:p>
    <w:p>
      <w:pPr>
        <w:pStyle w:val="765"/>
        <w:ind w:right="480" w:firstLine="3720"/>
        <w:spacing w:before="30" w:beforeAutospacing="0" w:after="30" w:afterAutospacing="0" w:line="0" w:lineRule="atLeast"/>
        <w:rPr>
          <w:sz w:val="22"/>
          <w:szCs w:val="22"/>
          <w:shd w:val="clear" w:color="auto" w:fill="ffffff"/>
        </w:rPr>
      </w:pPr>
      <w:r>
        <w:rPr>
          <w:sz w:val="22"/>
          <w:szCs w:val="22"/>
          <w:shd w:val="clear" w:color="auto" w:fill="ffffff"/>
        </w:rPr>
      </w:r>
      <w:r/>
    </w:p>
    <w:p>
      <w:pPr>
        <w:pStyle w:val="765"/>
        <w:ind w:right="480" w:firstLine="3720"/>
        <w:spacing w:before="30" w:beforeAutospacing="0" w:after="30" w:afterAutospacing="0" w:line="0" w:lineRule="atLeast"/>
        <w:rPr>
          <w:sz w:val="22"/>
          <w:szCs w:val="22"/>
          <w:shd w:val="clear" w:color="auto" w:fill="ffffff"/>
        </w:rPr>
      </w:pPr>
      <w:r>
        <w:rPr>
          <w:sz w:val="22"/>
          <w:szCs w:val="22"/>
          <w:shd w:val="clear" w:color="auto" w:fill="ffffff"/>
        </w:rPr>
      </w:r>
      <w:r/>
    </w:p>
    <w:p>
      <w:pPr>
        <w:pStyle w:val="765"/>
        <w:ind w:right="480" w:firstLine="3720"/>
        <w:spacing w:before="30" w:beforeAutospacing="0" w:after="30" w:afterAutospacing="0" w:line="0" w:lineRule="atLeast"/>
        <w:rPr>
          <w:sz w:val="22"/>
          <w:szCs w:val="22"/>
          <w:shd w:val="clear" w:color="auto" w:fill="ffffff"/>
        </w:rPr>
      </w:pPr>
      <w:r>
        <w:rPr>
          <w:sz w:val="22"/>
          <w:szCs w:val="22"/>
          <w:shd w:val="clear" w:color="auto" w:fill="ffffff"/>
        </w:rPr>
      </w:r>
      <w:r/>
    </w:p>
    <w:p>
      <w:pPr>
        <w:pStyle w:val="765"/>
        <w:ind w:right="480" w:firstLine="4330"/>
        <w:spacing w:before="30" w:beforeAutospacing="0" w:after="30" w:afterAutospacing="0" w:line="0" w:lineRule="atLeast"/>
        <w:rPr>
          <w:sz w:val="22"/>
          <w:szCs w:val="22"/>
        </w:rPr>
      </w:pPr>
      <w:r>
        <w:rPr>
          <w:rFonts w:hint="eastAsia"/>
          <w:sz w:val="22"/>
          <w:szCs w:val="22"/>
          <w:shd w:val="clear" w:color="auto" w:fill="ffffff"/>
        </w:rPr>
        <w:t xml:space="preserve">公司（单位）名称（电子签章）：</w:t>
      </w:r>
      <w:r>
        <w:rPr>
          <w:sz w:val="22"/>
          <w:szCs w:val="22"/>
        </w:rPr>
      </w:r>
      <w:r/>
    </w:p>
    <w:p>
      <w:pPr>
        <w:pStyle w:val="765"/>
        <w:jc w:val="right"/>
        <w:spacing w:before="30" w:beforeAutospacing="0" w:after="30" w:afterAutospacing="0" w:line="0" w:lineRule="atLeast"/>
        <w:rPr>
          <w:sz w:val="22"/>
          <w:szCs w:val="22"/>
          <w:shd w:val="clear" w:color="auto" w:fill="ffffff"/>
        </w:rPr>
      </w:pPr>
      <w:r>
        <w:rPr>
          <w:sz w:val="22"/>
          <w:szCs w:val="22"/>
          <w:shd w:val="clear" w:color="auto" w:fill="ffffff"/>
        </w:rPr>
      </w:r>
      <w:r/>
    </w:p>
    <w:p>
      <w:pPr>
        <w:pStyle w:val="765"/>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hint="eastAsia"/>
          <w:sz w:val="22"/>
          <w:szCs w:val="22"/>
          <w:shd w:val="clear" w:color="auto" w:fill="ffffff"/>
        </w:rPr>
        <w:t xml:space="preserve">                                      日期：    年    月    日</w:t>
      </w:r>
      <w:r>
        <w:rPr>
          <w:rFonts w:ascii="方正魏碑_GBK" w:hAnsi="方正魏碑_GBK" w:eastAsia="方正魏碑_GBK" w:cs="方正魏碑_GBK"/>
          <w:color w:val="ff0000"/>
          <w:shd w:val="clear" w:color="auto" w:fill="ffffff"/>
        </w:rPr>
      </w:r>
      <w:r/>
    </w:p>
    <w:p>
      <w:pPr>
        <w:pStyle w:val="765"/>
        <w:jc w:val="center"/>
        <w:spacing w:before="30" w:beforeAutospacing="0" w:after="30" w:afterAutospacing="0" w:line="0" w:lineRule="atLeas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765"/>
        <w:jc w:val="center"/>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tbl>
      <w:tblPr>
        <w:tblStyle w:val="768"/>
        <w:tblpPr w:horzAnchor="page" w:tblpX="1667" w:vertAnchor="text" w:tblpY="176" w:leftFromText="180" w:topFromText="0" w:rightFromText="180" w:bottomFromText="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6"/>
      </w:tblGrid>
      <w:tr>
        <w:trPr/>
        <w:tc>
          <w:tcPr>
            <w:tcW w:w="9026" w:type="dxa"/>
            <w:vAlign w:val="top"/>
            <w:textDirection w:val="lrTb"/>
            <w:noWrap w:val="false"/>
          </w:tcPr>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1.产品如有型号，请在“产品名称”栏一并填写。</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2.生产厂名与厂址应与生产厂营业执照载明的相关信息保持一致。</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3.该产品的中国境内生产的组件成本占比相关要求实施前，“规定比例”栏可不填。</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4.该产品的关键组件要求实施前，“关键组件”栏可不填。</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5.该产品的关键工序要求实施前，“关键工序”栏可不填。</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rPr>
              <w:t xml:space="preserve">6.用 </w:t>
            </w:r>
            <w:r>
              <w:rPr>
                <w:rFonts w:hint="eastAsia" w:ascii="黑体" w:hAnsi="黑体" w:eastAsia="黑体" w:cs="黑体"/>
                <w:sz w:val="18"/>
                <w:szCs w:val="18"/>
                <w:shd w:val="clear" w:color="auto" w:fill="ffffff"/>
                <w:lang w:eastAsia="zh-CN"/>
              </w:rPr>
              <w:t xml:space="preserve">“</w:t>
            </w:r>
            <w:r>
              <w:rPr>
                <w:rFonts w:hint="eastAsia" w:ascii="黑体" w:hAnsi="黑体" w:eastAsia="黑体" w:cs="黑体"/>
                <w:sz w:val="18"/>
                <w:szCs w:val="18"/>
                <w:u w:val="single"/>
                <w:shd w:val="clear" w:color="auto" w:fill="ffffff"/>
              </w:rPr>
              <w:t xml:space="preserve"> /</w:t>
            </w:r>
            <w:r>
              <w:rPr>
                <w:rFonts w:hint="eastAsia" w:ascii="黑体" w:hAnsi="黑体" w:eastAsia="黑体" w:cs="黑体"/>
                <w:sz w:val="18"/>
                <w:szCs w:val="18"/>
                <w:shd w:val="clear" w:color="auto" w:fill="ffffff"/>
                <w:lang w:eastAsia="zh-CN"/>
              </w:rPr>
              <w:t xml:space="preserve">”</w:t>
            </w:r>
            <w:r>
              <w:rPr>
                <w:rFonts w:hint="eastAsia" w:ascii="黑体" w:hAnsi="黑体" w:eastAsia="黑体" w:cs="黑体"/>
                <w:sz w:val="18"/>
                <w:szCs w:val="18"/>
                <w:shd w:val="clear" w:color="auto" w:fill="ffffff"/>
              </w:rPr>
              <w:t xml:space="preserve">划除的地方无需填写。</w:t>
            </w:r>
            <w:r>
              <w:rPr>
                <w:rFonts w:ascii="黑体" w:hAnsi="黑体" w:eastAsia="黑体" w:cs="黑体"/>
                <w:sz w:val="18"/>
                <w:szCs w:val="18"/>
                <w:shd w:val="clear" w:color="auto" w:fill="ffffff"/>
              </w:rPr>
            </w:r>
            <w:r/>
          </w:p>
          <w:p>
            <w:pPr>
              <w:pStyle w:val="765"/>
              <w:spacing w:before="30" w:beforeAutospacing="0" w:after="30" w:afterAutospacing="0" w:line="240" w:lineRule="atLeast"/>
              <w:rPr>
                <w:rFonts w:hint="eastAsia" w:ascii="黑体" w:hAnsi="黑体" w:eastAsia="黑体" w:cs="黑体"/>
                <w:b/>
                <w:bCs/>
                <w:sz w:val="18"/>
                <w:szCs w:val="18"/>
                <w:shd w:val="clear" w:color="auto" w:fill="ffffff"/>
                <w:lang w:val="en-US" w:eastAsia="zh-CN"/>
              </w:rPr>
              <w:framePr w:vAnchor="text" w:hAnchor="page" w:x="1667" w:y="176"/>
            </w:pPr>
            <w:r>
              <w:rPr>
                <w:rFonts w:hint="eastAsia" w:ascii="黑体" w:hAnsi="黑体" w:eastAsia="黑体" w:cs="黑体"/>
                <w:sz w:val="18"/>
                <w:szCs w:val="18"/>
                <w:shd w:val="clear" w:color="auto" w:fill="ffffff"/>
              </w:rPr>
              <w:t xml:space="preserve">7</w:t>
            </w:r>
            <w:r>
              <w:rPr>
                <w:rFonts w:hint="eastAsia" w:ascii="黑体" w:hAnsi="黑体" w:eastAsia="黑体" w:cs="黑体"/>
                <w:b/>
                <w:bCs/>
                <w:sz w:val="18"/>
                <w:szCs w:val="18"/>
                <w:shd w:val="clear" w:color="auto" w:fill="ffffff"/>
                <w:lang w:val="en-US" w:eastAsia="zh-CN"/>
              </w:rPr>
              <w:t xml:space="preserve">本声明函仅需填写《适用本国产品采购政策的产品一览表》中的本国产品，非适用本国产品采购政策的产品和非本国产品，不列入本声明函。</w:t>
            </w:r>
            <w:r>
              <w:rPr>
                <w:rFonts w:hint="eastAsia" w:ascii="黑体" w:hAnsi="黑体" w:eastAsia="黑体" w:cs="黑体"/>
                <w:b/>
                <w:bCs/>
                <w:sz w:val="18"/>
                <w:szCs w:val="18"/>
                <w:shd w:val="clear" w:color="auto" w:fill="ffffff"/>
                <w:lang w:val="en-US" w:eastAsia="zh-CN"/>
              </w:rPr>
            </w:r>
            <w:r/>
          </w:p>
          <w:p>
            <w:pPr>
              <w:pStyle w:val="765"/>
              <w:spacing w:before="30" w:beforeAutospacing="0" w:after="30" w:afterAutospacing="0" w:line="240" w:lineRule="atLeast"/>
              <w:rPr>
                <w:rFonts w:hint="eastAsia"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lang w:val="en-US" w:eastAsia="zh-CN"/>
              </w:rPr>
              <w:t xml:space="preserve">8</w:t>
            </w:r>
            <w:r>
              <w:rPr>
                <w:rFonts w:hint="eastAsia" w:ascii="黑体" w:hAnsi="黑体" w:eastAsia="黑体" w:cs="黑体"/>
                <w:sz w:val="18"/>
                <w:szCs w:val="18"/>
                <w:shd w:val="clear" w:color="auto" w:fill="ffffff"/>
              </w:rPr>
              <w:t xml:space="preserve">.产品名称(型号)、生产厂、厂址是必填项，任意一项未填写的视为该项产品不符合本国产品标准，不享受本国产品价格评审优惠。</w:t>
            </w:r>
            <w:r>
              <w:rPr>
                <w:rFonts w:hint="eastAsia" w:ascii="黑体" w:hAnsi="黑体" w:eastAsia="黑体" w:cs="黑体"/>
                <w:sz w:val="18"/>
                <w:szCs w:val="18"/>
                <w:shd w:val="clear" w:color="auto" w:fill="ffffff"/>
              </w:rPr>
            </w:r>
            <w:r/>
          </w:p>
          <w:p>
            <w:pPr>
              <w:pStyle w:val="765"/>
              <w:spacing w:before="30" w:beforeAutospacing="0" w:after="30" w:afterAutospacing="0" w:line="240" w:lineRule="atLeast"/>
              <w:rPr>
                <w:rFonts w:ascii="黑体" w:hAnsi="黑体" w:eastAsia="黑体" w:cs="黑体"/>
                <w:sz w:val="18"/>
                <w:szCs w:val="18"/>
                <w:shd w:val="clear" w:color="auto" w:fill="ffffff"/>
              </w:rPr>
              <w:framePr w:vAnchor="text" w:hAnchor="page" w:x="1667" w:y="176"/>
            </w:pPr>
            <w:r>
              <w:rPr>
                <w:rFonts w:hint="eastAsia" w:ascii="黑体" w:hAnsi="黑体" w:eastAsia="黑体" w:cs="黑体"/>
                <w:sz w:val="18"/>
                <w:szCs w:val="18"/>
                <w:shd w:val="clear" w:color="auto" w:fill="ffffff"/>
                <w:lang w:val="en-US" w:eastAsia="zh-CN"/>
              </w:rPr>
              <w:t xml:space="preserve">9.</w:t>
            </w:r>
            <w:r>
              <w:rPr>
                <w:rFonts w:hint="eastAsia" w:ascii="黑体" w:hAnsi="黑体" w:eastAsia="黑体" w:cs="黑体"/>
                <w:sz w:val="18"/>
                <w:szCs w:val="18"/>
                <w:shd w:val="clear" w:color="auto" w:fill="ffffff"/>
              </w:rPr>
              <w:t xml:space="preserve">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黑体" w:hAnsi="黑体" w:eastAsia="黑体" w:cs="黑体"/>
                <w:sz w:val="18"/>
                <w:szCs w:val="18"/>
                <w:shd w:val="clear" w:color="auto" w:fill="ffffff"/>
              </w:rPr>
            </w:r>
            <w:r/>
          </w:p>
        </w:tc>
      </w:tr>
    </w:tbl>
    <w:p>
      <w:pPr>
        <w:pStyle w:val="720"/>
      </w:pPr>
      <w:r/>
      <w:r/>
    </w:p>
    <w:p>
      <w:pPr>
        <w:pStyle w:val="720"/>
      </w:pPr>
      <w:r/>
      <w:r/>
    </w:p>
    <w:p>
      <w:pPr>
        <w:pStyle w:val="720"/>
      </w:pPr>
      <w:r/>
      <w:r/>
    </w:p>
    <w:p>
      <w:pPr>
        <w:pStyle w:val="720"/>
      </w:pPr>
      <w:r/>
      <w:r/>
    </w:p>
    <w:p>
      <w:pPr>
        <w:pStyle w:val="720"/>
      </w:pPr>
      <w:r/>
      <w:r/>
    </w:p>
    <w:p>
      <w:pPr>
        <w:pStyle w:val="720"/>
      </w:pPr>
      <w:r/>
      <w:r/>
    </w:p>
    <w:p>
      <w:pPr>
        <w:pStyle w:val="720"/>
        <w:jc w:val="left"/>
        <w:tabs>
          <w:tab w:val="center" w:pos="4405" w:leader="none"/>
        </w:tabs>
        <w:rPr>
          <w:rFonts w:ascii="宋体" w:hAnsi="宋体" w:cs="宋体"/>
        </w:rPr>
      </w:pPr>
      <w:r>
        <w:rPr>
          <w:rFonts w:hint="eastAsia"/>
        </w:rPr>
        <w:tab/>
      </w:r>
      <w:r>
        <w:rPr>
          <w:rFonts w:ascii="宋体" w:hAnsi="宋体" w:cs="宋体"/>
        </w:rPr>
      </w:r>
      <w:r/>
    </w:p>
    <w:p>
      <w:pPr>
        <w:pStyle w:val="983"/>
        <w:jc w:val="center"/>
        <w:rPr>
          <w:rFonts w:hint="eastAsia" w:ascii="黑体" w:hAnsi="黑体" w:eastAsia="黑体" w:cs="黑体"/>
          <w:b/>
          <w:bCs/>
          <w:sz w:val="24"/>
          <w:szCs w:val="20"/>
        </w:rPr>
      </w:pPr>
      <w:r>
        <w:rPr>
          <w:rFonts w:hint="eastAsia" w:ascii="黑体" w:hAnsi="黑体" w:eastAsia="黑体" w:cs="黑体"/>
          <w:b/>
          <w:bCs/>
          <w:color w:val="ff0000"/>
          <w:sz w:val="24"/>
          <w:szCs w:val="20"/>
        </w:rPr>
        <w:t xml:space="preserve">备注：本招标文件内容，如含有排除或限制市场竞争的内容，请向采购人反映</w:t>
      </w:r>
      <w:r>
        <w:rPr>
          <w:rFonts w:hint="eastAsia" w:ascii="黑体" w:hAnsi="黑体" w:eastAsia="黑体" w:cs="黑体"/>
          <w:b/>
          <w:bCs/>
          <w:sz w:val="24"/>
          <w:szCs w:val="20"/>
        </w:rPr>
        <w:t xml:space="preserve">。</w:t>
      </w:r>
      <w:r/>
    </w:p>
    <w:sectPr>
      <w:footnotePr/>
      <w:endnotePr/>
      <w:type w:val="nextPage"/>
      <w:pgSz w:w="11906" w:h="16838" w:orient="portrait"/>
      <w:pgMar w:top="1440" w:right="1463" w:bottom="1440" w:left="1633"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仿宋">
    <w:panose1 w:val="02010609060101010101"/>
  </w:font>
  <w:font w:name="iconfont">
    <w:panose1 w:val="020B0503020202020204"/>
  </w:font>
  <w:font w:name="微软雅黑">
    <w:panose1 w:val="020B0503020204020204"/>
  </w:font>
  <w:font w:name="Calibri">
    <w:panose1 w:val="020F050202020403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7143" w:leader="none"/>
        <w:tab w:val="right" w:pos="14287" w:leader="none"/>
      </w:tabs>
    </w:pPr>
    <w:r>
      <w:fldChar w:fldCharType="begin"/>
    </w:r>
    <w:r>
      <w:instrText xml:space="preserve">PAGE   \* MERGEFORMAT</w:instrText>
    </w:r>
    <w:r>
      <w:fldChar w:fldCharType="separate"/>
    </w:r>
    <w:r>
      <w:rPr>
        <w:lang w:val="zh-CN"/>
      </w:rPr>
      <w:t xml:space="preserve">2</w:t>
    </w:r>
    <w:r>
      <w:fldChar w:fldCharType="end"/>
    </w:r>
    <w:r/>
  </w:p>
  <w:p>
    <w:pPr>
      <w:pStyle w:val="752"/>
      <w:jc w:val="both"/>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20"/>
        <w:ind w:left="0" w:firstLine="420"/>
      </w:pPr>
      <w:rPr>
        <w:rFonts w:hint="eastAsia"/>
      </w:rPr>
    </w:lvl>
    <w:lvl w:ilvl="1">
      <w:start w:val="1"/>
      <w:numFmt w:val="bullet"/>
      <w:isLgl w:val="false"/>
      <w:suff w:val="tab"/>
      <w:lvlText w:val="o"/>
      <w:lvlJc w:val="left"/>
      <w:pPr>
        <w:pStyle w:val="720"/>
        <w:ind w:left="1440" w:hanging="360"/>
      </w:pPr>
      <w:rPr>
        <w:rFonts w:ascii="Courier New" w:hAnsi="Courier New" w:eastAsia="Courier New" w:cs="Courier New"/>
      </w:rPr>
    </w:lvl>
    <w:lvl w:ilvl="2">
      <w:start w:val="1"/>
      <w:numFmt w:val="bullet"/>
      <w:isLgl w:val="false"/>
      <w:suff w:val="tab"/>
      <w:lvlText w:val="§"/>
      <w:lvlJc w:val="left"/>
      <w:pPr>
        <w:pStyle w:val="720"/>
        <w:ind w:left="2160" w:hanging="360"/>
      </w:pPr>
      <w:rPr>
        <w:rFonts w:ascii="Wingdings" w:hAnsi="Wingdings" w:eastAsia="Wingdings" w:cs="Wingdings"/>
      </w:rPr>
    </w:lvl>
    <w:lvl w:ilvl="3">
      <w:start w:val="1"/>
      <w:numFmt w:val="bullet"/>
      <w:isLgl w:val="false"/>
      <w:suff w:val="tab"/>
      <w:lvlText w:val="·"/>
      <w:lvlJc w:val="left"/>
      <w:pPr>
        <w:pStyle w:val="720"/>
        <w:ind w:left="2880" w:hanging="360"/>
      </w:pPr>
      <w:rPr>
        <w:rFonts w:ascii="Symbol" w:hAnsi="Symbol" w:eastAsia="Symbol" w:cs="Symbol"/>
      </w:rPr>
    </w:lvl>
    <w:lvl w:ilvl="4">
      <w:start w:val="1"/>
      <w:numFmt w:val="bullet"/>
      <w:isLgl w:val="false"/>
      <w:suff w:val="tab"/>
      <w:lvlText w:val="o"/>
      <w:lvlJc w:val="left"/>
      <w:pPr>
        <w:pStyle w:val="720"/>
        <w:ind w:left="3600" w:hanging="360"/>
      </w:pPr>
      <w:rPr>
        <w:rFonts w:ascii="Courier New" w:hAnsi="Courier New" w:eastAsia="Courier New" w:cs="Courier New"/>
      </w:rPr>
    </w:lvl>
    <w:lvl w:ilvl="5">
      <w:start w:val="1"/>
      <w:numFmt w:val="bullet"/>
      <w:isLgl w:val="false"/>
      <w:suff w:val="tab"/>
      <w:lvlText w:val="§"/>
      <w:lvlJc w:val="left"/>
      <w:pPr>
        <w:pStyle w:val="720"/>
        <w:ind w:left="4320" w:hanging="360"/>
      </w:pPr>
      <w:rPr>
        <w:rFonts w:ascii="Wingdings" w:hAnsi="Wingdings" w:eastAsia="Wingdings" w:cs="Wingdings"/>
      </w:rPr>
    </w:lvl>
    <w:lvl w:ilvl="6">
      <w:start w:val="1"/>
      <w:numFmt w:val="bullet"/>
      <w:isLgl w:val="false"/>
      <w:suff w:val="tab"/>
      <w:lvlText w:val="·"/>
      <w:lvlJc w:val="left"/>
      <w:pPr>
        <w:pStyle w:val="720"/>
        <w:ind w:left="5040" w:hanging="360"/>
      </w:pPr>
      <w:rPr>
        <w:rFonts w:ascii="Symbol" w:hAnsi="Symbol" w:eastAsia="Symbol" w:cs="Symbol"/>
      </w:rPr>
    </w:lvl>
    <w:lvl w:ilvl="7">
      <w:start w:val="1"/>
      <w:numFmt w:val="bullet"/>
      <w:isLgl w:val="false"/>
      <w:suff w:val="tab"/>
      <w:lvlText w:val="o"/>
      <w:lvlJc w:val="left"/>
      <w:pPr>
        <w:pStyle w:val="720"/>
        <w:ind w:left="5760" w:hanging="360"/>
      </w:pPr>
      <w:rPr>
        <w:rFonts w:ascii="Courier New" w:hAnsi="Courier New" w:eastAsia="Courier New" w:cs="Courier New"/>
      </w:rPr>
    </w:lvl>
    <w:lvl w:ilvl="8">
      <w:start w:val="1"/>
      <w:numFmt w:val="bullet"/>
      <w:isLgl w:val="false"/>
      <w:suff w:val="tab"/>
      <w:lvlText w:val="§"/>
      <w:lvlJc w:val="left"/>
      <w:pPr>
        <w:pStyle w:val="72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japaneseCounting"/>
      <w:isLgl w:val="false"/>
      <w:suff w:val="tab"/>
      <w:lvlText w:val="%1、"/>
      <w:lvlJc w:val="left"/>
      <w:pPr>
        <w:pStyle w:val="720"/>
        <w:ind w:left="450" w:hanging="450"/>
      </w:pPr>
    </w:lvl>
    <w:lvl w:ilvl="1">
      <w:start w:val="1"/>
      <w:numFmt w:val="lowerLetter"/>
      <w:isLgl w:val="false"/>
      <w:suff w:val="tab"/>
      <w:lvlText w:val="%2)"/>
      <w:lvlJc w:val="left"/>
      <w:pPr>
        <w:pStyle w:val="720"/>
        <w:ind w:left="840" w:hanging="420"/>
      </w:pPr>
    </w:lvl>
    <w:lvl w:ilvl="2">
      <w:start w:val="1"/>
      <w:numFmt w:val="lowerRoman"/>
      <w:isLgl w:val="false"/>
      <w:suff w:val="tab"/>
      <w:lvlText w:val="%3."/>
      <w:lvlJc w:val="right"/>
      <w:pPr>
        <w:pStyle w:val="720"/>
        <w:ind w:left="1260" w:hanging="420"/>
      </w:pPr>
    </w:lvl>
    <w:lvl w:ilvl="3">
      <w:start w:val="1"/>
      <w:numFmt w:val="decimal"/>
      <w:isLgl w:val="false"/>
      <w:suff w:val="tab"/>
      <w:lvlText w:val="%4."/>
      <w:lvlJc w:val="left"/>
      <w:pPr>
        <w:pStyle w:val="720"/>
        <w:ind w:left="1680" w:hanging="420"/>
      </w:pPr>
    </w:lvl>
    <w:lvl w:ilvl="4">
      <w:start w:val="1"/>
      <w:numFmt w:val="lowerLetter"/>
      <w:isLgl w:val="false"/>
      <w:suff w:val="tab"/>
      <w:lvlText w:val="%5)"/>
      <w:lvlJc w:val="left"/>
      <w:pPr>
        <w:pStyle w:val="720"/>
        <w:ind w:left="2100" w:hanging="420"/>
      </w:pPr>
    </w:lvl>
    <w:lvl w:ilvl="5">
      <w:start w:val="1"/>
      <w:numFmt w:val="lowerRoman"/>
      <w:isLgl w:val="false"/>
      <w:suff w:val="tab"/>
      <w:lvlText w:val="%6."/>
      <w:lvlJc w:val="right"/>
      <w:pPr>
        <w:pStyle w:val="720"/>
        <w:ind w:left="2520" w:hanging="420"/>
      </w:pPr>
    </w:lvl>
    <w:lvl w:ilvl="6">
      <w:start w:val="1"/>
      <w:numFmt w:val="decimal"/>
      <w:isLgl w:val="false"/>
      <w:suff w:val="tab"/>
      <w:lvlText w:val="%7."/>
      <w:lvlJc w:val="left"/>
      <w:pPr>
        <w:pStyle w:val="720"/>
        <w:ind w:left="2940" w:hanging="420"/>
      </w:pPr>
    </w:lvl>
    <w:lvl w:ilvl="7">
      <w:start w:val="1"/>
      <w:numFmt w:val="lowerLetter"/>
      <w:isLgl w:val="false"/>
      <w:suff w:val="tab"/>
      <w:lvlText w:val="%8)"/>
      <w:lvlJc w:val="left"/>
      <w:pPr>
        <w:pStyle w:val="720"/>
        <w:ind w:left="3360" w:hanging="420"/>
      </w:pPr>
    </w:lvl>
    <w:lvl w:ilvl="8">
      <w:start w:val="1"/>
      <w:numFmt w:val="lowerRoman"/>
      <w:isLgl w:val="false"/>
      <w:suff w:val="tab"/>
      <w:lvlText w:val="%9."/>
      <w:lvlJc w:val="right"/>
      <w:pPr>
        <w:pStyle w:val="720"/>
        <w:ind w:left="3780" w:hanging="420"/>
      </w:pPr>
    </w:lvl>
  </w:abstractNum>
  <w:num w:numId="1">
    <w:abstractNumId w:val="6"/>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720"/>
    <w:next w:val="720"/>
    <w:link w:val="795"/>
    <w:uiPriority w:val="9"/>
    <w:qFormat/>
    <w:pPr>
      <w:keepLines/>
      <w:keepNext/>
      <w:spacing w:before="480" w:after="200"/>
      <w:outlineLvl w:val="0"/>
    </w:pPr>
    <w:rPr>
      <w:rFonts w:ascii="Arial" w:hAnsi="Arial" w:eastAsia="Arial" w:cs="Arial"/>
      <w:sz w:val="40"/>
      <w:szCs w:val="40"/>
    </w:rPr>
  </w:style>
  <w:style w:type="paragraph" w:styleId="671">
    <w:name w:val="Heading 2"/>
    <w:basedOn w:val="720"/>
    <w:next w:val="720"/>
    <w:link w:val="796"/>
    <w:uiPriority w:val="9"/>
    <w:unhideWhenUsed/>
    <w:qFormat/>
    <w:pPr>
      <w:keepLines/>
      <w:keepNext/>
      <w:spacing w:before="360" w:after="200"/>
      <w:outlineLvl w:val="1"/>
    </w:pPr>
    <w:rPr>
      <w:rFonts w:ascii="Arial" w:hAnsi="Arial" w:eastAsia="Arial" w:cs="Arial"/>
      <w:sz w:val="34"/>
    </w:rPr>
  </w:style>
  <w:style w:type="paragraph" w:styleId="672">
    <w:name w:val="Heading 3"/>
    <w:basedOn w:val="720"/>
    <w:next w:val="720"/>
    <w:link w:val="797"/>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720"/>
    <w:next w:val="720"/>
    <w:link w:val="798"/>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720"/>
    <w:next w:val="720"/>
    <w:link w:val="799"/>
    <w:uiPriority w:val="9"/>
    <w:unhideWhenUsed/>
    <w:qFormat/>
    <w:pPr>
      <w:keepLines/>
      <w:keepNext/>
      <w:spacing w:before="320" w:after="200"/>
      <w:outlineLvl w:val="4"/>
    </w:pPr>
    <w:rPr>
      <w:rFonts w:ascii="Arial" w:hAnsi="Arial" w:eastAsia="Arial" w:cs="Arial"/>
      <w:b/>
      <w:bCs/>
      <w:sz w:val="24"/>
      <w:szCs w:val="24"/>
    </w:rPr>
  </w:style>
  <w:style w:type="paragraph" w:styleId="675">
    <w:name w:val="Heading 6"/>
    <w:basedOn w:val="720"/>
    <w:next w:val="720"/>
    <w:link w:val="800"/>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720"/>
    <w:next w:val="720"/>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720"/>
    <w:next w:val="720"/>
    <w:link w:val="802"/>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720"/>
    <w:next w:val="720"/>
    <w:link w:val="803"/>
    <w:uiPriority w:val="9"/>
    <w:unhideWhenUsed/>
    <w:qFormat/>
    <w:pPr>
      <w:keepLines/>
      <w:keepNext/>
      <w:spacing w:before="320" w:after="200"/>
      <w:outlineLvl w:val="8"/>
    </w:pPr>
    <w:rPr>
      <w:rFonts w:ascii="Arial" w:hAnsi="Arial" w:eastAsia="Arial" w:cs="Arial"/>
      <w:i/>
      <w:iCs/>
      <w:sz w:val="21"/>
      <w:szCs w:val="21"/>
    </w:rPr>
  </w:style>
  <w:style w:type="paragraph" w:styleId="679">
    <w:name w:val="Title"/>
    <w:basedOn w:val="720"/>
    <w:next w:val="720"/>
    <w:link w:val="804"/>
    <w:uiPriority w:val="10"/>
    <w:qFormat/>
    <w:pPr>
      <w:contextualSpacing/>
      <w:spacing w:before="300" w:after="200"/>
    </w:pPr>
    <w:rPr>
      <w:sz w:val="48"/>
      <w:szCs w:val="48"/>
    </w:rPr>
  </w:style>
  <w:style w:type="paragraph" w:styleId="680">
    <w:name w:val="Subtitle"/>
    <w:basedOn w:val="720"/>
    <w:next w:val="720"/>
    <w:link w:val="805"/>
    <w:uiPriority w:val="11"/>
    <w:qFormat/>
    <w:pPr>
      <w:spacing w:before="200" w:after="200"/>
    </w:pPr>
    <w:rPr>
      <w:sz w:val="24"/>
      <w:szCs w:val="24"/>
    </w:rPr>
  </w:style>
  <w:style w:type="paragraph" w:styleId="681">
    <w:name w:val="Header"/>
    <w:basedOn w:val="720"/>
    <w:link w:val="858"/>
    <w:uiPriority w:val="99"/>
    <w:unhideWhenUsed/>
    <w:pPr>
      <w:spacing w:after="0" w:line="240" w:lineRule="auto"/>
      <w:tabs>
        <w:tab w:val="center" w:pos="7143" w:leader="none"/>
        <w:tab w:val="right" w:pos="14287" w:leader="none"/>
      </w:tabs>
    </w:pPr>
  </w:style>
  <w:style w:type="paragraph" w:styleId="682">
    <w:name w:val="Footer"/>
    <w:basedOn w:val="720"/>
    <w:link w:val="808"/>
    <w:uiPriority w:val="99"/>
    <w:unhideWhenUsed/>
    <w:pPr>
      <w:spacing w:after="0" w:line="240" w:lineRule="auto"/>
      <w:tabs>
        <w:tab w:val="center" w:pos="7143" w:leader="none"/>
        <w:tab w:val="right" w:pos="14287" w:leader="none"/>
      </w:tabs>
    </w:pPr>
  </w:style>
  <w:style w:type="paragraph" w:styleId="683">
    <w:name w:val="Caption"/>
    <w:basedOn w:val="720"/>
    <w:next w:val="720"/>
    <w:uiPriority w:val="35"/>
    <w:semiHidden/>
    <w:unhideWhenUsed/>
    <w:qFormat/>
    <w:pPr>
      <w:spacing w:line="276" w:lineRule="auto"/>
    </w:pPr>
    <w:rPr>
      <w:b/>
      <w:bCs/>
      <w:color w:val="4f81bd" w:themeColor="accent1"/>
      <w:sz w:val="18"/>
      <w:szCs w:val="18"/>
    </w:rPr>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4">
    <w:name w:val="Hyperlink"/>
    <w:uiPriority w:val="99"/>
    <w:unhideWhenUsed/>
    <w:rPr>
      <w:color w:val="0000ff" w:themeColor="hyperlink"/>
      <w:u w:val="single"/>
    </w:rPr>
  </w:style>
  <w:style w:type="paragraph" w:styleId="705">
    <w:name w:val="footnote text"/>
    <w:basedOn w:val="720"/>
    <w:link w:val="809"/>
    <w:uiPriority w:val="99"/>
    <w:semiHidden/>
    <w:unhideWhenUsed/>
    <w:pPr>
      <w:spacing w:after="40" w:line="240" w:lineRule="auto"/>
    </w:pPr>
    <w:rPr>
      <w:sz w:val="18"/>
    </w:rPr>
  </w:style>
  <w:style w:type="character" w:styleId="706">
    <w:name w:val="footnote reference"/>
    <w:uiPriority w:val="99"/>
    <w:unhideWhenUsed/>
    <w:rPr>
      <w:vertAlign w:val="superscript"/>
    </w:rPr>
  </w:style>
  <w:style w:type="paragraph" w:styleId="707">
    <w:name w:val="endnote text"/>
    <w:basedOn w:val="720"/>
    <w:link w:val="810"/>
    <w:uiPriority w:val="99"/>
    <w:semiHidden/>
    <w:unhideWhenUsed/>
    <w:pPr>
      <w:spacing w:after="0" w:line="240" w:lineRule="auto"/>
    </w:pPr>
    <w:rPr>
      <w:sz w:val="20"/>
    </w:rPr>
  </w:style>
  <w:style w:type="character" w:styleId="708">
    <w:name w:val="endnote reference"/>
    <w:uiPriority w:val="99"/>
    <w:semiHidden/>
    <w:unhideWhenUsed/>
    <w:rPr>
      <w:vertAlign w:val="superscript"/>
    </w:rPr>
  </w:style>
  <w:style w:type="paragraph" w:styleId="709">
    <w:name w:val="toc 1"/>
    <w:basedOn w:val="720"/>
    <w:next w:val="720"/>
    <w:uiPriority w:val="39"/>
    <w:unhideWhenUsed/>
    <w:pPr>
      <w:ind w:left="0" w:right="0" w:firstLine="0"/>
      <w:spacing w:after="57"/>
    </w:pPr>
  </w:style>
  <w:style w:type="paragraph" w:styleId="710">
    <w:name w:val="toc 2"/>
    <w:basedOn w:val="720"/>
    <w:next w:val="720"/>
    <w:uiPriority w:val="39"/>
    <w:unhideWhenUsed/>
    <w:pPr>
      <w:ind w:left="283" w:right="0" w:firstLine="0"/>
      <w:spacing w:after="57"/>
    </w:pPr>
  </w:style>
  <w:style w:type="paragraph" w:styleId="711">
    <w:name w:val="toc 3"/>
    <w:basedOn w:val="720"/>
    <w:next w:val="720"/>
    <w:uiPriority w:val="39"/>
    <w:unhideWhenUsed/>
    <w:pPr>
      <w:ind w:left="567" w:right="0" w:firstLine="0"/>
      <w:spacing w:after="57"/>
    </w:pPr>
  </w:style>
  <w:style w:type="paragraph" w:styleId="712">
    <w:name w:val="toc 4"/>
    <w:basedOn w:val="720"/>
    <w:next w:val="720"/>
    <w:uiPriority w:val="39"/>
    <w:unhideWhenUsed/>
    <w:pPr>
      <w:ind w:left="850" w:right="0" w:firstLine="0"/>
      <w:spacing w:after="57"/>
    </w:pPr>
  </w:style>
  <w:style w:type="paragraph" w:styleId="713">
    <w:name w:val="toc 5"/>
    <w:basedOn w:val="720"/>
    <w:next w:val="720"/>
    <w:uiPriority w:val="39"/>
    <w:unhideWhenUsed/>
    <w:pPr>
      <w:ind w:left="1134" w:right="0" w:firstLine="0"/>
      <w:spacing w:after="57"/>
    </w:pPr>
  </w:style>
  <w:style w:type="paragraph" w:styleId="714">
    <w:name w:val="toc 6"/>
    <w:basedOn w:val="720"/>
    <w:next w:val="720"/>
    <w:uiPriority w:val="39"/>
    <w:unhideWhenUsed/>
    <w:pPr>
      <w:ind w:left="1417" w:right="0" w:firstLine="0"/>
      <w:spacing w:after="57"/>
    </w:pPr>
  </w:style>
  <w:style w:type="paragraph" w:styleId="715">
    <w:name w:val="toc 7"/>
    <w:basedOn w:val="720"/>
    <w:next w:val="720"/>
    <w:uiPriority w:val="39"/>
    <w:unhideWhenUsed/>
    <w:pPr>
      <w:ind w:left="1701" w:right="0" w:firstLine="0"/>
      <w:spacing w:after="57"/>
    </w:pPr>
  </w:style>
  <w:style w:type="paragraph" w:styleId="716">
    <w:name w:val="toc 8"/>
    <w:basedOn w:val="720"/>
    <w:next w:val="720"/>
    <w:uiPriority w:val="39"/>
    <w:unhideWhenUsed/>
    <w:pPr>
      <w:ind w:left="1984" w:right="0" w:firstLine="0"/>
      <w:spacing w:after="57"/>
    </w:pPr>
  </w:style>
  <w:style w:type="paragraph" w:styleId="717">
    <w:name w:val="toc 9"/>
    <w:basedOn w:val="720"/>
    <w:next w:val="720"/>
    <w:uiPriority w:val="39"/>
    <w:unhideWhenUsed/>
    <w:pPr>
      <w:ind w:left="2268" w:right="0" w:firstLine="0"/>
      <w:spacing w:after="57"/>
    </w:pPr>
  </w:style>
  <w:style w:type="paragraph" w:styleId="718">
    <w:name w:val="TOC Heading"/>
    <w:uiPriority w:val="39"/>
    <w:unhideWhenUsed/>
  </w:style>
  <w:style w:type="paragraph" w:styleId="719">
    <w:name w:val="table of figures"/>
    <w:basedOn w:val="720"/>
    <w:next w:val="720"/>
    <w:uiPriority w:val="99"/>
    <w:unhideWhenUsed/>
    <w:pPr>
      <w:spacing w:after="0" w:afterAutospacing="0"/>
    </w:pPr>
  </w:style>
  <w:style w:type="paragraph" w:styleId="720" w:default="1">
    <w:name w:val="Normal"/>
    <w:next w:val="720"/>
    <w:link w:val="720"/>
    <w:qFormat/>
    <w:pPr>
      <w:jc w:val="both"/>
      <w:widowControl w:val="off"/>
    </w:pPr>
    <w:rPr>
      <w:rFonts w:ascii="Times New Roman" w:hAnsi="Times New Roman" w:eastAsia="宋体" w:cs="Times New Roman"/>
      <w:sz w:val="22"/>
      <w:szCs w:val="22"/>
      <w:lang w:val="en-US" w:eastAsia="zh-CN" w:bidi="ar-SA"/>
    </w:rPr>
  </w:style>
  <w:style w:type="paragraph" w:styleId="721">
    <w:name w:val="标题 1"/>
    <w:basedOn w:val="720"/>
    <w:next w:val="720"/>
    <w:link w:val="732"/>
    <w:uiPriority w:val="9"/>
    <w:qFormat/>
    <w:pPr>
      <w:keepLines/>
      <w:keepNext/>
      <w:spacing w:before="480" w:after="200"/>
      <w:outlineLvl w:val="0"/>
    </w:pPr>
    <w:rPr>
      <w:rFonts w:ascii="Arial" w:hAnsi="Arial" w:eastAsia="Arial" w:cs="Arial"/>
      <w:sz w:val="40"/>
      <w:szCs w:val="40"/>
    </w:rPr>
  </w:style>
  <w:style w:type="paragraph" w:styleId="722">
    <w:name w:val="标题 2"/>
    <w:basedOn w:val="720"/>
    <w:next w:val="720"/>
    <w:link w:val="733"/>
    <w:uiPriority w:val="9"/>
    <w:unhideWhenUsed/>
    <w:qFormat/>
    <w:pPr>
      <w:keepLines/>
      <w:keepNext/>
      <w:spacing w:before="360" w:after="200"/>
      <w:outlineLvl w:val="1"/>
    </w:pPr>
    <w:rPr>
      <w:rFonts w:ascii="Arial" w:hAnsi="Arial" w:eastAsia="Arial" w:cs="Arial"/>
      <w:sz w:val="34"/>
    </w:rPr>
  </w:style>
  <w:style w:type="paragraph" w:styleId="723">
    <w:name w:val="标题 3"/>
    <w:basedOn w:val="720"/>
    <w:next w:val="720"/>
    <w:link w:val="734"/>
    <w:uiPriority w:val="9"/>
    <w:unhideWhenUsed/>
    <w:qFormat/>
    <w:pPr>
      <w:keepLines/>
      <w:keepNext/>
      <w:spacing w:before="320" w:after="200"/>
      <w:outlineLvl w:val="2"/>
    </w:pPr>
    <w:rPr>
      <w:rFonts w:ascii="Arial" w:hAnsi="Arial" w:eastAsia="Arial" w:cs="Arial"/>
      <w:sz w:val="30"/>
      <w:szCs w:val="30"/>
    </w:rPr>
  </w:style>
  <w:style w:type="paragraph" w:styleId="724">
    <w:name w:val="标题 4"/>
    <w:basedOn w:val="720"/>
    <w:next w:val="720"/>
    <w:link w:val="735"/>
    <w:uiPriority w:val="9"/>
    <w:unhideWhenUsed/>
    <w:qFormat/>
    <w:pPr>
      <w:keepLines/>
      <w:keepNext/>
      <w:spacing w:before="320" w:after="200"/>
      <w:outlineLvl w:val="3"/>
    </w:pPr>
    <w:rPr>
      <w:rFonts w:ascii="Arial" w:hAnsi="Arial" w:eastAsia="Arial" w:cs="Arial"/>
      <w:b/>
      <w:bCs/>
      <w:sz w:val="26"/>
      <w:szCs w:val="26"/>
    </w:rPr>
  </w:style>
  <w:style w:type="paragraph" w:styleId="725">
    <w:name w:val="标题 5"/>
    <w:basedOn w:val="720"/>
    <w:next w:val="720"/>
    <w:link w:val="736"/>
    <w:uiPriority w:val="9"/>
    <w:unhideWhenUsed/>
    <w:qFormat/>
    <w:pPr>
      <w:keepLines/>
      <w:keepNext/>
      <w:spacing w:before="320" w:after="200"/>
      <w:outlineLvl w:val="4"/>
    </w:pPr>
    <w:rPr>
      <w:rFonts w:ascii="Arial" w:hAnsi="Arial" w:eastAsia="Arial" w:cs="Arial"/>
      <w:b/>
      <w:bCs/>
      <w:sz w:val="24"/>
      <w:szCs w:val="24"/>
    </w:rPr>
  </w:style>
  <w:style w:type="paragraph" w:styleId="726">
    <w:name w:val="标题 6"/>
    <w:basedOn w:val="720"/>
    <w:next w:val="720"/>
    <w:link w:val="737"/>
    <w:uiPriority w:val="9"/>
    <w:unhideWhenUsed/>
    <w:qFormat/>
    <w:pPr>
      <w:keepLines/>
      <w:keepNext/>
      <w:spacing w:before="320" w:after="200"/>
      <w:outlineLvl w:val="5"/>
    </w:pPr>
    <w:rPr>
      <w:rFonts w:ascii="Arial" w:hAnsi="Arial" w:eastAsia="Arial" w:cs="Arial"/>
      <w:b/>
      <w:bCs/>
    </w:rPr>
  </w:style>
  <w:style w:type="paragraph" w:styleId="727">
    <w:name w:val="标题 7"/>
    <w:basedOn w:val="720"/>
    <w:next w:val="720"/>
    <w:link w:val="738"/>
    <w:uiPriority w:val="9"/>
    <w:unhideWhenUsed/>
    <w:qFormat/>
    <w:pPr>
      <w:keepLines/>
      <w:keepNext/>
      <w:spacing w:before="320" w:after="200"/>
      <w:outlineLvl w:val="6"/>
    </w:pPr>
    <w:rPr>
      <w:rFonts w:ascii="Arial" w:hAnsi="Arial" w:eastAsia="Arial" w:cs="Arial"/>
      <w:b/>
      <w:bCs/>
      <w:i/>
      <w:iCs/>
    </w:rPr>
  </w:style>
  <w:style w:type="paragraph" w:styleId="728">
    <w:name w:val="标题 8"/>
    <w:basedOn w:val="720"/>
    <w:next w:val="720"/>
    <w:link w:val="739"/>
    <w:uiPriority w:val="9"/>
    <w:unhideWhenUsed/>
    <w:qFormat/>
    <w:pPr>
      <w:keepLines/>
      <w:keepNext/>
      <w:spacing w:before="320" w:after="200"/>
      <w:outlineLvl w:val="7"/>
    </w:pPr>
    <w:rPr>
      <w:rFonts w:ascii="Arial" w:hAnsi="Arial" w:eastAsia="Arial" w:cs="Arial"/>
      <w:i/>
      <w:iCs/>
    </w:rPr>
  </w:style>
  <w:style w:type="paragraph" w:styleId="729">
    <w:name w:val="标题 9"/>
    <w:basedOn w:val="720"/>
    <w:next w:val="720"/>
    <w:link w:val="740"/>
    <w:uiPriority w:val="9"/>
    <w:unhideWhenUsed/>
    <w:qFormat/>
    <w:pPr>
      <w:keepLines/>
      <w:keepNext/>
      <w:spacing w:before="320" w:after="200"/>
      <w:outlineLvl w:val="8"/>
    </w:pPr>
    <w:rPr>
      <w:rFonts w:ascii="Arial" w:hAnsi="Arial" w:eastAsia="Arial" w:cs="Arial"/>
      <w:i/>
      <w:iCs/>
      <w:szCs w:val="21"/>
    </w:rPr>
  </w:style>
  <w:style w:type="character" w:styleId="730">
    <w:name w:val="默认段落字体"/>
    <w:next w:val="730"/>
    <w:link w:val="720"/>
    <w:uiPriority w:val="1"/>
    <w:unhideWhenUsed/>
  </w:style>
  <w:style w:type="table" w:styleId="731">
    <w:name w:val="普通表格"/>
    <w:next w:val="731"/>
    <w:link w:val="720"/>
    <w:uiPriority w:val="99"/>
    <w:unhideWhenUsed/>
    <w:qFormat/>
    <w:tblPr/>
  </w:style>
  <w:style w:type="character" w:styleId="732">
    <w:name w:val="标题 1 字符"/>
    <w:next w:val="732"/>
    <w:link w:val="721"/>
    <w:uiPriority w:val="9"/>
    <w:qFormat/>
    <w:rPr>
      <w:rFonts w:ascii="Arial" w:hAnsi="Arial" w:eastAsia="Arial" w:cs="Arial"/>
      <w:sz w:val="40"/>
      <w:szCs w:val="40"/>
    </w:rPr>
  </w:style>
  <w:style w:type="character" w:styleId="733">
    <w:name w:val="标题 2 字符"/>
    <w:next w:val="733"/>
    <w:link w:val="722"/>
    <w:uiPriority w:val="9"/>
    <w:qFormat/>
    <w:rPr>
      <w:rFonts w:ascii="Arial" w:hAnsi="Arial" w:eastAsia="Arial" w:cs="Arial"/>
      <w:sz w:val="34"/>
    </w:rPr>
  </w:style>
  <w:style w:type="character" w:styleId="734">
    <w:name w:val="标题 3 字符"/>
    <w:next w:val="734"/>
    <w:link w:val="723"/>
    <w:uiPriority w:val="9"/>
    <w:qFormat/>
    <w:rPr>
      <w:rFonts w:ascii="Arial" w:hAnsi="Arial" w:eastAsia="Arial" w:cs="Arial"/>
      <w:sz w:val="30"/>
      <w:szCs w:val="30"/>
    </w:rPr>
  </w:style>
  <w:style w:type="character" w:styleId="735">
    <w:name w:val="标题 4 字符"/>
    <w:next w:val="735"/>
    <w:link w:val="724"/>
    <w:uiPriority w:val="9"/>
    <w:qFormat/>
    <w:rPr>
      <w:rFonts w:ascii="Arial" w:hAnsi="Arial" w:eastAsia="Arial" w:cs="Arial"/>
      <w:b/>
      <w:bCs/>
      <w:sz w:val="26"/>
      <w:szCs w:val="26"/>
    </w:rPr>
  </w:style>
  <w:style w:type="character" w:styleId="736">
    <w:name w:val="标题 5 字符"/>
    <w:next w:val="736"/>
    <w:link w:val="725"/>
    <w:uiPriority w:val="9"/>
    <w:qFormat/>
    <w:rPr>
      <w:rFonts w:ascii="Arial" w:hAnsi="Arial" w:eastAsia="Arial" w:cs="Arial"/>
      <w:b/>
      <w:bCs/>
      <w:sz w:val="24"/>
      <w:szCs w:val="24"/>
    </w:rPr>
  </w:style>
  <w:style w:type="character" w:styleId="737">
    <w:name w:val="标题 6 字符"/>
    <w:next w:val="737"/>
    <w:link w:val="726"/>
    <w:uiPriority w:val="9"/>
    <w:qFormat/>
    <w:rPr>
      <w:rFonts w:ascii="Arial" w:hAnsi="Arial" w:eastAsia="Arial" w:cs="Arial"/>
      <w:b/>
      <w:bCs/>
      <w:sz w:val="22"/>
      <w:szCs w:val="22"/>
    </w:rPr>
  </w:style>
  <w:style w:type="character" w:styleId="738">
    <w:name w:val="标题 7 字符"/>
    <w:next w:val="738"/>
    <w:link w:val="727"/>
    <w:uiPriority w:val="9"/>
    <w:qFormat/>
    <w:rPr>
      <w:rFonts w:ascii="Arial" w:hAnsi="Arial" w:eastAsia="Arial" w:cs="Arial"/>
      <w:b/>
      <w:bCs/>
      <w:i/>
      <w:iCs/>
      <w:sz w:val="22"/>
      <w:szCs w:val="22"/>
    </w:rPr>
  </w:style>
  <w:style w:type="character" w:styleId="739">
    <w:name w:val="标题 8 字符"/>
    <w:next w:val="739"/>
    <w:link w:val="728"/>
    <w:uiPriority w:val="9"/>
    <w:qFormat/>
    <w:rPr>
      <w:rFonts w:ascii="Arial" w:hAnsi="Arial" w:eastAsia="Arial" w:cs="Arial"/>
      <w:i/>
      <w:iCs/>
      <w:sz w:val="22"/>
      <w:szCs w:val="22"/>
    </w:rPr>
  </w:style>
  <w:style w:type="character" w:styleId="740">
    <w:name w:val="标题 9 字符"/>
    <w:next w:val="740"/>
    <w:link w:val="729"/>
    <w:uiPriority w:val="9"/>
    <w:qFormat/>
    <w:rPr>
      <w:rFonts w:ascii="Arial" w:hAnsi="Arial" w:eastAsia="Arial" w:cs="Arial"/>
      <w:i/>
      <w:iCs/>
      <w:sz w:val="21"/>
      <w:szCs w:val="21"/>
    </w:rPr>
  </w:style>
  <w:style w:type="paragraph" w:styleId="741">
    <w:name w:val="目录 7"/>
    <w:basedOn w:val="720"/>
    <w:next w:val="720"/>
    <w:link w:val="720"/>
    <w:uiPriority w:val="39"/>
    <w:unhideWhenUsed/>
    <w:qFormat/>
    <w:pPr>
      <w:ind w:left="1701"/>
      <w:spacing w:after="57"/>
    </w:pPr>
  </w:style>
  <w:style w:type="paragraph" w:styleId="742">
    <w:name w:val="题注"/>
    <w:basedOn w:val="720"/>
    <w:next w:val="720"/>
    <w:link w:val="720"/>
    <w:uiPriority w:val="35"/>
    <w:unhideWhenUsed/>
    <w:qFormat/>
    <w:pPr>
      <w:spacing w:line="276" w:lineRule="auto"/>
    </w:pPr>
    <w:rPr>
      <w:b/>
      <w:bCs/>
      <w:color w:val="4f81bd"/>
      <w:sz w:val="18"/>
      <w:szCs w:val="18"/>
    </w:rPr>
  </w:style>
  <w:style w:type="paragraph" w:styleId="743">
    <w:name w:val="批注文字"/>
    <w:basedOn w:val="720"/>
    <w:next w:val="743"/>
    <w:link w:val="720"/>
    <w:qFormat/>
    <w:pPr>
      <w:jc w:val="left"/>
    </w:pPr>
    <w:rPr>
      <w:sz w:val="20"/>
      <w:szCs w:val="24"/>
    </w:rPr>
  </w:style>
  <w:style w:type="paragraph" w:styleId="744">
    <w:name w:val="正文文本"/>
    <w:basedOn w:val="720"/>
    <w:next w:val="720"/>
    <w:link w:val="720"/>
    <w:uiPriority w:val="99"/>
    <w:unhideWhenUsed/>
    <w:qFormat/>
    <w:pPr>
      <w:ind w:left="117"/>
      <w:jc w:val="left"/>
      <w:spacing w:before="86" w:after="160" w:line="278" w:lineRule="auto"/>
    </w:pPr>
    <w:rPr>
      <w:rFonts w:ascii="宋体" w:hAnsi="宋体"/>
      <w:sz w:val="24"/>
    </w:rPr>
  </w:style>
  <w:style w:type="paragraph" w:styleId="745">
    <w:name w:val="目录 5"/>
    <w:basedOn w:val="720"/>
    <w:next w:val="720"/>
    <w:link w:val="720"/>
    <w:uiPriority w:val="39"/>
    <w:unhideWhenUsed/>
    <w:qFormat/>
    <w:pPr>
      <w:ind w:left="1134"/>
      <w:spacing w:after="57"/>
    </w:pPr>
  </w:style>
  <w:style w:type="paragraph" w:styleId="746">
    <w:name w:val="目录 3"/>
    <w:basedOn w:val="720"/>
    <w:next w:val="720"/>
    <w:link w:val="720"/>
    <w:uiPriority w:val="39"/>
    <w:unhideWhenUsed/>
    <w:qFormat/>
    <w:pPr>
      <w:ind w:left="567"/>
      <w:spacing w:after="57"/>
    </w:pPr>
  </w:style>
  <w:style w:type="paragraph" w:styleId="747">
    <w:name w:val="目录 8"/>
    <w:basedOn w:val="720"/>
    <w:next w:val="720"/>
    <w:link w:val="720"/>
    <w:uiPriority w:val="39"/>
    <w:unhideWhenUsed/>
    <w:qFormat/>
    <w:pPr>
      <w:ind w:left="1984"/>
      <w:spacing w:after="57"/>
    </w:pPr>
  </w:style>
  <w:style w:type="paragraph" w:styleId="748">
    <w:name w:val="尾注文本"/>
    <w:basedOn w:val="720"/>
    <w:next w:val="748"/>
    <w:link w:val="749"/>
    <w:uiPriority w:val="99"/>
    <w:unhideWhenUsed/>
    <w:qFormat/>
    <w:rPr>
      <w:sz w:val="20"/>
    </w:rPr>
  </w:style>
  <w:style w:type="character" w:styleId="749">
    <w:name w:val="尾注文本 字符1"/>
    <w:next w:val="749"/>
    <w:link w:val="748"/>
    <w:uiPriority w:val="99"/>
    <w:qFormat/>
    <w:rPr>
      <w:sz w:val="20"/>
    </w:rPr>
  </w:style>
  <w:style w:type="paragraph" w:styleId="750">
    <w:name w:val="批注框文本"/>
    <w:basedOn w:val="720"/>
    <w:next w:val="750"/>
    <w:link w:val="751"/>
    <w:uiPriority w:val="99"/>
    <w:unhideWhenUsed/>
    <w:qFormat/>
    <w:rPr>
      <w:sz w:val="18"/>
      <w:szCs w:val="18"/>
    </w:rPr>
  </w:style>
  <w:style w:type="character" w:styleId="751">
    <w:name w:val="批注框文本 字符1"/>
    <w:basedOn w:val="730"/>
    <w:next w:val="751"/>
    <w:link w:val="750"/>
    <w:uiPriority w:val="99"/>
    <w:semiHidden/>
    <w:qFormat/>
    <w:rPr>
      <w:sz w:val="18"/>
      <w:szCs w:val="18"/>
    </w:rPr>
  </w:style>
  <w:style w:type="paragraph" w:styleId="752">
    <w:name w:val="页脚"/>
    <w:basedOn w:val="720"/>
    <w:next w:val="752"/>
    <w:link w:val="753"/>
    <w:uiPriority w:val="99"/>
    <w:unhideWhenUsed/>
    <w:qFormat/>
    <w:pPr>
      <w:jc w:val="center"/>
      <w:tabs>
        <w:tab w:val="center" w:pos="7143" w:leader="none"/>
        <w:tab w:val="right" w:pos="14287" w:leader="none"/>
      </w:tabs>
    </w:pPr>
  </w:style>
  <w:style w:type="character" w:styleId="753">
    <w:name w:val="页脚 字符"/>
    <w:next w:val="753"/>
    <w:link w:val="752"/>
    <w:uiPriority w:val="99"/>
    <w:qFormat/>
  </w:style>
  <w:style w:type="paragraph" w:styleId="754">
    <w:name w:val="页眉"/>
    <w:basedOn w:val="720"/>
    <w:next w:val="754"/>
    <w:link w:val="720"/>
    <w:uiPriority w:val="99"/>
    <w:unhideWhenUsed/>
    <w:qFormat/>
    <w:pPr>
      <w:tabs>
        <w:tab w:val="center" w:pos="7143" w:leader="none"/>
        <w:tab w:val="right" w:pos="14287" w:leader="none"/>
      </w:tabs>
    </w:pPr>
  </w:style>
  <w:style w:type="paragraph" w:styleId="755">
    <w:name w:val="目录 1"/>
    <w:basedOn w:val="720"/>
    <w:next w:val="720"/>
    <w:link w:val="720"/>
    <w:uiPriority w:val="39"/>
    <w:unhideWhenUsed/>
    <w:qFormat/>
    <w:pPr>
      <w:spacing w:after="57"/>
    </w:pPr>
  </w:style>
  <w:style w:type="paragraph" w:styleId="756">
    <w:name w:val="目录 4"/>
    <w:basedOn w:val="720"/>
    <w:next w:val="720"/>
    <w:link w:val="720"/>
    <w:uiPriority w:val="39"/>
    <w:unhideWhenUsed/>
    <w:qFormat/>
    <w:pPr>
      <w:ind w:left="850"/>
      <w:spacing w:after="57"/>
    </w:pPr>
  </w:style>
  <w:style w:type="paragraph" w:styleId="757">
    <w:name w:val="副标题"/>
    <w:basedOn w:val="720"/>
    <w:next w:val="720"/>
    <w:link w:val="758"/>
    <w:uiPriority w:val="11"/>
    <w:qFormat/>
    <w:pPr>
      <w:spacing w:before="200" w:after="200"/>
    </w:pPr>
    <w:rPr>
      <w:sz w:val="24"/>
      <w:szCs w:val="24"/>
    </w:rPr>
  </w:style>
  <w:style w:type="character" w:styleId="758">
    <w:name w:val="副标题 字符1"/>
    <w:next w:val="758"/>
    <w:link w:val="757"/>
    <w:uiPriority w:val="11"/>
    <w:qFormat/>
    <w:rPr>
      <w:sz w:val="24"/>
      <w:szCs w:val="24"/>
    </w:rPr>
  </w:style>
  <w:style w:type="paragraph" w:styleId="759">
    <w:name w:val="脚注文本"/>
    <w:basedOn w:val="720"/>
    <w:next w:val="759"/>
    <w:link w:val="760"/>
    <w:uiPriority w:val="99"/>
    <w:unhideWhenUsed/>
    <w:qFormat/>
    <w:pPr>
      <w:spacing w:after="40"/>
    </w:pPr>
    <w:rPr>
      <w:sz w:val="18"/>
    </w:rPr>
  </w:style>
  <w:style w:type="character" w:styleId="760">
    <w:name w:val="脚注文本 字符1"/>
    <w:next w:val="760"/>
    <w:link w:val="759"/>
    <w:uiPriority w:val="99"/>
    <w:qFormat/>
    <w:rPr>
      <w:sz w:val="18"/>
    </w:rPr>
  </w:style>
  <w:style w:type="paragraph" w:styleId="761">
    <w:name w:val="目录 6"/>
    <w:basedOn w:val="720"/>
    <w:next w:val="720"/>
    <w:link w:val="720"/>
    <w:uiPriority w:val="39"/>
    <w:unhideWhenUsed/>
    <w:qFormat/>
    <w:pPr>
      <w:ind w:left="1417"/>
      <w:spacing w:after="57"/>
    </w:pPr>
  </w:style>
  <w:style w:type="paragraph" w:styleId="762">
    <w:name w:val="图表目录"/>
    <w:basedOn w:val="720"/>
    <w:next w:val="720"/>
    <w:link w:val="720"/>
    <w:uiPriority w:val="99"/>
    <w:unhideWhenUsed/>
    <w:qFormat/>
  </w:style>
  <w:style w:type="paragraph" w:styleId="763">
    <w:name w:val="目录 2"/>
    <w:basedOn w:val="720"/>
    <w:next w:val="720"/>
    <w:link w:val="720"/>
    <w:uiPriority w:val="39"/>
    <w:unhideWhenUsed/>
    <w:qFormat/>
    <w:pPr>
      <w:ind w:left="283"/>
      <w:spacing w:after="57"/>
    </w:pPr>
  </w:style>
  <w:style w:type="paragraph" w:styleId="764">
    <w:name w:val="目录 9"/>
    <w:basedOn w:val="720"/>
    <w:next w:val="720"/>
    <w:link w:val="720"/>
    <w:uiPriority w:val="39"/>
    <w:unhideWhenUsed/>
    <w:qFormat/>
    <w:pPr>
      <w:ind w:left="2268"/>
      <w:spacing w:after="57"/>
    </w:pPr>
  </w:style>
  <w:style w:type="paragraph" w:styleId="765">
    <w:name w:val="普通(网站)"/>
    <w:basedOn w:val="720"/>
    <w:next w:val="765"/>
    <w:link w:val="720"/>
    <w:uiPriority w:val="99"/>
    <w:qFormat/>
    <w:pPr>
      <w:jc w:val="left"/>
      <w:spacing w:before="100" w:beforeAutospacing="1" w:after="100" w:afterAutospacing="1"/>
      <w:widowControl/>
    </w:pPr>
    <w:rPr>
      <w:rFonts w:ascii="宋体" w:hAnsi="宋体" w:cs="宋体"/>
      <w:sz w:val="24"/>
      <w:szCs w:val="24"/>
    </w:rPr>
  </w:style>
  <w:style w:type="paragraph" w:styleId="766">
    <w:name w:val="标题"/>
    <w:basedOn w:val="720"/>
    <w:next w:val="720"/>
    <w:link w:val="767"/>
    <w:uiPriority w:val="10"/>
    <w:qFormat/>
    <w:pPr>
      <w:contextualSpacing/>
      <w:spacing w:before="300" w:after="200"/>
    </w:pPr>
    <w:rPr>
      <w:sz w:val="48"/>
      <w:szCs w:val="48"/>
    </w:rPr>
  </w:style>
  <w:style w:type="character" w:styleId="767">
    <w:name w:val="标题 字符1"/>
    <w:next w:val="767"/>
    <w:link w:val="766"/>
    <w:uiPriority w:val="10"/>
    <w:qFormat/>
    <w:rPr>
      <w:sz w:val="48"/>
      <w:szCs w:val="48"/>
    </w:rPr>
  </w:style>
  <w:style w:type="table" w:styleId="768">
    <w:name w:val="网格型"/>
    <w:next w:val="768"/>
    <w:link w:val="720"/>
    <w:uiPriority w:val="59"/>
    <w:qFormat/>
    <w:tblPr/>
  </w:style>
  <w:style w:type="character" w:styleId="769">
    <w:name w:val="尾注引用"/>
    <w:next w:val="769"/>
    <w:link w:val="720"/>
    <w:uiPriority w:val="99"/>
    <w:unhideWhenUsed/>
    <w:qFormat/>
    <w:rPr>
      <w:vertAlign w:val="superscript"/>
    </w:rPr>
  </w:style>
  <w:style w:type="character" w:styleId="770">
    <w:name w:val="强调"/>
    <w:next w:val="770"/>
    <w:link w:val="720"/>
    <w:qFormat/>
    <w:rPr>
      <w:i/>
    </w:rPr>
  </w:style>
  <w:style w:type="character" w:styleId="771">
    <w:name w:val="超链接"/>
    <w:next w:val="771"/>
    <w:link w:val="720"/>
    <w:uiPriority w:val="99"/>
    <w:unhideWhenUsed/>
    <w:qFormat/>
    <w:rPr>
      <w:color w:val="0000ff"/>
      <w:u w:val="single"/>
    </w:rPr>
  </w:style>
  <w:style w:type="character" w:styleId="772">
    <w:name w:val="脚注引用"/>
    <w:next w:val="772"/>
    <w:link w:val="720"/>
    <w:uiPriority w:val="99"/>
    <w:unhideWhenUsed/>
    <w:qFormat/>
    <w:rPr>
      <w:vertAlign w:val="superscript"/>
    </w:rPr>
  </w:style>
  <w:style w:type="table" w:styleId="773">
    <w:name w:val="无格式表格 11"/>
    <w:basedOn w:val="731"/>
    <w:next w:val="773"/>
    <w:link w:val="720"/>
    <w:uiPriority w:val="59"/>
    <w:qFormat/>
    <w:tblPr/>
  </w:style>
  <w:style w:type="table" w:styleId="774">
    <w:name w:val="无格式表格 21"/>
    <w:basedOn w:val="731"/>
    <w:next w:val="774"/>
    <w:link w:val="720"/>
    <w:uiPriority w:val="59"/>
    <w:qFormat/>
    <w:tblPr/>
  </w:style>
  <w:style w:type="table" w:styleId="775">
    <w:name w:val="无格式表格 31"/>
    <w:basedOn w:val="731"/>
    <w:next w:val="775"/>
    <w:link w:val="720"/>
    <w:uiPriority w:val="99"/>
    <w:qFormat/>
    <w:tblPr/>
  </w:style>
  <w:style w:type="table" w:styleId="776">
    <w:name w:val="无格式表格 41"/>
    <w:basedOn w:val="731"/>
    <w:next w:val="776"/>
    <w:link w:val="720"/>
    <w:uiPriority w:val="99"/>
    <w:qFormat/>
    <w:tblPr/>
  </w:style>
  <w:style w:type="table" w:styleId="777">
    <w:name w:val="无格式表格 51"/>
    <w:basedOn w:val="731"/>
    <w:next w:val="777"/>
    <w:link w:val="720"/>
    <w:uiPriority w:val="99"/>
    <w:qFormat/>
    <w:tblPr/>
  </w:style>
  <w:style w:type="table" w:styleId="778">
    <w:name w:val="网格表 1 浅色1"/>
    <w:basedOn w:val="731"/>
    <w:next w:val="778"/>
    <w:link w:val="720"/>
    <w:uiPriority w:val="99"/>
    <w:qFormat/>
    <w:tblPr/>
  </w:style>
  <w:style w:type="table" w:styleId="779">
    <w:name w:val="网格表 21"/>
    <w:basedOn w:val="731"/>
    <w:next w:val="779"/>
    <w:link w:val="720"/>
    <w:uiPriority w:val="99"/>
    <w:qFormat/>
    <w:tblPr/>
  </w:style>
  <w:style w:type="table" w:styleId="780">
    <w:name w:val="网格表 31"/>
    <w:basedOn w:val="731"/>
    <w:next w:val="780"/>
    <w:link w:val="720"/>
    <w:uiPriority w:val="99"/>
    <w:qFormat/>
    <w:tblPr/>
  </w:style>
  <w:style w:type="table" w:styleId="781">
    <w:name w:val="网格表 41"/>
    <w:basedOn w:val="731"/>
    <w:next w:val="781"/>
    <w:link w:val="720"/>
    <w:uiPriority w:val="59"/>
    <w:qFormat/>
    <w:tblPr/>
  </w:style>
  <w:style w:type="table" w:styleId="782">
    <w:name w:val="网格表 5 深色1"/>
    <w:basedOn w:val="731"/>
    <w:next w:val="782"/>
    <w:link w:val="720"/>
    <w:uiPriority w:val="99"/>
    <w:qFormat/>
    <w:tblPr/>
  </w:style>
  <w:style w:type="table" w:styleId="783">
    <w:name w:val="网格表 6 彩色1"/>
    <w:basedOn w:val="731"/>
    <w:next w:val="783"/>
    <w:link w:val="720"/>
    <w:uiPriority w:val="99"/>
    <w:qFormat/>
    <w:tblPr/>
  </w:style>
  <w:style w:type="table" w:styleId="784">
    <w:name w:val="网格表 7 彩色1"/>
    <w:basedOn w:val="731"/>
    <w:next w:val="784"/>
    <w:link w:val="720"/>
    <w:uiPriority w:val="99"/>
    <w:qFormat/>
    <w:tblPr/>
  </w:style>
  <w:style w:type="table" w:styleId="785">
    <w:name w:val="清单表 1 浅色1"/>
    <w:basedOn w:val="731"/>
    <w:next w:val="785"/>
    <w:link w:val="720"/>
    <w:uiPriority w:val="99"/>
    <w:qFormat/>
    <w:tblPr/>
  </w:style>
  <w:style w:type="table" w:styleId="786">
    <w:name w:val="清单表 21"/>
    <w:basedOn w:val="731"/>
    <w:next w:val="786"/>
    <w:link w:val="720"/>
    <w:uiPriority w:val="99"/>
    <w:qFormat/>
    <w:tblPr/>
  </w:style>
  <w:style w:type="table" w:styleId="787">
    <w:name w:val="清单表 31"/>
    <w:basedOn w:val="731"/>
    <w:next w:val="787"/>
    <w:link w:val="720"/>
    <w:uiPriority w:val="99"/>
    <w:qFormat/>
    <w:tblPr/>
  </w:style>
  <w:style w:type="table" w:styleId="788">
    <w:name w:val="清单表 41"/>
    <w:basedOn w:val="731"/>
    <w:next w:val="788"/>
    <w:link w:val="720"/>
    <w:uiPriority w:val="99"/>
    <w:qFormat/>
    <w:tblPr/>
  </w:style>
  <w:style w:type="table" w:styleId="789">
    <w:name w:val="清单表 5 深色1"/>
    <w:basedOn w:val="731"/>
    <w:next w:val="789"/>
    <w:link w:val="720"/>
    <w:uiPriority w:val="99"/>
    <w:qFormat/>
    <w:tblPr/>
  </w:style>
  <w:style w:type="table" w:styleId="790">
    <w:name w:val="清单表 6 彩色1"/>
    <w:basedOn w:val="731"/>
    <w:next w:val="790"/>
    <w:link w:val="720"/>
    <w:uiPriority w:val="99"/>
    <w:qFormat/>
    <w:tblPr/>
  </w:style>
  <w:style w:type="table" w:styleId="791">
    <w:name w:val="清单表 7 彩色1"/>
    <w:basedOn w:val="731"/>
    <w:next w:val="791"/>
    <w:link w:val="720"/>
    <w:uiPriority w:val="99"/>
    <w:qFormat/>
    <w:tblPr/>
  </w:style>
  <w:style w:type="paragraph" w:styleId="792">
    <w:name w:val="TOC 标题1"/>
    <w:next w:val="792"/>
    <w:link w:val="720"/>
    <w:uiPriority w:val="39"/>
    <w:unhideWhenUsed/>
    <w:qFormat/>
    <w:rPr>
      <w:rFonts w:ascii="Times New Roman" w:hAnsi="Times New Roman" w:eastAsia="宋体" w:cs="Times New Roman"/>
      <w:lang w:val="en-US" w:eastAsia="zh-CN" w:bidi="ar-SA"/>
    </w:rPr>
  </w:style>
  <w:style w:type="paragraph" w:styleId="793">
    <w:name w:val="TOC 标题112"/>
    <w:next w:val="793"/>
    <w:link w:val="720"/>
    <w:uiPriority w:val="39"/>
    <w:unhideWhenUsed/>
    <w:qFormat/>
    <w:rPr>
      <w:rFonts w:ascii="Times New Roman" w:hAnsi="Times New Roman" w:eastAsia="宋体" w:cs="Times New Roman"/>
      <w:lang w:val="en-US" w:eastAsia="zh-CN" w:bidi="ar-SA"/>
    </w:rPr>
  </w:style>
  <w:style w:type="paragraph" w:styleId="794">
    <w:name w:val="首行缩进"/>
    <w:basedOn w:val="720"/>
    <w:next w:val="794"/>
    <w:link w:val="720"/>
    <w:qFormat/>
    <w:pPr>
      <w:ind w:firstLine="200"/>
    </w:pPr>
    <w:rPr>
      <w:szCs w:val="20"/>
      <w:lang w:val="zh-CN"/>
    </w:rPr>
  </w:style>
  <w:style w:type="character" w:styleId="795">
    <w:name w:val="Heading 1 Char"/>
    <w:basedOn w:val="730"/>
    <w:next w:val="795"/>
    <w:link w:val="720"/>
    <w:uiPriority w:val="9"/>
    <w:qFormat/>
    <w:rPr>
      <w:rFonts w:ascii="Arial" w:hAnsi="Arial" w:eastAsia="Arial" w:cs="Arial"/>
      <w:sz w:val="40"/>
      <w:szCs w:val="40"/>
    </w:rPr>
  </w:style>
  <w:style w:type="character" w:styleId="796">
    <w:name w:val="Heading 2 Char"/>
    <w:basedOn w:val="730"/>
    <w:next w:val="796"/>
    <w:link w:val="720"/>
    <w:uiPriority w:val="9"/>
    <w:qFormat/>
    <w:rPr>
      <w:rFonts w:ascii="Arial" w:hAnsi="Arial" w:eastAsia="Arial" w:cs="Arial"/>
      <w:sz w:val="34"/>
    </w:rPr>
  </w:style>
  <w:style w:type="character" w:styleId="797">
    <w:name w:val="Heading 3 Char"/>
    <w:basedOn w:val="730"/>
    <w:next w:val="797"/>
    <w:link w:val="720"/>
    <w:uiPriority w:val="9"/>
    <w:qFormat/>
    <w:rPr>
      <w:rFonts w:ascii="Arial" w:hAnsi="Arial" w:eastAsia="Arial" w:cs="Arial"/>
      <w:sz w:val="30"/>
      <w:szCs w:val="30"/>
    </w:rPr>
  </w:style>
  <w:style w:type="character" w:styleId="798">
    <w:name w:val="Heading 4 Char"/>
    <w:basedOn w:val="730"/>
    <w:next w:val="798"/>
    <w:link w:val="720"/>
    <w:uiPriority w:val="9"/>
    <w:qFormat/>
    <w:rPr>
      <w:rFonts w:ascii="Arial" w:hAnsi="Arial" w:eastAsia="Arial" w:cs="Arial"/>
      <w:b/>
      <w:bCs/>
      <w:sz w:val="26"/>
      <w:szCs w:val="26"/>
    </w:rPr>
  </w:style>
  <w:style w:type="character" w:styleId="799">
    <w:name w:val="Heading 5 Char"/>
    <w:basedOn w:val="730"/>
    <w:next w:val="799"/>
    <w:link w:val="720"/>
    <w:uiPriority w:val="9"/>
    <w:qFormat/>
    <w:rPr>
      <w:rFonts w:ascii="Arial" w:hAnsi="Arial" w:eastAsia="Arial" w:cs="Arial"/>
      <w:b/>
      <w:bCs/>
      <w:sz w:val="24"/>
      <w:szCs w:val="24"/>
    </w:rPr>
  </w:style>
  <w:style w:type="character" w:styleId="800">
    <w:name w:val="Heading 6 Char"/>
    <w:basedOn w:val="730"/>
    <w:next w:val="800"/>
    <w:link w:val="720"/>
    <w:uiPriority w:val="9"/>
    <w:qFormat/>
    <w:rPr>
      <w:rFonts w:ascii="Arial" w:hAnsi="Arial" w:eastAsia="Arial" w:cs="Arial"/>
      <w:b/>
      <w:bCs/>
      <w:sz w:val="22"/>
      <w:szCs w:val="22"/>
    </w:rPr>
  </w:style>
  <w:style w:type="character" w:styleId="801">
    <w:name w:val="Heading 7 Char"/>
    <w:basedOn w:val="730"/>
    <w:next w:val="801"/>
    <w:link w:val="720"/>
    <w:uiPriority w:val="9"/>
    <w:qFormat/>
    <w:rPr>
      <w:rFonts w:ascii="Arial" w:hAnsi="Arial" w:eastAsia="Arial" w:cs="Arial"/>
      <w:b/>
      <w:bCs/>
      <w:i/>
      <w:iCs/>
      <w:sz w:val="22"/>
      <w:szCs w:val="22"/>
    </w:rPr>
  </w:style>
  <w:style w:type="character" w:styleId="802">
    <w:name w:val="Heading 8 Char"/>
    <w:basedOn w:val="730"/>
    <w:next w:val="802"/>
    <w:link w:val="720"/>
    <w:uiPriority w:val="9"/>
    <w:qFormat/>
    <w:rPr>
      <w:rFonts w:ascii="Arial" w:hAnsi="Arial" w:eastAsia="Arial" w:cs="Arial"/>
      <w:i/>
      <w:iCs/>
      <w:sz w:val="22"/>
      <w:szCs w:val="22"/>
    </w:rPr>
  </w:style>
  <w:style w:type="character" w:styleId="803">
    <w:name w:val="Heading 9 Char"/>
    <w:basedOn w:val="730"/>
    <w:next w:val="803"/>
    <w:link w:val="720"/>
    <w:uiPriority w:val="9"/>
    <w:qFormat/>
    <w:rPr>
      <w:rFonts w:ascii="Arial" w:hAnsi="Arial" w:eastAsia="Arial" w:cs="Arial"/>
      <w:i/>
      <w:iCs/>
      <w:sz w:val="21"/>
      <w:szCs w:val="21"/>
    </w:rPr>
  </w:style>
  <w:style w:type="character" w:styleId="804">
    <w:name w:val="Title Char"/>
    <w:basedOn w:val="730"/>
    <w:next w:val="804"/>
    <w:link w:val="720"/>
    <w:uiPriority w:val="10"/>
    <w:qFormat/>
    <w:rPr>
      <w:sz w:val="48"/>
      <w:szCs w:val="48"/>
    </w:rPr>
  </w:style>
  <w:style w:type="character" w:styleId="805">
    <w:name w:val="Subtitle Char"/>
    <w:basedOn w:val="730"/>
    <w:next w:val="805"/>
    <w:link w:val="720"/>
    <w:uiPriority w:val="11"/>
    <w:qFormat/>
    <w:rPr>
      <w:sz w:val="24"/>
      <w:szCs w:val="24"/>
    </w:rPr>
  </w:style>
  <w:style w:type="character" w:styleId="806">
    <w:name w:val="Quote Char"/>
    <w:next w:val="806"/>
    <w:link w:val="720"/>
    <w:uiPriority w:val="29"/>
    <w:qFormat/>
    <w:rPr>
      <w:i/>
    </w:rPr>
  </w:style>
  <w:style w:type="character" w:styleId="807">
    <w:name w:val="Intense Quote Char"/>
    <w:next w:val="807"/>
    <w:link w:val="720"/>
    <w:uiPriority w:val="30"/>
    <w:qFormat/>
    <w:rPr>
      <w:i/>
    </w:rPr>
  </w:style>
  <w:style w:type="character" w:styleId="808">
    <w:name w:val="Caption Char"/>
    <w:next w:val="808"/>
    <w:link w:val="720"/>
    <w:uiPriority w:val="99"/>
    <w:qFormat/>
  </w:style>
  <w:style w:type="character" w:styleId="809">
    <w:name w:val="Footnote Text Char"/>
    <w:next w:val="809"/>
    <w:link w:val="720"/>
    <w:uiPriority w:val="99"/>
    <w:qFormat/>
    <w:rPr>
      <w:sz w:val="18"/>
    </w:rPr>
  </w:style>
  <w:style w:type="character" w:styleId="810">
    <w:name w:val="Endnote Text Char"/>
    <w:next w:val="810"/>
    <w:link w:val="720"/>
    <w:uiPriority w:val="99"/>
    <w:qFormat/>
    <w:rPr>
      <w:sz w:val="20"/>
    </w:rPr>
  </w:style>
  <w:style w:type="paragraph" w:styleId="811">
    <w:name w:val="TOC 标题111"/>
    <w:next w:val="811"/>
    <w:link w:val="720"/>
    <w:uiPriority w:val="39"/>
    <w:unhideWhenUsed/>
    <w:qFormat/>
    <w:rPr>
      <w:rFonts w:ascii="Times New Roman" w:hAnsi="Times New Roman" w:eastAsia="宋体" w:cs="Times New Roman"/>
      <w:lang w:val="en-US" w:eastAsia="zh-CN" w:bidi="ar-SA"/>
    </w:rPr>
  </w:style>
  <w:style w:type="paragraph" w:styleId="812">
    <w:name w:val="List Paragraph"/>
    <w:basedOn w:val="720"/>
    <w:next w:val="812"/>
    <w:link w:val="720"/>
    <w:uiPriority w:val="34"/>
    <w:qFormat/>
    <w:pPr>
      <w:contextualSpacing/>
      <w:ind w:left="720"/>
    </w:pPr>
  </w:style>
  <w:style w:type="paragraph" w:styleId="813">
    <w:name w:val="No Spacing"/>
    <w:next w:val="813"/>
    <w:link w:val="720"/>
    <w:uiPriority w:val="1"/>
    <w:qFormat/>
    <w:rPr>
      <w:rFonts w:ascii="Times New Roman" w:hAnsi="Times New Roman" w:eastAsia="宋体" w:cs="Times New Roman"/>
      <w:lang w:val="en-US" w:eastAsia="zh-CN" w:bidi="ar-SA"/>
    </w:rPr>
  </w:style>
  <w:style w:type="paragraph" w:styleId="814">
    <w:name w:val="Quote"/>
    <w:basedOn w:val="720"/>
    <w:next w:val="720"/>
    <w:link w:val="815"/>
    <w:uiPriority w:val="29"/>
    <w:qFormat/>
    <w:pPr>
      <w:ind w:left="720" w:right="720"/>
    </w:pPr>
    <w:rPr>
      <w:i/>
    </w:rPr>
  </w:style>
  <w:style w:type="character" w:styleId="815">
    <w:name w:val="引用 字符1"/>
    <w:next w:val="815"/>
    <w:link w:val="814"/>
    <w:uiPriority w:val="29"/>
    <w:qFormat/>
    <w:rPr>
      <w:i/>
    </w:rPr>
  </w:style>
  <w:style w:type="paragraph" w:styleId="816">
    <w:name w:val="Intense Quote"/>
    <w:basedOn w:val="720"/>
    <w:next w:val="72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明显引用 字符1"/>
    <w:next w:val="817"/>
    <w:link w:val="816"/>
    <w:uiPriority w:val="30"/>
    <w:qFormat/>
    <w:rPr>
      <w:i/>
    </w:rPr>
  </w:style>
  <w:style w:type="paragraph" w:styleId="818">
    <w:name w:val="TOC 标题11"/>
    <w:next w:val="818"/>
    <w:link w:val="720"/>
    <w:uiPriority w:val="39"/>
    <w:unhideWhenUsed/>
    <w:qFormat/>
    <w:rPr>
      <w:rFonts w:ascii="Times New Roman" w:hAnsi="Times New Roman" w:eastAsia="宋体" w:cs="Times New Roman"/>
      <w:lang w:val="en-US" w:eastAsia="zh-CN" w:bidi="ar-SA"/>
    </w:rPr>
  </w:style>
  <w:style w:type="character" w:styleId="819">
    <w:name w:val="默认段落字体11"/>
    <w:next w:val="819"/>
    <w:link w:val="720"/>
    <w:uiPriority w:val="1"/>
    <w:unhideWhenUsed/>
    <w:qFormat/>
  </w:style>
  <w:style w:type="table" w:styleId="820">
    <w:name w:val="普通表格11"/>
    <w:next w:val="820"/>
    <w:link w:val="720"/>
    <w:uiPriority w:val="99"/>
    <w:unhideWhenUsed/>
    <w:qFormat/>
    <w:tblPr/>
  </w:style>
  <w:style w:type="paragraph" w:styleId="821">
    <w:name w:val="目录 711"/>
    <w:basedOn w:val="720"/>
    <w:next w:val="720"/>
    <w:link w:val="720"/>
    <w:uiPriority w:val="39"/>
    <w:unhideWhenUsed/>
    <w:qFormat/>
    <w:pPr>
      <w:ind w:left="1701"/>
      <w:spacing w:after="57"/>
    </w:pPr>
  </w:style>
  <w:style w:type="paragraph" w:styleId="822">
    <w:name w:val="批注文字11"/>
    <w:basedOn w:val="720"/>
    <w:next w:val="822"/>
    <w:link w:val="720"/>
    <w:qFormat/>
    <w:pPr>
      <w:jc w:val="left"/>
    </w:pPr>
  </w:style>
  <w:style w:type="paragraph" w:styleId="823">
    <w:name w:val="正文文本11"/>
    <w:basedOn w:val="720"/>
    <w:next w:val="720"/>
    <w:link w:val="720"/>
    <w:qFormat/>
    <w:rPr>
      <w:rFonts w:ascii="楷体_GB2312" w:hAnsi="Arial" w:eastAsia="楷体_GB2312"/>
      <w:sz w:val="28"/>
      <w:szCs w:val="28"/>
    </w:rPr>
  </w:style>
  <w:style w:type="paragraph" w:styleId="824">
    <w:name w:val="目录 511"/>
    <w:basedOn w:val="720"/>
    <w:next w:val="720"/>
    <w:link w:val="720"/>
    <w:uiPriority w:val="39"/>
    <w:unhideWhenUsed/>
    <w:qFormat/>
    <w:pPr>
      <w:ind w:left="1134"/>
      <w:spacing w:after="57"/>
    </w:pPr>
  </w:style>
  <w:style w:type="paragraph" w:styleId="825">
    <w:name w:val="目录 311"/>
    <w:basedOn w:val="720"/>
    <w:next w:val="720"/>
    <w:link w:val="720"/>
    <w:uiPriority w:val="39"/>
    <w:unhideWhenUsed/>
    <w:qFormat/>
    <w:pPr>
      <w:ind w:left="567"/>
      <w:spacing w:after="57"/>
    </w:pPr>
  </w:style>
  <w:style w:type="paragraph" w:styleId="826">
    <w:name w:val="目录 811"/>
    <w:basedOn w:val="720"/>
    <w:next w:val="720"/>
    <w:link w:val="720"/>
    <w:uiPriority w:val="39"/>
    <w:unhideWhenUsed/>
    <w:qFormat/>
    <w:pPr>
      <w:ind w:left="1984"/>
      <w:spacing w:after="57"/>
    </w:pPr>
  </w:style>
  <w:style w:type="paragraph" w:styleId="827">
    <w:name w:val="日期11"/>
    <w:basedOn w:val="720"/>
    <w:next w:val="720"/>
    <w:link w:val="828"/>
    <w:uiPriority w:val="99"/>
    <w:unhideWhenUsed/>
    <w:qFormat/>
    <w:pPr>
      <w:ind w:left="100"/>
    </w:pPr>
  </w:style>
  <w:style w:type="character" w:styleId="828">
    <w:name w:val="日期 字符"/>
    <w:next w:val="828"/>
    <w:link w:val="827"/>
    <w:uiPriority w:val="99"/>
    <w:semiHidden/>
    <w:qFormat/>
    <w:rPr>
      <w:sz w:val="21"/>
      <w:szCs w:val="22"/>
    </w:rPr>
  </w:style>
  <w:style w:type="paragraph" w:styleId="829">
    <w:name w:val="尾注文本1"/>
    <w:basedOn w:val="720"/>
    <w:next w:val="829"/>
    <w:link w:val="830"/>
    <w:uiPriority w:val="99"/>
    <w:unhideWhenUsed/>
    <w:qFormat/>
    <w:rPr>
      <w:sz w:val="20"/>
    </w:rPr>
  </w:style>
  <w:style w:type="character" w:styleId="830">
    <w:name w:val="尾注文本 字符"/>
    <w:next w:val="830"/>
    <w:link w:val="829"/>
    <w:uiPriority w:val="99"/>
    <w:qFormat/>
    <w:rPr>
      <w:sz w:val="20"/>
    </w:rPr>
  </w:style>
  <w:style w:type="paragraph" w:styleId="831">
    <w:name w:val="批注框文本11"/>
    <w:basedOn w:val="720"/>
    <w:next w:val="831"/>
    <w:link w:val="832"/>
    <w:uiPriority w:val="99"/>
    <w:unhideWhenUsed/>
    <w:qFormat/>
    <w:rPr>
      <w:sz w:val="18"/>
      <w:szCs w:val="18"/>
    </w:rPr>
  </w:style>
  <w:style w:type="character" w:styleId="832">
    <w:name w:val="批注框文本 字符"/>
    <w:next w:val="832"/>
    <w:link w:val="831"/>
    <w:uiPriority w:val="99"/>
    <w:semiHidden/>
    <w:qFormat/>
    <w:rPr>
      <w:sz w:val="18"/>
      <w:szCs w:val="18"/>
    </w:rPr>
  </w:style>
  <w:style w:type="paragraph" w:styleId="833">
    <w:name w:val="页脚11"/>
    <w:basedOn w:val="720"/>
    <w:next w:val="833"/>
    <w:link w:val="720"/>
    <w:uiPriority w:val="99"/>
    <w:unhideWhenUsed/>
    <w:qFormat/>
    <w:pPr>
      <w:jc w:val="left"/>
      <w:tabs>
        <w:tab w:val="center" w:pos="4153" w:leader="none"/>
        <w:tab w:val="right" w:pos="8306" w:leader="none"/>
      </w:tabs>
    </w:pPr>
    <w:rPr>
      <w:sz w:val="18"/>
    </w:rPr>
  </w:style>
  <w:style w:type="paragraph" w:styleId="834">
    <w:name w:val="页眉11"/>
    <w:basedOn w:val="720"/>
    <w:next w:val="834"/>
    <w:link w:val="72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35">
    <w:name w:val="目录 111"/>
    <w:basedOn w:val="720"/>
    <w:next w:val="720"/>
    <w:link w:val="720"/>
    <w:uiPriority w:val="39"/>
    <w:unhideWhenUsed/>
    <w:qFormat/>
    <w:pPr>
      <w:spacing w:after="57"/>
    </w:pPr>
  </w:style>
  <w:style w:type="paragraph" w:styleId="836">
    <w:name w:val="目录 411"/>
    <w:basedOn w:val="720"/>
    <w:next w:val="720"/>
    <w:link w:val="720"/>
    <w:uiPriority w:val="39"/>
    <w:unhideWhenUsed/>
    <w:qFormat/>
    <w:pPr>
      <w:ind w:left="850"/>
      <w:spacing w:after="57"/>
    </w:pPr>
  </w:style>
  <w:style w:type="paragraph" w:styleId="837">
    <w:name w:val="副标题1"/>
    <w:basedOn w:val="720"/>
    <w:next w:val="720"/>
    <w:link w:val="838"/>
    <w:uiPriority w:val="11"/>
    <w:qFormat/>
    <w:pPr>
      <w:spacing w:before="200" w:after="200"/>
    </w:pPr>
    <w:rPr>
      <w:sz w:val="24"/>
      <w:szCs w:val="24"/>
    </w:rPr>
  </w:style>
  <w:style w:type="character" w:styleId="838">
    <w:name w:val="副标题 字符"/>
    <w:next w:val="838"/>
    <w:link w:val="837"/>
    <w:uiPriority w:val="11"/>
    <w:qFormat/>
    <w:rPr>
      <w:sz w:val="24"/>
      <w:szCs w:val="24"/>
    </w:rPr>
  </w:style>
  <w:style w:type="paragraph" w:styleId="839">
    <w:name w:val="脚注文本11"/>
    <w:basedOn w:val="720"/>
    <w:next w:val="839"/>
    <w:link w:val="840"/>
    <w:uiPriority w:val="99"/>
    <w:unhideWhenUsed/>
    <w:qFormat/>
    <w:pPr>
      <w:spacing w:after="40"/>
    </w:pPr>
    <w:rPr>
      <w:sz w:val="18"/>
    </w:rPr>
  </w:style>
  <w:style w:type="character" w:styleId="840">
    <w:name w:val="脚注文本 字符"/>
    <w:next w:val="840"/>
    <w:link w:val="839"/>
    <w:uiPriority w:val="99"/>
    <w:qFormat/>
    <w:rPr>
      <w:sz w:val="18"/>
    </w:rPr>
  </w:style>
  <w:style w:type="paragraph" w:styleId="841">
    <w:name w:val="目录 611"/>
    <w:basedOn w:val="720"/>
    <w:next w:val="720"/>
    <w:link w:val="720"/>
    <w:uiPriority w:val="39"/>
    <w:unhideWhenUsed/>
    <w:qFormat/>
    <w:pPr>
      <w:ind w:left="1417"/>
      <w:spacing w:after="57"/>
    </w:pPr>
  </w:style>
  <w:style w:type="paragraph" w:styleId="842">
    <w:name w:val="图表目录1"/>
    <w:basedOn w:val="720"/>
    <w:next w:val="720"/>
    <w:link w:val="720"/>
    <w:uiPriority w:val="99"/>
    <w:unhideWhenUsed/>
    <w:qFormat/>
  </w:style>
  <w:style w:type="paragraph" w:styleId="843">
    <w:name w:val="目录 211"/>
    <w:basedOn w:val="720"/>
    <w:next w:val="720"/>
    <w:link w:val="720"/>
    <w:uiPriority w:val="39"/>
    <w:unhideWhenUsed/>
    <w:qFormat/>
    <w:pPr>
      <w:ind w:left="283"/>
      <w:spacing w:after="57"/>
    </w:pPr>
  </w:style>
  <w:style w:type="paragraph" w:styleId="844">
    <w:name w:val="目录 911"/>
    <w:basedOn w:val="720"/>
    <w:next w:val="720"/>
    <w:link w:val="720"/>
    <w:uiPriority w:val="39"/>
    <w:unhideWhenUsed/>
    <w:qFormat/>
    <w:pPr>
      <w:ind w:left="2268"/>
      <w:spacing w:after="57"/>
    </w:pPr>
  </w:style>
  <w:style w:type="paragraph" w:styleId="845">
    <w:name w:val="标题1"/>
    <w:basedOn w:val="720"/>
    <w:next w:val="720"/>
    <w:link w:val="846"/>
    <w:uiPriority w:val="10"/>
    <w:qFormat/>
    <w:pPr>
      <w:contextualSpacing/>
      <w:spacing w:before="300" w:after="200"/>
    </w:pPr>
    <w:rPr>
      <w:sz w:val="48"/>
      <w:szCs w:val="48"/>
    </w:rPr>
  </w:style>
  <w:style w:type="character" w:styleId="846">
    <w:name w:val="标题 字符"/>
    <w:next w:val="846"/>
    <w:link w:val="845"/>
    <w:uiPriority w:val="10"/>
    <w:qFormat/>
    <w:rPr>
      <w:sz w:val="48"/>
      <w:szCs w:val="48"/>
    </w:rPr>
  </w:style>
  <w:style w:type="table" w:styleId="847">
    <w:name w:val="网格型11"/>
    <w:next w:val="847"/>
    <w:link w:val="720"/>
    <w:uiPriority w:val="59"/>
    <w:qFormat/>
    <w:tblPr/>
  </w:style>
  <w:style w:type="character" w:styleId="848">
    <w:name w:val="尾注引用1"/>
    <w:next w:val="848"/>
    <w:link w:val="720"/>
    <w:uiPriority w:val="99"/>
    <w:unhideWhenUsed/>
    <w:qFormat/>
    <w:rPr>
      <w:vertAlign w:val="superscript"/>
    </w:rPr>
  </w:style>
  <w:style w:type="character" w:styleId="849">
    <w:name w:val="超链接11"/>
    <w:next w:val="849"/>
    <w:link w:val="720"/>
    <w:uiPriority w:val="99"/>
    <w:unhideWhenUsed/>
    <w:qFormat/>
    <w:rPr>
      <w:color w:val="0000ff"/>
      <w:u w:val="single"/>
    </w:rPr>
  </w:style>
  <w:style w:type="character" w:styleId="850">
    <w:name w:val="脚注引用11"/>
    <w:next w:val="850"/>
    <w:link w:val="720"/>
    <w:uiPriority w:val="99"/>
    <w:unhideWhenUsed/>
    <w:qFormat/>
    <w:rPr>
      <w:vertAlign w:val="superscript"/>
    </w:rPr>
  </w:style>
  <w:style w:type="paragraph" w:styleId="851">
    <w:name w:val="列表段落1"/>
    <w:basedOn w:val="720"/>
    <w:next w:val="851"/>
    <w:link w:val="720"/>
    <w:uiPriority w:val="34"/>
    <w:qFormat/>
    <w:pPr>
      <w:contextualSpacing/>
      <w:ind w:left="720"/>
    </w:pPr>
  </w:style>
  <w:style w:type="paragraph" w:styleId="852">
    <w:name w:val="无间隔1"/>
    <w:next w:val="852"/>
    <w:link w:val="720"/>
    <w:uiPriority w:val="1"/>
    <w:qFormat/>
    <w:rPr>
      <w:rFonts w:ascii="Times New Roman" w:hAnsi="Times New Roman" w:eastAsia="宋体" w:cs="Times New Roman"/>
      <w:lang w:val="en-US" w:eastAsia="zh-CN" w:bidi="ar-SA"/>
    </w:rPr>
  </w:style>
  <w:style w:type="paragraph" w:styleId="853">
    <w:name w:val="引用1"/>
    <w:basedOn w:val="720"/>
    <w:next w:val="720"/>
    <w:link w:val="854"/>
    <w:uiPriority w:val="29"/>
    <w:qFormat/>
    <w:pPr>
      <w:ind w:left="720" w:right="720"/>
    </w:pPr>
    <w:rPr>
      <w:i/>
    </w:rPr>
  </w:style>
  <w:style w:type="character" w:styleId="854">
    <w:name w:val="引用 字符"/>
    <w:next w:val="854"/>
    <w:link w:val="853"/>
    <w:uiPriority w:val="29"/>
    <w:qFormat/>
    <w:rPr>
      <w:i/>
    </w:rPr>
  </w:style>
  <w:style w:type="paragraph" w:styleId="855">
    <w:name w:val="明显引用1"/>
    <w:basedOn w:val="720"/>
    <w:next w:val="72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明显引用 字符"/>
    <w:next w:val="856"/>
    <w:link w:val="855"/>
    <w:uiPriority w:val="30"/>
    <w:qFormat/>
    <w:rPr>
      <w:i/>
    </w:rPr>
  </w:style>
  <w:style w:type="paragraph" w:styleId="857">
    <w:name w:val="Header1"/>
    <w:basedOn w:val="720"/>
    <w:next w:val="857"/>
    <w:link w:val="858"/>
    <w:uiPriority w:val="99"/>
    <w:unhideWhenUsed/>
    <w:qFormat/>
    <w:pPr>
      <w:tabs>
        <w:tab w:val="center" w:pos="7143" w:leader="none"/>
        <w:tab w:val="right" w:pos="14287" w:leader="none"/>
      </w:tabs>
    </w:pPr>
  </w:style>
  <w:style w:type="character" w:styleId="858">
    <w:name w:val="Header Char"/>
    <w:next w:val="858"/>
    <w:link w:val="857"/>
    <w:uiPriority w:val="99"/>
    <w:qFormat/>
  </w:style>
  <w:style w:type="paragraph" w:styleId="859">
    <w:name w:val="Footer1"/>
    <w:basedOn w:val="720"/>
    <w:next w:val="859"/>
    <w:link w:val="860"/>
    <w:uiPriority w:val="99"/>
    <w:unhideWhenUsed/>
    <w:qFormat/>
    <w:pPr>
      <w:tabs>
        <w:tab w:val="center" w:pos="7143" w:leader="none"/>
        <w:tab w:val="right" w:pos="14287" w:leader="none"/>
      </w:tabs>
    </w:pPr>
  </w:style>
  <w:style w:type="character" w:styleId="860">
    <w:name w:val="Footer Char"/>
    <w:next w:val="860"/>
    <w:link w:val="859"/>
    <w:uiPriority w:val="99"/>
    <w:qFormat/>
  </w:style>
  <w:style w:type="paragraph" w:styleId="861">
    <w:name w:val="Caption1"/>
    <w:basedOn w:val="720"/>
    <w:next w:val="720"/>
    <w:link w:val="720"/>
    <w:uiPriority w:val="35"/>
    <w:unhideWhenUsed/>
    <w:qFormat/>
    <w:pPr>
      <w:spacing w:line="276" w:lineRule="auto"/>
    </w:pPr>
    <w:rPr>
      <w:b/>
      <w:bCs/>
      <w:color w:val="4f81bd"/>
      <w:sz w:val="18"/>
      <w:szCs w:val="18"/>
    </w:rPr>
  </w:style>
  <w:style w:type="table" w:styleId="862">
    <w:name w:val="Table Grid Light"/>
    <w:next w:val="862"/>
    <w:link w:val="720"/>
    <w:uiPriority w:val="59"/>
    <w:qFormat/>
    <w:tblPr/>
  </w:style>
  <w:style w:type="table" w:styleId="863">
    <w:name w:val="Grid Table 1 Light - Accent 1"/>
    <w:next w:val="863"/>
    <w:link w:val="720"/>
    <w:uiPriority w:val="99"/>
    <w:qFormat/>
    <w:tblPr/>
  </w:style>
  <w:style w:type="table" w:styleId="864">
    <w:name w:val="Grid Table 1 Light - Accent 2"/>
    <w:next w:val="864"/>
    <w:link w:val="720"/>
    <w:uiPriority w:val="99"/>
    <w:qFormat/>
    <w:tblPr/>
  </w:style>
  <w:style w:type="table" w:styleId="865">
    <w:name w:val="Grid Table 1 Light - Accent 3"/>
    <w:next w:val="865"/>
    <w:link w:val="720"/>
    <w:uiPriority w:val="99"/>
    <w:qFormat/>
    <w:tblPr/>
  </w:style>
  <w:style w:type="table" w:styleId="866">
    <w:name w:val="Grid Table 1 Light - Accent 4"/>
    <w:next w:val="866"/>
    <w:link w:val="720"/>
    <w:uiPriority w:val="99"/>
    <w:qFormat/>
    <w:tblPr/>
  </w:style>
  <w:style w:type="table" w:styleId="867">
    <w:name w:val="Grid Table 1 Light - Accent 5"/>
    <w:next w:val="867"/>
    <w:link w:val="720"/>
    <w:uiPriority w:val="99"/>
    <w:qFormat/>
    <w:tblPr/>
  </w:style>
  <w:style w:type="table" w:styleId="868">
    <w:name w:val="Grid Table 1 Light - Accent 6"/>
    <w:next w:val="868"/>
    <w:link w:val="720"/>
    <w:uiPriority w:val="99"/>
    <w:qFormat/>
    <w:tblPr/>
  </w:style>
  <w:style w:type="table" w:styleId="869">
    <w:name w:val="Grid Table 2 - Accent 1"/>
    <w:next w:val="869"/>
    <w:link w:val="720"/>
    <w:uiPriority w:val="99"/>
    <w:qFormat/>
    <w:tblPr/>
  </w:style>
  <w:style w:type="table" w:styleId="870">
    <w:name w:val="Grid Table 2 - Accent 2"/>
    <w:next w:val="870"/>
    <w:link w:val="720"/>
    <w:uiPriority w:val="99"/>
    <w:qFormat/>
    <w:tblPr/>
  </w:style>
  <w:style w:type="table" w:styleId="871">
    <w:name w:val="Grid Table 2 - Accent 3"/>
    <w:next w:val="871"/>
    <w:link w:val="720"/>
    <w:uiPriority w:val="99"/>
    <w:qFormat/>
    <w:tblPr/>
  </w:style>
  <w:style w:type="table" w:styleId="872">
    <w:name w:val="Grid Table 2 - Accent 4"/>
    <w:next w:val="872"/>
    <w:link w:val="720"/>
    <w:uiPriority w:val="99"/>
    <w:qFormat/>
    <w:tblPr/>
  </w:style>
  <w:style w:type="table" w:styleId="873">
    <w:name w:val="Grid Table 2 - Accent 5"/>
    <w:next w:val="873"/>
    <w:link w:val="720"/>
    <w:uiPriority w:val="99"/>
    <w:qFormat/>
    <w:tblPr/>
  </w:style>
  <w:style w:type="table" w:styleId="874">
    <w:name w:val="Grid Table 2 - Accent 6"/>
    <w:next w:val="874"/>
    <w:link w:val="720"/>
    <w:uiPriority w:val="99"/>
    <w:qFormat/>
    <w:tblPr/>
  </w:style>
  <w:style w:type="table" w:styleId="875">
    <w:name w:val="Grid Table 3 - Accent 1"/>
    <w:next w:val="875"/>
    <w:link w:val="720"/>
    <w:uiPriority w:val="99"/>
    <w:qFormat/>
    <w:tblPr/>
  </w:style>
  <w:style w:type="table" w:styleId="876">
    <w:name w:val="Grid Table 3 - Accent 2"/>
    <w:next w:val="876"/>
    <w:link w:val="720"/>
    <w:uiPriority w:val="99"/>
    <w:qFormat/>
    <w:tblPr/>
  </w:style>
  <w:style w:type="table" w:styleId="877">
    <w:name w:val="Grid Table 3 - Accent 3"/>
    <w:next w:val="877"/>
    <w:link w:val="720"/>
    <w:uiPriority w:val="99"/>
    <w:qFormat/>
    <w:tblPr/>
  </w:style>
  <w:style w:type="table" w:styleId="878">
    <w:name w:val="Grid Table 3 - Accent 4"/>
    <w:next w:val="878"/>
    <w:link w:val="720"/>
    <w:uiPriority w:val="99"/>
    <w:qFormat/>
    <w:tblPr/>
  </w:style>
  <w:style w:type="table" w:styleId="879">
    <w:name w:val="Grid Table 3 - Accent 5"/>
    <w:next w:val="879"/>
    <w:link w:val="720"/>
    <w:uiPriority w:val="99"/>
    <w:qFormat/>
    <w:tblPr/>
  </w:style>
  <w:style w:type="table" w:styleId="880">
    <w:name w:val="Grid Table 3 - Accent 6"/>
    <w:next w:val="880"/>
    <w:link w:val="720"/>
    <w:uiPriority w:val="99"/>
    <w:qFormat/>
    <w:tblPr/>
  </w:style>
  <w:style w:type="table" w:styleId="881">
    <w:name w:val="Grid Table 4 - Accent 1"/>
    <w:next w:val="881"/>
    <w:link w:val="720"/>
    <w:uiPriority w:val="59"/>
    <w:qFormat/>
    <w:tblPr/>
  </w:style>
  <w:style w:type="table" w:styleId="882">
    <w:name w:val="Grid Table 4 - Accent 2"/>
    <w:next w:val="882"/>
    <w:link w:val="720"/>
    <w:uiPriority w:val="59"/>
    <w:qFormat/>
    <w:tblPr/>
  </w:style>
  <w:style w:type="table" w:styleId="883">
    <w:name w:val="Grid Table 4 - Accent 3"/>
    <w:next w:val="883"/>
    <w:link w:val="720"/>
    <w:uiPriority w:val="59"/>
    <w:qFormat/>
    <w:tblPr/>
  </w:style>
  <w:style w:type="table" w:styleId="884">
    <w:name w:val="Grid Table 4 - Accent 4"/>
    <w:next w:val="884"/>
    <w:link w:val="720"/>
    <w:uiPriority w:val="59"/>
    <w:qFormat/>
    <w:tblPr/>
  </w:style>
  <w:style w:type="table" w:styleId="885">
    <w:name w:val="Grid Table 4 - Accent 5"/>
    <w:next w:val="885"/>
    <w:link w:val="720"/>
    <w:uiPriority w:val="59"/>
    <w:qFormat/>
    <w:tblPr/>
  </w:style>
  <w:style w:type="table" w:styleId="886">
    <w:name w:val="Grid Table 4 - Accent 6"/>
    <w:next w:val="886"/>
    <w:link w:val="720"/>
    <w:uiPriority w:val="59"/>
    <w:qFormat/>
    <w:tblPr/>
  </w:style>
  <w:style w:type="table" w:styleId="887">
    <w:name w:val="Grid Table 5 Dark- Accent 1"/>
    <w:next w:val="887"/>
    <w:link w:val="720"/>
    <w:uiPriority w:val="99"/>
    <w:qFormat/>
    <w:tblPr/>
  </w:style>
  <w:style w:type="table" w:styleId="888">
    <w:name w:val="Grid Table 5 Dark - Accent 2"/>
    <w:next w:val="888"/>
    <w:link w:val="720"/>
    <w:uiPriority w:val="99"/>
    <w:qFormat/>
    <w:tblPr/>
  </w:style>
  <w:style w:type="table" w:styleId="889">
    <w:name w:val="Grid Table 5 Dark - Accent 3"/>
    <w:next w:val="889"/>
    <w:link w:val="720"/>
    <w:uiPriority w:val="99"/>
    <w:qFormat/>
    <w:tblPr/>
  </w:style>
  <w:style w:type="table" w:styleId="890">
    <w:name w:val="Grid Table 5 Dark- Accent 4"/>
    <w:next w:val="890"/>
    <w:link w:val="720"/>
    <w:uiPriority w:val="99"/>
    <w:qFormat/>
    <w:tblPr/>
  </w:style>
  <w:style w:type="table" w:styleId="891">
    <w:name w:val="Grid Table 5 Dark - Accent 5"/>
    <w:next w:val="891"/>
    <w:link w:val="720"/>
    <w:uiPriority w:val="99"/>
    <w:qFormat/>
    <w:tblPr/>
  </w:style>
  <w:style w:type="table" w:styleId="892">
    <w:name w:val="Grid Table 5 Dark - Accent 6"/>
    <w:next w:val="892"/>
    <w:link w:val="720"/>
    <w:uiPriority w:val="99"/>
    <w:qFormat/>
    <w:tblPr/>
  </w:style>
  <w:style w:type="table" w:styleId="893">
    <w:name w:val="Grid Table 6 Colorful - Accent 1"/>
    <w:next w:val="893"/>
    <w:link w:val="720"/>
    <w:uiPriority w:val="99"/>
    <w:qFormat/>
    <w:tblPr/>
  </w:style>
  <w:style w:type="table" w:styleId="894">
    <w:name w:val="Grid Table 6 Colorful - Accent 2"/>
    <w:next w:val="894"/>
    <w:link w:val="720"/>
    <w:uiPriority w:val="99"/>
    <w:qFormat/>
    <w:tblPr/>
  </w:style>
  <w:style w:type="table" w:styleId="895">
    <w:name w:val="Grid Table 6 Colorful - Accent 3"/>
    <w:next w:val="895"/>
    <w:link w:val="720"/>
    <w:uiPriority w:val="99"/>
    <w:qFormat/>
    <w:tblPr/>
  </w:style>
  <w:style w:type="table" w:styleId="896">
    <w:name w:val="Grid Table 6 Colorful - Accent 4"/>
    <w:next w:val="896"/>
    <w:link w:val="720"/>
    <w:uiPriority w:val="99"/>
    <w:qFormat/>
    <w:tblPr/>
  </w:style>
  <w:style w:type="table" w:styleId="897">
    <w:name w:val="Grid Table 6 Colorful - Accent 5"/>
    <w:next w:val="897"/>
    <w:link w:val="720"/>
    <w:uiPriority w:val="99"/>
    <w:qFormat/>
    <w:tblPr/>
  </w:style>
  <w:style w:type="table" w:styleId="898">
    <w:name w:val="Grid Table 6 Colorful - Accent 6"/>
    <w:next w:val="898"/>
    <w:link w:val="720"/>
    <w:uiPriority w:val="99"/>
    <w:qFormat/>
    <w:tblPr/>
  </w:style>
  <w:style w:type="table" w:styleId="899">
    <w:name w:val="Grid Table 7 Colorful - Accent 1"/>
    <w:next w:val="899"/>
    <w:link w:val="720"/>
    <w:uiPriority w:val="99"/>
    <w:qFormat/>
    <w:tblPr/>
  </w:style>
  <w:style w:type="table" w:styleId="900">
    <w:name w:val="Grid Table 7 Colorful - Accent 2"/>
    <w:next w:val="900"/>
    <w:link w:val="720"/>
    <w:uiPriority w:val="99"/>
    <w:qFormat/>
    <w:tblPr/>
  </w:style>
  <w:style w:type="table" w:styleId="901">
    <w:name w:val="Grid Table 7 Colorful - Accent 3"/>
    <w:next w:val="901"/>
    <w:link w:val="720"/>
    <w:uiPriority w:val="99"/>
    <w:qFormat/>
    <w:tblPr/>
  </w:style>
  <w:style w:type="table" w:styleId="902">
    <w:name w:val="Grid Table 7 Colorful - Accent 4"/>
    <w:next w:val="902"/>
    <w:link w:val="720"/>
    <w:uiPriority w:val="99"/>
    <w:qFormat/>
    <w:tblPr/>
  </w:style>
  <w:style w:type="table" w:styleId="903">
    <w:name w:val="Grid Table 7 Colorful - Accent 5"/>
    <w:next w:val="903"/>
    <w:link w:val="720"/>
    <w:uiPriority w:val="99"/>
    <w:qFormat/>
    <w:tblPr/>
  </w:style>
  <w:style w:type="table" w:styleId="904">
    <w:name w:val="Grid Table 7 Colorful - Accent 6"/>
    <w:next w:val="904"/>
    <w:link w:val="720"/>
    <w:uiPriority w:val="99"/>
    <w:qFormat/>
    <w:tblPr/>
  </w:style>
  <w:style w:type="table" w:styleId="905">
    <w:name w:val="List Table 1 Light - Accent 1"/>
    <w:next w:val="905"/>
    <w:link w:val="720"/>
    <w:uiPriority w:val="99"/>
    <w:qFormat/>
    <w:tblPr/>
  </w:style>
  <w:style w:type="table" w:styleId="906">
    <w:name w:val="List Table 1 Light - Accent 2"/>
    <w:next w:val="906"/>
    <w:link w:val="720"/>
    <w:uiPriority w:val="99"/>
    <w:qFormat/>
    <w:tblPr/>
  </w:style>
  <w:style w:type="table" w:styleId="907">
    <w:name w:val="List Table 1 Light - Accent 3"/>
    <w:next w:val="907"/>
    <w:link w:val="720"/>
    <w:uiPriority w:val="99"/>
    <w:qFormat/>
    <w:tblPr/>
  </w:style>
  <w:style w:type="table" w:styleId="908">
    <w:name w:val="List Table 1 Light - Accent 4"/>
    <w:next w:val="908"/>
    <w:link w:val="720"/>
    <w:uiPriority w:val="99"/>
    <w:qFormat/>
    <w:tblPr/>
  </w:style>
  <w:style w:type="table" w:styleId="909">
    <w:name w:val="List Table 1 Light - Accent 5"/>
    <w:next w:val="909"/>
    <w:link w:val="720"/>
    <w:uiPriority w:val="99"/>
    <w:qFormat/>
    <w:tblPr/>
  </w:style>
  <w:style w:type="table" w:styleId="910">
    <w:name w:val="List Table 1 Light - Accent 6"/>
    <w:next w:val="910"/>
    <w:link w:val="720"/>
    <w:uiPriority w:val="99"/>
    <w:qFormat/>
    <w:tblPr/>
  </w:style>
  <w:style w:type="table" w:styleId="911">
    <w:name w:val="List Table 2 - Accent 1"/>
    <w:next w:val="911"/>
    <w:link w:val="720"/>
    <w:uiPriority w:val="99"/>
    <w:qFormat/>
    <w:tblPr/>
  </w:style>
  <w:style w:type="table" w:styleId="912">
    <w:name w:val="List Table 2 - Accent 2"/>
    <w:next w:val="912"/>
    <w:link w:val="720"/>
    <w:uiPriority w:val="99"/>
    <w:qFormat/>
    <w:tblPr/>
  </w:style>
  <w:style w:type="table" w:styleId="913">
    <w:name w:val="List Table 2 - Accent 3"/>
    <w:next w:val="913"/>
    <w:link w:val="720"/>
    <w:uiPriority w:val="99"/>
    <w:qFormat/>
    <w:tblPr/>
  </w:style>
  <w:style w:type="table" w:styleId="914">
    <w:name w:val="List Table 2 - Accent 4"/>
    <w:next w:val="914"/>
    <w:link w:val="720"/>
    <w:uiPriority w:val="99"/>
    <w:qFormat/>
    <w:tblPr/>
  </w:style>
  <w:style w:type="table" w:styleId="915">
    <w:name w:val="List Table 2 - Accent 5"/>
    <w:next w:val="915"/>
    <w:link w:val="720"/>
    <w:uiPriority w:val="99"/>
    <w:qFormat/>
    <w:tblPr/>
  </w:style>
  <w:style w:type="table" w:styleId="916">
    <w:name w:val="List Table 2 - Accent 6"/>
    <w:next w:val="916"/>
    <w:link w:val="720"/>
    <w:uiPriority w:val="99"/>
    <w:qFormat/>
    <w:tblPr/>
  </w:style>
  <w:style w:type="table" w:styleId="917">
    <w:name w:val="List Table 3 - Accent 1"/>
    <w:next w:val="917"/>
    <w:link w:val="720"/>
    <w:uiPriority w:val="99"/>
    <w:qFormat/>
    <w:tblPr/>
  </w:style>
  <w:style w:type="table" w:styleId="918">
    <w:name w:val="List Table 3 - Accent 2"/>
    <w:next w:val="918"/>
    <w:link w:val="720"/>
    <w:uiPriority w:val="99"/>
    <w:qFormat/>
    <w:tblPr/>
  </w:style>
  <w:style w:type="table" w:styleId="919">
    <w:name w:val="List Table 3 - Accent 3"/>
    <w:next w:val="919"/>
    <w:link w:val="720"/>
    <w:uiPriority w:val="99"/>
    <w:qFormat/>
    <w:tblPr/>
  </w:style>
  <w:style w:type="table" w:styleId="920">
    <w:name w:val="List Table 3 - Accent 4"/>
    <w:next w:val="920"/>
    <w:link w:val="720"/>
    <w:uiPriority w:val="99"/>
    <w:qFormat/>
    <w:tblPr/>
  </w:style>
  <w:style w:type="table" w:styleId="921">
    <w:name w:val="List Table 3 - Accent 5"/>
    <w:next w:val="921"/>
    <w:link w:val="720"/>
    <w:uiPriority w:val="99"/>
    <w:qFormat/>
    <w:tblPr/>
  </w:style>
  <w:style w:type="table" w:styleId="922">
    <w:name w:val="List Table 3 - Accent 6"/>
    <w:next w:val="922"/>
    <w:link w:val="720"/>
    <w:uiPriority w:val="99"/>
    <w:qFormat/>
    <w:tblPr/>
  </w:style>
  <w:style w:type="table" w:styleId="923">
    <w:name w:val="List Table 4 - Accent 1"/>
    <w:next w:val="923"/>
    <w:link w:val="720"/>
    <w:uiPriority w:val="99"/>
    <w:qFormat/>
    <w:tblPr/>
  </w:style>
  <w:style w:type="table" w:styleId="924">
    <w:name w:val="List Table 4 - Accent 2"/>
    <w:next w:val="924"/>
    <w:link w:val="720"/>
    <w:uiPriority w:val="99"/>
    <w:qFormat/>
    <w:tblPr/>
  </w:style>
  <w:style w:type="table" w:styleId="925">
    <w:name w:val="List Table 4 - Accent 3"/>
    <w:next w:val="925"/>
    <w:link w:val="720"/>
    <w:uiPriority w:val="99"/>
    <w:qFormat/>
    <w:tblPr/>
  </w:style>
  <w:style w:type="table" w:styleId="926">
    <w:name w:val="List Table 4 - Accent 4"/>
    <w:next w:val="926"/>
    <w:link w:val="720"/>
    <w:uiPriority w:val="99"/>
    <w:qFormat/>
    <w:tblPr/>
  </w:style>
  <w:style w:type="table" w:styleId="927">
    <w:name w:val="List Table 4 - Accent 5"/>
    <w:next w:val="927"/>
    <w:link w:val="720"/>
    <w:uiPriority w:val="99"/>
    <w:qFormat/>
    <w:tblPr/>
  </w:style>
  <w:style w:type="table" w:styleId="928">
    <w:name w:val="List Table 4 - Accent 6"/>
    <w:next w:val="928"/>
    <w:link w:val="720"/>
    <w:uiPriority w:val="99"/>
    <w:qFormat/>
    <w:tblPr/>
  </w:style>
  <w:style w:type="table" w:styleId="929">
    <w:name w:val="List Table 5 Dark - Accent 1"/>
    <w:next w:val="929"/>
    <w:link w:val="720"/>
    <w:uiPriority w:val="99"/>
    <w:qFormat/>
    <w:tblPr/>
  </w:style>
  <w:style w:type="table" w:styleId="930">
    <w:name w:val="List Table 5 Dark - Accent 2"/>
    <w:next w:val="930"/>
    <w:link w:val="720"/>
    <w:uiPriority w:val="99"/>
    <w:qFormat/>
    <w:tblPr/>
  </w:style>
  <w:style w:type="table" w:styleId="931">
    <w:name w:val="List Table 5 Dark - Accent 3"/>
    <w:next w:val="931"/>
    <w:link w:val="720"/>
    <w:uiPriority w:val="99"/>
    <w:qFormat/>
    <w:tblPr/>
  </w:style>
  <w:style w:type="table" w:styleId="932">
    <w:name w:val="List Table 5 Dark - Accent 4"/>
    <w:next w:val="932"/>
    <w:link w:val="720"/>
    <w:uiPriority w:val="99"/>
    <w:qFormat/>
    <w:tblPr/>
  </w:style>
  <w:style w:type="table" w:styleId="933">
    <w:name w:val="List Table 5 Dark - Accent 5"/>
    <w:next w:val="933"/>
    <w:link w:val="720"/>
    <w:uiPriority w:val="99"/>
    <w:qFormat/>
    <w:tblPr/>
  </w:style>
  <w:style w:type="table" w:styleId="934">
    <w:name w:val="List Table 5 Dark - Accent 6"/>
    <w:next w:val="934"/>
    <w:link w:val="720"/>
    <w:uiPriority w:val="99"/>
    <w:qFormat/>
    <w:tblPr/>
  </w:style>
  <w:style w:type="table" w:styleId="935">
    <w:name w:val="List Table 6 Colorful - Accent 1"/>
    <w:next w:val="935"/>
    <w:link w:val="720"/>
    <w:uiPriority w:val="99"/>
    <w:qFormat/>
    <w:tblPr/>
  </w:style>
  <w:style w:type="table" w:styleId="936">
    <w:name w:val="List Table 6 Colorful - Accent 2"/>
    <w:next w:val="936"/>
    <w:link w:val="720"/>
    <w:uiPriority w:val="99"/>
    <w:qFormat/>
    <w:tblPr/>
  </w:style>
  <w:style w:type="table" w:styleId="937">
    <w:name w:val="List Table 6 Colorful - Accent 3"/>
    <w:next w:val="937"/>
    <w:link w:val="720"/>
    <w:uiPriority w:val="99"/>
    <w:qFormat/>
    <w:tblPr/>
  </w:style>
  <w:style w:type="table" w:styleId="938">
    <w:name w:val="List Table 6 Colorful - Accent 4"/>
    <w:next w:val="938"/>
    <w:link w:val="720"/>
    <w:uiPriority w:val="99"/>
    <w:qFormat/>
    <w:tblPr/>
  </w:style>
  <w:style w:type="table" w:styleId="939">
    <w:name w:val="List Table 6 Colorful - Accent 5"/>
    <w:next w:val="939"/>
    <w:link w:val="720"/>
    <w:uiPriority w:val="99"/>
    <w:qFormat/>
    <w:tblPr/>
  </w:style>
  <w:style w:type="table" w:styleId="940">
    <w:name w:val="List Table 6 Colorful - Accent 6"/>
    <w:next w:val="940"/>
    <w:link w:val="720"/>
    <w:uiPriority w:val="99"/>
    <w:qFormat/>
    <w:tblPr/>
  </w:style>
  <w:style w:type="table" w:styleId="941">
    <w:name w:val="List Table 7 Colorful - Accent 1"/>
    <w:next w:val="941"/>
    <w:link w:val="720"/>
    <w:uiPriority w:val="99"/>
    <w:qFormat/>
    <w:tblPr/>
  </w:style>
  <w:style w:type="table" w:styleId="942">
    <w:name w:val="List Table 7 Colorful - Accent 2"/>
    <w:next w:val="942"/>
    <w:link w:val="720"/>
    <w:uiPriority w:val="99"/>
    <w:qFormat/>
    <w:tblPr/>
  </w:style>
  <w:style w:type="table" w:styleId="943">
    <w:name w:val="List Table 7 Colorful - Accent 3"/>
    <w:next w:val="943"/>
    <w:link w:val="720"/>
    <w:uiPriority w:val="99"/>
    <w:qFormat/>
    <w:tblPr/>
  </w:style>
  <w:style w:type="table" w:styleId="944">
    <w:name w:val="List Table 7 Colorful - Accent 4"/>
    <w:next w:val="944"/>
    <w:link w:val="720"/>
    <w:uiPriority w:val="99"/>
    <w:qFormat/>
    <w:tblPr/>
  </w:style>
  <w:style w:type="table" w:styleId="945">
    <w:name w:val="List Table 7 Colorful - Accent 5"/>
    <w:next w:val="945"/>
    <w:link w:val="720"/>
    <w:uiPriority w:val="99"/>
    <w:qFormat/>
    <w:tblPr/>
  </w:style>
  <w:style w:type="table" w:styleId="946">
    <w:name w:val="List Table 7 Colorful - Accent 6"/>
    <w:next w:val="946"/>
    <w:link w:val="720"/>
    <w:uiPriority w:val="99"/>
    <w:qFormat/>
    <w:tblPr/>
  </w:style>
  <w:style w:type="table" w:styleId="947">
    <w:name w:val="Lined - Accent"/>
    <w:next w:val="947"/>
    <w:link w:val="720"/>
    <w:uiPriority w:val="99"/>
    <w:qFormat/>
    <w:rPr>
      <w:color w:val="404040"/>
    </w:rPr>
    <w:tblPr/>
  </w:style>
  <w:style w:type="table" w:styleId="948">
    <w:name w:val="Lined - Accent 1"/>
    <w:next w:val="948"/>
    <w:link w:val="720"/>
    <w:uiPriority w:val="99"/>
    <w:qFormat/>
    <w:rPr>
      <w:color w:val="404040"/>
    </w:rPr>
    <w:tblPr/>
  </w:style>
  <w:style w:type="table" w:styleId="949">
    <w:name w:val="Lined - Accent 2"/>
    <w:next w:val="949"/>
    <w:link w:val="720"/>
    <w:uiPriority w:val="99"/>
    <w:qFormat/>
    <w:rPr>
      <w:color w:val="404040"/>
    </w:rPr>
    <w:tblPr/>
  </w:style>
  <w:style w:type="table" w:styleId="950">
    <w:name w:val="Lined - Accent 3"/>
    <w:next w:val="950"/>
    <w:link w:val="720"/>
    <w:uiPriority w:val="99"/>
    <w:qFormat/>
    <w:rPr>
      <w:color w:val="404040"/>
    </w:rPr>
    <w:tblPr/>
  </w:style>
  <w:style w:type="table" w:styleId="951">
    <w:name w:val="Lined - Accent 4"/>
    <w:next w:val="951"/>
    <w:link w:val="720"/>
    <w:uiPriority w:val="99"/>
    <w:qFormat/>
    <w:rPr>
      <w:color w:val="404040"/>
    </w:rPr>
    <w:tblPr/>
  </w:style>
  <w:style w:type="table" w:styleId="952">
    <w:name w:val="Lined - Accent 5"/>
    <w:next w:val="952"/>
    <w:link w:val="720"/>
    <w:uiPriority w:val="99"/>
    <w:qFormat/>
    <w:rPr>
      <w:color w:val="404040"/>
    </w:rPr>
    <w:tblPr/>
  </w:style>
  <w:style w:type="table" w:styleId="953">
    <w:name w:val="Lined - Accent 6"/>
    <w:next w:val="953"/>
    <w:link w:val="720"/>
    <w:uiPriority w:val="99"/>
    <w:qFormat/>
    <w:rPr>
      <w:color w:val="404040"/>
    </w:rPr>
    <w:tblPr/>
  </w:style>
  <w:style w:type="table" w:styleId="954">
    <w:name w:val="Bordered &amp; Lined - Accent"/>
    <w:next w:val="954"/>
    <w:link w:val="720"/>
    <w:uiPriority w:val="99"/>
    <w:qFormat/>
    <w:rPr>
      <w:color w:val="404040"/>
    </w:rPr>
    <w:tblPr/>
  </w:style>
  <w:style w:type="table" w:styleId="955">
    <w:name w:val="Bordered &amp; Lined - Accent 1"/>
    <w:next w:val="955"/>
    <w:link w:val="720"/>
    <w:uiPriority w:val="99"/>
    <w:qFormat/>
    <w:rPr>
      <w:color w:val="404040"/>
    </w:rPr>
    <w:tblPr/>
  </w:style>
  <w:style w:type="table" w:styleId="956">
    <w:name w:val="Bordered &amp; Lined - Accent 2"/>
    <w:next w:val="956"/>
    <w:link w:val="720"/>
    <w:uiPriority w:val="99"/>
    <w:qFormat/>
    <w:rPr>
      <w:color w:val="404040"/>
    </w:rPr>
    <w:tblPr/>
  </w:style>
  <w:style w:type="table" w:styleId="957">
    <w:name w:val="Bordered &amp; Lined - Accent 3"/>
    <w:next w:val="957"/>
    <w:link w:val="720"/>
    <w:uiPriority w:val="99"/>
    <w:qFormat/>
    <w:rPr>
      <w:color w:val="404040"/>
    </w:rPr>
    <w:tblPr/>
  </w:style>
  <w:style w:type="table" w:styleId="958">
    <w:name w:val="Bordered &amp; Lined - Accent 4"/>
    <w:next w:val="958"/>
    <w:link w:val="720"/>
    <w:uiPriority w:val="99"/>
    <w:qFormat/>
    <w:rPr>
      <w:color w:val="404040"/>
    </w:rPr>
    <w:tblPr/>
  </w:style>
  <w:style w:type="table" w:styleId="959">
    <w:name w:val="Bordered &amp; Lined - Accent 5"/>
    <w:next w:val="959"/>
    <w:link w:val="720"/>
    <w:uiPriority w:val="99"/>
    <w:qFormat/>
    <w:rPr>
      <w:color w:val="404040"/>
    </w:rPr>
    <w:tblPr/>
  </w:style>
  <w:style w:type="table" w:styleId="960">
    <w:name w:val="Bordered &amp; Lined - Accent 6"/>
    <w:next w:val="960"/>
    <w:link w:val="720"/>
    <w:uiPriority w:val="99"/>
    <w:qFormat/>
    <w:rPr>
      <w:color w:val="404040"/>
    </w:rPr>
    <w:tblPr/>
  </w:style>
  <w:style w:type="table" w:styleId="961">
    <w:name w:val="Bordered"/>
    <w:next w:val="961"/>
    <w:link w:val="720"/>
    <w:uiPriority w:val="99"/>
    <w:qFormat/>
    <w:tblPr/>
  </w:style>
  <w:style w:type="table" w:styleId="962">
    <w:name w:val="Bordered - Accent 1"/>
    <w:next w:val="962"/>
    <w:link w:val="720"/>
    <w:uiPriority w:val="99"/>
    <w:qFormat/>
    <w:tblPr/>
  </w:style>
  <w:style w:type="table" w:styleId="963">
    <w:name w:val="Bordered - Accent 2"/>
    <w:next w:val="963"/>
    <w:link w:val="720"/>
    <w:uiPriority w:val="99"/>
    <w:qFormat/>
    <w:tblPr/>
  </w:style>
  <w:style w:type="table" w:styleId="964">
    <w:name w:val="Bordered - Accent 3"/>
    <w:next w:val="964"/>
    <w:link w:val="720"/>
    <w:uiPriority w:val="99"/>
    <w:qFormat/>
    <w:tblPr/>
  </w:style>
  <w:style w:type="table" w:styleId="965">
    <w:name w:val="Bordered - Accent 4"/>
    <w:next w:val="965"/>
    <w:link w:val="720"/>
    <w:uiPriority w:val="99"/>
    <w:qFormat/>
    <w:tblPr/>
  </w:style>
  <w:style w:type="table" w:styleId="966">
    <w:name w:val="Bordered - Accent 5"/>
    <w:next w:val="966"/>
    <w:link w:val="720"/>
    <w:uiPriority w:val="99"/>
    <w:qFormat/>
    <w:tblPr/>
  </w:style>
  <w:style w:type="table" w:styleId="967">
    <w:name w:val="Bordered - Accent 6"/>
    <w:next w:val="967"/>
    <w:link w:val="720"/>
    <w:uiPriority w:val="99"/>
    <w:qFormat/>
    <w:tblPr/>
  </w:style>
  <w:style w:type="paragraph" w:styleId="968">
    <w:name w:val="TOC 标题2"/>
    <w:next w:val="968"/>
    <w:link w:val="720"/>
    <w:uiPriority w:val="39"/>
    <w:qFormat/>
    <w:rPr>
      <w:rFonts w:ascii="Times New Roman" w:hAnsi="Times New Roman" w:eastAsia="宋体" w:cs="Times New Roman"/>
      <w:lang w:val="en-US" w:eastAsia="zh-CN" w:bidi="ar-SA"/>
    </w:rPr>
  </w:style>
  <w:style w:type="paragraph" w:styleId="969">
    <w:name w:val="标题 11"/>
    <w:basedOn w:val="720"/>
    <w:next w:val="720"/>
    <w:link w:val="970"/>
    <w:qFormat/>
    <w:pPr>
      <w:keepLines/>
      <w:keepNext/>
      <w:spacing w:before="340" w:after="330" w:line="578" w:lineRule="auto"/>
      <w:outlineLvl w:val="0"/>
    </w:pPr>
    <w:rPr>
      <w:b/>
      <w:bCs/>
      <w:sz w:val="44"/>
      <w:szCs w:val="44"/>
    </w:rPr>
  </w:style>
  <w:style w:type="character" w:styleId="970">
    <w:name w:val="标题 1 Char"/>
    <w:next w:val="970"/>
    <w:link w:val="969"/>
    <w:qFormat/>
    <w:rPr>
      <w:rFonts w:ascii="Times New Roman" w:hAnsi="Times New Roman" w:eastAsia="宋体" w:cs="Times New Roman"/>
      <w:b/>
      <w:bCs/>
      <w:sz w:val="44"/>
      <w:szCs w:val="44"/>
    </w:rPr>
  </w:style>
  <w:style w:type="paragraph" w:styleId="971">
    <w:name w:val="标题 21"/>
    <w:basedOn w:val="720"/>
    <w:next w:val="720"/>
    <w:link w:val="972"/>
    <w:uiPriority w:val="9"/>
    <w:qFormat/>
    <w:pPr>
      <w:keepLines/>
      <w:keepNext/>
      <w:spacing w:before="260" w:after="260" w:line="416" w:lineRule="auto"/>
      <w:outlineLvl w:val="1"/>
    </w:pPr>
    <w:rPr>
      <w:rFonts w:ascii="Arial" w:hAnsi="Arial" w:eastAsia="黑体"/>
      <w:b/>
      <w:bCs/>
      <w:sz w:val="32"/>
      <w:szCs w:val="32"/>
    </w:rPr>
  </w:style>
  <w:style w:type="character" w:styleId="972">
    <w:name w:val="标题 2 Char"/>
    <w:next w:val="972"/>
    <w:link w:val="971"/>
    <w:uiPriority w:val="9"/>
    <w:qFormat/>
    <w:rPr>
      <w:rFonts w:ascii="Arial" w:hAnsi="Arial" w:eastAsia="黑体" w:cs="Times New Roman"/>
      <w:b/>
      <w:bCs/>
      <w:sz w:val="32"/>
      <w:szCs w:val="32"/>
    </w:rPr>
  </w:style>
  <w:style w:type="paragraph" w:styleId="973">
    <w:name w:val="标题 31"/>
    <w:basedOn w:val="720"/>
    <w:next w:val="720"/>
    <w:link w:val="974"/>
    <w:qFormat/>
    <w:pPr>
      <w:ind w:firstLine="49"/>
      <w:keepLines/>
      <w:keepNext/>
      <w:spacing w:before="20" w:after="20" w:line="415" w:lineRule="auto"/>
      <w:outlineLvl w:val="2"/>
    </w:pPr>
    <w:rPr>
      <w:rFonts w:hAnsi="黑体" w:eastAsia="黑体"/>
      <w:sz w:val="24"/>
      <w:szCs w:val="20"/>
    </w:rPr>
  </w:style>
  <w:style w:type="character" w:styleId="974">
    <w:name w:val="标题 3 Char"/>
    <w:next w:val="974"/>
    <w:link w:val="973"/>
    <w:qFormat/>
    <w:rPr>
      <w:rFonts w:ascii="Times New Roman" w:hAnsi="黑体" w:eastAsia="黑体" w:cs="Times New Roman"/>
      <w:sz w:val="24"/>
      <w:szCs w:val="20"/>
    </w:rPr>
  </w:style>
  <w:style w:type="paragraph" w:styleId="975">
    <w:name w:val="标题 41"/>
    <w:basedOn w:val="720"/>
    <w:next w:val="720"/>
    <w:link w:val="976"/>
    <w:uiPriority w:val="1"/>
    <w:qFormat/>
    <w:pPr>
      <w:keepLines/>
      <w:keepNext/>
      <w:spacing w:before="280" w:after="290" w:line="376" w:lineRule="auto"/>
      <w:outlineLvl w:val="3"/>
    </w:pPr>
    <w:rPr>
      <w:rFonts w:ascii="Cambria" w:hAnsi="Cambria"/>
      <w:b/>
      <w:bCs/>
      <w:sz w:val="28"/>
      <w:szCs w:val="28"/>
    </w:rPr>
  </w:style>
  <w:style w:type="character" w:styleId="976">
    <w:name w:val="标题 4 Char"/>
    <w:next w:val="976"/>
    <w:link w:val="975"/>
    <w:uiPriority w:val="1"/>
    <w:qFormat/>
    <w:rPr>
      <w:rFonts w:ascii="Cambria" w:hAnsi="Cambria" w:eastAsia="宋体" w:cs="Times New Roman"/>
      <w:b/>
      <w:bCs/>
      <w:sz w:val="28"/>
      <w:szCs w:val="28"/>
    </w:rPr>
  </w:style>
  <w:style w:type="character" w:styleId="977">
    <w:name w:val="默认段落字体1"/>
    <w:next w:val="977"/>
    <w:link w:val="720"/>
    <w:uiPriority w:val="1"/>
    <w:unhideWhenUsed/>
    <w:qFormat/>
  </w:style>
  <w:style w:type="table" w:styleId="978">
    <w:name w:val="普通表格1"/>
    <w:next w:val="978"/>
    <w:link w:val="720"/>
    <w:uiPriority w:val="99"/>
    <w:unhideWhenUsed/>
    <w:qFormat/>
    <w:tblPr/>
  </w:style>
  <w:style w:type="paragraph" w:styleId="979">
    <w:name w:val="目录 71"/>
    <w:basedOn w:val="720"/>
    <w:next w:val="720"/>
    <w:link w:val="720"/>
    <w:qFormat/>
    <w:pPr>
      <w:ind w:left="1200"/>
    </w:pPr>
    <w:rPr>
      <w:szCs w:val="24"/>
    </w:rPr>
  </w:style>
  <w:style w:type="paragraph" w:styleId="980">
    <w:name w:val="正文缩进1"/>
    <w:basedOn w:val="720"/>
    <w:next w:val="980"/>
    <w:link w:val="720"/>
    <w:qFormat/>
    <w:pPr>
      <w:ind w:firstLine="200"/>
    </w:pPr>
    <w:rPr>
      <w:szCs w:val="24"/>
    </w:rPr>
  </w:style>
  <w:style w:type="paragraph" w:styleId="981">
    <w:name w:val="批注文字1"/>
    <w:basedOn w:val="720"/>
    <w:next w:val="981"/>
    <w:link w:val="982"/>
    <w:qFormat/>
    <w:pPr>
      <w:jc w:val="left"/>
    </w:pPr>
    <w:rPr>
      <w:sz w:val="20"/>
      <w:szCs w:val="24"/>
    </w:rPr>
  </w:style>
  <w:style w:type="character" w:styleId="982">
    <w:name w:val="批注文字 Char"/>
    <w:next w:val="982"/>
    <w:link w:val="981"/>
    <w:qFormat/>
    <w:rPr>
      <w:rFonts w:ascii="Times New Roman" w:hAnsi="Times New Roman" w:eastAsia="宋体" w:cs="Times New Roman"/>
      <w:szCs w:val="24"/>
    </w:rPr>
  </w:style>
  <w:style w:type="paragraph" w:styleId="983">
    <w:name w:val="正文文本1"/>
    <w:basedOn w:val="720"/>
    <w:next w:val="720"/>
    <w:link w:val="984"/>
    <w:qFormat/>
    <w:pPr>
      <w:spacing w:after="120"/>
    </w:pPr>
    <w:rPr>
      <w:sz w:val="20"/>
      <w:szCs w:val="24"/>
    </w:rPr>
  </w:style>
  <w:style w:type="character" w:styleId="984">
    <w:name w:val="正文文本 Char"/>
    <w:next w:val="984"/>
    <w:link w:val="983"/>
    <w:uiPriority w:val="99"/>
    <w:qFormat/>
    <w:rPr>
      <w:rFonts w:ascii="Times New Roman" w:hAnsi="Times New Roman" w:eastAsia="宋体" w:cs="Times New Roman"/>
      <w:szCs w:val="24"/>
    </w:rPr>
  </w:style>
  <w:style w:type="paragraph" w:styleId="985">
    <w:name w:val="目录 51"/>
    <w:basedOn w:val="720"/>
    <w:next w:val="720"/>
    <w:link w:val="720"/>
    <w:qFormat/>
    <w:pPr>
      <w:ind w:left="800"/>
    </w:pPr>
    <w:rPr>
      <w:szCs w:val="24"/>
    </w:rPr>
  </w:style>
  <w:style w:type="paragraph" w:styleId="986">
    <w:name w:val="目录 31"/>
    <w:basedOn w:val="720"/>
    <w:next w:val="720"/>
    <w:link w:val="720"/>
    <w:qFormat/>
    <w:pPr>
      <w:ind w:left="400"/>
    </w:pPr>
    <w:rPr>
      <w:szCs w:val="24"/>
    </w:rPr>
  </w:style>
  <w:style w:type="paragraph" w:styleId="987">
    <w:name w:val="纯文本2"/>
    <w:basedOn w:val="720"/>
    <w:next w:val="987"/>
    <w:link w:val="988"/>
    <w:qFormat/>
    <w:rPr>
      <w:rFonts w:ascii="宋体" w:hAnsi="Courier New"/>
      <w:sz w:val="20"/>
      <w:szCs w:val="20"/>
    </w:rPr>
  </w:style>
  <w:style w:type="character" w:styleId="988">
    <w:name w:val="纯文本 Char"/>
    <w:next w:val="988"/>
    <w:link w:val="987"/>
    <w:qFormat/>
    <w:rPr>
      <w:rFonts w:ascii="宋体" w:hAnsi="Courier New" w:eastAsia="宋体" w:cs="Times New Roman"/>
      <w:szCs w:val="20"/>
    </w:rPr>
  </w:style>
  <w:style w:type="paragraph" w:styleId="989">
    <w:name w:val="目录 81"/>
    <w:basedOn w:val="720"/>
    <w:next w:val="720"/>
    <w:link w:val="720"/>
    <w:qFormat/>
    <w:pPr>
      <w:ind w:left="1400"/>
    </w:pPr>
    <w:rPr>
      <w:szCs w:val="24"/>
    </w:rPr>
  </w:style>
  <w:style w:type="paragraph" w:styleId="990">
    <w:name w:val="日期1"/>
    <w:basedOn w:val="720"/>
    <w:next w:val="720"/>
    <w:link w:val="991"/>
    <w:qFormat/>
    <w:rPr>
      <w:rFonts w:ascii="宋体" w:hAnsi="宋体" w:eastAsia="楷体_GB2312"/>
      <w:sz w:val="24"/>
      <w:szCs w:val="20"/>
    </w:rPr>
  </w:style>
  <w:style w:type="character" w:styleId="991">
    <w:name w:val="日期 Char"/>
    <w:next w:val="991"/>
    <w:link w:val="990"/>
    <w:qFormat/>
    <w:rPr>
      <w:rFonts w:ascii="宋体" w:hAnsi="宋体" w:eastAsia="楷体_GB2312" w:cs="Times New Roman"/>
      <w:sz w:val="24"/>
      <w:szCs w:val="20"/>
    </w:rPr>
  </w:style>
  <w:style w:type="paragraph" w:styleId="992">
    <w:name w:val="批注框文本1"/>
    <w:basedOn w:val="720"/>
    <w:next w:val="992"/>
    <w:link w:val="993"/>
    <w:qFormat/>
    <w:rPr>
      <w:sz w:val="18"/>
      <w:szCs w:val="18"/>
    </w:rPr>
  </w:style>
  <w:style w:type="character" w:styleId="993">
    <w:name w:val="批注框文本 Char"/>
    <w:next w:val="993"/>
    <w:link w:val="992"/>
    <w:qFormat/>
    <w:rPr>
      <w:rFonts w:ascii="Times New Roman" w:hAnsi="Times New Roman" w:eastAsia="宋体" w:cs="Times New Roman"/>
      <w:sz w:val="18"/>
      <w:szCs w:val="18"/>
    </w:rPr>
  </w:style>
  <w:style w:type="paragraph" w:styleId="994">
    <w:name w:val="页脚1"/>
    <w:basedOn w:val="720"/>
    <w:next w:val="994"/>
    <w:link w:val="995"/>
    <w:uiPriority w:val="99"/>
    <w:qFormat/>
    <w:pPr>
      <w:jc w:val="left"/>
      <w:tabs>
        <w:tab w:val="center" w:pos="4153" w:leader="none"/>
        <w:tab w:val="right" w:pos="8306" w:leader="none"/>
      </w:tabs>
    </w:pPr>
    <w:rPr>
      <w:sz w:val="18"/>
      <w:szCs w:val="20"/>
    </w:rPr>
  </w:style>
  <w:style w:type="character" w:styleId="995">
    <w:name w:val="页脚 Char"/>
    <w:next w:val="995"/>
    <w:link w:val="994"/>
    <w:uiPriority w:val="99"/>
    <w:qFormat/>
    <w:rPr>
      <w:rFonts w:ascii="Times New Roman" w:hAnsi="Times New Roman" w:eastAsia="宋体" w:cs="Times New Roman"/>
      <w:sz w:val="18"/>
      <w:szCs w:val="20"/>
    </w:rPr>
  </w:style>
  <w:style w:type="paragraph" w:styleId="996">
    <w:name w:val="页眉1"/>
    <w:basedOn w:val="720"/>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Char"/>
    <w:next w:val="997"/>
    <w:link w:val="996"/>
    <w:qFormat/>
    <w:rPr>
      <w:rFonts w:ascii="Times New Roman" w:hAnsi="Times New Roman" w:eastAsia="宋体" w:cs="Times New Roman"/>
      <w:sz w:val="18"/>
      <w:szCs w:val="18"/>
    </w:rPr>
  </w:style>
  <w:style w:type="paragraph" w:styleId="998">
    <w:name w:val="目录 11"/>
    <w:basedOn w:val="720"/>
    <w:next w:val="720"/>
    <w:link w:val="720"/>
    <w:uiPriority w:val="39"/>
    <w:qFormat/>
    <w:rPr>
      <w:szCs w:val="24"/>
    </w:rPr>
  </w:style>
  <w:style w:type="paragraph" w:styleId="999">
    <w:name w:val="目录 41"/>
    <w:basedOn w:val="720"/>
    <w:next w:val="720"/>
    <w:link w:val="720"/>
    <w:qFormat/>
    <w:pPr>
      <w:ind w:left="600"/>
    </w:pPr>
    <w:rPr>
      <w:szCs w:val="24"/>
    </w:rPr>
  </w:style>
  <w:style w:type="paragraph" w:styleId="1000">
    <w:name w:val="脚注文本1"/>
    <w:basedOn w:val="720"/>
    <w:next w:val="1000"/>
    <w:link w:val="1001"/>
    <w:qFormat/>
    <w:pPr>
      <w:jc w:val="left"/>
    </w:pPr>
    <w:rPr>
      <w:sz w:val="18"/>
      <w:szCs w:val="18"/>
    </w:rPr>
  </w:style>
  <w:style w:type="character" w:styleId="1001">
    <w:name w:val="脚注文本 Char"/>
    <w:next w:val="1001"/>
    <w:link w:val="1000"/>
    <w:qFormat/>
    <w:rPr>
      <w:rFonts w:ascii="Times New Roman" w:hAnsi="Times New Roman" w:eastAsia="宋体" w:cs="Times New Roman"/>
      <w:sz w:val="18"/>
      <w:szCs w:val="18"/>
    </w:rPr>
  </w:style>
  <w:style w:type="paragraph" w:styleId="1002">
    <w:name w:val="目录 61"/>
    <w:basedOn w:val="720"/>
    <w:next w:val="720"/>
    <w:link w:val="720"/>
    <w:qFormat/>
    <w:pPr>
      <w:ind w:left="1000"/>
    </w:pPr>
    <w:rPr>
      <w:szCs w:val="24"/>
    </w:rPr>
  </w:style>
  <w:style w:type="paragraph" w:styleId="1003">
    <w:name w:val="目录 21"/>
    <w:basedOn w:val="720"/>
    <w:next w:val="720"/>
    <w:link w:val="720"/>
    <w:qFormat/>
    <w:pPr>
      <w:ind w:left="200"/>
    </w:pPr>
    <w:rPr>
      <w:szCs w:val="24"/>
    </w:rPr>
  </w:style>
  <w:style w:type="paragraph" w:styleId="1004">
    <w:name w:val="目录 91"/>
    <w:basedOn w:val="720"/>
    <w:next w:val="720"/>
    <w:link w:val="720"/>
    <w:qFormat/>
    <w:pPr>
      <w:ind w:left="1600"/>
    </w:pPr>
    <w:rPr>
      <w:szCs w:val="24"/>
    </w:rPr>
  </w:style>
  <w:style w:type="paragraph" w:styleId="1005">
    <w:name w:val="普通(网站)1"/>
    <w:basedOn w:val="720"/>
    <w:next w:val="1005"/>
    <w:link w:val="720"/>
    <w:qFormat/>
    <w:pPr>
      <w:jc w:val="left"/>
      <w:spacing w:beforeAutospacing="1" w:afterAutospacing="1"/>
    </w:pPr>
    <w:rPr>
      <w:sz w:val="24"/>
      <w:szCs w:val="24"/>
    </w:rPr>
  </w:style>
  <w:style w:type="paragraph" w:styleId="1006">
    <w:name w:val="批注主题1"/>
    <w:basedOn w:val="981"/>
    <w:next w:val="981"/>
    <w:link w:val="1007"/>
    <w:qFormat/>
    <w:rPr>
      <w:b/>
      <w:bCs/>
    </w:rPr>
  </w:style>
  <w:style w:type="character" w:styleId="1007">
    <w:name w:val="批注主题 Char"/>
    <w:next w:val="1007"/>
    <w:link w:val="1006"/>
    <w:qFormat/>
    <w:rPr>
      <w:rFonts w:ascii="Times New Roman" w:hAnsi="Times New Roman" w:eastAsia="宋体" w:cs="Times New Roman"/>
      <w:b/>
      <w:bCs/>
      <w:szCs w:val="24"/>
    </w:rPr>
  </w:style>
  <w:style w:type="table" w:styleId="1008">
    <w:name w:val="网格型1"/>
    <w:basedOn w:val="978"/>
    <w:next w:val="1008"/>
    <w:link w:val="720"/>
    <w:qFormat/>
    <w:pPr>
      <w:jc w:val="both"/>
      <w:widowControl w:val="off"/>
    </w:pPr>
    <w:tblPr/>
  </w:style>
  <w:style w:type="character" w:styleId="1009">
    <w:name w:val="要点1"/>
    <w:next w:val="1009"/>
    <w:link w:val="720"/>
    <w:qFormat/>
    <w:rPr>
      <w:b/>
      <w:sz w:val="24"/>
      <w:szCs w:val="24"/>
    </w:rPr>
  </w:style>
  <w:style w:type="character" w:styleId="1010">
    <w:name w:val="访问过的超链接1"/>
    <w:next w:val="1010"/>
    <w:link w:val="720"/>
    <w:qFormat/>
    <w:rPr>
      <w:color w:val="800080"/>
      <w:u w:val="none"/>
    </w:rPr>
  </w:style>
  <w:style w:type="character" w:styleId="1011">
    <w:name w:val="强调1"/>
    <w:next w:val="1011"/>
    <w:link w:val="720"/>
    <w:qFormat/>
    <w:rPr>
      <w:color w:val="cc0000"/>
      <w:sz w:val="24"/>
      <w:szCs w:val="24"/>
    </w:rPr>
  </w:style>
  <w:style w:type="character" w:styleId="1012">
    <w:name w:val="HTML 定义1"/>
    <w:next w:val="1012"/>
    <w:link w:val="720"/>
    <w:qFormat/>
  </w:style>
  <w:style w:type="character" w:styleId="1013">
    <w:name w:val="HTML 缩写1"/>
    <w:next w:val="1013"/>
    <w:link w:val="720"/>
    <w:qFormat/>
  </w:style>
  <w:style w:type="character" w:styleId="1014">
    <w:name w:val="HTML 变量1"/>
    <w:next w:val="1014"/>
    <w:link w:val="720"/>
    <w:qFormat/>
  </w:style>
  <w:style w:type="character" w:styleId="1015">
    <w:name w:val="超链接1"/>
    <w:next w:val="1015"/>
    <w:link w:val="720"/>
    <w:uiPriority w:val="99"/>
    <w:qFormat/>
    <w:rPr>
      <w:color w:val="555555"/>
      <w:u w:val="none"/>
    </w:rPr>
  </w:style>
  <w:style w:type="character" w:styleId="1016">
    <w:name w:val="HTML 代码1"/>
    <w:next w:val="1016"/>
    <w:link w:val="720"/>
    <w:qFormat/>
    <w:rPr>
      <w:rFonts w:ascii="monospace" w:hAnsi="monospace" w:eastAsia="monospace" w:cs="monospace"/>
      <w:color w:val="555555"/>
      <w:sz w:val="24"/>
      <w:szCs w:val="24"/>
      <w:u w:val="none"/>
    </w:rPr>
  </w:style>
  <w:style w:type="character" w:styleId="1017">
    <w:name w:val="批注引用1"/>
    <w:next w:val="1017"/>
    <w:link w:val="720"/>
    <w:qFormat/>
    <w:rPr>
      <w:sz w:val="21"/>
      <w:szCs w:val="21"/>
    </w:rPr>
  </w:style>
  <w:style w:type="character" w:styleId="1018">
    <w:name w:val="HTML 引文1"/>
    <w:next w:val="1018"/>
    <w:link w:val="720"/>
    <w:qFormat/>
  </w:style>
  <w:style w:type="character" w:styleId="1019">
    <w:name w:val="脚注引用1"/>
    <w:next w:val="1019"/>
    <w:link w:val="720"/>
    <w:qFormat/>
    <w:rPr>
      <w:vertAlign w:val="superscript"/>
    </w:rPr>
  </w:style>
  <w:style w:type="character" w:styleId="1020">
    <w:name w:val="HTML 键盘1"/>
    <w:next w:val="1020"/>
    <w:link w:val="720"/>
    <w:qFormat/>
    <w:rPr>
      <w:rFonts w:ascii="monospace" w:hAnsi="monospace" w:eastAsia="monospace" w:cs="monospace"/>
      <w:sz w:val="24"/>
      <w:szCs w:val="24"/>
    </w:rPr>
  </w:style>
  <w:style w:type="character" w:styleId="1021">
    <w:name w:val="HTML 样本1"/>
    <w:next w:val="1021"/>
    <w:link w:val="720"/>
    <w:qFormat/>
    <w:rPr>
      <w:rFonts w:ascii="monospace" w:hAnsi="monospace" w:eastAsia="monospace" w:cs="monospace"/>
      <w:sz w:val="24"/>
      <w:szCs w:val="24"/>
    </w:rPr>
  </w:style>
  <w:style w:type="paragraph" w:styleId="1022">
    <w:name w:val="段"/>
    <w:next w:val="720"/>
    <w:link w:val="720"/>
    <w:qFormat/>
    <w:pPr>
      <w:ind w:firstLine="200"/>
      <w:jc w:val="both"/>
    </w:pPr>
    <w:rPr>
      <w:rFonts w:ascii="宋体" w:hAnsi="Times New Roman" w:eastAsia="宋体" w:cs="Times New Roman"/>
      <w:sz w:val="21"/>
      <w:lang w:val="en-US" w:eastAsia="zh-CN" w:bidi="ar-SA"/>
    </w:rPr>
  </w:style>
  <w:style w:type="character" w:styleId="1023">
    <w:name w:val="place2"/>
    <w:next w:val="1023"/>
    <w:link w:val="720"/>
    <w:qFormat/>
    <w:rPr>
      <w:rFonts w:ascii="微软雅黑" w:hAnsi="微软雅黑" w:eastAsia="微软雅黑" w:cs="微软雅黑"/>
      <w:color w:val="888888"/>
      <w:sz w:val="25"/>
      <w:szCs w:val="25"/>
    </w:rPr>
  </w:style>
  <w:style w:type="character" w:styleId="1024">
    <w:name w:val="ui-bz-bg-hover"/>
    <w:next w:val="1024"/>
    <w:link w:val="720"/>
    <w:qFormat/>
    <w:rPr>
      <w:shd w:val="clear" w:color="auto" w:fill="000000"/>
    </w:rPr>
  </w:style>
  <w:style w:type="character" w:styleId="1025">
    <w:name w:val="font1"/>
    <w:next w:val="1025"/>
    <w:link w:val="720"/>
    <w:qFormat/>
  </w:style>
  <w:style w:type="character" w:styleId="1026">
    <w:name w:val="place3"/>
    <w:next w:val="1026"/>
    <w:link w:val="720"/>
    <w:qFormat/>
  </w:style>
  <w:style w:type="character" w:styleId="1027">
    <w:name w:val="bds_more1"/>
    <w:next w:val="1027"/>
    <w:link w:val="720"/>
    <w:qFormat/>
  </w:style>
  <w:style w:type="character" w:styleId="1028">
    <w:name w:val="bds_nopic1"/>
    <w:next w:val="1028"/>
    <w:link w:val="720"/>
    <w:qFormat/>
  </w:style>
  <w:style w:type="character" w:styleId="1029">
    <w:name w:val="redfilefwwh"/>
    <w:next w:val="1029"/>
    <w:link w:val="720"/>
    <w:qFormat/>
    <w:rPr>
      <w:color w:val="ba2636"/>
      <w:sz w:val="18"/>
      <w:szCs w:val="18"/>
    </w:rPr>
  </w:style>
  <w:style w:type="character" w:styleId="1030">
    <w:name w:val="bds_nopic2"/>
    <w:next w:val="1030"/>
    <w:link w:val="720"/>
    <w:qFormat/>
  </w:style>
  <w:style w:type="character" w:styleId="1031">
    <w:name w:val="top-icon"/>
    <w:next w:val="1031"/>
    <w:link w:val="720"/>
    <w:qFormat/>
  </w:style>
  <w:style w:type="character" w:styleId="1032">
    <w:name w:val="no42"/>
    <w:next w:val="1032"/>
    <w:link w:val="720"/>
    <w:qFormat/>
  </w:style>
  <w:style w:type="character" w:styleId="1033">
    <w:name w:val="hover"/>
    <w:next w:val="1033"/>
    <w:link w:val="720"/>
    <w:qFormat/>
    <w:rPr>
      <w:color w:val="025291"/>
    </w:rPr>
  </w:style>
  <w:style w:type="character" w:styleId="1034">
    <w:name w:val="qxdate"/>
    <w:next w:val="1034"/>
    <w:link w:val="720"/>
    <w:qFormat/>
    <w:rPr>
      <w:color w:val="333333"/>
      <w:sz w:val="18"/>
      <w:szCs w:val="18"/>
    </w:rPr>
  </w:style>
  <w:style w:type="character" w:styleId="1035">
    <w:name w:val="displayarti"/>
    <w:next w:val="1035"/>
    <w:link w:val="720"/>
    <w:qFormat/>
    <w:rPr>
      <w:color w:val="ffffff"/>
      <w:shd w:val="clear" w:color="auto" w:fill="a00000"/>
    </w:rPr>
  </w:style>
  <w:style w:type="character" w:styleId="1036">
    <w:name w:val="tip7"/>
    <w:next w:val="1036"/>
    <w:link w:val="720"/>
    <w:qFormat/>
    <w:rPr>
      <w:vanish/>
      <w:color w:val="ff0000"/>
      <w:sz w:val="18"/>
      <w:szCs w:val="18"/>
    </w:rPr>
  </w:style>
  <w:style w:type="character" w:styleId="1037">
    <w:name w:val="orange6"/>
    <w:next w:val="1037"/>
    <w:link w:val="720"/>
    <w:qFormat/>
    <w:rPr>
      <w:color w:val="3fb58f"/>
    </w:rPr>
  </w:style>
  <w:style w:type="character" w:styleId="1038">
    <w:name w:val="ico-jiang1"/>
    <w:next w:val="1038"/>
    <w:link w:val="720"/>
    <w:qFormat/>
  </w:style>
  <w:style w:type="character" w:styleId="1039">
    <w:name w:val="font"/>
    <w:next w:val="1039"/>
    <w:link w:val="720"/>
    <w:qFormat/>
  </w:style>
  <w:style w:type="character" w:styleId="1040">
    <w:name w:val="prev"/>
    <w:next w:val="1040"/>
    <w:link w:val="720"/>
    <w:qFormat/>
    <w:rPr>
      <w:color w:val="888888"/>
    </w:rPr>
  </w:style>
  <w:style w:type="character" w:styleId="1041">
    <w:name w:val="no72"/>
    <w:next w:val="1041"/>
    <w:link w:val="720"/>
    <w:qFormat/>
  </w:style>
  <w:style w:type="character" w:styleId="1042">
    <w:name w:val="ui-bz-bg-hover1"/>
    <w:next w:val="1042"/>
    <w:link w:val="720"/>
    <w:qFormat/>
  </w:style>
  <w:style w:type="character" w:styleId="1043">
    <w:name w:val="font31"/>
    <w:next w:val="1043"/>
    <w:link w:val="720"/>
    <w:qFormat/>
    <w:rPr>
      <w:rFonts w:hint="eastAsia" w:ascii="宋体" w:hAnsi="宋体" w:eastAsia="宋体" w:cs="宋体"/>
      <w:color w:val="000000"/>
      <w:sz w:val="22"/>
      <w:szCs w:val="22"/>
      <w:u w:val="none"/>
    </w:rPr>
  </w:style>
  <w:style w:type="character" w:styleId="1044">
    <w:name w:val="font41"/>
    <w:next w:val="1044"/>
    <w:link w:val="720"/>
    <w:qFormat/>
    <w:rPr>
      <w:rFonts w:hint="eastAsia" w:ascii="宋体" w:hAnsi="宋体" w:eastAsia="宋体" w:cs="宋体"/>
      <w:color w:val="000000"/>
      <w:sz w:val="22"/>
      <w:szCs w:val="22"/>
      <w:u w:val="none"/>
    </w:rPr>
  </w:style>
  <w:style w:type="character" w:styleId="1045">
    <w:name w:val="ico-jiang"/>
    <w:next w:val="1045"/>
    <w:link w:val="720"/>
    <w:qFormat/>
  </w:style>
  <w:style w:type="character" w:styleId="1046">
    <w:name w:val="f-star"/>
    <w:next w:val="1046"/>
    <w:link w:val="720"/>
    <w:qFormat/>
    <w:rPr>
      <w:color w:val="999999"/>
      <w:sz w:val="21"/>
      <w:szCs w:val="21"/>
    </w:rPr>
  </w:style>
  <w:style w:type="character" w:styleId="1047">
    <w:name w:val="next3"/>
    <w:next w:val="1047"/>
    <w:link w:val="720"/>
    <w:qFormat/>
    <w:rPr>
      <w:rFonts w:hint="eastAsia" w:ascii="微软雅黑" w:hAnsi="微软雅黑" w:eastAsia="微软雅黑" w:cs="微软雅黑"/>
      <w:sz w:val="21"/>
      <w:szCs w:val="21"/>
    </w:rPr>
  </w:style>
  <w:style w:type="character" w:styleId="1048">
    <w:name w:val="bds_more"/>
    <w:next w:val="1048"/>
    <w:link w:val="720"/>
    <w:qFormat/>
    <w:rPr>
      <w:rFonts w:hint="eastAsia" w:ascii="宋体" w:hAnsi="宋体" w:eastAsia="宋体" w:cs="宋体"/>
    </w:rPr>
  </w:style>
  <w:style w:type="character" w:styleId="1049">
    <w:name w:val="font11"/>
    <w:next w:val="1049"/>
    <w:link w:val="720"/>
    <w:qFormat/>
    <w:rPr>
      <w:rFonts w:hint="eastAsia" w:ascii="仿宋" w:hAnsi="仿宋" w:eastAsia="仿宋" w:cs="仿宋"/>
      <w:color w:val="000000"/>
      <w:sz w:val="24"/>
      <w:szCs w:val="24"/>
      <w:u w:val="none"/>
    </w:rPr>
  </w:style>
  <w:style w:type="character" w:styleId="1050">
    <w:name w:val="redfilenumber"/>
    <w:next w:val="1050"/>
    <w:link w:val="720"/>
    <w:qFormat/>
    <w:rPr>
      <w:color w:val="ba2636"/>
      <w:sz w:val="18"/>
      <w:szCs w:val="18"/>
    </w:rPr>
  </w:style>
  <w:style w:type="character" w:styleId="1051">
    <w:name w:val="cfdate"/>
    <w:next w:val="1051"/>
    <w:link w:val="720"/>
    <w:qFormat/>
    <w:rPr>
      <w:color w:val="333333"/>
      <w:sz w:val="18"/>
      <w:szCs w:val="18"/>
    </w:rPr>
  </w:style>
  <w:style w:type="character" w:styleId="1052">
    <w:name w:val="next2"/>
    <w:next w:val="1052"/>
    <w:link w:val="720"/>
    <w:qFormat/>
    <w:rPr>
      <w:color w:val="888888"/>
    </w:rPr>
  </w:style>
  <w:style w:type="character" w:styleId="1053">
    <w:name w:val="font61"/>
    <w:next w:val="1053"/>
    <w:link w:val="720"/>
    <w:qFormat/>
    <w:rPr>
      <w:rFonts w:hint="eastAsia" w:ascii="宋体" w:hAnsi="宋体" w:eastAsia="宋体" w:cs="宋体"/>
      <w:color w:val="000000"/>
      <w:sz w:val="22"/>
      <w:szCs w:val="22"/>
      <w:u w:val="none"/>
    </w:rPr>
  </w:style>
  <w:style w:type="character" w:styleId="1054">
    <w:name w:val="bds_nopic"/>
    <w:next w:val="1054"/>
    <w:link w:val="720"/>
    <w:qFormat/>
  </w:style>
  <w:style w:type="character" w:styleId="1055">
    <w:name w:val="laypage_curr"/>
    <w:next w:val="1055"/>
    <w:link w:val="720"/>
    <w:qFormat/>
    <w:rPr>
      <w:color w:val="fffdf4"/>
      <w:shd w:val="clear" w:color="auto" w:fill="0b67a6"/>
    </w:rPr>
  </w:style>
  <w:style w:type="character" w:styleId="1056">
    <w:name w:val="gwds_nopic2"/>
    <w:next w:val="1056"/>
    <w:link w:val="720"/>
    <w:qFormat/>
  </w:style>
  <w:style w:type="character" w:styleId="1057">
    <w:name w:val="no62"/>
    <w:next w:val="1057"/>
    <w:link w:val="720"/>
    <w:qFormat/>
  </w:style>
  <w:style w:type="character" w:styleId="1058">
    <w:name w:val="font21"/>
    <w:next w:val="1058"/>
    <w:link w:val="720"/>
    <w:qFormat/>
    <w:rPr>
      <w:rFonts w:hint="eastAsia" w:ascii="宋体" w:hAnsi="宋体" w:eastAsia="宋体" w:cs="宋体"/>
      <w:color w:val="000000"/>
      <w:sz w:val="24"/>
      <w:szCs w:val="24"/>
      <w:u w:val="none"/>
    </w:rPr>
  </w:style>
  <w:style w:type="character" w:styleId="1059">
    <w:name w:val="hover17"/>
    <w:next w:val="1059"/>
    <w:link w:val="720"/>
    <w:qFormat/>
    <w:rPr>
      <w:color w:val="025291"/>
    </w:rPr>
  </w:style>
  <w:style w:type="character" w:styleId="1060">
    <w:name w:val="prev1"/>
    <w:next w:val="1060"/>
    <w:link w:val="720"/>
    <w:qFormat/>
    <w:rPr>
      <w:rFonts w:ascii="微软雅黑" w:hAnsi="微软雅黑" w:eastAsia="微软雅黑" w:cs="微软雅黑"/>
      <w:sz w:val="21"/>
      <w:szCs w:val="21"/>
    </w:rPr>
  </w:style>
  <w:style w:type="character" w:styleId="1061">
    <w:name w:val="t-tag"/>
    <w:next w:val="1061"/>
    <w:link w:val="720"/>
    <w:qFormat/>
    <w:rPr>
      <w:color w:val="ffffff"/>
      <w:sz w:val="18"/>
      <w:szCs w:val="18"/>
      <w:shd w:val="clear" w:color="auto" w:fill="fe8833"/>
    </w:rPr>
  </w:style>
  <w:style w:type="character" w:styleId="1062">
    <w:name w:val="org_name2"/>
    <w:next w:val="1062"/>
    <w:link w:val="720"/>
    <w:qFormat/>
    <w:rPr>
      <w:color w:val="ff0000"/>
      <w:sz w:val="21"/>
      <w:szCs w:val="21"/>
    </w:rPr>
  </w:style>
  <w:style w:type="character" w:styleId="1063">
    <w:name w:val="font01"/>
    <w:next w:val="1063"/>
    <w:link w:val="720"/>
    <w:uiPriority w:val="99"/>
    <w:qFormat/>
    <w:rPr>
      <w:rFonts w:hint="eastAsia" w:ascii="宋体" w:hAnsi="宋体" w:eastAsia="宋体" w:cs="宋体"/>
      <w:color w:val="000000"/>
      <w:sz w:val="22"/>
      <w:szCs w:val="22"/>
      <w:u w:val="none"/>
    </w:rPr>
  </w:style>
  <w:style w:type="character" w:styleId="1064">
    <w:name w:val="noline"/>
    <w:next w:val="1064"/>
    <w:link w:val="720"/>
    <w:qFormat/>
  </w:style>
  <w:style w:type="character" w:styleId="1065">
    <w:name w:val="place"/>
    <w:next w:val="1065"/>
    <w:link w:val="720"/>
    <w:qFormat/>
  </w:style>
  <w:style w:type="character" w:styleId="1066">
    <w:name w:val="place1"/>
    <w:next w:val="1066"/>
    <w:link w:val="720"/>
    <w:qFormat/>
  </w:style>
  <w:style w:type="character" w:styleId="1067">
    <w:name w:val="no52"/>
    <w:next w:val="1067"/>
    <w:link w:val="720"/>
    <w:qFormat/>
  </w:style>
  <w:style w:type="character" w:styleId="1068">
    <w:name w:val="my-notice1"/>
    <w:next w:val="1068"/>
    <w:link w:val="720"/>
    <w:qFormat/>
  </w:style>
  <w:style w:type="character" w:styleId="1069">
    <w:name w:val="gjfg"/>
    <w:next w:val="1069"/>
    <w:link w:val="720"/>
    <w:qFormat/>
  </w:style>
  <w:style w:type="character" w:styleId="1070">
    <w:name w:val="gwds_nopic1"/>
    <w:next w:val="1070"/>
    <w:link w:val="720"/>
    <w:qFormat/>
  </w:style>
  <w:style w:type="character" w:styleId="1071">
    <w:name w:val="gwds_nopic"/>
    <w:next w:val="1071"/>
    <w:link w:val="720"/>
    <w:qFormat/>
  </w:style>
  <w:style w:type="character" w:styleId="1072">
    <w:name w:val="bds_more2"/>
    <w:next w:val="1072"/>
    <w:link w:val="720"/>
    <w:qFormat/>
  </w:style>
  <w:style w:type="character" w:styleId="1073">
    <w:name w:val="my-class"/>
    <w:next w:val="1073"/>
    <w:link w:val="720"/>
    <w:qFormat/>
  </w:style>
  <w:style w:type="character" w:styleId="1074">
    <w:name w:val="hover18"/>
    <w:next w:val="1074"/>
    <w:link w:val="720"/>
    <w:qFormat/>
    <w:rPr>
      <w:color w:val="025291"/>
    </w:rPr>
  </w:style>
  <w:style w:type="character" w:styleId="1075">
    <w:name w:val="tip6"/>
    <w:next w:val="1075"/>
    <w:link w:val="720"/>
    <w:qFormat/>
  </w:style>
  <w:style w:type="character" w:styleId="1076">
    <w:name w:val="nth-child(1)"/>
    <w:next w:val="1076"/>
    <w:link w:val="720"/>
    <w:qFormat/>
  </w:style>
  <w:style w:type="character" w:styleId="1077">
    <w:name w:val="nth-child(1)1"/>
    <w:next w:val="1077"/>
    <w:link w:val="720"/>
    <w:qFormat/>
  </w:style>
  <w:style w:type="character" w:styleId="1078">
    <w:name w:val="pause-close"/>
    <w:next w:val="1078"/>
    <w:link w:val="720"/>
    <w:qFormat/>
  </w:style>
  <w:style w:type="character" w:styleId="1079">
    <w:name w:val="before"/>
    <w:next w:val="1079"/>
    <w:link w:val="720"/>
    <w:qFormat/>
  </w:style>
  <w:style w:type="character" w:styleId="1080">
    <w:name w:val="before1"/>
    <w:next w:val="1080"/>
    <w:link w:val="720"/>
    <w:qFormat/>
  </w:style>
  <w:style w:type="character" w:styleId="1081">
    <w:name w:val="after2"/>
    <w:next w:val="1081"/>
    <w:link w:val="720"/>
    <w:qFormat/>
  </w:style>
  <w:style w:type="character" w:styleId="1082">
    <w:name w:val="nth-child(2)"/>
    <w:next w:val="1082"/>
    <w:link w:val="720"/>
    <w:qFormat/>
    <w:rPr>
      <w:b/>
      <w:sz w:val="36"/>
      <w:szCs w:val="36"/>
    </w:rPr>
  </w:style>
  <w:style w:type="character" w:styleId="1083">
    <w:name w:val="nth-child(2)1"/>
    <w:next w:val="1083"/>
    <w:link w:val="720"/>
    <w:qFormat/>
    <w:rPr>
      <w:rFonts w:ascii="iconfont" w:hAnsi="iconfont" w:eastAsia="iconfont" w:cs="iconfont"/>
    </w:rPr>
  </w:style>
  <w:style w:type="character" w:styleId="1084">
    <w:name w:val="more1"/>
    <w:next w:val="1084"/>
    <w:link w:val="720"/>
    <w:qFormat/>
    <w:rPr>
      <w:color w:val="666666"/>
      <w:sz w:val="18"/>
      <w:szCs w:val="18"/>
    </w:rPr>
  </w:style>
  <w:style w:type="character" w:styleId="1085">
    <w:name w:val="ing"/>
    <w:next w:val="1085"/>
    <w:link w:val="720"/>
    <w:qFormat/>
    <w:rPr>
      <w:color w:val="00b882"/>
    </w:rPr>
  </w:style>
  <w:style w:type="character" w:styleId="1086">
    <w:name w:val="ing1"/>
    <w:next w:val="1086"/>
    <w:link w:val="720"/>
    <w:qFormat/>
    <w:rPr>
      <w:color w:val="00b882"/>
    </w:rPr>
  </w:style>
  <w:style w:type="character" w:styleId="1087">
    <w:name w:val="bg-icon2"/>
    <w:next w:val="1087"/>
    <w:link w:val="720"/>
    <w:qFormat/>
    <w:rPr>
      <w:color w:val="00b28e"/>
    </w:rPr>
  </w:style>
  <w:style w:type="character" w:styleId="1088">
    <w:name w:val="text6"/>
    <w:next w:val="1088"/>
    <w:link w:val="720"/>
    <w:qFormat/>
  </w:style>
  <w:style w:type="character" w:styleId="1089">
    <w:name w:val="hover34"/>
    <w:next w:val="1089"/>
    <w:link w:val="720"/>
    <w:qFormat/>
    <w:rPr>
      <w:color w:val="00b882"/>
      <w:u w:val="single"/>
    </w:rPr>
  </w:style>
  <w:style w:type="character" w:styleId="1090">
    <w:name w:val="hover35"/>
    <w:next w:val="1090"/>
    <w:link w:val="720"/>
    <w:qFormat/>
    <w:rPr>
      <w:color w:val="ffffff"/>
    </w:rPr>
  </w:style>
  <w:style w:type="character" w:styleId="1091">
    <w:name w:val="icons14"/>
    <w:next w:val="1091"/>
    <w:link w:val="720"/>
    <w:qFormat/>
  </w:style>
  <w:style w:type="character" w:styleId="1092">
    <w:name w:val="default-color"/>
    <w:next w:val="1092"/>
    <w:link w:val="720"/>
    <w:qFormat/>
    <w:rPr>
      <w:sz w:val="24"/>
      <w:szCs w:val="24"/>
    </w:rPr>
  </w:style>
  <w:style w:type="character" w:styleId="1093">
    <w:name w:val="default-color1"/>
    <w:next w:val="1093"/>
    <w:link w:val="720"/>
    <w:qFormat/>
  </w:style>
  <w:style w:type="character" w:styleId="1094">
    <w:name w:val="complete2"/>
    <w:next w:val="1094"/>
    <w:link w:val="720"/>
    <w:qFormat/>
    <w:rPr>
      <w:shd w:val="clear" w:color="auto" w:fill="4bb7ce"/>
    </w:rPr>
  </w:style>
  <w:style w:type="paragraph" w:styleId="1095">
    <w:name w:val="样式 标题 3 + (中文) 黑体 小四 非加粗 段前: 7.8 磅 段后: 0 磅 行距: 固定值 20 磅"/>
    <w:basedOn w:val="973"/>
    <w:next w:val="1095"/>
    <w:link w:val="720"/>
    <w:qFormat/>
    <w:pPr>
      <w:spacing w:before="0" w:after="0" w:line="400" w:lineRule="exact"/>
    </w:pPr>
    <w:rPr>
      <w:rFonts w:cs="宋体"/>
    </w:rPr>
  </w:style>
  <w:style w:type="paragraph" w:styleId="1096">
    <w:name w:val="列出段落3"/>
    <w:basedOn w:val="720"/>
    <w:next w:val="1096"/>
    <w:link w:val="720"/>
    <w:uiPriority w:val="99"/>
    <w:qFormat/>
    <w:pPr>
      <w:ind w:firstLine="200"/>
    </w:pPr>
    <w:rPr>
      <w:szCs w:val="24"/>
    </w:rPr>
  </w:style>
  <w:style w:type="paragraph" w:styleId="1097">
    <w:name w:val="Default"/>
    <w:next w:val="1097"/>
    <w:link w:val="720"/>
    <w:qFormat/>
    <w:pPr>
      <w:widowControl w:val="off"/>
    </w:pPr>
    <w:rPr>
      <w:rFonts w:ascii="仿宋" w:hAnsi="Times New Roman" w:eastAsia="仿宋" w:cs="仿宋"/>
      <w:color w:val="000000"/>
      <w:sz w:val="24"/>
      <w:szCs w:val="24"/>
      <w:lang w:val="en-US" w:eastAsia="zh-CN" w:bidi="ar-SA"/>
    </w:rPr>
  </w:style>
  <w:style w:type="paragraph" w:styleId="1098">
    <w:name w:val="样式 标题 2 + Times New Roman 四号 非加粗 段前: 5 磅 段后: 0 磅 行距: 固定值 20..."/>
    <w:basedOn w:val="971"/>
    <w:next w:val="1098"/>
    <w:link w:val="720"/>
    <w:qFormat/>
    <w:pPr>
      <w:spacing w:before="100" w:after="0" w:line="400" w:lineRule="exact"/>
    </w:pPr>
    <w:rPr>
      <w:rFonts w:ascii="Times New Roman" w:hAnsi="Times New Roman" w:cs="宋体"/>
      <w:b w:val="0"/>
      <w:bCs w:val="0"/>
      <w:sz w:val="28"/>
      <w:szCs w:val="20"/>
    </w:rPr>
  </w:style>
  <w:style w:type="paragraph" w:styleId="1099">
    <w:name w:val="样式"/>
    <w:next w:val="1099"/>
    <w:link w:val="720"/>
    <w:qFormat/>
    <w:pPr>
      <w:widowControl w:val="off"/>
    </w:pPr>
    <w:rPr>
      <w:rFonts w:ascii="宋体" w:hAnsi="宋体" w:eastAsia="宋体" w:cs="宋体"/>
      <w:sz w:val="24"/>
      <w:szCs w:val="24"/>
      <w:lang w:val="en-US" w:eastAsia="zh-CN" w:bidi="ar-SA"/>
    </w:rPr>
  </w:style>
  <w:style w:type="paragraph" w:styleId="1100">
    <w:name w:val="纯文本1"/>
    <w:basedOn w:val="720"/>
    <w:next w:val="1100"/>
    <w:link w:val="720"/>
    <w:qFormat/>
    <w:rPr>
      <w:rFonts w:ascii="宋体" w:hAnsi="Courier New"/>
      <w:sz w:val="28"/>
      <w:szCs w:val="24"/>
    </w:rPr>
  </w:style>
  <w:style w:type="paragraph" w:styleId="1101">
    <w:name w:val="列出段落2"/>
    <w:basedOn w:val="720"/>
    <w:next w:val="1101"/>
    <w:link w:val="720"/>
    <w:uiPriority w:val="99"/>
    <w:unhideWhenUsed/>
    <w:qFormat/>
    <w:pPr>
      <w:ind w:firstLine="200"/>
    </w:pPr>
    <w:rPr>
      <w:szCs w:val="24"/>
    </w:rPr>
  </w:style>
  <w:style w:type="paragraph" w:styleId="1102">
    <w:name w:val="列出段落1"/>
    <w:basedOn w:val="720"/>
    <w:next w:val="1102"/>
    <w:link w:val="720"/>
    <w:uiPriority w:val="99"/>
    <w:unhideWhenUsed/>
    <w:qFormat/>
    <w:pPr>
      <w:ind w:firstLine="200"/>
    </w:pPr>
    <w:rPr>
      <w:szCs w:val="24"/>
    </w:rPr>
  </w:style>
  <w:style w:type="paragraph" w:styleId="1103">
    <w:name w:val="修订1"/>
    <w:next w:val="1103"/>
    <w:link w:val="720"/>
    <w:uiPriority w:val="99"/>
    <w:unhideWhenUsed/>
    <w:qFormat/>
    <w:rPr>
      <w:rFonts w:ascii="Times New Roman" w:hAnsi="Times New Roman" w:eastAsia="宋体" w:cs="Times New Roman"/>
      <w:sz w:val="21"/>
      <w:szCs w:val="24"/>
      <w:lang w:val="en-US" w:eastAsia="zh-CN" w:bidi="ar-SA"/>
    </w:rPr>
  </w:style>
  <w:style w:type="paragraph" w:styleId="1104">
    <w:name w:val="reply-text"/>
    <w:basedOn w:val="720"/>
    <w:next w:val="1104"/>
    <w:link w:val="720"/>
    <w:qFormat/>
    <w:pPr>
      <w:ind w:right="1200"/>
      <w:jc w:val="left"/>
    </w:pPr>
    <w:rPr>
      <w:szCs w:val="21"/>
    </w:rPr>
  </w:style>
  <w:style w:type="character" w:styleId="1105">
    <w:name w:val="next"/>
    <w:next w:val="1105"/>
    <w:link w:val="720"/>
    <w:qFormat/>
    <w:rPr>
      <w:color w:val="888888"/>
    </w:rPr>
  </w:style>
  <w:style w:type="character" w:styleId="1106">
    <w:name w:val="next1"/>
    <w:next w:val="1106"/>
    <w:link w:val="720"/>
    <w:qFormat/>
    <w:rPr>
      <w:rFonts w:ascii="微软雅黑" w:hAnsi="微软雅黑" w:eastAsia="微软雅黑" w:cs="微软雅黑"/>
      <w:sz w:val="21"/>
      <w:szCs w:val="21"/>
    </w:rPr>
  </w:style>
  <w:style w:type="character" w:styleId="1107">
    <w:name w:val="count3"/>
    <w:next w:val="1107"/>
    <w:link w:val="720"/>
    <w:qFormat/>
  </w:style>
  <w:style w:type="character" w:styleId="1108">
    <w:name w:val="t"/>
    <w:next w:val="1108"/>
    <w:link w:val="720"/>
    <w:qFormat/>
  </w:style>
  <w:style w:type="character" w:styleId="1109">
    <w:name w:val="lv5"/>
    <w:next w:val="1109"/>
    <w:link w:val="720"/>
    <w:qFormat/>
  </w:style>
  <w:style w:type="character" w:styleId="1110">
    <w:name w:val="jianj"/>
    <w:next w:val="1110"/>
    <w:link w:val="720"/>
    <w:qFormat/>
  </w:style>
  <w:style w:type="character" w:styleId="1111">
    <w:name w:val="jianj1"/>
    <w:next w:val="1111"/>
    <w:link w:val="720"/>
    <w:qFormat/>
  </w:style>
  <w:style w:type="character" w:styleId="1112">
    <w:name w:val="jianj2"/>
    <w:next w:val="1112"/>
    <w:link w:val="720"/>
    <w:qFormat/>
  </w:style>
  <w:style w:type="character" w:styleId="1113">
    <w:name w:val="sd"/>
    <w:next w:val="1113"/>
    <w:link w:val="720"/>
    <w:qFormat/>
  </w:style>
  <w:style w:type="character" w:styleId="1114">
    <w:name w:val="sc"/>
    <w:next w:val="1114"/>
    <w:link w:val="720"/>
    <w:qFormat/>
  </w:style>
  <w:style w:type="character" w:styleId="1115">
    <w:name w:val="sc1"/>
    <w:next w:val="1115"/>
    <w:link w:val="720"/>
    <w:qFormat/>
  </w:style>
  <w:style w:type="character" w:styleId="1116">
    <w:name w:val="aut"/>
    <w:next w:val="1116"/>
    <w:link w:val="720"/>
    <w:qFormat/>
  </w:style>
  <w:style w:type="character" w:styleId="1117">
    <w:name w:val="aut1"/>
    <w:next w:val="1117"/>
    <w:link w:val="720"/>
    <w:qFormat/>
  </w:style>
  <w:style w:type="character" w:styleId="1118">
    <w:name w:val="dn"/>
    <w:next w:val="1118"/>
    <w:link w:val="720"/>
    <w:qFormat/>
  </w:style>
  <w:style w:type="character" w:styleId="1119">
    <w:name w:val="pl"/>
    <w:next w:val="1119"/>
    <w:link w:val="720"/>
    <w:qFormat/>
  </w:style>
  <w:style w:type="character" w:styleId="1120">
    <w:name w:val="pl1"/>
    <w:next w:val="1120"/>
    <w:link w:val="720"/>
    <w:qFormat/>
  </w:style>
  <w:style w:type="character" w:styleId="1121">
    <w:name w:val="jrxz"/>
    <w:next w:val="1121"/>
    <w:link w:val="720"/>
    <w:qFormat/>
  </w:style>
  <w:style w:type="character" w:styleId="1122">
    <w:name w:val="jrxz1"/>
    <w:next w:val="1122"/>
    <w:link w:val="720"/>
    <w:qFormat/>
  </w:style>
  <w:style w:type="character" w:styleId="1123">
    <w:name w:val="down14"/>
    <w:next w:val="1123"/>
    <w:link w:val="720"/>
    <w:qFormat/>
  </w:style>
  <w:style w:type="character" w:styleId="1124">
    <w:name w:val="down15"/>
    <w:next w:val="1124"/>
    <w:link w:val="720"/>
    <w:qFormat/>
  </w:style>
  <w:style w:type="character" w:styleId="1125">
    <w:name w:val="zt"/>
    <w:next w:val="1125"/>
    <w:link w:val="720"/>
    <w:qFormat/>
  </w:style>
  <w:style w:type="character" w:styleId="1126">
    <w:name w:val="zt1"/>
    <w:next w:val="1126"/>
    <w:link w:val="720"/>
    <w:qFormat/>
  </w:style>
  <w:style w:type="character" w:styleId="1127">
    <w:name w:val="time22"/>
    <w:next w:val="1127"/>
    <w:link w:val="720"/>
    <w:qFormat/>
  </w:style>
  <w:style w:type="character" w:styleId="1128">
    <w:name w:val="time23"/>
    <w:next w:val="1128"/>
    <w:link w:val="720"/>
    <w:qFormat/>
  </w:style>
  <w:style w:type="character" w:styleId="1129">
    <w:name w:val="time24"/>
    <w:next w:val="1129"/>
    <w:link w:val="720"/>
    <w:qFormat/>
  </w:style>
  <w:style w:type="character" w:styleId="1130">
    <w:name w:val="anz"/>
    <w:next w:val="1130"/>
    <w:link w:val="720"/>
    <w:qFormat/>
  </w:style>
  <w:style w:type="character" w:styleId="1131">
    <w:name w:val="anz1"/>
    <w:next w:val="1131"/>
    <w:link w:val="720"/>
    <w:qFormat/>
  </w:style>
  <w:style w:type="character" w:styleId="1132">
    <w:name w:val="anz2"/>
    <w:next w:val="1132"/>
    <w:link w:val="720"/>
    <w:qFormat/>
  </w:style>
  <w:style w:type="character" w:styleId="1133">
    <w:name w:val="jiet"/>
    <w:next w:val="1133"/>
    <w:link w:val="720"/>
    <w:qFormat/>
  </w:style>
  <w:style w:type="character" w:styleId="1134">
    <w:name w:val="jiet1"/>
    <w:next w:val="1134"/>
    <w:link w:val="720"/>
    <w:qFormat/>
  </w:style>
  <w:style w:type="character" w:styleId="1135">
    <w:name w:val="jiet2"/>
    <w:next w:val="1135"/>
    <w:link w:val="720"/>
    <w:qFormat/>
  </w:style>
  <w:style w:type="character" w:styleId="1136">
    <w:name w:val="lv1"/>
    <w:next w:val="1136"/>
    <w:link w:val="720"/>
    <w:qFormat/>
  </w:style>
  <w:style w:type="character" w:styleId="1137">
    <w:name w:val="lv2"/>
    <w:next w:val="1137"/>
    <w:link w:val="720"/>
    <w:qFormat/>
  </w:style>
  <w:style w:type="character" w:styleId="1138">
    <w:name w:val="lv3"/>
    <w:next w:val="1138"/>
    <w:link w:val="720"/>
    <w:qFormat/>
  </w:style>
  <w:style w:type="character" w:styleId="1139">
    <w:name w:val="lv4"/>
    <w:next w:val="1139"/>
    <w:link w:val="720"/>
    <w:qFormat/>
  </w:style>
  <w:style w:type="character" w:styleId="1140">
    <w:name w:val="disabled"/>
    <w:next w:val="1140"/>
    <w:link w:val="720"/>
    <w:qFormat/>
    <w:rPr>
      <w:color w:val="666666"/>
      <w:shd w:val="clear" w:color="auto" w:fill="ffffff"/>
    </w:rPr>
  </w:style>
  <w:style w:type="paragraph" w:styleId="1141">
    <w:name w:val="格式３"/>
    <w:basedOn w:val="720"/>
    <w:next w:val="1141"/>
    <w:link w:val="720"/>
    <w:qFormat/>
    <w:pPr>
      <w:ind w:left="600" w:hanging="250"/>
      <w:spacing w:line="420" w:lineRule="exact"/>
    </w:pPr>
    <w:rPr>
      <w:rFonts w:ascii="宋体" w:hAnsi="宋体"/>
      <w:color w:val="000000"/>
      <w:sz w:val="24"/>
      <w:szCs w:val="20"/>
    </w:rPr>
  </w:style>
  <w:style w:type="paragraph" w:styleId="1142">
    <w:name w:val="正文文本 31"/>
    <w:basedOn w:val="720"/>
    <w:next w:val="1142"/>
    <w:link w:val="1143"/>
    <w:qFormat/>
    <w:pPr>
      <w:jc w:val="center"/>
    </w:pPr>
    <w:rPr>
      <w:rFonts w:eastAsia="黑体"/>
      <w:sz w:val="72"/>
      <w:szCs w:val="24"/>
    </w:rPr>
  </w:style>
  <w:style w:type="character" w:styleId="1143">
    <w:name w:val="正文文本 3 Char"/>
    <w:next w:val="1143"/>
    <w:link w:val="1142"/>
    <w:qFormat/>
    <w:rPr>
      <w:rFonts w:ascii="Times New Roman" w:hAnsi="Times New Roman" w:eastAsia="黑体"/>
      <w:sz w:val="72"/>
      <w:szCs w:val="24"/>
    </w:rPr>
  </w:style>
  <w:style w:type="paragraph" w:styleId="1144">
    <w:name w:val="正文文本缩进1"/>
    <w:basedOn w:val="720"/>
    <w:next w:val="1144"/>
    <w:link w:val="1145"/>
    <w:uiPriority w:val="99"/>
    <w:unhideWhenUsed/>
    <w:qFormat/>
    <w:pPr>
      <w:ind w:left="200"/>
      <w:spacing w:after="120"/>
    </w:pPr>
    <w:rPr>
      <w:szCs w:val="24"/>
    </w:rPr>
  </w:style>
  <w:style w:type="character" w:styleId="1145">
    <w:name w:val="正文文本缩进 Char"/>
    <w:next w:val="1145"/>
    <w:link w:val="1144"/>
    <w:uiPriority w:val="99"/>
    <w:qFormat/>
    <w:rPr>
      <w:rFonts w:ascii="Times New Roman" w:hAnsi="Times New Roman"/>
      <w:sz w:val="21"/>
      <w:szCs w:val="24"/>
    </w:rPr>
  </w:style>
  <w:style w:type="paragraph" w:styleId="1146">
    <w:name w:val="标题二、"/>
    <w:basedOn w:val="720"/>
    <w:next w:val="1146"/>
    <w:link w:val="720"/>
    <w:uiPriority w:val="99"/>
    <w:qFormat/>
    <w:pPr>
      <w:ind w:firstLine="200"/>
      <w:spacing w:line="360" w:lineRule="auto"/>
      <w:outlineLvl w:val="2"/>
    </w:pPr>
    <w:rPr>
      <w:rFonts w:ascii="宋体" w:hAnsi="宋体"/>
      <w:b/>
      <w:szCs w:val="21"/>
    </w:rPr>
  </w:style>
  <w:style w:type="character" w:styleId="1147">
    <w:name w:val="font51"/>
    <w:basedOn w:val="730"/>
    <w:next w:val="1147"/>
    <w:link w:val="720"/>
    <w:qFormat/>
    <w:rPr>
      <w:rFonts w:hint="eastAsia" w:ascii="华文中宋" w:hAnsi="华文中宋" w:eastAsia="华文中宋" w:cs="华文中宋"/>
      <w:color w:val="000000"/>
      <w:sz w:val="21"/>
      <w:szCs w:val="21"/>
      <w:u w:val="none"/>
    </w:rPr>
  </w:style>
  <w:style w:type="paragraph" w:styleId="1148">
    <w:name w:val="标题 411"/>
    <w:basedOn w:val="720"/>
    <w:next w:val="720"/>
    <w:link w:val="720"/>
    <w:uiPriority w:val="1"/>
    <w:qFormat/>
    <w:pPr>
      <w:keepLines/>
      <w:keepNext/>
      <w:spacing w:before="280" w:after="290" w:line="376" w:lineRule="auto"/>
      <w:outlineLvl w:val="3"/>
    </w:pPr>
    <w:rPr>
      <w:rFonts w:ascii="Cambria" w:hAnsi="Cambria"/>
      <w:b/>
      <w:bCs/>
      <w:sz w:val="28"/>
      <w:szCs w:val="28"/>
    </w:rPr>
  </w:style>
  <w:style w:type="paragraph" w:styleId="1149">
    <w:name w:val="纯文本11"/>
    <w:basedOn w:val="720"/>
    <w:next w:val="1149"/>
    <w:link w:val="720"/>
    <w:uiPriority w:val="99"/>
    <w:unhideWhenUsed/>
    <w:qFormat/>
    <w:rPr>
      <w:rFonts w:ascii="宋体" w:hAnsi="Courier New" w:cs="Courier New"/>
    </w:rPr>
  </w:style>
  <w:style w:type="table" w:styleId="1150">
    <w:name w:val="Table Normal"/>
    <w:next w:val="1150"/>
    <w:link w:val="720"/>
    <w:unhideWhenUsed/>
    <w:qFormat/>
    <w:tblPr/>
  </w:style>
  <w:style w:type="paragraph" w:styleId="1151">
    <w:name w:val="列出段落"/>
    <w:basedOn w:val="720"/>
    <w:next w:val="1151"/>
    <w:link w:val="720"/>
    <w:qFormat/>
    <w:pPr>
      <w:ind w:firstLine="420"/>
    </w:pPr>
    <w:rPr>
      <w:szCs w:val="24"/>
    </w:rPr>
  </w:style>
  <w:style w:type="paragraph" w:styleId="1152">
    <w:name w:val="Normal_0_5"/>
    <w:next w:val="1152"/>
    <w:link w:val="720"/>
    <w:qFormat/>
    <w:rPr>
      <w:rFonts w:ascii="Times New Roman" w:hAnsi="Times New Roman" w:eastAsia="Times New Roman" w:cs="Times New Roman"/>
      <w:sz w:val="24"/>
      <w:szCs w:val="24"/>
      <w:lang w:val="en-US" w:eastAsia="zh-CN" w:bidi="ar-SA"/>
    </w:rPr>
  </w:style>
  <w:style w:type="paragraph" w:styleId="1153">
    <w:name w:val="Normal_20"/>
    <w:next w:val="1153"/>
    <w:link w:val="720"/>
    <w:qFormat/>
    <w:rPr>
      <w:rFonts w:ascii="Times New Roman" w:hAnsi="Times New Roman" w:eastAsia="Times New Roman" w:cs="Times New Roman"/>
      <w:sz w:val="24"/>
      <w:szCs w:val="24"/>
      <w:lang w:val="en-US" w:eastAsia="zh-CN" w:bidi="ar-SA"/>
    </w:rPr>
  </w:style>
  <w:style w:type="character" w:styleId="1154">
    <w:name w:val="font71"/>
    <w:basedOn w:val="730"/>
    <w:next w:val="1154"/>
    <w:link w:val="720"/>
    <w:qFormat/>
    <w:rPr>
      <w:rFonts w:ascii="Times New Roman" w:hAnsi="Times New Roman" w:cs="Times New Roman"/>
      <w:color w:val="000000"/>
      <w:sz w:val="22"/>
      <w:szCs w:val="22"/>
      <w:u w:val="none"/>
    </w:rPr>
  </w:style>
  <w:style w:type="character" w:styleId="1155">
    <w:name w:val="font81"/>
    <w:basedOn w:val="730"/>
    <w:next w:val="1155"/>
    <w:link w:val="720"/>
    <w:qFormat/>
    <w:rPr>
      <w:rFonts w:ascii="Calibri" w:hAnsi="Calibri" w:cs="Calibri"/>
      <w:color w:val="000000"/>
      <w:sz w:val="20"/>
      <w:szCs w:val="20"/>
      <w:u w:val="none"/>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138</dc:creator>
  <cp:lastModifiedBy>陆静娟</cp:lastModifiedBy>
  <cp:revision>7</cp:revision>
  <dcterms:created xsi:type="dcterms:W3CDTF">2026-06-16T06:36:00Z</dcterms:created>
  <dcterms:modified xsi:type="dcterms:W3CDTF">2026-10-29T01:58:27Z</dcterms:modified>
</cp:coreProperties>
</file>