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8"/>
        <w:ind w:right="0" w:firstLine="0"/>
        <w:spacing w:before="120" w:after="120"/>
        <w:rPr>
          <w:rFonts w:hint="eastAsia" w:ascii="方正仿宋_GB2312" w:hAnsi="方正仿宋_GB2312" w:eastAsia="方正仿宋_GB2312" w:cs="方正仿宋_GB2312"/>
          <w:b/>
          <w:bCs/>
          <w:sz w:val="84"/>
        </w:rPr>
      </w:pPr>
      <w:r>
        <w:rPr>
          <w:rFonts w:hint="eastAsia" w:ascii="方正仿宋_GB2312" w:hAnsi="方正仿宋_GB2312" w:eastAsia="方正仿宋_GB2312" w:cs="方正仿宋_GB2312"/>
          <w:b/>
          <w:bCs/>
          <w:sz w:val="84"/>
        </w:rPr>
      </w:r>
      <w:r/>
    </w:p>
    <w:p>
      <w:pPr>
        <w:pStyle w:val="758"/>
        <w:ind w:right="0" w:firstLine="0"/>
        <w:jc w:val="center"/>
        <w:rPr>
          <w:rFonts w:hint="eastAsia" w:ascii="方正仿宋_GB2312" w:hAnsi="方正仿宋_GB2312" w:eastAsia="方正仿宋_GB2312" w:cs="方正仿宋_GB2312"/>
          <w:sz w:val="72"/>
          <w:szCs w:val="72"/>
        </w:rPr>
      </w:pPr>
      <w:r>
        <w:rPr>
          <w:rFonts w:hint="eastAsia" w:ascii="方正仿宋_GB2312" w:hAnsi="方正仿宋_GB2312" w:eastAsia="方正仿宋_GB2312" w:cs="方正仿宋_GB2312"/>
          <w:sz w:val="72"/>
          <w:szCs w:val="72"/>
        </w:rPr>
        <w:t xml:space="preserve">招　标　文　件</w:t>
      </w:r>
      <w:r/>
    </w:p>
    <w:p>
      <w:pPr>
        <w:pStyle w:val="758"/>
        <w:ind w:left="0" w:right="0"/>
        <w:spacing w:line="40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r>
      <w:r/>
    </w:p>
    <w:p>
      <w:pPr>
        <w:ind w:left="0" w:right="0"/>
        <w:jc w:val="left"/>
        <w:spacing w:before="120" w:after="120" w:line="400" w:lineRule="exact"/>
        <w:rPr>
          <w:rFonts w:hint="eastAsia" w:ascii="方正仿宋_GB2312" w:hAnsi="方正仿宋_GB2312" w:eastAsia="方正仿宋_GB2312" w:cs="方正仿宋_GB2312"/>
          <w:color w:val="000000"/>
          <w:sz w:val="36"/>
          <w:szCs w:val="36"/>
        </w:rPr>
      </w:pPr>
      <w:r>
        <w:rPr>
          <w:rFonts w:hint="eastAsia" w:ascii="方正仿宋_GB2312" w:hAnsi="方正仿宋_GB2312" w:eastAsia="方正仿宋_GB2312" w:cs="方正仿宋_GB2312"/>
          <w:color w:val="000000"/>
          <w:sz w:val="36"/>
          <w:szCs w:val="36"/>
        </w:rPr>
        <w:t xml:space="preserve">项目名称：传染病预测和风险评估预警应用平台</w:t>
      </w:r>
      <w:r/>
    </w:p>
    <w:p>
      <w:pPr>
        <w:ind w:left="0" w:right="0"/>
        <w:jc w:val="left"/>
        <w:spacing w:before="120" w:after="120" w:line="400" w:lineRule="exact"/>
        <w:rPr>
          <w:rFonts w:hint="eastAsia" w:ascii="方正仿宋_GB2312" w:hAnsi="方正仿宋_GB2312" w:eastAsia="方正仿宋_GB2312" w:cs="方正仿宋_GB2312"/>
          <w:b/>
          <w:color w:val="ff0000"/>
          <w:sz w:val="28"/>
          <w:szCs w:val="28"/>
        </w:rPr>
      </w:pPr>
      <w:r>
        <w:rPr>
          <w:rFonts w:hint="eastAsia" w:ascii="方正仿宋_GB2312" w:hAnsi="方正仿宋_GB2312" w:eastAsia="方正仿宋_GB2312" w:cs="方正仿宋_GB2312"/>
          <w:color w:val="000000"/>
          <w:sz w:val="36"/>
          <w:szCs w:val="36"/>
        </w:rPr>
        <w:t xml:space="preserve">采购编号：JSZC-320000-SCZX-G2026-0424    </w:t>
      </w:r>
      <w:r>
        <w:rPr>
          <w:rFonts w:hint="eastAsia" w:ascii="方正仿宋_GB2312" w:hAnsi="方正仿宋_GB2312" w:eastAsia="方正仿宋_GB2312" w:cs="方正仿宋_GB2312"/>
          <w:color w:val="000000"/>
          <w:sz w:val="28"/>
          <w:szCs w:val="28"/>
        </w:rPr>
        <w:t xml:space="preserve">    </w:t>
      </w:r>
      <w:r/>
    </w:p>
    <w:p>
      <w:pPr>
        <w:pStyle w:val="758"/>
        <w:ind w:right="0" w:firstLine="0"/>
        <w:spacing w:before="0" w:after="0"/>
        <w:rPr>
          <w:rFonts w:hint="eastAsia" w:ascii="方正仿宋_GB2312" w:hAnsi="方正仿宋_GB2312" w:eastAsia="方正仿宋_GB2312" w:cs="方正仿宋_GB2312"/>
          <w:b/>
          <w:color w:val="ff0000"/>
          <w:sz w:val="28"/>
          <w:szCs w:val="28"/>
        </w:rPr>
      </w:pPr>
      <w:r>
        <w:rPr>
          <w:rFonts w:hint="eastAsia" w:ascii="方正仿宋_GB2312" w:hAnsi="方正仿宋_GB2312" w:eastAsia="方正仿宋_GB2312" w:cs="方正仿宋_GB2312"/>
          <w:b/>
          <w:color w:val="ff0000"/>
          <w:sz w:val="28"/>
          <w:szCs w:val="28"/>
        </w:rPr>
      </w:r>
      <w:r/>
    </w:p>
    <w:p>
      <w:pPr>
        <w:pStyle w:val="758"/>
        <w:ind w:right="0" w:firstLine="0"/>
        <w:spacing w:before="0" w:after="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58"/>
        <w:ind w:right="0" w:firstLine="0"/>
        <w:spacing w:before="0" w:after="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58"/>
        <w:ind w:right="0" w:firstLine="0"/>
        <w:spacing w:before="0" w:after="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58"/>
        <w:ind w:right="0" w:firstLine="0"/>
        <w:spacing w:before="0" w:after="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58"/>
        <w:ind w:right="0" w:firstLine="0"/>
        <w:spacing w:before="0" w:after="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jc w:val="center"/>
        <w:spacing w:before="120" w:after="120" w:line="400" w:lineRule="exact"/>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 xml:space="preserve">江苏省政府采购中心</w:t>
      </w:r>
      <w:r/>
    </w:p>
    <w:p>
      <w:pPr>
        <w:jc w:val="center"/>
        <w:spacing w:before="120" w:after="120" w:line="400" w:lineRule="exact"/>
        <w:rPr>
          <w:rFonts w:hint="eastAsia"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 xml:space="preserve">2026年</w:t>
      </w:r>
      <w:r>
        <w:rPr>
          <w:rFonts w:hint="eastAsia" w:ascii="方正仿宋_GB2312" w:hAnsi="方正仿宋_GB2312" w:eastAsia="方正仿宋_GB2312" w:cs="方正仿宋_GB2312"/>
          <w:color w:val="000000"/>
          <w:sz w:val="32"/>
          <w:szCs w:val="32"/>
          <w:lang w:val="en-US" w:eastAsia="zh-CN"/>
        </w:rPr>
        <w:t xml:space="preserve">10</w:t>
      </w:r>
      <w:r>
        <w:rPr>
          <w:rFonts w:hint="eastAsia" w:ascii="方正仿宋_GB2312" w:hAnsi="方正仿宋_GB2312" w:eastAsia="方正仿宋_GB2312" w:cs="方正仿宋_GB2312"/>
          <w:color w:val="000000"/>
          <w:sz w:val="32"/>
          <w:szCs w:val="32"/>
        </w:rPr>
        <w:t xml:space="preserve">月</w:t>
      </w:r>
      <w:r/>
    </w:p>
    <w:p>
      <w:pPr>
        <w:pStyle w:val="758"/>
        <w:ind w:right="0" w:firstLine="0"/>
        <w:rPr>
          <w:rFonts w:hint="eastAsia" w:ascii="方正仿宋_GB2312" w:hAnsi="方正仿宋_GB2312" w:eastAsia="方正仿宋_GB2312" w:cs="方正仿宋_GB2312"/>
          <w:u w:val="single"/>
        </w:rPr>
      </w:pPr>
      <w:r>
        <w:rPr>
          <w:rFonts w:hint="eastAsia" w:ascii="方正仿宋_GB2312" w:hAnsi="方正仿宋_GB2312" w:eastAsia="方正仿宋_GB2312" w:cs="方正仿宋_GB2312"/>
        </w:rPr>
        <w:t xml:space="preserve">                        </w:t>
      </w:r>
      <w:r/>
    </w:p>
    <w:p>
      <w:pPr>
        <w:pStyle w:val="758"/>
        <w:ind w:right="0" w:firstLine="0"/>
        <w:jc w:val="center"/>
        <w:rPr>
          <w:rFonts w:hint="eastAsia" w:ascii="方正仿宋_GB2312" w:hAnsi="方正仿宋_GB2312" w:eastAsia="方正仿宋_GB2312" w:cs="方正仿宋_GB2312"/>
          <w:u w:val="single"/>
        </w:rPr>
      </w:pPr>
      <w:r>
        <w:rPr>
          <w:rFonts w:hint="eastAsia" w:ascii="方正仿宋_GB2312" w:hAnsi="方正仿宋_GB2312" w:eastAsia="方正仿宋_GB2312" w:cs="方正仿宋_GB2312"/>
        </w:rPr>
        <w:br w:type="page" w:clear="all"/>
      </w:r>
      <w:r/>
    </w:p>
    <w:p>
      <w:pPr>
        <w:numPr>
          <w:ilvl w:val="0"/>
          <w:numId w:val="0"/>
        </w:numPr>
        <w:jc w:val="center"/>
        <w:spacing w:line="400" w:lineRule="exact"/>
        <w:rPr>
          <w:rFonts w:hint="eastAsia" w:ascii="方正仿宋_GB2312" w:hAnsi="方正仿宋_GB2312" w:eastAsia="方正仿宋_GB2312" w:cs="方正仿宋_GB2312"/>
          <w:b/>
          <w:sz w:val="28"/>
          <w:szCs w:val="28"/>
        </w:rPr>
        <w:outlineLvl w:val="0"/>
      </w:pPr>
      <w:r>
        <w:rPr>
          <w:rFonts w:hint="eastAsia" w:ascii="方正仿宋_GB2312" w:hAnsi="方正仿宋_GB2312" w:eastAsia="方正仿宋_GB2312" w:cs="方正仿宋_GB2312"/>
          <w:b/>
          <w:color w:val="000000"/>
          <w:sz w:val="28"/>
          <w:szCs w:val="28"/>
        </w:rPr>
        <w:t xml:space="preserve"> </w:t>
      </w:r>
      <w:r>
        <w:rPr>
          <w:rFonts w:hint="eastAsia" w:ascii="方正仿宋_GB2312" w:hAnsi="方正仿宋_GB2312" w:eastAsia="方正仿宋_GB2312" w:cs="方正仿宋_GB2312"/>
          <w:bCs/>
          <w:color w:val="000000"/>
          <w:sz w:val="28"/>
          <w:szCs w:val="28"/>
        </w:rPr>
        <w:t xml:space="preserve">总  目  录</w:t>
      </w:r>
      <w:r/>
    </w:p>
    <w:p>
      <w:pPr>
        <w:numPr>
          <w:ilvl w:val="0"/>
          <w:numId w:val="0"/>
        </w:numPr>
        <w:spacing w:line="400" w:lineRule="exact"/>
        <w:rPr>
          <w:rFonts w:hint="eastAsia" w:ascii="方正仿宋_GB2312" w:hAnsi="方正仿宋_GB2312" w:eastAsia="方正仿宋_GB2312" w:cs="方正仿宋_GB2312"/>
          <w:b/>
          <w:color w:val="000000"/>
          <w:sz w:val="28"/>
          <w:szCs w:val="28"/>
        </w:rPr>
        <w:outlineLvl w:val="0"/>
      </w:pPr>
      <w:r>
        <w:rPr>
          <w:rFonts w:hint="eastAsia" w:ascii="方正仿宋_GB2312" w:hAnsi="方正仿宋_GB2312" w:eastAsia="方正仿宋_GB2312" w:cs="方正仿宋_GB2312"/>
          <w:b/>
          <w:color w:val="000000"/>
          <w:sz w:val="28"/>
          <w:szCs w:val="28"/>
        </w:rPr>
      </w:r>
      <w:r/>
    </w:p>
    <w:p>
      <w:pPr>
        <w:numPr>
          <w:ilvl w:val="0"/>
          <w:numId w:val="0"/>
        </w:numPr>
        <w:jc w:val="center"/>
        <w:spacing w:line="400" w:lineRule="exact"/>
        <w:rPr>
          <w:rFonts w:hint="eastAsia" w:ascii="方正仿宋_GB2312" w:hAnsi="方正仿宋_GB2312" w:eastAsia="方正仿宋_GB2312" w:cs="方正仿宋_GB2312"/>
          <w:color w:val="000000"/>
          <w:sz w:val="28"/>
          <w:szCs w:val="28"/>
          <w:lang w:val="en-US" w:eastAsia="zh-CN"/>
        </w:rPr>
        <w:outlineLvl w:val="0"/>
      </w:pPr>
      <w:r>
        <w:rPr>
          <w:rFonts w:hint="eastAsia" w:ascii="方正仿宋_GB2312" w:hAnsi="方正仿宋_GB2312" w:eastAsia="方正仿宋_GB2312" w:cs="方正仿宋_GB2312"/>
          <w:color w:val="000000"/>
          <w:sz w:val="28"/>
          <w:szCs w:val="28"/>
        </w:rPr>
        <w:t xml:space="preserve">第一章 投标邀请……………………………………</w:t>
      </w:r>
      <w:r>
        <w:rPr>
          <w:rFonts w:hint="eastAsia" w:ascii="方正仿宋_GB2312" w:hAnsi="方正仿宋_GB2312" w:eastAsia="方正仿宋_GB2312" w:cs="方正仿宋_GB2312"/>
          <w:color w:val="000000"/>
          <w:sz w:val="28"/>
          <w:szCs w:val="28"/>
          <w:lang w:val="en-US" w:eastAsia="zh-CN"/>
        </w:rPr>
        <w:t xml:space="preserve">3</w:t>
      </w:r>
      <w:r/>
    </w:p>
    <w:p>
      <w:pPr>
        <w:numPr>
          <w:ilvl w:val="0"/>
          <w:numId w:val="0"/>
        </w:numPr>
        <w:jc w:val="center"/>
        <w:spacing w:line="400" w:lineRule="exact"/>
        <w:rPr>
          <w:rFonts w:hint="eastAsia" w:ascii="方正仿宋_GB2312" w:hAnsi="方正仿宋_GB2312" w:eastAsia="方正仿宋_GB2312" w:cs="方正仿宋_GB2312"/>
          <w:color w:val="000000"/>
          <w:sz w:val="28"/>
          <w:szCs w:val="28"/>
          <w:lang w:val="en-US" w:eastAsia="zh-CN"/>
        </w:rPr>
        <w:outlineLvl w:val="0"/>
      </w:pPr>
      <w:r>
        <w:rPr>
          <w:rFonts w:hint="eastAsia" w:ascii="方正仿宋_GB2312" w:hAnsi="方正仿宋_GB2312" w:eastAsia="方正仿宋_GB2312" w:cs="方正仿宋_GB2312"/>
          <w:color w:val="000000"/>
          <w:sz w:val="28"/>
          <w:szCs w:val="28"/>
        </w:rPr>
        <w:t xml:space="preserve">第二章 投标人须知…………………………………</w:t>
      </w:r>
      <w:r>
        <w:rPr>
          <w:rFonts w:hint="eastAsia" w:ascii="方正仿宋_GB2312" w:hAnsi="方正仿宋_GB2312" w:eastAsia="方正仿宋_GB2312" w:cs="方正仿宋_GB2312"/>
          <w:color w:val="000000"/>
          <w:sz w:val="28"/>
          <w:szCs w:val="28"/>
          <w:lang w:val="en-US" w:eastAsia="zh-CN"/>
        </w:rPr>
        <w:t xml:space="preserve">6</w:t>
      </w:r>
      <w:r/>
    </w:p>
    <w:p>
      <w:pPr>
        <w:numPr>
          <w:ilvl w:val="0"/>
          <w:numId w:val="0"/>
        </w:numPr>
        <w:jc w:val="center"/>
        <w:spacing w:line="400" w:lineRule="exact"/>
        <w:rPr>
          <w:rFonts w:hint="default" w:ascii="方正仿宋_GB2312" w:hAnsi="方正仿宋_GB2312" w:eastAsia="方正仿宋_GB2312" w:cs="方正仿宋_GB2312"/>
          <w:color w:val="000000"/>
          <w:sz w:val="28"/>
          <w:szCs w:val="28"/>
          <w:lang w:val="en-US" w:eastAsia="zh-CN"/>
        </w:rPr>
        <w:outlineLvl w:val="0"/>
      </w:pPr>
      <w:r>
        <w:rPr>
          <w:rFonts w:hint="eastAsia" w:ascii="方正仿宋_GB2312" w:hAnsi="方正仿宋_GB2312" w:eastAsia="方正仿宋_GB2312" w:cs="方正仿宋_GB2312"/>
          <w:color w:val="000000"/>
          <w:sz w:val="28"/>
          <w:szCs w:val="28"/>
        </w:rPr>
        <w:t xml:space="preserve">第三章 合同文本……………………………………</w:t>
      </w:r>
      <w:r>
        <w:rPr>
          <w:rFonts w:hint="eastAsia" w:ascii="方正仿宋_GB2312" w:hAnsi="方正仿宋_GB2312" w:eastAsia="方正仿宋_GB2312" w:cs="方正仿宋_GB2312"/>
          <w:color w:val="000000"/>
          <w:sz w:val="28"/>
          <w:szCs w:val="28"/>
          <w:lang w:val="en-US" w:eastAsia="zh-CN"/>
        </w:rPr>
        <w:t xml:space="preserve">16</w:t>
      </w:r>
      <w:r/>
    </w:p>
    <w:p>
      <w:pPr>
        <w:numPr>
          <w:ilvl w:val="0"/>
          <w:numId w:val="0"/>
        </w:numPr>
        <w:jc w:val="center"/>
        <w:spacing w:line="400" w:lineRule="exact"/>
        <w:rPr>
          <w:rFonts w:hint="default" w:ascii="方正仿宋_GB2312" w:hAnsi="方正仿宋_GB2312" w:eastAsia="方正仿宋_GB2312" w:cs="方正仿宋_GB2312"/>
          <w:color w:val="000000"/>
          <w:sz w:val="28"/>
          <w:szCs w:val="28"/>
          <w:lang w:val="en-US" w:eastAsia="zh-CN"/>
        </w:rPr>
        <w:outlineLvl w:val="0"/>
      </w:pPr>
      <w:r>
        <w:rPr>
          <w:rFonts w:hint="eastAsia" w:ascii="方正仿宋_GB2312" w:hAnsi="方正仿宋_GB2312" w:eastAsia="方正仿宋_GB2312" w:cs="方正仿宋_GB2312"/>
          <w:color w:val="000000"/>
          <w:sz w:val="28"/>
          <w:szCs w:val="28"/>
        </w:rPr>
        <w:t xml:space="preserve">第四章 采购需求……………………………………</w:t>
      </w:r>
      <w:r>
        <w:rPr>
          <w:rFonts w:hint="eastAsia" w:ascii="方正仿宋_GB2312" w:hAnsi="方正仿宋_GB2312" w:eastAsia="方正仿宋_GB2312" w:cs="方正仿宋_GB2312"/>
          <w:color w:val="000000"/>
          <w:sz w:val="28"/>
          <w:szCs w:val="28"/>
          <w:lang w:val="en-US" w:eastAsia="zh-CN"/>
        </w:rPr>
        <w:t xml:space="preserve">20</w:t>
      </w:r>
      <w:r/>
    </w:p>
    <w:p>
      <w:pPr>
        <w:numPr>
          <w:ilvl w:val="0"/>
          <w:numId w:val="0"/>
        </w:numPr>
        <w:jc w:val="center"/>
        <w:spacing w:line="400" w:lineRule="exact"/>
        <w:rPr>
          <w:rFonts w:hint="default" w:ascii="方正仿宋_GB2312" w:hAnsi="方正仿宋_GB2312" w:eastAsia="方正仿宋_GB2312" w:cs="方正仿宋_GB2312"/>
          <w:color w:val="000000"/>
          <w:sz w:val="28"/>
          <w:szCs w:val="28"/>
          <w:lang w:val="en-US" w:eastAsia="zh-CN"/>
        </w:rPr>
        <w:outlineLvl w:val="0"/>
      </w:pPr>
      <w:r>
        <w:rPr>
          <w:rFonts w:hint="eastAsia" w:ascii="方正仿宋_GB2312" w:hAnsi="方正仿宋_GB2312" w:eastAsia="方正仿宋_GB2312" w:cs="方正仿宋_GB2312"/>
          <w:color w:val="000000"/>
          <w:sz w:val="28"/>
          <w:szCs w:val="28"/>
        </w:rPr>
        <w:t xml:space="preserve">第五章 评标方法与评标标准………………………</w:t>
      </w:r>
      <w:r>
        <w:rPr>
          <w:rFonts w:hint="eastAsia" w:ascii="方正仿宋_GB2312" w:hAnsi="方正仿宋_GB2312" w:eastAsia="方正仿宋_GB2312" w:cs="方正仿宋_GB2312"/>
          <w:color w:val="000000"/>
          <w:sz w:val="28"/>
          <w:szCs w:val="28"/>
          <w:lang w:val="en-US" w:eastAsia="zh-CN"/>
        </w:rPr>
        <w:t xml:space="preserve">35</w:t>
      </w:r>
      <w:r/>
    </w:p>
    <w:p>
      <w:pPr>
        <w:numPr>
          <w:ilvl w:val="0"/>
          <w:numId w:val="0"/>
        </w:numPr>
        <w:jc w:val="center"/>
        <w:spacing w:line="400" w:lineRule="exact"/>
        <w:rPr>
          <w:rFonts w:hint="default" w:ascii="方正仿宋_GB2312" w:hAnsi="方正仿宋_GB2312" w:eastAsia="方正仿宋_GB2312" w:cs="方正仿宋_GB2312"/>
          <w:color w:val="000000"/>
          <w:sz w:val="28"/>
          <w:szCs w:val="28"/>
          <w:lang w:val="en-US" w:eastAsia="zh-CN"/>
        </w:rPr>
        <w:outlineLvl w:val="0"/>
      </w:pPr>
      <w:r>
        <w:rPr>
          <w:rFonts w:hint="eastAsia" w:ascii="方正仿宋_GB2312" w:hAnsi="方正仿宋_GB2312" w:eastAsia="方正仿宋_GB2312" w:cs="方正仿宋_GB2312"/>
          <w:color w:val="000000"/>
          <w:sz w:val="28"/>
          <w:szCs w:val="28"/>
        </w:rPr>
        <w:t xml:space="preserve">第六章 投标文件格式………………………………</w:t>
      </w:r>
      <w:r>
        <w:rPr>
          <w:rFonts w:hint="eastAsia" w:ascii="方正仿宋_GB2312" w:hAnsi="方正仿宋_GB2312" w:eastAsia="方正仿宋_GB2312" w:cs="方正仿宋_GB2312"/>
          <w:color w:val="000000"/>
          <w:sz w:val="28"/>
          <w:szCs w:val="28"/>
          <w:lang w:val="en-US" w:eastAsia="zh-CN"/>
        </w:rPr>
        <w:t xml:space="preserve">42</w:t>
      </w:r>
      <w:r/>
    </w:p>
    <w:p>
      <w:pPr>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rPr>
        <w:t xml:space="preserve">   </w:t>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rPr>
          <w:rFonts w:hint="eastAsia" w:ascii="方正仿宋_GB2312" w:hAnsi="方正仿宋_GB2312" w:eastAsia="方正仿宋_GB2312" w:cs="方正仿宋_GB2312"/>
        </w:rP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rPr>
          <w:rFonts w:hint="eastAsia" w:ascii="方正仿宋_GB2312" w:hAnsi="方正仿宋_GB2312" w:eastAsia="方正仿宋_GB2312" w:cs="方正仿宋_GB2312"/>
        </w:rP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rPr>
          <w:rFonts w:hint="eastAsia" w:ascii="方正仿宋_GB2312" w:hAnsi="方正仿宋_GB2312" w:eastAsia="方正仿宋_GB2312" w:cs="方正仿宋_GB2312"/>
        </w:rP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rPr>
          <w:rFonts w:hint="eastAsia" w:ascii="方正仿宋_GB2312" w:hAnsi="方正仿宋_GB2312" w:eastAsia="方正仿宋_GB2312" w:cs="方正仿宋_GB2312"/>
        </w:rP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rPr>
          <w:rFonts w:hint="eastAsia" w:ascii="方正仿宋_GB2312" w:hAnsi="方正仿宋_GB2312" w:eastAsia="方正仿宋_GB2312" w:cs="方正仿宋_GB2312"/>
        </w:rP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rPr>
          <w:rFonts w:hint="eastAsia" w:ascii="方正仿宋_GB2312" w:hAnsi="方正仿宋_GB2312" w:eastAsia="方正仿宋_GB2312" w:cs="方正仿宋_GB2312"/>
        </w:rP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rPr>
          <w:rFonts w:hint="eastAsia" w:ascii="方正仿宋_GB2312" w:hAnsi="方正仿宋_GB2312" w:eastAsia="方正仿宋_GB2312" w:cs="方正仿宋_GB2312"/>
        </w:rP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rPr>
          <w:rFonts w:hint="eastAsia" w:ascii="方正仿宋_GB2312" w:hAnsi="方正仿宋_GB2312" w:eastAsia="方正仿宋_GB2312" w:cs="方正仿宋_GB2312"/>
        </w:rP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rPr>
          <w:rFonts w:hint="eastAsia" w:ascii="方正仿宋_GB2312" w:hAnsi="方正仿宋_GB2312" w:eastAsia="方正仿宋_GB2312" w:cs="方正仿宋_GB2312"/>
        </w:rP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rPr>
          <w:rFonts w:hint="eastAsia" w:ascii="方正仿宋_GB2312" w:hAnsi="方正仿宋_GB2312" w:eastAsia="方正仿宋_GB2312" w:cs="方正仿宋_GB2312"/>
        </w:rP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rPr>
          <w:rFonts w:hint="eastAsia" w:ascii="方正仿宋_GB2312" w:hAnsi="方正仿宋_GB2312" w:eastAsia="方正仿宋_GB2312" w:cs="方正仿宋_GB2312"/>
        </w:rP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rPr>
          <w:rFonts w:hint="eastAsia" w:ascii="方正仿宋_GB2312" w:hAnsi="方正仿宋_GB2312" w:eastAsia="方正仿宋_GB2312" w:cs="方正仿宋_GB2312"/>
        </w:rP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rPr>
          <w:rFonts w:hint="eastAsia" w:ascii="方正仿宋_GB2312" w:hAnsi="方正仿宋_GB2312" w:eastAsia="方正仿宋_GB2312" w:cs="方正仿宋_GB2312"/>
        </w:rP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rPr>
          <w:rFonts w:hint="eastAsia" w:ascii="方正仿宋_GB2312" w:hAnsi="方正仿宋_GB2312" w:eastAsia="方正仿宋_GB2312" w:cs="方正仿宋_GB2312"/>
        </w:rP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rPr>
          <w:rFonts w:hint="eastAsia" w:ascii="方正仿宋_GB2312" w:hAnsi="方正仿宋_GB2312" w:eastAsia="方正仿宋_GB2312" w:cs="方正仿宋_GB2312"/>
        </w:rP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rPr>
          <w:rFonts w:hint="eastAsia" w:ascii="方正仿宋_GB2312" w:hAnsi="方正仿宋_GB2312" w:eastAsia="方正仿宋_GB2312" w:cs="方正仿宋_GB2312"/>
        </w:rP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rPr>
          <w:rFonts w:hint="eastAsia" w:ascii="方正仿宋_GB2312" w:hAnsi="方正仿宋_GB2312" w:eastAsia="方正仿宋_GB2312" w:cs="方正仿宋_GB2312"/>
        </w:rP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rPr>
          <w:rFonts w:hint="eastAsia" w:ascii="方正仿宋_GB2312" w:hAnsi="方正仿宋_GB2312" w:eastAsia="方正仿宋_GB2312" w:cs="方正仿宋_GB2312"/>
        </w:rP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rPr>
          <w:rFonts w:hint="eastAsia" w:ascii="方正仿宋_GB2312" w:hAnsi="方正仿宋_GB2312" w:eastAsia="方正仿宋_GB2312" w:cs="方正仿宋_GB2312"/>
        </w:rP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highlight w:val="none"/>
        </w:rPr>
      </w:r>
      <w:r>
        <w:rPr>
          <w:rFonts w:hint="eastAsia" w:ascii="方正仿宋_GB2312" w:hAnsi="方正仿宋_GB2312" w:eastAsia="方正仿宋_GB2312" w:cs="方正仿宋_GB2312"/>
          <w:highlight w:val="none"/>
        </w:rP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numPr>
          <w:ilvl w:val="0"/>
          <w:numId w:val="0"/>
        </w:numPr>
        <w:jc w:val="center"/>
        <w:keepNext/>
        <w:spacing w:line="400" w:lineRule="exact"/>
        <w:rPr>
          <w:rFonts w:hint="eastAsia" w:ascii="方正仿宋_GB2312" w:hAnsi="方正仿宋_GB2312" w:eastAsia="方正仿宋_GB2312" w:cs="方正仿宋_GB2312"/>
          <w:color w:val="000000"/>
          <w:sz w:val="28"/>
          <w:szCs w:val="28"/>
        </w:rPr>
        <w:outlineLvl w:val="0"/>
      </w:pPr>
      <w:r>
        <w:rPr>
          <w:rFonts w:hint="eastAsia" w:ascii="方正仿宋_GB2312" w:hAnsi="方正仿宋_GB2312" w:eastAsia="方正仿宋_GB2312" w:cs="方正仿宋_GB2312"/>
          <w:color w:val="000000"/>
          <w:sz w:val="28"/>
          <w:szCs w:val="28"/>
        </w:rPr>
        <w:t xml:space="preserve">第一章  投标邀请</w:t>
      </w:r>
      <w:r/>
    </w:p>
    <w:p>
      <w:pPr>
        <w:ind w:left="0" w:right="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sz w:val="28"/>
          <w:szCs w:val="28"/>
        </w:rPr>
        <w:t xml:space="preserve">受江苏省疾病预防控制中心（江苏省预防医学科学院）的委托，</w:t>
      </w:r>
      <w:r>
        <w:rPr>
          <w:rFonts w:hint="eastAsia" w:ascii="方正仿宋_GB2312" w:hAnsi="方正仿宋_GB2312" w:eastAsia="方正仿宋_GB2312" w:cs="方正仿宋_GB2312"/>
          <w:color w:val="000000"/>
          <w:sz w:val="28"/>
          <w:szCs w:val="28"/>
        </w:rPr>
        <w:t xml:space="preserve">江苏省政府采购中心就传染病预测和风险评估预警应用平台(JSZC-320000-SCZX-G2026-0424)项目进行公开招标采购，欢迎符合条件的供应商投标。</w:t>
      </w:r>
      <w:r/>
    </w:p>
    <w:p>
      <w:pPr>
        <w:ind w:left="0" w:right="0"/>
        <w:spacing w:line="400" w:lineRule="exact"/>
        <w:rPr>
          <w:rFonts w:hint="eastAsia" w:ascii="方正仿宋_GB2312" w:hAnsi="方正仿宋_GB2312" w:eastAsia="方正仿宋_GB2312" w:cs="方正仿宋_GB2312"/>
          <w:sz w:val="28"/>
          <w:szCs w:val="28"/>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sz w:val="28"/>
          <w:szCs w:val="28"/>
        </w:rPr>
        <w:t xml:space="preserve">项目概况</w:t>
      </w:r>
      <w:r/>
    </w:p>
    <w:p>
      <w:pPr>
        <w:ind w:left="0" w:right="0"/>
        <w:spacing w:line="400" w:lineRule="exact"/>
        <w:rPr>
          <w:rFonts w:hint="eastAsia" w:ascii="方正仿宋_GB2312" w:hAnsi="方正仿宋_GB2312" w:eastAsia="方正仿宋_GB2312" w:cs="方正仿宋_GB2312"/>
          <w:sz w:val="28"/>
          <w:szCs w:val="28"/>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color w:val="000000"/>
          <w:sz w:val="28"/>
          <w:szCs w:val="28"/>
          <w:u w:val="single"/>
        </w:rPr>
        <w:t xml:space="preserve">传染病预测和风险评估预警应用平台</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招标项目的潜在投标人可在</w:t>
      </w:r>
      <w:r>
        <w:rPr>
          <w:rFonts w:hint="eastAsia" w:ascii="方正仿宋_GB2312" w:hAnsi="方正仿宋_GB2312" w:eastAsia="方正仿宋_GB2312" w:cs="方正仿宋_GB2312"/>
          <w:sz w:val="28"/>
          <w:szCs w:val="28"/>
          <w:u w:val="single"/>
        </w:rPr>
        <w:t xml:space="preserve">“江苏政府采购网”自行免费下载</w:t>
      </w:r>
      <w:r>
        <w:rPr>
          <w:rFonts w:hint="eastAsia" w:ascii="方正仿宋_GB2312" w:hAnsi="方正仿宋_GB2312" w:eastAsia="方正仿宋_GB2312" w:cs="方正仿宋_GB2312"/>
          <w:sz w:val="28"/>
          <w:szCs w:val="28"/>
        </w:rPr>
        <w:t xml:space="preserve">招标文件，并于</w:t>
      </w:r>
      <w:r>
        <w:rPr>
          <w:rFonts w:hint="eastAsia" w:ascii="方正仿宋_GB2312" w:hAnsi="方正仿宋_GB2312" w:eastAsia="方正仿宋_GB2312" w:cs="方正仿宋_GB2312"/>
          <w:color w:val="000000"/>
          <w:sz w:val="28"/>
          <w:szCs w:val="28"/>
          <w:highlight w:val="none"/>
          <w:u w:val="single"/>
          <w:lang w:val="en-US" w:eastAsia="zh-CN"/>
        </w:rPr>
        <w:t xml:space="preserve">2026</w:t>
      </w:r>
      <w:r>
        <w:rPr>
          <w:rFonts w:hint="eastAsia" w:ascii="方正仿宋_GB2312" w:hAnsi="方正仿宋_GB2312" w:eastAsia="方正仿宋_GB2312" w:cs="方正仿宋_GB2312"/>
          <w:bCs/>
          <w:color w:val="000000"/>
          <w:sz w:val="28"/>
          <w:szCs w:val="28"/>
          <w:highlight w:val="none"/>
          <w:u w:val="single"/>
        </w:rPr>
        <w:t xml:space="preserve">年</w:t>
      </w:r>
      <w:r>
        <w:rPr>
          <w:rFonts w:hint="eastAsia" w:ascii="方正仿宋_GB2312" w:hAnsi="方正仿宋_GB2312" w:eastAsia="方正仿宋_GB2312" w:cs="方正仿宋_GB2312"/>
          <w:color w:val="000000"/>
          <w:sz w:val="28"/>
          <w:szCs w:val="28"/>
          <w:highlight w:val="none"/>
          <w:u w:val="single"/>
          <w:lang w:val="en-US" w:eastAsia="zh-CN"/>
        </w:rPr>
        <w:t xml:space="preserve">11</w:t>
      </w:r>
      <w:r>
        <w:rPr>
          <w:rFonts w:hint="eastAsia" w:ascii="方正仿宋_GB2312" w:hAnsi="方正仿宋_GB2312" w:eastAsia="方正仿宋_GB2312" w:cs="方正仿宋_GB2312"/>
          <w:bCs/>
          <w:color w:val="000000"/>
          <w:sz w:val="28"/>
          <w:szCs w:val="28"/>
          <w:highlight w:val="none"/>
          <w:u w:val="single"/>
        </w:rPr>
        <w:t xml:space="preserve">月</w:t>
      </w:r>
      <w:r>
        <w:rPr>
          <w:rFonts w:hint="eastAsia" w:ascii="方正仿宋_GB2312" w:hAnsi="方正仿宋_GB2312" w:eastAsia="方正仿宋_GB2312" w:cs="方正仿宋_GB2312"/>
          <w:color w:val="000000"/>
          <w:sz w:val="28"/>
          <w:szCs w:val="28"/>
          <w:highlight w:val="none"/>
          <w:u w:val="single"/>
          <w:lang w:val="en-US" w:eastAsia="zh-CN"/>
        </w:rPr>
        <w:t xml:space="preserve">18</w:t>
      </w:r>
      <w:r>
        <w:rPr>
          <w:rFonts w:hint="eastAsia" w:ascii="方正仿宋_GB2312" w:hAnsi="方正仿宋_GB2312" w:eastAsia="方正仿宋_GB2312" w:cs="方正仿宋_GB2312"/>
          <w:bCs/>
          <w:color w:val="000000"/>
          <w:sz w:val="28"/>
          <w:szCs w:val="28"/>
          <w:highlight w:val="none"/>
          <w:u w:val="single"/>
        </w:rPr>
        <w:t xml:space="preserve">日</w:t>
      </w:r>
      <w:r>
        <w:rPr>
          <w:rFonts w:hint="eastAsia" w:ascii="方正仿宋_GB2312" w:hAnsi="方正仿宋_GB2312" w:eastAsia="方正仿宋_GB2312" w:cs="方正仿宋_GB2312"/>
          <w:color w:val="000000"/>
          <w:sz w:val="28"/>
          <w:szCs w:val="28"/>
          <w:highlight w:val="none"/>
          <w:u w:val="single"/>
          <w:lang w:val="en-US" w:eastAsia="zh-CN"/>
        </w:rPr>
        <w:t xml:space="preserve">9</w:t>
      </w:r>
      <w:r>
        <w:rPr>
          <w:rFonts w:hint="eastAsia" w:ascii="方正仿宋_GB2312" w:hAnsi="方正仿宋_GB2312" w:eastAsia="方正仿宋_GB2312" w:cs="方正仿宋_GB2312"/>
          <w:color w:val="000000"/>
          <w:sz w:val="28"/>
          <w:szCs w:val="28"/>
          <w:highlight w:val="none"/>
          <w:u w:val="single"/>
        </w:rPr>
        <w:t xml:space="preserve">时</w:t>
      </w:r>
      <w:r>
        <w:rPr>
          <w:rFonts w:hint="eastAsia" w:ascii="方正仿宋_GB2312" w:hAnsi="方正仿宋_GB2312" w:eastAsia="方正仿宋_GB2312" w:cs="方正仿宋_GB2312"/>
          <w:color w:val="000000"/>
          <w:sz w:val="28"/>
          <w:szCs w:val="28"/>
          <w:highlight w:val="none"/>
          <w:u w:val="single"/>
          <w:lang w:val="en-US" w:eastAsia="zh-CN"/>
        </w:rPr>
        <w:t xml:space="preserve">30</w:t>
      </w:r>
      <w:r>
        <w:rPr>
          <w:rFonts w:hint="eastAsia" w:ascii="方正仿宋_GB2312" w:hAnsi="方正仿宋_GB2312" w:eastAsia="方正仿宋_GB2312" w:cs="方正仿宋_GB2312"/>
          <w:bCs/>
          <w:sz w:val="28"/>
          <w:szCs w:val="28"/>
          <w:highlight w:val="none"/>
          <w:u w:val="single"/>
        </w:rPr>
        <w:t xml:space="preserve">分</w:t>
      </w:r>
      <w:r>
        <w:rPr>
          <w:rFonts w:hint="eastAsia" w:ascii="方正仿宋_GB2312" w:hAnsi="方正仿宋_GB2312" w:eastAsia="方正仿宋_GB2312" w:cs="方正仿宋_GB2312"/>
          <w:bCs/>
          <w:sz w:val="28"/>
          <w:szCs w:val="28"/>
        </w:rPr>
        <w:t xml:space="preserve">（北京时间）前递交投标文件</w:t>
      </w:r>
      <w:r>
        <w:rPr>
          <w:rFonts w:hint="eastAsia" w:ascii="方正仿宋_GB2312" w:hAnsi="方正仿宋_GB2312" w:eastAsia="方正仿宋_GB2312" w:cs="方正仿宋_GB2312"/>
          <w:sz w:val="28"/>
          <w:szCs w:val="28"/>
        </w:rPr>
        <w:t xml:space="preserve">。</w:t>
      </w:r>
      <w:r/>
    </w:p>
    <w:p>
      <w:pPr>
        <w:numPr>
          <w:ilvl w:val="0"/>
          <w:numId w:val="0"/>
        </w:numPr>
        <w:ind w:left="0" w:right="0"/>
        <w:jc w:val="left"/>
        <w:keepNext/>
        <w:spacing w:line="400" w:lineRule="exact"/>
        <w:rPr>
          <w:rFonts w:hint="eastAsia" w:ascii="方正仿宋_GB2312" w:hAnsi="方正仿宋_GB2312" w:eastAsia="方正仿宋_GB2312" w:cs="方正仿宋_GB2312"/>
          <w:color w:val="000000"/>
          <w:sz w:val="28"/>
          <w:szCs w:val="28"/>
        </w:rPr>
        <w:outlineLvl w:val="0"/>
      </w:pPr>
      <w:r/>
      <w:bookmarkStart w:id="0" w:name="_Hlk24379207"/>
      <w:r>
        <w:rPr>
          <w:rFonts w:hint="eastAsia" w:ascii="方正仿宋_GB2312" w:hAnsi="方正仿宋_GB2312" w:eastAsia="方正仿宋_GB2312" w:cs="方正仿宋_GB2312"/>
          <w:color w:val="000000"/>
          <w:sz w:val="28"/>
          <w:szCs w:val="28"/>
        </w:rPr>
        <w:t xml:space="preserve">一、项目基本情况</w:t>
      </w:r>
      <w:r/>
    </w:p>
    <w:p>
      <w:pPr>
        <w:ind w:left="0" w:right="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1.采购编号：JSZC-320000-SCZX-G2026-0424</w:t>
      </w:r>
      <w:r/>
    </w:p>
    <w:p>
      <w:pPr>
        <w:ind w:left="0" w:right="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2.项目名称：传染病预测和风险评估预警应用平台</w:t>
      </w:r>
      <w:bookmarkEnd w:id="0"/>
      <w:r/>
    </w:p>
    <w:p>
      <w:pPr>
        <w:ind w:left="0" w:right="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3.预算金额</w:t>
      </w:r>
      <w:r/>
    </w:p>
    <w:tbl>
      <w:tblPr>
        <w:tblStyle w:val="668"/>
        <w:tblW w:w="4404" w:type="dxa"/>
        <w:tblInd w:w="570" w:type="dxa"/>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Borders>
              <w:top w:val="single" w:color="000000" w:sz="4" w:space="0"/>
              <w:left w:val="single" w:color="000000" w:sz="4" w:space="0"/>
              <w:bottom w:val="single" w:color="000000" w:sz="4" w:space="0"/>
              <w:right w:val="single" w:color="000000" w:sz="4" w:space="0"/>
            </w:tcBorders>
            <w:tcW w:w="1092"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采购</w:t>
            </w:r>
            <w:r/>
          </w:p>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包号</w:t>
            </w:r>
            <w:r/>
          </w:p>
        </w:tc>
        <w:tc>
          <w:tcPr>
            <w:tcBorders>
              <w:top w:val="single" w:color="000000" w:sz="4" w:space="0"/>
              <w:left w:val="single" w:color="000000" w:sz="4" w:space="0"/>
              <w:bottom w:val="single" w:color="000000" w:sz="4" w:space="0"/>
              <w:right w:val="single" w:color="000000" w:sz="4" w:space="0"/>
            </w:tcBorders>
            <w:tcW w:w="3312"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预算金额</w:t>
            </w:r>
            <w:r/>
          </w:p>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（人民币：万元）</w:t>
            </w:r>
            <w:r/>
          </w:p>
        </w:tc>
      </w:tr>
      <w:tr>
        <w:trPr/>
        <w:tc>
          <w:tcPr>
            <w:tcBorders>
              <w:top w:val="single" w:color="000000" w:sz="4" w:space="0"/>
              <w:left w:val="single" w:color="000000" w:sz="4" w:space="0"/>
              <w:bottom w:val="single" w:color="000000" w:sz="4" w:space="0"/>
              <w:right w:val="single" w:color="000000" w:sz="4" w:space="0"/>
            </w:tcBorders>
            <w:tcW w:w="1092" w:type="dxa"/>
            <w:textDirection w:val="lrTb"/>
            <w:noWrap w:val="false"/>
          </w:tcPr>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w:t>
            </w:r>
            <w:r/>
          </w:p>
        </w:tc>
        <w:tc>
          <w:tcPr>
            <w:tcBorders>
              <w:top w:val="single" w:color="000000" w:sz="4" w:space="0"/>
              <w:left w:val="single" w:color="000000" w:sz="4" w:space="0"/>
              <w:bottom w:val="single" w:color="000000" w:sz="4" w:space="0"/>
              <w:right w:val="single" w:color="000000" w:sz="4" w:space="0"/>
            </w:tcBorders>
            <w:tcW w:w="3312" w:type="dxa"/>
            <w:textDirection w:val="lrTb"/>
            <w:noWrap w:val="false"/>
          </w:tcPr>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17</w:t>
            </w:r>
            <w:r/>
          </w:p>
        </w:tc>
      </w:tr>
    </w:tbl>
    <w:p>
      <w:pPr>
        <w:ind w:left="0" w:right="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4.最高限价</w:t>
      </w:r>
      <w:r/>
    </w:p>
    <w:tbl>
      <w:tblPr>
        <w:tblStyle w:val="668"/>
        <w:tblW w:w="4381" w:type="dxa"/>
        <w:tblInd w:w="570" w:type="dxa"/>
        <w:tblLayout w:type="fixed"/>
        <w:tblCellMar>
          <w:left w:w="108" w:type="dxa"/>
          <w:top w:w="0" w:type="dxa"/>
          <w:right w:w="108" w:type="dxa"/>
          <w:bottom w:w="0" w:type="dxa"/>
        </w:tblCellMar>
        <w:tblLook w:val="04A0" w:firstRow="1" w:lastRow="0" w:firstColumn="1" w:lastColumn="0" w:noHBand="0" w:noVBand="1"/>
      </w:tblPr>
      <w:tblGrid>
        <w:gridCol w:w="1148"/>
        <w:gridCol w:w="3233"/>
      </w:tblGrid>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采购</w:t>
            </w:r>
            <w:r/>
          </w:p>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包号</w:t>
            </w:r>
            <w:r/>
          </w:p>
        </w:tc>
        <w:tc>
          <w:tcPr>
            <w:tcBorders>
              <w:top w:val="single" w:color="000000" w:sz="4" w:space="0"/>
              <w:left w:val="single" w:color="000000" w:sz="4" w:space="0"/>
              <w:bottom w:val="single" w:color="000000" w:sz="4" w:space="0"/>
              <w:right w:val="single" w:color="000000" w:sz="4" w:space="0"/>
            </w:tcBorders>
            <w:tcW w:w="3233"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最高限价</w:t>
            </w:r>
            <w:r/>
          </w:p>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（人民币：万元）</w:t>
            </w:r>
            <w:r/>
          </w:p>
        </w:tc>
      </w:tr>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w:t>
            </w:r>
            <w:r/>
          </w:p>
        </w:tc>
        <w:tc>
          <w:tcPr>
            <w:tcBorders>
              <w:top w:val="single" w:color="000000" w:sz="4" w:space="0"/>
              <w:left w:val="single" w:color="000000" w:sz="4" w:space="0"/>
              <w:bottom w:val="single" w:color="000000" w:sz="4" w:space="0"/>
              <w:right w:val="single" w:color="000000" w:sz="4" w:space="0"/>
            </w:tcBorders>
            <w:tcW w:w="3233"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17</w:t>
            </w:r>
            <w:r/>
          </w:p>
        </w:tc>
      </w:tr>
    </w:tbl>
    <w:p>
      <w:pPr>
        <w:numPr>
          <w:ilvl w:val="0"/>
          <w:numId w:val="4"/>
        </w:numPr>
        <w:ind w:left="0" w:right="0"/>
        <w:spacing w:line="400" w:lineRule="exact"/>
        <w:tabs>
          <w:tab w:val="left" w:pos="312" w:leader="none"/>
          <w:tab w:val="clear" w:pos="420" w:leader="none"/>
        </w:tabs>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sz w:val="28"/>
          <w:szCs w:val="28"/>
        </w:rPr>
        <w:t xml:space="preserve">采购需求(简介)：</w:t>
      </w:r>
      <w:r>
        <w:rPr>
          <w:rFonts w:hint="eastAsia" w:ascii="方正仿宋_GB2312" w:hAnsi="方正仿宋_GB2312" w:eastAsia="方正仿宋_GB2312" w:cs="方正仿宋_GB2312"/>
          <w:color w:val="000000"/>
          <w:sz w:val="28"/>
          <w:szCs w:val="28"/>
        </w:rPr>
        <w:t xml:space="preserve">传染病预测和风险评估预警应用平台，面向省、市疾控部门，通过集成监测数据，利用融合模型，实现新冠、流感等传染病单毒株与双毒株流行趋势预测，输出达峰时间、达峰强度等关键指标，并生成风险评估报告与预警信号。系统需要符合国产化要求（包括操作系统、数据库等适配）。（详细内容见本招标文件第四章）</w:t>
      </w:r>
      <w:r/>
    </w:p>
    <w:p>
      <w:pPr>
        <w:ind w:left="0" w:right="0"/>
        <w:spacing w:line="400" w:lineRule="exact"/>
        <w:rPr>
          <w:rFonts w:hint="eastAsia" w:ascii="方正仿宋_GB2312" w:hAnsi="方正仿宋_GB2312" w:eastAsia="方正仿宋_GB2312" w:cs="方正仿宋_GB2312"/>
          <w:color w:val="000000"/>
          <w:sz w:val="28"/>
          <w:szCs w:val="28"/>
          <w:u w:val="single"/>
        </w:rPr>
      </w:pPr>
      <w:r>
        <w:rPr>
          <w:rFonts w:hint="eastAsia" w:ascii="方正仿宋_GB2312" w:hAnsi="方正仿宋_GB2312" w:eastAsia="方正仿宋_GB2312" w:cs="方正仿宋_GB2312"/>
          <w:color w:val="000000"/>
          <w:sz w:val="28"/>
          <w:szCs w:val="28"/>
        </w:rPr>
        <w:t xml:space="preserve">6.合同履行期限：</w:t>
      </w:r>
      <w:r>
        <w:rPr>
          <w:rFonts w:hint="eastAsia" w:ascii="方正仿宋_GB2312" w:hAnsi="方正仿宋_GB2312" w:eastAsia="方正仿宋_GB2312" w:cs="方正仿宋_GB2312"/>
          <w:sz w:val="28"/>
          <w:szCs w:val="28"/>
        </w:rPr>
        <w:t xml:space="preserve">合同签订之日起90日历天内。</w:t>
      </w:r>
      <w:r/>
    </w:p>
    <w:p>
      <w:pPr>
        <w:numPr>
          <w:ilvl w:val="0"/>
          <w:numId w:val="0"/>
        </w:numPr>
        <w:ind w:left="0" w:right="0"/>
        <w:jc w:val="left"/>
        <w:keepNext/>
        <w:spacing w:line="400" w:lineRule="exact"/>
        <w:rPr>
          <w:rFonts w:hint="eastAsia" w:ascii="方正仿宋_GB2312" w:hAnsi="方正仿宋_GB2312" w:eastAsia="方正仿宋_GB2312" w:cs="方正仿宋_GB2312"/>
          <w:color w:val="000000"/>
          <w:sz w:val="28"/>
          <w:szCs w:val="28"/>
        </w:rPr>
        <w:outlineLvl w:val="0"/>
      </w:pPr>
      <w:r>
        <w:rPr>
          <w:rFonts w:hint="eastAsia" w:ascii="方正仿宋_GB2312" w:hAnsi="方正仿宋_GB2312" w:eastAsia="方正仿宋_GB2312" w:cs="方正仿宋_GB2312"/>
          <w:color w:val="000000"/>
          <w:sz w:val="28"/>
          <w:szCs w:val="28"/>
        </w:rPr>
        <w:t xml:space="preserve">二、申请人的资格要求</w:t>
      </w:r>
      <w:r/>
    </w:p>
    <w:p>
      <w:pPr>
        <w:ind w:left="0" w:right="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（一）通用资格要求</w:t>
      </w:r>
      <w:r/>
    </w:p>
    <w:p>
      <w:pPr>
        <w:ind w:left="0" w:right="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1.满足《中华人民共和国政府采购法》第二十二条规定，并提供下列材料：</w:t>
      </w:r>
      <w:r/>
    </w:p>
    <w:p>
      <w:pPr>
        <w:ind w:left="0" w:right="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1.1 法人或者其他组织的营业执照等证明文件，自然人的身份证明；</w:t>
      </w:r>
      <w:r/>
    </w:p>
    <w:p>
      <w:pPr>
        <w:ind w:left="0" w:right="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1.2上一年度的财务状况报告（成立不满一年无需提供）；</w:t>
      </w:r>
      <w:r/>
    </w:p>
    <w:p>
      <w:pPr>
        <w:ind w:left="0" w:right="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1.4具备履行合同所必需的设备和专业技术能力的书面声明；</w:t>
      </w:r>
      <w:r/>
    </w:p>
    <w:p>
      <w:pPr>
        <w:ind w:left="0" w:right="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1.5参加政府采购活动前3年内在经营活动中没有重大违法记录的书面声明。</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3.落实政府采购政策需满足的资格要求：无</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4.联合体投标</w:t>
      </w:r>
      <w:r/>
    </w:p>
    <w:tbl>
      <w:tblPr>
        <w:tblStyle w:val="668"/>
        <w:tblW w:w="7083" w:type="dxa"/>
        <w:tblInd w:w="570" w:type="dxa"/>
        <w:tblLayout w:type="fixed"/>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采购</w:t>
            </w:r>
            <w:r/>
          </w:p>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包号</w:t>
            </w:r>
            <w:r/>
          </w:p>
        </w:tc>
        <w:tc>
          <w:tcPr>
            <w:tcBorders>
              <w:top w:val="single" w:color="000000" w:sz="4" w:space="0"/>
              <w:left w:val="single" w:color="000000" w:sz="4" w:space="0"/>
              <w:bottom w:val="single" w:color="000000" w:sz="4" w:space="0"/>
              <w:right w:val="single" w:color="000000" w:sz="4" w:space="0"/>
            </w:tcBorders>
            <w:tcW w:w="2968"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是否接受联合体投标（是/否）</w:t>
            </w:r>
            <w:r/>
          </w:p>
        </w:tc>
        <w:tc>
          <w:tcPr>
            <w:tcBorders>
              <w:top w:val="single" w:color="000000" w:sz="4" w:space="0"/>
              <w:left w:val="single" w:color="000000" w:sz="4" w:space="0"/>
              <w:bottom w:val="single" w:color="000000" w:sz="4" w:space="0"/>
              <w:right w:val="single" w:color="000000" w:sz="4" w:space="0"/>
            </w:tcBorders>
            <w:tcW w:w="2967"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该采购包中联合体成员数量上限</w:t>
            </w:r>
            <w:r/>
          </w:p>
        </w:tc>
      </w:tr>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w:t>
            </w:r>
            <w:r/>
          </w:p>
        </w:tc>
        <w:tc>
          <w:tcPr>
            <w:tcBorders>
              <w:top w:val="single" w:color="000000" w:sz="4" w:space="0"/>
              <w:left w:val="single" w:color="000000" w:sz="4" w:space="0"/>
              <w:bottom w:val="single" w:color="000000" w:sz="4" w:space="0"/>
              <w:right w:val="single" w:color="000000" w:sz="4" w:space="0"/>
            </w:tcBorders>
            <w:tcW w:w="2968"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否</w:t>
            </w:r>
            <w:r/>
          </w:p>
        </w:tc>
        <w:tc>
          <w:tcPr>
            <w:tcBorders>
              <w:top w:val="single" w:color="000000" w:sz="4" w:space="0"/>
              <w:left w:val="single" w:color="000000" w:sz="4" w:space="0"/>
              <w:bottom w:val="single" w:color="000000" w:sz="4" w:space="0"/>
              <w:right w:val="single" w:color="000000" w:sz="4" w:space="0"/>
            </w:tcBorders>
            <w:tcW w:w="2967"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w:t>
            </w:r>
            <w:r/>
          </w:p>
        </w:tc>
      </w:tr>
    </w:tbl>
    <w:p>
      <w:pPr>
        <w:ind w:left="0" w:right="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（二）本项目的特定资格要求</w:t>
      </w:r>
      <w:r/>
    </w:p>
    <w:tbl>
      <w:tblPr>
        <w:tblStyle w:val="668"/>
        <w:tblW w:w="7069" w:type="dxa"/>
        <w:tblInd w:w="570" w:type="dxa"/>
        <w:tblLayout w:type="fixed"/>
        <w:tblCellMar>
          <w:left w:w="108" w:type="dxa"/>
          <w:top w:w="0" w:type="dxa"/>
          <w:right w:w="108" w:type="dxa"/>
          <w:bottom w:w="0" w:type="dxa"/>
        </w:tblCellMar>
        <w:tblLook w:val="04A0" w:firstRow="1" w:lastRow="0" w:firstColumn="1" w:lastColumn="0" w:noHBand="0" w:noVBand="1"/>
      </w:tblPr>
      <w:tblGrid>
        <w:gridCol w:w="1148"/>
        <w:gridCol w:w="5921"/>
      </w:tblGrid>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采购</w:t>
            </w:r>
            <w:r/>
          </w:p>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包号</w:t>
            </w:r>
            <w:r/>
          </w:p>
        </w:tc>
        <w:tc>
          <w:tcPr>
            <w:tcBorders>
              <w:top w:val="single" w:color="000000" w:sz="4" w:space="0"/>
              <w:left w:val="single" w:color="000000" w:sz="4" w:space="0"/>
              <w:bottom w:val="single" w:color="000000" w:sz="4" w:space="0"/>
              <w:right w:val="single" w:color="000000" w:sz="4" w:space="0"/>
            </w:tcBorders>
            <w:tcW w:w="5921"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特定资格要求</w:t>
            </w:r>
            <w:r/>
          </w:p>
        </w:tc>
      </w:tr>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w:t>
            </w:r>
            <w:r/>
          </w:p>
        </w:tc>
        <w:tc>
          <w:tcPr>
            <w:tcBorders>
              <w:top w:val="single" w:color="000000" w:sz="4" w:space="0"/>
              <w:left w:val="single" w:color="000000" w:sz="4" w:space="0"/>
              <w:bottom w:val="single" w:color="000000" w:sz="4" w:space="0"/>
              <w:right w:val="single" w:color="000000" w:sz="4" w:space="0"/>
            </w:tcBorders>
            <w:tcW w:w="5921"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无</w:t>
            </w:r>
            <w:r/>
          </w:p>
        </w:tc>
      </w:tr>
    </w:tbl>
    <w:p>
      <w:pPr>
        <w:numPr>
          <w:ilvl w:val="0"/>
          <w:numId w:val="0"/>
        </w:numPr>
        <w:ind w:left="0" w:right="0"/>
        <w:jc w:val="left"/>
        <w:keepNext/>
        <w:spacing w:line="400" w:lineRule="exact"/>
        <w:rPr>
          <w:rFonts w:hint="eastAsia" w:ascii="方正仿宋_GB2312" w:hAnsi="方正仿宋_GB2312" w:eastAsia="方正仿宋_GB2312" w:cs="方正仿宋_GB2312"/>
          <w:color w:val="000000"/>
          <w:sz w:val="28"/>
          <w:szCs w:val="28"/>
        </w:rPr>
        <w:outlineLvl w:val="0"/>
      </w:pPr>
      <w:r>
        <w:rPr>
          <w:rFonts w:hint="eastAsia" w:ascii="方正仿宋_GB2312" w:hAnsi="方正仿宋_GB2312" w:eastAsia="方正仿宋_GB2312" w:cs="方正仿宋_GB2312"/>
          <w:color w:val="000000"/>
          <w:sz w:val="28"/>
          <w:szCs w:val="28"/>
        </w:rPr>
        <w:t xml:space="preserve">三、获取招标文件</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1.时间：自招标文件公告发布之日起5个工作日。</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2.方式：在“江苏政府采购网”自行免费下载招标文件。</w:t>
      </w:r>
      <w:r/>
    </w:p>
    <w:p>
      <w:pPr>
        <w:numPr>
          <w:ilvl w:val="0"/>
          <w:numId w:val="0"/>
        </w:numPr>
        <w:ind w:left="0" w:right="0"/>
        <w:jc w:val="left"/>
        <w:keepNext/>
        <w:spacing w:line="400" w:lineRule="exact"/>
        <w:rPr>
          <w:rFonts w:hint="eastAsia" w:ascii="方正仿宋_GB2312" w:hAnsi="方正仿宋_GB2312" w:eastAsia="方正仿宋_GB2312" w:cs="方正仿宋_GB2312"/>
          <w:color w:val="000000"/>
          <w:sz w:val="28"/>
          <w:szCs w:val="28"/>
        </w:rPr>
        <w:outlineLvl w:val="0"/>
      </w:pPr>
      <w:r>
        <w:rPr>
          <w:rFonts w:hint="eastAsia" w:ascii="方正仿宋_GB2312" w:hAnsi="方正仿宋_GB2312" w:eastAsia="方正仿宋_GB2312" w:cs="方正仿宋_GB2312"/>
          <w:color w:val="000000"/>
          <w:sz w:val="28"/>
          <w:szCs w:val="28"/>
        </w:rPr>
        <w:t xml:space="preserve">四、提交投标文件截止时间、开标时间和地点</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w:t>
      </w:r>
      <w:r>
        <w:rPr>
          <w:rFonts w:hint="eastAsia" w:ascii="方正仿宋_GB2312" w:hAnsi="方正仿宋_GB2312" w:eastAsia="方正仿宋_GB2312" w:cs="方正仿宋_GB2312"/>
          <w:sz w:val="28"/>
          <w:szCs w:val="28"/>
          <w:lang w:val="en-US" w:eastAsia="zh-CN"/>
        </w:rPr>
        <w:t xml:space="preserve"> </w:t>
      </w:r>
      <w:r>
        <w:rPr>
          <w:rFonts w:hint="eastAsia" w:ascii="方正仿宋_GB2312" w:hAnsi="方正仿宋_GB2312" w:eastAsia="方正仿宋_GB2312" w:cs="方正仿宋_GB2312"/>
          <w:color w:val="000000"/>
          <w:sz w:val="28"/>
          <w:szCs w:val="28"/>
          <w:u w:val="single"/>
          <w:lang w:val="en-US" w:eastAsia="zh-CN"/>
        </w:rPr>
        <w:t xml:space="preserve">2026</w:t>
      </w:r>
      <w:r>
        <w:rPr>
          <w:rFonts w:hint="eastAsia" w:ascii="方正仿宋_GB2312" w:hAnsi="方正仿宋_GB2312" w:eastAsia="方正仿宋_GB2312" w:cs="方正仿宋_GB2312"/>
          <w:bCs/>
          <w:color w:val="000000"/>
          <w:sz w:val="28"/>
          <w:szCs w:val="28"/>
          <w:u w:val="single"/>
        </w:rPr>
        <w:t xml:space="preserve">年</w:t>
      </w:r>
      <w:r>
        <w:rPr>
          <w:rFonts w:hint="eastAsia" w:ascii="方正仿宋_GB2312" w:hAnsi="方正仿宋_GB2312" w:eastAsia="方正仿宋_GB2312" w:cs="方正仿宋_GB2312"/>
          <w:color w:val="000000"/>
          <w:sz w:val="28"/>
          <w:szCs w:val="28"/>
          <w:u w:val="single"/>
          <w:lang w:val="en-US" w:eastAsia="zh-CN"/>
        </w:rPr>
        <w:t xml:space="preserve">11</w:t>
      </w:r>
      <w:r>
        <w:rPr>
          <w:rFonts w:hint="eastAsia" w:ascii="方正仿宋_GB2312" w:hAnsi="方正仿宋_GB2312" w:eastAsia="方正仿宋_GB2312" w:cs="方正仿宋_GB2312"/>
          <w:bCs/>
          <w:color w:val="000000"/>
          <w:sz w:val="28"/>
          <w:szCs w:val="28"/>
          <w:u w:val="single"/>
        </w:rPr>
        <w:t xml:space="preserve">月</w:t>
      </w:r>
      <w:r>
        <w:rPr>
          <w:rFonts w:hint="eastAsia" w:ascii="方正仿宋_GB2312" w:hAnsi="方正仿宋_GB2312" w:eastAsia="方正仿宋_GB2312" w:cs="方正仿宋_GB2312"/>
          <w:color w:val="000000"/>
          <w:sz w:val="28"/>
          <w:szCs w:val="28"/>
          <w:u w:val="single"/>
          <w:lang w:val="en-US" w:eastAsia="zh-CN"/>
        </w:rPr>
        <w:t xml:space="preserve">18</w:t>
      </w:r>
      <w:bookmarkStart w:id="1" w:name="_GoBack"/>
      <w:r/>
      <w:bookmarkEnd w:id="1"/>
      <w:r>
        <w:rPr>
          <w:rFonts w:hint="eastAsia" w:ascii="方正仿宋_GB2312" w:hAnsi="方正仿宋_GB2312" w:eastAsia="方正仿宋_GB2312" w:cs="方正仿宋_GB2312"/>
          <w:bCs/>
          <w:color w:val="000000"/>
          <w:sz w:val="28"/>
          <w:szCs w:val="28"/>
          <w:u w:val="single"/>
        </w:rPr>
        <w:t xml:space="preserve">日</w:t>
      </w:r>
      <w:r>
        <w:rPr>
          <w:rFonts w:hint="eastAsia" w:ascii="方正仿宋_GB2312" w:hAnsi="方正仿宋_GB2312" w:eastAsia="方正仿宋_GB2312" w:cs="方正仿宋_GB2312"/>
          <w:color w:val="000000"/>
          <w:sz w:val="28"/>
          <w:szCs w:val="28"/>
          <w:u w:val="single"/>
          <w:lang w:val="en-US" w:eastAsia="zh-CN"/>
        </w:rPr>
        <w:t xml:space="preserve">9</w:t>
      </w:r>
      <w:r>
        <w:rPr>
          <w:rFonts w:hint="eastAsia" w:ascii="方正仿宋_GB2312" w:hAnsi="方正仿宋_GB2312" w:eastAsia="方正仿宋_GB2312" w:cs="方正仿宋_GB2312"/>
          <w:color w:val="000000"/>
          <w:sz w:val="28"/>
          <w:szCs w:val="28"/>
          <w:u w:val="single"/>
        </w:rPr>
        <w:t xml:space="preserve">时</w:t>
      </w:r>
      <w:r>
        <w:rPr>
          <w:rFonts w:hint="eastAsia" w:ascii="方正仿宋_GB2312" w:hAnsi="方正仿宋_GB2312" w:eastAsia="方正仿宋_GB2312" w:cs="方正仿宋_GB2312"/>
          <w:color w:val="000000"/>
          <w:sz w:val="28"/>
          <w:szCs w:val="28"/>
          <w:u w:val="single"/>
          <w:lang w:val="en-US" w:eastAsia="zh-CN"/>
        </w:rPr>
        <w:t xml:space="preserve">30</w:t>
      </w:r>
      <w:r>
        <w:rPr>
          <w:rFonts w:hint="eastAsia" w:ascii="方正仿宋_GB2312" w:hAnsi="方正仿宋_GB2312" w:eastAsia="方正仿宋_GB2312" w:cs="方正仿宋_GB2312"/>
          <w:bCs/>
          <w:color w:val="000000"/>
          <w:sz w:val="28"/>
          <w:szCs w:val="28"/>
          <w:u w:val="single"/>
        </w:rPr>
        <w:t xml:space="preserve">分</w:t>
      </w:r>
      <w:r>
        <w:rPr>
          <w:rFonts w:hint="eastAsia" w:ascii="方正仿宋_GB2312" w:hAnsi="方正仿宋_GB2312" w:eastAsia="方正仿宋_GB2312" w:cs="方正仿宋_GB2312"/>
          <w:bCs/>
          <w:color w:val="000000"/>
          <w:sz w:val="28"/>
          <w:szCs w:val="28"/>
        </w:rPr>
        <w:t xml:space="preserve">（北京时间）</w:t>
      </w:r>
      <w:r>
        <w:rPr>
          <w:rFonts w:hint="eastAsia" w:ascii="方正仿宋_GB2312" w:hAnsi="方正仿宋_GB2312" w:eastAsia="方正仿宋_GB2312" w:cs="方正仿宋_GB2312"/>
          <w:sz w:val="28"/>
          <w:szCs w:val="28"/>
        </w:rPr>
        <w:t xml:space="preserve">。</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2.地点：“苏采云”政府采购交易系统。</w:t>
      </w:r>
      <w:r/>
    </w:p>
    <w:p>
      <w:pPr>
        <w:numPr>
          <w:ilvl w:val="0"/>
          <w:numId w:val="0"/>
        </w:numPr>
        <w:ind w:left="0" w:right="0"/>
        <w:jc w:val="left"/>
        <w:keepNext/>
        <w:spacing w:line="400" w:lineRule="exact"/>
        <w:rPr>
          <w:rFonts w:hint="eastAsia" w:ascii="方正仿宋_GB2312" w:hAnsi="方正仿宋_GB2312" w:eastAsia="方正仿宋_GB2312" w:cs="方正仿宋_GB2312"/>
          <w:color w:val="000000"/>
          <w:sz w:val="28"/>
          <w:szCs w:val="28"/>
        </w:rPr>
        <w:outlineLvl w:val="0"/>
      </w:pPr>
      <w:r>
        <w:rPr>
          <w:rFonts w:hint="eastAsia" w:ascii="方正仿宋_GB2312" w:hAnsi="方正仿宋_GB2312" w:eastAsia="方正仿宋_GB2312" w:cs="方正仿宋_GB2312"/>
          <w:color w:val="000000"/>
          <w:sz w:val="28"/>
          <w:szCs w:val="28"/>
        </w:rPr>
        <w:t xml:space="preserve">五、公告期限</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招标公告及招标文件公告期限为自本公告发布之日起5个工作日。</w:t>
      </w:r>
      <w:r/>
    </w:p>
    <w:p>
      <w:pPr>
        <w:numPr>
          <w:ilvl w:val="0"/>
          <w:numId w:val="0"/>
        </w:numPr>
        <w:ind w:left="0" w:right="0"/>
        <w:jc w:val="left"/>
        <w:keepNext/>
        <w:spacing w:line="400" w:lineRule="exact"/>
        <w:rPr>
          <w:rFonts w:hint="eastAsia" w:ascii="方正仿宋_GB2312" w:hAnsi="方正仿宋_GB2312" w:eastAsia="方正仿宋_GB2312" w:cs="方正仿宋_GB2312"/>
          <w:color w:val="000000"/>
          <w:sz w:val="28"/>
          <w:szCs w:val="28"/>
        </w:rPr>
        <w:outlineLvl w:val="0"/>
      </w:pPr>
      <w:r>
        <w:rPr>
          <w:rFonts w:hint="eastAsia" w:ascii="方正仿宋_GB2312" w:hAnsi="方正仿宋_GB2312" w:eastAsia="方正仿宋_GB2312" w:cs="方正仿宋_GB2312"/>
          <w:color w:val="000000"/>
          <w:sz w:val="28"/>
          <w:szCs w:val="28"/>
        </w:rPr>
        <w:t xml:space="preserve">六、其他补充事宜</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无</w:t>
      </w:r>
      <w:r/>
    </w:p>
    <w:p>
      <w:pPr>
        <w:numPr>
          <w:ilvl w:val="0"/>
          <w:numId w:val="0"/>
        </w:numPr>
        <w:ind w:left="0" w:right="0"/>
        <w:jc w:val="left"/>
        <w:keepNext/>
        <w:spacing w:line="400" w:lineRule="exact"/>
        <w:rPr>
          <w:rFonts w:hint="eastAsia" w:ascii="方正仿宋_GB2312" w:hAnsi="方正仿宋_GB2312" w:eastAsia="方正仿宋_GB2312" w:cs="方正仿宋_GB2312"/>
          <w:color w:val="000000"/>
          <w:sz w:val="28"/>
          <w:szCs w:val="28"/>
        </w:rPr>
        <w:outlineLvl w:val="0"/>
      </w:pPr>
      <w:r>
        <w:rPr>
          <w:rFonts w:hint="eastAsia" w:ascii="方正仿宋_GB2312" w:hAnsi="方正仿宋_GB2312" w:eastAsia="方正仿宋_GB2312" w:cs="方正仿宋_GB2312"/>
          <w:color w:val="000000"/>
          <w:sz w:val="28"/>
          <w:szCs w:val="28"/>
        </w:rPr>
        <w:t xml:space="preserve">七、本次招标联系方式</w:t>
      </w:r>
      <w:r/>
    </w:p>
    <w:p>
      <w:pPr>
        <w:jc w:val="left"/>
        <w:spacing w:line="400" w:lineRule="exact"/>
        <w:widowControl/>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　　1.采购人信息</w:t>
      </w:r>
      <w:r/>
    </w:p>
    <w:p>
      <w:pPr>
        <w:ind w:right="0" w:firstLine="560"/>
        <w:jc w:val="left"/>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名 称：</w:t>
      </w:r>
      <w:r>
        <w:rPr>
          <w:rFonts w:hint="eastAsia" w:ascii="方正仿宋_GB2312" w:hAnsi="方正仿宋_GB2312" w:eastAsia="方正仿宋_GB2312" w:cs="方正仿宋_GB2312"/>
          <w:color w:val="000000"/>
          <w:sz w:val="28"/>
          <w:szCs w:val="28"/>
          <w:u w:val="single"/>
        </w:rPr>
        <w:t xml:space="preserve">江苏省疾病预防控制中心</w:t>
      </w:r>
      <w:r/>
    </w:p>
    <w:p>
      <w:pPr>
        <w:ind w:right="0" w:firstLine="560"/>
        <w:jc w:val="left"/>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地 址：</w:t>
      </w:r>
      <w:r>
        <w:rPr>
          <w:rFonts w:hint="eastAsia" w:ascii="方正仿宋_GB2312" w:hAnsi="方正仿宋_GB2312" w:eastAsia="方正仿宋_GB2312" w:cs="方正仿宋_GB2312"/>
          <w:color w:val="000000"/>
          <w:sz w:val="28"/>
          <w:szCs w:val="28"/>
          <w:u w:val="single"/>
        </w:rPr>
        <w:t xml:space="preserve">　南京市鼓楼区江苏路172号 </w:t>
      </w:r>
      <w:r/>
    </w:p>
    <w:p>
      <w:pPr>
        <w:ind w:right="0" w:firstLine="560"/>
        <w:jc w:val="left"/>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联系人：</w:t>
      </w:r>
      <w:r>
        <w:rPr>
          <w:rFonts w:hint="eastAsia" w:ascii="方正仿宋_GB2312" w:hAnsi="方正仿宋_GB2312" w:eastAsia="方正仿宋_GB2312" w:cs="方正仿宋_GB2312"/>
          <w:color w:val="000000"/>
          <w:sz w:val="28"/>
          <w:szCs w:val="28"/>
          <w:u w:val="single"/>
        </w:rPr>
        <w:t xml:space="preserve"> 朱荫东                   </w:t>
      </w:r>
      <w:r/>
    </w:p>
    <w:p>
      <w:pPr>
        <w:ind w:left="0" w:right="0"/>
        <w:jc w:val="left"/>
        <w:spacing w:line="400" w:lineRule="exact"/>
        <w:rPr>
          <w:rFonts w:hint="eastAsia" w:ascii="方正仿宋_GB2312" w:hAnsi="方正仿宋_GB2312" w:eastAsia="方正仿宋_GB2312" w:cs="方正仿宋_GB2312"/>
          <w:sz w:val="28"/>
          <w:szCs w:val="28"/>
          <w:u w:val="single"/>
        </w:rPr>
      </w:pPr>
      <w:r>
        <w:rPr>
          <w:rFonts w:hint="eastAsia" w:ascii="方正仿宋_GB2312" w:hAnsi="方正仿宋_GB2312" w:eastAsia="方正仿宋_GB2312" w:cs="方正仿宋_GB2312"/>
          <w:sz w:val="28"/>
          <w:szCs w:val="28"/>
        </w:rPr>
        <w:t xml:space="preserve">联系方式：</w:t>
      </w:r>
      <w:r>
        <w:rPr>
          <w:rFonts w:hint="eastAsia" w:ascii="方正仿宋_GB2312" w:hAnsi="方正仿宋_GB2312" w:eastAsia="方正仿宋_GB2312" w:cs="方正仿宋_GB2312"/>
          <w:sz w:val="28"/>
          <w:szCs w:val="28"/>
          <w:u w:val="single"/>
        </w:rPr>
        <w:t xml:space="preserve"> 025-83759426 </w:t>
      </w:r>
      <w:r/>
    </w:p>
    <w:p>
      <w:pPr>
        <w:ind w:left="0" w:right="0"/>
        <w:jc w:val="left"/>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2.江苏省政府采购中心信息</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地　  址：</w:t>
      </w:r>
      <w:r>
        <w:rPr>
          <w:rFonts w:hint="eastAsia" w:ascii="方正仿宋_GB2312" w:hAnsi="方正仿宋_GB2312" w:eastAsia="方正仿宋_GB2312" w:cs="方正仿宋_GB2312"/>
          <w:sz w:val="28"/>
          <w:szCs w:val="28"/>
          <w:u w:val="single"/>
        </w:rPr>
        <w:t xml:space="preserve">南京市汉中门大街145号省政务中心二期3楼南区</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联 系 人：</w:t>
      </w:r>
      <w:r>
        <w:rPr>
          <w:rFonts w:hint="eastAsia" w:ascii="方正仿宋_GB2312" w:hAnsi="方正仿宋_GB2312" w:eastAsia="方正仿宋_GB2312" w:cs="方正仿宋_GB2312"/>
          <w:sz w:val="28"/>
          <w:szCs w:val="28"/>
          <w:u w:val="single"/>
        </w:rPr>
        <w:t xml:space="preserve">   徐晨义        蔡昊   </w:t>
      </w:r>
      <w:r/>
    </w:p>
    <w:p>
      <w:pPr>
        <w:ind w:left="0" w:right="0"/>
        <w:spacing w:line="400" w:lineRule="exact"/>
        <w:rPr>
          <w:rFonts w:hint="eastAsia" w:ascii="方正仿宋_GB2312" w:hAnsi="方正仿宋_GB2312" w:eastAsia="方正仿宋_GB2312" w:cs="方正仿宋_GB2312"/>
          <w:sz w:val="28"/>
          <w:szCs w:val="28"/>
          <w:u w:val="single"/>
        </w:rPr>
      </w:pPr>
      <w:r>
        <w:rPr>
          <w:rFonts w:hint="eastAsia" w:ascii="方正仿宋_GB2312" w:hAnsi="方正仿宋_GB2312" w:eastAsia="方正仿宋_GB2312" w:cs="方正仿宋_GB2312"/>
          <w:sz w:val="28"/>
          <w:szCs w:val="28"/>
        </w:rPr>
        <w:t xml:space="preserve">联系方式：</w:t>
      </w:r>
      <w:r>
        <w:rPr>
          <w:rFonts w:hint="eastAsia" w:ascii="方正仿宋_GB2312" w:hAnsi="方正仿宋_GB2312" w:eastAsia="方正仿宋_GB2312" w:cs="方正仿宋_GB2312"/>
          <w:sz w:val="28"/>
          <w:szCs w:val="28"/>
          <w:u w:val="single"/>
        </w:rPr>
        <w:t xml:space="preserve">　025-83668521　83668561   </w:t>
      </w:r>
      <w:r/>
    </w:p>
    <w:p>
      <w:pPr>
        <w:numPr>
          <w:ilvl w:val="0"/>
          <w:numId w:val="0"/>
        </w:numPr>
        <w:ind w:left="0" w:right="0"/>
        <w:jc w:val="left"/>
        <w:keepNext/>
        <w:spacing w:line="400" w:lineRule="exact"/>
        <w:rPr>
          <w:rFonts w:hint="eastAsia" w:ascii="方正仿宋_GB2312" w:hAnsi="方正仿宋_GB2312" w:eastAsia="方正仿宋_GB2312" w:cs="方正仿宋_GB2312"/>
          <w:color w:val="000000"/>
          <w:sz w:val="28"/>
          <w:szCs w:val="28"/>
        </w:rPr>
        <w:outlineLvl w:val="0"/>
      </w:pPr>
      <w:r>
        <w:rPr>
          <w:rFonts w:hint="eastAsia" w:ascii="方正仿宋_GB2312" w:hAnsi="方正仿宋_GB2312" w:eastAsia="方正仿宋_GB2312" w:cs="方正仿宋_GB2312"/>
          <w:color w:val="000000"/>
          <w:sz w:val="28"/>
          <w:szCs w:val="28"/>
        </w:rPr>
        <w:t xml:space="preserve">八、其他</w:t>
      </w:r>
      <w:r/>
    </w:p>
    <w:p>
      <w:pPr>
        <w:ind w:left="0" w:right="0"/>
        <w:spacing w:line="400" w:lineRule="exact"/>
        <w:tabs>
          <w:tab w:val="left" w:pos="900" w:leader="none"/>
        </w:tabs>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sz w:val="28"/>
          <w:szCs w:val="28"/>
        </w:rPr>
        <w:t xml:space="preserve">1.</w:t>
      </w:r>
      <w:r>
        <w:rPr>
          <w:rFonts w:hint="eastAsia" w:ascii="方正仿宋_GB2312" w:hAnsi="方正仿宋_GB2312" w:eastAsia="方正仿宋_GB2312" w:cs="方正仿宋_GB2312"/>
          <w:bCs/>
          <w:sz w:val="28"/>
          <w:szCs w:val="28"/>
        </w:rPr>
        <w:t xml:space="preserve">根据省财政厅《关于更换全省政府采购交易系统CA数字证书和电子签章的通知》（苏财购〔2023〕101号），</w:t>
      </w:r>
      <w:r>
        <w:rPr>
          <w:rFonts w:hint="eastAsia" w:ascii="方正仿宋_GB2312" w:hAnsi="方正仿宋_GB2312" w:eastAsia="方正仿宋_GB2312" w:cs="方正仿宋_GB2312"/>
          <w:sz w:val="28"/>
          <w:szCs w:val="28"/>
        </w:rPr>
        <w:t xml:space="preserve">“苏采云”政府采购交易系统（以下简称苏采云系统）</w:t>
      </w:r>
      <w:r>
        <w:rPr>
          <w:rFonts w:hint="eastAsia" w:ascii="方正仿宋_GB2312" w:hAnsi="方正仿宋_GB2312" w:eastAsia="方正仿宋_GB2312" w:cs="方正仿宋_GB2312"/>
          <w:bCs/>
          <w:sz w:val="28"/>
          <w:szCs w:val="28"/>
        </w:rPr>
        <w:t xml:space="preserve">的CA数字证书、电子签章已更换为江苏省电子政务证书认证中心CA和方正国际软件（北京）有限公司电子签章。具体办理指南和操作手册见链接：</w:t>
      </w:r>
      <w:r>
        <w:rPr>
          <w:rFonts w:hint="eastAsia" w:ascii="方正仿宋_GB2312" w:hAnsi="方正仿宋_GB2312" w:eastAsia="方正仿宋_GB2312" w:cs="方正仿宋_GB2312"/>
          <w:color w:val="000000"/>
          <w:sz w:val="28"/>
          <w:szCs w:val="28"/>
        </w:rPr>
        <w:t xml:space="preserve">http://www.ccgp-jiangsu.gov.cn/jiangsu/zlxz/ee/ee3a4bc5a3454aa2b0d9312230633ce9.html。</w:t>
      </w:r>
      <w:r/>
    </w:p>
    <w:p>
      <w:pPr>
        <w:ind w:left="0" w:right="0"/>
        <w:spacing w:line="400" w:lineRule="exact"/>
        <w:tabs>
          <w:tab w:val="left" w:pos="900" w:leader="none"/>
        </w:tabs>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left="0" w:right="0"/>
        <w:spacing w:line="400" w:lineRule="exact"/>
        <w:tabs>
          <w:tab w:val="left" w:pos="900" w:leader="none"/>
        </w:tabs>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2.有关本次招标的事项若存在变动或修改，敬请及时关注江苏省政府采购中心在“江苏政府采购网”发布的更正公告。</w:t>
      </w:r>
      <w:r/>
    </w:p>
    <w:p>
      <w:pPr>
        <w:ind w:left="0" w:right="0"/>
        <w:spacing w:line="400" w:lineRule="exact"/>
        <w:tabs>
          <w:tab w:val="left" w:pos="900" w:leader="none"/>
        </w:tabs>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3.本次招标不收取投标保证金。</w:t>
      </w:r>
      <w:r/>
    </w:p>
    <w:p>
      <w:pPr>
        <w:ind w:right="840"/>
        <w:rPr>
          <w:rFonts w:hint="eastAsia" w:ascii="方正仿宋_GB2312" w:hAnsi="方正仿宋_GB2312" w:eastAsia="方正仿宋_GB2312" w:cs="方正仿宋_GB2312"/>
          <w:bCs/>
          <w:color w:val="000000"/>
          <w:sz w:val="24"/>
          <w:szCs w:val="24"/>
        </w:rPr>
      </w:pPr>
      <w:r>
        <w:rPr>
          <w:rFonts w:hint="eastAsia" w:ascii="方正仿宋_GB2312" w:hAnsi="方正仿宋_GB2312" w:eastAsia="方正仿宋_GB2312" w:cs="方正仿宋_GB2312"/>
        </w:rPr>
        <w:br w:type="page" w:clear="all"/>
      </w:r>
      <w:r/>
    </w:p>
    <w:p>
      <w:pPr>
        <w:ind w:right="839"/>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000000"/>
          <w:sz w:val="28"/>
          <w:szCs w:val="28"/>
        </w:rPr>
        <w:t xml:space="preserve">第二章  投标人须知</w:t>
      </w:r>
      <w:r/>
    </w:p>
    <w:p>
      <w:pPr>
        <w:numPr>
          <w:ilvl w:val="0"/>
          <w:numId w:val="0"/>
        </w:numPr>
        <w:ind w:left="0" w:right="0"/>
        <w:jc w:val="left"/>
        <w:keepNext/>
        <w:spacing w:line="400" w:lineRule="exact"/>
        <w:rPr>
          <w:rFonts w:hint="eastAsia" w:ascii="方正仿宋_GB2312" w:hAnsi="方正仿宋_GB2312" w:eastAsia="方正仿宋_GB2312" w:cs="方正仿宋_GB2312"/>
          <w:color w:val="000000"/>
          <w:sz w:val="28"/>
          <w:szCs w:val="28"/>
        </w:rPr>
        <w:outlineLvl w:val="0"/>
      </w:pPr>
      <w:r>
        <w:rPr>
          <w:rFonts w:hint="eastAsia" w:ascii="方正仿宋_GB2312" w:hAnsi="方正仿宋_GB2312" w:eastAsia="方正仿宋_GB2312" w:cs="方正仿宋_GB2312"/>
          <w:color w:val="000000"/>
          <w:sz w:val="28"/>
          <w:szCs w:val="28"/>
        </w:rPr>
        <w:t xml:space="preserve">一、总则</w:t>
      </w:r>
      <w:r/>
    </w:p>
    <w:p>
      <w:pPr>
        <w:ind w:left="0" w:right="0"/>
        <w:spacing w:line="400" w:lineRule="exact"/>
        <w:tabs>
          <w:tab w:val="left" w:pos="900" w:leader="none"/>
        </w:tabs>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1.招标方式</w:t>
      </w:r>
      <w:r/>
    </w:p>
    <w:p>
      <w:pPr>
        <w:ind w:left="0" w:right="0"/>
        <w:spacing w:line="400" w:lineRule="exact"/>
        <w:tabs>
          <w:tab w:val="left" w:pos="900" w:leader="none"/>
        </w:tabs>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1.1 本次招标采取公开招标方式，本招标文件仅适用于招标公告中所述项目。</w:t>
      </w:r>
      <w:r/>
    </w:p>
    <w:p>
      <w:pPr>
        <w:ind w:left="0" w:right="0"/>
        <w:spacing w:line="400" w:lineRule="exact"/>
        <w:tabs>
          <w:tab w:val="left" w:pos="900" w:leader="none"/>
        </w:tabs>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2.合格的投标人</w:t>
      </w:r>
      <w:r/>
    </w:p>
    <w:p>
      <w:pPr>
        <w:ind w:left="0" w:right="0"/>
        <w:spacing w:line="400" w:lineRule="exact"/>
        <w:tabs>
          <w:tab w:val="left" w:pos="900" w:leader="none"/>
        </w:tabs>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2.1满足招标公告中供应商的资格要求的规定。</w:t>
      </w:r>
      <w:r/>
    </w:p>
    <w:p>
      <w:pPr>
        <w:ind w:left="0" w:right="0"/>
        <w:spacing w:line="400" w:lineRule="exact"/>
        <w:tabs>
          <w:tab w:val="left" w:pos="900" w:leader="none"/>
        </w:tabs>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2.2 满足本文件实质性要求的规定。</w:t>
      </w:r>
      <w:r/>
    </w:p>
    <w:p>
      <w:pPr>
        <w:ind w:left="0" w:right="0"/>
        <w:spacing w:line="400" w:lineRule="exact"/>
        <w:tabs>
          <w:tab w:val="left" w:pos="900" w:leader="none"/>
        </w:tabs>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3.适用法律和标准</w:t>
      </w:r>
      <w:r/>
    </w:p>
    <w:p>
      <w:pPr>
        <w:ind w:left="0" w:right="0"/>
        <w:spacing w:line="400" w:lineRule="exact"/>
        <w:tabs>
          <w:tab w:val="left" w:pos="900" w:leader="none"/>
        </w:tabs>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3.1 本次招标及由此产生的合同受中华人民共和国有关的法律法规制约和保护。</w:t>
      </w:r>
      <w:r/>
    </w:p>
    <w:p>
      <w:pPr>
        <w:ind w:left="0" w:right="0"/>
        <w:spacing w:line="400" w:lineRule="exact"/>
        <w:tabs>
          <w:tab w:val="left" w:pos="900" w:leader="none"/>
        </w:tabs>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3.2 在本项目政府采购活动过程中，如果所执行的标准有更新的，按照最新标准执行。</w:t>
      </w:r>
      <w:r/>
    </w:p>
    <w:p>
      <w:pPr>
        <w:ind w:left="0" w:right="0"/>
        <w:spacing w:line="400" w:lineRule="exact"/>
        <w:tabs>
          <w:tab w:val="left" w:pos="900" w:leader="none"/>
        </w:tabs>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4.投标费用</w:t>
      </w:r>
      <w:r/>
    </w:p>
    <w:p>
      <w:pPr>
        <w:ind w:left="0" w:right="0"/>
        <w:spacing w:line="400" w:lineRule="exact"/>
        <w:tabs>
          <w:tab w:val="left" w:pos="900" w:leader="none"/>
        </w:tabs>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p>
    <w:p>
      <w:pPr>
        <w:ind w:left="0" w:right="0"/>
        <w:spacing w:line="400" w:lineRule="exact"/>
        <w:tabs>
          <w:tab w:val="left" w:pos="900" w:leader="none"/>
        </w:tabs>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4.2本次招标采购中心和采购人不收取标书工本费与中标服务费。</w:t>
      </w:r>
      <w:r/>
    </w:p>
    <w:p>
      <w:pPr>
        <w:ind w:left="0" w:right="0"/>
        <w:spacing w:line="400" w:lineRule="exact"/>
        <w:tabs>
          <w:tab w:val="left" w:pos="900" w:leader="none"/>
        </w:tabs>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5.招标文件的约束力</w:t>
      </w:r>
      <w:r/>
    </w:p>
    <w:p>
      <w:pPr>
        <w:ind w:left="0" w:right="0"/>
        <w:spacing w:line="400" w:lineRule="exact"/>
        <w:tabs>
          <w:tab w:val="left" w:pos="900" w:leader="none"/>
        </w:tabs>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5.1 投标人一旦参加本项目采购活动，即被认为接受了本招标文件的规定和约束。</w:t>
      </w:r>
      <w:r/>
    </w:p>
    <w:p>
      <w:pPr>
        <w:ind w:left="0" w:right="0"/>
        <w:spacing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numPr>
          <w:ilvl w:val="0"/>
          <w:numId w:val="0"/>
        </w:numPr>
        <w:ind w:left="0" w:right="0"/>
        <w:jc w:val="left"/>
        <w:keepNext/>
        <w:spacing w:line="400" w:lineRule="exact"/>
        <w:rPr>
          <w:rFonts w:hint="eastAsia" w:ascii="方正仿宋_GB2312" w:hAnsi="方正仿宋_GB2312" w:eastAsia="方正仿宋_GB2312" w:cs="方正仿宋_GB2312"/>
          <w:color w:val="000000"/>
          <w:sz w:val="28"/>
          <w:szCs w:val="28"/>
        </w:rPr>
        <w:outlineLvl w:val="0"/>
      </w:pPr>
      <w:r>
        <w:rPr>
          <w:rFonts w:hint="eastAsia" w:ascii="方正仿宋_GB2312" w:hAnsi="方正仿宋_GB2312" w:eastAsia="方正仿宋_GB2312" w:cs="方正仿宋_GB2312"/>
          <w:color w:val="000000"/>
          <w:sz w:val="28"/>
          <w:szCs w:val="28"/>
        </w:rPr>
        <w:t xml:space="preserve">二、招标文件</w:t>
      </w:r>
      <w:r/>
    </w:p>
    <w:p>
      <w:pPr>
        <w:ind w:left="0" w:right="0"/>
        <w:spacing w:line="400" w:lineRule="exact"/>
        <w:tabs>
          <w:tab w:val="left" w:pos="900" w:leader="none"/>
        </w:tabs>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6.招标文件构成</w:t>
      </w:r>
      <w:r/>
    </w:p>
    <w:p>
      <w:pPr>
        <w:ind w:left="0" w:right="0"/>
        <w:spacing w:line="400" w:lineRule="exact"/>
        <w:tabs>
          <w:tab w:val="left" w:pos="900" w:leader="none"/>
        </w:tabs>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6.1 招标文件由以下部分组成：</w:t>
      </w:r>
      <w:r/>
    </w:p>
    <w:p>
      <w:pPr>
        <w:ind w:left="0" w:right="0"/>
        <w:spacing w:line="400" w:lineRule="exact"/>
        <w:tabs>
          <w:tab w:val="left" w:pos="900" w:leader="none"/>
        </w:tabs>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（1）投标邀请</w:t>
      </w:r>
      <w:r/>
    </w:p>
    <w:p>
      <w:pPr>
        <w:ind w:left="0" w:right="0"/>
        <w:spacing w:line="400" w:lineRule="exact"/>
        <w:tabs>
          <w:tab w:val="left" w:pos="900" w:leader="none"/>
        </w:tabs>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（2）投标人须知</w:t>
      </w:r>
      <w:r/>
    </w:p>
    <w:p>
      <w:pPr>
        <w:ind w:left="0" w:right="0"/>
        <w:spacing w:line="400" w:lineRule="exact"/>
        <w:tabs>
          <w:tab w:val="left" w:pos="900" w:leader="none"/>
        </w:tabs>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（3）合同文本</w:t>
      </w:r>
      <w:r/>
    </w:p>
    <w:p>
      <w:pPr>
        <w:ind w:left="0" w:right="0"/>
        <w:spacing w:line="400" w:lineRule="exact"/>
        <w:tabs>
          <w:tab w:val="left" w:pos="900" w:leader="none"/>
        </w:tabs>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（4）采购需求</w:t>
      </w:r>
      <w:r/>
    </w:p>
    <w:p>
      <w:pPr>
        <w:ind w:left="0" w:right="0"/>
        <w:spacing w:line="400" w:lineRule="exact"/>
        <w:tabs>
          <w:tab w:val="left" w:pos="900" w:leader="none"/>
        </w:tabs>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（5）评标方法与评标标准</w:t>
      </w:r>
      <w:r/>
    </w:p>
    <w:p>
      <w:pPr>
        <w:ind w:left="0" w:right="0"/>
        <w:spacing w:line="400" w:lineRule="exact"/>
        <w:tabs>
          <w:tab w:val="left" w:pos="900" w:leader="none"/>
        </w:tabs>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（6）投标文件格式</w:t>
      </w:r>
      <w:r/>
    </w:p>
    <w:p>
      <w:pPr>
        <w:ind w:left="0" w:right="0"/>
        <w:spacing w:line="400" w:lineRule="exact"/>
        <w:tabs>
          <w:tab w:val="left" w:pos="900" w:leader="none"/>
        </w:tabs>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请仔细检查招标文件是否齐全，如有缺漏请立即与采购中心联系解决。</w:t>
      </w:r>
      <w:r/>
    </w:p>
    <w:p>
      <w:pPr>
        <w:ind w:left="0" w:right="0"/>
        <w:spacing w:line="400" w:lineRule="exact"/>
        <w:tabs>
          <w:tab w:val="left" w:pos="900" w:leader="none"/>
        </w:tabs>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spacing w:line="400" w:lineRule="exact"/>
        <w:tabs>
          <w:tab w:val="left" w:pos="900" w:leader="none"/>
        </w:tabs>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7.招标文件的修改</w:t>
      </w:r>
      <w:r/>
    </w:p>
    <w:p>
      <w:pPr>
        <w:ind w:left="0" w:right="0"/>
        <w:spacing w:line="400" w:lineRule="exact"/>
        <w:tabs>
          <w:tab w:val="left" w:pos="900" w:leader="none"/>
        </w:tabs>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7.1 在投标截止时间前，采购中心可以对招标文件进行修改。</w:t>
      </w:r>
      <w:r/>
    </w:p>
    <w:p>
      <w:pPr>
        <w:ind w:left="0" w:right="0"/>
        <w:spacing w:line="400" w:lineRule="exact"/>
        <w:tabs>
          <w:tab w:val="left" w:pos="900" w:leader="none"/>
        </w:tabs>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7.2 采购中心有权按照法定的要求推迟投标截止日期和开标日期。</w:t>
      </w:r>
      <w:r/>
    </w:p>
    <w:p>
      <w:pPr>
        <w:ind w:left="0" w:right="0"/>
        <w:spacing w:line="400" w:lineRule="exact"/>
        <w:tabs>
          <w:tab w:val="left" w:pos="900" w:leader="none"/>
        </w:tabs>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7.3 招标文件的修改将在江苏政府采购网公布，补充文件将作为招标文件的组成部分，并对投标人具有约束力。</w:t>
      </w:r>
      <w:r/>
    </w:p>
    <w:p>
      <w:pPr>
        <w:numPr>
          <w:ilvl w:val="0"/>
          <w:numId w:val="0"/>
        </w:numPr>
        <w:ind w:left="0" w:right="0"/>
        <w:jc w:val="left"/>
        <w:keepNext/>
        <w:spacing w:line="400" w:lineRule="exact"/>
        <w:rPr>
          <w:rFonts w:hint="eastAsia" w:ascii="方正仿宋_GB2312" w:hAnsi="方正仿宋_GB2312" w:eastAsia="方正仿宋_GB2312" w:cs="方正仿宋_GB2312"/>
          <w:color w:val="000000"/>
          <w:sz w:val="28"/>
          <w:szCs w:val="28"/>
        </w:rPr>
        <w:outlineLvl w:val="0"/>
      </w:pPr>
      <w:r>
        <w:rPr>
          <w:rFonts w:hint="eastAsia" w:ascii="方正仿宋_GB2312" w:hAnsi="方正仿宋_GB2312" w:eastAsia="方正仿宋_GB2312" w:cs="方正仿宋_GB2312"/>
          <w:color w:val="000000"/>
          <w:sz w:val="28"/>
          <w:szCs w:val="28"/>
        </w:rPr>
        <w:t xml:space="preserve">三、投标文件的编制</w:t>
      </w:r>
      <w:r/>
    </w:p>
    <w:p>
      <w:pPr>
        <w:pStyle w:val="661"/>
        <w:ind w:left="0" w:right="0"/>
        <w:spacing w:before="0" w:after="0" w:line="400" w:lineRule="exact"/>
        <w:rPr>
          <w:rFonts w:hint="eastAsia" w:ascii="方正仿宋_GB2312" w:hAnsi="方正仿宋_GB2312" w:eastAsia="方正仿宋_GB2312" w:cs="方正仿宋_GB2312"/>
          <w:bCs w:val="0"/>
        </w:rPr>
      </w:pPr>
      <w:r>
        <w:rPr>
          <w:rFonts w:hint="eastAsia" w:ascii="方正仿宋_GB2312" w:hAnsi="方正仿宋_GB2312" w:eastAsia="方正仿宋_GB2312" w:cs="方正仿宋_GB2312"/>
          <w:b w:val="0"/>
          <w:bCs w:val="0"/>
        </w:rPr>
        <w:t xml:space="preserve">8.投标文件的语言及度量衡单位</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Cs/>
          <w:sz w:val="28"/>
          <w:szCs w:val="28"/>
        </w:rPr>
        <w:t xml:space="preserve">8.1</w:t>
      </w:r>
      <w:r>
        <w:rPr>
          <w:rFonts w:hint="eastAsia" w:ascii="方正仿宋_GB2312" w:hAnsi="方正仿宋_GB2312" w:eastAsia="方正仿宋_GB2312" w:cs="方正仿宋_GB2312"/>
          <w:sz w:val="28"/>
          <w:szCs w:val="28"/>
        </w:rPr>
        <w:t xml:space="preserve"> 投标人提交的投标文件以及投标人与采购中心就有关投标的所有来往通知、函件和文件均应使用</w:t>
      </w:r>
      <w:r>
        <w:rPr>
          <w:rFonts w:hint="eastAsia" w:ascii="方正仿宋_GB2312" w:hAnsi="方正仿宋_GB2312" w:eastAsia="方正仿宋_GB2312" w:cs="方正仿宋_GB2312"/>
          <w:b/>
          <w:bCs/>
          <w:sz w:val="28"/>
          <w:szCs w:val="28"/>
        </w:rPr>
        <w:t xml:space="preserve">简体中文</w:t>
      </w:r>
      <w:r>
        <w:rPr>
          <w:rFonts w:hint="eastAsia" w:ascii="方正仿宋_GB2312" w:hAnsi="方正仿宋_GB2312" w:eastAsia="方正仿宋_GB2312" w:cs="方正仿宋_GB2312"/>
          <w:sz w:val="28"/>
          <w:szCs w:val="28"/>
        </w:rPr>
        <w:t xml:space="preserve">。</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Cs/>
          <w:sz w:val="28"/>
          <w:szCs w:val="28"/>
        </w:rPr>
        <w:t xml:space="preserve">8.2</w:t>
      </w:r>
      <w:r>
        <w:rPr>
          <w:rFonts w:hint="eastAsia" w:ascii="方正仿宋_GB2312" w:hAnsi="方正仿宋_GB2312" w:eastAsia="方正仿宋_GB2312" w:cs="方正仿宋_GB2312"/>
          <w:sz w:val="28"/>
          <w:szCs w:val="28"/>
        </w:rPr>
        <w:t xml:space="preserve"> 除技术性能另有规定外，投标文件所使用的度量衡单位，均须采用国家法定计量单位。</w:t>
      </w:r>
      <w:r/>
    </w:p>
    <w:p>
      <w:pPr>
        <w:pStyle w:val="661"/>
        <w:ind w:left="0" w:right="0"/>
        <w:spacing w:before="0" w:after="0" w:line="400" w:lineRule="exact"/>
        <w:rPr>
          <w:rFonts w:hint="eastAsia" w:ascii="方正仿宋_GB2312" w:hAnsi="方正仿宋_GB2312" w:eastAsia="方正仿宋_GB2312" w:cs="方正仿宋_GB2312"/>
          <w:b w:val="0"/>
          <w:bCs w:val="0"/>
        </w:rPr>
      </w:pPr>
      <w:r>
        <w:rPr>
          <w:rFonts w:hint="eastAsia" w:ascii="方正仿宋_GB2312" w:hAnsi="方正仿宋_GB2312" w:eastAsia="方正仿宋_GB2312" w:cs="方正仿宋_GB2312"/>
          <w:b w:val="0"/>
          <w:bCs w:val="0"/>
        </w:rPr>
        <w:t xml:space="preserve">9.投标文件构成</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Cs/>
          <w:sz w:val="28"/>
          <w:szCs w:val="28"/>
        </w:rPr>
        <w:t xml:space="preserve">9.1</w:t>
      </w:r>
      <w:r>
        <w:rPr>
          <w:rFonts w:hint="eastAsia" w:ascii="方正仿宋_GB2312" w:hAnsi="方正仿宋_GB2312" w:eastAsia="方正仿宋_GB2312" w:cs="方正仿宋_GB2312"/>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9.2 如标书制作工具中格式和内容与“江苏政府采购网”发布的招标文件不一致，请以“江苏政府采购网”发布的招标文件为准。</w:t>
      </w:r>
      <w:r/>
    </w:p>
    <w:p>
      <w:pPr>
        <w:pStyle w:val="661"/>
        <w:ind w:left="0" w:right="0"/>
        <w:spacing w:before="0" w:after="0" w:line="400" w:lineRule="exact"/>
        <w:rPr>
          <w:rFonts w:hint="eastAsia" w:ascii="方正仿宋_GB2312" w:hAnsi="方正仿宋_GB2312" w:eastAsia="方正仿宋_GB2312" w:cs="方正仿宋_GB2312"/>
          <w:b w:val="0"/>
          <w:bCs w:val="0"/>
        </w:rPr>
      </w:pPr>
      <w:r>
        <w:rPr>
          <w:rFonts w:hint="eastAsia" w:ascii="方正仿宋_GB2312" w:hAnsi="方正仿宋_GB2312" w:eastAsia="方正仿宋_GB2312" w:cs="方正仿宋_GB2312"/>
          <w:b w:val="0"/>
          <w:bCs w:val="0"/>
        </w:rPr>
        <w:t xml:space="preserve">10.证明投标人及投标标的符合招标文件规定的文件</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10.1 投标人应按照法律、法规、规章和规范性文件以及招标文件要求提交证明文件，证明其及投标标的符合招标文件规定。</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10.2招标文件对证明文件无明确形式要求的，证明文件可以以文字资料、图纸和数据等形式提交。</w:t>
      </w:r>
      <w:r/>
    </w:p>
    <w:p>
      <w:pPr>
        <w:pStyle w:val="661"/>
        <w:ind w:left="0" w:right="0"/>
        <w:spacing w:before="0" w:after="0" w:line="400" w:lineRule="exact"/>
        <w:rPr>
          <w:rFonts w:hint="eastAsia" w:ascii="方正仿宋_GB2312" w:hAnsi="方正仿宋_GB2312" w:eastAsia="方正仿宋_GB2312" w:cs="方正仿宋_GB2312"/>
          <w:b w:val="0"/>
          <w:bCs w:val="0"/>
        </w:rPr>
      </w:pPr>
      <w:r>
        <w:rPr>
          <w:rFonts w:hint="eastAsia" w:ascii="方正仿宋_GB2312" w:hAnsi="方正仿宋_GB2312" w:eastAsia="方正仿宋_GB2312" w:cs="方正仿宋_GB2312"/>
          <w:b w:val="0"/>
          <w:bCs w:val="0"/>
        </w:rPr>
        <w:t xml:space="preserve">11.投标分项报价表</w:t>
      </w:r>
      <w:r/>
    </w:p>
    <w:p>
      <w:pPr>
        <w:ind w:left="0" w:right="0"/>
        <w:spacing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11.1</w:t>
      </w:r>
      <w:r>
        <w:rPr>
          <w:rFonts w:hint="eastAsia" w:ascii="方正仿宋_GB2312" w:hAnsi="方正仿宋_GB2312" w:eastAsia="方正仿宋_GB2312" w:cs="方正仿宋_GB2312"/>
          <w:sz w:val="28"/>
          <w:szCs w:val="28"/>
        </w:rPr>
        <w:t xml:space="preserve"> 投标人按照招标文件规定格式填报投标分项报价表。</w:t>
      </w:r>
      <w:r/>
    </w:p>
    <w:p>
      <w:pPr>
        <w:ind w:left="0" w:right="0"/>
        <w:spacing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sz w:val="28"/>
          <w:szCs w:val="28"/>
        </w:rPr>
        <w:t xml:space="preserve">11.2</w:t>
      </w:r>
      <w:r>
        <w:rPr>
          <w:rFonts w:hint="eastAsia" w:ascii="方正仿宋_GB2312" w:hAnsi="方正仿宋_GB2312" w:eastAsia="方正仿宋_GB2312" w:cs="方正仿宋_GB2312"/>
          <w:bCs/>
          <w:sz w:val="28"/>
          <w:szCs w:val="28"/>
        </w:rPr>
        <w:t xml:space="preserve">投标货币。投标文件中的单价和总价无特殊规定的采用人民币报价，以元为单位标注。</w:t>
      </w:r>
      <w:r>
        <w:rPr>
          <w:rFonts w:hint="eastAsia" w:ascii="方正仿宋_GB2312" w:hAnsi="方正仿宋_GB2312" w:eastAsia="方正仿宋_GB2312" w:cs="方正仿宋_GB2312"/>
          <w:sz w:val="28"/>
          <w:szCs w:val="28"/>
        </w:rPr>
        <w:t xml:space="preserve">招标文件中另有规定的按规定执行。</w:t>
      </w:r>
      <w:r/>
    </w:p>
    <w:p>
      <w:pPr>
        <w:pStyle w:val="661"/>
        <w:ind w:left="0" w:right="0"/>
        <w:spacing w:before="0" w:after="0" w:line="400" w:lineRule="exact"/>
        <w:rPr>
          <w:rFonts w:hint="eastAsia" w:ascii="方正仿宋_GB2312" w:hAnsi="方正仿宋_GB2312" w:eastAsia="方正仿宋_GB2312" w:cs="方正仿宋_GB2312"/>
          <w:b w:val="0"/>
          <w:bCs w:val="0"/>
        </w:rPr>
      </w:pPr>
      <w:r>
        <w:rPr>
          <w:rFonts w:hint="eastAsia" w:ascii="方正仿宋_GB2312" w:hAnsi="方正仿宋_GB2312" w:eastAsia="方正仿宋_GB2312" w:cs="方正仿宋_GB2312"/>
          <w:b w:val="0"/>
          <w:bCs w:val="0"/>
        </w:rPr>
        <w:t xml:space="preserve">12.技术要求响应及偏离表、商务要求响应及偏离表</w:t>
      </w:r>
      <w:r/>
    </w:p>
    <w:p>
      <w:pPr>
        <w:ind w:left="0" w:right="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bCs/>
          <w:sz w:val="28"/>
          <w:szCs w:val="28"/>
          <w:lang w:val="zh-CN"/>
        </w:rPr>
        <w:t xml:space="preserve">12.1</w:t>
      </w:r>
      <w:r>
        <w:rPr>
          <w:rFonts w:hint="eastAsia" w:ascii="方正仿宋_GB2312" w:hAnsi="方正仿宋_GB2312" w:eastAsia="方正仿宋_GB2312" w:cs="方正仿宋_GB2312"/>
          <w:sz w:val="28"/>
          <w:szCs w:val="28"/>
          <w:lang w:val="zh-CN"/>
        </w:rPr>
        <w:t xml:space="preserve"> 投标人需对招标文件中的技术要求与商务要求逐项作出响应或偏离，并说明原因。</w:t>
      </w:r>
      <w:r/>
    </w:p>
    <w:p>
      <w:pPr>
        <w:ind w:left="0" w:right="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12.2 投标人需按照招标文件要求，在投标文件中提供与技术要求和商务要求相关的证明材料。</w:t>
      </w:r>
      <w:r/>
    </w:p>
    <w:p>
      <w:pPr>
        <w:pStyle w:val="661"/>
        <w:ind w:left="0" w:right="0"/>
        <w:spacing w:before="0" w:after="0" w:line="400" w:lineRule="exact"/>
        <w:rPr>
          <w:rFonts w:hint="eastAsia" w:ascii="方正仿宋_GB2312" w:hAnsi="方正仿宋_GB2312" w:eastAsia="方正仿宋_GB2312" w:cs="方正仿宋_GB2312"/>
          <w:b w:val="0"/>
          <w:bCs w:val="0"/>
        </w:rPr>
      </w:pPr>
      <w:r>
        <w:rPr>
          <w:rFonts w:hint="eastAsia" w:ascii="方正仿宋_GB2312" w:hAnsi="方正仿宋_GB2312" w:eastAsia="方正仿宋_GB2312" w:cs="方正仿宋_GB2312"/>
          <w:b w:val="0"/>
          <w:bCs w:val="0"/>
        </w:rPr>
        <w:t xml:space="preserve">13.投标函和开标一览表</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Cs/>
          <w:sz w:val="28"/>
          <w:szCs w:val="28"/>
        </w:rPr>
        <w:t xml:space="preserve">13.1</w:t>
      </w:r>
      <w:r>
        <w:rPr>
          <w:rFonts w:hint="eastAsia" w:ascii="方正仿宋_GB2312" w:hAnsi="方正仿宋_GB2312" w:eastAsia="方正仿宋_GB2312" w:cs="方正仿宋_GB2312"/>
          <w:sz w:val="28"/>
          <w:szCs w:val="28"/>
        </w:rPr>
        <w:t xml:space="preserve"> 投标人应按照招标文件中提供的格式完整、正确填写投标函、开标一览表。</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Cs/>
          <w:sz w:val="28"/>
          <w:szCs w:val="28"/>
        </w:rPr>
        <w:t xml:space="preserve">13.2</w:t>
      </w:r>
      <w:r>
        <w:rPr>
          <w:rFonts w:hint="eastAsia" w:ascii="方正仿宋_GB2312" w:hAnsi="方正仿宋_GB2312" w:eastAsia="方正仿宋_GB2312" w:cs="方正仿宋_GB2312"/>
          <w:sz w:val="28"/>
          <w:szCs w:val="28"/>
        </w:rPr>
        <w:t xml:space="preserve"> 对于采用货币报价的项目，</w:t>
      </w:r>
      <w:r>
        <w:rPr>
          <w:rFonts w:hint="eastAsia" w:ascii="方正仿宋_GB2312" w:hAnsi="方正仿宋_GB2312" w:eastAsia="方正仿宋_GB2312" w:cs="方正仿宋_GB2312"/>
          <w:bCs/>
          <w:sz w:val="28"/>
          <w:szCs w:val="28"/>
        </w:rPr>
        <w:t xml:space="preserve">开标一览表中的投标总报价应与投标分项报价表中的投标总报价一致，如不一致，</w:t>
      </w:r>
      <w:r>
        <w:rPr>
          <w:rFonts w:hint="eastAsia" w:ascii="方正仿宋_GB2312" w:hAnsi="方正仿宋_GB2312" w:eastAsia="方正仿宋_GB2312" w:cs="方正仿宋_GB2312"/>
          <w:sz w:val="28"/>
          <w:szCs w:val="28"/>
        </w:rPr>
        <w:t xml:space="preserve">不作为无效投标处理</w:t>
      </w:r>
      <w:r>
        <w:rPr>
          <w:rFonts w:hint="eastAsia" w:ascii="方正仿宋_GB2312" w:hAnsi="方正仿宋_GB2312" w:eastAsia="方正仿宋_GB2312" w:cs="方正仿宋_GB2312"/>
          <w:bCs/>
          <w:sz w:val="28"/>
          <w:szCs w:val="28"/>
        </w:rPr>
        <w:t xml:space="preserve">，但评标时按开标一览表中价格为准</w:t>
      </w:r>
      <w:r>
        <w:rPr>
          <w:rFonts w:hint="eastAsia" w:ascii="方正仿宋_GB2312" w:hAnsi="方正仿宋_GB2312" w:eastAsia="方正仿宋_GB2312" w:cs="方正仿宋_GB2312"/>
          <w:b/>
          <w:bCs/>
          <w:sz w:val="28"/>
          <w:szCs w:val="28"/>
        </w:rPr>
        <w:t xml:space="preserve">。</w:t>
      </w:r>
      <w:r/>
    </w:p>
    <w:p>
      <w:pPr>
        <w:pStyle w:val="661"/>
        <w:ind w:left="0" w:right="0"/>
        <w:spacing w:before="0" w:after="0" w:line="400" w:lineRule="exact"/>
        <w:rPr>
          <w:rFonts w:hint="eastAsia" w:ascii="方正仿宋_GB2312" w:hAnsi="方正仿宋_GB2312" w:eastAsia="方正仿宋_GB2312" w:cs="方正仿宋_GB2312"/>
          <w:b w:val="0"/>
          <w:bCs w:val="0"/>
        </w:rPr>
      </w:pPr>
      <w:r>
        <w:rPr>
          <w:rFonts w:hint="eastAsia" w:ascii="方正仿宋_GB2312" w:hAnsi="方正仿宋_GB2312" w:eastAsia="方正仿宋_GB2312" w:cs="方正仿宋_GB2312"/>
          <w:b w:val="0"/>
          <w:bCs w:val="0"/>
        </w:rPr>
        <w:t xml:space="preserve">14.投标有效期</w:t>
      </w:r>
      <w:r/>
    </w:p>
    <w:p>
      <w:pPr>
        <w:ind w:left="0" w:right="0"/>
        <w:spacing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sz w:val="28"/>
          <w:szCs w:val="28"/>
        </w:rPr>
        <w:t xml:space="preserve">14.1</w:t>
      </w:r>
      <w:r>
        <w:rPr>
          <w:rFonts w:hint="eastAsia" w:ascii="方正仿宋_GB2312" w:hAnsi="方正仿宋_GB2312" w:eastAsia="方正仿宋_GB2312" w:cs="方正仿宋_GB2312"/>
          <w:bCs/>
          <w:sz w:val="28"/>
          <w:szCs w:val="28"/>
        </w:rPr>
        <w:t xml:space="preserve"> 投标有效期为采购中心规定的开标之日后</w:t>
      </w:r>
      <w:r>
        <w:rPr>
          <w:rFonts w:hint="eastAsia" w:ascii="方正仿宋_GB2312" w:hAnsi="方正仿宋_GB2312" w:eastAsia="方正仿宋_GB2312" w:cs="方正仿宋_GB2312"/>
          <w:b/>
          <w:sz w:val="28"/>
          <w:szCs w:val="28"/>
          <w:u w:val="single"/>
        </w:rPr>
        <w:t xml:space="preserve">六十（60）天</w:t>
      </w:r>
      <w:r>
        <w:rPr>
          <w:rFonts w:hint="eastAsia" w:ascii="方正仿宋_GB2312" w:hAnsi="方正仿宋_GB2312" w:eastAsia="方正仿宋_GB2312" w:cs="方正仿宋_GB2312"/>
          <w:bCs/>
          <w:sz w:val="28"/>
          <w:szCs w:val="28"/>
        </w:rPr>
        <w:t xml:space="preserve">。投标有效期比规定短的将被视为未实质性响应招标文件而予以拒绝。</w:t>
      </w:r>
      <w:r/>
    </w:p>
    <w:p>
      <w:pPr>
        <w:pStyle w:val="661"/>
        <w:ind w:left="0" w:right="0"/>
        <w:spacing w:before="0" w:after="0" w:line="400" w:lineRule="exact"/>
        <w:rPr>
          <w:rFonts w:hint="eastAsia" w:ascii="方正仿宋_GB2312" w:hAnsi="方正仿宋_GB2312" w:eastAsia="方正仿宋_GB2312" w:cs="方正仿宋_GB2312"/>
          <w:b w:val="0"/>
          <w:bCs w:val="0"/>
        </w:rPr>
      </w:pPr>
      <w:r>
        <w:rPr>
          <w:rFonts w:hint="eastAsia" w:ascii="方正仿宋_GB2312" w:hAnsi="方正仿宋_GB2312" w:eastAsia="方正仿宋_GB2312" w:cs="方正仿宋_GB2312"/>
          <w:b w:val="0"/>
          <w:bCs w:val="0"/>
        </w:rPr>
        <w:t xml:space="preserve">15.投标有效期的延长</w:t>
      </w:r>
      <w:r/>
    </w:p>
    <w:p>
      <w:pPr>
        <w:ind w:left="0" w:right="0"/>
        <w:spacing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sz w:val="28"/>
          <w:szCs w:val="28"/>
        </w:rPr>
        <w:t xml:space="preserve">15.1</w:t>
      </w:r>
      <w:r>
        <w:rPr>
          <w:rFonts w:hint="eastAsia" w:ascii="方正仿宋_GB2312" w:hAnsi="方正仿宋_GB2312" w:eastAsia="方正仿宋_GB2312" w:cs="方正仿宋_GB2312"/>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2312" w:hAnsi="方正仿宋_GB2312" w:eastAsia="方正仿宋_GB2312" w:cs="方正仿宋_GB2312"/>
          <w:sz w:val="28"/>
          <w:szCs w:val="28"/>
        </w:rPr>
        <w:t xml:space="preserve">。</w:t>
      </w:r>
      <w:r>
        <w:rPr>
          <w:rFonts w:hint="eastAsia" w:ascii="方正仿宋_GB2312" w:hAnsi="方正仿宋_GB2312" w:eastAsia="方正仿宋_GB2312" w:cs="方正仿宋_GB2312"/>
          <w:bCs/>
          <w:sz w:val="28"/>
          <w:szCs w:val="28"/>
        </w:rPr>
        <w:t xml:space="preserve">同意延长投标有效期的投标人既不能要求也不允许修改其投标文件</w:t>
      </w:r>
      <w:r>
        <w:rPr>
          <w:rFonts w:hint="eastAsia" w:ascii="方正仿宋_GB2312" w:hAnsi="方正仿宋_GB2312" w:eastAsia="方正仿宋_GB2312" w:cs="方正仿宋_GB2312"/>
          <w:sz w:val="28"/>
          <w:szCs w:val="28"/>
        </w:rPr>
        <w:t xml:space="preserve">，同时受投标有效期约束的所有权利与义务均延长至新的有效期</w:t>
      </w:r>
      <w:r>
        <w:rPr>
          <w:rFonts w:hint="eastAsia" w:ascii="方正仿宋_GB2312" w:hAnsi="方正仿宋_GB2312" w:eastAsia="方正仿宋_GB2312" w:cs="方正仿宋_GB2312"/>
          <w:bCs/>
          <w:sz w:val="28"/>
          <w:szCs w:val="28"/>
        </w:rPr>
        <w:t xml:space="preserve">。</w:t>
      </w:r>
      <w:r/>
    </w:p>
    <w:p>
      <w:pPr>
        <w:numPr>
          <w:ilvl w:val="0"/>
          <w:numId w:val="0"/>
        </w:numPr>
        <w:ind w:left="0" w:right="0"/>
        <w:jc w:val="left"/>
        <w:keepNext/>
        <w:spacing w:line="400" w:lineRule="exact"/>
        <w:rPr>
          <w:rFonts w:hint="eastAsia" w:ascii="方正仿宋_GB2312" w:hAnsi="方正仿宋_GB2312" w:eastAsia="方正仿宋_GB2312" w:cs="方正仿宋_GB2312"/>
          <w:color w:val="000000"/>
          <w:sz w:val="28"/>
          <w:szCs w:val="28"/>
        </w:rPr>
        <w:outlineLvl w:val="0"/>
      </w:pPr>
      <w:r>
        <w:rPr>
          <w:rFonts w:hint="eastAsia" w:ascii="方正仿宋_GB2312" w:hAnsi="方正仿宋_GB2312" w:eastAsia="方正仿宋_GB2312" w:cs="方正仿宋_GB2312"/>
          <w:color w:val="000000"/>
          <w:sz w:val="28"/>
          <w:szCs w:val="28"/>
        </w:rPr>
        <w:t xml:space="preserve">四、投标文件的递交</w:t>
      </w:r>
      <w:r/>
    </w:p>
    <w:p>
      <w:pPr>
        <w:pStyle w:val="661"/>
        <w:ind w:left="0" w:right="0"/>
        <w:spacing w:before="0" w:after="0" w:line="400" w:lineRule="exact"/>
        <w:rPr>
          <w:rFonts w:hint="eastAsia" w:ascii="方正仿宋_GB2312" w:hAnsi="方正仿宋_GB2312" w:eastAsia="方正仿宋_GB2312" w:cs="方正仿宋_GB2312"/>
          <w:b w:val="0"/>
          <w:bCs w:val="0"/>
        </w:rPr>
      </w:pPr>
      <w:r>
        <w:rPr>
          <w:rFonts w:hint="eastAsia" w:ascii="方正仿宋_GB2312" w:hAnsi="方正仿宋_GB2312" w:eastAsia="方正仿宋_GB2312" w:cs="方正仿宋_GB2312"/>
          <w:b w:val="0"/>
          <w:bCs w:val="0"/>
        </w:rPr>
        <w:t xml:space="preserve">16.投标文件的递交</w:t>
      </w:r>
      <w:r/>
    </w:p>
    <w:p>
      <w:pPr>
        <w:ind w:left="0" w:right="0"/>
        <w:spacing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sz w:val="28"/>
          <w:szCs w:val="28"/>
        </w:rPr>
        <w:t xml:space="preserve">16.1</w:t>
      </w:r>
      <w:r>
        <w:rPr>
          <w:rFonts w:hint="eastAsia" w:ascii="方正仿宋_GB2312" w:hAnsi="方正仿宋_GB2312" w:eastAsia="方正仿宋_GB2312" w:cs="方正仿宋_GB2312"/>
          <w:bCs/>
          <w:sz w:val="28"/>
          <w:szCs w:val="28"/>
        </w:rPr>
        <w:t xml:space="preserve"> 电子投标文件的递交</w:t>
      </w:r>
      <w:r/>
    </w:p>
    <w:p>
      <w:pPr>
        <w:pStyle w:val="783"/>
        <w:ind w:left="0" w:right="0"/>
        <w:spacing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投标人应当按照《操作手册》规定，在投标截止时间前制作并上传电子投标文件。</w:t>
      </w:r>
      <w:r/>
    </w:p>
    <w:p>
      <w:pPr>
        <w:ind w:left="0" w:right="0"/>
        <w:spacing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17.投标截止时间</w:t>
      </w:r>
      <w:r/>
    </w:p>
    <w:p>
      <w:pPr>
        <w:ind w:left="0" w:right="0"/>
        <w:spacing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sz w:val="28"/>
          <w:szCs w:val="28"/>
        </w:rPr>
        <w:t xml:space="preserve">17.1</w:t>
      </w:r>
      <w:r>
        <w:rPr>
          <w:rFonts w:hint="eastAsia" w:ascii="方正仿宋_GB2312" w:hAnsi="方正仿宋_GB2312" w:eastAsia="方正仿宋_GB2312" w:cs="方正仿宋_GB2312"/>
          <w:bCs/>
          <w:sz w:val="28"/>
          <w:szCs w:val="28"/>
        </w:rPr>
        <w:t xml:space="preserve"> 投标人上传电子投标文件的时间不得迟于招标公告中规定的投标截止时间。</w:t>
      </w:r>
      <w:r/>
    </w:p>
    <w:p>
      <w:pPr>
        <w:ind w:left="0" w:right="0"/>
        <w:spacing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投标人应充分考虑到网络环境、网络带宽等风险因素，如因投标人自身原因造成的电子投标文件上传不成功的按照本招标文件第二章第25.1.2条规定做无效投标处理。</w:t>
      </w:r>
      <w:r/>
    </w:p>
    <w:p>
      <w:pPr>
        <w:ind w:left="0" w:right="0"/>
        <w:spacing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sz w:val="28"/>
          <w:szCs w:val="28"/>
        </w:rPr>
        <w:t xml:space="preserve">17.2</w:t>
      </w:r>
      <w:r>
        <w:rPr>
          <w:rFonts w:hint="eastAsia" w:ascii="方正仿宋_GB2312" w:hAnsi="方正仿宋_GB2312" w:eastAsia="方正仿宋_GB2312" w:cs="方正仿宋_GB2312"/>
          <w:bCs/>
          <w:sz w:val="28"/>
          <w:szCs w:val="28"/>
        </w:rPr>
        <w:t xml:space="preserve"> 采购中心可以按照规定，通过修改招标文件酌情延长投标截止时间，在此情况下，投标人的所有权利和义务以及投标人受制的截止时间均应以延长后新的截止时间为准。</w:t>
      </w:r>
      <w:r/>
    </w:p>
    <w:p>
      <w:pPr>
        <w:pStyle w:val="661"/>
        <w:ind w:left="0" w:right="0"/>
        <w:spacing w:before="0" w:after="0" w:line="400" w:lineRule="exact"/>
        <w:rPr>
          <w:rFonts w:hint="eastAsia" w:ascii="方正仿宋_GB2312" w:hAnsi="方正仿宋_GB2312" w:eastAsia="方正仿宋_GB2312" w:cs="方正仿宋_GB2312"/>
          <w:b w:val="0"/>
          <w:bCs w:val="0"/>
        </w:rPr>
      </w:pPr>
      <w:r>
        <w:rPr>
          <w:rFonts w:hint="eastAsia" w:ascii="方正仿宋_GB2312" w:hAnsi="方正仿宋_GB2312" w:eastAsia="方正仿宋_GB2312" w:cs="方正仿宋_GB2312"/>
          <w:b w:val="0"/>
          <w:bCs w:val="0"/>
        </w:rPr>
        <w:t xml:space="preserve">18.投标文件的拒收</w:t>
      </w:r>
      <w:r/>
    </w:p>
    <w:p>
      <w:pPr>
        <w:ind w:left="0" w:right="0"/>
        <w:spacing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sz w:val="28"/>
          <w:szCs w:val="28"/>
        </w:rPr>
        <w:t xml:space="preserve">18.1</w:t>
      </w:r>
      <w:r>
        <w:rPr>
          <w:rFonts w:hint="eastAsia" w:ascii="方正仿宋_GB2312" w:hAnsi="方正仿宋_GB2312" w:eastAsia="方正仿宋_GB2312" w:cs="方正仿宋_GB2312"/>
          <w:bCs/>
          <w:sz w:val="28"/>
          <w:szCs w:val="28"/>
        </w:rPr>
        <w:t xml:space="preserve">采购中心拒绝接收在其规定的投标截止时间后上传的任何投标文件。</w:t>
      </w:r>
      <w:r/>
    </w:p>
    <w:p>
      <w:pPr>
        <w:pStyle w:val="661"/>
        <w:ind w:left="0" w:right="0"/>
        <w:spacing w:before="0" w:after="0" w:line="400" w:lineRule="exact"/>
        <w:rPr>
          <w:rFonts w:hint="eastAsia" w:ascii="方正仿宋_GB2312" w:hAnsi="方正仿宋_GB2312" w:eastAsia="方正仿宋_GB2312" w:cs="方正仿宋_GB2312"/>
          <w:b w:val="0"/>
          <w:bCs w:val="0"/>
        </w:rPr>
      </w:pPr>
      <w:r>
        <w:rPr>
          <w:rFonts w:hint="eastAsia" w:ascii="方正仿宋_GB2312" w:hAnsi="方正仿宋_GB2312" w:eastAsia="方正仿宋_GB2312" w:cs="方正仿宋_GB2312"/>
          <w:b w:val="0"/>
          <w:bCs w:val="0"/>
        </w:rPr>
        <w:t xml:space="preserve">19.投标文件的撤回和修改</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19.1 投标文件的撤回</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19.1.1 电子投标文件的撤回</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投标人可在投标截止时间前，撤回其电子投标文件，具体操作方法见《操作手册》。</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19.1.2 投标人撤回电子投标文件，则认为其不再参与本项目投标活动。</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19.2 投标文件的修改</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19.2.1投标人可在投标截止时间前，对其电子投标文件进行修改，具体操作方法见《操作手册》。</w:t>
      </w:r>
      <w:r/>
    </w:p>
    <w:p>
      <w:pPr>
        <w:ind w:left="0" w:right="0"/>
        <w:spacing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sz w:val="28"/>
          <w:szCs w:val="28"/>
        </w:rPr>
        <w:t xml:space="preserve">19.2.2</w:t>
      </w:r>
      <w:r>
        <w:rPr>
          <w:rFonts w:hint="eastAsia" w:ascii="方正仿宋_GB2312" w:hAnsi="方正仿宋_GB2312" w:eastAsia="方正仿宋_GB2312" w:cs="方正仿宋_GB2312"/>
          <w:bCs/>
          <w:sz w:val="28"/>
          <w:szCs w:val="28"/>
        </w:rPr>
        <w:t xml:space="preserve"> 在投标截止时间之后，投标人不得对其电子投标文件作任何修改。</w:t>
      </w:r>
      <w:r/>
    </w:p>
    <w:p>
      <w:pPr>
        <w:ind w:left="0" w:right="0"/>
        <w:spacing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sz w:val="28"/>
          <w:szCs w:val="28"/>
        </w:rPr>
        <w:t xml:space="preserve">19.3</w:t>
      </w:r>
      <w:r>
        <w:rPr>
          <w:rFonts w:hint="eastAsia" w:ascii="方正仿宋_GB2312" w:hAnsi="方正仿宋_GB2312" w:eastAsia="方正仿宋_GB2312" w:cs="方正仿宋_GB2312"/>
          <w:bCs/>
          <w:sz w:val="28"/>
          <w:szCs w:val="28"/>
        </w:rPr>
        <w:t xml:space="preserve"> 在投标截止时间至招标文件中规定的投标有效期满之间的这段时间内，投标人不得撤回其投标。</w:t>
      </w:r>
      <w:r/>
    </w:p>
    <w:p>
      <w:pPr>
        <w:numPr>
          <w:ilvl w:val="0"/>
          <w:numId w:val="0"/>
        </w:numPr>
        <w:ind w:left="0" w:right="0"/>
        <w:jc w:val="left"/>
        <w:keepNext/>
        <w:spacing w:line="400" w:lineRule="exact"/>
        <w:rPr>
          <w:rFonts w:hint="eastAsia" w:ascii="方正仿宋_GB2312" w:hAnsi="方正仿宋_GB2312" w:eastAsia="方正仿宋_GB2312" w:cs="方正仿宋_GB2312"/>
          <w:color w:val="000000"/>
          <w:sz w:val="28"/>
          <w:szCs w:val="28"/>
        </w:rPr>
        <w:outlineLvl w:val="0"/>
      </w:pPr>
      <w:r>
        <w:rPr>
          <w:rFonts w:hint="eastAsia" w:ascii="方正仿宋_GB2312" w:hAnsi="方正仿宋_GB2312" w:eastAsia="方正仿宋_GB2312" w:cs="方正仿宋_GB2312"/>
          <w:color w:val="000000"/>
          <w:sz w:val="28"/>
          <w:szCs w:val="28"/>
        </w:rPr>
        <w:t xml:space="preserve">五、开标与评标</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20.开标</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20.1 采购中心将在招标公告中规定的时间和地点组织公开开标。投标人应当按照《操作手册》规定，参加开标活动和在苏采云系统规定的时间内对投标文件进行解密。</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20.2开标仪式由采购中心组织。苏采云系统将自动对项目进行开标，并宣布各投标人名称和投标价格。</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20.3投标人在开标过程中涉及到的投标文件解密、开标结果确认等工作，应按照《操作手册》规定执行。</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20.4投标人如果对开标过程和开标记录有疑义，应当根据《操作手册》规定提出，如苏采云系统中《开标记录表》宣布后5分钟内未提出的，视同认可开标结果。</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21.评标委员会</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21.1 开标后，采购中心将立即组织评标委员会进行评标。</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21.2 评标委员会由采购人代表和有关技术、经济等方面的专家组成，且人员构成符合政府采购有关规定。</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21.3评标委员会独立工作，负责评审所有投标文件并确定中标侯选人。</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22.评标过程的保密与公正</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22.1凡是与审查、澄清、评价和比较投标的有关资料以及授标建议等，采购人、评委、采购中心均不得向投标人或与评标无关的其他人员透露。</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22.2在评标过程中，投标人不得以任何行为影响评标过程，否则其投标文件将被作为无效投标文件。</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22.3 采购中心和评标委员会不向未中标的投标人解释未中标原因，也不公布评标过程中的相关细节。</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22.4 采用综合评分法的项目，未中标的投标人可于中标结果公告期限届满之日起通过苏采云系统查看自己的评审得分及排序情况。</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23.投标文件的澄清</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23.1评标期间，评标委员会对投标文件中含义不明确、同类问题表述不一致或者有明显文字和计算错误的内容 ，有权要求投标人作出必要的澄清、说明或者补正。</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投标人的澄清、说明或者补正不得超出投标文件的范围或者改变投标文件的实质性内容。</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评标委员会并非对每个投标人都做澄清要求。</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23.3 接到评标委员会澄清、说明和补正要求的投标人如未按规定做出澄清、说明和补正，其风险由投标人自行承担。</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24.对投标文件的初审</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24.1投标文件初审分为资格审查和符合性审查。</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24.1.1 资格审查：依据法律法规和招标文件的规定，由采购人对投标文件中的资格证明文件进行审查。资格审查的结论，采购人以书面形式向评标委员会进行反馈。</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采购人在进行资格性审查的同时，将在“信用中国”网站（</w:t>
      </w:r>
      <w:r>
        <w:rPr>
          <w:rFonts w:hint="eastAsia" w:ascii="方正仿宋_GB2312" w:hAnsi="方正仿宋_GB2312" w:eastAsia="方正仿宋_GB2312" w:cs="方正仿宋_GB2312"/>
          <w:color w:val="000000"/>
          <w:sz w:val="28"/>
          <w:szCs w:val="28"/>
        </w:rPr>
        <w:t xml:space="preserve">www.creditchina.gov.cn</w:t>
      </w:r>
      <w:r>
        <w:rPr>
          <w:rFonts w:hint="eastAsia" w:ascii="方正仿宋_GB2312" w:hAnsi="方正仿宋_GB2312" w:eastAsia="方正仿宋_GB2312" w:cs="方正仿宋_GB2312"/>
          <w:sz w:val="28"/>
          <w:szCs w:val="28"/>
        </w:rPr>
        <w:t xml:space="preserve">）查询投标人的信用记录，以确定投标人是否具备投标资格,查询结果留存并归档。</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24.1.2 符合性审查：依据招标文件的规定，由评标委员会从投标文件的有效性、完整性和对招标文件的响应程度进行审查，以确定是否对招标文件的实质性要求作出响应。</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24.3如果投标文件实质上没有响应招标文件的要求，评标委员会将予以拒绝，投标人不得通过修改或撤销不符合要求的偏离或保留而使其投标成为实质性响应的投标。</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24.4评标委员会将对确定为实质性响应的投标进行进一步审核，确定其是否有计算上或累加上的算术错误，修正错误的原则如下：</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（1）投标文件中开标一览表内容与投标文件中相应内容不一致的，以开标一览表为准。</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（2）大写金额和小写金额不一致的，以大写金额为准。</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（3）单价金额小数点或者百分比有明显错位的，以开标一览表的总价为准，并修改单价。</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（4）总价金额与按单价汇总金额不一致的，以单价金额计算结果为准。</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同时出现两种以上错误的，按照前款规定的顺序修正。</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24.6投标人在开、评标全过程中应保持通讯畅通，及时登录苏采云系统查阅、答复相关信息，并安排专人与采购中心及评标委员会联系。</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24.7 异常低价投标审查</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24.7.1 评标过程中出现下列情形之一的，评标委员会应当启动异常低价投标审查程序：</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（1）投标报价低于全部通过符合性审查供应商投标报价平均值60%的，即投标报价&lt;全部通过符合性审查供应商投标报价平均值×50%；</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（2）投标报价低于通过符合性审查的次低报价供应商投标报价50%的，即投标报价&lt;通过符合性审查的次低报价供应商投标报价×50%；</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（3）投标报价低于采购项目最高限价65%的，即投标报价&lt;采购项目最高限价×65%；</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（4）评标委员会基于专业判断，认为供应商报价过低，有可能影响产品质量或者不能诚信履约的其他情形。</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25.无效投标条款和废标条款</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25.1无效投标条款</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25.1.1 投标人在苏采云系统规定的时间内未成功解密电子投标文件的。</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25.1.2 投标人未按照招标文件要求上传电子投标文件的。</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25.1.3 投标人同一采购包提交两个（含两个）以上不同的投标报价的。</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25.1.4投标人不具备招标文件中规定资格要求的。</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25.1.5投标人的报价超过了采购预算或最高限价的。</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25.1.6未通过符合性审查的。</w:t>
      </w:r>
      <w:r/>
    </w:p>
    <w:p>
      <w:pPr>
        <w:ind w:left="0" w:right="0"/>
        <w:spacing w:line="400" w:lineRule="exact"/>
        <w:rPr>
          <w:rFonts w:hint="eastAsia" w:ascii="方正仿宋_GB2312" w:hAnsi="方正仿宋_GB2312" w:eastAsia="方正仿宋_GB2312" w:cs="方正仿宋_GB2312"/>
          <w:bCs/>
          <w:i/>
          <w:sz w:val="28"/>
          <w:szCs w:val="28"/>
          <w:u w:val="single"/>
        </w:rPr>
      </w:pPr>
      <w:r>
        <w:rPr>
          <w:rFonts w:hint="eastAsia" w:ascii="方正仿宋_GB2312" w:hAnsi="方正仿宋_GB2312" w:eastAsia="方正仿宋_GB2312" w:cs="方正仿宋_GB2312"/>
          <w:bCs/>
          <w:sz w:val="28"/>
          <w:szCs w:val="28"/>
        </w:rPr>
        <w:t xml:space="preserve">25.1.7不符合招标文件中规定的实质性要求的</w:t>
      </w:r>
      <w:r>
        <w:rPr>
          <w:rFonts w:hint="eastAsia" w:ascii="方正仿宋_GB2312" w:hAnsi="方正仿宋_GB2312" w:eastAsia="方正仿宋_GB2312" w:cs="方正仿宋_GB2312"/>
          <w:b/>
          <w:bCs/>
          <w:sz w:val="28"/>
          <w:szCs w:val="28"/>
        </w:rPr>
        <w:t xml:space="preserve">（本招标文件中</w:t>
      </w:r>
      <w:r>
        <w:rPr>
          <w:rFonts w:hint="eastAsia" w:ascii="方正仿宋_GB2312" w:hAnsi="方正仿宋_GB2312" w:eastAsia="方正仿宋_GB2312" w:cs="方正仿宋_GB2312"/>
          <w:b/>
          <w:bCs/>
          <w:i/>
          <w:sz w:val="28"/>
          <w:szCs w:val="28"/>
          <w:u w:val="single"/>
        </w:rPr>
        <w:t xml:space="preserve">斜体且有下划线部分</w:t>
      </w:r>
      <w:r>
        <w:rPr>
          <w:rFonts w:hint="eastAsia" w:ascii="方正仿宋_GB2312" w:hAnsi="方正仿宋_GB2312" w:eastAsia="方正仿宋_GB2312" w:cs="方正仿宋_GB2312"/>
          <w:b/>
          <w:bCs/>
          <w:sz w:val="28"/>
          <w:szCs w:val="28"/>
        </w:rPr>
        <w:t xml:space="preserve">或加*号条款为实质性要求）</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25.1.8 投标人被 “信用中国”网站（</w:t>
      </w:r>
      <w:r>
        <w:rPr>
          <w:rFonts w:hint="eastAsia" w:ascii="方正仿宋_GB2312" w:hAnsi="方正仿宋_GB2312" w:eastAsia="方正仿宋_GB2312" w:cs="方正仿宋_GB2312"/>
          <w:color w:val="000000"/>
          <w:sz w:val="28"/>
          <w:szCs w:val="28"/>
        </w:rPr>
        <w:t xml:space="preserve">www.creditchina.gov.cn</w:t>
      </w:r>
      <w:r>
        <w:rPr>
          <w:rFonts w:hint="eastAsia" w:ascii="方正仿宋_GB2312" w:hAnsi="方正仿宋_GB2312" w:eastAsia="方正仿宋_GB2312" w:cs="方正仿宋_GB2312"/>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25.1.9 投标文件含有采购人不能接受的附加条件的。</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25.1.10评标委员会按照本招标文件规定对投标人进行异常低价投标审查后，认为投标人不能证明其报价合理性的。</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25.1.11 投标文件未按照招标文件要求加盖CA电子公章的。</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25.1.12 投标人所提供的服务不符合招标文件中所列国家强制性标准的。</w:t>
      </w:r>
      <w:r/>
    </w:p>
    <w:p>
      <w:pPr>
        <w:ind w:firstLine="562"/>
        <w:keepLines w:val="0"/>
        <w:keepNext w:val="0"/>
        <w:pageBreakBefore w:val="0"/>
        <w:spacing w:line="520" w:lineRule="exact"/>
        <w:widowControl w:val="off"/>
        <w:rPr>
          <w:rFonts w:hint="eastAsia" w:ascii="方正仿宋_GB2312" w:hAnsi="方正仿宋_GB2312" w:eastAsia="方正仿宋_GB2312" w:cs="方正仿宋_GB2312"/>
          <w:sz w:val="28"/>
          <w:szCs w:val="28"/>
        </w:rPr>
      </w:pPr>
      <w:r>
        <w:rPr>
          <w:rFonts w:hint="eastAsia" w:ascii="方正仿宋_GBK" w:hAnsi="方正仿宋_GBK" w:eastAsia="方正仿宋_GBK" w:cs="方正仿宋_GBK"/>
          <w:b/>
          <w:bCs/>
          <w:sz w:val="28"/>
          <w:szCs w:val="28"/>
          <w:lang w:val="en-US" w:eastAsia="zh-CN"/>
        </w:rPr>
        <w:t xml:space="preserve">25.1.13专门面向中小微型企业采购的采购项目采购包，供应商未提供本项目所投采购包提供服务的人员均为依照《中华人民共和国劳动合同法》订立劳动合同的从业人员的书面声明。（书面声明格式见招标文件第六章附件14）</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25.1.1</w:t>
      </w:r>
      <w:r>
        <w:rPr>
          <w:rFonts w:hint="eastAsia" w:ascii="方正仿宋_GB2312" w:hAnsi="方正仿宋_GB2312" w:eastAsia="方正仿宋_GB2312" w:cs="方正仿宋_GB2312"/>
          <w:sz w:val="28"/>
          <w:szCs w:val="28"/>
          <w:lang w:val="en-US" w:eastAsia="zh-CN"/>
        </w:rPr>
        <w:t xml:space="preserve">4</w:t>
      </w:r>
      <w:r>
        <w:rPr>
          <w:rFonts w:hint="eastAsia" w:ascii="方正仿宋_GB2312" w:hAnsi="方正仿宋_GB2312" w:eastAsia="方正仿宋_GB2312" w:cs="方正仿宋_GB2312"/>
          <w:sz w:val="28"/>
          <w:szCs w:val="28"/>
        </w:rPr>
        <w:t xml:space="preserve">其他法律、法规及本招标文件规定的属无效投标的情形。</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25.2废标条款</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25.2.1符合专业条件的供应商或者对招标文件作实质响应的供应商不足三家的。</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25.2.2出现影响采购公正的违法、违规行为的。</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25.2.3因重大变故，采购任务取消的。</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25.2.4评标委员会认定招标文件存在歧义、重大缺陷导致评审工作无法进行。</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25.2.5 因苏采云系统故障原因造成开标不成功的。</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25.3 投标截止时间结束后参加投标的供应商不足三家的处理：</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25.3.1如出现投标截止时间结束后参加投标的供应商或者在评标期间对招标文件做出实质响应的供应商不足三家情况，按政府采购相关规定执行。</w:t>
      </w:r>
      <w:r/>
    </w:p>
    <w:p>
      <w:pPr>
        <w:numPr>
          <w:ilvl w:val="0"/>
          <w:numId w:val="0"/>
        </w:numPr>
        <w:ind w:left="0" w:right="0"/>
        <w:jc w:val="left"/>
        <w:keepNext/>
        <w:spacing w:line="400" w:lineRule="exact"/>
        <w:rPr>
          <w:rFonts w:hint="eastAsia" w:ascii="方正仿宋_GB2312" w:hAnsi="方正仿宋_GB2312" w:eastAsia="方正仿宋_GB2312" w:cs="方正仿宋_GB2312"/>
          <w:color w:val="000000"/>
          <w:sz w:val="28"/>
          <w:szCs w:val="28"/>
        </w:rPr>
        <w:outlineLvl w:val="0"/>
      </w:pPr>
      <w:r>
        <w:rPr>
          <w:rFonts w:hint="eastAsia" w:ascii="方正仿宋_GB2312" w:hAnsi="方正仿宋_GB2312" w:eastAsia="方正仿宋_GB2312" w:cs="方正仿宋_GB2312"/>
          <w:color w:val="000000"/>
          <w:sz w:val="28"/>
          <w:szCs w:val="28"/>
        </w:rPr>
        <w:t xml:space="preserve">六、定标</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26.确定中标单位</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26.1中标候选人的选取原则和数量见招标文件第五章规定。 </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26.2采购人应根据评标委员会推荐的中标候选人确定中标供应商。</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26.3 采购中心将在“江苏政府采购网”发布中标公告，公告期限为1个工作日。</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26.4 若有充分证据证明，中标供应商出现下列情况之一的，一经查实，将被取消中标资格：</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26.4.1提供虚假材料谋取中标的。</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26.4.2向采购人、采购中心行贿或者提供其他不正当利益的。</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26.4.3属于本文件规定的无效条件，但在评标过程中又未被评标委员会发现的。</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26.4.4与采购人或者其他供应商恶意串通的。</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26.4.5采取不正当手段诋毁、排挤其他供应商的。</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26.5有下列情形之一的，视为投标人串通投标，投标无效：</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26.5.1不同投标人的投标文件由同一单位或者个人编制。</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26.5.2不同投标人委托同一单位或者个人办理投标事宜。</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26.5.3 不同投标人的投标文件载明的项目管理成员或者联系人员为同一人。</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26.5.4不同投标人的投标文件异常一致或者投标报价呈规律性差异。</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27.质疑处理</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27.1 提出质疑的供应商应当是参与所质疑项目采购活动的供应商。潜在供应商依法获取其可质疑的采购文件的，可以对采购文件提出质疑。</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27.2.1对可以质疑的采购文件提出质疑的，为收到采购文件之日或者采购文件公告期限届满之日；</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27.2.2对采购过程提出质疑的，为各采购程序环节结束之日；</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27.2.3对中标或者成交结果提出质疑的，为中标或者成交结果公告期限届满之日。</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采购人及采购中心只接收以纸质原件形式送达的质疑,建议供应商尽量通过邮寄方式提交质疑（采购人和采购中心不接受无快递运单号的快递）。</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采购中心质疑接收部门为质疑处理科（快递运单上的收件人填写“质疑处理科”即可），联系地址：南京市汉中门大街145号省政务中心二期3楼南区3029室，联系电话：025-83668531。</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采购人质疑接收人及联系方式见招标文件第一章。</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27.5 以下情形的质疑不予受理</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27.5.1 内容不符合《政府采购质疑和投诉办法》第十二条规定的质疑。</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27.5.2 超出政府采购法定期限的质疑。</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27.5.3 以传真、电子邮件等方式递交的非原件形式的质疑。</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27.5.4 未参加投标活动的供应商或在投标活动中自身权益未受到损害的供应商所提出的质疑。</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27.5.5供应商组成联合体参加投标，联合体中任何一方或多方未按要求签字、盖章、加盖公章的质疑。</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28.中标通知书</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p>
    <w:p>
      <w:pPr>
        <w:numPr>
          <w:ilvl w:val="0"/>
          <w:numId w:val="0"/>
        </w:numPr>
        <w:ind w:left="0" w:right="0"/>
        <w:jc w:val="left"/>
        <w:keepNext/>
        <w:spacing w:line="400" w:lineRule="exact"/>
        <w:rPr>
          <w:rFonts w:hint="eastAsia" w:ascii="方正仿宋_GB2312" w:hAnsi="方正仿宋_GB2312" w:eastAsia="方正仿宋_GB2312" w:cs="方正仿宋_GB2312"/>
          <w:color w:val="000000"/>
          <w:sz w:val="28"/>
          <w:szCs w:val="28"/>
        </w:rPr>
        <w:outlineLvl w:val="0"/>
      </w:pPr>
      <w:r>
        <w:rPr>
          <w:rFonts w:hint="eastAsia" w:ascii="方正仿宋_GB2312" w:hAnsi="方正仿宋_GB2312" w:eastAsia="方正仿宋_GB2312" w:cs="方正仿宋_GB2312"/>
          <w:color w:val="000000"/>
          <w:sz w:val="28"/>
          <w:szCs w:val="28"/>
        </w:rPr>
        <w:t xml:space="preserve">七、授予合同</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29.签订合同</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29.l中标供应商应当在中标通知书发出之日起三十日内，按照招标文件确定的事项与采购人签订政府采购合同。</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29.2 招标文件、中标供应商的投标文件及招标过程中有关澄清、承诺文件均应作为合同附件。</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30.服务（包含与服务相关的货物）的追加</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31.政府采购履约资金扶持政策</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中标供应商可凭政府采购合同办理融资贷款，详情请见江苏政府采购网“政采贷”专栏。</w:t>
      </w:r>
      <w:r/>
    </w:p>
    <w:p>
      <w:pPr>
        <w:pStyle w:val="669"/>
        <w:ind w:right="0" w:firstLine="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r>
      <w:r/>
    </w:p>
    <w:p>
      <w:pPr>
        <w:pStyle w:val="669"/>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r>
      <w:r/>
    </w:p>
    <w:p>
      <w:pPr>
        <w:ind w:right="839"/>
        <w:jc w:val="center"/>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第三章  合同文本</w:t>
      </w:r>
      <w:r/>
    </w:p>
    <w:p>
      <w:pPr>
        <w:ind w:left="0" w:right="0"/>
        <w:spacing w:line="400" w:lineRule="exact"/>
        <w:rPr>
          <w:rFonts w:hint="eastAsia" w:ascii="方正仿宋_GB2312" w:hAnsi="方正仿宋_GB2312" w:eastAsia="方正仿宋_GB2312" w:cs="方正仿宋_GB2312"/>
          <w:bCs/>
          <w:color w:val="000000"/>
          <w:sz w:val="28"/>
          <w:szCs w:val="28"/>
          <w:highlight w:val="yellow"/>
        </w:rPr>
      </w:pPr>
      <w:r>
        <w:rPr>
          <w:rFonts w:hint="eastAsia" w:ascii="方正仿宋_GB2312" w:hAnsi="方正仿宋_GB2312" w:eastAsia="方正仿宋_GB2312" w:cs="方正仿宋_GB2312"/>
          <w:bCs/>
          <w:color w:val="000000"/>
          <w:sz w:val="28"/>
          <w:szCs w:val="28"/>
          <w:highlight w:val="yellow"/>
        </w:rPr>
      </w:r>
      <w:r/>
    </w:p>
    <w:p>
      <w:pPr>
        <w:pStyle w:val="673"/>
        <w:jc w:val="center"/>
        <w:spacing w:line="400" w:lineRule="exact"/>
        <w:rPr>
          <w:rFonts w:hint="eastAsia" w:ascii="方正仿宋_GB2312" w:hAnsi="方正仿宋_GB2312" w:eastAsia="方正仿宋_GB2312" w:cs="方正仿宋_GB2312"/>
          <w:bCs/>
          <w:spacing w:val="-20"/>
          <w:sz w:val="28"/>
          <w:szCs w:val="28"/>
          <w:highlight w:val="yellow"/>
        </w:rPr>
      </w:pPr>
      <w:r>
        <w:rPr>
          <w:rFonts w:hint="eastAsia" w:ascii="方正仿宋_GB2312" w:hAnsi="方正仿宋_GB2312" w:eastAsia="方正仿宋_GB2312" w:cs="方正仿宋_GB2312"/>
          <w:bCs/>
          <w:spacing w:val="-20"/>
          <w:sz w:val="28"/>
          <w:szCs w:val="28"/>
          <w:highlight w:val="yellow"/>
        </w:rPr>
      </w:r>
      <w:r/>
    </w:p>
    <w:p>
      <w:pPr>
        <w:pStyle w:val="673"/>
        <w:jc w:val="center"/>
        <w:spacing w:line="400" w:lineRule="exact"/>
        <w:rPr>
          <w:rFonts w:hint="eastAsia" w:ascii="方正仿宋_GB2312" w:hAnsi="方正仿宋_GB2312" w:eastAsia="方正仿宋_GB2312" w:cs="方正仿宋_GB2312"/>
          <w:spacing w:val="-20"/>
        </w:rPr>
      </w:pPr>
      <w:r>
        <w:rPr>
          <w:rFonts w:hint="eastAsia" w:ascii="方正仿宋_GB2312" w:hAnsi="方正仿宋_GB2312" w:eastAsia="方正仿宋_GB2312" w:cs="方正仿宋_GB2312"/>
          <w:spacing w:val="-20"/>
        </w:rPr>
        <w:t xml:space="preserve">江苏省政府采购合同（服务）（合同编号）</w:t>
      </w:r>
      <w:r/>
    </w:p>
    <w:p>
      <w:pPr>
        <w:ind w:left="0" w:right="0"/>
        <w:spacing w:before="120" w:after="120"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项目名称：XXXX                   </w:t>
      </w:r>
      <w:r/>
    </w:p>
    <w:p>
      <w:pPr>
        <w:ind w:left="0" w:right="0"/>
        <w:spacing w:before="120" w:after="120" w:line="400" w:lineRule="exact"/>
        <w:rPr>
          <w:rFonts w:hint="eastAsia" w:ascii="方正仿宋_GB2312" w:hAnsi="方正仿宋_GB2312" w:eastAsia="方正仿宋_GB2312" w:cs="方正仿宋_GB2312"/>
          <w:color w:val="ff0000"/>
          <w:sz w:val="28"/>
          <w:szCs w:val="28"/>
        </w:rPr>
      </w:pPr>
      <w:r>
        <w:rPr>
          <w:rFonts w:hint="eastAsia" w:ascii="方正仿宋_GB2312" w:hAnsi="方正仿宋_GB2312" w:eastAsia="方正仿宋_GB2312" w:cs="方正仿宋_GB2312"/>
          <w:color w:val="000000"/>
          <w:sz w:val="28"/>
          <w:szCs w:val="28"/>
        </w:rPr>
        <w:t xml:space="preserve">采购编号：JSZC-320000-SCZX-G20XX-XXXX             </w:t>
      </w:r>
      <w:r>
        <w:rPr>
          <w:rFonts w:hint="eastAsia" w:ascii="方正仿宋_GB2312" w:hAnsi="方正仿宋_GB2312" w:eastAsia="方正仿宋_GB2312" w:cs="方正仿宋_GB2312"/>
          <w:color w:val="ff0000"/>
          <w:sz w:val="28"/>
          <w:szCs w:val="28"/>
        </w:rPr>
        <w:t xml:space="preserve"> </w:t>
      </w:r>
      <w:r/>
    </w:p>
    <w:p>
      <w:pPr>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采购包号：</w:t>
      </w:r>
      <w:r>
        <w:rPr>
          <w:rFonts w:hint="eastAsia" w:ascii="方正仿宋_GB2312" w:hAnsi="方正仿宋_GB2312" w:eastAsia="方正仿宋_GB2312" w:cs="方正仿宋_GB2312"/>
          <w:color w:val="000000"/>
          <w:sz w:val="28"/>
          <w:szCs w:val="28"/>
        </w:rPr>
        <w:t xml:space="preserve">XX</w:t>
      </w:r>
      <w:r/>
    </w:p>
    <w:p>
      <w:pPr>
        <w:pStyle w:val="739"/>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甲方：（买方/采购人）_________</w:t>
      </w:r>
      <w:r/>
    </w:p>
    <w:p>
      <w:pPr>
        <w:pStyle w:val="739"/>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乙方：（卖方/中标供应商）_________</w:t>
      </w:r>
      <w:r/>
    </w:p>
    <w:p>
      <w:pPr>
        <w:pStyle w:val="739"/>
        <w:ind w:left="0" w:right="0"/>
        <w:spacing w:before="120" w:after="120"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t xml:space="preserve">甲、乙双方根据江苏省政府采购中心</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项目公开招标的结果，签署本合同。</w:t>
      </w:r>
      <w:r/>
    </w:p>
    <w:p>
      <w:pPr>
        <w:pStyle w:val="739"/>
        <w:ind w:left="0" w:right="0"/>
        <w:spacing w:before="120" w:after="120"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一、合同内容</w:t>
      </w:r>
      <w:r/>
    </w:p>
    <w:p>
      <w:pPr>
        <w:pStyle w:val="739"/>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1.1 标的名称：</w:t>
      </w:r>
      <w:r/>
    </w:p>
    <w:p>
      <w:pPr>
        <w:pStyle w:val="739"/>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1.2标的质量：</w:t>
      </w:r>
      <w:r/>
    </w:p>
    <w:p>
      <w:pPr>
        <w:pStyle w:val="739"/>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1.3 标的数量（规模）：</w:t>
      </w:r>
      <w:r/>
    </w:p>
    <w:p>
      <w:pPr>
        <w:pStyle w:val="739"/>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1.4 履行时间（期限）：</w:t>
      </w:r>
      <w:r/>
    </w:p>
    <w:p>
      <w:pPr>
        <w:pStyle w:val="739"/>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1.5 履行地点：</w:t>
      </w:r>
      <w:r/>
    </w:p>
    <w:p>
      <w:pPr>
        <w:pStyle w:val="739"/>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1.6 履行方式：</w:t>
      </w:r>
      <w:r/>
    </w:p>
    <w:p>
      <w:pPr>
        <w:pStyle w:val="739"/>
        <w:ind w:left="0" w:right="0"/>
        <w:spacing w:before="120" w:after="120"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二、合同金额</w:t>
      </w:r>
      <w:r/>
    </w:p>
    <w:p>
      <w:pPr>
        <w:pStyle w:val="739"/>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2.1 本合同金额为（大写）：________圆（________元）人民币或其他币种。</w:t>
      </w:r>
      <w:r/>
    </w:p>
    <w:p>
      <w:pPr>
        <w:pStyle w:val="739"/>
        <w:ind w:left="0" w:right="0"/>
        <w:spacing w:before="120" w:after="120"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三、技术资料</w:t>
      </w:r>
      <w:r/>
    </w:p>
    <w:p>
      <w:pPr>
        <w:pStyle w:val="739"/>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3.1乙方应按招标文件规定的时间向甲方提供服务（包含与服务相关的货物）的有关技术资料。</w:t>
      </w:r>
      <w:r/>
    </w:p>
    <w:p>
      <w:pPr>
        <w:pStyle w:val="739"/>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39"/>
        <w:ind w:left="0" w:right="0"/>
        <w:spacing w:before="120" w:after="120"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四、知识产权</w:t>
      </w:r>
      <w:r/>
    </w:p>
    <w:p>
      <w:pPr>
        <w:pStyle w:val="739"/>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39"/>
        <w:ind w:left="0" w:right="0"/>
        <w:spacing w:before="120" w:after="120"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五、产权担保</w:t>
      </w:r>
      <w:r/>
    </w:p>
    <w:p>
      <w:pPr>
        <w:pStyle w:val="739"/>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5.1 乙方保证所交付的服务（包含与服务相关的货物）的所有权完全属于乙方且无任何抵押、查封等产权瑕疵。</w:t>
      </w:r>
      <w:r/>
    </w:p>
    <w:p>
      <w:pPr>
        <w:pStyle w:val="739"/>
        <w:ind w:left="0" w:right="0"/>
        <w:spacing w:before="120" w:after="120"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六、履约保证金</w:t>
      </w:r>
      <w:r/>
    </w:p>
    <w:p>
      <w:pPr>
        <w:pStyle w:val="739"/>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6.1 乙方交纳人民币______元作为本合同的履约保证金。（不得超过合同金额的10%）</w:t>
      </w:r>
      <w:r/>
    </w:p>
    <w:p>
      <w:pPr>
        <w:pStyle w:val="739"/>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6.2合同履行结束后，甲方应及时退还交纳的履约保证金。</w:t>
      </w:r>
      <w:r/>
    </w:p>
    <w:p>
      <w:pPr>
        <w:pStyle w:val="739"/>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6.2.1履约保证金退还方式：</w:t>
      </w:r>
      <w:r>
        <w:rPr>
          <w:rFonts w:hint="eastAsia" w:ascii="方正仿宋_GB2312" w:hAnsi="方正仿宋_GB2312" w:eastAsia="方正仿宋_GB2312" w:cs="方正仿宋_GB2312"/>
          <w:color w:val="000000"/>
          <w:sz w:val="28"/>
          <w:szCs w:val="28"/>
        </w:rPr>
        <w:t xml:space="preserve">XXXX</w:t>
      </w:r>
      <w:r/>
    </w:p>
    <w:p>
      <w:pPr>
        <w:pStyle w:val="739"/>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6.2.2履约保证金退还时间：</w:t>
      </w:r>
      <w:r>
        <w:rPr>
          <w:rFonts w:hint="eastAsia" w:ascii="方正仿宋_GB2312" w:hAnsi="方正仿宋_GB2312" w:eastAsia="方正仿宋_GB2312" w:cs="方正仿宋_GB2312"/>
          <w:color w:val="000000"/>
          <w:sz w:val="28"/>
          <w:szCs w:val="28"/>
        </w:rPr>
        <w:t xml:space="preserve">XXXX</w:t>
      </w:r>
      <w:r/>
    </w:p>
    <w:p>
      <w:pPr>
        <w:pStyle w:val="739"/>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6.2.3履约保证金退还条件：</w:t>
      </w:r>
      <w:r>
        <w:rPr>
          <w:rFonts w:hint="eastAsia" w:ascii="方正仿宋_GB2312" w:hAnsi="方正仿宋_GB2312" w:eastAsia="方正仿宋_GB2312" w:cs="方正仿宋_GB2312"/>
          <w:color w:val="000000"/>
          <w:sz w:val="28"/>
          <w:szCs w:val="28"/>
        </w:rPr>
        <w:t xml:space="preserve">XXXX</w:t>
      </w:r>
      <w:r/>
    </w:p>
    <w:p>
      <w:pPr>
        <w:pStyle w:val="739"/>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6.2.4履约保证金不予退还的情形：</w:t>
      </w:r>
      <w:r>
        <w:rPr>
          <w:rFonts w:hint="eastAsia" w:ascii="方正仿宋_GB2312" w:hAnsi="方正仿宋_GB2312" w:eastAsia="方正仿宋_GB2312" w:cs="方正仿宋_GB2312"/>
          <w:color w:val="000000"/>
          <w:sz w:val="28"/>
          <w:szCs w:val="28"/>
        </w:rPr>
        <w:t xml:space="preserve">XXXX</w:t>
      </w:r>
      <w:r/>
    </w:p>
    <w:p>
      <w:pPr>
        <w:pStyle w:val="739"/>
        <w:ind w:left="0" w:right="0"/>
        <w:spacing w:before="120" w:after="120"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七、合同转包或分包</w:t>
      </w:r>
      <w:r/>
    </w:p>
    <w:p>
      <w:pPr>
        <w:pStyle w:val="739"/>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7.1乙方不得将合同标的转包给他人履行。</w:t>
      </w:r>
      <w:r/>
    </w:p>
    <w:p>
      <w:pPr>
        <w:pStyle w:val="739"/>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7.2乙方不得将合同标的分包给他人履行。</w:t>
      </w:r>
      <w:r/>
    </w:p>
    <w:p>
      <w:pPr>
        <w:pStyle w:val="739"/>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7.3乙方如有转包或未经甲方同意的分包行为，甲方有权解除合同。</w:t>
      </w:r>
      <w:r/>
    </w:p>
    <w:p>
      <w:pPr>
        <w:pStyle w:val="739"/>
        <w:ind w:left="0" w:right="0"/>
        <w:spacing w:before="120" w:after="120"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八、合同款项支付</w:t>
      </w:r>
      <w:r/>
    </w:p>
    <w:p>
      <w:pPr>
        <w:pStyle w:val="739"/>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8.1合同款项的支付方式及进度安排</w:t>
      </w:r>
      <w:r/>
    </w:p>
    <w:p>
      <w:pPr>
        <w:pStyle w:val="739"/>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8.1.1 预付款支付时间：合同签订后</w:t>
      </w:r>
      <w:r>
        <w:rPr>
          <w:rFonts w:hint="eastAsia" w:ascii="方正仿宋_GB2312" w:hAnsi="方正仿宋_GB2312" w:eastAsia="方正仿宋_GB2312" w:cs="方正仿宋_GB2312"/>
          <w:color w:val="000000"/>
          <w:sz w:val="28"/>
          <w:szCs w:val="28"/>
        </w:rPr>
        <w:t xml:space="preserve">XX</w:t>
      </w:r>
      <w:r>
        <w:rPr>
          <w:rFonts w:hint="eastAsia" w:ascii="方正仿宋_GB2312" w:hAnsi="方正仿宋_GB2312" w:eastAsia="方正仿宋_GB2312" w:cs="方正仿宋_GB2312"/>
          <w:sz w:val="28"/>
          <w:szCs w:val="28"/>
        </w:rPr>
        <w:t xml:space="preserve">工作日内，预付款支付比例：合同金额的30%。</w:t>
      </w:r>
      <w:r/>
    </w:p>
    <w:p>
      <w:pPr>
        <w:pStyle w:val="739"/>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8.1.2 尾款支付时间：采购人收到发票后10个工作日内，尾款支付比例：合同金额的70%。</w:t>
      </w:r>
      <w:r/>
    </w:p>
    <w:p>
      <w:pPr>
        <w:pStyle w:val="739"/>
        <w:ind w:left="0" w:right="0"/>
        <w:spacing w:before="120" w:after="120"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九、税费</w:t>
      </w:r>
      <w:r/>
    </w:p>
    <w:p>
      <w:pPr>
        <w:pStyle w:val="739"/>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9.1本合同执行中相关的一切税费均由乙方负担。</w:t>
      </w:r>
      <w:r/>
    </w:p>
    <w:p>
      <w:pPr>
        <w:pStyle w:val="739"/>
        <w:ind w:left="0" w:right="0"/>
        <w:spacing w:before="120" w:after="120"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十、项目验收</w:t>
      </w:r>
      <w:r/>
    </w:p>
    <w:p>
      <w:pPr>
        <w:pStyle w:val="739"/>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10.1 甲方依法组织履约验收工作。</w:t>
      </w:r>
      <w:r/>
    </w:p>
    <w:p>
      <w:pPr>
        <w:pStyle w:val="739"/>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39"/>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10.3 对于实际使用人和甲方分离的项目，甲方邀请实际使用人参与验收。</w:t>
      </w:r>
      <w:r/>
    </w:p>
    <w:p>
      <w:pPr>
        <w:pStyle w:val="739"/>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10.4 如有必要，甲方邀请参加本项目的其他供应商或第三方专业机构及专家参与验收，相关意见将作为验收书的参考资料。</w:t>
      </w:r>
      <w:r/>
    </w:p>
    <w:p>
      <w:pPr>
        <w:pStyle w:val="739"/>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39"/>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39"/>
        <w:ind w:left="0" w:right="0"/>
        <w:spacing w:before="120" w:after="120"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十一、违约责任</w:t>
      </w:r>
      <w:r/>
    </w:p>
    <w:p>
      <w:pPr>
        <w:pStyle w:val="739"/>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11.1 甲方无正当理由拒绝接受乙方提供服务的，甲方向乙方偿付拒绝接受服务合同价款总值</w:t>
      </w:r>
      <w:r>
        <w:rPr>
          <w:rFonts w:hint="eastAsia" w:ascii="方正仿宋_GB2312" w:hAnsi="方正仿宋_GB2312" w:eastAsia="方正仿宋_GB2312" w:cs="方正仿宋_GB2312"/>
          <w:color w:val="000000"/>
          <w:sz w:val="28"/>
          <w:szCs w:val="28"/>
          <w:u w:val="single"/>
        </w:rPr>
        <w:t xml:space="preserve">XX</w:t>
      </w:r>
      <w:r>
        <w:rPr>
          <w:rFonts w:hint="eastAsia" w:ascii="方正仿宋_GB2312" w:hAnsi="方正仿宋_GB2312" w:eastAsia="方正仿宋_GB2312" w:cs="方正仿宋_GB2312"/>
          <w:sz w:val="28"/>
          <w:szCs w:val="28"/>
          <w:u w:val="single"/>
        </w:rPr>
        <w:t xml:space="preserve">%</w:t>
      </w:r>
      <w:r>
        <w:rPr>
          <w:rFonts w:hint="eastAsia" w:ascii="方正仿宋_GB2312" w:hAnsi="方正仿宋_GB2312" w:eastAsia="方正仿宋_GB2312" w:cs="方正仿宋_GB2312"/>
          <w:sz w:val="28"/>
          <w:szCs w:val="28"/>
        </w:rPr>
        <w:t xml:space="preserve">的违约金。</w:t>
      </w:r>
      <w:r/>
    </w:p>
    <w:p>
      <w:pPr>
        <w:pStyle w:val="739"/>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11.2 甲方无故逾期验收和办理合同款项支付手续的,甲方应按逾期付款总额</w:t>
      </w:r>
      <w:r>
        <w:rPr>
          <w:rFonts w:hint="eastAsia" w:ascii="方正仿宋_GB2312" w:hAnsi="方正仿宋_GB2312" w:eastAsia="方正仿宋_GB2312" w:cs="方正仿宋_GB2312"/>
          <w:color w:val="000000"/>
          <w:sz w:val="28"/>
          <w:szCs w:val="28"/>
          <w:u w:val="single"/>
        </w:rPr>
        <w:t xml:space="preserve">XX</w:t>
      </w:r>
      <w:r>
        <w:rPr>
          <w:rFonts w:hint="eastAsia" w:ascii="方正仿宋_GB2312" w:hAnsi="方正仿宋_GB2312" w:eastAsia="方正仿宋_GB2312" w:cs="方正仿宋_GB2312"/>
          <w:sz w:val="28"/>
          <w:szCs w:val="28"/>
          <w:u w:val="single"/>
        </w:rPr>
        <w:t xml:space="preserve">%</w:t>
      </w:r>
      <w:r>
        <w:rPr>
          <w:rFonts w:hint="eastAsia" w:ascii="方正仿宋_GB2312" w:hAnsi="方正仿宋_GB2312" w:eastAsia="方正仿宋_GB2312" w:cs="方正仿宋_GB2312"/>
          <w:sz w:val="28"/>
          <w:szCs w:val="28"/>
        </w:rPr>
        <w:t xml:space="preserve">每日向乙方支付违约金。</w:t>
      </w:r>
      <w:r/>
    </w:p>
    <w:p>
      <w:pPr>
        <w:pStyle w:val="739"/>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方正仿宋_GB2312" w:hAnsi="方正仿宋_GB2312" w:eastAsia="方正仿宋_GB2312" w:cs="方正仿宋_GB2312"/>
          <w:color w:val="000000"/>
          <w:sz w:val="28"/>
          <w:szCs w:val="28"/>
          <w:u w:val="single"/>
        </w:rPr>
        <w:t xml:space="preserve">XX</w:t>
      </w:r>
      <w:r>
        <w:rPr>
          <w:rFonts w:hint="eastAsia" w:ascii="方正仿宋_GB2312" w:hAnsi="方正仿宋_GB2312" w:eastAsia="方正仿宋_GB2312" w:cs="方正仿宋_GB2312"/>
          <w:sz w:val="28"/>
          <w:szCs w:val="28"/>
          <w:u w:val="single"/>
        </w:rPr>
        <w:t xml:space="preserve">%</w:t>
      </w:r>
      <w:r>
        <w:rPr>
          <w:rFonts w:hint="eastAsia" w:ascii="方正仿宋_GB2312" w:hAnsi="方正仿宋_GB2312" w:eastAsia="方正仿宋_GB2312" w:cs="方正仿宋_GB2312"/>
          <w:sz w:val="28"/>
          <w:szCs w:val="28"/>
        </w:rPr>
        <w:t xml:space="preserve">的违约金，如造成甲方损失超过违约金的，超出部分由乙方继续承担赔偿责任。 </w:t>
      </w:r>
      <w:r/>
    </w:p>
    <w:p>
      <w:pPr>
        <w:pStyle w:val="739"/>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11.4 乙方所提供服务的标准不符合合同规定及招标文件规定标准的，甲方有权拒绝接受服务，并可单方面解除合同。</w:t>
      </w:r>
      <w:r/>
    </w:p>
    <w:p>
      <w:pPr>
        <w:pStyle w:val="739"/>
        <w:ind w:left="0" w:right="0"/>
        <w:spacing w:before="120" w:after="120"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十二、不可抗力事件处理</w:t>
      </w:r>
      <w:r/>
    </w:p>
    <w:p>
      <w:pPr>
        <w:pStyle w:val="739"/>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12.1 在合同有效期内，任何一方因不可抗力事件导致不能履行合同，则合同履行期可延长，其延长期与不可抗力影响 期相同。</w:t>
      </w:r>
      <w:r/>
    </w:p>
    <w:p>
      <w:pPr>
        <w:pStyle w:val="739"/>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12.2 不可抗力事件发生后，应立即通知对方，并寄送有关权威机构出具的证明。</w:t>
      </w:r>
      <w:r/>
    </w:p>
    <w:p>
      <w:pPr>
        <w:pStyle w:val="739"/>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12.3 不可抗力事件延续120天以上，双方应通过友好协商，确定是否继续履行合同。</w:t>
      </w:r>
      <w:r/>
    </w:p>
    <w:p>
      <w:pPr>
        <w:pStyle w:val="739"/>
        <w:ind w:left="0" w:right="0"/>
        <w:spacing w:before="120" w:after="120"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十三、解决争议的方法</w:t>
      </w:r>
      <w:r/>
    </w:p>
    <w:p>
      <w:pPr>
        <w:pStyle w:val="739"/>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13.1双方在签订、履行合同中所发生的一切争议，应通过友好协商解决。如协商不成，由甲方住所地人民法院管辖。</w:t>
      </w:r>
      <w:r/>
    </w:p>
    <w:p>
      <w:pPr>
        <w:pStyle w:val="739"/>
        <w:ind w:left="0" w:right="0"/>
        <w:spacing w:before="120" w:after="120"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十四、合同生效及其它</w:t>
      </w:r>
      <w:r/>
    </w:p>
    <w:p>
      <w:pPr>
        <w:pStyle w:val="739"/>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14.1 合同经双方法定代表人或授权委托代表人签字并加盖单位公章后生效。</w:t>
      </w:r>
      <w:r/>
    </w:p>
    <w:p>
      <w:pPr>
        <w:pStyle w:val="739"/>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14.2本合同未尽事宜，遵照中华人民共和国现行法律法规有关条文执行。</w:t>
      </w:r>
      <w:r/>
    </w:p>
    <w:p>
      <w:pPr>
        <w:pStyle w:val="739"/>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14.3 本合同正本一式两份，具有同等法律效力，甲方、乙方各执一份。</w:t>
      </w:r>
      <w:r/>
    </w:p>
    <w:p>
      <w:pPr>
        <w:pStyle w:val="739"/>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甲方：                        乙方： </w:t>
      </w:r>
      <w:r/>
    </w:p>
    <w:p>
      <w:pPr>
        <w:pStyle w:val="739"/>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地址：                        地址： </w:t>
      </w:r>
      <w:r/>
    </w:p>
    <w:p>
      <w:pPr>
        <w:pStyle w:val="739"/>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法定代表人或授权代表：        法定代表人或授权代表：</w:t>
      </w:r>
      <w:r/>
    </w:p>
    <w:p>
      <w:pPr>
        <w:pStyle w:val="739"/>
        <w:ind w:left="0" w:right="0"/>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联系电话：                    联系电话：          </w:t>
      </w:r>
      <w:r/>
    </w:p>
    <w:p>
      <w:pPr>
        <w:pStyle w:val="739"/>
        <w:jc w:val="center"/>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                                         </w:t>
      </w:r>
      <w:r/>
    </w:p>
    <w:p>
      <w:pPr>
        <w:pStyle w:val="739"/>
        <w:jc w:val="right"/>
        <w:spacing w:before="120" w:after="12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 </w:t>
      </w:r>
      <w:r/>
    </w:p>
    <w:p>
      <w:pPr>
        <w:pStyle w:val="739"/>
        <w:jc w:val="center"/>
        <w:spacing w:before="120" w:after="120"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sz w:val="28"/>
          <w:szCs w:val="28"/>
        </w:rPr>
        <w:t xml:space="preserve">签订日期：</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年</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月</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日</w:t>
      </w:r>
      <w:r>
        <w:rPr>
          <w:rFonts w:hint="eastAsia" w:ascii="方正仿宋_GB2312" w:hAnsi="方正仿宋_GB2312" w:eastAsia="方正仿宋_GB2312" w:cs="方正仿宋_GB2312"/>
        </w:rPr>
        <w:br w:type="page" w:clear="all"/>
      </w:r>
      <w:r/>
    </w:p>
    <w:p>
      <w:pPr>
        <w:pStyle w:val="739"/>
        <w:jc w:val="center"/>
        <w:spacing w:before="120" w:after="120" w:line="400" w:lineRule="exact"/>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color w:val="000000"/>
          <w:sz w:val="28"/>
          <w:szCs w:val="28"/>
        </w:rPr>
        <w:t xml:space="preserve">第四章 采购需求</w:t>
      </w:r>
      <w:r/>
    </w:p>
    <w:p>
      <w:pPr>
        <w:pStyle w:val="739"/>
        <w:ind w:left="0" w:right="0"/>
        <w:spacing w:before="120" w:after="120"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一、采购标的清单</w:t>
      </w:r>
      <w:r/>
    </w:p>
    <w:tbl>
      <w:tblPr>
        <w:tblStyle w:val="668"/>
        <w:tblW w:w="7717" w:type="dxa"/>
        <w:jc w:val="center"/>
        <w:tblLayout w:type="fixed"/>
        <w:tblCellMar>
          <w:left w:w="108" w:type="dxa"/>
          <w:top w:w="0" w:type="dxa"/>
          <w:right w:w="108" w:type="dxa"/>
          <w:bottom w:w="0" w:type="dxa"/>
        </w:tblCellMar>
        <w:tblLook w:val="04A0" w:firstRow="1" w:lastRow="0" w:firstColumn="1" w:lastColumn="0" w:noHBand="0" w:noVBand="1"/>
      </w:tblPr>
      <w:tblGrid>
        <w:gridCol w:w="790"/>
        <w:gridCol w:w="1108"/>
        <w:gridCol w:w="3311"/>
        <w:gridCol w:w="2508"/>
      </w:tblGrid>
      <w:tr>
        <w:trPr>
          <w:cantSplit/>
          <w:jc w:val="center"/>
          <w:trHeight w:val="701"/>
        </w:trPr>
        <w:tc>
          <w:tcPr>
            <w:tcBorders>
              <w:top w:val="single" w:color="000000" w:sz="4" w:space="0"/>
              <w:left w:val="single" w:color="000000" w:sz="4" w:space="0"/>
              <w:bottom w:val="single" w:color="000000" w:sz="4" w:space="0"/>
              <w:right w:val="single" w:color="000000" w:sz="4" w:space="0"/>
            </w:tcBorders>
            <w:tcW w:w="790"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采购</w:t>
            </w:r>
            <w:r/>
          </w:p>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包号</w:t>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3311"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采购标的</w:t>
            </w:r>
            <w:r/>
          </w:p>
        </w:tc>
        <w:tc>
          <w:tcPr>
            <w:tcBorders>
              <w:top w:val="single" w:color="000000" w:sz="4" w:space="0"/>
              <w:left w:val="single" w:color="000000" w:sz="4" w:space="0"/>
              <w:bottom w:val="single" w:color="000000" w:sz="4" w:space="0"/>
              <w:right w:val="single" w:color="000000" w:sz="4" w:space="0"/>
            </w:tcBorders>
            <w:tcW w:w="2508"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对应中小企业划分标准所属行业</w:t>
            </w:r>
            <w:r/>
          </w:p>
        </w:tc>
      </w:tr>
      <w:tr>
        <w:trPr>
          <w:cantSplit/>
          <w:jc w:val="center"/>
          <w:trHeight w:val="291"/>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w:t>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w:t>
            </w:r>
            <w:r/>
          </w:p>
        </w:tc>
        <w:tc>
          <w:tcPr>
            <w:tcBorders>
              <w:top w:val="single" w:color="000000" w:sz="4" w:space="0"/>
              <w:left w:val="single" w:color="000000" w:sz="4" w:space="0"/>
              <w:bottom w:val="single" w:color="000000" w:sz="4" w:space="0"/>
              <w:right w:val="single" w:color="000000" w:sz="4" w:space="0"/>
            </w:tcBorders>
            <w:tcW w:w="3311" w:type="dxa"/>
            <w:textDirection w:val="lrTb"/>
            <w:noWrap w:val="false"/>
          </w:tcPr>
          <w:p>
            <w:pPr>
              <w:jc w:val="center"/>
              <w:spacing w:line="400" w:lineRule="exact"/>
              <w:tabs>
                <w:tab w:val="left" w:pos="2020" w:leader="none"/>
              </w:tabs>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传染病预测和风险评估预警应用平台</w:t>
            </w:r>
            <w:r/>
          </w:p>
        </w:tc>
        <w:tc>
          <w:tcPr>
            <w:tcBorders>
              <w:top w:val="single" w:color="000000" w:sz="4" w:space="0"/>
              <w:left w:val="single" w:color="000000" w:sz="4" w:space="0"/>
              <w:bottom w:val="single" w:color="000000" w:sz="4" w:space="0"/>
              <w:right w:val="single" w:color="000000" w:sz="4" w:space="0"/>
            </w:tcBorders>
            <w:tcW w:w="2508" w:type="dxa"/>
            <w:textDirection w:val="lrTb"/>
            <w:noWrap w:val="false"/>
          </w:tcPr>
          <w:p>
            <w:pPr>
              <w:jc w:val="center"/>
              <w:spacing w:line="400" w:lineRule="exact"/>
              <w:tabs>
                <w:tab w:val="left" w:pos="2020" w:leader="none"/>
              </w:tabs>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sz w:val="28"/>
                <w:szCs w:val="28"/>
              </w:rPr>
              <w:t xml:space="preserve">软件与信息技术服务业</w:t>
            </w:r>
            <w:r/>
          </w:p>
        </w:tc>
      </w:tr>
    </w:tbl>
    <w:p>
      <w:pPr>
        <w:pStyle w:val="739"/>
        <w:ind w:left="0" w:right="0"/>
        <w:spacing w:before="120" w:after="120"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二、政府采购中实施本国产品标准及相关政策</w:t>
      </w:r>
      <w:r/>
    </w:p>
    <w:p>
      <w:pPr>
        <w:ind w:left="0" w:right="0"/>
        <w:jc w:val="left"/>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left="0" w:right="0"/>
        <w:jc w:val="left"/>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jc w:val="left"/>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39"/>
        <w:ind w:left="0" w:right="0"/>
        <w:spacing w:before="120" w:after="120"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三、技术要求</w:t>
      </w:r>
      <w:r/>
    </w:p>
    <w:p>
      <w:pPr>
        <w:numPr>
          <w:ilvl w:val="0"/>
          <w:numId w:val="0"/>
        </w:numPr>
        <w:spacing w:line="360" w:lineRule="auto"/>
        <w:rPr>
          <w:rFonts w:hint="eastAsia" w:ascii="方正仿宋_GB2312" w:hAnsi="方正仿宋_GB2312" w:eastAsia="方正仿宋_GB2312" w:cs="方正仿宋_GB2312"/>
          <w:b/>
          <w:bCs/>
          <w:sz w:val="28"/>
          <w:szCs w:val="28"/>
        </w:rPr>
        <w:outlineLvl w:val="1"/>
      </w:pPr>
      <w:r>
        <w:rPr>
          <w:rFonts w:hint="eastAsia" w:ascii="方正仿宋_GB2312" w:hAnsi="方正仿宋_GB2312" w:eastAsia="方正仿宋_GB2312" w:cs="方正仿宋_GB2312"/>
          <w:b/>
          <w:bCs/>
          <w:sz w:val="28"/>
          <w:szCs w:val="28"/>
        </w:rPr>
        <w:t xml:space="preserve">（一）、采购需求</w:t>
      </w:r>
      <w:r/>
    </w:p>
    <w:p>
      <w:pPr>
        <w:numPr>
          <w:ilvl w:val="0"/>
          <w:numId w:val="0"/>
        </w:numPr>
        <w:spacing w:line="360" w:lineRule="auto"/>
        <w:rPr>
          <w:rFonts w:hint="eastAsia" w:ascii="方正仿宋_GB2312" w:hAnsi="方正仿宋_GB2312" w:eastAsia="方正仿宋_GB2312" w:cs="方正仿宋_GB2312"/>
          <w:bCs/>
          <w:sz w:val="28"/>
          <w:szCs w:val="28"/>
          <w:highlight w:val="yellow"/>
        </w:rPr>
        <w:outlineLvl w:val="2"/>
      </w:pPr>
      <w:r>
        <w:rPr>
          <w:rFonts w:hint="eastAsia" w:ascii="方正仿宋_GB2312" w:hAnsi="方正仿宋_GB2312" w:eastAsia="方正仿宋_GB2312" w:cs="方正仿宋_GB2312"/>
          <w:b/>
          <w:bCs/>
          <w:sz w:val="28"/>
          <w:szCs w:val="28"/>
        </w:rPr>
        <w:t xml:space="preserve">1.1项目概述</w:t>
      </w:r>
      <w:r/>
    </w:p>
    <w:p>
      <w:pPr>
        <w:ind w:right="0" w:firstLine="480"/>
        <w:spacing w:line="360" w:lineRule="auto"/>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本项目建设传染病预测和风险评估预警应用平台，面向省、市疾控部门，利用融合模型，实现新冠、流感等传染病单毒株与双毒株流行趋势预测，输出达峰时间、达峰强度等关键指标，并生成风险评估报告与预警信号。</w:t>
      </w:r>
      <w:r/>
    </w:p>
    <w:p>
      <w:pPr>
        <w:numPr>
          <w:ilvl w:val="0"/>
          <w:numId w:val="0"/>
        </w:numPr>
        <w:spacing w:line="360" w:lineRule="auto"/>
        <w:rPr>
          <w:rFonts w:hint="eastAsia" w:ascii="方正仿宋_GB2312" w:hAnsi="方正仿宋_GB2312" w:eastAsia="方正仿宋_GB2312" w:cs="方正仿宋_GB2312"/>
          <w:b/>
          <w:bCs/>
          <w:color w:val="000000"/>
          <w:sz w:val="28"/>
          <w:szCs w:val="28"/>
        </w:rPr>
        <w:outlineLvl w:val="2"/>
      </w:pPr>
      <w:r>
        <w:rPr>
          <w:rFonts w:hint="eastAsia" w:ascii="方正仿宋_GB2312" w:hAnsi="方正仿宋_GB2312" w:eastAsia="方正仿宋_GB2312" w:cs="方正仿宋_GB2312"/>
          <w:b/>
          <w:bCs/>
          <w:sz w:val="28"/>
          <w:szCs w:val="28"/>
        </w:rPr>
        <w:t xml:space="preserve">1</w:t>
      </w:r>
      <w:r>
        <w:rPr>
          <w:rFonts w:hint="eastAsia" w:ascii="方正仿宋_GB2312" w:hAnsi="方正仿宋_GB2312" w:eastAsia="方正仿宋_GB2312" w:cs="方正仿宋_GB2312"/>
          <w:b/>
          <w:bCs/>
          <w:color w:val="000000"/>
          <w:sz w:val="28"/>
          <w:szCs w:val="28"/>
        </w:rPr>
        <w:t xml:space="preserve">.2项目建设目标</w:t>
      </w:r>
      <w:r/>
    </w:p>
    <w:p>
      <w:pPr>
        <w:ind w:right="0" w:firstLine="480"/>
        <w:spacing w:line="360" w:lineRule="auto"/>
        <w:rPr>
          <w:rFonts w:hint="eastAsia" w:ascii="方正仿宋_GB2312" w:hAnsi="方正仿宋_GB2312" w:eastAsia="方正仿宋_GB2312" w:cs="方正仿宋_GB2312"/>
          <w:i/>
          <w:iCs/>
          <w:sz w:val="28"/>
          <w:szCs w:val="28"/>
          <w:u w:val="single"/>
        </w:rPr>
      </w:pPr>
      <w:r>
        <w:rPr>
          <w:rFonts w:hint="eastAsia" w:ascii="方正仿宋_GB2312" w:hAnsi="方正仿宋_GB2312" w:eastAsia="方正仿宋_GB2312" w:cs="方正仿宋_GB2312"/>
          <w:i/>
          <w:iCs/>
          <w:sz w:val="28"/>
          <w:szCs w:val="28"/>
          <w:u w:val="single"/>
        </w:rPr>
        <w:t xml:space="preserve">建成传染病预测和风险评估预警应用平台，覆盖系统管理、首页、预测评估、评估记录、模型服务、风险报告等功能，并完成国产化适配。</w:t>
      </w:r>
      <w:r/>
    </w:p>
    <w:p>
      <w:pPr>
        <w:numPr>
          <w:ilvl w:val="0"/>
          <w:numId w:val="0"/>
        </w:numPr>
        <w:spacing w:line="360" w:lineRule="auto"/>
        <w:rPr>
          <w:rFonts w:hint="eastAsia" w:ascii="方正仿宋_GB2312" w:hAnsi="方正仿宋_GB2312" w:eastAsia="方正仿宋_GB2312" w:cs="方正仿宋_GB2312"/>
          <w:b/>
          <w:bCs/>
          <w:sz w:val="28"/>
          <w:szCs w:val="28"/>
        </w:rPr>
        <w:outlineLvl w:val="2"/>
      </w:pPr>
      <w:r>
        <w:rPr>
          <w:rFonts w:hint="eastAsia" w:ascii="方正仿宋_GB2312" w:hAnsi="方正仿宋_GB2312" w:eastAsia="方正仿宋_GB2312" w:cs="方正仿宋_GB2312"/>
          <w:b/>
          <w:bCs/>
          <w:sz w:val="28"/>
          <w:szCs w:val="28"/>
        </w:rPr>
        <w:t xml:space="preserve">1.3项目需求</w:t>
      </w:r>
      <w:r/>
    </w:p>
    <w:p>
      <w:pPr>
        <w:ind w:right="0" w:firstLine="480"/>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1.国产化要求：供应商提供系统必须满足在国产化环境部署要求，同时应提供系统部署所需硬件和软件基础环境的配置推荐要求（包括：国产服务器、国产操作系统、国产数据库和中间件等）。</w:t>
      </w:r>
      <w:r/>
    </w:p>
    <w:p>
      <w:pPr>
        <w:ind w:right="0" w:firstLine="480"/>
        <w:spacing w:line="360" w:lineRule="auto"/>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sz w:val="28"/>
          <w:szCs w:val="28"/>
        </w:rPr>
        <w:t xml:space="preserve">2.功能要求：全面覆盖本项目功能清单所列功能，重点实现新冠、流感单毒株预测和新冠、流感双毒株预测，以及风险评估与预警报告生成。</w:t>
      </w:r>
      <w:r/>
    </w:p>
    <w:p>
      <w:pPr>
        <w:numPr>
          <w:ilvl w:val="0"/>
          <w:numId w:val="0"/>
        </w:numPr>
        <w:spacing w:line="360" w:lineRule="auto"/>
        <w:rPr>
          <w:rFonts w:hint="eastAsia" w:ascii="方正仿宋_GB2312" w:hAnsi="方正仿宋_GB2312" w:eastAsia="方正仿宋_GB2312" w:cs="方正仿宋_GB2312"/>
          <w:b/>
          <w:bCs/>
          <w:sz w:val="28"/>
          <w:szCs w:val="28"/>
        </w:rPr>
        <w:outlineLvl w:val="1"/>
      </w:pPr>
      <w:r>
        <w:rPr>
          <w:rFonts w:hint="eastAsia" w:ascii="方正仿宋_GB2312" w:hAnsi="方正仿宋_GB2312" w:eastAsia="方正仿宋_GB2312" w:cs="方正仿宋_GB2312"/>
          <w:b/>
          <w:bCs/>
          <w:sz w:val="28"/>
          <w:szCs w:val="28"/>
        </w:rPr>
        <w:t xml:space="preserve">（二）、采购内容</w:t>
      </w:r>
      <w:r/>
    </w:p>
    <w:p>
      <w:pPr>
        <w:numPr>
          <w:ilvl w:val="0"/>
          <w:numId w:val="0"/>
        </w:numPr>
        <w:spacing w:line="360" w:lineRule="auto"/>
        <w:rPr>
          <w:rFonts w:hint="eastAsia" w:ascii="方正仿宋_GB2312" w:hAnsi="方正仿宋_GB2312" w:eastAsia="方正仿宋_GB2312" w:cs="方正仿宋_GB2312"/>
          <w:bCs/>
          <w:sz w:val="28"/>
          <w:szCs w:val="28"/>
        </w:rPr>
        <w:outlineLvl w:val="2"/>
      </w:pPr>
      <w:r>
        <w:rPr>
          <w:rFonts w:hint="eastAsia" w:ascii="方正仿宋_GB2312" w:hAnsi="方正仿宋_GB2312" w:eastAsia="方正仿宋_GB2312" w:cs="方正仿宋_GB2312"/>
          <w:b/>
          <w:bCs/>
          <w:sz w:val="28"/>
          <w:szCs w:val="28"/>
        </w:rPr>
        <w:t xml:space="preserve">2.1系统功能</w:t>
      </w:r>
      <w:r/>
    </w:p>
    <w:p>
      <w:pPr>
        <w:ind w:right="0" w:firstLine="480"/>
        <w:spacing w:line="360" w:lineRule="auto"/>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传染病预测和风险评估预警应用平台功能需求如下：</w:t>
      </w:r>
      <w:r/>
    </w:p>
    <w:tbl>
      <w:tblPr>
        <w:tblStyle w:val="668"/>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854"/>
        <w:gridCol w:w="1600"/>
        <w:gridCol w:w="2930"/>
        <w:gridCol w:w="3785"/>
      </w:tblGrid>
      <w:tr>
        <w:trPr>
          <w:trHeight w:val="799"/>
        </w:trPr>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color w:val="000000"/>
                <w:sz w:val="24"/>
                <w:szCs w:val="24"/>
              </w:rPr>
              <w:t xml:space="preserve">序号</w:t>
            </w:r>
            <w:r/>
          </w:p>
        </w:tc>
        <w:tc>
          <w:tcPr>
            <w:shd w:val="clear" w:color="auto" w:fill="ffffff"/>
            <w:tcBorders>
              <w:top w:val="single" w:color="000000" w:sz="4" w:space="0"/>
              <w:bottom w:val="single" w:color="000000" w:sz="4" w:space="0"/>
              <w:right w:val="single" w:color="000000" w:sz="4" w:space="0"/>
            </w:tcBorders>
            <w:tcW w:w="1562" w:type="dxa"/>
            <w:vAlign w:val="center"/>
            <w:textDirection w:val="lrTb"/>
            <w:noWrap w:val="false"/>
          </w:tcPr>
          <w:p>
            <w:pPr>
              <w:jc w:val="center"/>
              <w:widowControl/>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color w:val="000000"/>
                <w:sz w:val="24"/>
                <w:szCs w:val="24"/>
              </w:rPr>
              <w:t xml:space="preserve">模块分类</w:t>
            </w:r>
            <w:r/>
          </w:p>
        </w:tc>
        <w:tc>
          <w:tcPr>
            <w:shd w:val="clear" w:color="auto" w:fill="ffffff"/>
            <w:tcBorders>
              <w:top w:val="single" w:color="000000" w:sz="4" w:space="0"/>
              <w:bottom w:val="single" w:color="000000" w:sz="4" w:space="0"/>
              <w:right w:val="single" w:color="000000" w:sz="4" w:space="0"/>
            </w:tcBorders>
            <w:tcW w:w="2861" w:type="dxa"/>
            <w:vAlign w:val="center"/>
            <w:textDirection w:val="lrTb"/>
            <w:noWrap w:val="false"/>
          </w:tcPr>
          <w:p>
            <w:pPr>
              <w:jc w:val="center"/>
              <w:widowControl/>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color w:val="000000"/>
                <w:sz w:val="24"/>
                <w:szCs w:val="24"/>
              </w:rPr>
              <w:t xml:space="preserve">一级功能</w:t>
            </w:r>
            <w:r/>
          </w:p>
        </w:tc>
        <w:tc>
          <w:tcPr>
            <w:shd w:val="clear" w:color="auto" w:fill="ffffff"/>
            <w:tcBorders>
              <w:top w:val="single" w:color="000000" w:sz="4" w:space="0"/>
              <w:bottom w:val="single" w:color="000000" w:sz="4" w:space="0"/>
              <w:right w:val="single" w:color="000000" w:sz="4" w:space="0"/>
            </w:tcBorders>
            <w:tcW w:w="3696" w:type="dxa"/>
            <w:vAlign w:val="center"/>
            <w:textDirection w:val="lrTb"/>
            <w:noWrap w:val="false"/>
          </w:tcPr>
          <w:p>
            <w:pPr>
              <w:jc w:val="center"/>
              <w:widowControl/>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color w:val="000000"/>
                <w:sz w:val="24"/>
                <w:szCs w:val="24"/>
              </w:rPr>
              <w:t xml:space="preserve">二级功能</w:t>
            </w:r>
            <w:r/>
          </w:p>
        </w:tc>
      </w:tr>
      <w:tr>
        <w:trPr>
          <w:trHeight w:val="66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w:t>
            </w:r>
            <w:r/>
          </w:p>
        </w:tc>
        <w:tc>
          <w:tcPr>
            <w:tcBorders>
              <w:left w:val="single" w:color="000000" w:sz="4" w:space="0"/>
              <w:bottom w:val="single" w:color="000000" w:sz="4" w:space="0"/>
              <w:right w:val="single" w:color="000000" w:sz="4" w:space="0"/>
            </w:tcBorders>
            <w:tcW w:w="1562" w:type="dxa"/>
            <w:vAlign w:val="center"/>
            <w:vMerge w:val="restart"/>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系统管理</w:t>
            </w:r>
            <w:r/>
          </w:p>
        </w:tc>
        <w:tc>
          <w:tcPr>
            <w:tcBorders>
              <w:left w:val="single" w:color="000000" w:sz="4" w:space="0"/>
              <w:bottom w:val="single" w:color="000000" w:sz="4" w:space="0"/>
              <w:right w:val="single" w:color="000000" w:sz="4" w:space="0"/>
            </w:tcBorders>
            <w:tcW w:w="2861" w:type="dxa"/>
            <w:vAlign w:val="center"/>
            <w:vMerge w:val="restart"/>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用户管理</w:t>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用户信息表（数据库）</w:t>
            </w:r>
            <w:r/>
          </w:p>
        </w:tc>
      </w:tr>
      <w:tr>
        <w:trPr>
          <w:trHeight w:val="1159"/>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对接“获取用户信息，以及角色和权限信息”接口</w:t>
            </w:r>
            <w:r/>
          </w:p>
        </w:tc>
      </w:tr>
      <w:tr>
        <w:trPr>
          <w:trHeight w:val="66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查询用户列表</w:t>
            </w:r>
            <w:r/>
          </w:p>
        </w:tc>
      </w:tr>
      <w:tr>
        <w:trPr>
          <w:trHeight w:val="108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4</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查看用户详情</w:t>
            </w:r>
            <w:r/>
          </w:p>
        </w:tc>
      </w:tr>
      <w:tr>
        <w:trPr>
          <w:trHeight w:val="799"/>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5</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导出用户列表</w:t>
            </w:r>
            <w:r/>
          </w:p>
        </w:tc>
      </w:tr>
      <w:tr>
        <w:trPr>
          <w:trHeight w:val="619"/>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6</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restart"/>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机构管理</w:t>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对接“查询应用所关联的机构信息”接口</w:t>
            </w:r>
            <w:r/>
          </w:p>
        </w:tc>
      </w:tr>
      <w:tr>
        <w:trPr>
          <w:trHeight w:val="642"/>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7</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查询机构列表</w:t>
            </w:r>
            <w:r/>
          </w:p>
        </w:tc>
      </w:tr>
      <w:tr>
        <w:trPr>
          <w:trHeight w:val="66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8</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查看机构详情</w:t>
            </w:r>
            <w:r/>
          </w:p>
        </w:tc>
      </w:tr>
      <w:tr>
        <w:trPr>
          <w:trHeight w:val="882"/>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9</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restart"/>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角色管理</w:t>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对接“获取用户应用的角色”</w:t>
            </w:r>
            <w:r/>
          </w:p>
        </w:tc>
      </w:tr>
      <w:tr>
        <w:trPr>
          <w:trHeight w:val="66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10</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查询角色列表</w:t>
            </w:r>
            <w:r/>
          </w:p>
        </w:tc>
      </w:tr>
      <w:tr>
        <w:trPr>
          <w:trHeight w:val="54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11</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查看角色详情</w:t>
            </w:r>
            <w:r/>
          </w:p>
        </w:tc>
      </w:tr>
      <w:tr>
        <w:trPr>
          <w:trHeight w:val="54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12</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restart"/>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登录日志管理</w:t>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登录日志表</w:t>
            </w:r>
            <w:r/>
          </w:p>
        </w:tc>
      </w:tr>
      <w:tr>
        <w:trPr>
          <w:trHeight w:val="66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13</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自动记录登录信息</w:t>
            </w:r>
            <w:r/>
          </w:p>
        </w:tc>
      </w:tr>
      <w:tr>
        <w:trPr>
          <w:trHeight w:val="60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14</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查询登录日志列表</w:t>
            </w:r>
            <w:r/>
          </w:p>
        </w:tc>
      </w:tr>
      <w:tr>
        <w:trPr>
          <w:trHeight w:val="60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15</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restart"/>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水印管理</w:t>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水印配置表</w:t>
            </w:r>
            <w:r/>
          </w:p>
        </w:tc>
      </w:tr>
      <w:tr>
        <w:trPr>
          <w:trHeight w:val="642"/>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16</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水印内容设置</w:t>
            </w:r>
            <w:r/>
          </w:p>
        </w:tc>
      </w:tr>
      <w:tr>
        <w:trPr>
          <w:trHeight w:val="54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17</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水印启用/禁用</w:t>
            </w:r>
            <w:r/>
          </w:p>
        </w:tc>
      </w:tr>
      <w:tr>
        <w:trPr>
          <w:trHeight w:val="1219"/>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18</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2861"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登录</w:t>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统一身份验证对接</w:t>
            </w:r>
            <w:r/>
          </w:p>
        </w:tc>
      </w:tr>
      <w:tr>
        <w:trPr>
          <w:trHeight w:val="54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19</w:t>
            </w:r>
            <w:r/>
          </w:p>
        </w:tc>
        <w:tc>
          <w:tcPr>
            <w:tcBorders>
              <w:left w:val="single" w:color="000000" w:sz="4" w:space="0"/>
              <w:bottom w:val="single" w:color="000000" w:sz="4" w:space="0"/>
              <w:right w:val="single" w:color="000000" w:sz="4" w:space="0"/>
            </w:tcBorders>
            <w:tcW w:w="1562" w:type="dxa"/>
            <w:vAlign w:val="center"/>
            <w:vMerge w:val="restart"/>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首页</w:t>
            </w:r>
            <w:r/>
          </w:p>
        </w:tc>
        <w:tc>
          <w:tcPr>
            <w:tcBorders>
              <w:left w:val="single" w:color="000000" w:sz="4" w:space="0"/>
              <w:bottom w:val="single" w:color="000000" w:sz="4" w:space="0"/>
              <w:right w:val="single" w:color="000000" w:sz="4" w:space="0"/>
            </w:tcBorders>
            <w:tcW w:w="2861" w:type="dxa"/>
            <w:vAlign w:val="center"/>
            <w:vMerge w:val="restart"/>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首页</w:t>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模型使用统计</w:t>
            </w:r>
            <w:r/>
          </w:p>
        </w:tc>
      </w:tr>
      <w:tr>
        <w:trPr>
          <w:trHeight w:val="54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20</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毒株流行数量统计</w:t>
            </w:r>
            <w:r/>
          </w:p>
        </w:tc>
      </w:tr>
      <w:tr>
        <w:trPr>
          <w:trHeight w:val="919"/>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21</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预测动态</w:t>
            </w:r>
            <w:r/>
          </w:p>
        </w:tc>
      </w:tr>
      <w:tr>
        <w:trPr>
          <w:trHeight w:val="919"/>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22</w:t>
            </w:r>
            <w:r/>
          </w:p>
        </w:tc>
        <w:tc>
          <w:tcPr>
            <w:tcBorders>
              <w:left w:val="single" w:color="000000" w:sz="4" w:space="0"/>
              <w:bottom w:val="single" w:color="000000" w:sz="4" w:space="0"/>
              <w:right w:val="single" w:color="000000" w:sz="4" w:space="0"/>
            </w:tcBorders>
            <w:tcW w:w="1562" w:type="dxa"/>
            <w:vAlign w:val="center"/>
            <w:vMerge w:val="restart"/>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预测评估</w:t>
            </w:r>
            <w:r/>
          </w:p>
        </w:tc>
        <w:tc>
          <w:tcPr>
            <w:tcBorders>
              <w:left w:val="single" w:color="000000" w:sz="4" w:space="0"/>
              <w:bottom w:val="single" w:color="000000" w:sz="4" w:space="0"/>
              <w:right w:val="single" w:color="000000" w:sz="4" w:space="0"/>
            </w:tcBorders>
            <w:tcW w:w="2861" w:type="dxa"/>
            <w:vAlign w:val="center"/>
            <w:vMerge w:val="restart"/>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数据管理</w:t>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附件管理信息表（数据库）</w:t>
            </w:r>
            <w:r/>
          </w:p>
        </w:tc>
      </w:tr>
      <w:tr>
        <w:trPr>
          <w:trHeight w:val="919"/>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23</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模板下载</w:t>
            </w:r>
            <w:r/>
          </w:p>
        </w:tc>
      </w:tr>
      <w:tr>
        <w:trPr>
          <w:trHeight w:val="919"/>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24</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预测数据上传</w:t>
            </w:r>
            <w:r/>
          </w:p>
        </w:tc>
      </w:tr>
      <w:tr>
        <w:trPr>
          <w:trHeight w:val="919"/>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25</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restart"/>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单毒株预测</w:t>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基于模型的单毒株传播趋势预测功能</w:t>
            </w:r>
            <w:r/>
          </w:p>
        </w:tc>
      </w:tr>
      <w:tr>
        <w:trPr>
          <w:trHeight w:val="84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26</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基于模型的单毒株传播趋势预测功能</w:t>
            </w:r>
            <w:r/>
          </w:p>
        </w:tc>
      </w:tr>
      <w:tr>
        <w:trPr>
          <w:trHeight w:val="642"/>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27</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基于模型的单毒株传播趋势预测功能</w:t>
            </w:r>
            <w:r/>
          </w:p>
        </w:tc>
      </w:tr>
      <w:tr>
        <w:trPr>
          <w:trHeight w:val="114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28</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基于模型结果融合预测单毒株传播趋势功能</w:t>
            </w:r>
            <w:r/>
          </w:p>
        </w:tc>
      </w:tr>
      <w:tr>
        <w:trPr>
          <w:trHeight w:val="54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29</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restart"/>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多毒株预测</w:t>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基于模型的多病毒传播趋势预测功能</w:t>
            </w:r>
            <w:r/>
          </w:p>
        </w:tc>
      </w:tr>
      <w:tr>
        <w:trPr>
          <w:trHeight w:val="54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30</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基于模型的多病毒传播趋势预测功能</w:t>
            </w:r>
            <w:r/>
          </w:p>
        </w:tc>
      </w:tr>
      <w:tr>
        <w:trPr>
          <w:trHeight w:val="54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31</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基于模型的多病毒传播趋势预测功能</w:t>
            </w:r>
            <w:r/>
          </w:p>
        </w:tc>
      </w:tr>
      <w:tr>
        <w:trPr>
          <w:trHeight w:val="739"/>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32</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基于模型结果融合预测多病毒传播趋势功能</w:t>
            </w:r>
            <w:r/>
          </w:p>
        </w:tc>
      </w:tr>
      <w:tr>
        <w:trPr>
          <w:trHeight w:val="54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33</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restart"/>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流感预测</w:t>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基于模型的流感传播趋势测功能</w:t>
            </w:r>
            <w:r/>
          </w:p>
        </w:tc>
      </w:tr>
      <w:tr>
        <w:trPr>
          <w:trHeight w:val="54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34</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基于模型的流感传播趋势预测功能</w:t>
            </w:r>
            <w:r/>
          </w:p>
        </w:tc>
      </w:tr>
      <w:tr>
        <w:trPr>
          <w:trHeight w:val="54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35</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基于模型的流感传播趋势预测功能</w:t>
            </w:r>
            <w:r/>
          </w:p>
        </w:tc>
      </w:tr>
      <w:tr>
        <w:trPr>
          <w:trHeight w:val="54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36</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基于模型结果融合预测流感传播趋势功能</w:t>
            </w:r>
            <w:r/>
          </w:p>
        </w:tc>
      </w:tr>
      <w:tr>
        <w:trPr>
          <w:trHeight w:val="54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37</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restart"/>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新冠预测</w:t>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基于模型的新冠传播趋势预测功能</w:t>
            </w:r>
            <w:r/>
          </w:p>
        </w:tc>
      </w:tr>
      <w:tr>
        <w:trPr>
          <w:trHeight w:val="54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38</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基于模型的新冠传播趋势预测功能</w:t>
            </w:r>
            <w:r/>
          </w:p>
        </w:tc>
      </w:tr>
      <w:tr>
        <w:trPr>
          <w:trHeight w:val="54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39</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基于模型的新冠传播趋势预测功能</w:t>
            </w:r>
            <w:r/>
          </w:p>
        </w:tc>
      </w:tr>
      <w:tr>
        <w:trPr>
          <w:trHeight w:val="54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40</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基于模型结果融合预测新冠传播趋势功能</w:t>
            </w:r>
            <w:r/>
          </w:p>
        </w:tc>
      </w:tr>
      <w:tr>
        <w:trPr>
          <w:trHeight w:val="54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41</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2861"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预测数值导出</w:t>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预测数值导出</w:t>
            </w:r>
            <w:r/>
          </w:p>
        </w:tc>
      </w:tr>
      <w:tr>
        <w:trPr>
          <w:trHeight w:val="84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42</w:t>
            </w:r>
            <w:r/>
          </w:p>
        </w:tc>
        <w:tc>
          <w:tcPr>
            <w:tcBorders>
              <w:left w:val="single" w:color="000000" w:sz="4" w:space="0"/>
              <w:bottom w:val="single" w:color="000000" w:sz="4" w:space="0"/>
              <w:right w:val="single" w:color="000000" w:sz="4" w:space="0"/>
            </w:tcBorders>
            <w:tcW w:w="1562" w:type="dxa"/>
            <w:vAlign w:val="center"/>
            <w:vMerge w:val="restart"/>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评估记录</w:t>
            </w:r>
            <w:r/>
          </w:p>
        </w:tc>
        <w:tc>
          <w:tcPr>
            <w:tcBorders>
              <w:left w:val="single" w:color="000000" w:sz="4" w:space="0"/>
              <w:bottom w:val="single" w:color="000000" w:sz="4" w:space="0"/>
              <w:right w:val="single" w:color="000000" w:sz="4" w:space="0"/>
            </w:tcBorders>
            <w:tcW w:w="2861" w:type="dxa"/>
            <w:vAlign w:val="center"/>
            <w:vMerge w:val="restart"/>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评估记录</w:t>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评估记录表（数据库）</w:t>
            </w:r>
            <w:r/>
          </w:p>
        </w:tc>
      </w:tr>
      <w:tr>
        <w:trPr>
          <w:trHeight w:val="679"/>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43</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删除评估记录</w:t>
            </w:r>
            <w:r/>
          </w:p>
        </w:tc>
      </w:tr>
      <w:tr>
        <w:trPr>
          <w:trHeight w:val="84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44</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查看评估记录</w:t>
            </w:r>
            <w:r/>
          </w:p>
        </w:tc>
      </w:tr>
      <w:tr>
        <w:trPr>
          <w:trHeight w:val="108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45</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重新评估</w:t>
            </w:r>
            <w:r/>
          </w:p>
        </w:tc>
      </w:tr>
      <w:tr>
        <w:trPr>
          <w:trHeight w:val="54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46</w:t>
            </w:r>
            <w:r/>
          </w:p>
        </w:tc>
        <w:tc>
          <w:tcPr>
            <w:tcBorders>
              <w:left w:val="single" w:color="000000" w:sz="4" w:space="0"/>
              <w:bottom w:val="single" w:color="000000" w:sz="4" w:space="0"/>
              <w:right w:val="single" w:color="000000" w:sz="4" w:space="0"/>
            </w:tcBorders>
            <w:tcW w:w="1562" w:type="dxa"/>
            <w:vAlign w:val="center"/>
            <w:vMerge w:val="restart"/>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模型模块</w:t>
            </w:r>
            <w:r/>
          </w:p>
        </w:tc>
        <w:tc>
          <w:tcPr>
            <w:tcBorders>
              <w:left w:val="single" w:color="000000" w:sz="4" w:space="0"/>
              <w:bottom w:val="single" w:color="000000" w:sz="4" w:space="0"/>
              <w:right w:val="single" w:color="000000" w:sz="4" w:space="0"/>
            </w:tcBorders>
            <w:tcW w:w="2861" w:type="dxa"/>
            <w:vAlign w:val="center"/>
            <w:vMerge w:val="restart"/>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模型调优</w:t>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模型1调优</w:t>
            </w:r>
            <w:r/>
          </w:p>
        </w:tc>
      </w:tr>
      <w:tr>
        <w:trPr>
          <w:trHeight w:val="54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47</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模型2调优</w:t>
            </w:r>
            <w:r/>
          </w:p>
        </w:tc>
      </w:tr>
      <w:tr>
        <w:trPr>
          <w:trHeight w:val="54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48</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模型3调优</w:t>
            </w:r>
            <w:r/>
          </w:p>
        </w:tc>
      </w:tr>
      <w:tr>
        <w:trPr>
          <w:trHeight w:val="54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49</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融合模型调优</w:t>
            </w:r>
            <w:r/>
          </w:p>
        </w:tc>
      </w:tr>
      <w:tr>
        <w:trPr>
          <w:trHeight w:val="54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50</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建议将模型服务容器化</w:t>
            </w:r>
            <w:r/>
          </w:p>
        </w:tc>
      </w:tr>
      <w:tr>
        <w:trPr>
          <w:trHeight w:val="72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51</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模型封装</w:t>
            </w:r>
            <w:r/>
          </w:p>
        </w:tc>
      </w:tr>
      <w:tr>
        <w:trPr>
          <w:trHeight w:val="72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52</w:t>
            </w:r>
            <w:r/>
          </w:p>
        </w:tc>
        <w:tc>
          <w:tcPr>
            <w:tcBorders>
              <w:left w:val="single" w:color="000000" w:sz="4" w:space="0"/>
              <w:bottom w:val="single" w:color="000000" w:sz="4" w:space="0"/>
              <w:right w:val="single" w:color="000000" w:sz="4" w:space="0"/>
            </w:tcBorders>
            <w:tcW w:w="1562" w:type="dxa"/>
            <w:vAlign w:val="center"/>
            <w:vMerge w:val="restart"/>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风险报告</w:t>
            </w:r>
            <w:r/>
          </w:p>
        </w:tc>
        <w:tc>
          <w:tcPr>
            <w:tcBorders>
              <w:left w:val="single" w:color="000000" w:sz="4" w:space="0"/>
              <w:bottom w:val="single" w:color="000000" w:sz="4" w:space="0"/>
              <w:right w:val="single" w:color="000000" w:sz="4" w:space="0"/>
            </w:tcBorders>
            <w:tcW w:w="2861" w:type="dxa"/>
            <w:vAlign w:val="center"/>
            <w:vMerge w:val="restart"/>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病例管理</w:t>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病例数据表（数据库）</w:t>
            </w:r>
            <w:r/>
          </w:p>
        </w:tc>
      </w:tr>
      <w:tr>
        <w:trPr>
          <w:trHeight w:val="72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53</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新增病例</w:t>
            </w:r>
            <w:r/>
          </w:p>
        </w:tc>
      </w:tr>
      <w:tr>
        <w:trPr>
          <w:trHeight w:val="72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　</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修改病例信息</w:t>
            </w:r>
            <w:r/>
          </w:p>
        </w:tc>
      </w:tr>
      <w:tr>
        <w:trPr>
          <w:trHeight w:val="72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　</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查询病例列表</w:t>
            </w:r>
            <w:r/>
          </w:p>
        </w:tc>
      </w:tr>
      <w:tr>
        <w:trPr>
          <w:trHeight w:val="72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　</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查看病例详情</w:t>
            </w:r>
            <w:r/>
          </w:p>
        </w:tc>
      </w:tr>
      <w:tr>
        <w:trPr>
          <w:trHeight w:val="72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57</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删除病例</w:t>
            </w:r>
            <w:r/>
          </w:p>
        </w:tc>
      </w:tr>
      <w:tr>
        <w:trPr>
          <w:trHeight w:val="72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　</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模板下载</w:t>
            </w:r>
            <w:r/>
          </w:p>
        </w:tc>
      </w:tr>
      <w:tr>
        <w:trPr>
          <w:trHeight w:val="72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　</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批量导入病例</w:t>
            </w:r>
            <w:r/>
          </w:p>
        </w:tc>
      </w:tr>
      <w:tr>
        <w:trPr>
          <w:trHeight w:val="72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60</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导出病例列表</w:t>
            </w:r>
            <w:r/>
          </w:p>
        </w:tc>
      </w:tr>
      <w:tr>
        <w:trPr>
          <w:trHeight w:val="78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61</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restart"/>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风险的等级评估方法配置</w:t>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风险的等级评估方法配置表（数据库）</w:t>
            </w:r>
            <w:r/>
          </w:p>
        </w:tc>
      </w:tr>
      <w:tr>
        <w:trPr>
          <w:trHeight w:val="762"/>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62</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修改风险的等级评估方法配置信息</w:t>
            </w:r>
            <w:r/>
          </w:p>
        </w:tc>
      </w:tr>
      <w:tr>
        <w:trPr>
          <w:trHeight w:val="762"/>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63</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查询风险的等级评估方法配置列表</w:t>
            </w:r>
            <w:r/>
          </w:p>
        </w:tc>
      </w:tr>
      <w:tr>
        <w:trPr>
          <w:trHeight w:val="762"/>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64</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风险的等级评估方法计算</w:t>
            </w:r>
            <w:r/>
          </w:p>
        </w:tc>
      </w:tr>
      <w:tr>
        <w:trPr>
          <w:trHeight w:val="762"/>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65</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restart"/>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预警规则方法配置</w:t>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预警规则方法配置表（数据库）</w:t>
            </w:r>
            <w:r/>
          </w:p>
        </w:tc>
      </w:tr>
      <w:tr>
        <w:trPr>
          <w:trHeight w:val="762"/>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66</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修改预警规则方法配置配置信息</w:t>
            </w:r>
            <w:r/>
          </w:p>
        </w:tc>
      </w:tr>
      <w:tr>
        <w:trPr>
          <w:trHeight w:val="762"/>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67</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查询预警规则方法配置列表</w:t>
            </w:r>
            <w:r/>
          </w:p>
        </w:tc>
      </w:tr>
      <w:tr>
        <w:trPr>
          <w:trHeight w:val="1602"/>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68</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预警规则方法配置计算</w:t>
            </w:r>
            <w:r/>
          </w:p>
        </w:tc>
      </w:tr>
      <w:tr>
        <w:trPr>
          <w:trHeight w:val="753"/>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69</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restart"/>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风险报告</w:t>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自动生成风险报告</w:t>
            </w:r>
            <w:r/>
          </w:p>
        </w:tc>
      </w:tr>
      <w:tr>
        <w:trPr>
          <w:trHeight w:val="54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70</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一键导出</w:t>
            </w:r>
            <w:r/>
          </w:p>
        </w:tc>
      </w:tr>
      <w:tr>
        <w:trPr>
          <w:trHeight w:val="54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71</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查询风险报告</w:t>
            </w:r>
            <w:r/>
          </w:p>
        </w:tc>
      </w:tr>
      <w:tr>
        <w:trPr>
          <w:trHeight w:val="54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72</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查看风险报告详情</w:t>
            </w:r>
            <w:r/>
          </w:p>
        </w:tc>
      </w:tr>
      <w:tr>
        <w:trPr>
          <w:trHeight w:val="54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73</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left w:val="single" w:color="000000" w:sz="4" w:space="0"/>
              <w:bottom w:val="single" w:color="000000" w:sz="4" w:space="0"/>
              <w:right w:val="single" w:color="000000" w:sz="4" w:space="0"/>
            </w:tcBorders>
            <w:tcW w:w="2861"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删除风险报告</w:t>
            </w:r>
            <w:r/>
          </w:p>
        </w:tc>
      </w:tr>
      <w:tr>
        <w:trPr>
          <w:trHeight w:val="54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74</w:t>
            </w:r>
            <w:r/>
          </w:p>
        </w:tc>
        <w:tc>
          <w:tcPr>
            <w:tcBorders>
              <w:left w:val="single" w:color="000000" w:sz="4" w:space="0"/>
              <w:bottom w:val="single" w:color="000000" w:sz="4" w:space="0"/>
              <w:right w:val="single" w:color="000000" w:sz="4" w:space="0"/>
            </w:tcBorders>
            <w:tcW w:w="1562" w:type="dxa"/>
            <w:vAlign w:val="center"/>
            <w:vMerge w:val="restart"/>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国产化适配</w:t>
            </w:r>
            <w:r/>
          </w:p>
        </w:tc>
        <w:tc>
          <w:tcPr>
            <w:tcBorders>
              <w:bottom w:val="single" w:color="000000" w:sz="4" w:space="0"/>
              <w:right w:val="single" w:color="000000" w:sz="4" w:space="0"/>
            </w:tcBorders>
            <w:tcW w:w="2861"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系统部署模块</w:t>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国产化运行环境适配</w:t>
            </w:r>
            <w:r/>
          </w:p>
        </w:tc>
      </w:tr>
      <w:tr>
        <w:trPr>
          <w:trHeight w:val="540"/>
        </w:trPr>
        <w:tc>
          <w:tcPr>
            <w:tcBorders>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75</w:t>
            </w:r>
            <w:r/>
          </w:p>
        </w:tc>
        <w:tc>
          <w:tcPr>
            <w:tcBorders>
              <w:left w:val="single" w:color="000000" w:sz="4" w:space="0"/>
              <w:bottom w:val="single" w:color="000000" w:sz="4" w:space="0"/>
              <w:right w:val="single" w:color="000000" w:sz="4" w:space="0"/>
            </w:tcBorders>
            <w:tcW w:w="1562" w:type="dxa"/>
            <w:vAlign w:val="center"/>
            <w:vMerge w:val="continue"/>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bottom w:val="single" w:color="000000" w:sz="4" w:space="0"/>
              <w:right w:val="single" w:color="000000" w:sz="4" w:space="0"/>
            </w:tcBorders>
            <w:tcW w:w="2861"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算法模型模块</w:t>
            </w:r>
            <w:r/>
          </w:p>
        </w:tc>
        <w:tc>
          <w:tcPr>
            <w:tcBorders>
              <w:bottom w:val="single" w:color="000000" w:sz="4" w:space="0"/>
              <w:right w:val="single" w:color="000000" w:sz="4" w:space="0"/>
            </w:tcBorders>
            <w:tcW w:w="3696"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模型国产化适配</w:t>
            </w:r>
            <w:r/>
          </w:p>
        </w:tc>
      </w:tr>
    </w:tbl>
    <w:p>
      <w:pPr>
        <w:spacing w:line="360" w:lineRule="auto"/>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r>
      <w:r/>
    </w:p>
    <w:p>
      <w:pPr>
        <w:numPr>
          <w:ilvl w:val="0"/>
          <w:numId w:val="0"/>
        </w:numPr>
        <w:spacing w:line="360" w:lineRule="auto"/>
        <w:rPr>
          <w:rFonts w:hint="eastAsia" w:ascii="方正仿宋_GB2312" w:hAnsi="方正仿宋_GB2312" w:eastAsia="方正仿宋_GB2312" w:cs="方正仿宋_GB2312"/>
          <w:b/>
          <w:bCs/>
          <w:sz w:val="28"/>
          <w:szCs w:val="28"/>
        </w:rPr>
        <w:outlineLvl w:val="2"/>
      </w:pPr>
      <w:r>
        <w:rPr>
          <w:rFonts w:hint="eastAsia" w:ascii="方正仿宋_GB2312" w:hAnsi="方正仿宋_GB2312" w:eastAsia="方正仿宋_GB2312" w:cs="方正仿宋_GB2312"/>
          <w:b/>
          <w:bCs/>
          <w:sz w:val="28"/>
          <w:szCs w:val="28"/>
        </w:rPr>
        <w:t xml:space="preserve">2.2国产化适配要求</w:t>
      </w:r>
      <w:r/>
    </w:p>
    <w:p>
      <w:pPr>
        <w:ind w:right="0" w:firstLine="480"/>
        <w:spacing w:line="360" w:lineRule="auto"/>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1.操作系统适配：需兼容麒麟操作系统（V4及以上版本）、统信UOS（V20及以上版本）等主流国产操作系统，确保在不同国产操作系统环境下功能正常、运⾏稳定，⽆兼容性报错。 </w:t>
      </w:r>
      <w:r/>
    </w:p>
    <w:p>
      <w:pPr>
        <w:ind w:right="0" w:firstLine="480"/>
        <w:spacing w:line="360" w:lineRule="auto"/>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2.数据库适配：需适配达梦数据库（DM8及以上版本）、</w:t>
      </w:r>
      <w:r>
        <w:rPr>
          <w:rFonts w:hint="eastAsia" w:ascii="方正仿宋_GB2312" w:hAnsi="方正仿宋_GB2312" w:eastAsia="方正仿宋_GB2312" w:cs="方正仿宋_GB2312"/>
          <w:sz w:val="28"/>
          <w:szCs w:val="28"/>
        </w:rPr>
        <w:t xml:space="preserve">海量数据库</w:t>
      </w:r>
      <w:r>
        <w:rPr>
          <w:rFonts w:hint="eastAsia" w:ascii="方正仿宋_GB2312" w:hAnsi="方正仿宋_GB2312" w:eastAsia="方正仿宋_GB2312" w:cs="方正仿宋_GB2312"/>
          <w:bCs/>
          <w:sz w:val="28"/>
          <w:szCs w:val="28"/>
        </w:rPr>
        <w:t xml:space="preserve">（</w:t>
      </w:r>
      <w:r>
        <w:rPr>
          <w:rFonts w:hint="eastAsia" w:ascii="方正仿宋_GB2312" w:hAnsi="方正仿宋_GB2312" w:eastAsia="方正仿宋_GB2312" w:cs="方正仿宋_GB2312"/>
          <w:sz w:val="28"/>
          <w:szCs w:val="28"/>
        </w:rPr>
        <w:t xml:space="preserve">G100管理系统V2.2</w:t>
      </w:r>
      <w:r>
        <w:rPr>
          <w:rFonts w:hint="eastAsia" w:ascii="方正仿宋_GB2312" w:hAnsi="方正仿宋_GB2312" w:eastAsia="方正仿宋_GB2312" w:cs="方正仿宋_GB2312"/>
          <w:bCs/>
          <w:sz w:val="28"/>
          <w:szCs w:val="28"/>
        </w:rPr>
        <w:t xml:space="preserve">及以上版本）</w:t>
      </w:r>
      <w:r>
        <w:rPr>
          <w:rFonts w:hint="eastAsia" w:ascii="方正仿宋_GB2312" w:hAnsi="方正仿宋_GB2312" w:eastAsia="方正仿宋_GB2312" w:cs="方正仿宋_GB2312"/>
          <w:sz w:val="28"/>
          <w:szCs w:val="28"/>
        </w:rPr>
        <w:t xml:space="preserve">、</w:t>
      </w:r>
      <w:r>
        <w:rPr>
          <w:rFonts w:hint="eastAsia" w:ascii="方正仿宋_GB2312" w:hAnsi="方正仿宋_GB2312" w:eastAsia="方正仿宋_GB2312" w:cs="方正仿宋_GB2312"/>
          <w:bCs/>
          <w:sz w:val="28"/>
          <w:szCs w:val="28"/>
        </w:rPr>
        <w:t xml:space="preserve">人大金仓数据库（KingbaseES V8R6及以上版本）等国产数据库，支持数据库事务一致性、数据备份恢复、高并发访问等核心能力。</w:t>
      </w:r>
      <w:r/>
    </w:p>
    <w:p>
      <w:pPr>
        <w:ind w:right="0" w:firstLine="480"/>
        <w:spacing w:line="360" w:lineRule="auto"/>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3.中间件适配：需适配东⽅通TongWeb（V7.0及以上版本）、⾦蝶Apusic（V9.0及以上版本）等国产应⽤服务器中间件，⽀持负载均衡、集群部署，满⾜系统⾼可⽤要求。 </w:t>
      </w:r>
      <w:r/>
    </w:p>
    <w:p>
      <w:pPr>
        <w:ind w:right="0" w:firstLine="480"/>
        <w:spacing w:line="360" w:lineRule="auto"/>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4.硬件适配：需兼容国产CPU架构（ARM、X86），⽀持基于国产服务器的部署运⾏，⽆硬件兼容性限制。 </w:t>
      </w:r>
      <w:r/>
    </w:p>
    <w:p>
      <w:pPr>
        <w:ind w:right="0" w:firstLine="480"/>
        <w:spacing w:line="360" w:lineRule="auto"/>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5.主流浏览器适配：需完成浏览器国产化适配改造，需针对主流国产浏览器开展全场景兼容性适配，保障系统与原有主流浏览器的兼容延续性，实现与国产浏览器及原有浏览器的双重兼容、无缝适配。</w:t>
      </w:r>
      <w:r/>
    </w:p>
    <w:p>
      <w:pPr>
        <w:spacing w:line="360" w:lineRule="auto"/>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rPr>
        <w:br w:type="page" w:clear="all"/>
      </w:r>
      <w:r/>
    </w:p>
    <w:p>
      <w:pPr>
        <w:numPr>
          <w:ilvl w:val="0"/>
          <w:numId w:val="0"/>
        </w:numPr>
        <w:spacing w:line="360" w:lineRule="auto"/>
        <w:rPr>
          <w:rFonts w:hint="eastAsia" w:ascii="方正仿宋_GB2312" w:hAnsi="方正仿宋_GB2312" w:eastAsia="方正仿宋_GB2312" w:cs="方正仿宋_GB2312"/>
          <w:b/>
          <w:bCs/>
          <w:sz w:val="28"/>
          <w:szCs w:val="28"/>
        </w:rPr>
        <w:outlineLvl w:val="1"/>
      </w:pPr>
      <w:r>
        <w:rPr>
          <w:rFonts w:hint="eastAsia" w:ascii="方正仿宋_GB2312" w:hAnsi="方正仿宋_GB2312" w:eastAsia="方正仿宋_GB2312" w:cs="方正仿宋_GB2312"/>
          <w:b/>
          <w:bCs/>
          <w:sz w:val="28"/>
          <w:szCs w:val="28"/>
        </w:rPr>
        <w:t xml:space="preserve">（三）、技术要求</w:t>
      </w:r>
      <w:r/>
    </w:p>
    <w:p>
      <w:pPr>
        <w:numPr>
          <w:ilvl w:val="0"/>
          <w:numId w:val="0"/>
        </w:numPr>
        <w:spacing w:line="360" w:lineRule="auto"/>
        <w:rPr>
          <w:rFonts w:hint="eastAsia" w:ascii="方正仿宋_GB2312" w:hAnsi="方正仿宋_GB2312" w:eastAsia="方正仿宋_GB2312" w:cs="方正仿宋_GB2312"/>
          <w:b/>
          <w:bCs/>
          <w:sz w:val="28"/>
          <w:szCs w:val="28"/>
        </w:rPr>
        <w:outlineLvl w:val="2"/>
      </w:pPr>
      <w:r>
        <w:rPr>
          <w:rFonts w:hint="eastAsia" w:ascii="方正仿宋_GB2312" w:hAnsi="方正仿宋_GB2312" w:eastAsia="方正仿宋_GB2312" w:cs="方正仿宋_GB2312"/>
          <w:b/>
          <w:bCs/>
          <w:sz w:val="28"/>
          <w:szCs w:val="28"/>
        </w:rPr>
        <w:t xml:space="preserve">3.1总体要求</w:t>
      </w:r>
      <w:r/>
    </w:p>
    <w:p>
      <w:pPr>
        <w:ind w:right="0" w:firstLine="480"/>
        <w:spacing w:line="360" w:lineRule="auto"/>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本系统作为传染病预测评估信息化支撑载体，技术设计与实施须基于本项目功能清单开展，全面遵循国产化信息化技术设计规范。建设过程中需保障功能完整性、业务连续性及数据安全性，实现国产化环境下稳定运行。</w:t>
      </w:r>
      <w:r/>
    </w:p>
    <w:p>
      <w:pPr>
        <w:ind w:right="0" w:firstLine="480"/>
        <w:spacing w:line="360" w:lineRule="auto"/>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性能指标要求：</w:t>
      </w:r>
      <w:r/>
    </w:p>
    <w:p>
      <w:pPr>
        <w:ind w:right="0" w:firstLine="480"/>
        <w:spacing w:line="360" w:lineRule="auto"/>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1.在线用户数：支持同时在线用户数不低于100人，覆盖省、市级疾控业务人员开展预测分析、评估复核和报告查阅。</w:t>
      </w:r>
      <w:r/>
    </w:p>
    <w:p>
      <w:pPr>
        <w:ind w:right="0" w:firstLine="480"/>
        <w:spacing w:line="360" w:lineRule="auto"/>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2.并发连接数：并发连接数峰值不低于50，可支撑多用户同时开展数据上传、预测任务提交、记录查询和报告导出。</w:t>
      </w:r>
      <w:r/>
    </w:p>
    <w:p>
      <w:pPr>
        <w:ind w:right="0"/>
        <w:spacing w:line="360" w:lineRule="auto"/>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3.响应时间：单用户列表查询、详情查看、保存提交响应时间≤3秒；批量导出响应时间≤8秒。</w:t>
      </w:r>
      <w:r/>
    </w:p>
    <w:p>
      <w:pPr>
        <w:ind w:right="0" w:firstLine="480"/>
        <w:spacing w:line="360" w:lineRule="auto"/>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4.数据存储：支持预测任务、评估记录和风险报告长期保存，数据存储年限不少于10年，支持历史数据快速检索。</w:t>
      </w:r>
      <w:r/>
    </w:p>
    <w:p>
      <w:pPr>
        <w:ind w:right="0" w:firstLine="480"/>
        <w:spacing w:line="360" w:lineRule="auto"/>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5.系统稳定性：系统有效工作时间≥99.9%，年故障停机时间≤8小时（停电等不可抗因素除外），支持7×24小时连续运行。</w:t>
      </w:r>
      <w:r/>
    </w:p>
    <w:p>
      <w:pPr>
        <w:numPr>
          <w:ilvl w:val="0"/>
          <w:numId w:val="0"/>
        </w:numPr>
        <w:spacing w:line="360" w:lineRule="auto"/>
        <w:rPr>
          <w:rFonts w:hint="eastAsia" w:ascii="方正仿宋_GB2312" w:hAnsi="方正仿宋_GB2312" w:eastAsia="方正仿宋_GB2312" w:cs="方正仿宋_GB2312"/>
          <w:b/>
          <w:bCs/>
          <w:sz w:val="28"/>
          <w:szCs w:val="28"/>
        </w:rPr>
        <w:outlineLvl w:val="2"/>
      </w:pPr>
      <w:r>
        <w:rPr>
          <w:rFonts w:hint="eastAsia" w:ascii="方正仿宋_GB2312" w:hAnsi="方正仿宋_GB2312" w:eastAsia="方正仿宋_GB2312" w:cs="方正仿宋_GB2312"/>
          <w:b/>
          <w:bCs/>
          <w:sz w:val="28"/>
          <w:szCs w:val="28"/>
        </w:rPr>
        <w:t xml:space="preserve">3.2应用部署要求</w:t>
      </w:r>
      <w:r/>
    </w:p>
    <w:p>
      <w:pPr>
        <w:ind w:right="0" w:firstLine="480"/>
        <w:spacing w:line="360" w:lineRule="auto"/>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本系统须基于国产化环境完成开发与部署，充分契合国产化技术对整体性能、可用性、稳定性、成熟性、灵活性及开放性的核心要求，完全满足在国产化云环境中的部署运行标准。具体要求如下：</w:t>
      </w:r>
      <w:r/>
    </w:p>
    <w:p>
      <w:pPr>
        <w:ind w:right="0" w:firstLine="480"/>
        <w:spacing w:line="360" w:lineRule="auto"/>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1.系统需完成国产化终端适配改造，确保国产化终端与普通终端均可正常访问，且访问过程中功能触发、数据交互、操作体验无差异；</w:t>
      </w:r>
      <w:r/>
    </w:p>
    <w:p>
      <w:pPr>
        <w:ind w:right="0" w:firstLine="480"/>
        <w:spacing w:line="360" w:lineRule="auto"/>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2.同时兼容国产化浏览器与普通主流浏览器，保障不同浏览器环境下页面渲染、功能使用、响应速度的一致性与稳定性；</w:t>
      </w:r>
      <w:r/>
    </w:p>
    <w:p>
      <w:pPr>
        <w:ind w:right="0" w:firstLine="480"/>
        <w:spacing w:line="360" w:lineRule="auto"/>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3.针对 B/S 架构特性，系统所用浏览器、可视化图表控件等终端相关软件需全面满足国产化兼容性要求，通过多场景、多版本测试验证，确保无布局错乱、功能异常等兼容性问题。</w:t>
      </w:r>
      <w:r/>
    </w:p>
    <w:p>
      <w:pPr>
        <w:numPr>
          <w:ilvl w:val="0"/>
          <w:numId w:val="0"/>
        </w:numPr>
        <w:spacing w:line="360" w:lineRule="auto"/>
        <w:rPr>
          <w:rFonts w:hint="eastAsia" w:ascii="方正仿宋_GB2312" w:hAnsi="方正仿宋_GB2312" w:eastAsia="方正仿宋_GB2312" w:cs="方正仿宋_GB2312"/>
          <w:b/>
          <w:bCs/>
          <w:sz w:val="28"/>
          <w:szCs w:val="28"/>
        </w:rPr>
        <w:outlineLvl w:val="2"/>
      </w:pPr>
      <w:r>
        <w:rPr>
          <w:rFonts w:hint="eastAsia" w:ascii="方正仿宋_GB2312" w:hAnsi="方正仿宋_GB2312" w:eastAsia="方正仿宋_GB2312" w:cs="方正仿宋_GB2312"/>
          <w:b/>
          <w:bCs/>
          <w:sz w:val="28"/>
          <w:szCs w:val="28"/>
        </w:rPr>
        <w:t xml:space="preserve">3.3信息安全要求</w:t>
      </w:r>
      <w:r/>
    </w:p>
    <w:p>
      <w:pPr>
        <w:ind w:right="0" w:firstLine="480"/>
        <w:spacing w:line="360" w:lineRule="auto"/>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项目建设和维护期间，供应商须协助采购人开展全维度系统安全防护工作，覆盖服务器、中间件、应用系统、核心数据等关键环节的安全加固、风险排查与隐患整改。</w:t>
      </w:r>
      <w:r/>
    </w:p>
    <w:p>
      <w:pPr>
        <w:numPr>
          <w:ilvl w:val="0"/>
          <w:numId w:val="0"/>
        </w:numPr>
        <w:spacing w:line="360" w:lineRule="auto"/>
        <w:rPr>
          <w:rFonts w:hint="eastAsia" w:ascii="方正仿宋_GB2312" w:hAnsi="方正仿宋_GB2312" w:eastAsia="方正仿宋_GB2312" w:cs="方正仿宋_GB2312"/>
          <w:b/>
          <w:bCs/>
          <w:sz w:val="28"/>
          <w:szCs w:val="28"/>
        </w:rPr>
        <w:outlineLvl w:val="2"/>
      </w:pPr>
      <w:r>
        <w:rPr>
          <w:rFonts w:hint="eastAsia" w:ascii="方正仿宋_GB2312" w:hAnsi="方正仿宋_GB2312" w:eastAsia="方正仿宋_GB2312" w:cs="方正仿宋_GB2312"/>
          <w:b/>
          <w:bCs/>
          <w:sz w:val="28"/>
          <w:szCs w:val="28"/>
        </w:rPr>
        <w:t xml:space="preserve">3.4数据交换要求</w:t>
      </w:r>
      <w:r/>
    </w:p>
    <w:p>
      <w:pPr>
        <w:ind w:right="0" w:firstLine="480"/>
        <w:spacing w:line="360" w:lineRule="auto"/>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为纳入统一门户管理，供应商须提供与统一认证平台的对接方案，方案至少包含：对接方案、对接流程、对接内容、对接保障。采购人免费提供数据接口标准，对接费用由投标人自行承担。</w:t>
      </w:r>
      <w:r/>
    </w:p>
    <w:p>
      <w:pPr>
        <w:ind w:right="0" w:firstLine="480"/>
        <w:spacing w:line="360" w:lineRule="auto"/>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涉及系统如下：</w:t>
      </w:r>
      <w:r/>
    </w:p>
    <w:p>
      <w:pPr>
        <w:numPr>
          <w:ilvl w:val="0"/>
          <w:numId w:val="5"/>
        </w:numPr>
        <w:ind w:left="0" w:right="0" w:firstLine="480"/>
        <w:spacing w:line="360" w:lineRule="auto"/>
        <w:tabs>
          <w:tab w:val="left" w:pos="312" w:leader="none"/>
          <w:tab w:val="clear" w:pos="420" w:leader="none"/>
        </w:tabs>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与统一认证平台/基础能力平台认证中心单点登录对接，实现用户统一认证和角色权限同步，支持免密跳转登录。</w:t>
      </w:r>
      <w:r>
        <w:rPr>
          <w:rFonts w:hint="eastAsia" w:ascii="方正仿宋_GB2312" w:hAnsi="方正仿宋_GB2312" w:eastAsia="方正仿宋_GB2312" w:cs="方正仿宋_GB2312"/>
        </w:rPr>
        <w:br w:type="page" w:clear="all"/>
      </w:r>
      <w:r/>
    </w:p>
    <w:p>
      <w:pPr>
        <w:spacing w:line="360" w:lineRule="auto"/>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（四）、技术方案要求</w:t>
      </w:r>
      <w:r/>
    </w:p>
    <w:p>
      <w:pPr>
        <w:ind w:right="0" w:firstLine="482"/>
        <w:spacing w:line="360" w:lineRule="auto"/>
        <w:rPr>
          <w:rFonts w:hint="eastAsia" w:ascii="方正仿宋_GB2312" w:hAnsi="方正仿宋_GB2312" w:eastAsia="方正仿宋_GB2312" w:cs="方正仿宋_GB2312"/>
          <w:sz w:val="28"/>
          <w:szCs w:val="28"/>
          <w:shd w:val="clear" w:color="auto" w:fill="ffffff"/>
        </w:rPr>
      </w:pPr>
      <w:r>
        <w:rPr>
          <w:rFonts w:hint="eastAsia" w:ascii="方正仿宋_GB2312" w:hAnsi="方正仿宋_GB2312" w:eastAsia="方正仿宋_GB2312" w:cs="方正仿宋_GB2312"/>
          <w:b/>
          <w:bCs/>
          <w:sz w:val="28"/>
          <w:szCs w:val="28"/>
          <w:shd w:val="clear" w:color="auto" w:fill="ffffff"/>
        </w:rPr>
        <w:t xml:space="preserve">4.1系</w:t>
      </w:r>
      <w:r>
        <w:rPr>
          <w:rFonts w:hint="eastAsia" w:ascii="方正仿宋_GB2312" w:hAnsi="方正仿宋_GB2312" w:eastAsia="方正仿宋_GB2312" w:cs="方正仿宋_GB2312"/>
          <w:b/>
          <w:bCs/>
          <w:color w:val="000000"/>
          <w:sz w:val="28"/>
          <w:szCs w:val="28"/>
          <w:lang w:bidi="ar"/>
        </w:rPr>
        <w:t xml:space="preserve">统总体架构与集成方案</w:t>
      </w:r>
      <w:r>
        <w:rPr>
          <w:rFonts w:hint="eastAsia" w:ascii="方正仿宋_GB2312" w:hAnsi="方正仿宋_GB2312" w:eastAsia="方正仿宋_GB2312" w:cs="方正仿宋_GB2312"/>
          <w:b/>
          <w:bCs/>
          <w:sz w:val="28"/>
          <w:szCs w:val="28"/>
          <w:shd w:val="clear" w:color="auto" w:fill="ffffff"/>
        </w:rPr>
        <w:t xml:space="preserve">：</w:t>
      </w:r>
      <w:r>
        <w:rPr>
          <w:rFonts w:hint="eastAsia" w:ascii="方正仿宋_GB2312" w:hAnsi="方正仿宋_GB2312" w:eastAsia="方正仿宋_GB2312" w:cs="方正仿宋_GB2312"/>
          <w:sz w:val="28"/>
          <w:szCs w:val="28"/>
          <w:shd w:val="clear" w:color="auto" w:fill="ffffff"/>
        </w:rPr>
        <w:t xml:space="preserve"> 系统总体架构方案应基于“统一规划、分层建设、安全可控”的原则进行设计。方案应明确系统的技术架构选型（如分层架构、前后端分离），阐述高可用性、可扩展性、易用性与可靠性设计。方案内容应至少包含“总体架构设计、部署架构设计、接口设计”。总体架构应说明系统管理、工作台、预测评估、评估记录等功能分层及与预测模型服务的协同关系；部署架构应明确应用、数据库、文件存储和模型服务的部署方式；接口设计应明确预测评估、结果查询导出、文件上传等主要接口的协议、数据格式及安全认证机制，保证业务系统与模型服务互联互通。</w:t>
      </w:r>
      <w:r/>
    </w:p>
    <w:p>
      <w:pPr>
        <w:ind w:left="0" w:right="0"/>
        <w:spacing w:line="360" w:lineRule="auto"/>
        <w:rPr>
          <w:rFonts w:hint="eastAsia" w:ascii="方正仿宋_GB2312" w:hAnsi="方正仿宋_GB2312" w:eastAsia="方正仿宋_GB2312" w:cs="方正仿宋_GB2312"/>
          <w:color w:val="000000"/>
          <w:sz w:val="28"/>
          <w:szCs w:val="28"/>
          <w:lang w:bidi="ar"/>
        </w:rPr>
      </w:pPr>
      <w:r>
        <w:rPr>
          <w:rFonts w:hint="eastAsia" w:ascii="方正仿宋_GB2312" w:hAnsi="方正仿宋_GB2312" w:eastAsia="方正仿宋_GB2312" w:cs="方正仿宋_GB2312"/>
          <w:b/>
          <w:bCs/>
          <w:color w:val="000000"/>
          <w:sz w:val="28"/>
          <w:szCs w:val="28"/>
          <w:lang w:bidi="ar"/>
        </w:rPr>
        <w:t xml:space="preserve">4.2新冠、流感单毒株预测模型设计方案：</w:t>
      </w:r>
      <w:r>
        <w:rPr>
          <w:rFonts w:hint="eastAsia" w:ascii="方正仿宋_GB2312" w:hAnsi="方正仿宋_GB2312" w:eastAsia="方正仿宋_GB2312" w:cs="方正仿宋_GB2312"/>
          <w:sz w:val="28"/>
          <w:szCs w:val="28"/>
          <w:shd w:val="clear" w:color="auto" w:fill="ffffff"/>
        </w:rPr>
        <w:t xml:space="preserve">单毒株预测模型设计方案应贴合新冠、流感单毒株流行趋势研判需求，设计完整、规范、可落地。方案应明确两类病种可在同一套预测流程中切换，并同时说明模型设计的完整性、合规性与合理性、可行性。方案内容应至少包含“模型组成、参数配置、数据输入和结果展示。应给出模型设计说明，明确单毒株预测所需关键参数、数据模板及校验规则，预测结果应能够以曲线和误差指标进行展示，并支持历史回看和结果导出。</w:t>
      </w:r>
      <w:r/>
    </w:p>
    <w:p>
      <w:pPr>
        <w:numPr>
          <w:ilvl w:val="0"/>
          <w:numId w:val="0"/>
        </w:numPr>
        <w:ind w:left="0" w:right="0"/>
        <w:spacing w:line="360" w:lineRule="auto"/>
        <w:rPr>
          <w:rFonts w:hint="eastAsia" w:ascii="方正仿宋_GB2312" w:hAnsi="方正仿宋_GB2312" w:eastAsia="方正仿宋_GB2312" w:cs="方正仿宋_GB2312"/>
          <w:color w:val="000000"/>
          <w:sz w:val="28"/>
          <w:szCs w:val="28"/>
          <w:lang w:bidi="ar"/>
        </w:rPr>
        <w:outlineLvl w:val="1"/>
      </w:pPr>
      <w:r>
        <w:rPr>
          <w:rFonts w:hint="eastAsia" w:ascii="方正仿宋_GB2312" w:hAnsi="方正仿宋_GB2312" w:eastAsia="方正仿宋_GB2312" w:cs="方正仿宋_GB2312"/>
          <w:b/>
          <w:bCs/>
          <w:color w:val="000000"/>
          <w:sz w:val="28"/>
          <w:szCs w:val="28"/>
          <w:lang w:bidi="ar"/>
        </w:rPr>
        <w:t xml:space="preserve">4.3新冠、流感双毒株预测模型设计方案：</w:t>
      </w:r>
      <w:r>
        <w:rPr>
          <w:rFonts w:hint="eastAsia" w:ascii="方正仿宋_GB2312" w:hAnsi="方正仿宋_GB2312" w:eastAsia="方正仿宋_GB2312" w:cs="方正仿宋_GB2312"/>
          <w:color w:val="000000"/>
          <w:sz w:val="28"/>
          <w:szCs w:val="28"/>
          <w:lang w:bidi="ar"/>
        </w:rPr>
        <w:t xml:space="preserve">双毒株预测模型设计方案应贴合新冠、流感两种毒株同时流行或先后起峰的研判需求，设计完整、规范、可落地，并与单毒株方案相区分。方案应明确两类病种可在同一套流程中切换，并同时说明模型设计的完整性、合规性与合理性、可行性。方案内容应至少包含“分毒株建模、专用数据模板、分株与总体结果展示”。应说明两种毒株分别拟合后再形成总体趋势的方法，明确起峰时间差及各毒株独立参数、双毒株数据模板及校验规则，预测结果应分别展示各毒株趋势及总体趋势，并支持历史回看和结果导出。</w:t>
      </w:r>
      <w:r/>
    </w:p>
    <w:p>
      <w:pPr>
        <w:ind w:left="0" w:right="0"/>
        <w:spacing w:line="360" w:lineRule="auto"/>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4.4实施方案</w:t>
      </w:r>
      <w:r/>
    </w:p>
    <w:p>
      <w:pPr>
        <w:spacing w:line="360" w:lineRule="auto"/>
        <w:rPr>
          <w:rFonts w:hint="eastAsia" w:ascii="方正仿宋_GB2312" w:hAnsi="方正仿宋_GB2312" w:eastAsia="方正仿宋_GB2312" w:cs="方正仿宋_GB2312"/>
          <w:color w:val="000000"/>
          <w:sz w:val="28"/>
          <w:szCs w:val="28"/>
          <w:lang w:bidi="ar"/>
        </w:rPr>
      </w:pPr>
      <w:r>
        <w:rPr>
          <w:rFonts w:hint="eastAsia" w:ascii="方正仿宋_GB2312" w:hAnsi="方正仿宋_GB2312" w:eastAsia="方正仿宋_GB2312" w:cs="方正仿宋_GB2312"/>
          <w:color w:val="000000"/>
          <w:sz w:val="28"/>
          <w:szCs w:val="28"/>
          <w:lang w:bidi="ar"/>
        </w:rPr>
        <w:t xml:space="preserve">（1）实施组织架构。方案应明确项目实施组织架构及人员配置，关键角色至少包括项目经理、技术负责人、实施工程师等，并说明各岗位职责、分工界面及与采购人的沟通协调机制。要求组织架构搭建科学、人员分工和岗位职责清晰。</w:t>
      </w:r>
      <w:r/>
    </w:p>
    <w:p>
      <w:pPr>
        <w:spacing w:line="360" w:lineRule="auto"/>
        <w:rPr>
          <w:rFonts w:hint="eastAsia" w:ascii="方正仿宋_GB2312" w:hAnsi="方正仿宋_GB2312" w:eastAsia="方正仿宋_GB2312" w:cs="方正仿宋_GB2312"/>
          <w:color w:val="000000"/>
          <w:sz w:val="28"/>
          <w:szCs w:val="28"/>
          <w:lang w:bidi="ar"/>
        </w:rPr>
      </w:pPr>
      <w:r>
        <w:rPr>
          <w:rFonts w:hint="eastAsia" w:ascii="方正仿宋_GB2312" w:hAnsi="方正仿宋_GB2312" w:eastAsia="方正仿宋_GB2312" w:cs="方正仿宋_GB2312"/>
          <w:color w:val="000000"/>
          <w:sz w:val="28"/>
          <w:szCs w:val="28"/>
          <w:lang w:bidi="ar"/>
        </w:rPr>
        <w:t xml:space="preserve">（2）实施计划与进度管控方案。方案应合理划分实施阶段，覆盖需求确认、系统部署、模型联调、功能测试、试运行和验收等环节，明确各阶段时间节点、交付物和责任人，并配备进度跟踪、滞后预警和纠偏措施。要求阶段划分合理、管控措施可行。</w:t>
      </w:r>
      <w:r/>
    </w:p>
    <w:p>
      <w:pPr>
        <w:spacing w:line="360" w:lineRule="auto"/>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color w:val="000000"/>
          <w:sz w:val="28"/>
          <w:szCs w:val="28"/>
          <w:lang w:bidi="ar"/>
        </w:rPr>
        <w:t xml:space="preserve">（3）风险管理与质量保障体系。方案应识别需求变更、进度延误、模型联调、国产化适配、数据安全等主要实施风险，并制定对应处置预案；同时建立需求、开发、测试、验收全流程质量检查与闭环整改机制。做到风险识别全面、预案和质量保障措施完整。</w:t>
      </w:r>
      <w:r/>
    </w:p>
    <w:p>
      <w:pPr>
        <w:ind w:left="0" w:right="0"/>
        <w:spacing w:line="360" w:lineRule="auto"/>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4.5售后服务方案</w:t>
      </w:r>
      <w:r/>
    </w:p>
    <w:p>
      <w:pPr>
        <w:ind w:right="0" w:firstLine="482"/>
        <w:spacing w:line="360" w:lineRule="auto"/>
        <w:rPr>
          <w:rFonts w:hint="eastAsia" w:ascii="方正仿宋_GB2312" w:hAnsi="方正仿宋_GB2312" w:eastAsia="方正仿宋_GB2312" w:cs="方正仿宋_GB2312"/>
          <w:color w:val="000000"/>
          <w:sz w:val="28"/>
          <w:szCs w:val="28"/>
          <w:lang w:bidi="ar"/>
        </w:rPr>
      </w:pPr>
      <w:r>
        <w:rPr>
          <w:rFonts w:hint="eastAsia" w:ascii="方正仿宋_GB2312" w:hAnsi="方正仿宋_GB2312" w:eastAsia="方正仿宋_GB2312" w:cs="方正仿宋_GB2312"/>
          <w:color w:val="000000"/>
          <w:sz w:val="28"/>
          <w:szCs w:val="28"/>
          <w:lang w:bidi="ar"/>
        </w:rPr>
        <w:t xml:space="preserve">（1）提供售后服务体系及服务内容，要求售后服务架构健全、人员配置充足、服务覆盖内容完整全面，能够满足项目售后需求。</w:t>
      </w:r>
      <w:r/>
    </w:p>
    <w:p>
      <w:pPr>
        <w:ind w:right="0" w:firstLine="482"/>
        <w:spacing w:line="360" w:lineRule="auto"/>
        <w:rPr>
          <w:rFonts w:hint="eastAsia" w:ascii="方正仿宋_GB2312" w:hAnsi="方正仿宋_GB2312" w:eastAsia="方正仿宋_GB2312" w:cs="方正仿宋_GB2312"/>
          <w:color w:val="000000"/>
          <w:sz w:val="28"/>
          <w:szCs w:val="28"/>
          <w:lang w:bidi="ar"/>
        </w:rPr>
      </w:pPr>
      <w:r>
        <w:rPr>
          <w:rFonts w:hint="eastAsia" w:ascii="方正仿宋_GB2312" w:hAnsi="方正仿宋_GB2312" w:eastAsia="方正仿宋_GB2312" w:cs="方正仿宋_GB2312"/>
          <w:color w:val="000000"/>
          <w:sz w:val="28"/>
          <w:szCs w:val="28"/>
          <w:lang w:bidi="ar"/>
        </w:rPr>
        <w:t xml:space="preserve">（2）提供故障处置与应急解决方案，需要针对系统故障制定科学、可落地的排查、修复、应急处置方案，响应机制清晰可行。</w:t>
      </w:r>
      <w:r/>
    </w:p>
    <w:p>
      <w:pPr>
        <w:ind w:right="0" w:firstLine="480"/>
        <w:spacing w:line="360" w:lineRule="auto"/>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color w:val="000000"/>
          <w:sz w:val="28"/>
          <w:szCs w:val="28"/>
          <w:lang w:bidi="ar"/>
        </w:rPr>
        <w:t xml:space="preserve">（3）</w:t>
      </w:r>
      <w:r>
        <w:rPr>
          <w:rFonts w:hint="eastAsia" w:ascii="方正仿宋_GB2312" w:hAnsi="方正仿宋_GB2312" w:eastAsia="方正仿宋_GB2312" w:cs="方正仿宋_GB2312"/>
          <w:sz w:val="28"/>
          <w:szCs w:val="28"/>
        </w:rPr>
        <w:t xml:space="preserve">售后响应时间：提供7×24⼩时技术支持服务，故障响应时间≤2⼩时，远程故障解决时间≤8⼩时，重大故障现场处置时间≤24⼩时。 </w:t>
      </w:r>
      <w:r/>
    </w:p>
    <w:p>
      <w:pPr>
        <w:ind w:left="0" w:right="0"/>
        <w:spacing w:line="360" w:lineRule="auto"/>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4.6项目培训方案</w:t>
      </w:r>
      <w:r/>
    </w:p>
    <w:p>
      <w:pPr>
        <w:ind w:left="0" w:right="0"/>
        <w:spacing w:line="360" w:lineRule="auto"/>
        <w:rPr>
          <w:rFonts w:hint="eastAsia" w:ascii="方正仿宋_GB2312" w:hAnsi="方正仿宋_GB2312" w:eastAsia="方正仿宋_GB2312" w:cs="方正仿宋_GB2312"/>
          <w:color w:val="000000"/>
          <w:sz w:val="28"/>
          <w:szCs w:val="28"/>
          <w:lang w:bidi="ar"/>
        </w:rPr>
      </w:pPr>
      <w:r>
        <w:rPr>
          <w:rFonts w:hint="eastAsia" w:ascii="方正仿宋_GB2312" w:hAnsi="方正仿宋_GB2312" w:eastAsia="方正仿宋_GB2312" w:cs="方正仿宋_GB2312"/>
          <w:color w:val="000000"/>
          <w:sz w:val="28"/>
          <w:szCs w:val="28"/>
          <w:lang w:bidi="ar"/>
        </w:rPr>
        <w:t xml:space="preserve">培训方案应满足本项目实际使用需求：</w:t>
      </w:r>
      <w:r/>
    </w:p>
    <w:p>
      <w:pPr>
        <w:ind w:left="0" w:right="0"/>
        <w:spacing w:line="360" w:lineRule="auto"/>
        <w:rPr>
          <w:rFonts w:hint="eastAsia" w:ascii="方正仿宋_GB2312" w:hAnsi="方正仿宋_GB2312" w:eastAsia="方正仿宋_GB2312" w:cs="方正仿宋_GB2312"/>
          <w:color w:val="000000"/>
          <w:sz w:val="28"/>
          <w:szCs w:val="28"/>
          <w:lang w:bidi="ar"/>
        </w:rPr>
      </w:pPr>
      <w:r>
        <w:rPr>
          <w:rFonts w:hint="eastAsia" w:ascii="方正仿宋_GB2312" w:hAnsi="方正仿宋_GB2312" w:eastAsia="方正仿宋_GB2312" w:cs="方正仿宋_GB2312"/>
          <w:color w:val="000000"/>
          <w:sz w:val="28"/>
          <w:szCs w:val="28"/>
          <w:lang w:bidi="ar"/>
        </w:rPr>
        <w:t xml:space="preserve">（1）培训内容及考核办法。方案应明确培训对象和培训内容。培训以系统实际操作为主，覆盖登录使用、单毒株预测、双毒株预测、历史记录查询和结果导出。考核可采用现场操作或问答方式确认受训人员能够完成基本操作，做到内容和考核办法完整可用。</w:t>
      </w:r>
      <w:r/>
    </w:p>
    <w:p>
      <w:pPr>
        <w:ind w:left="0" w:right="0"/>
        <w:spacing w:line="360" w:lineRule="auto"/>
        <w:rPr>
          <w:rFonts w:hint="eastAsia" w:ascii="方正仿宋_GB2312" w:hAnsi="方正仿宋_GB2312" w:eastAsia="方正仿宋_GB2312" w:cs="方正仿宋_GB2312"/>
          <w:color w:val="000000"/>
          <w:sz w:val="28"/>
          <w:szCs w:val="28"/>
          <w:lang w:bidi="ar"/>
        </w:rPr>
      </w:pPr>
      <w:r>
        <w:rPr>
          <w:rFonts w:hint="eastAsia" w:ascii="方正仿宋_GB2312" w:hAnsi="方正仿宋_GB2312" w:eastAsia="方正仿宋_GB2312" w:cs="方正仿宋_GB2312"/>
          <w:color w:val="000000"/>
          <w:sz w:val="28"/>
          <w:szCs w:val="28"/>
          <w:lang w:bidi="ar"/>
        </w:rPr>
        <w:t xml:space="preserve">（2）培训材料。培训时需提供操作手册，内容包括主要功能说明、操作步骤和常见问题处理，能够对照系统完成预测评估相关操作。</w:t>
      </w:r>
      <w:r/>
    </w:p>
    <w:p>
      <w:pPr>
        <w:ind w:left="0" w:right="0"/>
        <w:spacing w:line="360" w:lineRule="auto"/>
        <w:rPr>
          <w:rFonts w:hint="eastAsia" w:ascii="方正仿宋_GB2312" w:hAnsi="方正仿宋_GB2312" w:eastAsia="方正仿宋_GB2312" w:cs="方正仿宋_GB2312"/>
          <w:color w:val="000000"/>
          <w:sz w:val="28"/>
          <w:szCs w:val="28"/>
          <w:lang w:bidi="ar"/>
        </w:rPr>
      </w:pPr>
      <w:r>
        <w:rPr>
          <w:rFonts w:hint="eastAsia" w:ascii="方正仿宋_GB2312" w:hAnsi="方正仿宋_GB2312" w:eastAsia="方正仿宋_GB2312" w:cs="方正仿宋_GB2312"/>
          <w:color w:val="000000"/>
          <w:sz w:val="28"/>
          <w:szCs w:val="28"/>
          <w:lang w:bidi="ar"/>
        </w:rPr>
        <w:t xml:space="preserve">（3）培训安排。培训时需确时间、地点与参训人员，合理规划课程顺序。提前备好师资、课件及物资，并控制培训时长。</w:t>
      </w:r>
      <w:r/>
    </w:p>
    <w:p>
      <w:pPr>
        <w:ind w:right="0" w:firstLine="482"/>
        <w:spacing w:line="360" w:lineRule="auto"/>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4.7项目验收方案</w:t>
      </w:r>
      <w:r/>
    </w:p>
    <w:p>
      <w:pPr>
        <w:ind w:right="0" w:firstLine="480"/>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000000"/>
          <w:sz w:val="28"/>
          <w:szCs w:val="28"/>
          <w:lang w:bidi="ar"/>
        </w:rPr>
        <w:t xml:space="preserve">（1）</w:t>
      </w:r>
      <w:r>
        <w:rPr>
          <w:rFonts w:hint="eastAsia" w:ascii="方正仿宋_GB2312" w:hAnsi="方正仿宋_GB2312" w:eastAsia="方正仿宋_GB2312" w:cs="方正仿宋_GB2312"/>
          <w:sz w:val="28"/>
          <w:szCs w:val="28"/>
        </w:rPr>
        <w:t xml:space="preserve">验收标准：由采购人根据项目标文件、投标文件和合同规定进行项目验收。招标文件条款、投标文件承诺以及国家有关的技术标准规范要求均为验收的依据。</w:t>
      </w:r>
      <w:r/>
    </w:p>
    <w:p>
      <w:pPr>
        <w:ind w:right="0" w:firstLine="480"/>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000000"/>
          <w:sz w:val="28"/>
          <w:szCs w:val="28"/>
          <w:lang w:bidi="ar"/>
        </w:rPr>
        <w:t xml:space="preserve">（2）</w:t>
      </w:r>
      <w:r>
        <w:rPr>
          <w:rFonts w:hint="eastAsia" w:ascii="方正仿宋_GB2312" w:hAnsi="方正仿宋_GB2312" w:eastAsia="方正仿宋_GB2312" w:cs="方正仿宋_GB2312"/>
          <w:sz w:val="28"/>
          <w:szCs w:val="28"/>
        </w:rPr>
        <w:t xml:space="preserve">功能验收：按照招标文件规定的功能要求进⾏逐项测试，所有功能需全部实现，无功能缺失或异常。</w:t>
      </w:r>
      <w:r/>
    </w:p>
    <w:p>
      <w:pPr>
        <w:ind w:right="0" w:firstLine="480"/>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000000"/>
          <w:sz w:val="28"/>
          <w:szCs w:val="28"/>
          <w:lang w:bidi="ar"/>
        </w:rPr>
        <w:t xml:space="preserve">（3）</w:t>
      </w:r>
      <w:r>
        <w:rPr>
          <w:rFonts w:hint="eastAsia" w:ascii="方正仿宋_GB2312" w:hAnsi="方正仿宋_GB2312" w:eastAsia="方正仿宋_GB2312" w:cs="方正仿宋_GB2312"/>
          <w:sz w:val="28"/>
          <w:szCs w:val="28"/>
        </w:rPr>
        <w:t xml:space="preserve">国产化适配验收：在指定国产操作系统、数据库、中间件环境下进行全流程测试，系统运行稳定，无兼容性问题，通过国产化适配测试报告。</w:t>
      </w:r>
      <w:r/>
    </w:p>
    <w:p>
      <w:pPr>
        <w:ind w:right="0" w:firstLine="480"/>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000000"/>
          <w:sz w:val="28"/>
          <w:szCs w:val="28"/>
          <w:lang w:bidi="ar"/>
        </w:rPr>
        <w:t xml:space="preserve">（4）</w:t>
      </w:r>
      <w:r>
        <w:rPr>
          <w:rFonts w:hint="eastAsia" w:ascii="方正仿宋_GB2312" w:hAnsi="方正仿宋_GB2312" w:eastAsia="方正仿宋_GB2312" w:cs="方正仿宋_GB2312"/>
          <w:sz w:val="28"/>
          <w:szCs w:val="28"/>
        </w:rPr>
        <w:t xml:space="preserve">文档验收：提供完整的实施方案、技术文档、用户手册、测试报告、验收报告等资料，文档内容规范、详实、可追溯。</w:t>
      </w:r>
      <w:r>
        <w:rPr>
          <w:rFonts w:hint="eastAsia" w:ascii="方正仿宋_GB2312" w:hAnsi="方正仿宋_GB2312" w:eastAsia="方正仿宋_GB2312" w:cs="方正仿宋_GB2312"/>
        </w:rPr>
        <w:br w:type="page" w:clear="all"/>
      </w:r>
      <w:r/>
    </w:p>
    <w:p>
      <w:pPr>
        <w:pStyle w:val="739"/>
        <w:ind w:left="0" w:right="0"/>
        <w:spacing w:before="120" w:after="120" w:line="400" w:lineRule="exact"/>
        <w:rPr>
          <w:rFonts w:hint="eastAsia" w:ascii="方正仿宋_GB2312" w:hAnsi="方正仿宋_GB2312" w:eastAsia="方正仿宋_GB2312" w:cs="方正仿宋_GB2312"/>
          <w:b/>
          <w:bCs w:val="0"/>
          <w:sz w:val="28"/>
          <w:szCs w:val="28"/>
        </w:rPr>
      </w:pPr>
      <w:r>
        <w:rPr>
          <w:rFonts w:hint="eastAsia" w:ascii="方正仿宋_GB2312" w:hAnsi="方正仿宋_GB2312" w:eastAsia="方正仿宋_GB2312" w:cs="方正仿宋_GB2312"/>
          <w:b/>
          <w:bCs w:val="0"/>
          <w:sz w:val="28"/>
          <w:szCs w:val="28"/>
        </w:rPr>
        <w:t xml:space="preserve">四、履约能力要求</w:t>
      </w:r>
      <w:r/>
    </w:p>
    <w:p>
      <w:pPr>
        <w:pStyle w:val="739"/>
        <w:ind w:left="0" w:right="0"/>
        <w:spacing w:before="120" w:after="120"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1、软件著作权要求</w:t>
      </w:r>
      <w:r/>
    </w:p>
    <w:p>
      <w:pPr>
        <w:pStyle w:val="784"/>
        <w:ind w:left="0" w:right="0"/>
        <w:spacing w:before="0" w:after="0" w:line="360" w:lineRule="auto"/>
        <w:shd w:val="clear" w:color="auto" w:fill="ffff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投标人具有与</w:t>
      </w:r>
      <w:r>
        <w:rPr>
          <w:rFonts w:hint="eastAsia" w:ascii="方正仿宋_GB2312" w:hAnsi="方正仿宋_GB2312" w:eastAsia="方正仿宋_GB2312" w:cs="方正仿宋_GB2312"/>
          <w:sz w:val="28"/>
          <w:szCs w:val="28"/>
          <w:lang w:val="en-US" w:eastAsia="zh-CN"/>
        </w:rPr>
        <w:t xml:space="preserve">“病例监测”或“暴发信息监测”或“致病因子统计”</w:t>
      </w:r>
      <w:r>
        <w:rPr>
          <w:rFonts w:hint="eastAsia" w:ascii="方正仿宋_GB2312" w:hAnsi="方正仿宋_GB2312" w:eastAsia="方正仿宋_GB2312" w:cs="方正仿宋_GB2312"/>
          <w:sz w:val="28"/>
          <w:szCs w:val="28"/>
        </w:rPr>
        <w:t xml:space="preserve">直接相关的软件著作权。</w:t>
      </w:r>
      <w:r/>
    </w:p>
    <w:p>
      <w:pPr>
        <w:pStyle w:val="739"/>
        <w:ind w:left="0" w:right="0"/>
        <w:spacing w:before="120" w:after="120" w:line="360" w:lineRule="auto"/>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2、业绩要求</w:t>
      </w:r>
      <w:r/>
    </w:p>
    <w:p>
      <w:pPr>
        <w:pStyle w:val="739"/>
        <w:ind w:left="0" w:right="0"/>
        <w:spacing w:before="120" w:after="120" w:line="360" w:lineRule="auto"/>
        <w:rPr>
          <w:rFonts w:hint="eastAsia" w:ascii="方正仿宋_GB2312" w:hAnsi="方正仿宋_GB2312" w:eastAsia="方正仿宋_GB2312" w:cs="方正仿宋_GB2312"/>
          <w:sz w:val="28"/>
          <w:szCs w:val="28"/>
          <w:lang w:eastAsia="zh-CN"/>
        </w:rPr>
      </w:pPr>
      <w:r>
        <w:rPr>
          <w:rFonts w:hint="eastAsia" w:ascii="方正仿宋_GB2312" w:hAnsi="方正仿宋_GB2312" w:eastAsia="方正仿宋_GB2312" w:cs="方正仿宋_GB2312"/>
          <w:sz w:val="28"/>
          <w:szCs w:val="28"/>
        </w:rPr>
        <w:t xml:space="preserve">投标人需提供自2023年1月1日以来（以合同签订时间为准）与本项目类似的业绩证明，内容须包含以下任一：</w:t>
      </w:r>
      <w:r>
        <w:rPr>
          <w:rFonts w:hint="eastAsia" w:ascii="方正仿宋_GB2312" w:hAnsi="方正仿宋_GB2312" w:eastAsia="方正仿宋_GB2312" w:cs="方正仿宋_GB2312"/>
          <w:sz w:val="28"/>
          <w:szCs w:val="28"/>
          <w:lang w:val="en-US" w:eastAsia="zh-CN"/>
        </w:rPr>
        <w:t xml:space="preserve">“病原监测”或“样本监测”或“致病因子统计”的</w:t>
      </w:r>
      <w:r>
        <w:rPr>
          <w:rFonts w:hint="eastAsia" w:ascii="方正仿宋_GB2312" w:hAnsi="方正仿宋_GB2312" w:eastAsia="方正仿宋_GB2312" w:cs="方正仿宋_GB2312"/>
          <w:sz w:val="28"/>
          <w:szCs w:val="28"/>
        </w:rPr>
        <w:t xml:space="preserve">业绩</w:t>
      </w:r>
      <w:r>
        <w:rPr>
          <w:rFonts w:hint="eastAsia" w:ascii="方正仿宋_GB2312" w:hAnsi="方正仿宋_GB2312" w:eastAsia="方正仿宋_GB2312" w:cs="方正仿宋_GB2312"/>
          <w:sz w:val="28"/>
          <w:szCs w:val="28"/>
          <w:lang w:eastAsia="zh-CN"/>
        </w:rPr>
        <w:t xml:space="preserve">。</w:t>
      </w:r>
      <w:r/>
    </w:p>
    <w:p>
      <w:pPr>
        <w:pStyle w:val="739"/>
        <w:ind w:left="0" w:right="0"/>
        <w:spacing w:before="120" w:after="120" w:line="40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3、项目团队要求</w:t>
      </w:r>
      <w:r/>
    </w:p>
    <w:p>
      <w:pPr>
        <w:pStyle w:val="784"/>
        <w:ind w:left="0" w:right="0"/>
        <w:spacing w:before="0" w:after="0" w:line="360" w:lineRule="auto"/>
        <w:shd w:val="clear" w:color="auto" w:fill="ffffff"/>
        <w:rPr>
          <w:rFonts w:hint="eastAsia" w:ascii="方正仿宋_GB2312" w:hAnsi="方正仿宋_GB2312" w:eastAsia="方正仿宋_GB2312" w:cs="方正仿宋_GB2312"/>
          <w:color w:val="auto"/>
          <w:sz w:val="28"/>
          <w:szCs w:val="28"/>
          <w:lang w:val="en-US" w:eastAsia="zh-CN" w:bidi="ar-SA"/>
        </w:rPr>
      </w:pPr>
      <w:r>
        <w:rPr>
          <w:rFonts w:hint="eastAsia" w:ascii="方正仿宋_GB2312" w:hAnsi="方正仿宋_GB2312" w:eastAsia="方正仿宋_GB2312" w:cs="方正仿宋_GB2312"/>
          <w:color w:val="auto"/>
          <w:sz w:val="28"/>
          <w:szCs w:val="28"/>
          <w:lang w:val="en-US" w:eastAsia="zh-CN" w:bidi="ar-SA"/>
        </w:rPr>
        <w:t xml:space="preserve">拟派项目负责人具备信息系统项目管理师证书；拟派项目负责人承担过</w:t>
      </w:r>
      <w:r>
        <w:rPr>
          <w:rFonts w:hint="eastAsia" w:ascii="方正仿宋_GB2312" w:hAnsi="方正仿宋_GB2312" w:eastAsia="方正仿宋_GB2312" w:cs="方正仿宋_GB2312"/>
          <w:sz w:val="28"/>
          <w:szCs w:val="28"/>
        </w:rPr>
        <w:t xml:space="preserve">以下任一</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color w:val="auto"/>
          <w:sz w:val="28"/>
          <w:szCs w:val="28"/>
          <w:lang w:val="en-US" w:eastAsia="zh-CN" w:bidi="ar-SA"/>
        </w:rPr>
        <w:t xml:space="preserve">公共卫生数据分析或传染病监测预警或病原监测或样本监测。</w:t>
      </w:r>
      <w:r/>
    </w:p>
    <w:p>
      <w:pPr>
        <w:spacing w:line="40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r>
      <w:r/>
    </w:p>
    <w:p>
      <w:pPr>
        <w:pStyle w:val="739"/>
        <w:ind w:left="0" w:right="0"/>
        <w:spacing w:before="120" w:after="120"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五、商务要求</w:t>
      </w:r>
      <w:r/>
    </w:p>
    <w:p>
      <w:pPr>
        <w:ind w:left="0" w:right="0"/>
        <w:jc w:val="left"/>
        <w:spacing w:line="360" w:lineRule="auto"/>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1、交付时间及地点</w:t>
      </w:r>
      <w:r/>
    </w:p>
    <w:p>
      <w:pPr>
        <w:ind w:left="0" w:right="0"/>
        <w:jc w:val="left"/>
        <w:spacing w:line="360" w:lineRule="auto"/>
        <w:rPr>
          <w:rFonts w:hint="eastAsia" w:ascii="方正仿宋_GB2312" w:hAnsi="方正仿宋_GB2312" w:eastAsia="方正仿宋_GB2312" w:cs="方正仿宋_GB2312"/>
          <w:iCs/>
          <w:sz w:val="28"/>
          <w:szCs w:val="28"/>
        </w:rPr>
      </w:pPr>
      <w:r>
        <w:rPr>
          <w:rFonts w:hint="eastAsia" w:ascii="方正仿宋_GB2312" w:hAnsi="方正仿宋_GB2312" w:eastAsia="方正仿宋_GB2312" w:cs="方正仿宋_GB2312"/>
          <w:sz w:val="28"/>
          <w:szCs w:val="28"/>
        </w:rPr>
        <w:t xml:space="preserve">交付时间：合同签订之日起90日历天内完成交付</w:t>
      </w:r>
      <w:r>
        <w:rPr>
          <w:rFonts w:hint="eastAsia" w:ascii="方正仿宋_GB2312" w:hAnsi="方正仿宋_GB2312" w:eastAsia="方正仿宋_GB2312" w:cs="方正仿宋_GB2312"/>
          <w:iCs/>
          <w:sz w:val="28"/>
          <w:szCs w:val="28"/>
        </w:rPr>
        <w:t xml:space="preserve">。</w:t>
      </w:r>
      <w:r/>
    </w:p>
    <w:p>
      <w:pPr>
        <w:ind w:left="0" w:right="0"/>
        <w:spacing w:line="360" w:lineRule="auto"/>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sz w:val="28"/>
          <w:szCs w:val="28"/>
        </w:rPr>
        <w:t xml:space="preserve">交付地点：江苏省南京市鼓楼区172号。</w:t>
      </w:r>
      <w:r/>
    </w:p>
    <w:p>
      <w:pPr>
        <w:spacing w:line="40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r>
      <w:r/>
    </w:p>
    <w:p>
      <w:pPr>
        <w:ind w:right="0" w:firstLine="482"/>
        <w:spacing w:line="360" w:lineRule="auto"/>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2、质保期（免费服务期）要求</w:t>
      </w:r>
      <w:r/>
    </w:p>
    <w:p>
      <w:pPr>
        <w:ind w:right="0" w:firstLine="480"/>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本合同不得转包分包，中标人须提供本项目采购的所有软件系统验收后1年免费维护服务。</w:t>
      </w:r>
      <w:r/>
    </w:p>
    <w:p>
      <w:pPr>
        <w:ind w:right="0" w:firstLine="480"/>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本项目已明确的服务内容，供应商不得以任何理由再向系统用户收取任何服务费用。</w:t>
      </w:r>
      <w:r/>
    </w:p>
    <w:p>
      <w:pPr>
        <w:ind w:right="0" w:firstLine="482"/>
        <w:spacing w:line="360" w:lineRule="auto"/>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3、投标报价要求</w:t>
      </w:r>
      <w:r/>
    </w:p>
    <w:p>
      <w:pPr>
        <w:ind w:right="0" w:firstLine="480"/>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投标报价含项目评审、系统开发、项目验收所需费用。</w:t>
      </w:r>
      <w:r/>
    </w:p>
    <w:p>
      <w:pPr>
        <w:ind w:right="0" w:firstLine="482"/>
        <w:spacing w:line="360" w:lineRule="auto"/>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4、知识产权要求</w:t>
      </w:r>
      <w:r/>
    </w:p>
    <w:p>
      <w:pPr>
        <w:ind w:right="0" w:firstLine="480"/>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（1）投标人保证采购人使用该项目及服务免受第三方提出的侵犯其知识产权的索赔或诉讼。如有上述指控，由投标人承担可能发生的一切法律责任和费用。</w:t>
      </w:r>
      <w:r/>
    </w:p>
    <w:p>
      <w:pPr>
        <w:ind w:right="0" w:firstLine="480"/>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（2）本项目中标人原有知识产权归中标人所有，项目内新开发软件的知识产权归采购人所有。</w:t>
      </w:r>
      <w:r/>
    </w:p>
    <w:p>
      <w:pPr>
        <w:ind w:right="0" w:firstLine="482"/>
        <w:spacing w:line="360" w:lineRule="auto"/>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5、付款方式</w:t>
      </w:r>
      <w:r/>
    </w:p>
    <w:p>
      <w:pPr>
        <w:ind w:right="0" w:firstLine="480"/>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合同签订后30个工作日内支付30%合同首付款，交货验收完成，并收到发票后10个工作日内支付70%合同验收款。</w:t>
      </w:r>
      <w:r/>
    </w:p>
    <w:p>
      <w:pPr>
        <w:ind w:right="0" w:firstLine="480"/>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r>
      <w:r/>
    </w:p>
    <w:p>
      <w:pPr>
        <w:pStyle w:val="739"/>
        <w:ind w:left="0" w:right="0"/>
        <w:spacing w:before="120" w:after="120"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六、其他要求</w:t>
      </w:r>
      <w:r/>
    </w:p>
    <w:p>
      <w:pPr>
        <w:ind w:left="0" w:right="0"/>
        <w:spacing w:line="360" w:lineRule="auto"/>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
          <w:color w:val="000000"/>
          <w:sz w:val="28"/>
          <w:szCs w:val="28"/>
        </w:rPr>
        <w:t xml:space="preserve">1.项目属性:服务类项目</w:t>
      </w:r>
      <w:r>
        <w:rPr>
          <w:rFonts w:hint="eastAsia" w:ascii="方正仿宋_GB2312" w:hAnsi="方正仿宋_GB2312" w:eastAsia="方正仿宋_GB2312" w:cs="方正仿宋_GB2312"/>
          <w:bCs/>
          <w:color w:val="000000"/>
          <w:sz w:val="28"/>
          <w:szCs w:val="28"/>
        </w:rPr>
        <w:t xml:space="preserve">。</w:t>
      </w:r>
      <w:r/>
    </w:p>
    <w:p>
      <w:pPr>
        <w:ind w:left="0" w:right="0"/>
        <w:spacing w:line="360" w:lineRule="auto"/>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t xml:space="preserve">2.演示要求</w:t>
      </w:r>
      <w:r/>
    </w:p>
    <w:p>
      <w:pPr>
        <w:ind w:left="0" w:right="0"/>
        <w:spacing w:line="360" w:lineRule="auto"/>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上传视频演示。</w:t>
      </w:r>
      <w:r/>
    </w:p>
    <w:p>
      <w:pPr>
        <w:ind w:left="0" w:right="0"/>
        <w:spacing w:line="360" w:lineRule="auto"/>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投标人按照本招标文件规定的演示内容制作演示视频，视频格式为mp4或avi；需分段压缩时，压缩包格式为zip。单个上传文件不得大于50MB，所有文件总量不得大于300MB，具体上传方式按电子交易平台《操作手册》执行。视频作为投标文件组成部分，总时长不超过15分钟。</w:t>
      </w:r>
      <w:r/>
    </w:p>
    <w:p>
      <w:pPr>
        <w:ind w:left="0" w:right="0"/>
        <w:spacing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演示内容如下：</w:t>
      </w:r>
      <w:r/>
    </w:p>
    <w:p>
      <w:pPr>
        <w:ind w:right="0" w:firstLine="0"/>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①新冠单毒株数据导入与参数设置；</w:t>
      </w:r>
      <w:r/>
    </w:p>
    <w:p>
      <w:pPr>
        <w:ind w:right="0" w:firstLine="0"/>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②新冠单毒株预测结果及误差展示；</w:t>
      </w:r>
      <w:r/>
    </w:p>
    <w:p>
      <w:pPr>
        <w:ind w:right="0" w:firstLine="0"/>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③新冠双毒株数据与参数设置；</w:t>
      </w:r>
      <w:r/>
    </w:p>
    <w:p>
      <w:pPr>
        <w:ind w:right="0" w:firstLine="0"/>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④新冠双毒株分株及总体趋势展示；</w:t>
      </w:r>
      <w:r/>
    </w:p>
    <w:p>
      <w:pPr>
        <w:ind w:right="0" w:firstLine="0"/>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⑤流感单毒株数据导入与参数设置；</w:t>
      </w:r>
      <w:r/>
    </w:p>
    <w:p>
      <w:pPr>
        <w:ind w:right="0" w:firstLine="0"/>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⑥流感单毒株预测结果及误差展示；</w:t>
      </w:r>
      <w:r/>
    </w:p>
    <w:p>
      <w:pPr>
        <w:ind w:right="0" w:firstLine="0"/>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⑦流感双毒株数据与参数设置；</w:t>
      </w:r>
      <w:r/>
    </w:p>
    <w:p>
      <w:pPr>
        <w:ind w:right="0" w:firstLine="0"/>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⑧流感双毒株分株及总体趋势展示；</w:t>
      </w:r>
      <w:r/>
    </w:p>
    <w:p>
      <w:pPr>
        <w:ind w:right="0" w:firstLine="0"/>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⑨预测结果调整及刷新；</w:t>
      </w:r>
      <w:r/>
    </w:p>
    <w:p>
      <w:pPr>
        <w:ind w:right="0" w:firstLine="0"/>
        <w:spacing w:line="360" w:lineRule="auto"/>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sz w:val="28"/>
          <w:szCs w:val="28"/>
        </w:rPr>
        <w:t xml:space="preserve">⑩历史查询、模板下载或结果导出。</w:t>
      </w:r>
      <w:r>
        <w:rPr>
          <w:rFonts w:hint="eastAsia" w:ascii="方正仿宋_GB2312" w:hAnsi="方正仿宋_GB2312" w:eastAsia="方正仿宋_GB2312" w:cs="方正仿宋_GB2312"/>
          <w:color w:val="000000"/>
          <w:sz w:val="28"/>
          <w:szCs w:val="28"/>
          <w:lang w:bidi="ar"/>
        </w:rPr>
        <w:br/>
      </w:r>
      <w:r/>
    </w:p>
    <w:p>
      <w:pPr>
        <w:rPr>
          <w:rFonts w:hint="eastAsia" w:ascii="方正仿宋_GB2312" w:hAnsi="方正仿宋_GB2312" w:eastAsia="方正仿宋_GB2312" w:cs="方正仿宋_GB2312"/>
          <w:bCs/>
          <w:sz w:val="44"/>
          <w:szCs w:val="28"/>
        </w:rPr>
      </w:pPr>
      <w:r>
        <w:rPr>
          <w:rFonts w:hint="eastAsia" w:ascii="方正仿宋_GB2312" w:hAnsi="方正仿宋_GB2312" w:eastAsia="方正仿宋_GB2312" w:cs="方正仿宋_GB2312"/>
          <w:bCs/>
          <w:sz w:val="44"/>
          <w:szCs w:val="28"/>
        </w:rPr>
      </w:r>
      <w:r/>
    </w:p>
    <w:p>
      <w:pPr>
        <w:rPr>
          <w:rFonts w:hint="eastAsia" w:ascii="方正仿宋_GB2312" w:hAnsi="方正仿宋_GB2312" w:eastAsia="方正仿宋_GB2312" w:cs="方正仿宋_GB2312"/>
          <w:bCs/>
          <w:sz w:val="44"/>
        </w:rPr>
      </w:pPr>
      <w:r>
        <w:rPr>
          <w:rFonts w:hint="eastAsia" w:ascii="方正仿宋_GB2312" w:hAnsi="方正仿宋_GB2312" w:eastAsia="方正仿宋_GB2312" w:cs="方正仿宋_GB2312"/>
          <w:bCs/>
          <w:sz w:val="44"/>
        </w:rPr>
      </w:r>
      <w:r/>
    </w:p>
    <w:p>
      <w:pPr>
        <w:rPr>
          <w:rFonts w:hint="eastAsia" w:ascii="方正仿宋_GB2312" w:hAnsi="方正仿宋_GB2312" w:eastAsia="方正仿宋_GB2312" w:cs="方正仿宋_GB2312"/>
          <w:bCs/>
          <w:sz w:val="44"/>
        </w:rPr>
      </w:pPr>
      <w:r>
        <w:rPr>
          <w:rFonts w:hint="eastAsia" w:ascii="方正仿宋_GB2312" w:hAnsi="方正仿宋_GB2312" w:eastAsia="方正仿宋_GB2312" w:cs="方正仿宋_GB2312"/>
        </w:rPr>
        <w:br w:type="page" w:clear="all"/>
      </w:r>
      <w:r/>
    </w:p>
    <w:p>
      <w:pPr>
        <w:pStyle w:val="659"/>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第五章  评标方法与评标标准</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采用综合评分法的，评标结果按评审后得分由高到低顺序排列。得分相同的，按投标报价由低到高顺序排列。</w:t>
      </w:r>
      <w:r>
        <w:rPr>
          <w:rFonts w:hint="eastAsia" w:ascii="方正仿宋_GB2312" w:hAnsi="方正仿宋_GB2312" w:eastAsia="方正仿宋_GB2312" w:cs="方正仿宋_GB2312"/>
          <w:color w:val="000000"/>
          <w:sz w:val="28"/>
          <w:szCs w:val="28"/>
        </w:rPr>
        <w:t xml:space="preserve">得分且投标报价相同的并列。</w:t>
      </w:r>
      <w:r/>
    </w:p>
    <w:tbl>
      <w:tblPr>
        <w:tblStyle w:val="668"/>
        <w:tblW w:w="8925" w:type="dxa"/>
        <w:tblInd w:w="110" w:type="dxa"/>
        <w:tblLayout w:type="fixed"/>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Borders>
              <w:top w:val="single" w:color="000000" w:sz="4" w:space="0"/>
              <w:left w:val="single" w:color="000000" w:sz="4" w:space="0"/>
              <w:bottom w:val="single" w:color="000000" w:sz="4" w:space="0"/>
              <w:right w:val="single" w:color="000000" w:sz="4" w:space="0"/>
            </w:tcBorders>
            <w:tcW w:w="1608"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采购包号</w:t>
            </w:r>
            <w:r/>
          </w:p>
        </w:tc>
        <w:tc>
          <w:tcPr>
            <w:tcBorders>
              <w:top w:val="single" w:color="000000" w:sz="4" w:space="0"/>
              <w:left w:val="single" w:color="000000" w:sz="4" w:space="0"/>
              <w:bottom w:val="single" w:color="000000" w:sz="4" w:space="0"/>
              <w:right w:val="single" w:color="000000" w:sz="4" w:space="0"/>
            </w:tcBorders>
            <w:tcW w:w="2183"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选取中标候选人数量</w:t>
            </w:r>
            <w:r/>
          </w:p>
        </w:tc>
        <w:tc>
          <w:tcPr>
            <w:tcBorders>
              <w:top w:val="single" w:color="000000" w:sz="4" w:space="0"/>
              <w:left w:val="single" w:color="000000" w:sz="4" w:space="0"/>
              <w:bottom w:val="single" w:color="000000" w:sz="4" w:space="0"/>
              <w:right w:val="single" w:color="000000" w:sz="4" w:space="0"/>
            </w:tcBorders>
            <w:tcW w:w="5134"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选取中标候选人的原则</w:t>
            </w:r>
            <w:r/>
          </w:p>
        </w:tc>
      </w:tr>
      <w:tr>
        <w:trPr/>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w:t>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w:t>
            </w:r>
            <w:r/>
          </w:p>
        </w:tc>
        <w:tc>
          <w:tcPr>
            <w:tcBorders>
              <w:top w:val="single" w:color="000000" w:sz="4" w:space="0"/>
              <w:left w:val="single" w:color="000000" w:sz="4" w:space="0"/>
              <w:bottom w:val="single" w:color="000000" w:sz="4" w:space="0"/>
              <w:right w:val="single" w:color="000000" w:sz="4" w:space="0"/>
            </w:tcBorders>
            <w:tcW w:w="5134" w:type="dxa"/>
            <w:textDirection w:val="lrTb"/>
            <w:noWrap w:val="false"/>
          </w:tcPr>
          <w:p>
            <w:pPr>
              <w:jc w:val="left"/>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满足招标文件全部实质性要求，且按照评审因素的量化指标评审得分最高的投标人为中标候选人。</w:t>
            </w:r>
            <w:r/>
          </w:p>
        </w:tc>
      </w:tr>
    </w:tbl>
    <w:p>
      <w:pPr>
        <w:pStyle w:val="758"/>
        <w:ind w:left="0" w:right="0"/>
        <w:spacing w:line="400" w:lineRule="exact"/>
        <w:rPr>
          <w:rFonts w:hint="eastAsia" w:ascii="方正仿宋_GB2312" w:hAnsi="方正仿宋_GB2312" w:eastAsia="方正仿宋_GB2312" w:cs="方正仿宋_GB2312"/>
          <w:b/>
          <w:sz w:val="28"/>
          <w:szCs w:val="28"/>
          <w:highlight w:val="yellow"/>
        </w:rPr>
      </w:pPr>
      <w:r>
        <w:rPr>
          <w:rFonts w:hint="eastAsia" w:ascii="方正仿宋_GB2312" w:hAnsi="方正仿宋_GB2312" w:eastAsia="方正仿宋_GB2312" w:cs="方正仿宋_GB2312"/>
          <w:b/>
          <w:sz w:val="28"/>
          <w:szCs w:val="28"/>
        </w:rPr>
        <w:t xml:space="preserve">政府采购政策功能落实</w:t>
      </w:r>
      <w:r/>
    </w:p>
    <w:p>
      <w:pPr>
        <w:pStyle w:val="758"/>
        <w:ind w:left="0" w:right="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1.小微型企业价格扣除</w:t>
      </w:r>
      <w:r/>
    </w:p>
    <w:p>
      <w:pPr>
        <w:pStyle w:val="758"/>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000000"/>
          <w:sz w:val="28"/>
          <w:szCs w:val="28"/>
        </w:rPr>
        <w:t xml:space="preserve">（1）本项目对小型和微型企业提供的服务给予10%的扣除价格，用扣除后的价格参与评审。</w:t>
      </w:r>
      <w:r/>
    </w:p>
    <w:p>
      <w:pPr>
        <w:pStyle w:val="758"/>
        <w:ind w:left="0" w:right="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（2）供应商需按照采购文件的要求提供相应的《中小微企业声明函》。</w:t>
      </w:r>
      <w:r/>
    </w:p>
    <w:p>
      <w:pPr>
        <w:pStyle w:val="758"/>
        <w:ind w:firstLine="562"/>
        <w:keepLines w:val="0"/>
        <w:keepNext w:val="0"/>
        <w:pageBreakBefore w:val="0"/>
        <w:spacing w:line="520" w:lineRule="exact"/>
        <w:widowControl w:val="off"/>
        <w:rPr>
          <w:rFonts w:hint="eastAsia" w:ascii="方正仿宋_GBK" w:hAnsi="方正仿宋_GBK" w:eastAsia="方正仿宋_GBK" w:cs="方正仿宋_GBK"/>
          <w:b/>
          <w:bCs/>
          <w:color w:val="000000"/>
          <w:sz w:val="44"/>
          <w:szCs w:val="44"/>
          <w:lang w:val="en-US" w:eastAsia="zh-CN" w:bidi="ar-SA"/>
        </w:rPr>
      </w:pPr>
      <w:r>
        <w:rPr>
          <w:rFonts w:hint="eastAsia" w:ascii="方正仿宋_GBK" w:hAnsi="方正仿宋_GBK" w:eastAsia="方正仿宋_GBK" w:cs="方正仿宋_GBK"/>
          <w:b/>
          <w:bCs/>
          <w:color w:val="000000"/>
          <w:sz w:val="28"/>
          <w:szCs w:val="28"/>
          <w:lang w:val="en-US" w:eastAsia="zh-CN" w:bidi="ar-SA"/>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p>
    <w:p>
      <w:pPr>
        <w:pStyle w:val="758"/>
        <w:ind w:left="0" w:right="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r>
      <w:r/>
    </w:p>
    <w:p>
      <w:pPr>
        <w:pStyle w:val="758"/>
        <w:ind w:left="0" w:right="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2.残疾人福利单位价格扣除</w:t>
      </w:r>
      <w:r/>
    </w:p>
    <w:p>
      <w:pPr>
        <w:pStyle w:val="758"/>
        <w:ind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000000"/>
          <w:sz w:val="28"/>
          <w:szCs w:val="28"/>
        </w:rPr>
        <w:t xml:space="preserve">（1）本项目对残疾人福利性单位视同小型、微型企业，给予10%的价格扣除，用扣除后的价格参与评审。</w:t>
      </w:r>
      <w:r/>
    </w:p>
    <w:p>
      <w:pPr>
        <w:pStyle w:val="758"/>
        <w:ind w:right="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（2）残疾人福利单位需按照采购文件的要求提供《残疾人福利性单位声明函》。</w:t>
      </w:r>
      <w:r/>
    </w:p>
    <w:p>
      <w:pPr>
        <w:pStyle w:val="758"/>
        <w:ind w:right="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（3）残疾人福利单位标准请参照《关于促进残疾人就业政府采购政策的通知》（财库〔2017〕141号）。</w:t>
      </w:r>
      <w:r/>
    </w:p>
    <w:p>
      <w:pPr>
        <w:pStyle w:val="758"/>
        <w:ind w:left="0" w:right="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3.监狱和戒毒企业价格扣除</w:t>
      </w:r>
      <w:r/>
    </w:p>
    <w:p>
      <w:pPr>
        <w:pStyle w:val="758"/>
        <w:ind w:left="0" w:right="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（1）本项目对监狱和戒毒企业（简称监狱企业）视同小型、微型企业，给予10%的价格扣除，用扣除后的价格参与评审。</w:t>
      </w:r>
      <w:r/>
    </w:p>
    <w:p>
      <w:pPr>
        <w:pStyle w:val="758"/>
        <w:ind w:left="0" w:right="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58"/>
        <w:ind w:left="0" w:right="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（3）监狱企业标准请参照《关于政府采购支持监狱企业发展有关问题的通知》（财库〔2014〕68号）。</w:t>
      </w:r>
      <w:r/>
    </w:p>
    <w:p>
      <w:pPr>
        <w:pStyle w:val="758"/>
        <w:ind w:left="0" w:right="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4.残疾人福利单位、监狱企业属于小型、微型企业的，不重复享受政策。</w:t>
      </w:r>
      <w:r/>
    </w:p>
    <w:p>
      <w:pPr>
        <w:ind w:left="0" w:right="0"/>
        <w:jc w:val="left"/>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7.采购本国产品的支持政策</w:t>
      </w:r>
      <w:r/>
    </w:p>
    <w:p>
      <w:pPr>
        <w:ind w:left="0" w:right="0"/>
        <w:jc w:val="left"/>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7.1 当采购包中含有货物的，供应商为该采购包提供的符合本国产品标准的货物成本之和占该供应商提供的整个采购包成本之和的比例达到</w:t>
      </w:r>
      <w:r>
        <w:rPr>
          <w:rFonts w:hint="eastAsia" w:ascii="方正仿宋_GB2312" w:hAnsi="方正仿宋_GB2312" w:eastAsia="方正仿宋_GB2312" w:cs="方正仿宋_GB2312"/>
          <w:sz w:val="28"/>
          <w:szCs w:val="28"/>
          <w:u w:val="single"/>
        </w:rPr>
        <w:t xml:space="preserve">80%</w:t>
      </w:r>
      <w:r>
        <w:rPr>
          <w:rFonts w:hint="eastAsia" w:ascii="方正仿宋_GB2312" w:hAnsi="方正仿宋_GB2312" w:eastAsia="方正仿宋_GB2312" w:cs="方正仿宋_GB2312"/>
          <w:sz w:val="28"/>
          <w:szCs w:val="28"/>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2312" w:hAnsi="方正仿宋_GB2312" w:eastAsia="方正仿宋_GB2312" w:cs="方正仿宋_GB2312"/>
          <w:sz w:val="28"/>
          <w:szCs w:val="28"/>
          <w:u w:val="single"/>
        </w:rPr>
        <w:t xml:space="preserve">20%</w:t>
      </w:r>
      <w:r>
        <w:rPr>
          <w:rFonts w:hint="eastAsia" w:ascii="方正仿宋_GB2312" w:hAnsi="方正仿宋_GB2312" w:eastAsia="方正仿宋_GB2312" w:cs="方正仿宋_GB2312"/>
          <w:sz w:val="28"/>
          <w:szCs w:val="28"/>
        </w:rPr>
        <w:t xml:space="preserve">的价格扣除，用扣除后的价格参与评审。供应商未填写比例数值，或比例数值不足</w:t>
      </w:r>
      <w:r>
        <w:rPr>
          <w:rFonts w:hint="eastAsia" w:ascii="方正仿宋_GB2312" w:hAnsi="方正仿宋_GB2312" w:eastAsia="方正仿宋_GB2312" w:cs="方正仿宋_GB2312"/>
          <w:sz w:val="28"/>
          <w:szCs w:val="28"/>
          <w:u w:val="single"/>
        </w:rPr>
        <w:t xml:space="preserve">80%</w:t>
      </w:r>
      <w:r>
        <w:rPr>
          <w:rFonts w:hint="eastAsia" w:ascii="方正仿宋_GB2312" w:hAnsi="方正仿宋_GB2312" w:eastAsia="方正仿宋_GB2312" w:cs="方正仿宋_GB2312"/>
          <w:sz w:val="28"/>
          <w:szCs w:val="28"/>
        </w:rPr>
        <w:t xml:space="preserve">的，将不享受本国产品价格评审优惠。</w:t>
      </w:r>
      <w:r/>
    </w:p>
    <w:p>
      <w:pPr>
        <w:ind w:left="0" w:right="0"/>
        <w:jc w:val="left"/>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7.2 供应商需按照招标文件的要求提供《关于符合本国产品标准的声明函》（以下简称《声明函》），如不提供将不享受本国产品价格评审优惠。</w:t>
      </w:r>
      <w:r/>
    </w:p>
    <w:p>
      <w:pPr>
        <w:ind w:left="0" w:right="0"/>
        <w:jc w:val="left"/>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7.3 供应商需在《声明函》中逐一、准确填写产品名称、厂名、生产厂址三项信息（《声明函》中标注</w:t>
      </w:r>
      <w:r>
        <w:rPr>
          <w:rFonts w:hint="eastAsia" w:ascii="方正仿宋_GB2312" w:hAnsi="方正仿宋_GB2312" w:eastAsia="方正仿宋_GB2312" w:cs="方正仿宋_GB2312"/>
          <w:sz w:val="28"/>
          <w:szCs w:val="28"/>
          <w:u w:val="single"/>
        </w:rPr>
        <w:t xml:space="preserve">“  /  ”</w:t>
      </w:r>
      <w:r>
        <w:rPr>
          <w:rFonts w:hint="eastAsia" w:ascii="方正仿宋_GB2312" w:hAnsi="方正仿宋_GB2312" w:eastAsia="方正仿宋_GB2312" w:cs="方正仿宋_GB2312"/>
          <w:sz w:val="28"/>
          <w:szCs w:val="28"/>
        </w:rPr>
        <w:t xml:space="preserve">的地方无需填写），三项信息中任意一项未填写的视为该项产品不符合本国产品标准，不享受本国产品价格评审优惠。</w:t>
      </w:r>
      <w:r/>
    </w:p>
    <w:p>
      <w:pPr>
        <w:ind w:left="0" w:right="0"/>
        <w:jc w:val="left"/>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58"/>
        <w:ind w:left="0" w:right="0"/>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pStyle w:val="758"/>
        <w:ind w:left="0" w:right="0"/>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ind w:left="0" w:right="0"/>
        <w:jc w:val="left"/>
        <w:spacing w:before="120" w:after="120" w:line="400" w:lineRule="exact"/>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color w:val="000000"/>
          <w:sz w:val="28"/>
          <w:szCs w:val="28"/>
        </w:rPr>
        <w:t xml:space="preserve">评标方法与评标标准</w:t>
      </w:r>
      <w:r/>
    </w:p>
    <w:tbl>
      <w:tblPr>
        <w:tblStyle w:val="668"/>
        <w:tblW w:w="4950" w:type="pct"/>
        <w:tblInd w:w="0" w:type="dxa"/>
        <w:tblLayout w:type="fixed"/>
        <w:tblCellMar>
          <w:left w:w="108" w:type="dxa"/>
          <w:top w:w="0" w:type="dxa"/>
          <w:right w:w="108" w:type="dxa"/>
          <w:bottom w:w="0" w:type="dxa"/>
        </w:tblCellMar>
        <w:tblLook w:val="04A0" w:firstRow="1" w:lastRow="0" w:firstColumn="1" w:lastColumn="0" w:noHBand="0" w:noVBand="1"/>
      </w:tblPr>
      <w:tblGrid>
        <w:gridCol w:w="1353"/>
        <w:gridCol w:w="1402"/>
        <w:gridCol w:w="4700"/>
        <w:gridCol w:w="1622"/>
      </w:tblGrid>
      <w:tr>
        <w:trPr>
          <w:trHeight w:val="23"/>
        </w:trPr>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bidi="ar"/>
              </w:rPr>
              <w:t xml:space="preserve">评分因素</w:t>
            </w:r>
            <w:r/>
          </w:p>
        </w:tc>
        <w:tc>
          <w:tcPr>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bidi="ar"/>
              </w:rPr>
              <w:t xml:space="preserve">评审细则</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bidi="ar"/>
              </w:rPr>
              <w:t xml:space="preserve">分值</w:t>
            </w:r>
            <w:r/>
          </w:p>
        </w:tc>
      </w:tr>
      <w:tr>
        <w:trPr>
          <w:trHeight w:val="23"/>
        </w:trPr>
        <w:tc>
          <w:tcPr>
            <w:tcBorders>
              <w:top w:val="single" w:color="000000" w:sz="4" w:space="0"/>
              <w:left w:val="single" w:color="000000" w:sz="4" w:space="0"/>
              <w:right w:val="single" w:color="000000" w:sz="4" w:space="0"/>
            </w:tcBorders>
            <w:tcW w:w="1321" w:type="dxa"/>
            <w:vAlign w:val="center"/>
            <w:vMerge w:val="restart"/>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bidi="ar"/>
              </w:rPr>
              <w:t xml:space="preserve">项目报价</w:t>
            </w:r>
            <w:r/>
          </w:p>
        </w:tc>
        <w:tc>
          <w:tcPr>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bidi="ar"/>
              </w:rPr>
              <w:t xml:space="preserve">价格分统一采用低价优先法计算，即满足招标文件要求且最后报价最低的供应商的价格为评标基准价，其价格分为满分。其他供应商的价格分统一按照下列公式计算：投标报价得分=（评标基准价/投标报价）×10（小数点保留两位）</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bidi="ar"/>
              </w:rPr>
              <w:t xml:space="preserve">10</w:t>
            </w:r>
            <w:r/>
          </w:p>
        </w:tc>
      </w:tr>
      <w:tr>
        <w:trPr>
          <w:trHeight w:val="4360"/>
        </w:trPr>
        <w:tc>
          <w:tcPr>
            <w:tcBorders>
              <w:top w:val="single" w:color="000000" w:sz="4" w:space="0"/>
              <w:left w:val="single" w:color="000000" w:sz="4" w:space="0"/>
              <w:right w:val="single" w:color="000000" w:sz="4" w:space="0"/>
            </w:tcBorders>
            <w:tcW w:w="1321" w:type="dxa"/>
            <w:vAlign w:val="center"/>
            <w:vMerge w:val="continue"/>
            <w:textDirection w:val="lrTb"/>
            <w:noWrap w:val="false"/>
          </w:tcPr>
          <w:p>
            <w:pPr>
              <w:jc w:val="center"/>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bidi="ar"/>
              </w:rPr>
              <w:t xml:space="preserve">软件著作权</w:t>
            </w:r>
            <w:r/>
          </w:p>
        </w:tc>
        <w:tc>
          <w:tcPr>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pStyle w:val="677"/>
              <w:numPr>
                <w:ilvl w:val="0"/>
                <w:numId w:val="0"/>
              </w:numPr>
              <w:ind w:firstLine="420"/>
              <w:spacing w:before="120" w:after="120" w:line="400" w:lineRule="exac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2.1 投标人具有与</w:t>
            </w:r>
            <w:r>
              <w:rPr>
                <w:rFonts w:hint="eastAsia" w:ascii="方正仿宋_GB2312" w:hAnsi="方正仿宋_GB2312" w:eastAsia="方正仿宋_GB2312" w:cs="方正仿宋_GB2312"/>
                <w:lang w:val="en-US" w:eastAsia="zh-CN"/>
              </w:rPr>
              <w:t xml:space="preserve">“病例监测”或“暴发信息监测”或“致病因子统计”</w:t>
            </w:r>
            <w:r>
              <w:rPr>
                <w:rFonts w:hint="eastAsia" w:ascii="方正仿宋_GB2312" w:hAnsi="方正仿宋_GB2312" w:eastAsia="方正仿宋_GB2312" w:cs="方正仿宋_GB2312"/>
              </w:rPr>
              <w:t xml:space="preserve">直接相关的软件著作权，每提供1项得</w:t>
            </w:r>
            <w:r>
              <w:rPr>
                <w:rFonts w:hint="eastAsia" w:ascii="方正仿宋_GB2312" w:hAnsi="方正仿宋_GB2312" w:eastAsia="方正仿宋_GB2312" w:cs="方正仿宋_GB2312"/>
                <w:lang w:val="en-US" w:eastAsia="zh-CN"/>
              </w:rPr>
              <w:t xml:space="preserve">1</w:t>
            </w:r>
            <w:r>
              <w:rPr>
                <w:rFonts w:hint="eastAsia" w:ascii="方正仿宋_GB2312" w:hAnsi="方正仿宋_GB2312" w:eastAsia="方正仿宋_GB2312" w:cs="方正仿宋_GB2312"/>
              </w:rPr>
              <w:t xml:space="preserve">分，最高</w:t>
            </w:r>
            <w:r>
              <w:rPr>
                <w:rFonts w:hint="eastAsia" w:ascii="方正仿宋_GB2312" w:hAnsi="方正仿宋_GB2312" w:eastAsia="方正仿宋_GB2312" w:cs="方正仿宋_GB2312"/>
                <w:lang w:val="en-US" w:eastAsia="zh-CN"/>
              </w:rPr>
              <w:t xml:space="preserve">2</w:t>
            </w:r>
            <w:r>
              <w:rPr>
                <w:rFonts w:hint="eastAsia" w:ascii="方正仿宋_GB2312" w:hAnsi="方正仿宋_GB2312" w:eastAsia="方正仿宋_GB2312" w:cs="方正仿宋_GB2312"/>
              </w:rPr>
              <w:t xml:space="preserve">分。同一软件不同版本只计1项。提供软件著作权登记证书复印件及能够体现对应业务功能的登记材料或软件功能说明；材料不能体现相关业务功能的，不计分。</w:t>
            </w:r>
            <w:r>
              <w:rPr>
                <w:rFonts w:ascii="方正仿宋_GBK" w:hAnsi="方正仿宋_GBK" w:eastAsia="方正仿宋_GBK" w:cs="方正仿宋_GBK"/>
                <w:b/>
                <w:bCs/>
                <w:color w:val="auto"/>
                <w:sz w:val="21"/>
                <w:szCs w:val="21"/>
                <w:lang w:bidi="ar"/>
              </w:rPr>
              <w:t xml:space="preserve">（如投标文件中提供的著作权名称表述与招标文件描述的关键字样不一致，而该投标文件中能证明投标人拥有的著作权具有相同或相似功能和效果，且评标委员会认可的，视同符合要求）</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 xml:space="preserve">2</w:t>
            </w:r>
            <w:r/>
          </w:p>
        </w:tc>
      </w:tr>
      <w:tr>
        <w:trPr>
          <w:trHeight w:val="23"/>
        </w:trPr>
        <w:tc>
          <w:tcPr>
            <w:tcBorders>
              <w:top w:val="single" w:color="000000" w:sz="4" w:space="0"/>
              <w:left w:val="single" w:color="000000" w:sz="4" w:space="0"/>
              <w:right w:val="single" w:color="000000" w:sz="4" w:space="0"/>
            </w:tcBorders>
            <w:tcW w:w="1321" w:type="dxa"/>
            <w:vAlign w:val="center"/>
            <w:vMerge w:val="continue"/>
            <w:textDirection w:val="lrTb"/>
            <w:noWrap w:val="false"/>
          </w:tcPr>
          <w:p>
            <w:pPr>
              <w:jc w:val="center"/>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bidi="ar"/>
              </w:rPr>
              <w:t xml:space="preserve">项目案例</w:t>
            </w:r>
            <w:r/>
          </w:p>
        </w:tc>
        <w:tc>
          <w:tcPr>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2.2 投标人提供2023年1月1日以来签订的</w:t>
            </w:r>
            <w:r>
              <w:rPr>
                <w:rFonts w:hint="eastAsia" w:ascii="方正仿宋_GB2312" w:hAnsi="方正仿宋_GB2312" w:eastAsia="方正仿宋_GB2312" w:cs="方正仿宋_GB2312"/>
                <w:lang w:val="en-US" w:eastAsia="zh-CN"/>
              </w:rPr>
              <w:t xml:space="preserve">含“病原监测”或“样本监测”或“致病因子统计”的</w:t>
            </w:r>
            <w:r>
              <w:rPr>
                <w:rFonts w:hint="eastAsia" w:ascii="方正仿宋_GB2312" w:hAnsi="方正仿宋_GB2312" w:eastAsia="方正仿宋_GB2312" w:cs="方正仿宋_GB2312"/>
              </w:rPr>
              <w:t xml:space="preserve">业绩，每项得2分，最高4分。须提供合同关键页（含签订日期、双方、项目内容）、技术附件或功能清单，以及采购人或最终用户出具的验收合格证明；项目名称不能直接体现业务范围时，可用技术附件、用户手册相关页等予以证明。同一项目只计1次。</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4</w:t>
            </w:r>
            <w:r/>
          </w:p>
        </w:tc>
      </w:tr>
      <w:tr>
        <w:trPr>
          <w:trHeight w:val="23"/>
        </w:trPr>
        <w:tc>
          <w:tcPr>
            <w:tcBorders>
              <w:top w:val="single" w:color="000000" w:sz="4" w:space="0"/>
              <w:left w:val="single" w:color="000000" w:sz="4" w:space="0"/>
              <w:right w:val="single" w:color="000000" w:sz="4" w:space="0"/>
            </w:tcBorders>
            <w:tcW w:w="1321" w:type="dxa"/>
            <w:vAlign w:val="center"/>
            <w:vMerge w:val="continue"/>
            <w:textDirection w:val="lrTb"/>
            <w:noWrap w:val="false"/>
          </w:tcPr>
          <w:p>
            <w:pPr>
              <w:jc w:val="center"/>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bidi="ar"/>
              </w:rPr>
              <w:t xml:space="preserve">项目团队</w:t>
            </w:r>
            <w:r/>
          </w:p>
        </w:tc>
        <w:tc>
          <w:tcPr>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2.3 拟派项目负责人具备信息系统项目管理师证书的，得2分；拟派项目负责人承担过公共卫生数据分析</w:t>
            </w:r>
            <w:r>
              <w:rPr>
                <w:rFonts w:hint="eastAsia" w:ascii="方正仿宋_GB2312" w:hAnsi="方正仿宋_GB2312" w:eastAsia="方正仿宋_GB2312" w:cs="方正仿宋_GB2312"/>
                <w:lang w:val="en-US" w:eastAsia="zh-CN"/>
              </w:rPr>
              <w:t xml:space="preserve">或</w:t>
            </w:r>
            <w:r>
              <w:rPr>
                <w:rFonts w:hint="eastAsia" w:ascii="方正仿宋_GB2312" w:hAnsi="方正仿宋_GB2312" w:eastAsia="方正仿宋_GB2312" w:cs="方正仿宋_GB2312"/>
              </w:rPr>
              <w:t xml:space="preserve">传染病监测预警</w:t>
            </w:r>
            <w:r>
              <w:rPr>
                <w:rFonts w:hint="eastAsia" w:ascii="方正仿宋_GB2312" w:hAnsi="方正仿宋_GB2312" w:eastAsia="方正仿宋_GB2312" w:cs="方正仿宋_GB2312"/>
                <w:lang w:val="en-US" w:eastAsia="zh-CN"/>
              </w:rPr>
              <w:t xml:space="preserve">或病原监测或样本监测</w:t>
            </w:r>
            <w:r>
              <w:rPr>
                <w:rFonts w:hint="eastAsia" w:ascii="方正仿宋_GB2312" w:hAnsi="方正仿宋_GB2312" w:eastAsia="方正仿宋_GB2312" w:cs="方正仿宋_GB2312"/>
              </w:rPr>
              <w:t xml:space="preserve">的，提供合同关键页及能够证明其项目负责人身份的合同附件、验收材料或业主证明，每提供1项得2分，最高2分。本项满分4分。须提供人员在本单位任职证明及相关证书、业绩证明；同一业绩不得重复计分。</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4</w:t>
            </w:r>
            <w:r/>
          </w:p>
        </w:tc>
      </w:tr>
      <w:tr>
        <w:trPr>
          <w:trHeight w:val="23"/>
        </w:trPr>
        <w:tc>
          <w:tcPr>
            <w:tcBorders>
              <w:top w:val="single" w:color="000000" w:sz="4" w:space="0"/>
              <w:left w:val="single" w:color="000000" w:sz="4" w:space="0"/>
              <w:right w:val="single" w:color="000000" w:sz="4" w:space="0"/>
            </w:tcBorders>
            <w:tcW w:w="1321" w:type="dxa"/>
            <w:vAlign w:val="center"/>
            <w:vMerge w:val="continue"/>
            <w:textDirection w:val="lrTb"/>
            <w:noWrap w:val="false"/>
          </w:tcPr>
          <w:p>
            <w:pPr>
              <w:jc w:val="center"/>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系统功能</w:t>
            </w:r>
            <w:r/>
          </w:p>
        </w:tc>
        <w:tc>
          <w:tcPr>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2.</w:t>
            </w:r>
            <w:r>
              <w:rPr>
                <w:rFonts w:hint="eastAsia" w:ascii="方正仿宋_GB2312" w:hAnsi="方正仿宋_GB2312" w:eastAsia="方正仿宋_GB2312" w:cs="方正仿宋_GB2312"/>
                <w:lang w:val="en-US" w:eastAsia="zh-CN"/>
              </w:rPr>
              <w:t xml:space="preserve">4</w:t>
            </w:r>
            <w:r>
              <w:rPr>
                <w:rFonts w:hint="eastAsia" w:ascii="方正仿宋_GB2312" w:hAnsi="方正仿宋_GB2312" w:eastAsia="方正仿宋_GB2312" w:cs="方正仿宋_GB2312"/>
              </w:rPr>
              <w:t xml:space="preserve"> 投标文件对第四章采购需求2.1“系统功能”所列75项逐项响应，全部满足得</w:t>
            </w:r>
            <w:r>
              <w:rPr>
                <w:rFonts w:hint="eastAsia" w:ascii="方正仿宋_GB2312" w:hAnsi="方正仿宋_GB2312" w:eastAsia="方正仿宋_GB2312" w:cs="方正仿宋_GB2312"/>
                <w:lang w:val="en-US" w:eastAsia="zh-CN"/>
              </w:rPr>
              <w:t xml:space="preserve">30</w:t>
            </w:r>
            <w:r>
              <w:rPr>
                <w:rFonts w:hint="eastAsia" w:ascii="方正仿宋_GB2312" w:hAnsi="方正仿宋_GB2312" w:eastAsia="方正仿宋_GB2312" w:cs="方正仿宋_GB2312"/>
              </w:rPr>
              <w:t xml:space="preserve">分。每有1项负偏离扣0.4分，</w:t>
            </w:r>
            <w:r>
              <w:rPr>
                <w:rFonts w:hint="eastAsia" w:ascii="方正仿宋_GB2312" w:hAnsi="方正仿宋_GB2312" w:eastAsia="方正仿宋_GB2312" w:cs="方正仿宋_GB2312"/>
                <w:lang w:val="en-US" w:eastAsia="zh-CN"/>
              </w:rPr>
              <w:t xml:space="preserve">扣完为止</w:t>
            </w:r>
            <w:r>
              <w:rPr>
                <w:rFonts w:hint="eastAsia" w:ascii="方正仿宋_GB2312" w:hAnsi="方正仿宋_GB2312" w:eastAsia="方正仿宋_GB2312" w:cs="方正仿宋_GB2312"/>
              </w:rPr>
              <w:t xml:space="preserve">。以技术要求响应及偏离表及对应技术资料为判断依据；无法提供对应响应内容的，按该项负偏离处理。</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rPr>
                <w:rFonts w:hint="default"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 xml:space="preserve">30</w:t>
            </w:r>
            <w:r/>
          </w:p>
        </w:tc>
      </w:tr>
      <w:tr>
        <w:trPr>
          <w:trHeight w:val="23"/>
        </w:trPr>
        <w:tc>
          <w:tcPr>
            <w:tcBorders>
              <w:top w:val="single" w:color="000000" w:sz="4" w:space="0"/>
              <w:left w:val="single" w:color="000000" w:sz="4" w:space="0"/>
              <w:right w:val="single" w:color="000000" w:sz="4" w:space="0"/>
            </w:tcBorders>
            <w:tcW w:w="1321" w:type="dxa"/>
            <w:vAlign w:val="center"/>
            <w:vMerge w:val="continue"/>
            <w:textDirection w:val="lrTb"/>
            <w:noWrap w:val="false"/>
          </w:tcPr>
          <w:p>
            <w:pPr>
              <w:jc w:val="center"/>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国产化适配</w:t>
            </w:r>
            <w:r/>
          </w:p>
        </w:tc>
        <w:tc>
          <w:tcPr>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2.</w:t>
            </w:r>
            <w:r>
              <w:rPr>
                <w:rFonts w:hint="eastAsia" w:ascii="方正仿宋_GB2312" w:hAnsi="方正仿宋_GB2312" w:eastAsia="方正仿宋_GB2312" w:cs="方正仿宋_GB2312"/>
                <w:lang w:val="en-US" w:eastAsia="zh-CN"/>
              </w:rPr>
              <w:t xml:space="preserve">5</w:t>
            </w:r>
            <w:r>
              <w:rPr>
                <w:rFonts w:hint="eastAsia" w:ascii="方正仿宋_GB2312" w:hAnsi="方正仿宋_GB2312" w:eastAsia="方正仿宋_GB2312" w:cs="方正仿宋_GB2312"/>
              </w:rPr>
              <w:t xml:space="preserve"> 对第四章采购需求2.2“国产化适配”所列5项逐项响应，全部满足得5分；每有1项负偏离扣1分，最低得0分，满足或正偏离不扣分。以技术要求响应及偏离表和适配说明等材料为依据。</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5</w:t>
            </w:r>
            <w:r/>
          </w:p>
        </w:tc>
      </w:tr>
      <w:tr>
        <w:trPr>
          <w:trHeight w:val="23"/>
        </w:trPr>
        <w:tc>
          <w:tcPr>
            <w:tcBorders>
              <w:top w:val="single" w:color="000000" w:sz="4" w:space="0"/>
              <w:left w:val="single" w:color="000000" w:sz="4" w:space="0"/>
              <w:right w:val="single" w:color="000000" w:sz="4" w:space="0"/>
            </w:tcBorders>
            <w:tcW w:w="1321" w:type="dxa"/>
            <w:vAlign w:val="center"/>
            <w:vMerge w:val="continue"/>
            <w:textDirection w:val="lrTb"/>
            <w:noWrap w:val="false"/>
          </w:tcPr>
          <w:p>
            <w:pPr>
              <w:jc w:val="center"/>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性能指标</w:t>
            </w:r>
            <w:r/>
          </w:p>
        </w:tc>
        <w:tc>
          <w:tcPr>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2.</w:t>
            </w:r>
            <w:r>
              <w:rPr>
                <w:rFonts w:hint="eastAsia" w:ascii="方正仿宋_GB2312" w:hAnsi="方正仿宋_GB2312" w:eastAsia="方正仿宋_GB2312" w:cs="方正仿宋_GB2312"/>
                <w:lang w:val="en-US" w:eastAsia="zh-CN"/>
              </w:rPr>
              <w:t xml:space="preserve">6</w:t>
            </w:r>
            <w:r>
              <w:rPr>
                <w:rFonts w:hint="eastAsia" w:ascii="方正仿宋_GB2312" w:hAnsi="方正仿宋_GB2312" w:eastAsia="方正仿宋_GB2312" w:cs="方正仿宋_GB2312"/>
              </w:rPr>
              <w:t xml:space="preserve">对第四章采购需求3.1“性能指标”所列5项逐项响应，全部满足得5分；每有1项负偏离扣1分，最低得0分，满足或正偏离不扣分。以技术要求响应及偏离表及能够证明指标数值的技术资料为依据。</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5</w:t>
            </w:r>
            <w:r/>
          </w:p>
        </w:tc>
      </w:tr>
      <w:tr>
        <w:trPr>
          <w:trHeight w:val="23"/>
        </w:trPr>
        <w:tc>
          <w:tcPr>
            <w:tcBorders>
              <w:top w:val="single" w:color="000000" w:sz="4" w:space="0"/>
              <w:left w:val="single" w:color="000000" w:sz="4" w:space="0"/>
              <w:right w:val="single" w:color="000000" w:sz="4" w:space="0"/>
            </w:tcBorders>
            <w:tcW w:w="1321" w:type="dxa"/>
            <w:vAlign w:val="center"/>
            <w:vMerge w:val="restart"/>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bidi="ar"/>
              </w:rPr>
              <w:t xml:space="preserve">3项目方案及服务部分</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bidi="ar"/>
              </w:rPr>
              <w:t xml:space="preserve">系统总体架构与集成方案</w:t>
            </w:r>
            <w:r/>
          </w:p>
        </w:tc>
        <w:tc>
          <w:tcPr>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3.1 系统总体架构与集成方案（5分）：①提交系统模块及数据流架构图，标明主要模块与数据交换关系，1分；②提交部署拓扑及软硬件环境、网络边界说明，1分；③列出接口清单，包含调用方、数据项及传输方式，1分；④说明账号权限及数据安全控制措施，1分；⑤提交与采购人现有系统的数据对接和联调步骤、交付件清单，1分。每项须在方案中有对应内容，缺少该项不得分。</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5</w:t>
            </w:r>
            <w:r/>
          </w:p>
        </w:tc>
      </w:tr>
      <w:tr>
        <w:trPr>
          <w:trHeight w:val="23"/>
        </w:trPr>
        <w:tc>
          <w:tcPr>
            <w:tcBorders>
              <w:top w:val="single" w:color="000000" w:sz="4" w:space="0"/>
              <w:left w:val="single" w:color="000000" w:sz="4" w:space="0"/>
              <w:right w:val="single" w:color="000000" w:sz="4" w:space="0"/>
            </w:tcBorders>
            <w:tcW w:w="1321" w:type="dxa"/>
            <w:vAlign w:val="center"/>
            <w:vMerge w:val="continue"/>
            <w:textDirection w:val="lrTb"/>
            <w:noWrap w:val="false"/>
          </w:tcPr>
          <w:p>
            <w:pPr>
              <w:jc w:val="center"/>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bidi="ar"/>
              </w:rPr>
              <w:t xml:space="preserve">新冠、流感单毒株预测模型设计方案</w:t>
            </w:r>
            <w:r/>
          </w:p>
        </w:tc>
        <w:tc>
          <w:tcPr>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3.2 新冠、流感单毒株预测模型设计方案（5分）：①说明新冠和流感单毒株场景及输入数据字段，1分；②列出数据校验与缺失值处理规则，1分；③列出可配置参数及参数说明，1分；④说明预测输出包含时间序列与预测值，1分；⑤说明结果展示、历史查询或导出方式及模型效果检验方法，1分。每项须有对应文字、流程图或样例，缺少该项不得分；不限定具体算法路线。</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5</w:t>
            </w:r>
            <w:r/>
          </w:p>
        </w:tc>
      </w:tr>
      <w:tr>
        <w:trPr>
          <w:trHeight w:val="23"/>
        </w:trPr>
        <w:tc>
          <w:tcPr>
            <w:tcBorders>
              <w:top w:val="single" w:color="000000" w:sz="4" w:space="0"/>
              <w:left w:val="single" w:color="000000" w:sz="4" w:space="0"/>
              <w:right w:val="single" w:color="000000" w:sz="4" w:space="0"/>
            </w:tcBorders>
            <w:tcW w:w="1321" w:type="dxa"/>
            <w:vAlign w:val="center"/>
            <w:vMerge w:val="continue"/>
            <w:textDirection w:val="lrTb"/>
            <w:noWrap w:val="false"/>
          </w:tcPr>
          <w:p>
            <w:pPr>
              <w:jc w:val="center"/>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bidi="ar"/>
              </w:rPr>
              <w:t xml:space="preserve">新冠、流感双毒株预测模型设计方案</w:t>
            </w:r>
            <w:r/>
          </w:p>
        </w:tc>
        <w:tc>
          <w:tcPr>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3.3 新冠、流感双毒株预测模型设计方案（5分）：①说明两种毒株数据分别输入或标识的方式，1分；②说明两种毒株的独立参数配置或独立结果生成方式，1分；③列出双毒株数据模板及校验字段，1分；④说明各毒株趋势及总体趋势的展示方式，1分；⑤说明起峰时间比较、历史查询和结果导出方式，1分。每项须有对应文字、流程图或样例，缺少该项不得分；允许等效技术路线。</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5</w:t>
            </w:r>
            <w:r/>
          </w:p>
        </w:tc>
      </w:tr>
      <w:tr>
        <w:trPr>
          <w:trHeight w:val="23"/>
        </w:trPr>
        <w:tc>
          <w:tcPr>
            <w:tcBorders>
              <w:top w:val="single" w:color="000000" w:sz="4" w:space="0"/>
              <w:left w:val="single" w:color="000000" w:sz="4" w:space="0"/>
              <w:right w:val="single" w:color="000000" w:sz="4" w:space="0"/>
            </w:tcBorders>
            <w:tcW w:w="1321" w:type="dxa"/>
            <w:vAlign w:val="center"/>
            <w:vMerge w:val="continue"/>
            <w:textDirection w:val="lrTb"/>
            <w:noWrap w:val="false"/>
          </w:tcPr>
          <w:p>
            <w:pPr>
              <w:jc w:val="center"/>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bidi="ar"/>
              </w:rPr>
              <w:t xml:space="preserve">实施方案</w:t>
            </w:r>
            <w:r/>
          </w:p>
        </w:tc>
        <w:tc>
          <w:tcPr>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3.4 实施方案（5分）：①列明项目负责人及开发、测试、实施岗位职责，1分；②提交覆盖需求确认、开发、测试、部署、验收的里程碑计划，1分；③列明每个里程碑交付件及责任人，1分；④提交包含进度跟踪、变更管理和问题闭环的执行流程，1分；⑤列明不少于数据质量、接口联调、模型结果异常三类风险的应对措施，1分。每项材料具备对应内容得分，缺少该项不得分。</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5</w:t>
            </w:r>
            <w:r/>
          </w:p>
        </w:tc>
      </w:tr>
      <w:tr>
        <w:trPr>
          <w:trHeight w:val="23"/>
        </w:trPr>
        <w:tc>
          <w:tcPr>
            <w:tcBorders>
              <w:top w:val="single" w:color="000000" w:sz="4" w:space="0"/>
              <w:left w:val="single" w:color="000000" w:sz="4" w:space="0"/>
              <w:right w:val="single" w:color="000000" w:sz="4" w:space="0"/>
            </w:tcBorders>
            <w:tcW w:w="1321" w:type="dxa"/>
            <w:vAlign w:val="center"/>
            <w:vMerge w:val="continue"/>
            <w:textDirection w:val="lrTb"/>
            <w:noWrap w:val="false"/>
          </w:tcPr>
          <w:p>
            <w:pPr>
              <w:jc w:val="center"/>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bidi="ar"/>
              </w:rPr>
              <w:t xml:space="preserve">售后服务方案</w:t>
            </w:r>
            <w:r/>
          </w:p>
        </w:tc>
        <w:tc>
          <w:tcPr>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3.5 售后服务方案（5分）：①列明服务渠道、服务时间及联系人岗位，1分；②提供故障分级、受理、升级、关闭流程，1分；③承诺故障响应时限并区分至少两个故障级别，1分；④列明远程处理、现场支持的触发条件和时限，1分；⑤提交问题记录、处理结果确认和定期服务报告样式，1分。每项须在方案中有明确承诺或样表，缺少该项不得分。</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5</w:t>
            </w:r>
            <w:r/>
          </w:p>
        </w:tc>
      </w:tr>
      <w:tr>
        <w:trPr>
          <w:trHeight w:val="23"/>
        </w:trPr>
        <w:tc>
          <w:tcPr>
            <w:tcBorders>
              <w:top w:val="single" w:color="000000" w:sz="4" w:space="0"/>
              <w:left w:val="single" w:color="000000" w:sz="4" w:space="0"/>
              <w:right w:val="single" w:color="000000" w:sz="4" w:space="0"/>
            </w:tcBorders>
            <w:tcW w:w="1321" w:type="dxa"/>
            <w:vAlign w:val="center"/>
            <w:vMerge w:val="continue"/>
            <w:textDirection w:val="lrTb"/>
            <w:noWrap w:val="false"/>
          </w:tcPr>
          <w:p>
            <w:pPr>
              <w:jc w:val="center"/>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bidi="ar"/>
              </w:rPr>
              <w:t xml:space="preserve">项目培训方案</w:t>
            </w:r>
            <w:r/>
          </w:p>
        </w:tc>
        <w:tc>
          <w:tcPr>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3.6 项目培训方案（5分）：①列明管理人员和业务操作人员培训对象，1分；②列出覆盖数据导入、预测分析、风险研判和结果查询的课程表，1分；③明确培训次数、每次课时及参训人数安排，1分；④提供操作手册或培训课件目录及样页，1分；⑤列明实操考核方式、合格标准和补训安排，1分。每项须有对应内容，缺少该项不得分。</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5</w:t>
            </w:r>
            <w:r/>
          </w:p>
        </w:tc>
      </w:tr>
      <w:tr>
        <w:trPr>
          <w:trHeight w:val="23"/>
        </w:trPr>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bidi="ar"/>
              </w:rPr>
              <w:t xml:space="preserve">4视频演示</w:t>
            </w:r>
            <w:r/>
          </w:p>
        </w:tc>
        <w:tc>
          <w:tcPr>
            <w:tcBorders>
              <w:top w:val="single" w:color="000000" w:sz="4" w:space="0"/>
              <w:left w:val="single" w:color="000000" w:sz="4" w:space="0"/>
              <w:bottom w:val="single" w:color="000000" w:sz="4" w:space="0"/>
              <w:right w:val="single" w:color="000000" w:sz="4" w:space="0"/>
            </w:tcBorders>
            <w:tcW w:w="1369" w:type="dxa"/>
            <w:vAlign w:val="center"/>
            <w:textDirection w:val="lrTb"/>
            <w:noWrap w:val="false"/>
          </w:tcPr>
          <w:p>
            <w:pPr>
              <w:jc w:val="lef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bidi="ar"/>
              </w:rPr>
              <w:t xml:space="preserve">功能演示</w:t>
            </w:r>
            <w:r/>
          </w:p>
        </w:tc>
        <w:tc>
          <w:tcPr>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4.1投标人按第四章“视频演示要求”提交不超过15分钟的演示视频。演示可采用可运行系统、交互原型或录屏样例，按下列10个可观察环节逐项评分，每完成1项得1分，满分10分：</w:t>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①新冠单毒株数据导入与参数设置</w:t>
            </w:r>
            <w:r>
              <w:rPr>
                <w:rFonts w:hint="eastAsia" w:ascii="方正仿宋_GB2312" w:hAnsi="方正仿宋_GB2312" w:eastAsia="方正仿宋_GB2312" w:cs="方正仿宋_GB2312"/>
                <w:lang w:eastAsia="zh-CN"/>
              </w:rPr>
              <w:t xml:space="preserve">，</w:t>
            </w:r>
            <w:r>
              <w:rPr>
                <w:rFonts w:hint="eastAsia" w:ascii="方正仿宋_GB2312" w:hAnsi="方正仿宋_GB2312" w:eastAsia="方正仿宋_GB2312" w:cs="方正仿宋_GB2312"/>
                <w:lang w:val="en-US" w:eastAsia="zh-CN"/>
              </w:rPr>
              <w:t xml:space="preserve">完成演示得1分</w:t>
            </w:r>
            <w:r>
              <w:rPr>
                <w:rFonts w:hint="eastAsia" w:ascii="方正仿宋_GB2312" w:hAnsi="方正仿宋_GB2312" w:eastAsia="方正仿宋_GB2312" w:cs="方正仿宋_GB2312"/>
              </w:rPr>
              <w:t xml:space="preserve">；</w:t>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②新冠单毒株预测结果及误差展示</w:t>
            </w:r>
            <w:r>
              <w:rPr>
                <w:rFonts w:hint="eastAsia" w:ascii="方正仿宋_GB2312" w:hAnsi="方正仿宋_GB2312" w:eastAsia="方正仿宋_GB2312" w:cs="方正仿宋_GB2312"/>
                <w:lang w:eastAsia="zh-CN"/>
              </w:rPr>
              <w:t xml:space="preserve">，</w:t>
            </w:r>
            <w:r>
              <w:rPr>
                <w:rFonts w:hint="eastAsia" w:ascii="方正仿宋_GB2312" w:hAnsi="方正仿宋_GB2312" w:eastAsia="方正仿宋_GB2312" w:cs="方正仿宋_GB2312"/>
                <w:lang w:val="en-US" w:eastAsia="zh-CN"/>
              </w:rPr>
              <w:t xml:space="preserve">完成演示得1分</w:t>
            </w:r>
            <w:r>
              <w:rPr>
                <w:rFonts w:hint="eastAsia" w:ascii="方正仿宋_GB2312" w:hAnsi="方正仿宋_GB2312" w:eastAsia="方正仿宋_GB2312" w:cs="方正仿宋_GB2312"/>
              </w:rPr>
              <w:t xml:space="preserve">；</w:t>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③新冠双毒株数据与参数设置</w:t>
            </w:r>
            <w:r>
              <w:rPr>
                <w:rFonts w:hint="eastAsia" w:ascii="方正仿宋_GB2312" w:hAnsi="方正仿宋_GB2312" w:eastAsia="方正仿宋_GB2312" w:cs="方正仿宋_GB2312"/>
                <w:lang w:eastAsia="zh-CN"/>
              </w:rPr>
              <w:t xml:space="preserve">，</w:t>
            </w:r>
            <w:r>
              <w:rPr>
                <w:rFonts w:hint="eastAsia" w:ascii="方正仿宋_GB2312" w:hAnsi="方正仿宋_GB2312" w:eastAsia="方正仿宋_GB2312" w:cs="方正仿宋_GB2312"/>
                <w:lang w:val="en-US" w:eastAsia="zh-CN"/>
              </w:rPr>
              <w:t xml:space="preserve">完成演示得1分</w:t>
            </w:r>
            <w:r>
              <w:rPr>
                <w:rFonts w:hint="eastAsia" w:ascii="方正仿宋_GB2312" w:hAnsi="方正仿宋_GB2312" w:eastAsia="方正仿宋_GB2312" w:cs="方正仿宋_GB2312"/>
              </w:rPr>
              <w:t xml:space="preserve">；</w:t>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④新冠双毒株分株及总体趋势展示</w:t>
            </w:r>
            <w:r>
              <w:rPr>
                <w:rFonts w:hint="eastAsia" w:ascii="方正仿宋_GB2312" w:hAnsi="方正仿宋_GB2312" w:eastAsia="方正仿宋_GB2312" w:cs="方正仿宋_GB2312"/>
                <w:lang w:eastAsia="zh-CN"/>
              </w:rPr>
              <w:t xml:space="preserve">，</w:t>
            </w:r>
            <w:r>
              <w:rPr>
                <w:rFonts w:hint="eastAsia" w:ascii="方正仿宋_GB2312" w:hAnsi="方正仿宋_GB2312" w:eastAsia="方正仿宋_GB2312" w:cs="方正仿宋_GB2312"/>
                <w:lang w:val="en-US" w:eastAsia="zh-CN"/>
              </w:rPr>
              <w:t xml:space="preserve">完成演示得1分</w:t>
            </w:r>
            <w:r>
              <w:rPr>
                <w:rFonts w:hint="eastAsia" w:ascii="方正仿宋_GB2312" w:hAnsi="方正仿宋_GB2312" w:eastAsia="方正仿宋_GB2312" w:cs="方正仿宋_GB2312"/>
              </w:rPr>
              <w:t xml:space="preserve">；</w:t>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⑤流感单毒株数据导入与参数设置</w:t>
            </w:r>
            <w:r>
              <w:rPr>
                <w:rFonts w:hint="eastAsia" w:ascii="方正仿宋_GB2312" w:hAnsi="方正仿宋_GB2312" w:eastAsia="方正仿宋_GB2312" w:cs="方正仿宋_GB2312"/>
                <w:lang w:eastAsia="zh-CN"/>
              </w:rPr>
              <w:t xml:space="preserve">，</w:t>
            </w:r>
            <w:r>
              <w:rPr>
                <w:rFonts w:hint="eastAsia" w:ascii="方正仿宋_GB2312" w:hAnsi="方正仿宋_GB2312" w:eastAsia="方正仿宋_GB2312" w:cs="方正仿宋_GB2312"/>
                <w:lang w:val="en-US" w:eastAsia="zh-CN"/>
              </w:rPr>
              <w:t xml:space="preserve">完成演示得1分</w:t>
            </w:r>
            <w:r>
              <w:rPr>
                <w:rFonts w:hint="eastAsia" w:ascii="方正仿宋_GB2312" w:hAnsi="方正仿宋_GB2312" w:eastAsia="方正仿宋_GB2312" w:cs="方正仿宋_GB2312"/>
              </w:rPr>
              <w:t xml:space="preserve">；</w:t>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⑥流感单毒株预测结果及误差展示</w:t>
            </w:r>
            <w:r>
              <w:rPr>
                <w:rFonts w:hint="eastAsia" w:ascii="方正仿宋_GB2312" w:hAnsi="方正仿宋_GB2312" w:eastAsia="方正仿宋_GB2312" w:cs="方正仿宋_GB2312"/>
                <w:lang w:eastAsia="zh-CN"/>
              </w:rPr>
              <w:t xml:space="preserve">，</w:t>
            </w:r>
            <w:r>
              <w:rPr>
                <w:rFonts w:hint="eastAsia" w:ascii="方正仿宋_GB2312" w:hAnsi="方正仿宋_GB2312" w:eastAsia="方正仿宋_GB2312" w:cs="方正仿宋_GB2312"/>
                <w:lang w:val="en-US" w:eastAsia="zh-CN"/>
              </w:rPr>
              <w:t xml:space="preserve">完成演示得1分</w:t>
            </w:r>
            <w:r>
              <w:rPr>
                <w:rFonts w:hint="eastAsia" w:ascii="方正仿宋_GB2312" w:hAnsi="方正仿宋_GB2312" w:eastAsia="方正仿宋_GB2312" w:cs="方正仿宋_GB2312"/>
              </w:rPr>
              <w:t xml:space="preserve">；</w:t>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⑦流感双毒株数据与参数设置</w:t>
            </w:r>
            <w:r>
              <w:rPr>
                <w:rFonts w:hint="eastAsia" w:ascii="方正仿宋_GB2312" w:hAnsi="方正仿宋_GB2312" w:eastAsia="方正仿宋_GB2312" w:cs="方正仿宋_GB2312"/>
                <w:lang w:eastAsia="zh-CN"/>
              </w:rPr>
              <w:t xml:space="preserve">，</w:t>
            </w:r>
            <w:r>
              <w:rPr>
                <w:rFonts w:hint="eastAsia" w:ascii="方正仿宋_GB2312" w:hAnsi="方正仿宋_GB2312" w:eastAsia="方正仿宋_GB2312" w:cs="方正仿宋_GB2312"/>
                <w:lang w:val="en-US" w:eastAsia="zh-CN"/>
              </w:rPr>
              <w:t xml:space="preserve">完成演示得1分</w:t>
            </w:r>
            <w:r>
              <w:rPr>
                <w:rFonts w:hint="eastAsia" w:ascii="方正仿宋_GB2312" w:hAnsi="方正仿宋_GB2312" w:eastAsia="方正仿宋_GB2312" w:cs="方正仿宋_GB2312"/>
              </w:rPr>
              <w:t xml:space="preserve">；</w:t>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⑧流感双毒株分株及总体趋势展示</w:t>
            </w:r>
            <w:r>
              <w:rPr>
                <w:rFonts w:hint="eastAsia" w:ascii="方正仿宋_GB2312" w:hAnsi="方正仿宋_GB2312" w:eastAsia="方正仿宋_GB2312" w:cs="方正仿宋_GB2312"/>
                <w:lang w:eastAsia="zh-CN"/>
              </w:rPr>
              <w:t xml:space="preserve">，</w:t>
            </w:r>
            <w:r>
              <w:rPr>
                <w:rFonts w:hint="eastAsia" w:ascii="方正仿宋_GB2312" w:hAnsi="方正仿宋_GB2312" w:eastAsia="方正仿宋_GB2312" w:cs="方正仿宋_GB2312"/>
                <w:lang w:val="en-US" w:eastAsia="zh-CN"/>
              </w:rPr>
              <w:t xml:space="preserve">完成演示得1分</w:t>
            </w:r>
            <w:r>
              <w:rPr>
                <w:rFonts w:hint="eastAsia" w:ascii="方正仿宋_GB2312" w:hAnsi="方正仿宋_GB2312" w:eastAsia="方正仿宋_GB2312" w:cs="方正仿宋_GB2312"/>
              </w:rPr>
              <w:t xml:space="preserve">；</w:t>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⑨预测结果调整及刷新</w:t>
            </w:r>
            <w:r>
              <w:rPr>
                <w:rFonts w:hint="eastAsia" w:ascii="方正仿宋_GB2312" w:hAnsi="方正仿宋_GB2312" w:eastAsia="方正仿宋_GB2312" w:cs="方正仿宋_GB2312"/>
                <w:lang w:eastAsia="zh-CN"/>
              </w:rPr>
              <w:t xml:space="preserve">，</w:t>
            </w:r>
            <w:r>
              <w:rPr>
                <w:rFonts w:hint="eastAsia" w:ascii="方正仿宋_GB2312" w:hAnsi="方正仿宋_GB2312" w:eastAsia="方正仿宋_GB2312" w:cs="方正仿宋_GB2312"/>
                <w:lang w:val="en-US" w:eastAsia="zh-CN"/>
              </w:rPr>
              <w:t xml:space="preserve">完成演示得1分</w:t>
            </w:r>
            <w:r>
              <w:rPr>
                <w:rFonts w:hint="eastAsia" w:ascii="方正仿宋_GB2312" w:hAnsi="方正仿宋_GB2312" w:eastAsia="方正仿宋_GB2312" w:cs="方正仿宋_GB2312"/>
              </w:rPr>
              <w:t xml:space="preserve">；</w:t>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⑩历史查询、模板下载或结果导出</w:t>
            </w:r>
            <w:r>
              <w:rPr>
                <w:rFonts w:hint="eastAsia" w:ascii="方正仿宋_GB2312" w:hAnsi="方正仿宋_GB2312" w:eastAsia="方正仿宋_GB2312" w:cs="方正仿宋_GB2312"/>
                <w:lang w:eastAsia="zh-CN"/>
              </w:rPr>
              <w:t xml:space="preserve">，</w:t>
            </w:r>
            <w:r>
              <w:rPr>
                <w:rFonts w:hint="eastAsia" w:ascii="方正仿宋_GB2312" w:hAnsi="方正仿宋_GB2312" w:eastAsia="方正仿宋_GB2312" w:cs="方正仿宋_GB2312"/>
                <w:lang w:val="en-US" w:eastAsia="zh-CN"/>
              </w:rPr>
              <w:t xml:space="preserve">完成演示得1分</w:t>
            </w:r>
            <w:r>
              <w:rPr>
                <w:rFonts w:hint="eastAsia" w:ascii="方正仿宋_GB2312" w:hAnsi="方正仿宋_GB2312" w:eastAsia="方正仿宋_GB2312" w:cs="方正仿宋_GB2312"/>
              </w:rPr>
              <w:t xml:space="preserve">。</w:t>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未展示的</w:t>
            </w:r>
            <w:r>
              <w:rPr>
                <w:rFonts w:hint="eastAsia" w:ascii="方正仿宋_GB2312" w:hAnsi="方正仿宋_GB2312" w:eastAsia="方正仿宋_GB2312" w:cs="方正仿宋_GB2312"/>
                <w:lang w:val="en-US" w:eastAsia="zh-CN"/>
              </w:rPr>
              <w:t xml:space="preserve">条目</w:t>
            </w:r>
            <w:r>
              <w:rPr>
                <w:rFonts w:hint="eastAsia" w:ascii="方正仿宋_GB2312" w:hAnsi="方正仿宋_GB2312" w:eastAsia="方正仿宋_GB2312" w:cs="方正仿宋_GB2312"/>
              </w:rPr>
              <w:t xml:space="preserve">不得分。</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10</w:t>
            </w:r>
            <w:r/>
          </w:p>
        </w:tc>
      </w:tr>
    </w:tbl>
    <w:p>
      <w:pPr>
        <w:ind w:left="0" w:right="0"/>
        <w:jc w:val="left"/>
        <w:spacing w:before="120" w:after="120" w:line="400" w:lineRule="exact"/>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rPr>
        <w:br w:type="page" w:clear="all"/>
      </w:r>
      <w:r/>
    </w:p>
    <w:p>
      <w:pPr>
        <w:ind w:right="839"/>
        <w:jc w:val="center"/>
        <w:spacing w:line="66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第六章  投标文件格式 </w:t>
      </w:r>
      <w:r/>
    </w:p>
    <w:p>
      <w:pPr>
        <w:jc w:val="center"/>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color w:val="000000"/>
          <w:sz w:val="28"/>
          <w:szCs w:val="28"/>
        </w:rPr>
      </w:r>
      <w:r/>
    </w:p>
    <w:p>
      <w:pPr>
        <w:jc w:val="center"/>
        <w:rPr>
          <w:rFonts w:hint="eastAsia" w:ascii="方正仿宋_GB2312" w:hAnsi="方正仿宋_GB2312" w:eastAsia="方正仿宋_GB2312" w:cs="方正仿宋_GB2312"/>
          <w:b/>
          <w:bCs/>
          <w:sz w:val="44"/>
          <w:szCs w:val="44"/>
        </w:rPr>
      </w:pPr>
      <w:r>
        <w:rPr>
          <w:rFonts w:hint="eastAsia" w:ascii="方正仿宋_GB2312" w:hAnsi="方正仿宋_GB2312" w:eastAsia="方正仿宋_GB2312" w:cs="方正仿宋_GB2312"/>
          <w:b/>
          <w:bCs/>
          <w:sz w:val="44"/>
          <w:szCs w:val="44"/>
        </w:rPr>
      </w:r>
      <w:r/>
    </w:p>
    <w:p>
      <w:pPr>
        <w:jc w:val="center"/>
        <w:rPr>
          <w:rFonts w:hint="eastAsia" w:ascii="方正仿宋_GB2312" w:hAnsi="方正仿宋_GB2312" w:eastAsia="方正仿宋_GB2312" w:cs="方正仿宋_GB2312"/>
          <w:bCs/>
          <w:sz w:val="32"/>
          <w:szCs w:val="32"/>
        </w:rPr>
      </w:pPr>
      <w:r>
        <w:rPr>
          <w:rFonts w:hint="eastAsia" w:ascii="方正仿宋_GB2312" w:hAnsi="方正仿宋_GB2312" w:eastAsia="方正仿宋_GB2312" w:cs="方正仿宋_GB2312"/>
          <w:bCs/>
          <w:sz w:val="32"/>
          <w:szCs w:val="32"/>
        </w:rPr>
        <w:t xml:space="preserve">投  标  文  件</w:t>
      </w:r>
      <w:r/>
    </w:p>
    <w:p>
      <w:pPr>
        <w:jc w:val="center"/>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r>
      <w:r/>
    </w:p>
    <w:p>
      <w:pPr>
        <w:jc w:val="center"/>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jc w:val="center"/>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jc w:val="center"/>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jc w:val="center"/>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ind w:left="0" w:right="0"/>
        <w:spacing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项 目 名 称：</w:t>
      </w:r>
      <w:r>
        <w:rPr>
          <w:rFonts w:hint="eastAsia" w:ascii="方正仿宋_GB2312" w:hAnsi="方正仿宋_GB2312" w:eastAsia="方正仿宋_GB2312" w:cs="方正仿宋_GB2312"/>
          <w:bCs/>
          <w:sz w:val="28"/>
          <w:szCs w:val="28"/>
          <w:u w:val="single"/>
        </w:rPr>
        <w:t xml:space="preserve">               </w:t>
      </w:r>
      <w:r/>
    </w:p>
    <w:p>
      <w:pPr>
        <w:ind w:left="0" w:right="0"/>
        <w:spacing w:line="400" w:lineRule="exact"/>
        <w:rPr>
          <w:rFonts w:hint="eastAsia" w:ascii="方正仿宋_GB2312" w:hAnsi="方正仿宋_GB2312" w:eastAsia="方正仿宋_GB2312" w:cs="方正仿宋_GB2312"/>
          <w:bCs/>
          <w:sz w:val="28"/>
          <w:szCs w:val="28"/>
          <w:u w:val="single"/>
        </w:rPr>
      </w:pPr>
      <w:r>
        <w:rPr>
          <w:rFonts w:hint="eastAsia" w:ascii="方正仿宋_GB2312" w:hAnsi="方正仿宋_GB2312" w:eastAsia="方正仿宋_GB2312" w:cs="方正仿宋_GB2312"/>
          <w:bCs/>
          <w:sz w:val="28"/>
          <w:szCs w:val="28"/>
        </w:rPr>
        <w:t xml:space="preserve">采 购 编 号：</w:t>
      </w:r>
      <w:r>
        <w:rPr>
          <w:rFonts w:hint="eastAsia" w:ascii="方正仿宋_GB2312" w:hAnsi="方正仿宋_GB2312" w:eastAsia="方正仿宋_GB2312" w:cs="方正仿宋_GB2312"/>
          <w:bCs/>
          <w:sz w:val="28"/>
          <w:szCs w:val="28"/>
          <w:u w:val="single"/>
        </w:rPr>
        <w:t xml:space="preserve">               </w:t>
      </w:r>
      <w:r/>
    </w:p>
    <w:p>
      <w:pPr>
        <w:spacing w:line="400" w:lineRule="exact"/>
        <w:rPr>
          <w:rFonts w:hint="eastAsia" w:ascii="方正仿宋_GB2312" w:hAnsi="方正仿宋_GB2312" w:eastAsia="方正仿宋_GB2312" w:cs="方正仿宋_GB2312"/>
          <w:bCs/>
          <w:sz w:val="28"/>
          <w:szCs w:val="28"/>
          <w:u w:val="single"/>
        </w:rPr>
      </w:pPr>
      <w:r>
        <w:rPr>
          <w:rFonts w:hint="eastAsia" w:ascii="方正仿宋_GB2312" w:hAnsi="方正仿宋_GB2312" w:eastAsia="方正仿宋_GB2312" w:cs="方正仿宋_GB2312"/>
          <w:bCs/>
          <w:sz w:val="28"/>
          <w:szCs w:val="28"/>
        </w:rPr>
        <w:t xml:space="preserve">      投标人名称 ：</w:t>
      </w:r>
      <w:r>
        <w:rPr>
          <w:rFonts w:hint="eastAsia" w:ascii="方正仿宋_GB2312" w:hAnsi="方正仿宋_GB2312" w:eastAsia="方正仿宋_GB2312" w:cs="方正仿宋_GB2312"/>
          <w:bCs/>
          <w:sz w:val="28"/>
          <w:szCs w:val="28"/>
          <w:u w:val="single"/>
        </w:rPr>
        <w:t xml:space="preserve">（加盖CA电子公章）</w:t>
      </w:r>
      <w:r/>
    </w:p>
    <w:p>
      <w:pPr>
        <w:spacing w:line="400" w:lineRule="exact"/>
        <w:rPr>
          <w:rFonts w:hint="eastAsia" w:ascii="方正仿宋_GB2312" w:hAnsi="方正仿宋_GB2312" w:eastAsia="方正仿宋_GB2312" w:cs="方正仿宋_GB2312"/>
          <w:bCs/>
          <w:sz w:val="28"/>
          <w:szCs w:val="28"/>
          <w:u w:val="single"/>
        </w:rPr>
      </w:pPr>
      <w:r>
        <w:rPr>
          <w:rFonts w:hint="eastAsia" w:ascii="方正仿宋_GB2312" w:hAnsi="方正仿宋_GB2312" w:eastAsia="方正仿宋_GB2312" w:cs="方正仿宋_GB2312"/>
          <w:bCs/>
          <w:sz w:val="28"/>
          <w:szCs w:val="28"/>
        </w:rPr>
        <w:t xml:space="preserve">      日      期 ：</w:t>
      </w:r>
      <w:r>
        <w:rPr>
          <w:rFonts w:hint="eastAsia" w:ascii="方正仿宋_GB2312" w:hAnsi="方正仿宋_GB2312" w:eastAsia="方正仿宋_GB2312" w:cs="方正仿宋_GB2312"/>
          <w:bCs/>
          <w:sz w:val="28"/>
          <w:szCs w:val="28"/>
          <w:u w:val="single"/>
        </w:rPr>
        <w:t xml:space="preserve">               </w:t>
      </w:r>
      <w:r/>
    </w:p>
    <w:p>
      <w:pPr>
        <w:jc w:val="center"/>
        <w:spacing w:line="440" w:lineRule="exact"/>
        <w:rPr>
          <w:rFonts w:hint="eastAsia" w:ascii="方正仿宋_GB2312" w:hAnsi="方正仿宋_GB2312" w:eastAsia="方正仿宋_GB2312" w:cs="方正仿宋_GB2312"/>
          <w:b/>
          <w:bCs/>
          <w:sz w:val="32"/>
          <w:szCs w:val="32"/>
          <w:u w:val="single"/>
        </w:rPr>
      </w:pPr>
      <w:r>
        <w:rPr>
          <w:rFonts w:hint="eastAsia" w:ascii="方正仿宋_GB2312" w:hAnsi="方正仿宋_GB2312" w:eastAsia="方正仿宋_GB2312" w:cs="方正仿宋_GB2312"/>
          <w:b/>
          <w:bCs/>
          <w:sz w:val="32"/>
          <w:szCs w:val="32"/>
          <w:u w:val="single"/>
        </w:rPr>
      </w:r>
      <w:r/>
    </w:p>
    <w:p>
      <w:pPr>
        <w:spacing w:line="440" w:lineRule="exact"/>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rPr>
        <w:br w:type="page" w:clear="all"/>
      </w:r>
      <w:r/>
    </w:p>
    <w:p>
      <w:pPr>
        <w:ind w:left="0" w:right="0"/>
        <w:rPr>
          <w:rFonts w:hint="eastAsia" w:ascii="方正仿宋_GB2312" w:hAnsi="方正仿宋_GB2312" w:eastAsia="方正仿宋_GB2312" w:cs="方正仿宋_GB2312"/>
          <w:b/>
          <w:bCs/>
          <w:sz w:val="32"/>
          <w:szCs w:val="32"/>
          <w:u w:val="single"/>
        </w:rPr>
      </w:pPr>
      <w:r>
        <w:rPr>
          <w:rFonts w:hint="eastAsia" w:ascii="方正仿宋_GB2312" w:hAnsi="方正仿宋_GB2312" w:eastAsia="方正仿宋_GB2312" w:cs="方正仿宋_GB2312"/>
          <w:b/>
          <w:bCs/>
          <w:sz w:val="32"/>
          <w:szCs w:val="32"/>
          <w:u w:val="single"/>
        </w:rPr>
      </w:r>
      <w:r/>
    </w:p>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投标文件的组成</w:t>
      </w:r>
      <w:r/>
    </w:p>
    <w:p>
      <w:pPr>
        <w:jc w:val="center"/>
        <w:spacing w:line="40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r>
      <w:r/>
    </w:p>
    <w:p>
      <w:pPr>
        <w:ind w:left="0" w:right="0"/>
        <w:jc w:val="left"/>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一、基本目录</w:t>
      </w:r>
      <w:r/>
    </w:p>
    <w:p>
      <w:pPr>
        <w:ind w:left="0" w:right="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1.开标一览表（格式见附件1）</w:t>
      </w:r>
      <w:r/>
    </w:p>
    <w:p>
      <w:pPr>
        <w:ind w:left="0" w:right="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2.投标分项报价表（格式见附件2）</w:t>
      </w:r>
      <w:r/>
    </w:p>
    <w:p>
      <w:pPr>
        <w:ind w:left="0" w:right="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3.技术要求响应及偏离表（格式见附件3）</w:t>
      </w:r>
      <w:r/>
    </w:p>
    <w:p>
      <w:pPr>
        <w:ind w:left="0" w:right="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4.商务要求响应及偏离表（格式见附件4）</w:t>
      </w:r>
      <w:r/>
    </w:p>
    <w:p>
      <w:pPr>
        <w:ind w:left="0" w:right="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5.XXXX（格式见附件XX）</w:t>
      </w:r>
      <w:r/>
    </w:p>
    <w:p>
      <w:pPr>
        <w:ind w:left="0" w:right="0"/>
        <w:jc w:val="left"/>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二、资格审查内容</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1.法人或者其他组织的营业执照等证明文件，自然人的身份证明</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2.上一年度的财务状况报告（投标人成立不满一年无需提供）</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4.具备履行合同所必需的设备和专业技术能力的书面声明（格式见附件5）</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5.参加政府采购活动前 3 年内在经营活动中没有重大违法记录的书面声明（格式见附件6）</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6.特定资格要求的证明文件（如果本项目对投标人做出特定资格要求的，必须提供）</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7.在“信用中国”网站（</w:t>
      </w:r>
      <w:r>
        <w:rPr>
          <w:rFonts w:hint="eastAsia" w:ascii="方正仿宋_GB2312" w:hAnsi="方正仿宋_GB2312" w:eastAsia="方正仿宋_GB2312" w:cs="方正仿宋_GB2312"/>
          <w:color w:val="000000"/>
          <w:sz w:val="28"/>
          <w:szCs w:val="28"/>
        </w:rPr>
        <w:t xml:space="preserve">www.creditchina.gov.cn</w:t>
      </w:r>
      <w:r>
        <w:rPr>
          <w:rFonts w:hint="eastAsia" w:ascii="方正仿宋_GB2312" w:hAnsi="方正仿宋_GB2312" w:eastAsia="方正仿宋_GB2312" w:cs="方正仿宋_GB2312"/>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8.法人授权书（格式见附件7）</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9.投标函（格式见附件8）</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10.中小微企业声明函（如果本项目专门面向中小微型企业采购，则必须提供。格式见附件9）</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11.残疾人福利性单位声明函（如果本项目专门面向中小微型企业采购，供应商为残疾人福利性单位并由本单位提供服务。格式见附件10）</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总备注：上述“资格审查内容”中1-5条、8、9条投标人必须在投标文件中提供相关材料，否则作无效投标处理；6、10、11、12条如招标文件要求必须提供相关材料而未提供的，作无效投标处理。</w:t>
      </w:r>
      <w:r/>
    </w:p>
    <w:p>
      <w:pPr>
        <w:ind w:left="0" w:right="0"/>
        <w:jc w:val="left"/>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三、符合性审查内容</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投标人必须对招标文件（含技术要求和商务要求）中</w:t>
      </w:r>
      <w:r>
        <w:rPr>
          <w:rFonts w:hint="eastAsia" w:ascii="方正仿宋_GB2312" w:hAnsi="方正仿宋_GB2312" w:eastAsia="方正仿宋_GB2312" w:cs="方正仿宋_GB2312"/>
          <w:b/>
          <w:bCs/>
          <w:i/>
          <w:sz w:val="28"/>
          <w:szCs w:val="28"/>
          <w:u w:val="single"/>
        </w:rPr>
        <w:t xml:space="preserve">斜体且有下划线部分</w:t>
      </w:r>
      <w:r>
        <w:rPr>
          <w:rFonts w:hint="eastAsia" w:ascii="方正仿宋_GB2312" w:hAnsi="方正仿宋_GB2312" w:eastAsia="方正仿宋_GB2312" w:cs="方正仿宋_GB2312"/>
          <w:b/>
          <w:bCs/>
          <w:sz w:val="28"/>
          <w:szCs w:val="28"/>
        </w:rPr>
        <w:t xml:space="preserve">或加*号条款</w:t>
      </w:r>
      <w:r>
        <w:rPr>
          <w:rFonts w:hint="eastAsia" w:ascii="方正仿宋_GB2312" w:hAnsi="方正仿宋_GB2312" w:eastAsia="方正仿宋_GB2312" w:cs="方正仿宋_GB2312"/>
          <w:sz w:val="28"/>
          <w:szCs w:val="28"/>
        </w:rPr>
        <w:t xml:space="preserve">的实质性要求逐条做出响应，并按照招标文件要求提供证明材料，否则作无效投标处理。（格式见附件12）</w:t>
      </w:r>
      <w:r/>
    </w:p>
    <w:p>
      <w:pPr>
        <w:ind w:left="0" w:right="0"/>
        <w:jc w:val="left"/>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四、价格扣除证明文件</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1.中小微企业声明函（格式见附件9）</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2.残疾人福利性单位声明函（格式见附件10）</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3.关于符合本国产品标准的声明函（格式见附件13）</w:t>
      </w:r>
      <w:r/>
    </w:p>
    <w:p>
      <w:pP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spacing w:line="400" w:lineRule="exact"/>
        <w:rPr>
          <w:rFonts w:hint="eastAsia" w:ascii="方正仿宋_GB2312" w:hAnsi="方正仿宋_GB2312" w:eastAsia="方正仿宋_GB2312" w:cs="方正仿宋_GB2312"/>
          <w:b/>
          <w:color w:val="ff0000"/>
          <w:sz w:val="28"/>
          <w:szCs w:val="28"/>
        </w:rPr>
      </w:pPr>
      <w:r>
        <w:rPr>
          <w:rFonts w:hint="eastAsia" w:ascii="方正仿宋_GB2312" w:hAnsi="方正仿宋_GB2312" w:eastAsia="方正仿宋_GB2312" w:cs="方正仿宋_GB2312"/>
          <w:b/>
          <w:color w:val="ff0000"/>
          <w:sz w:val="28"/>
          <w:szCs w:val="28"/>
        </w:rPr>
      </w:r>
      <w:r/>
    </w:p>
    <w:p>
      <w:pPr>
        <w:spacing w:line="400" w:lineRule="exact"/>
        <w:rPr>
          <w:rFonts w:hint="eastAsia" w:ascii="方正仿宋_GB2312" w:hAnsi="方正仿宋_GB2312" w:eastAsia="方正仿宋_GB2312" w:cs="方正仿宋_GB2312"/>
          <w:b/>
          <w:color w:val="ff0000"/>
          <w:sz w:val="28"/>
          <w:szCs w:val="28"/>
        </w:rPr>
      </w:pPr>
      <w:r>
        <w:rPr>
          <w:rFonts w:hint="eastAsia" w:ascii="方正仿宋_GB2312" w:hAnsi="方正仿宋_GB2312" w:eastAsia="方正仿宋_GB2312" w:cs="方正仿宋_GB2312"/>
          <w:b/>
          <w:color w:val="ff0000"/>
          <w:sz w:val="28"/>
          <w:szCs w:val="28"/>
        </w:rPr>
      </w:r>
      <w:r/>
    </w:p>
    <w:p>
      <w:pPr>
        <w:spacing w:line="400" w:lineRule="exact"/>
        <w:rPr>
          <w:rFonts w:hint="eastAsia" w:ascii="方正仿宋_GB2312" w:hAnsi="方正仿宋_GB2312" w:eastAsia="方正仿宋_GB2312" w:cs="方正仿宋_GB2312"/>
          <w:b/>
          <w:color w:val="ff0000"/>
          <w:sz w:val="28"/>
          <w:szCs w:val="28"/>
        </w:rPr>
      </w:pPr>
      <w:r>
        <w:rPr>
          <w:rFonts w:hint="eastAsia" w:ascii="方正仿宋_GB2312" w:hAnsi="方正仿宋_GB2312" w:eastAsia="方正仿宋_GB2312" w:cs="方正仿宋_GB2312"/>
          <w:b/>
          <w:color w:val="ff0000"/>
          <w:sz w:val="28"/>
          <w:szCs w:val="28"/>
        </w:rPr>
      </w:r>
      <w:r/>
    </w:p>
    <w:p>
      <w:pPr>
        <w:spacing w:line="400" w:lineRule="exact"/>
        <w:rPr>
          <w:rFonts w:hint="eastAsia" w:ascii="方正仿宋_GB2312" w:hAnsi="方正仿宋_GB2312" w:eastAsia="方正仿宋_GB2312" w:cs="方正仿宋_GB2312"/>
          <w:b/>
          <w:color w:val="ff0000"/>
          <w:sz w:val="28"/>
          <w:szCs w:val="28"/>
        </w:rPr>
      </w:pPr>
      <w:r>
        <w:rPr>
          <w:rFonts w:hint="eastAsia" w:ascii="方正仿宋_GB2312" w:hAnsi="方正仿宋_GB2312" w:eastAsia="方正仿宋_GB2312" w:cs="方正仿宋_GB2312"/>
          <w:b/>
          <w:color w:val="ff0000"/>
          <w:sz w:val="28"/>
          <w:szCs w:val="28"/>
        </w:rPr>
      </w:r>
      <w:r/>
    </w:p>
    <w:p>
      <w:pPr>
        <w:spacing w:line="400" w:lineRule="exact"/>
        <w:rPr>
          <w:rFonts w:hint="eastAsia" w:ascii="方正仿宋_GB2312" w:hAnsi="方正仿宋_GB2312" w:eastAsia="方正仿宋_GB2312" w:cs="方正仿宋_GB2312"/>
          <w:b/>
          <w:color w:val="ff0000"/>
          <w:sz w:val="28"/>
          <w:szCs w:val="28"/>
        </w:rPr>
      </w:pPr>
      <w:r>
        <w:rPr>
          <w:rFonts w:hint="eastAsia" w:ascii="方正仿宋_GB2312" w:hAnsi="方正仿宋_GB2312" w:eastAsia="方正仿宋_GB2312" w:cs="方正仿宋_GB2312"/>
          <w:b/>
          <w:color w:val="ff0000"/>
          <w:sz w:val="28"/>
          <w:szCs w:val="28"/>
        </w:rPr>
      </w:r>
      <w:r/>
    </w:p>
    <w:p>
      <w:pPr>
        <w:spacing w:line="400" w:lineRule="exact"/>
        <w:rPr>
          <w:rFonts w:hint="eastAsia" w:ascii="方正仿宋_GB2312" w:hAnsi="方正仿宋_GB2312" w:eastAsia="方正仿宋_GB2312" w:cs="方正仿宋_GB2312"/>
          <w:b/>
          <w:color w:val="ff0000"/>
          <w:sz w:val="28"/>
          <w:szCs w:val="28"/>
        </w:rPr>
      </w:pPr>
      <w:r>
        <w:rPr>
          <w:rFonts w:hint="eastAsia" w:ascii="方正仿宋_GB2312" w:hAnsi="方正仿宋_GB2312" w:eastAsia="方正仿宋_GB2312" w:cs="方正仿宋_GB2312"/>
          <w:b/>
          <w:color w:val="ff0000"/>
          <w:sz w:val="28"/>
          <w:szCs w:val="28"/>
        </w:rPr>
      </w:r>
      <w:r/>
    </w:p>
    <w:p>
      <w:pPr>
        <w:spacing w:line="400" w:lineRule="exact"/>
        <w:rPr>
          <w:rFonts w:hint="eastAsia" w:ascii="方正仿宋_GB2312" w:hAnsi="方正仿宋_GB2312" w:eastAsia="方正仿宋_GB2312" w:cs="方正仿宋_GB2312"/>
          <w:b/>
          <w:color w:val="ff0000"/>
          <w:sz w:val="28"/>
          <w:szCs w:val="28"/>
        </w:rPr>
      </w:pPr>
      <w:r>
        <w:rPr>
          <w:rFonts w:hint="eastAsia" w:ascii="方正仿宋_GB2312" w:hAnsi="方正仿宋_GB2312" w:eastAsia="方正仿宋_GB2312" w:cs="方正仿宋_GB2312"/>
          <w:b/>
          <w:color w:val="ff0000"/>
          <w:sz w:val="28"/>
          <w:szCs w:val="28"/>
        </w:rPr>
      </w:r>
      <w:r/>
    </w:p>
    <w:p>
      <w:pPr>
        <w:spacing w:line="400" w:lineRule="exact"/>
        <w:rPr>
          <w:rFonts w:hint="eastAsia" w:ascii="方正仿宋_GB2312" w:hAnsi="方正仿宋_GB2312" w:eastAsia="方正仿宋_GB2312" w:cs="方正仿宋_GB2312"/>
          <w:b/>
          <w:color w:val="ff0000"/>
          <w:sz w:val="28"/>
          <w:szCs w:val="28"/>
        </w:rPr>
      </w:pPr>
      <w:r>
        <w:rPr>
          <w:rFonts w:hint="eastAsia" w:ascii="方正仿宋_GB2312" w:hAnsi="方正仿宋_GB2312" w:eastAsia="方正仿宋_GB2312" w:cs="方正仿宋_GB2312"/>
          <w:b/>
          <w:color w:val="ff0000"/>
          <w:sz w:val="28"/>
          <w:szCs w:val="28"/>
        </w:rPr>
      </w:r>
      <w:r/>
    </w:p>
    <w:p>
      <w:pPr>
        <w:spacing w:line="400" w:lineRule="exact"/>
        <w:rPr>
          <w:rFonts w:hint="eastAsia" w:ascii="方正仿宋_GB2312" w:hAnsi="方正仿宋_GB2312" w:eastAsia="方正仿宋_GB2312" w:cs="方正仿宋_GB2312"/>
          <w:b/>
          <w:color w:val="ff0000"/>
          <w:sz w:val="28"/>
          <w:szCs w:val="28"/>
        </w:rPr>
      </w:pPr>
      <w:r>
        <w:rPr>
          <w:rFonts w:hint="eastAsia" w:ascii="方正仿宋_GB2312" w:hAnsi="方正仿宋_GB2312" w:eastAsia="方正仿宋_GB2312" w:cs="方正仿宋_GB2312"/>
          <w:b/>
          <w:color w:val="ff0000"/>
          <w:sz w:val="28"/>
          <w:szCs w:val="28"/>
        </w:rPr>
      </w:r>
      <w:r/>
    </w:p>
    <w:p>
      <w:pPr>
        <w:spacing w:line="400" w:lineRule="exact"/>
        <w:rPr>
          <w:rFonts w:hint="eastAsia" w:ascii="方正仿宋_GB2312" w:hAnsi="方正仿宋_GB2312" w:eastAsia="方正仿宋_GB2312" w:cs="方正仿宋_GB2312"/>
          <w:b/>
          <w:color w:val="ff0000"/>
          <w:sz w:val="28"/>
          <w:szCs w:val="28"/>
        </w:rPr>
      </w:pPr>
      <w:r>
        <w:rPr>
          <w:rFonts w:hint="eastAsia" w:ascii="方正仿宋_GB2312" w:hAnsi="方正仿宋_GB2312" w:eastAsia="方正仿宋_GB2312" w:cs="方正仿宋_GB2312"/>
          <w:b/>
          <w:color w:val="ff0000"/>
          <w:sz w:val="28"/>
          <w:szCs w:val="28"/>
        </w:rPr>
      </w:r>
      <w:r/>
    </w:p>
    <w:p>
      <w:pPr>
        <w:spacing w:line="400" w:lineRule="exact"/>
        <w:rPr>
          <w:rFonts w:hint="eastAsia" w:ascii="方正仿宋_GB2312" w:hAnsi="方正仿宋_GB2312" w:eastAsia="方正仿宋_GB2312" w:cs="方正仿宋_GB2312"/>
          <w:b/>
          <w:color w:val="ff0000"/>
          <w:sz w:val="28"/>
          <w:szCs w:val="28"/>
        </w:rPr>
      </w:pPr>
      <w:r>
        <w:rPr>
          <w:rFonts w:hint="eastAsia" w:ascii="方正仿宋_GB2312" w:hAnsi="方正仿宋_GB2312" w:eastAsia="方正仿宋_GB2312" w:cs="方正仿宋_GB2312"/>
          <w:b/>
          <w:color w:val="ff0000"/>
          <w:sz w:val="28"/>
          <w:szCs w:val="28"/>
        </w:rPr>
      </w:r>
      <w:r/>
    </w:p>
    <w:p>
      <w:pPr>
        <w:spacing w:line="400" w:lineRule="exact"/>
        <w:rPr>
          <w:rFonts w:hint="eastAsia" w:ascii="方正仿宋_GB2312" w:hAnsi="方正仿宋_GB2312" w:eastAsia="方正仿宋_GB2312" w:cs="方正仿宋_GB2312"/>
          <w:b/>
          <w:color w:val="ff0000"/>
          <w:sz w:val="28"/>
          <w:szCs w:val="28"/>
        </w:rPr>
      </w:pPr>
      <w:r>
        <w:rPr>
          <w:rFonts w:hint="eastAsia" w:ascii="方正仿宋_GB2312" w:hAnsi="方正仿宋_GB2312" w:eastAsia="方正仿宋_GB2312" w:cs="方正仿宋_GB2312"/>
          <w:b/>
          <w:color w:val="ff0000"/>
          <w:sz w:val="28"/>
          <w:szCs w:val="28"/>
        </w:rPr>
      </w:r>
      <w:r/>
    </w:p>
    <w:p>
      <w:pPr>
        <w:spacing w:line="400" w:lineRule="exact"/>
        <w:rPr>
          <w:rFonts w:hint="eastAsia" w:ascii="方正仿宋_GB2312" w:hAnsi="方正仿宋_GB2312" w:eastAsia="方正仿宋_GB2312" w:cs="方正仿宋_GB2312"/>
          <w:b/>
          <w:color w:val="ff0000"/>
          <w:sz w:val="28"/>
          <w:szCs w:val="28"/>
        </w:rPr>
      </w:pPr>
      <w:r>
        <w:rPr>
          <w:rFonts w:hint="eastAsia" w:ascii="方正仿宋_GB2312" w:hAnsi="方正仿宋_GB2312" w:eastAsia="方正仿宋_GB2312" w:cs="方正仿宋_GB2312"/>
          <w:b/>
          <w:color w:val="ff0000"/>
          <w:sz w:val="28"/>
          <w:szCs w:val="28"/>
        </w:rPr>
      </w:r>
      <w:r/>
    </w:p>
    <w:p>
      <w:pPr>
        <w:spacing w:line="400" w:lineRule="exact"/>
        <w:rPr>
          <w:rFonts w:hint="eastAsia" w:ascii="方正仿宋_GB2312" w:hAnsi="方正仿宋_GB2312" w:eastAsia="方正仿宋_GB2312" w:cs="方正仿宋_GB2312"/>
          <w:b/>
          <w:color w:val="ff0000"/>
          <w:sz w:val="28"/>
          <w:szCs w:val="28"/>
        </w:rPr>
      </w:pPr>
      <w:r>
        <w:rPr>
          <w:rFonts w:hint="eastAsia" w:ascii="方正仿宋_GB2312" w:hAnsi="方正仿宋_GB2312" w:eastAsia="方正仿宋_GB2312" w:cs="方正仿宋_GB2312"/>
          <w:b/>
          <w:color w:val="ff0000"/>
          <w:sz w:val="28"/>
          <w:szCs w:val="28"/>
        </w:rPr>
      </w:r>
      <w:r/>
    </w:p>
    <w:p>
      <w:pPr>
        <w:spacing w:line="400" w:lineRule="exact"/>
        <w:rPr>
          <w:rFonts w:hint="eastAsia" w:ascii="方正仿宋_GB2312" w:hAnsi="方正仿宋_GB2312" w:eastAsia="方正仿宋_GB2312" w:cs="方正仿宋_GB2312"/>
          <w:b/>
          <w:color w:val="ff0000"/>
          <w:sz w:val="28"/>
          <w:szCs w:val="28"/>
        </w:rPr>
      </w:pPr>
      <w:r>
        <w:rPr>
          <w:rFonts w:hint="eastAsia" w:ascii="方正仿宋_GB2312" w:hAnsi="方正仿宋_GB2312" w:eastAsia="方正仿宋_GB2312" w:cs="方正仿宋_GB2312"/>
          <w:b/>
          <w:color w:val="ff0000"/>
          <w:sz w:val="28"/>
          <w:szCs w:val="28"/>
        </w:rPr>
      </w:r>
      <w:r/>
    </w:p>
    <w:p>
      <w:pPr>
        <w:spacing w:line="400" w:lineRule="exact"/>
        <w:rPr>
          <w:rFonts w:hint="eastAsia" w:ascii="方正仿宋_GB2312" w:hAnsi="方正仿宋_GB2312" w:eastAsia="方正仿宋_GB2312" w:cs="方正仿宋_GB2312"/>
          <w:b/>
          <w:color w:val="ff0000"/>
          <w:sz w:val="28"/>
          <w:szCs w:val="28"/>
        </w:rPr>
      </w:pPr>
      <w:r>
        <w:rPr>
          <w:rFonts w:hint="eastAsia" w:ascii="方正仿宋_GB2312" w:hAnsi="方正仿宋_GB2312" w:eastAsia="方正仿宋_GB2312" w:cs="方正仿宋_GB2312"/>
          <w:b/>
          <w:color w:val="ff0000"/>
          <w:sz w:val="28"/>
          <w:szCs w:val="28"/>
        </w:rPr>
      </w:r>
      <w:r/>
    </w:p>
    <w:p>
      <w:pPr>
        <w:spacing w:line="400" w:lineRule="exact"/>
        <w:rPr>
          <w:rFonts w:hint="eastAsia" w:ascii="方正仿宋_GB2312" w:hAnsi="方正仿宋_GB2312" w:eastAsia="方正仿宋_GB2312" w:cs="方正仿宋_GB2312"/>
          <w:b/>
          <w:color w:val="ff0000"/>
          <w:sz w:val="28"/>
          <w:szCs w:val="28"/>
        </w:rPr>
      </w:pPr>
      <w:r>
        <w:rPr>
          <w:rFonts w:hint="eastAsia" w:ascii="方正仿宋_GB2312" w:hAnsi="方正仿宋_GB2312" w:eastAsia="方正仿宋_GB2312" w:cs="方正仿宋_GB2312"/>
          <w:b/>
          <w:color w:val="ff0000"/>
          <w:sz w:val="28"/>
          <w:szCs w:val="28"/>
        </w:rPr>
      </w:r>
      <w:r/>
    </w:p>
    <w:p>
      <w:pPr>
        <w:spacing w:line="400" w:lineRule="exact"/>
        <w:rPr>
          <w:rFonts w:hint="eastAsia" w:ascii="方正仿宋_GB2312" w:hAnsi="方正仿宋_GB2312" w:eastAsia="方正仿宋_GB2312" w:cs="方正仿宋_GB2312"/>
          <w:b/>
          <w:color w:val="ff0000"/>
          <w:sz w:val="28"/>
          <w:szCs w:val="28"/>
        </w:rPr>
      </w:pPr>
      <w:r>
        <w:rPr>
          <w:rFonts w:hint="eastAsia" w:ascii="方正仿宋_GB2312" w:hAnsi="方正仿宋_GB2312" w:eastAsia="方正仿宋_GB2312" w:cs="方正仿宋_GB2312"/>
          <w:b/>
          <w:color w:val="ff0000"/>
          <w:sz w:val="28"/>
          <w:szCs w:val="28"/>
        </w:rPr>
      </w:r>
      <w:r/>
    </w:p>
    <w:p>
      <w:pPr>
        <w:spacing w:line="400" w:lineRule="exact"/>
        <w:rPr>
          <w:rFonts w:hint="eastAsia" w:ascii="方正仿宋_GB2312" w:hAnsi="方正仿宋_GB2312" w:eastAsia="方正仿宋_GB2312" w:cs="方正仿宋_GB2312"/>
          <w:b/>
          <w:color w:val="ff0000"/>
          <w:sz w:val="28"/>
          <w:szCs w:val="28"/>
        </w:rPr>
      </w:pPr>
      <w:r>
        <w:rPr>
          <w:rFonts w:hint="eastAsia" w:ascii="方正仿宋_GB2312" w:hAnsi="方正仿宋_GB2312" w:eastAsia="方正仿宋_GB2312" w:cs="方正仿宋_GB2312"/>
          <w:b/>
          <w:color w:val="ff0000"/>
          <w:sz w:val="28"/>
          <w:szCs w:val="28"/>
        </w:rPr>
      </w:r>
      <w:r/>
    </w:p>
    <w:p>
      <w:pPr>
        <w:spacing w:line="400" w:lineRule="exact"/>
        <w:rPr>
          <w:rFonts w:hint="eastAsia" w:ascii="方正仿宋_GB2312" w:hAnsi="方正仿宋_GB2312" w:eastAsia="方正仿宋_GB2312" w:cs="方正仿宋_GB2312"/>
          <w:b/>
          <w:color w:val="ff0000"/>
          <w:sz w:val="28"/>
          <w:szCs w:val="28"/>
        </w:rPr>
      </w:pPr>
      <w:r>
        <w:rPr>
          <w:rFonts w:hint="eastAsia" w:ascii="方正仿宋_GB2312" w:hAnsi="方正仿宋_GB2312" w:eastAsia="方正仿宋_GB2312" w:cs="方正仿宋_GB2312"/>
          <w:b/>
          <w:color w:val="ff0000"/>
          <w:sz w:val="28"/>
          <w:szCs w:val="28"/>
        </w:rPr>
      </w:r>
      <w:r/>
    </w:p>
    <w:p>
      <w:pPr>
        <w:spacing w:line="400" w:lineRule="exact"/>
        <w:rPr>
          <w:rFonts w:hint="eastAsia" w:ascii="方正仿宋_GB2312" w:hAnsi="方正仿宋_GB2312" w:eastAsia="方正仿宋_GB2312" w:cs="方正仿宋_GB2312"/>
          <w:b/>
          <w:color w:val="ff0000"/>
          <w:sz w:val="28"/>
          <w:szCs w:val="28"/>
        </w:rPr>
      </w:pPr>
      <w:r>
        <w:rPr>
          <w:rFonts w:hint="eastAsia" w:ascii="方正仿宋_GB2312" w:hAnsi="方正仿宋_GB2312" w:eastAsia="方正仿宋_GB2312" w:cs="方正仿宋_GB2312"/>
          <w:b/>
          <w:color w:val="ff0000"/>
          <w:sz w:val="28"/>
          <w:szCs w:val="28"/>
        </w:rPr>
      </w:r>
      <w:r/>
    </w:p>
    <w:p>
      <w:pPr>
        <w:spacing w:line="400" w:lineRule="exact"/>
        <w:rPr>
          <w:rFonts w:hint="eastAsia" w:ascii="方正仿宋_GB2312" w:hAnsi="方正仿宋_GB2312" w:eastAsia="方正仿宋_GB2312" w:cs="方正仿宋_GB2312"/>
          <w:b/>
          <w:color w:val="ff0000"/>
          <w:sz w:val="28"/>
          <w:szCs w:val="28"/>
        </w:rPr>
      </w:pPr>
      <w:r>
        <w:rPr>
          <w:rFonts w:hint="eastAsia" w:ascii="方正仿宋_GB2312" w:hAnsi="方正仿宋_GB2312" w:eastAsia="方正仿宋_GB2312" w:cs="方正仿宋_GB2312"/>
          <w:b/>
          <w:color w:val="ff0000"/>
          <w:sz w:val="28"/>
          <w:szCs w:val="28"/>
        </w:rPr>
      </w:r>
      <w:r/>
    </w:p>
    <w:p>
      <w:pPr>
        <w:spacing w:line="400" w:lineRule="exact"/>
        <w:rPr>
          <w:rFonts w:hint="eastAsia" w:ascii="方正仿宋_GB2312" w:hAnsi="方正仿宋_GB2312" w:eastAsia="方正仿宋_GB2312" w:cs="方正仿宋_GB2312"/>
          <w:b/>
          <w:color w:val="ff0000"/>
          <w:sz w:val="28"/>
          <w:szCs w:val="28"/>
        </w:rPr>
      </w:pPr>
      <w:r>
        <w:rPr>
          <w:rFonts w:hint="eastAsia" w:ascii="方正仿宋_GB2312" w:hAnsi="方正仿宋_GB2312" w:eastAsia="方正仿宋_GB2312" w:cs="方正仿宋_GB2312"/>
          <w:b/>
          <w:color w:val="ff0000"/>
          <w:sz w:val="28"/>
          <w:szCs w:val="28"/>
        </w:rPr>
      </w:r>
      <w:r/>
    </w:p>
    <w:p>
      <w:pPr>
        <w:spacing w:line="400" w:lineRule="exact"/>
        <w:rPr>
          <w:rFonts w:hint="eastAsia" w:ascii="方正仿宋_GB2312" w:hAnsi="方正仿宋_GB2312" w:eastAsia="方正仿宋_GB2312" w:cs="方正仿宋_GB2312"/>
          <w:b/>
          <w:color w:val="ff0000"/>
          <w:sz w:val="28"/>
          <w:szCs w:val="28"/>
        </w:rPr>
      </w:pPr>
      <w:r>
        <w:rPr>
          <w:rFonts w:hint="eastAsia" w:ascii="方正仿宋_GB2312" w:hAnsi="方正仿宋_GB2312" w:eastAsia="方正仿宋_GB2312" w:cs="方正仿宋_GB2312"/>
          <w:b/>
          <w:color w:val="ff0000"/>
          <w:sz w:val="28"/>
          <w:szCs w:val="28"/>
        </w:rPr>
      </w:r>
      <w:r/>
    </w:p>
    <w:p>
      <w:pPr>
        <w:spacing w:line="400" w:lineRule="exact"/>
        <w:rPr>
          <w:rFonts w:hint="eastAsia" w:ascii="方正仿宋_GB2312" w:hAnsi="方正仿宋_GB2312" w:eastAsia="方正仿宋_GB2312" w:cs="方正仿宋_GB2312"/>
          <w:b/>
          <w:color w:val="ff0000"/>
          <w:sz w:val="28"/>
          <w:szCs w:val="28"/>
        </w:rPr>
      </w:pPr>
      <w:r>
        <w:rPr>
          <w:rFonts w:hint="eastAsia" w:ascii="方正仿宋_GB2312" w:hAnsi="方正仿宋_GB2312" w:eastAsia="方正仿宋_GB2312" w:cs="方正仿宋_GB2312"/>
          <w:b/>
          <w:color w:val="ff0000"/>
          <w:sz w:val="28"/>
          <w:szCs w:val="28"/>
        </w:rPr>
      </w:r>
      <w:r/>
    </w:p>
    <w:p>
      <w:pPr>
        <w:spacing w:line="400" w:lineRule="exact"/>
        <w:rPr>
          <w:rFonts w:hint="eastAsia" w:ascii="方正仿宋_GB2312" w:hAnsi="方正仿宋_GB2312" w:eastAsia="方正仿宋_GB2312" w:cs="方正仿宋_GB2312"/>
          <w:b/>
          <w:color w:val="ff0000"/>
          <w:sz w:val="28"/>
          <w:szCs w:val="28"/>
        </w:rPr>
      </w:pPr>
      <w:r>
        <w:rPr>
          <w:rFonts w:hint="eastAsia" w:ascii="方正仿宋_GB2312" w:hAnsi="方正仿宋_GB2312" w:eastAsia="方正仿宋_GB2312" w:cs="方正仿宋_GB2312"/>
          <w:b/>
          <w:color w:val="ff0000"/>
          <w:sz w:val="28"/>
          <w:szCs w:val="28"/>
        </w:rPr>
      </w:r>
      <w:r/>
    </w:p>
    <w:p>
      <w:pP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Cs/>
          <w:sz w:val="28"/>
          <w:szCs w:val="28"/>
        </w:rPr>
        <w:t xml:space="preserve">附件1 开标一览表</w:t>
      </w:r>
      <w:r/>
    </w:p>
    <w:p>
      <w:pPr>
        <w:ind w:right="0" w:firstLine="482"/>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投标人全称（加盖CA电子签章）：</w:t>
      </w:r>
      <w:r/>
    </w:p>
    <w:p>
      <w:pPr>
        <w:ind w:right="0" w:firstLine="482"/>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项目名称：</w:t>
      </w:r>
      <w:r>
        <w:rPr>
          <w:rFonts w:hint="eastAsia" w:ascii="方正仿宋_GB2312" w:hAnsi="方正仿宋_GB2312" w:eastAsia="方正仿宋_GB2312" w:cs="方正仿宋_GB2312"/>
          <w:color w:val="000000"/>
          <w:sz w:val="28"/>
          <w:szCs w:val="28"/>
        </w:rPr>
        <w:t xml:space="preserve">XXXX</w:t>
      </w:r>
      <w:r/>
    </w:p>
    <w:p>
      <w:pPr>
        <w:ind w:right="0" w:firstLine="482"/>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采购编号：</w:t>
      </w:r>
      <w:r>
        <w:rPr>
          <w:rFonts w:hint="eastAsia" w:ascii="方正仿宋_GB2312" w:hAnsi="方正仿宋_GB2312" w:eastAsia="方正仿宋_GB2312" w:cs="方正仿宋_GB2312"/>
          <w:color w:val="000000"/>
          <w:sz w:val="28"/>
          <w:szCs w:val="28"/>
        </w:rPr>
        <w:t xml:space="preserve">JSZC-320000-SCZX-G20XX-XXXX    </w:t>
      </w:r>
      <w:r>
        <w:rPr>
          <w:rFonts w:hint="eastAsia" w:ascii="方正仿宋_GB2312" w:hAnsi="方正仿宋_GB2312" w:eastAsia="方正仿宋_GB2312" w:cs="方正仿宋_GB2312"/>
          <w:sz w:val="28"/>
          <w:szCs w:val="28"/>
        </w:rPr>
        <w:t xml:space="preserve">                                  </w:t>
      </w:r>
      <w:r/>
    </w:p>
    <w:p>
      <w:pPr>
        <w:ind w:right="0" w:firstLine="482"/>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采购包号：</w:t>
      </w:r>
      <w:r>
        <w:rPr>
          <w:rFonts w:hint="eastAsia" w:ascii="方正仿宋_GB2312" w:hAnsi="方正仿宋_GB2312" w:eastAsia="方正仿宋_GB2312" w:cs="方正仿宋_GB2312"/>
          <w:color w:val="000000"/>
          <w:sz w:val="28"/>
          <w:szCs w:val="28"/>
        </w:rPr>
        <w:t xml:space="preserve">XX</w:t>
      </w:r>
      <w:r/>
    </w:p>
    <w:tbl>
      <w:tblPr>
        <w:tblStyle w:val="668"/>
        <w:tblW w:w="8934" w:type="dxa"/>
        <w:tblInd w:w="108" w:type="dxa"/>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Borders>
              <w:top w:val="single" w:color="000000" w:sz="4" w:space="0"/>
              <w:left w:val="single" w:color="000000" w:sz="4" w:space="0"/>
              <w:bottom w:val="single" w:color="000000" w:sz="4" w:space="0"/>
              <w:right w:val="single" w:color="000000" w:sz="4" w:space="0"/>
            </w:tcBorders>
            <w:tcW w:w="8934" w:type="dxa"/>
            <w:vAlign w:val="center"/>
            <w:textDirection w:val="lrTb"/>
            <w:noWrap w:val="false"/>
          </w:tcPr>
          <w:p>
            <w:pP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                      投标总报价</w:t>
            </w:r>
            <w:r/>
          </w:p>
        </w:tc>
      </w:tr>
      <w:tr>
        <w:trPr>
          <w:cantSplit/>
          <w:trHeight w:val="612"/>
        </w:trPr>
        <w:tc>
          <w:tcPr>
            <w:tcBorders>
              <w:top w:val="single" w:color="000000" w:sz="4" w:space="0"/>
              <w:left w:val="single" w:color="000000" w:sz="4" w:space="0"/>
              <w:bottom w:val="single" w:color="000000" w:sz="4" w:space="0"/>
              <w:right w:val="single" w:color="000000" w:sz="4" w:space="0"/>
            </w:tcBorders>
            <w:tcW w:w="8934" w:type="dxa"/>
            <w:vAlign w:val="center"/>
            <w:textDirection w:val="lrTb"/>
            <w:noWrap w:val="false"/>
          </w:tcPr>
          <w:p>
            <w:pPr>
              <w:pStyle w:val="758"/>
              <w:ind w:right="0" w:firstLine="0"/>
              <w:spacing w:before="0" w:after="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小写：                             （人民币：元）</w:t>
            </w:r>
            <w:r/>
          </w:p>
        </w:tc>
      </w:tr>
    </w:tbl>
    <w:p>
      <w:pPr>
        <w:ind w:right="0" w:firstLine="48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rPr>
          <w:rFonts w:hint="eastAsia" w:ascii="方正仿宋_GB2312" w:hAnsi="方正仿宋_GB2312" w:eastAsia="方正仿宋_GB2312" w:cs="方正仿宋_GB2312"/>
          <w:sz w:val="28"/>
          <w:szCs w:val="28"/>
        </w:rPr>
      </w:r>
    </w:p>
    <w:p>
      <w:pP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rPr>
          <w:rFonts w:hint="eastAsia" w:ascii="方正仿宋_GB2312" w:hAnsi="方正仿宋_GB2312" w:eastAsia="方正仿宋_GB2312" w:cs="方正仿宋_GB2312"/>
          <w:sz w:val="28"/>
          <w:szCs w:val="28"/>
        </w:rPr>
      </w:r>
    </w:p>
    <w:p>
      <w:pP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rPr>
          <w:rFonts w:hint="eastAsia" w:ascii="方正仿宋_GB2312" w:hAnsi="方正仿宋_GB2312" w:eastAsia="方正仿宋_GB2312" w:cs="方正仿宋_GB2312"/>
          <w:sz w:val="28"/>
          <w:szCs w:val="28"/>
        </w:rPr>
      </w:r>
    </w:p>
    <w:p>
      <w:pP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rPr>
          <w:rFonts w:hint="eastAsia" w:ascii="方正仿宋_GB2312" w:hAnsi="方正仿宋_GB2312" w:eastAsia="方正仿宋_GB2312" w:cs="方正仿宋_GB2312"/>
          <w:sz w:val="28"/>
          <w:szCs w:val="28"/>
        </w:rPr>
      </w:r>
    </w:p>
    <w:p>
      <w:pP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rPr>
          <w:rFonts w:hint="eastAsia" w:ascii="方正仿宋_GB2312" w:hAnsi="方正仿宋_GB2312" w:eastAsia="方正仿宋_GB2312" w:cs="方正仿宋_GB2312"/>
          <w:sz w:val="28"/>
          <w:szCs w:val="28"/>
        </w:rPr>
      </w:r>
    </w:p>
    <w:p>
      <w:pP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rPr>
          <w:rFonts w:hint="eastAsia" w:ascii="方正仿宋_GB2312" w:hAnsi="方正仿宋_GB2312" w:eastAsia="方正仿宋_GB2312" w:cs="方正仿宋_GB2312"/>
          <w:sz w:val="28"/>
          <w:szCs w:val="28"/>
        </w:rPr>
      </w:r>
    </w:p>
    <w:p>
      <w:pP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rPr>
          <w:rFonts w:hint="eastAsia" w:ascii="方正仿宋_GB2312" w:hAnsi="方正仿宋_GB2312" w:eastAsia="方正仿宋_GB2312" w:cs="方正仿宋_GB2312"/>
          <w:sz w:val="28"/>
          <w:szCs w:val="28"/>
        </w:rPr>
      </w:r>
    </w:p>
    <w:p>
      <w:pP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rPr>
          <w:rFonts w:hint="eastAsia" w:ascii="方正仿宋_GB2312" w:hAnsi="方正仿宋_GB2312" w:eastAsia="方正仿宋_GB2312" w:cs="方正仿宋_GB2312"/>
          <w:sz w:val="28"/>
          <w:szCs w:val="28"/>
        </w:rPr>
      </w:r>
    </w:p>
    <w:p>
      <w:pP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jc w:val="center"/>
        <w:spacing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附件2 投标分项报价表（采购包号：</w:t>
      </w:r>
      <w:r>
        <w:rPr>
          <w:rFonts w:hint="eastAsia" w:ascii="方正仿宋_GB2312" w:hAnsi="方正仿宋_GB2312" w:eastAsia="方正仿宋_GB2312" w:cs="方正仿宋_GB2312"/>
          <w:bCs/>
          <w:color w:val="000000"/>
          <w:sz w:val="28"/>
          <w:szCs w:val="28"/>
        </w:rPr>
        <w:t xml:space="preserve">XX</w:t>
      </w:r>
      <w:r>
        <w:rPr>
          <w:rFonts w:hint="eastAsia" w:ascii="方正仿宋_GB2312" w:hAnsi="方正仿宋_GB2312" w:eastAsia="方正仿宋_GB2312" w:cs="方正仿宋_GB2312"/>
          <w:bCs/>
          <w:sz w:val="28"/>
          <w:szCs w:val="28"/>
        </w:rPr>
        <w:t xml:space="preserve">）</w:t>
      </w:r>
      <w:r/>
    </w:p>
    <w:tbl>
      <w:tblPr>
        <w:tblStyle w:val="668"/>
        <w:tblW w:w="9861" w:type="dxa"/>
        <w:tblInd w:w="-598" w:type="dxa"/>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w:t>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5</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6</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7</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8</w:t>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9</w:t>
            </w:r>
            <w:r/>
          </w:p>
        </w:tc>
      </w:tr>
      <w:tr>
        <w:trPr>
          <w:cantSplit/>
          <w:trHeight w:val="2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分项服务名称/货物名称</w:t>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品牌</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规格</w:t>
            </w:r>
            <w:r/>
          </w:p>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型号</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制造商名称</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产地</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交付期/服务期</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数量</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分项</w:t>
            </w:r>
            <w:r/>
          </w:p>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单价</w:t>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分项</w:t>
            </w:r>
            <w:r/>
          </w:p>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总价</w:t>
            </w:r>
            <w:r/>
          </w:p>
        </w:tc>
      </w:tr>
      <w:tr>
        <w:trPr>
          <w:cantSplit/>
          <w:trHeight w:val="696"/>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highlight w:val="cyan"/>
              </w:rPr>
            </w:pPr>
            <w:r>
              <w:rPr>
                <w:rFonts w:hint="eastAsia" w:ascii="方正仿宋_GB2312" w:hAnsi="方正仿宋_GB2312" w:eastAsia="方正仿宋_GB2312" w:cs="方正仿宋_GB2312"/>
                <w:sz w:val="28"/>
                <w:szCs w:val="28"/>
                <w:highlight w:val="cyan"/>
              </w:rPr>
            </w:r>
            <w:r/>
          </w:p>
        </w:tc>
        <w:tc>
          <w:tcPr>
            <w:tcBorders>
              <w:top w:val="single" w:color="000000" w:sz="4" w:space="0"/>
              <w:left w:val="single" w:color="000000" w:sz="4" w:space="0"/>
              <w:bottom w:val="single" w:color="000000" w:sz="4" w:space="0"/>
              <w:right w:val="single" w:color="000000" w:sz="4" w:space="0"/>
            </w:tcBorders>
            <w:tcW w:w="1040" w:type="dxa"/>
            <w:textDirection w:val="lrTb"/>
            <w:noWrap w:val="false"/>
          </w:tcPr>
          <w:p>
            <w:pPr>
              <w:jc w:val="center"/>
              <w:spacing w:line="400" w:lineRule="exact"/>
              <w:rPr>
                <w:rFonts w:hint="eastAsia" w:ascii="方正仿宋_GB2312" w:hAnsi="方正仿宋_GB2312" w:eastAsia="方正仿宋_GB2312" w:cs="方正仿宋_GB2312"/>
                <w:sz w:val="28"/>
                <w:szCs w:val="28"/>
                <w:highlight w:val="cyan"/>
              </w:rPr>
            </w:pPr>
            <w:r>
              <w:rPr>
                <w:rFonts w:hint="eastAsia" w:ascii="方正仿宋_GB2312" w:hAnsi="方正仿宋_GB2312" w:eastAsia="方正仿宋_GB2312" w:cs="方正仿宋_GB2312"/>
                <w:sz w:val="28"/>
                <w:szCs w:val="28"/>
                <w:highlight w:val="cyan"/>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u w:val="single"/>
              </w:rPr>
            </w:pPr>
            <w:r>
              <w:rPr>
                <w:rFonts w:hint="eastAsia" w:ascii="方正仿宋_GB2312" w:hAnsi="方正仿宋_GB2312" w:eastAsia="方正仿宋_GB2312" w:cs="方正仿宋_GB2312"/>
                <w:sz w:val="28"/>
                <w:szCs w:val="28"/>
              </w:rPr>
              <w:t xml:space="preserve">合同签订后</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日</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u w:val="single"/>
              </w:rPr>
            </w:pPr>
            <w:r>
              <w:rPr>
                <w:rFonts w:hint="eastAsia" w:ascii="方正仿宋_GB2312" w:hAnsi="方正仿宋_GB2312" w:eastAsia="方正仿宋_GB2312" w:cs="方正仿宋_GB2312"/>
                <w:sz w:val="28"/>
                <w:szCs w:val="28"/>
                <w:u w:val="single"/>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r>
        <w:trPr>
          <w:cantSplit/>
          <w:trHeight w:val="72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040"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040"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r>
        <w:trPr>
          <w:cantSplit/>
          <w:trHeight w:val="58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w:t>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040"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r>
        <w:trPr>
          <w:cantSplit/>
          <w:trHeight w:val="434"/>
        </w:trPr>
        <w:tc>
          <w:tcPr>
            <w:gridSpan w:val="10"/>
            <w:tcBorders>
              <w:top w:val="single" w:color="000000" w:sz="4" w:space="0"/>
              <w:left w:val="single" w:color="000000" w:sz="4" w:space="0"/>
              <w:bottom w:val="single" w:color="000000" w:sz="4" w:space="0"/>
              <w:right w:val="single" w:color="000000" w:sz="4" w:space="0"/>
            </w:tcBorders>
            <w:tcW w:w="9861" w:type="dxa"/>
            <w:textDirection w:val="lrTb"/>
            <w:noWrap w:val="false"/>
          </w:tcPr>
          <w:p>
            <w:pPr>
              <w:spacing w:line="400" w:lineRule="exact"/>
              <w:rPr>
                <w:rFonts w:hint="eastAsia" w:ascii="方正仿宋_GB2312" w:hAnsi="方正仿宋_GB2312" w:eastAsia="方正仿宋_GB2312" w:cs="方正仿宋_GB2312"/>
                <w:sz w:val="28"/>
                <w:szCs w:val="28"/>
                <w:u w:val="single"/>
              </w:rPr>
            </w:pPr>
            <w:r>
              <w:rPr>
                <w:rFonts w:hint="eastAsia" w:ascii="方正仿宋_GB2312" w:hAnsi="方正仿宋_GB2312" w:eastAsia="方正仿宋_GB2312" w:cs="方正仿宋_GB2312"/>
                <w:sz w:val="28"/>
                <w:szCs w:val="28"/>
              </w:rPr>
              <w:t xml:space="preserve">投标总报价（人民币：元）</w:t>
            </w:r>
            <w:r>
              <w:rPr>
                <w:rFonts w:hint="eastAsia" w:ascii="方正仿宋_GB2312" w:hAnsi="方正仿宋_GB2312" w:eastAsia="方正仿宋_GB2312" w:cs="方正仿宋_GB2312"/>
                <w:sz w:val="28"/>
                <w:szCs w:val="28"/>
                <w:u w:val="single"/>
              </w:rPr>
              <w:t xml:space="preserve">                             </w:t>
            </w:r>
            <w:r/>
          </w:p>
        </w:tc>
      </w:tr>
      <w:tr>
        <w:trPr>
          <w:cantSplit/>
          <w:trHeight w:val="757"/>
        </w:trPr>
        <w:tc>
          <w:tcPr>
            <w:gridSpan w:val="10"/>
            <w:tcBorders>
              <w:top w:val="single" w:color="000000" w:sz="4" w:space="0"/>
              <w:left w:val="single" w:color="000000" w:sz="4" w:space="0"/>
              <w:bottom w:val="single" w:color="000000" w:sz="4" w:space="0"/>
              <w:right w:val="single" w:color="000000" w:sz="4" w:space="0"/>
            </w:tcBorders>
            <w:tcW w:w="9861" w:type="dxa"/>
            <w:textDirection w:val="lrTb"/>
            <w:noWrap w:val="false"/>
          </w:tcPr>
          <w:p>
            <w:pPr>
              <w:pStyle w:val="747"/>
              <w:spacing w:before="0" w:after="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本采购包中提供的符合本国产品标准的货物成本之和占该采购包全部成本之和的比例为</w:t>
            </w:r>
            <w:r>
              <w:rPr>
                <w:rFonts w:hint="eastAsia" w:ascii="方正仿宋_GB2312" w:hAnsi="方正仿宋_GB2312" w:eastAsia="方正仿宋_GB2312" w:cs="方正仿宋_GB2312"/>
                <w:sz w:val="28"/>
                <w:szCs w:val="28"/>
                <w:u w:val="single"/>
              </w:rPr>
              <w:t xml:space="preserve">XX</w:t>
            </w:r>
            <w:r>
              <w:rPr>
                <w:rFonts w:hint="eastAsia" w:ascii="方正仿宋_GB2312" w:hAnsi="方正仿宋_GB2312" w:eastAsia="方正仿宋_GB2312" w:cs="方正仿宋_GB2312"/>
                <w:sz w:val="28"/>
                <w:szCs w:val="28"/>
              </w:rPr>
              <w:t xml:space="preserve">%。</w:t>
            </w:r>
            <w:r/>
          </w:p>
        </w:tc>
      </w:tr>
    </w:tbl>
    <w:p>
      <w:pPr>
        <w:ind w:right="0" w:firstLine="482"/>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备注：</w:t>
      </w:r>
      <w:r/>
    </w:p>
    <w:p>
      <w:pPr>
        <w:ind w:right="0" w:firstLine="482"/>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ind w:right="0" w:firstLine="482"/>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2.“投标分项报价表”中“投标总报价”数额应当与“开标一览表”中“投标总报价”数额一致。</w:t>
      </w:r>
      <w:r/>
    </w:p>
    <w:p>
      <w:pPr>
        <w:ind w:right="0" w:firstLine="482"/>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3.分项服务不需填写品牌、规格型号、制造商、产地。</w:t>
      </w:r>
      <w:r/>
    </w:p>
    <w:p>
      <w:pPr>
        <w:ind w:right="0" w:firstLine="482"/>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2312" w:hAnsi="方正仿宋_GB2312" w:eastAsia="方正仿宋_GB2312" w:cs="方正仿宋_GB2312"/>
          <w:sz w:val="28"/>
          <w:szCs w:val="28"/>
          <w:u w:val="single"/>
        </w:rPr>
        <w:t xml:space="preserve">80%</w:t>
      </w:r>
      <w:r>
        <w:rPr>
          <w:rFonts w:hint="eastAsia" w:ascii="方正仿宋_GB2312" w:hAnsi="方正仿宋_GB2312" w:eastAsia="方正仿宋_GB2312" w:cs="方正仿宋_GB2312"/>
          <w:sz w:val="28"/>
          <w:szCs w:val="28"/>
        </w:rPr>
        <w:t xml:space="preserve">的，将不享受本国产品价格评审优惠。</w:t>
      </w:r>
      <w:r/>
    </w:p>
    <w:p>
      <w:pPr>
        <w:ind w:right="0" w:firstLine="482"/>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5.项目经办人可以根据项目实际需要对表格结构进行调整。</w:t>
      </w:r>
      <w:r/>
    </w:p>
    <w:p>
      <w:pPr>
        <w:spacing w:line="400" w:lineRule="exact"/>
        <w:rPr>
          <w:rFonts w:hint="eastAsia" w:ascii="方正仿宋_GB2312" w:hAnsi="方正仿宋_GB2312" w:eastAsia="方正仿宋_GB2312" w:cs="方正仿宋_GB2312"/>
          <w:b/>
          <w:bCs/>
          <w:color w:val="ff0000"/>
          <w:sz w:val="28"/>
          <w:szCs w:val="28"/>
        </w:rPr>
      </w:pPr>
      <w:r>
        <w:rPr>
          <w:rFonts w:hint="eastAsia" w:ascii="方正仿宋_GB2312" w:hAnsi="方正仿宋_GB2312" w:eastAsia="方正仿宋_GB2312" w:cs="方正仿宋_GB2312"/>
          <w:b/>
          <w:bCs/>
          <w:color w:val="ff0000"/>
          <w:sz w:val="28"/>
          <w:szCs w:val="28"/>
        </w:rPr>
      </w:r>
      <w:r/>
    </w:p>
    <w:p>
      <w:pP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                         </w:t>
      </w:r>
      <w:r/>
    </w:p>
    <w:p>
      <w:pPr>
        <w:jc w:val="center"/>
        <w:spacing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r>
      <w:r/>
    </w:p>
    <w:p>
      <w:pPr>
        <w:jc w:val="center"/>
        <w:spacing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附件3 技术要求响应及偏离表（采购包号：XX）</w:t>
      </w:r>
      <w:r/>
    </w:p>
    <w:tbl>
      <w:tblPr>
        <w:tblStyle w:val="668"/>
        <w:tblW w:w="8927" w:type="dxa"/>
        <w:tblInd w:w="0" w:type="dxa"/>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3063"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技术要求</w:t>
            </w:r>
            <w:r/>
          </w:p>
        </w:tc>
        <w:tc>
          <w:tcPr>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投标响应情况</w:t>
            </w:r>
            <w:r/>
          </w:p>
        </w:tc>
        <w:tc>
          <w:tcPr>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超出、符合或偏离</w:t>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w:t>
            </w:r>
            <w:r/>
          </w:p>
        </w:tc>
        <w:tc>
          <w:tcPr>
            <w:tcBorders>
              <w:top w:val="single" w:color="000000" w:sz="4" w:space="0"/>
              <w:left w:val="single" w:color="000000" w:sz="4" w:space="0"/>
              <w:bottom w:val="single" w:color="000000" w:sz="4" w:space="0"/>
              <w:right w:val="single" w:color="000000" w:sz="4" w:space="0"/>
            </w:tcBorders>
            <w:tcW w:w="3063"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3191"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2128"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3063"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w:t>
            </w:r>
            <w:r/>
          </w:p>
        </w:tc>
        <w:tc>
          <w:tcPr>
            <w:tcBorders>
              <w:top w:val="single" w:color="000000" w:sz="4" w:space="0"/>
              <w:left w:val="single" w:color="000000" w:sz="4" w:space="0"/>
              <w:bottom w:val="single" w:color="000000" w:sz="4" w:space="0"/>
              <w:right w:val="single" w:color="000000" w:sz="4" w:space="0"/>
            </w:tcBorders>
            <w:tcW w:w="3191"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2128"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bl>
    <w:p>
      <w:pPr>
        <w:jc w:val="left"/>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附件3-1  证明材料1，证明材料2，……</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备注：</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1.投标人需对招标文件技术要求中非实质性要求（</w:t>
      </w:r>
      <w:r>
        <w:rPr>
          <w:rFonts w:hint="eastAsia" w:ascii="方正仿宋_GB2312" w:hAnsi="方正仿宋_GB2312" w:eastAsia="方正仿宋_GB2312" w:cs="方正仿宋_GB2312"/>
          <w:b/>
          <w:sz w:val="28"/>
          <w:szCs w:val="28"/>
        </w:rPr>
        <w:t xml:space="preserve">未加</w:t>
      </w:r>
      <w:r>
        <w:rPr>
          <w:rFonts w:hint="eastAsia" w:ascii="方正仿宋_GB2312" w:hAnsi="方正仿宋_GB2312" w:eastAsia="方正仿宋_GB2312" w:cs="方正仿宋_GB2312"/>
          <w:b/>
          <w:i/>
          <w:sz w:val="28"/>
          <w:szCs w:val="28"/>
          <w:u w:val="single"/>
        </w:rPr>
        <w:t xml:space="preserve">斜体下划线</w:t>
      </w:r>
      <w:r>
        <w:rPr>
          <w:rFonts w:hint="eastAsia" w:ascii="方正仿宋_GB2312" w:hAnsi="方正仿宋_GB2312" w:eastAsia="方正仿宋_GB2312" w:cs="方正仿宋_GB2312"/>
          <w:b/>
          <w:iCs/>
          <w:sz w:val="28"/>
          <w:szCs w:val="28"/>
        </w:rPr>
        <w:t xml:space="preserve">部分</w:t>
      </w:r>
      <w:r>
        <w:rPr>
          <w:rFonts w:hint="eastAsia" w:ascii="方正仿宋_GB2312" w:hAnsi="方正仿宋_GB2312" w:eastAsia="方正仿宋_GB2312" w:cs="方正仿宋_GB2312"/>
          <w:b/>
          <w:sz w:val="28"/>
          <w:szCs w:val="28"/>
        </w:rPr>
        <w:t xml:space="preserve">或未加*号条款</w:t>
      </w:r>
      <w:r>
        <w:rPr>
          <w:rFonts w:hint="eastAsia" w:ascii="方正仿宋_GB2312" w:hAnsi="方正仿宋_GB2312" w:eastAsia="方正仿宋_GB2312" w:cs="方正仿宋_GB2312"/>
          <w:sz w:val="28"/>
          <w:szCs w:val="28"/>
        </w:rPr>
        <w:t xml:space="preserve">）逐条做出明确响应。</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2.如果招标文件要求提供证明材料，投标人需将证明材料列于该表之下。</w:t>
      </w:r>
      <w:r/>
    </w:p>
    <w:p>
      <w:pPr>
        <w:jc w:val="center"/>
        <w:spacing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r>
      <w:r/>
    </w:p>
    <w:p>
      <w:pPr>
        <w:jc w:val="center"/>
        <w:spacing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附件4 商务要求响应及偏离表（采购包号：XX）</w:t>
      </w:r>
      <w:r/>
    </w:p>
    <w:tbl>
      <w:tblPr>
        <w:tblStyle w:val="668"/>
        <w:tblW w:w="9095" w:type="dxa"/>
        <w:tblInd w:w="0" w:type="dxa"/>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3063"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商务要求 </w:t>
            </w:r>
            <w:r/>
          </w:p>
        </w:tc>
        <w:tc>
          <w:tcPr>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投标响应情况</w:t>
            </w:r>
            <w:r/>
          </w:p>
        </w:tc>
        <w:tc>
          <w:tcPr>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超出、符合或偏离</w:t>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w:t>
            </w:r>
            <w:r/>
          </w:p>
        </w:tc>
        <w:tc>
          <w:tcPr>
            <w:tcBorders>
              <w:top w:val="single" w:color="000000" w:sz="4" w:space="0"/>
              <w:left w:val="single" w:color="000000" w:sz="4" w:space="0"/>
              <w:bottom w:val="single" w:color="000000" w:sz="4" w:space="0"/>
              <w:right w:val="single" w:color="000000" w:sz="4" w:space="0"/>
            </w:tcBorders>
            <w:tcW w:w="3063"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3191"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2296"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3063"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w:t>
            </w:r>
            <w:r/>
          </w:p>
        </w:tc>
        <w:tc>
          <w:tcPr>
            <w:tcBorders>
              <w:top w:val="single" w:color="000000" w:sz="4" w:space="0"/>
              <w:left w:val="single" w:color="000000" w:sz="4" w:space="0"/>
              <w:bottom w:val="single" w:color="000000" w:sz="4" w:space="0"/>
              <w:right w:val="single" w:color="000000" w:sz="4" w:space="0"/>
            </w:tcBorders>
            <w:tcW w:w="3191"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2296"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bl>
    <w:p>
      <w:pPr>
        <w:jc w:val="left"/>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附件4-1  证明材料1，证明材料2，……</w:t>
      </w:r>
      <w:r/>
    </w:p>
    <w:p>
      <w:pP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备注：</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1.投标人需对招标文件商务要求中非实质性要求（</w:t>
      </w:r>
      <w:r>
        <w:rPr>
          <w:rFonts w:hint="eastAsia" w:ascii="方正仿宋_GB2312" w:hAnsi="方正仿宋_GB2312" w:eastAsia="方正仿宋_GB2312" w:cs="方正仿宋_GB2312"/>
          <w:b/>
          <w:sz w:val="28"/>
          <w:szCs w:val="28"/>
        </w:rPr>
        <w:t xml:space="preserve">未加</w:t>
      </w:r>
      <w:r>
        <w:rPr>
          <w:rFonts w:hint="eastAsia" w:ascii="方正仿宋_GB2312" w:hAnsi="方正仿宋_GB2312" w:eastAsia="方正仿宋_GB2312" w:cs="方正仿宋_GB2312"/>
          <w:b/>
          <w:i/>
          <w:sz w:val="28"/>
          <w:szCs w:val="28"/>
          <w:u w:val="single"/>
        </w:rPr>
        <w:t xml:space="preserve">斜体下划线</w:t>
      </w:r>
      <w:r>
        <w:rPr>
          <w:rFonts w:hint="eastAsia" w:ascii="方正仿宋_GB2312" w:hAnsi="方正仿宋_GB2312" w:eastAsia="方正仿宋_GB2312" w:cs="方正仿宋_GB2312"/>
          <w:b/>
          <w:iCs/>
          <w:sz w:val="28"/>
          <w:szCs w:val="28"/>
        </w:rPr>
        <w:t xml:space="preserve">部分</w:t>
      </w:r>
      <w:r>
        <w:rPr>
          <w:rFonts w:hint="eastAsia" w:ascii="方正仿宋_GB2312" w:hAnsi="方正仿宋_GB2312" w:eastAsia="方正仿宋_GB2312" w:cs="方正仿宋_GB2312"/>
          <w:b/>
          <w:sz w:val="28"/>
          <w:szCs w:val="28"/>
        </w:rPr>
        <w:t xml:space="preserve">或未加*号条款</w:t>
      </w:r>
      <w:r>
        <w:rPr>
          <w:rFonts w:hint="eastAsia" w:ascii="方正仿宋_GB2312" w:hAnsi="方正仿宋_GB2312" w:eastAsia="方正仿宋_GB2312" w:cs="方正仿宋_GB2312"/>
          <w:sz w:val="28"/>
          <w:szCs w:val="28"/>
        </w:rPr>
        <w:t xml:space="preserve">）逐条做出明确响应。</w:t>
      </w:r>
      <w:r/>
    </w:p>
    <w:p>
      <w:pPr>
        <w:ind w:left="0" w:right="0"/>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t xml:space="preserve">2.如果招标文件要求提供证明材料，投标人需将证明材料列于该表之下。</w:t>
      </w:r>
      <w:r/>
    </w:p>
    <w:p>
      <w:pPr>
        <w:spacing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附件5 具备履行合同所必需的设备和专业技术能力的书面声明</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我单位郑重声明：我单位具备履行本项采购合同所必需的设备和专业技术能力，为履行本项采购合同我公司具备如下主要设备和主要专业技术能力：</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主要设备有：</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主要专业技术能力有：</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w:t>
      </w:r>
      <w:r/>
    </w:p>
    <w:p>
      <w:pPr>
        <w:spacing w:line="400" w:lineRule="exact"/>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Cs/>
          <w:color w:val="000000"/>
          <w:sz w:val="28"/>
          <w:szCs w:val="28"/>
        </w:rPr>
        <w:t xml:space="preserve">                                     </w:t>
      </w:r>
      <w:r/>
    </w:p>
    <w:p>
      <w:pPr>
        <w:jc w:val="center"/>
        <w:spacing w:line="400" w:lineRule="exact"/>
        <w:rPr>
          <w:rFonts w:hint="eastAsia" w:ascii="方正仿宋_GB2312" w:hAnsi="方正仿宋_GB2312" w:eastAsia="方正仿宋_GB2312" w:cs="方正仿宋_GB2312"/>
          <w:b/>
          <w:bCs/>
          <w:color w:val="000000"/>
          <w:sz w:val="28"/>
          <w:szCs w:val="28"/>
        </w:rPr>
      </w:pPr>
      <w:r>
        <w:rPr>
          <w:rFonts w:hint="eastAsia" w:ascii="方正仿宋_GB2312" w:hAnsi="方正仿宋_GB2312" w:eastAsia="方正仿宋_GB2312" w:cs="方正仿宋_GB2312"/>
          <w:b/>
          <w:bCs/>
          <w:color w:val="000000"/>
          <w:sz w:val="28"/>
          <w:szCs w:val="28"/>
        </w:rPr>
      </w:r>
      <w:r/>
    </w:p>
    <w:p>
      <w:pPr>
        <w:jc w:val="center"/>
        <w:spacing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r>
      <w:r/>
    </w:p>
    <w:p>
      <w:pPr>
        <w:jc w:val="center"/>
        <w:spacing w:line="400" w:lineRule="exact"/>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sz w:val="28"/>
          <w:szCs w:val="28"/>
        </w:rPr>
        <w:t xml:space="preserve">附件6 参加政府采购活动前 3 年内在经营活动中没有重大违法记录的书面声明</w:t>
      </w:r>
      <w:r/>
    </w:p>
    <w:p>
      <w:pPr>
        <w:ind w:left="0" w:right="0"/>
        <w:spacing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Cs/>
          <w:sz w:val="28"/>
          <w:szCs w:val="28"/>
        </w:rPr>
      </w:r>
      <w:r>
        <w:rPr>
          <w:rFonts w:hint="eastAsia" w:ascii="方正仿宋_GB2312" w:hAnsi="方正仿宋_GB2312" w:eastAsia="方正仿宋_GB2312" w:cs="方正仿宋_GB2312"/>
          <w:bCs/>
          <w:sz w:val="28"/>
          <w:szCs w:val="28"/>
        </w:rPr>
      </w:r>
    </w:p>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rPr>
          <w:rFonts w:hint="eastAsia" w:ascii="方正仿宋_GB2312" w:hAnsi="方正仿宋_GB2312" w:eastAsia="方正仿宋_GB2312" w:cs="方正仿宋_GB2312"/>
          <w:sz w:val="28"/>
          <w:szCs w:val="28"/>
        </w:rPr>
      </w:r>
    </w:p>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rPr>
          <w:rFonts w:hint="eastAsia" w:ascii="方正仿宋_GB2312" w:hAnsi="方正仿宋_GB2312" w:eastAsia="方正仿宋_GB2312" w:cs="方正仿宋_GB2312"/>
          <w:sz w:val="28"/>
          <w:szCs w:val="28"/>
        </w:rPr>
      </w:r>
    </w:p>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rPr>
          <w:rFonts w:hint="eastAsia" w:ascii="方正仿宋_GB2312" w:hAnsi="方正仿宋_GB2312" w:eastAsia="方正仿宋_GB2312" w:cs="方正仿宋_GB2312"/>
          <w:sz w:val="28"/>
          <w:szCs w:val="28"/>
        </w:rPr>
      </w:r>
    </w:p>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rPr>
          <w:rFonts w:hint="eastAsia" w:ascii="方正仿宋_GB2312" w:hAnsi="方正仿宋_GB2312" w:eastAsia="方正仿宋_GB2312" w:cs="方正仿宋_GB2312"/>
          <w:sz w:val="28"/>
          <w:szCs w:val="28"/>
        </w:rPr>
      </w:r>
    </w:p>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rPr>
          <w:rFonts w:hint="eastAsia" w:ascii="方正仿宋_GB2312" w:hAnsi="方正仿宋_GB2312" w:eastAsia="方正仿宋_GB2312" w:cs="方正仿宋_GB2312"/>
          <w:sz w:val="28"/>
          <w:szCs w:val="28"/>
        </w:rPr>
      </w:r>
    </w:p>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rPr>
          <w:rFonts w:hint="eastAsia" w:ascii="方正仿宋_GB2312" w:hAnsi="方正仿宋_GB2312" w:eastAsia="方正仿宋_GB2312" w:cs="方正仿宋_GB2312"/>
          <w:sz w:val="28"/>
          <w:szCs w:val="28"/>
        </w:rPr>
      </w:r>
    </w:p>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rPr>
          <w:rFonts w:hint="eastAsia" w:ascii="方正仿宋_GB2312" w:hAnsi="方正仿宋_GB2312" w:eastAsia="方正仿宋_GB2312" w:cs="方正仿宋_GB2312"/>
          <w:sz w:val="28"/>
          <w:szCs w:val="28"/>
        </w:rPr>
      </w:r>
    </w:p>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rPr>
          <w:rFonts w:hint="eastAsia" w:ascii="方正仿宋_GB2312" w:hAnsi="方正仿宋_GB2312" w:eastAsia="方正仿宋_GB2312" w:cs="方正仿宋_GB2312"/>
          <w:sz w:val="28"/>
          <w:szCs w:val="28"/>
        </w:rPr>
      </w:r>
    </w:p>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rPr>
          <w:rFonts w:hint="eastAsia" w:ascii="方正仿宋_GB2312" w:hAnsi="方正仿宋_GB2312" w:eastAsia="方正仿宋_GB2312" w:cs="方正仿宋_GB2312"/>
          <w:sz w:val="28"/>
          <w:szCs w:val="28"/>
        </w:rPr>
      </w:r>
    </w:p>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rPr>
          <w:rFonts w:hint="eastAsia" w:ascii="方正仿宋_GB2312" w:hAnsi="方正仿宋_GB2312" w:eastAsia="方正仿宋_GB2312" w:cs="方正仿宋_GB2312"/>
          <w:sz w:val="28"/>
          <w:szCs w:val="28"/>
        </w:rPr>
      </w:r>
    </w:p>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rPr>
          <w:rFonts w:hint="eastAsia" w:ascii="方正仿宋_GB2312" w:hAnsi="方正仿宋_GB2312" w:eastAsia="方正仿宋_GB2312" w:cs="方正仿宋_GB2312"/>
          <w:sz w:val="28"/>
          <w:szCs w:val="28"/>
        </w:rPr>
      </w:r>
    </w:p>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rPr>
          <w:rFonts w:hint="eastAsia" w:ascii="方正仿宋_GB2312" w:hAnsi="方正仿宋_GB2312" w:eastAsia="方正仿宋_GB2312" w:cs="方正仿宋_GB2312"/>
          <w:sz w:val="28"/>
          <w:szCs w:val="28"/>
        </w:rPr>
      </w:r>
    </w:p>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rPr>
          <w:rFonts w:hint="eastAsia" w:ascii="方正仿宋_GB2312" w:hAnsi="方正仿宋_GB2312" w:eastAsia="方正仿宋_GB2312" w:cs="方正仿宋_GB2312"/>
          <w:sz w:val="28"/>
          <w:szCs w:val="28"/>
        </w:rPr>
      </w:r>
    </w:p>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rPr>
          <w:rFonts w:hint="eastAsia" w:ascii="方正仿宋_GB2312" w:hAnsi="方正仿宋_GB2312" w:eastAsia="方正仿宋_GB2312" w:cs="方正仿宋_GB2312"/>
          <w:sz w:val="28"/>
          <w:szCs w:val="28"/>
        </w:rPr>
      </w:r>
    </w:p>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rPr>
          <w:rFonts w:hint="eastAsia" w:ascii="方正仿宋_GB2312" w:hAnsi="方正仿宋_GB2312" w:eastAsia="方正仿宋_GB2312" w:cs="方正仿宋_GB2312"/>
          <w:sz w:val="28"/>
          <w:szCs w:val="28"/>
        </w:rPr>
      </w:r>
    </w:p>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rPr>
          <w:rFonts w:hint="eastAsia" w:ascii="方正仿宋_GB2312" w:hAnsi="方正仿宋_GB2312" w:eastAsia="方正仿宋_GB2312" w:cs="方正仿宋_GB2312"/>
          <w:sz w:val="28"/>
          <w:szCs w:val="28"/>
        </w:rPr>
      </w:r>
    </w:p>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rPr>
          <w:rFonts w:hint="eastAsia" w:ascii="方正仿宋_GB2312" w:hAnsi="方正仿宋_GB2312" w:eastAsia="方正仿宋_GB2312" w:cs="方正仿宋_GB2312"/>
          <w:sz w:val="28"/>
          <w:szCs w:val="28"/>
        </w:rPr>
      </w:r>
    </w:p>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rPr>
          <w:rFonts w:hint="eastAsia" w:ascii="方正仿宋_GB2312" w:hAnsi="方正仿宋_GB2312" w:eastAsia="方正仿宋_GB2312" w:cs="方正仿宋_GB2312"/>
          <w:sz w:val="28"/>
          <w:szCs w:val="28"/>
        </w:rPr>
      </w:r>
    </w:p>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rPr>
          <w:rFonts w:hint="eastAsia" w:ascii="方正仿宋_GB2312" w:hAnsi="方正仿宋_GB2312" w:eastAsia="方正仿宋_GB2312" w:cs="方正仿宋_GB2312"/>
          <w:sz w:val="28"/>
          <w:szCs w:val="28"/>
        </w:rPr>
      </w:r>
    </w:p>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rPr>
          <w:rFonts w:hint="eastAsia" w:ascii="方正仿宋_GB2312" w:hAnsi="方正仿宋_GB2312" w:eastAsia="方正仿宋_GB2312" w:cs="方正仿宋_GB2312"/>
          <w:sz w:val="28"/>
          <w:szCs w:val="28"/>
        </w:rPr>
      </w:r>
    </w:p>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rPr>
          <w:rFonts w:hint="eastAsia" w:ascii="方正仿宋_GB2312" w:hAnsi="方正仿宋_GB2312" w:eastAsia="方正仿宋_GB2312" w:cs="方正仿宋_GB2312"/>
          <w:sz w:val="28"/>
          <w:szCs w:val="28"/>
        </w:rPr>
      </w:r>
    </w:p>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rPr>
          <w:rFonts w:hint="eastAsia" w:ascii="方正仿宋_GB2312" w:hAnsi="方正仿宋_GB2312" w:eastAsia="方正仿宋_GB2312" w:cs="方正仿宋_GB2312"/>
          <w:sz w:val="28"/>
          <w:szCs w:val="28"/>
        </w:rPr>
      </w:r>
    </w:p>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rPr>
          <w:rFonts w:hint="eastAsia" w:ascii="方正仿宋_GB2312" w:hAnsi="方正仿宋_GB2312" w:eastAsia="方正仿宋_GB2312" w:cs="方正仿宋_GB2312"/>
          <w:sz w:val="28"/>
          <w:szCs w:val="28"/>
        </w:rPr>
      </w:r>
    </w:p>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rPr>
          <w:rFonts w:hint="eastAsia" w:ascii="方正仿宋_GB2312" w:hAnsi="方正仿宋_GB2312" w:eastAsia="方正仿宋_GB2312" w:cs="方正仿宋_GB2312"/>
          <w:sz w:val="28"/>
          <w:szCs w:val="28"/>
        </w:rPr>
      </w:r>
    </w:p>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rPr>
          <w:rFonts w:hint="eastAsia" w:ascii="方正仿宋_GB2312" w:hAnsi="方正仿宋_GB2312" w:eastAsia="方正仿宋_GB2312" w:cs="方正仿宋_GB2312"/>
          <w:sz w:val="28"/>
          <w:szCs w:val="28"/>
        </w:rPr>
      </w:r>
    </w:p>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rPr>
          <w:rFonts w:hint="eastAsia" w:ascii="方正仿宋_GB2312" w:hAnsi="方正仿宋_GB2312" w:eastAsia="方正仿宋_GB2312" w:cs="方正仿宋_GB2312"/>
          <w:sz w:val="28"/>
          <w:szCs w:val="28"/>
        </w:rPr>
      </w:r>
    </w:p>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rPr>
          <w:rFonts w:hint="eastAsia" w:ascii="方正仿宋_GB2312" w:hAnsi="方正仿宋_GB2312" w:eastAsia="方正仿宋_GB2312" w:cs="方正仿宋_GB2312"/>
          <w:sz w:val="28"/>
          <w:szCs w:val="28"/>
        </w:rPr>
      </w:r>
    </w:p>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Cs/>
          <w:sz w:val="28"/>
          <w:szCs w:val="28"/>
        </w:rPr>
      </w:r>
      <w:r/>
    </w:p>
    <w:p>
      <w:pPr>
        <w:jc w:val="center"/>
        <w:spacing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附件7         法人授权书</w:t>
      </w:r>
      <w:r/>
    </w:p>
    <w:p>
      <w:pPr>
        <w:ind w:left="0" w:right="0"/>
        <w:spacing w:line="400" w:lineRule="exact"/>
        <w:tabs>
          <w:tab w:val="left" w:pos="360" w:leader="none"/>
        </w:tabs>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本授权书声明：</w:t>
      </w:r>
      <w:r>
        <w:rPr>
          <w:rFonts w:hint="eastAsia" w:ascii="方正仿宋_GB2312" w:hAnsi="方正仿宋_GB2312" w:eastAsia="方正仿宋_GB2312" w:cs="方正仿宋_GB2312"/>
          <w:color w:val="000000"/>
          <w:sz w:val="28"/>
          <w:szCs w:val="28"/>
          <w:u w:val="single"/>
        </w:rPr>
        <w:t xml:space="preserve">XXXX</w:t>
      </w:r>
      <w:r>
        <w:rPr>
          <w:rFonts w:hint="eastAsia" w:ascii="方正仿宋_GB2312" w:hAnsi="方正仿宋_GB2312" w:eastAsia="方正仿宋_GB2312" w:cs="方正仿宋_GB2312"/>
          <w:color w:val="000000"/>
          <w:sz w:val="28"/>
          <w:szCs w:val="28"/>
        </w:rPr>
        <w:t xml:space="preserve">（投标人名称）授权</w:t>
      </w:r>
      <w:r>
        <w:rPr>
          <w:rFonts w:hint="eastAsia" w:ascii="方正仿宋_GB2312" w:hAnsi="方正仿宋_GB2312" w:eastAsia="方正仿宋_GB2312" w:cs="方正仿宋_GB2312"/>
          <w:color w:val="000000"/>
          <w:sz w:val="28"/>
          <w:szCs w:val="28"/>
          <w:u w:val="single"/>
        </w:rPr>
        <w:t xml:space="preserve">XX</w:t>
      </w:r>
      <w:r>
        <w:rPr>
          <w:rFonts w:hint="eastAsia" w:ascii="方正仿宋_GB2312" w:hAnsi="方正仿宋_GB2312" w:eastAsia="方正仿宋_GB2312" w:cs="方正仿宋_GB2312"/>
          <w:color w:val="000000"/>
          <w:sz w:val="28"/>
          <w:szCs w:val="28"/>
        </w:rPr>
        <w:t xml:space="preserve">（被授权人的姓名）为我方就采购编号为JSZC-320000-SCZX-G20XX-XXXX，</w:t>
      </w:r>
      <w:r>
        <w:rPr>
          <w:rFonts w:hint="eastAsia" w:ascii="方正仿宋_GB2312" w:hAnsi="方正仿宋_GB2312" w:eastAsia="方正仿宋_GB2312" w:cs="方正仿宋_GB2312"/>
          <w:color w:val="000000"/>
          <w:sz w:val="28"/>
          <w:szCs w:val="28"/>
          <w:u w:val="single"/>
        </w:rPr>
        <w:t xml:space="preserve">XXXX</w:t>
      </w:r>
      <w:r>
        <w:rPr>
          <w:rFonts w:hint="eastAsia" w:ascii="方正仿宋_GB2312" w:hAnsi="方正仿宋_GB2312" w:eastAsia="方正仿宋_GB2312" w:cs="方正仿宋_GB2312"/>
          <w:color w:val="000000"/>
          <w:sz w:val="28"/>
          <w:szCs w:val="28"/>
        </w:rPr>
        <w:t xml:space="preserve">项目（项目名称）采购活动的合法代理人，以本单位名义全权处理一切与该项目采购有关的事务。</w:t>
      </w:r>
      <w:r/>
    </w:p>
    <w:p>
      <w:pPr>
        <w:ind w:left="0" w:right="0"/>
        <w:spacing w:line="400" w:lineRule="exact"/>
        <w:tabs>
          <w:tab w:val="left" w:pos="360" w:leader="none"/>
        </w:tabs>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本授权书于</w:t>
      </w:r>
      <w:r>
        <w:rPr>
          <w:rFonts w:hint="eastAsia" w:ascii="方正仿宋_GB2312" w:hAnsi="方正仿宋_GB2312" w:eastAsia="方正仿宋_GB2312" w:cs="方正仿宋_GB2312"/>
          <w:color w:val="000000"/>
          <w:sz w:val="28"/>
          <w:szCs w:val="28"/>
          <w:u w:val="single"/>
        </w:rPr>
        <w:t xml:space="preserve">XX</w:t>
      </w:r>
      <w:r>
        <w:rPr>
          <w:rFonts w:hint="eastAsia" w:ascii="方正仿宋_GB2312" w:hAnsi="方正仿宋_GB2312" w:eastAsia="方正仿宋_GB2312" w:cs="方正仿宋_GB2312"/>
          <w:color w:val="000000"/>
          <w:sz w:val="28"/>
          <w:szCs w:val="28"/>
        </w:rPr>
        <w:t xml:space="preserve">年</w:t>
      </w:r>
      <w:r>
        <w:rPr>
          <w:rFonts w:hint="eastAsia" w:ascii="方正仿宋_GB2312" w:hAnsi="方正仿宋_GB2312" w:eastAsia="方正仿宋_GB2312" w:cs="方正仿宋_GB2312"/>
          <w:color w:val="000000"/>
          <w:sz w:val="28"/>
          <w:szCs w:val="28"/>
          <w:u w:val="single"/>
        </w:rPr>
        <w:t xml:space="preserve">XX</w:t>
      </w:r>
      <w:r>
        <w:rPr>
          <w:rFonts w:hint="eastAsia" w:ascii="方正仿宋_GB2312" w:hAnsi="方正仿宋_GB2312" w:eastAsia="方正仿宋_GB2312" w:cs="方正仿宋_GB2312"/>
          <w:color w:val="000000"/>
          <w:sz w:val="28"/>
          <w:szCs w:val="28"/>
        </w:rPr>
        <w:t xml:space="preserve">月</w:t>
      </w:r>
      <w:r>
        <w:rPr>
          <w:rFonts w:hint="eastAsia" w:ascii="方正仿宋_GB2312" w:hAnsi="方正仿宋_GB2312" w:eastAsia="方正仿宋_GB2312" w:cs="方正仿宋_GB2312"/>
          <w:color w:val="000000"/>
          <w:sz w:val="28"/>
          <w:szCs w:val="28"/>
          <w:u w:val="single"/>
        </w:rPr>
        <w:t xml:space="preserve">XX</w:t>
      </w:r>
      <w:r>
        <w:rPr>
          <w:rFonts w:hint="eastAsia" w:ascii="方正仿宋_GB2312" w:hAnsi="方正仿宋_GB2312" w:eastAsia="方正仿宋_GB2312" w:cs="方正仿宋_GB2312"/>
          <w:color w:val="000000"/>
          <w:sz w:val="28"/>
          <w:szCs w:val="28"/>
        </w:rPr>
        <w:t xml:space="preserve">日起生效，特此声明。</w:t>
      </w:r>
      <w:r/>
    </w:p>
    <w:p>
      <w:pPr>
        <w:ind w:left="0" w:right="0"/>
        <w:spacing w:line="400" w:lineRule="exact"/>
        <w:tabs>
          <w:tab w:val="left" w:pos="360" w:leader="none"/>
        </w:tabs>
        <w:rPr>
          <w:rFonts w:hint="eastAsia" w:ascii="方正仿宋_GB2312" w:hAnsi="方正仿宋_GB2312" w:eastAsia="方正仿宋_GB2312" w:cs="方正仿宋_GB2312"/>
          <w:color w:val="000000"/>
          <w:sz w:val="28"/>
          <w:szCs w:val="28"/>
          <w:u w:val="single"/>
        </w:rPr>
      </w:pPr>
      <w:r>
        <w:rPr>
          <w:rFonts w:hint="eastAsia" w:ascii="方正仿宋_GB2312" w:hAnsi="方正仿宋_GB2312" w:eastAsia="方正仿宋_GB2312" w:cs="方正仿宋_GB2312"/>
          <w:color w:val="000000"/>
          <w:sz w:val="28"/>
          <w:szCs w:val="28"/>
        </w:rPr>
        <w:t xml:space="preserve">被授权人身份证号码：</w:t>
      </w:r>
      <w:r>
        <w:rPr>
          <w:rFonts w:hint="eastAsia" w:ascii="方正仿宋_GB2312" w:hAnsi="方正仿宋_GB2312" w:eastAsia="方正仿宋_GB2312" w:cs="方正仿宋_GB2312"/>
          <w:color w:val="000000"/>
          <w:sz w:val="28"/>
          <w:szCs w:val="28"/>
          <w:u w:val="single"/>
        </w:rPr>
        <w:t xml:space="preserve">                              </w:t>
      </w:r>
      <w:r/>
    </w:p>
    <w:p>
      <w:pPr>
        <w:ind w:left="0" w:right="0"/>
        <w:spacing w:line="400" w:lineRule="exact"/>
        <w:tabs>
          <w:tab w:val="left" w:pos="360" w:leader="none"/>
        </w:tabs>
        <w:rPr>
          <w:rFonts w:hint="eastAsia" w:ascii="方正仿宋_GB2312" w:hAnsi="方正仿宋_GB2312" w:eastAsia="方正仿宋_GB2312" w:cs="方正仿宋_GB2312"/>
          <w:sz w:val="28"/>
          <w:szCs w:val="28"/>
          <w:u w:val="single"/>
        </w:rPr>
      </w:pPr>
      <w:r>
        <w:rPr>
          <w:rFonts w:hint="eastAsia" w:ascii="方正仿宋_GB2312" w:hAnsi="方正仿宋_GB2312" w:eastAsia="方正仿宋_GB2312" w:cs="方正仿宋_GB2312"/>
          <w:sz w:val="28"/>
          <w:szCs w:val="28"/>
        </w:rPr>
        <w:t xml:space="preserve">被授权人联系电话：（手机）</w:t>
      </w:r>
      <w:r>
        <w:rPr>
          <w:rFonts w:hint="eastAsia" w:ascii="方正仿宋_GB2312" w:hAnsi="方正仿宋_GB2312" w:eastAsia="方正仿宋_GB2312" w:cs="方正仿宋_GB2312"/>
          <w:sz w:val="28"/>
          <w:szCs w:val="28"/>
          <w:u w:val="single"/>
        </w:rPr>
        <w:t xml:space="preserve">                          </w:t>
      </w:r>
      <w:r/>
    </w:p>
    <w:p>
      <w:pPr>
        <w:ind w:left="0" w:right="0"/>
        <w:spacing w:line="400" w:lineRule="exact"/>
        <w:tabs>
          <w:tab w:val="left" w:pos="360" w:leader="none"/>
        </w:tabs>
        <w:rPr>
          <w:rFonts w:hint="eastAsia" w:ascii="方正仿宋_GB2312" w:hAnsi="方正仿宋_GB2312" w:eastAsia="方正仿宋_GB2312" w:cs="方正仿宋_GB2312"/>
          <w:sz w:val="28"/>
          <w:szCs w:val="28"/>
          <w:u w:val="single"/>
        </w:rPr>
      </w:pPr>
      <w:r>
        <w:rPr>
          <w:rFonts w:hint="eastAsia" w:ascii="方正仿宋_GB2312" w:hAnsi="方正仿宋_GB2312" w:eastAsia="方正仿宋_GB2312" w:cs="方正仿宋_GB2312"/>
          <w:sz w:val="28"/>
          <w:szCs w:val="28"/>
        </w:rPr>
        <w:t xml:space="preserve">被授权人电子邮箱：</w:t>
      </w:r>
      <w:r>
        <w:rPr>
          <w:rFonts w:hint="eastAsia" w:ascii="方正仿宋_GB2312" w:hAnsi="方正仿宋_GB2312" w:eastAsia="方正仿宋_GB2312" w:cs="方正仿宋_GB2312"/>
          <w:sz w:val="28"/>
          <w:szCs w:val="28"/>
          <w:u w:val="single"/>
        </w:rPr>
        <w:t xml:space="preserve">            </w:t>
      </w:r>
      <w:r/>
    </w:p>
    <w:p>
      <w:pPr>
        <w:ind w:left="0" w:right="0"/>
        <w:spacing w:line="400" w:lineRule="exact"/>
        <w:tabs>
          <w:tab w:val="left" w:pos="360" w:leader="none"/>
        </w:tabs>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授权单位名称：</w:t>
      </w:r>
      <w:r>
        <w:rPr>
          <w:rFonts w:hint="eastAsia" w:ascii="方正仿宋_GB2312" w:hAnsi="方正仿宋_GB2312" w:eastAsia="方正仿宋_GB2312" w:cs="方正仿宋_GB2312"/>
          <w:sz w:val="28"/>
          <w:szCs w:val="28"/>
          <w:u w:val="single"/>
        </w:rPr>
        <w:t xml:space="preserve">（加盖CA电子公章）</w:t>
      </w:r>
      <w:r/>
    </w:p>
    <w:p>
      <w:pPr>
        <w:ind w:left="0" w:right="0"/>
        <w:spacing w:line="400" w:lineRule="exact"/>
        <w:tabs>
          <w:tab w:val="left" w:pos="360" w:leader="none"/>
        </w:tabs>
        <w:rPr>
          <w:rFonts w:hint="eastAsia" w:ascii="方正仿宋_GB2312" w:hAnsi="方正仿宋_GB2312" w:eastAsia="方正仿宋_GB2312" w:cs="方正仿宋_GB2312"/>
          <w:sz w:val="28"/>
          <w:szCs w:val="28"/>
          <w:u w:val="single"/>
        </w:rPr>
      </w:pPr>
      <w:r>
        <w:rPr>
          <w:rFonts w:hint="eastAsia" w:ascii="方正仿宋_GB2312" w:hAnsi="方正仿宋_GB2312" w:eastAsia="方正仿宋_GB2312" w:cs="方正仿宋_GB2312"/>
          <w:sz w:val="28"/>
          <w:szCs w:val="28"/>
        </w:rPr>
        <w:t xml:space="preserve">单位地址：</w:t>
      </w:r>
      <w:r>
        <w:rPr>
          <w:rFonts w:hint="eastAsia" w:ascii="方正仿宋_GB2312" w:hAnsi="方正仿宋_GB2312" w:eastAsia="方正仿宋_GB2312" w:cs="方正仿宋_GB2312"/>
          <w:sz w:val="28"/>
          <w:szCs w:val="28"/>
          <w:u w:val="single"/>
        </w:rPr>
        <w:t xml:space="preserve">                                         </w:t>
      </w:r>
      <w:r/>
    </w:p>
    <w:p>
      <w:pPr>
        <w:ind w:left="0" w:right="0"/>
        <w:spacing w:line="400" w:lineRule="exact"/>
        <w:tabs>
          <w:tab w:val="left" w:pos="360" w:leader="none"/>
        </w:tabs>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日    期：</w:t>
      </w:r>
      <w:r>
        <w:rPr>
          <w:rFonts w:hint="eastAsia" w:ascii="方正仿宋_GB2312" w:hAnsi="方正仿宋_GB2312" w:eastAsia="方正仿宋_GB2312" w:cs="方正仿宋_GB2312"/>
          <w:sz w:val="28"/>
          <w:szCs w:val="28"/>
          <w:u w:val="single"/>
        </w:rPr>
        <w:t xml:space="preserve">                                         </w:t>
      </w:r>
      <w:r/>
    </w:p>
    <w:p>
      <w:pPr>
        <w:ind w:left="0" w:right="0"/>
        <w:spacing w:line="400" w:lineRule="exact"/>
        <w:rPr>
          <w:rFonts w:hint="eastAsia" w:ascii="方正仿宋_GB2312" w:hAnsi="方正仿宋_GB2312" w:eastAsia="方正仿宋_GB2312" w:cs="方正仿宋_GB2312"/>
          <w:color w:val="000000"/>
          <w:sz w:val="28"/>
          <w:szCs w:val="28"/>
          <w:highlight w:val="yellow"/>
        </w:rPr>
      </w:pPr>
      <w:r>
        <w:rPr>
          <w:rFonts w:hint="eastAsia" w:ascii="方正仿宋_GB2312" w:hAnsi="方正仿宋_GB2312" w:eastAsia="方正仿宋_GB2312" w:cs="方正仿宋_GB2312"/>
        </w:rPr>
        <w:br w:type="page" w:clear="all"/>
      </w:r>
      <w:r/>
    </w:p>
    <w:p>
      <w:pPr>
        <w:jc w:val="center"/>
        <w:spacing w:line="400" w:lineRule="exact"/>
        <w:rPr>
          <w:rFonts w:hint="eastAsia" w:ascii="方正仿宋_GB2312" w:hAnsi="方正仿宋_GB2312" w:eastAsia="方正仿宋_GB2312" w:cs="方正仿宋_GB2312"/>
          <w:b/>
          <w:i/>
          <w:color w:val="000000"/>
          <w:sz w:val="28"/>
          <w:szCs w:val="28"/>
          <w:u w:val="single"/>
        </w:rPr>
      </w:pPr>
      <w:r>
        <w:rPr>
          <w:rFonts w:hint="eastAsia" w:ascii="方正仿宋_GB2312" w:hAnsi="方正仿宋_GB2312" w:eastAsia="方正仿宋_GB2312" w:cs="方正仿宋_GB2312"/>
          <w:bCs/>
          <w:sz w:val="28"/>
          <w:szCs w:val="28"/>
        </w:rPr>
        <w:t xml:space="preserve">附件8              投标函</w:t>
      </w:r>
      <w:r/>
    </w:p>
    <w:p>
      <w:pPr>
        <w:ind w:left="0" w:right="0"/>
        <w:jc w:val="left"/>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致：江苏省政府采购中心</w:t>
      </w:r>
      <w:r/>
    </w:p>
    <w:p>
      <w:pPr>
        <w:pStyle w:val="758"/>
        <w:ind w:left="0" w:right="0"/>
        <w:spacing w:before="0" w:after="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000000"/>
          <w:sz w:val="28"/>
          <w:szCs w:val="28"/>
        </w:rPr>
        <w:t xml:space="preserve">根据贵方</w:t>
      </w:r>
      <w:r>
        <w:rPr>
          <w:rFonts w:hint="eastAsia" w:ascii="方正仿宋_GB2312" w:hAnsi="方正仿宋_GB2312" w:eastAsia="方正仿宋_GB2312" w:cs="方正仿宋_GB2312"/>
          <w:sz w:val="28"/>
          <w:szCs w:val="28"/>
        </w:rPr>
        <w:t xml:space="preserve">采购编号为</w:t>
      </w:r>
      <w:r>
        <w:rPr>
          <w:rFonts w:hint="eastAsia" w:ascii="方正仿宋_GB2312" w:hAnsi="方正仿宋_GB2312" w:eastAsia="方正仿宋_GB2312" w:cs="方正仿宋_GB2312"/>
          <w:color w:val="000000"/>
          <w:sz w:val="28"/>
          <w:szCs w:val="28"/>
        </w:rPr>
        <w:t xml:space="preserve">JSZC-320000-SCZX-G20XX-XXXX</w:t>
      </w:r>
      <w:r>
        <w:rPr>
          <w:rFonts w:hint="eastAsia" w:ascii="方正仿宋_GB2312" w:hAnsi="方正仿宋_GB2312" w:eastAsia="方正仿宋_GB2312" w:cs="方正仿宋_GB2312"/>
          <w:sz w:val="28"/>
          <w:szCs w:val="28"/>
        </w:rPr>
        <w:t xml:space="preserve">，</w:t>
      </w:r>
      <w:r>
        <w:rPr>
          <w:rFonts w:hint="eastAsia" w:ascii="方正仿宋_GB2312" w:hAnsi="方正仿宋_GB2312" w:eastAsia="方正仿宋_GB2312" w:cs="方正仿宋_GB2312"/>
          <w:color w:val="000000"/>
          <w:sz w:val="28"/>
          <w:szCs w:val="28"/>
          <w:u w:val="single"/>
        </w:rPr>
        <w:t xml:space="preserve">XXXX</w:t>
      </w:r>
      <w:r>
        <w:rPr>
          <w:rFonts w:hint="eastAsia" w:ascii="方正仿宋_GB2312" w:hAnsi="方正仿宋_GB2312" w:eastAsia="方正仿宋_GB2312" w:cs="方正仿宋_GB2312"/>
          <w:sz w:val="28"/>
          <w:szCs w:val="28"/>
        </w:rPr>
        <w:t xml:space="preserve">项目（项目名称）的</w:t>
      </w:r>
      <w:r>
        <w:rPr>
          <w:rFonts w:hint="eastAsia" w:ascii="方正仿宋_GB2312" w:hAnsi="方正仿宋_GB2312" w:eastAsia="方正仿宋_GB2312" w:cs="方正仿宋_GB2312"/>
          <w:color w:val="000000"/>
          <w:sz w:val="28"/>
          <w:szCs w:val="28"/>
        </w:rPr>
        <w:t xml:space="preserve">招标文件</w:t>
      </w:r>
      <w:r>
        <w:rPr>
          <w:rFonts w:hint="eastAsia" w:ascii="方正仿宋_GB2312" w:hAnsi="方正仿宋_GB2312" w:eastAsia="方正仿宋_GB2312" w:cs="方正仿宋_GB2312"/>
          <w:sz w:val="28"/>
          <w:szCs w:val="28"/>
        </w:rPr>
        <w:t xml:space="preserve">，正式授权下述签字人</w:t>
      </w:r>
      <w:r>
        <w:rPr>
          <w:rFonts w:hint="eastAsia" w:ascii="方正仿宋_GB2312" w:hAnsi="方正仿宋_GB2312" w:eastAsia="方正仿宋_GB2312" w:cs="方正仿宋_GB2312"/>
          <w:color w:val="000000"/>
          <w:sz w:val="28"/>
          <w:szCs w:val="28"/>
          <w:u w:val="single"/>
        </w:rPr>
        <w:t xml:space="preserve">XX</w:t>
      </w:r>
      <w:r>
        <w:rPr>
          <w:rFonts w:hint="eastAsia" w:ascii="方正仿宋_GB2312" w:hAnsi="方正仿宋_GB2312" w:eastAsia="方正仿宋_GB2312" w:cs="方正仿宋_GB2312"/>
          <w:sz w:val="28"/>
          <w:szCs w:val="28"/>
        </w:rPr>
        <w:t xml:space="preserve">(姓名)代表我方</w:t>
      </w:r>
      <w:r>
        <w:rPr>
          <w:rFonts w:hint="eastAsia" w:ascii="方正仿宋_GB2312" w:hAnsi="方正仿宋_GB2312" w:eastAsia="方正仿宋_GB2312" w:cs="方正仿宋_GB2312"/>
          <w:color w:val="000000"/>
          <w:sz w:val="28"/>
          <w:szCs w:val="28"/>
          <w:u w:val="single"/>
        </w:rPr>
        <w:t xml:space="preserve">XXXX</w:t>
      </w:r>
      <w:r>
        <w:rPr>
          <w:rFonts w:hint="eastAsia" w:ascii="方正仿宋_GB2312" w:hAnsi="方正仿宋_GB2312" w:eastAsia="方正仿宋_GB2312" w:cs="方正仿宋_GB2312"/>
          <w:sz w:val="28"/>
          <w:szCs w:val="28"/>
        </w:rPr>
        <w:t xml:space="preserve">（投标人的名称），全权处理本次项目投标的有关事宜。</w:t>
      </w:r>
      <w:r/>
    </w:p>
    <w:p>
      <w:pPr>
        <w:pStyle w:val="758"/>
        <w:ind w:left="0" w:right="0"/>
        <w:spacing w:before="0" w:after="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据此函，</w:t>
      </w:r>
      <w:r>
        <w:rPr>
          <w:rFonts w:hint="eastAsia" w:ascii="方正仿宋_GB2312" w:hAnsi="方正仿宋_GB2312" w:eastAsia="方正仿宋_GB2312" w:cs="方正仿宋_GB2312"/>
          <w:color w:val="000000"/>
          <w:sz w:val="28"/>
          <w:szCs w:val="28"/>
          <w:u w:val="single"/>
        </w:rPr>
        <w:t xml:space="preserve">XX</w:t>
      </w:r>
      <w:r>
        <w:rPr>
          <w:rFonts w:hint="eastAsia" w:ascii="方正仿宋_GB2312" w:hAnsi="方正仿宋_GB2312" w:eastAsia="方正仿宋_GB2312" w:cs="方正仿宋_GB2312"/>
          <w:sz w:val="28"/>
          <w:szCs w:val="28"/>
        </w:rPr>
        <w:t xml:space="preserve">签字人兹宣布同意如下：</w:t>
      </w:r>
      <w:r/>
    </w:p>
    <w:p>
      <w:pPr>
        <w:pStyle w:val="758"/>
        <w:ind w:left="0" w:right="0"/>
        <w:spacing w:before="0" w:after="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1.按招标文件规定的各项要求，向买方提供所需服务（包含与服务相关的货物）。</w:t>
      </w:r>
      <w:r/>
    </w:p>
    <w:p>
      <w:pPr>
        <w:pStyle w:val="758"/>
        <w:ind w:left="0" w:right="0"/>
        <w:spacing w:before="0" w:after="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2.我们完全理解贵方不一定将合同授予最低报价的投标人。</w:t>
      </w:r>
      <w:r/>
    </w:p>
    <w:p>
      <w:pPr>
        <w:pStyle w:val="758"/>
        <w:ind w:left="0" w:right="0"/>
        <w:spacing w:before="0" w:after="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3.我们已详细审核全部招标文件及其有效补充文件。</w:t>
      </w:r>
      <w:r/>
    </w:p>
    <w:p>
      <w:pPr>
        <w:pStyle w:val="758"/>
        <w:ind w:left="0" w:right="0"/>
        <w:spacing w:before="0" w:after="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4.我们同意从规定的开标日期起遵循本投标文件，并在规定的投标有效期期满之前均具有约束力。</w:t>
      </w:r>
      <w:r/>
    </w:p>
    <w:p>
      <w:pPr>
        <w:pStyle w:val="758"/>
        <w:ind w:left="0" w:right="0"/>
        <w:spacing w:before="0" w:after="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5.同意向贵方提供贵方可能另外要求的与投标有关的任何证据或资料，并保证我方已提供和将要提供的文件是真实的、准确的。</w:t>
      </w:r>
      <w:r/>
    </w:p>
    <w:p>
      <w:pPr>
        <w:pStyle w:val="758"/>
        <w:ind w:left="0" w:right="0"/>
        <w:spacing w:before="0" w:after="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6.一旦我方中标,我方将根据招标文件的规定，严格履行合同的责任和义务,并保证在招标文件规定的时间内完成项目，交付买方验收、使用。</w:t>
      </w:r>
      <w:r/>
    </w:p>
    <w:p>
      <w:pPr>
        <w:pStyle w:val="758"/>
        <w:ind w:left="0" w:right="0"/>
        <w:spacing w:before="0" w:after="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7.与本投标有关的正式通讯地址为：</w:t>
      </w:r>
      <w:r/>
    </w:p>
    <w:p>
      <w:pPr>
        <w:pStyle w:val="758"/>
        <w:spacing w:before="0" w:after="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地          址：</w:t>
      </w:r>
      <w:r/>
    </w:p>
    <w:p>
      <w:pPr>
        <w:pStyle w:val="758"/>
        <w:spacing w:before="0" w:after="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邮          编：</w:t>
      </w:r>
      <w:r/>
    </w:p>
    <w:p>
      <w:pPr>
        <w:pStyle w:val="758"/>
        <w:spacing w:before="0" w:after="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电          话：</w:t>
      </w:r>
      <w:r/>
    </w:p>
    <w:p>
      <w:pPr>
        <w:pStyle w:val="758"/>
        <w:spacing w:before="0" w:after="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传          真：</w:t>
      </w:r>
      <w:r/>
    </w:p>
    <w:p>
      <w:pPr>
        <w:pStyle w:val="758"/>
        <w:spacing w:before="0" w:after="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投标人开户行：</w:t>
      </w:r>
      <w:r/>
    </w:p>
    <w:p>
      <w:pPr>
        <w:pStyle w:val="758"/>
        <w:spacing w:before="0" w:after="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账        号： </w:t>
      </w:r>
      <w:r/>
    </w:p>
    <w:p>
      <w:pPr>
        <w:pStyle w:val="758"/>
        <w:ind w:right="0"/>
        <w:spacing w:before="0" w:after="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58"/>
        <w:ind w:right="0"/>
        <w:spacing w:before="0" w:after="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58"/>
        <w:ind w:right="0"/>
        <w:spacing w:before="0" w:after="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58"/>
        <w:ind w:right="0"/>
        <w:spacing w:before="0" w:after="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jc w:val="right"/>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供应商全称（加盖CA电子公章）：</w:t>
      </w:r>
      <w:r/>
    </w:p>
    <w:p>
      <w:pPr>
        <w:pStyle w:val="758"/>
        <w:jc w:val="center"/>
        <w:spacing w:before="0" w:after="0" w:line="400" w:lineRule="exact"/>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sz w:val="28"/>
          <w:szCs w:val="28"/>
        </w:rPr>
        <w:t xml:space="preserve">                            日      期：___年____月____日</w:t>
      </w:r>
      <w:r/>
    </w:p>
    <w:p>
      <w:pPr>
        <w:ind w:left="0" w:right="0"/>
        <w:spacing w:line="400" w:lineRule="exact"/>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jc w:val="center"/>
        <w:spacing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附件9 中小微企业声明函（服务类项目）（采购包号：XX）</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本公司（联合体）郑重声明，根据《政府采购促进中小企业发展管理办法》(财库〔2020〕46号)的规定，本公司（联合体）参加江苏省政府采购中心组织的</w:t>
      </w:r>
      <w:r>
        <w:rPr>
          <w:rFonts w:hint="eastAsia" w:ascii="方正仿宋_GB2312" w:hAnsi="方正仿宋_GB2312" w:eastAsia="方正仿宋_GB2312" w:cs="方正仿宋_GB2312"/>
          <w:color w:val="000000"/>
          <w:sz w:val="28"/>
          <w:szCs w:val="28"/>
          <w:u w:val="single"/>
        </w:rPr>
        <w:t xml:space="preserve">XX</w:t>
      </w:r>
      <w:r>
        <w:rPr>
          <w:rFonts w:hint="eastAsia" w:ascii="方正仿宋_GB2312" w:hAnsi="方正仿宋_GB2312" w:eastAsia="方正仿宋_GB2312" w:cs="方正仿宋_GB2312"/>
          <w:sz w:val="28"/>
          <w:szCs w:val="28"/>
        </w:rPr>
        <w:t xml:space="preserve">（单位名称）采购编号为</w:t>
      </w:r>
      <w:r>
        <w:rPr>
          <w:rFonts w:hint="eastAsia" w:ascii="方正仿宋_GB2312" w:hAnsi="方正仿宋_GB2312" w:eastAsia="方正仿宋_GB2312" w:cs="方正仿宋_GB2312"/>
          <w:bCs/>
          <w:sz w:val="28"/>
          <w:szCs w:val="28"/>
        </w:rPr>
        <w:t xml:space="preserve">JSZC-320000-SCZX-G20XX-XXXX</w:t>
      </w:r>
      <w:r>
        <w:rPr>
          <w:rFonts w:hint="eastAsia" w:ascii="方正仿宋_GB2312" w:hAnsi="方正仿宋_GB2312" w:eastAsia="方正仿宋_GB2312" w:cs="方正仿宋_GB2312"/>
          <w:sz w:val="28"/>
          <w:szCs w:val="28"/>
        </w:rPr>
        <w:t xml:space="preserve">，</w:t>
      </w:r>
      <w:r>
        <w:rPr>
          <w:rFonts w:hint="eastAsia" w:ascii="方正仿宋_GB2312" w:hAnsi="方正仿宋_GB2312" w:eastAsia="方正仿宋_GB2312" w:cs="方正仿宋_GB2312"/>
          <w:color w:val="000000"/>
          <w:sz w:val="28"/>
          <w:szCs w:val="28"/>
          <w:u w:val="single"/>
        </w:rPr>
        <w:t xml:space="preserve">XXXX</w:t>
      </w:r>
      <w:r>
        <w:rPr>
          <w:rFonts w:hint="eastAsia" w:ascii="方正仿宋_GB2312" w:hAnsi="方正仿宋_GB2312" w:eastAsia="方正仿宋_GB2312" w:cs="方正仿宋_GB2312"/>
          <w:sz w:val="28"/>
          <w:szCs w:val="28"/>
        </w:rPr>
        <w:t xml:space="preserve">项目（项目名称）（采购包号：XX）的采购活动，服务全部由符合政策的中小微企业承接。相关企业（含联合体中的中小微企业、签订采购包意向协议的中小微企业）的具体情况如下：</w:t>
      </w:r>
      <w:r/>
    </w:p>
    <w:p>
      <w:pPr>
        <w:ind w:left="0" w:right="0"/>
        <w:spacing w:line="400" w:lineRule="exact"/>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sz w:val="28"/>
          <w:szCs w:val="28"/>
        </w:rPr>
        <w:t xml:space="preserve">1.</w:t>
      </w:r>
      <w:r>
        <w:rPr>
          <w:rFonts w:hint="eastAsia" w:ascii="方正仿宋_GB2312" w:hAnsi="方正仿宋_GB2312" w:eastAsia="方正仿宋_GB2312" w:cs="方正仿宋_GB2312"/>
          <w:color w:val="000000"/>
          <w:sz w:val="28"/>
          <w:szCs w:val="28"/>
          <w:u w:val="single"/>
        </w:rPr>
        <w:t xml:space="preserve">XX</w:t>
      </w:r>
      <w:r>
        <w:rPr>
          <w:rFonts w:hint="eastAsia" w:ascii="方正仿宋_GB2312" w:hAnsi="方正仿宋_GB2312" w:eastAsia="方正仿宋_GB2312" w:cs="方正仿宋_GB2312"/>
          <w:sz w:val="28"/>
          <w:szCs w:val="28"/>
        </w:rPr>
        <w:t xml:space="preserve">（标的名称）</w:t>
      </w:r>
      <w:r>
        <w:rPr>
          <w:rFonts w:hint="eastAsia" w:ascii="方正仿宋_GB2312" w:hAnsi="方正仿宋_GB2312" w:eastAsia="方正仿宋_GB2312" w:cs="方正仿宋_GB2312"/>
          <w:i/>
          <w:sz w:val="28"/>
          <w:szCs w:val="28"/>
        </w:rPr>
        <w:t xml:space="preserve">，</w:t>
      </w:r>
      <w:r>
        <w:rPr>
          <w:rFonts w:hint="eastAsia" w:ascii="方正仿宋_GB2312" w:hAnsi="方正仿宋_GB2312" w:eastAsia="方正仿宋_GB2312" w:cs="方正仿宋_GB2312"/>
          <w:sz w:val="28"/>
          <w:szCs w:val="28"/>
        </w:rPr>
        <w:t xml:space="preserve">属于</w:t>
      </w:r>
      <w:r>
        <w:rPr>
          <w:rFonts w:hint="eastAsia" w:ascii="方正仿宋_GB2312" w:hAnsi="方正仿宋_GB2312" w:eastAsia="方正仿宋_GB2312" w:cs="方正仿宋_GB2312"/>
          <w:color w:val="000000"/>
          <w:sz w:val="28"/>
          <w:szCs w:val="28"/>
          <w:u w:val="single"/>
        </w:rPr>
        <w:t xml:space="preserve">XX</w:t>
      </w:r>
      <w:r>
        <w:rPr>
          <w:rFonts w:hint="eastAsia" w:ascii="方正仿宋_GB2312" w:hAnsi="方正仿宋_GB2312" w:eastAsia="方正仿宋_GB2312" w:cs="方正仿宋_GB2312"/>
          <w:color w:val="000000"/>
          <w:sz w:val="28"/>
          <w:szCs w:val="28"/>
        </w:rPr>
        <w:t xml:space="preserve">（</w:t>
      </w:r>
      <w:r>
        <w:rPr>
          <w:rFonts w:hint="eastAsia" w:ascii="方正仿宋_GB2312" w:hAnsi="方正仿宋_GB2312" w:eastAsia="方正仿宋_GB2312" w:cs="方正仿宋_GB2312"/>
          <w:sz w:val="28"/>
          <w:szCs w:val="28"/>
        </w:rPr>
        <w:t xml:space="preserve">供应商填写招标文件中明确的所属行业）行业；承接企业为</w:t>
      </w:r>
      <w:r>
        <w:rPr>
          <w:rFonts w:hint="eastAsia" w:ascii="方正仿宋_GB2312" w:hAnsi="方正仿宋_GB2312" w:eastAsia="方正仿宋_GB2312" w:cs="方正仿宋_GB2312"/>
          <w:color w:val="000000"/>
          <w:sz w:val="28"/>
          <w:szCs w:val="28"/>
          <w:u w:val="single"/>
        </w:rPr>
        <w:t xml:space="preserve">XX</w:t>
      </w:r>
      <w:r>
        <w:rPr>
          <w:rFonts w:hint="eastAsia" w:ascii="方正仿宋_GB2312" w:hAnsi="方正仿宋_GB2312" w:eastAsia="方正仿宋_GB2312" w:cs="方正仿宋_GB2312"/>
          <w:sz w:val="28"/>
          <w:szCs w:val="28"/>
        </w:rPr>
        <w:t xml:space="preserve">（企业名称），从业人员</w:t>
      </w:r>
      <w:r>
        <w:rPr>
          <w:rFonts w:hint="eastAsia" w:ascii="方正仿宋_GB2312" w:hAnsi="方正仿宋_GB2312" w:eastAsia="方正仿宋_GB2312" w:cs="方正仿宋_GB2312"/>
          <w:color w:val="000000"/>
          <w:sz w:val="28"/>
          <w:szCs w:val="28"/>
          <w:u w:val="single"/>
        </w:rPr>
        <w:t xml:space="preserve">XX</w:t>
      </w:r>
      <w:r>
        <w:rPr>
          <w:rFonts w:hint="eastAsia" w:ascii="方正仿宋_GB2312" w:hAnsi="方正仿宋_GB2312" w:eastAsia="方正仿宋_GB2312" w:cs="方正仿宋_GB2312"/>
          <w:sz w:val="28"/>
          <w:szCs w:val="28"/>
        </w:rPr>
        <w:t xml:space="preserve">人，营业收入为</w:t>
      </w:r>
      <w:r>
        <w:rPr>
          <w:rFonts w:hint="eastAsia" w:ascii="方正仿宋_GB2312" w:hAnsi="方正仿宋_GB2312" w:eastAsia="方正仿宋_GB2312" w:cs="方正仿宋_GB2312"/>
          <w:color w:val="000000"/>
          <w:sz w:val="28"/>
          <w:szCs w:val="28"/>
          <w:u w:val="single"/>
        </w:rPr>
        <w:t xml:space="preserve">XX</w:t>
      </w:r>
      <w:r>
        <w:rPr>
          <w:rFonts w:hint="eastAsia" w:ascii="方正仿宋_GB2312" w:hAnsi="方正仿宋_GB2312" w:eastAsia="方正仿宋_GB2312" w:cs="方正仿宋_GB2312"/>
          <w:sz w:val="28"/>
          <w:szCs w:val="28"/>
        </w:rPr>
        <w:t xml:space="preserve">万元，资产总额为</w:t>
      </w:r>
      <w:r>
        <w:rPr>
          <w:rFonts w:hint="eastAsia" w:ascii="方正仿宋_GB2312" w:hAnsi="方正仿宋_GB2312" w:eastAsia="方正仿宋_GB2312" w:cs="方正仿宋_GB2312"/>
          <w:color w:val="000000"/>
          <w:sz w:val="28"/>
          <w:szCs w:val="28"/>
          <w:u w:val="single"/>
        </w:rPr>
        <w:t xml:space="preserve">XX</w:t>
      </w:r>
      <w:r>
        <w:rPr>
          <w:rFonts w:hint="eastAsia" w:ascii="方正仿宋_GB2312" w:hAnsi="方正仿宋_GB2312" w:eastAsia="方正仿宋_GB2312" w:cs="方正仿宋_GB2312"/>
          <w:sz w:val="28"/>
          <w:szCs w:val="28"/>
        </w:rPr>
        <w:t xml:space="preserve">万元</w:t>
      </w:r>
      <w:r>
        <w:rPr>
          <w:rFonts w:hint="eastAsia" w:ascii="方正仿宋_GB2312" w:hAnsi="方正仿宋_GB2312" w:eastAsia="方正仿宋_GB2312" w:cs="方正仿宋_GB2312"/>
          <w:sz w:val="28"/>
          <w:szCs w:val="28"/>
          <w:vertAlign w:val="superscript"/>
        </w:rPr>
        <w:t xml:space="preserve">1</w:t>
      </w:r>
      <w:r>
        <w:rPr>
          <w:rFonts w:hint="eastAsia" w:ascii="方正仿宋_GB2312" w:hAnsi="方正仿宋_GB2312" w:eastAsia="方正仿宋_GB2312" w:cs="方正仿宋_GB2312"/>
          <w:sz w:val="28"/>
          <w:szCs w:val="28"/>
        </w:rPr>
        <w:t xml:space="preserve">，属于</w:t>
      </w:r>
      <w:r>
        <w:rPr>
          <w:rFonts w:hint="eastAsia" w:ascii="方正仿宋_GB2312" w:hAnsi="方正仿宋_GB2312" w:eastAsia="方正仿宋_GB2312" w:cs="方正仿宋_GB2312"/>
          <w:sz w:val="28"/>
          <w:szCs w:val="28"/>
          <w:u w:val="single"/>
        </w:rPr>
        <w:t xml:space="preserve">（□中型企业 □小型企业 □微型企业）；</w:t>
      </w:r>
      <w:r/>
    </w:p>
    <w:p>
      <w:pPr>
        <w:ind w:left="0" w:right="0"/>
        <w:spacing w:line="400" w:lineRule="exact"/>
        <w:rPr>
          <w:rFonts w:hint="eastAsia" w:ascii="方正仿宋_GB2312" w:hAnsi="方正仿宋_GB2312" w:eastAsia="方正仿宋_GB2312" w:cs="方正仿宋_GB2312"/>
          <w:i/>
          <w:sz w:val="28"/>
          <w:szCs w:val="28"/>
          <w:u w:val="single"/>
        </w:rPr>
      </w:pPr>
      <w:r>
        <w:rPr>
          <w:rFonts w:hint="eastAsia" w:ascii="方正仿宋_GB2312" w:hAnsi="方正仿宋_GB2312" w:eastAsia="方正仿宋_GB2312" w:cs="方正仿宋_GB2312"/>
          <w:sz w:val="28"/>
          <w:szCs w:val="28"/>
        </w:rPr>
        <w:t xml:space="preserve">2.</w:t>
      </w:r>
      <w:r>
        <w:rPr>
          <w:rFonts w:hint="eastAsia" w:ascii="方正仿宋_GB2312" w:hAnsi="方正仿宋_GB2312" w:eastAsia="方正仿宋_GB2312" w:cs="方正仿宋_GB2312"/>
          <w:color w:val="000000"/>
          <w:sz w:val="28"/>
          <w:szCs w:val="28"/>
          <w:u w:val="single"/>
        </w:rPr>
        <w:t xml:space="preserve">XX</w:t>
      </w:r>
      <w:r>
        <w:rPr>
          <w:rFonts w:hint="eastAsia" w:ascii="方正仿宋_GB2312" w:hAnsi="方正仿宋_GB2312" w:eastAsia="方正仿宋_GB2312" w:cs="方正仿宋_GB2312"/>
          <w:sz w:val="28"/>
          <w:szCs w:val="28"/>
        </w:rPr>
        <w:t xml:space="preserve">（标的名称）</w:t>
      </w:r>
      <w:r>
        <w:rPr>
          <w:rFonts w:hint="eastAsia" w:ascii="方正仿宋_GB2312" w:hAnsi="方正仿宋_GB2312" w:eastAsia="方正仿宋_GB2312" w:cs="方正仿宋_GB2312"/>
          <w:i/>
          <w:sz w:val="28"/>
          <w:szCs w:val="28"/>
        </w:rPr>
        <w:t xml:space="preserve">，</w:t>
      </w:r>
      <w:r>
        <w:rPr>
          <w:rFonts w:hint="eastAsia" w:ascii="方正仿宋_GB2312" w:hAnsi="方正仿宋_GB2312" w:eastAsia="方正仿宋_GB2312" w:cs="方正仿宋_GB2312"/>
          <w:sz w:val="28"/>
          <w:szCs w:val="28"/>
        </w:rPr>
        <w:t xml:space="preserve">属于</w:t>
      </w:r>
      <w:r>
        <w:rPr>
          <w:rFonts w:hint="eastAsia" w:ascii="方正仿宋_GB2312" w:hAnsi="方正仿宋_GB2312" w:eastAsia="方正仿宋_GB2312" w:cs="方正仿宋_GB2312"/>
          <w:color w:val="000000"/>
          <w:sz w:val="28"/>
          <w:szCs w:val="28"/>
          <w:u w:val="single"/>
        </w:rPr>
        <w:t xml:space="preserve">XX</w:t>
      </w:r>
      <w:r>
        <w:rPr>
          <w:rFonts w:hint="eastAsia" w:ascii="方正仿宋_GB2312" w:hAnsi="方正仿宋_GB2312" w:eastAsia="方正仿宋_GB2312" w:cs="方正仿宋_GB2312"/>
          <w:sz w:val="28"/>
          <w:szCs w:val="28"/>
        </w:rPr>
        <w:t xml:space="preserve">（供应商填写招标文件中明确的所属行业）行业；承接企业为</w:t>
      </w:r>
      <w:r>
        <w:rPr>
          <w:rFonts w:hint="eastAsia" w:ascii="方正仿宋_GB2312" w:hAnsi="方正仿宋_GB2312" w:eastAsia="方正仿宋_GB2312" w:cs="方正仿宋_GB2312"/>
          <w:color w:val="000000"/>
          <w:sz w:val="28"/>
          <w:szCs w:val="28"/>
          <w:u w:val="single"/>
        </w:rPr>
        <w:t xml:space="preserve">XX</w:t>
      </w:r>
      <w:r>
        <w:rPr>
          <w:rFonts w:hint="eastAsia" w:ascii="方正仿宋_GB2312" w:hAnsi="方正仿宋_GB2312" w:eastAsia="方正仿宋_GB2312" w:cs="方正仿宋_GB2312"/>
          <w:sz w:val="28"/>
          <w:szCs w:val="28"/>
        </w:rPr>
        <w:t xml:space="preserve">（企业名称），从业人员</w:t>
      </w:r>
      <w:r>
        <w:rPr>
          <w:rFonts w:hint="eastAsia" w:ascii="方正仿宋_GB2312" w:hAnsi="方正仿宋_GB2312" w:eastAsia="方正仿宋_GB2312" w:cs="方正仿宋_GB2312"/>
          <w:color w:val="000000"/>
          <w:sz w:val="28"/>
          <w:szCs w:val="28"/>
          <w:u w:val="single"/>
        </w:rPr>
        <w:t xml:space="preserve">XX</w:t>
      </w:r>
      <w:r>
        <w:rPr>
          <w:rFonts w:hint="eastAsia" w:ascii="方正仿宋_GB2312" w:hAnsi="方正仿宋_GB2312" w:eastAsia="方正仿宋_GB2312" w:cs="方正仿宋_GB2312"/>
          <w:sz w:val="28"/>
          <w:szCs w:val="28"/>
        </w:rPr>
        <w:t xml:space="preserve">人，营业收入为</w:t>
      </w:r>
      <w:r>
        <w:rPr>
          <w:rFonts w:hint="eastAsia" w:ascii="方正仿宋_GB2312" w:hAnsi="方正仿宋_GB2312" w:eastAsia="方正仿宋_GB2312" w:cs="方正仿宋_GB2312"/>
          <w:color w:val="000000"/>
          <w:sz w:val="28"/>
          <w:szCs w:val="28"/>
          <w:u w:val="single"/>
        </w:rPr>
        <w:t xml:space="preserve">XX</w:t>
      </w:r>
      <w:r>
        <w:rPr>
          <w:rFonts w:hint="eastAsia" w:ascii="方正仿宋_GB2312" w:hAnsi="方正仿宋_GB2312" w:eastAsia="方正仿宋_GB2312" w:cs="方正仿宋_GB2312"/>
          <w:sz w:val="28"/>
          <w:szCs w:val="28"/>
        </w:rPr>
        <w:t xml:space="preserve">万元，资产总额为</w:t>
      </w:r>
      <w:r>
        <w:rPr>
          <w:rFonts w:hint="eastAsia" w:ascii="方正仿宋_GB2312" w:hAnsi="方正仿宋_GB2312" w:eastAsia="方正仿宋_GB2312" w:cs="方正仿宋_GB2312"/>
          <w:color w:val="000000"/>
          <w:sz w:val="28"/>
          <w:szCs w:val="28"/>
          <w:u w:val="single"/>
        </w:rPr>
        <w:t xml:space="preserve">XX</w:t>
      </w:r>
      <w:r>
        <w:rPr>
          <w:rFonts w:hint="eastAsia" w:ascii="方正仿宋_GB2312" w:hAnsi="方正仿宋_GB2312" w:eastAsia="方正仿宋_GB2312" w:cs="方正仿宋_GB2312"/>
          <w:sz w:val="28"/>
          <w:szCs w:val="28"/>
        </w:rPr>
        <w:t xml:space="preserve">万元</w:t>
      </w:r>
      <w:r>
        <w:rPr>
          <w:rFonts w:hint="eastAsia" w:ascii="方正仿宋_GB2312" w:hAnsi="方正仿宋_GB2312" w:eastAsia="方正仿宋_GB2312" w:cs="方正仿宋_GB2312"/>
          <w:sz w:val="28"/>
          <w:szCs w:val="28"/>
          <w:vertAlign w:val="superscript"/>
        </w:rPr>
        <w:t xml:space="preserve">1</w:t>
      </w:r>
      <w:r>
        <w:rPr>
          <w:rFonts w:hint="eastAsia" w:ascii="方正仿宋_GB2312" w:hAnsi="方正仿宋_GB2312" w:eastAsia="方正仿宋_GB2312" w:cs="方正仿宋_GB2312"/>
          <w:sz w:val="28"/>
          <w:szCs w:val="28"/>
        </w:rPr>
        <w:t xml:space="preserve">，属于</w:t>
      </w:r>
      <w:r>
        <w:rPr>
          <w:rFonts w:hint="eastAsia" w:ascii="方正仿宋_GB2312" w:hAnsi="方正仿宋_GB2312" w:eastAsia="方正仿宋_GB2312" w:cs="方正仿宋_GB2312"/>
          <w:sz w:val="28"/>
          <w:szCs w:val="28"/>
          <w:u w:val="single"/>
        </w:rPr>
        <w:t xml:space="preserve">（□中型企业 □小型企业 □微型企业）；</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以上企业，不属于大企业的分支机构，不存在控股股东为大企业的情形，也不存在与大企业的负责人为同一人的情形。</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本企业对上述声明内容的真实性负责。如有虚假，将依法承担相应责任</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ind w:left="0" w:right="0"/>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                      企业名称（加盖CA电子公章）：</w:t>
      </w:r>
      <w:r/>
    </w:p>
    <w:p>
      <w:pPr>
        <w:ind w:left="0" w:right="0"/>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shd w:val="clear" w:color="auto" w:fill="ffffff"/>
        </w:rPr>
        <w:t xml:space="preserve">                    日     期：___年___月___日 </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备注：</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1.从业人员、营业收入、资产总额填报上一年度数据，无上一年度数据的新成立企业可不填报。</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2312" w:hAnsi="方正仿宋_GB2312" w:eastAsia="方正仿宋_GB2312" w:cs="方正仿宋_GB2312"/>
        </w:rPr>
        <w:br w:type="page" w:clear="all"/>
      </w:r>
      <w:r/>
    </w:p>
    <w:p>
      <w:pPr>
        <w:ind w:left="0" w:right="0"/>
        <w:spacing w:line="400" w:lineRule="exact"/>
        <w:rPr>
          <w:rFonts w:hint="eastAsia" w:ascii="方正仿宋_GB2312" w:hAnsi="方正仿宋_GB2312" w:eastAsia="方正仿宋_GB2312" w:cs="方正仿宋_GB2312"/>
          <w:color w:val="ff0000"/>
          <w:sz w:val="28"/>
          <w:szCs w:val="28"/>
        </w:rPr>
      </w:pPr>
      <w:r>
        <w:rPr>
          <w:rFonts w:hint="eastAsia" w:ascii="方正仿宋_GB2312" w:hAnsi="方正仿宋_GB2312" w:eastAsia="方正仿宋_GB2312" w:cs="方正仿宋_GB2312"/>
          <w:bCs/>
          <w:sz w:val="28"/>
          <w:szCs w:val="28"/>
        </w:rPr>
        <w:t xml:space="preserve">附件10 残疾人福利性单位声明函（服务类项目）（采购包号：XX）</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方正仿宋_GB2312" w:hAnsi="方正仿宋_GB2312" w:eastAsia="方正仿宋_GB2312" w:cs="方正仿宋_GB2312"/>
          <w:sz w:val="28"/>
          <w:szCs w:val="28"/>
          <w:u w:val="single"/>
        </w:rPr>
        <w:t xml:space="preserve">XX</w:t>
      </w:r>
      <w:r>
        <w:rPr>
          <w:rFonts w:hint="eastAsia" w:ascii="方正仿宋_GB2312" w:hAnsi="方正仿宋_GB2312" w:eastAsia="方正仿宋_GB2312" w:cs="方正仿宋_GB2312"/>
          <w:sz w:val="28"/>
          <w:szCs w:val="28"/>
        </w:rPr>
        <w:t xml:space="preserve">单位采购编号为</w:t>
      </w:r>
      <w:r>
        <w:rPr>
          <w:rFonts w:hint="eastAsia" w:ascii="方正仿宋_GB2312" w:hAnsi="方正仿宋_GB2312" w:eastAsia="方正仿宋_GB2312" w:cs="方正仿宋_GB2312"/>
          <w:bCs/>
          <w:sz w:val="28"/>
          <w:szCs w:val="28"/>
        </w:rPr>
        <w:t xml:space="preserve">JSZC-320000-SCZX-G20XX-XXXX</w:t>
      </w:r>
      <w:r>
        <w:rPr>
          <w:rFonts w:hint="eastAsia" w:ascii="方正仿宋_GB2312" w:hAnsi="方正仿宋_GB2312" w:eastAsia="方正仿宋_GB2312" w:cs="方正仿宋_GB2312"/>
          <w:sz w:val="28"/>
          <w:szCs w:val="28"/>
        </w:rPr>
        <w:t xml:space="preserve">， </w:t>
      </w:r>
      <w:r>
        <w:rPr>
          <w:rFonts w:hint="eastAsia" w:ascii="方正仿宋_GB2312" w:hAnsi="方正仿宋_GB2312" w:eastAsia="方正仿宋_GB2312" w:cs="方正仿宋_GB2312"/>
          <w:sz w:val="28"/>
          <w:szCs w:val="28"/>
          <w:u w:val="single"/>
        </w:rPr>
        <w:t xml:space="preserve">    XXXX</w:t>
      </w:r>
      <w:r>
        <w:rPr>
          <w:rFonts w:hint="eastAsia" w:ascii="方正仿宋_GB2312" w:hAnsi="方正仿宋_GB2312" w:eastAsia="方正仿宋_GB2312" w:cs="方正仿宋_GB2312"/>
          <w:sz w:val="28"/>
          <w:szCs w:val="28"/>
        </w:rPr>
        <w:t xml:space="preserve">项目（项目名称）（采购包号：</w:t>
      </w:r>
      <w:r>
        <w:rPr>
          <w:rFonts w:hint="eastAsia" w:ascii="方正仿宋_GB2312" w:hAnsi="方正仿宋_GB2312" w:eastAsia="方正仿宋_GB2312" w:cs="方正仿宋_GB2312"/>
          <w:bCs/>
          <w:sz w:val="28"/>
          <w:szCs w:val="28"/>
        </w:rPr>
        <w:t xml:space="preserve">XX</w:t>
      </w:r>
      <w:r>
        <w:rPr>
          <w:rFonts w:hint="eastAsia" w:ascii="方正仿宋_GB2312" w:hAnsi="方正仿宋_GB2312" w:eastAsia="方正仿宋_GB2312" w:cs="方正仿宋_GB2312"/>
          <w:sz w:val="28"/>
          <w:szCs w:val="28"/>
        </w:rPr>
        <w:t xml:space="preserve">）采购活动由本单位提供服务。</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本单位对上述声明的真实性负责。如有虚假，将依法承担相应责任。</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备注：</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1.专门面向中小微型企业采购的项目，供应商为残疾人福利性单位并提供服务的必须提供此声明函，否则将不能通过资格审查。</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2.非专门面向中小微型企业采购的项目，供应商如不提供此声明函，价格将不做相应扣除。</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3.中标/成交供应商为残疾人福利性单位的，此声明函将随中标/成交结果同时公告，接受社会监督</w:t>
      </w:r>
      <w:r/>
    </w:p>
    <w:p>
      <w:pPr>
        <w:ind w:left="0" w:right="0"/>
        <w:spacing w:line="400" w:lineRule="exact"/>
        <w:rPr>
          <w:rFonts w:hint="eastAsia" w:ascii="方正仿宋_GB2312" w:hAnsi="方正仿宋_GB2312" w:eastAsia="方正仿宋_GB2312" w:cs="方正仿宋_GB2312"/>
          <w:spacing w:val="6"/>
          <w:sz w:val="28"/>
          <w:szCs w:val="28"/>
        </w:rPr>
      </w:pPr>
      <w:r>
        <w:rPr>
          <w:rFonts w:hint="eastAsia" w:ascii="方正仿宋_GB2312" w:hAnsi="方正仿宋_GB2312" w:eastAsia="方正仿宋_GB2312" w:cs="方正仿宋_GB2312"/>
          <w:spacing w:val="6"/>
          <w:sz w:val="28"/>
          <w:szCs w:val="28"/>
        </w:rPr>
      </w:r>
      <w:r/>
    </w:p>
    <w:p>
      <w:pPr>
        <w:ind w:left="0" w:right="0"/>
        <w:jc w:val="center"/>
        <w:spacing w:line="400" w:lineRule="exact"/>
        <w:tabs>
          <w:tab w:val="left" w:pos="4860" w:leader="none"/>
        </w:tabs>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pacing w:val="6"/>
          <w:sz w:val="28"/>
          <w:szCs w:val="28"/>
        </w:rPr>
        <w:t xml:space="preserve">             </w:t>
      </w:r>
      <w:r>
        <w:rPr>
          <w:rFonts w:hint="eastAsia" w:ascii="方正仿宋_GB2312" w:hAnsi="方正仿宋_GB2312" w:eastAsia="方正仿宋_GB2312" w:cs="方正仿宋_GB2312"/>
          <w:sz w:val="28"/>
          <w:szCs w:val="28"/>
        </w:rPr>
        <w:t xml:space="preserve">供应商全称（加盖CA电子公章）：</w:t>
      </w:r>
      <w:r/>
    </w:p>
    <w:p>
      <w:pPr>
        <w:ind w:left="0" w:right="0"/>
        <w:jc w:val="center"/>
        <w:spacing w:line="400" w:lineRule="exact"/>
        <w:tabs>
          <w:tab w:val="left" w:pos="4860" w:leader="none"/>
        </w:tabs>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              </w:t>
      </w:r>
      <w:r>
        <w:rPr>
          <w:rFonts w:hint="eastAsia" w:ascii="方正仿宋_GB2312" w:hAnsi="方正仿宋_GB2312" w:eastAsia="方正仿宋_GB2312" w:cs="方正仿宋_GB2312"/>
          <w:sz w:val="28"/>
          <w:szCs w:val="28"/>
          <w:shd w:val="clear" w:color="auto" w:fill="ffffff"/>
        </w:rPr>
        <w:t xml:space="preserve">日     期：___年____月____日   </w:t>
      </w:r>
      <w:r/>
    </w:p>
    <w:p>
      <w:pPr>
        <w:jc w:val="center"/>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jc w:val="center"/>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jc w:val="center"/>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jc w:val="center"/>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jc w:val="center"/>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jc w:val="center"/>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jc w:val="center"/>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jc w:val="center"/>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jc w:val="center"/>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jc w:val="center"/>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jc w:val="center"/>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jc w:val="center"/>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jc w:val="center"/>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jc w:val="center"/>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jc w:val="center"/>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jc w:val="center"/>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ind w:left="0" w:right="0"/>
        <w:spacing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附件11 联合体协议（参考格式）（采购包号：XX）</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（联合体中各供应商全称）在此达成以下协议：</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1.我们</w:t>
      </w:r>
      <w:r>
        <w:rPr>
          <w:rFonts w:hint="eastAsia" w:ascii="方正仿宋_GB2312" w:hAnsi="方正仿宋_GB2312" w:eastAsia="方正仿宋_GB2312" w:cs="方正仿宋_GB2312"/>
          <w:sz w:val="28"/>
          <w:szCs w:val="28"/>
          <w:u w:val="single"/>
        </w:rPr>
        <w:t xml:space="preserve"> （供应商1），（供应商2） ，……</w:t>
      </w:r>
      <w:r>
        <w:rPr>
          <w:rFonts w:hint="eastAsia" w:ascii="方正仿宋_GB2312" w:hAnsi="方正仿宋_GB2312" w:eastAsia="方正仿宋_GB2312" w:cs="方正仿宋_GB2312"/>
          <w:sz w:val="28"/>
          <w:szCs w:val="28"/>
        </w:rPr>
        <w:t xml:space="preserve">自愿组成联合体，参加江苏省政府采购中心组织的采购编号为</w:t>
      </w:r>
      <w:r>
        <w:rPr>
          <w:rFonts w:hint="eastAsia" w:ascii="方正仿宋_GB2312" w:hAnsi="方正仿宋_GB2312" w:eastAsia="方正仿宋_GB2312" w:cs="方正仿宋_GB2312"/>
          <w:color w:val="000000"/>
          <w:sz w:val="28"/>
          <w:szCs w:val="28"/>
        </w:rPr>
        <w:t xml:space="preserve">JSZC-320000-SCZX-G20XX-XXXX</w:t>
      </w:r>
      <w:r>
        <w:rPr>
          <w:rFonts w:hint="eastAsia" w:ascii="方正仿宋_GB2312" w:hAnsi="方正仿宋_GB2312" w:eastAsia="方正仿宋_GB2312" w:cs="方正仿宋_GB2312"/>
          <w:sz w:val="28"/>
          <w:szCs w:val="28"/>
        </w:rPr>
        <w:t xml:space="preserve">，</w:t>
      </w:r>
      <w:r>
        <w:rPr>
          <w:rFonts w:hint="eastAsia" w:ascii="方正仿宋_GB2312" w:hAnsi="方正仿宋_GB2312" w:eastAsia="方正仿宋_GB2312" w:cs="方正仿宋_GB2312"/>
          <w:sz w:val="28"/>
          <w:szCs w:val="28"/>
          <w:u w:val="single"/>
        </w:rPr>
        <w:t xml:space="preserve">XXXX</w:t>
      </w:r>
      <w:r>
        <w:rPr>
          <w:rFonts w:hint="eastAsia" w:ascii="方正仿宋_GB2312" w:hAnsi="方正仿宋_GB2312" w:eastAsia="方正仿宋_GB2312" w:cs="方正仿宋_GB2312"/>
          <w:sz w:val="28"/>
          <w:szCs w:val="28"/>
        </w:rPr>
        <w:t xml:space="preserve">项目（项目名称）（采购包号：XX）的政府采购活动，我联合体指定</w:t>
      </w:r>
      <w:r>
        <w:rPr>
          <w:rFonts w:hint="eastAsia" w:ascii="方正仿宋_GB2312" w:hAnsi="方正仿宋_GB2312" w:eastAsia="方正仿宋_GB2312" w:cs="方正仿宋_GB2312"/>
          <w:sz w:val="28"/>
          <w:szCs w:val="28"/>
          <w:u w:val="single"/>
        </w:rPr>
        <w:t xml:space="preserve">XX</w:t>
      </w:r>
      <w:r>
        <w:rPr>
          <w:rFonts w:hint="eastAsia" w:ascii="方正仿宋_GB2312" w:hAnsi="方正仿宋_GB2312" w:eastAsia="方正仿宋_GB2312" w:cs="方正仿宋_GB2312"/>
          <w:sz w:val="28"/>
          <w:szCs w:val="28"/>
        </w:rPr>
        <w:t xml:space="preserve">（供应商全称）为牵头单位（牵头单位必须为联合体成员）。</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2.若我们联合中标、成交，</w:t>
      </w:r>
      <w:r>
        <w:rPr>
          <w:rFonts w:hint="eastAsia" w:ascii="方正仿宋_GB2312" w:hAnsi="方正仿宋_GB2312" w:eastAsia="方正仿宋_GB2312" w:cs="方正仿宋_GB2312"/>
          <w:sz w:val="28"/>
          <w:szCs w:val="28"/>
          <w:u w:val="single"/>
        </w:rPr>
        <w:t xml:space="preserve">XX</w:t>
      </w:r>
      <w:r>
        <w:rPr>
          <w:rFonts w:hint="eastAsia" w:ascii="方正仿宋_GB2312" w:hAnsi="方正仿宋_GB2312" w:eastAsia="方正仿宋_GB2312" w:cs="方正仿宋_GB2312"/>
          <w:sz w:val="28"/>
          <w:szCs w:val="28"/>
        </w:rPr>
        <w:t xml:space="preserve">（供应商单位1全称）实施项目中</w:t>
      </w:r>
      <w:r>
        <w:rPr>
          <w:rFonts w:hint="eastAsia" w:ascii="方正仿宋_GB2312" w:hAnsi="方正仿宋_GB2312" w:eastAsia="方正仿宋_GB2312" w:cs="方正仿宋_GB2312"/>
          <w:sz w:val="28"/>
          <w:szCs w:val="28"/>
          <w:u w:val="single"/>
        </w:rPr>
        <w:t xml:space="preserve">XXXX</w:t>
      </w:r>
      <w:r>
        <w:rPr>
          <w:rFonts w:hint="eastAsia" w:ascii="方正仿宋_GB2312" w:hAnsi="方正仿宋_GB2312" w:eastAsia="方正仿宋_GB2312" w:cs="方正仿宋_GB2312"/>
          <w:sz w:val="28"/>
          <w:szCs w:val="28"/>
        </w:rPr>
        <w:t xml:space="preserve">（工作内容）部分工作，并承担相应的责任。</w:t>
      </w:r>
      <w:r>
        <w:rPr>
          <w:rFonts w:hint="eastAsia" w:ascii="方正仿宋_GB2312" w:hAnsi="方正仿宋_GB2312" w:eastAsia="方正仿宋_GB2312" w:cs="方正仿宋_GB2312"/>
          <w:sz w:val="28"/>
          <w:szCs w:val="28"/>
          <w:u w:val="single"/>
        </w:rPr>
        <w:t xml:space="preserve">XX</w:t>
      </w:r>
      <w:r>
        <w:rPr>
          <w:rFonts w:hint="eastAsia" w:ascii="方正仿宋_GB2312" w:hAnsi="方正仿宋_GB2312" w:eastAsia="方正仿宋_GB2312" w:cs="方正仿宋_GB2312"/>
          <w:sz w:val="28"/>
          <w:szCs w:val="28"/>
        </w:rPr>
        <w:t xml:space="preserve">（供应商单位2全称）实施项目中</w:t>
      </w:r>
      <w:r>
        <w:rPr>
          <w:rFonts w:hint="eastAsia" w:ascii="方正仿宋_GB2312" w:hAnsi="方正仿宋_GB2312" w:eastAsia="方正仿宋_GB2312" w:cs="方正仿宋_GB2312"/>
          <w:sz w:val="28"/>
          <w:szCs w:val="28"/>
          <w:u w:val="single"/>
        </w:rPr>
        <w:t xml:space="preserve">XXXX</w:t>
      </w:r>
      <w:r>
        <w:rPr>
          <w:rFonts w:hint="eastAsia" w:ascii="方正仿宋_GB2312" w:hAnsi="方正仿宋_GB2312" w:eastAsia="方正仿宋_GB2312" w:cs="方正仿宋_GB2312"/>
          <w:sz w:val="28"/>
          <w:szCs w:val="28"/>
        </w:rPr>
        <w:t xml:space="preserve">（工作内容）部分工作，并承担相应的责任……。（注：联合体中各供应商都应明示所承担的工作和相应的责任）。</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3.其中</w:t>
      </w:r>
      <w:r>
        <w:rPr>
          <w:rFonts w:hint="eastAsia" w:ascii="方正仿宋_GB2312" w:hAnsi="方正仿宋_GB2312" w:eastAsia="方正仿宋_GB2312" w:cs="方正仿宋_GB2312"/>
          <w:sz w:val="28"/>
          <w:szCs w:val="28"/>
          <w:u w:val="single"/>
        </w:rPr>
        <w:t xml:space="preserve">XX</w:t>
      </w:r>
      <w:r>
        <w:rPr>
          <w:rFonts w:hint="eastAsia" w:ascii="方正仿宋_GB2312" w:hAnsi="方正仿宋_GB2312" w:eastAsia="方正仿宋_GB2312" w:cs="方正仿宋_GB2312"/>
          <w:sz w:val="28"/>
          <w:szCs w:val="28"/>
        </w:rPr>
        <w:t xml:space="preserve">（小型、微型企业/残疾人福利性单位/监狱企业全称）为（</w:t>
      </w:r>
      <w:r>
        <w:rPr>
          <w:rFonts w:ascii="Wingdings 2;Wingdings" w:hAnsi="Wingdings 2;Wingdings" w:eastAsia="Wingdings 2;Wingdings" w:cs="Wingdings 2;Wingdings"/>
          <w:sz w:val="28"/>
          <w:szCs w:val="28"/>
        </w:rPr>
        <w:t xml:space="preserve">£</w:t>
      </w:r>
      <w:r>
        <w:rPr>
          <w:rFonts w:hint="eastAsia" w:ascii="方正仿宋_GB2312" w:hAnsi="方正仿宋_GB2312" w:eastAsia="方正仿宋_GB2312" w:cs="方正仿宋_GB2312"/>
          <w:sz w:val="28"/>
          <w:szCs w:val="28"/>
        </w:rPr>
        <w:t xml:space="preserve">小型、微型企业 </w:t>
      </w:r>
      <w:r>
        <w:rPr>
          <w:rFonts w:ascii="Wingdings 2;Wingdings" w:hAnsi="Wingdings 2;Wingdings" w:eastAsia="Wingdings 2;Wingdings" w:cs="Wingdings 2;Wingdings"/>
          <w:sz w:val="28"/>
          <w:szCs w:val="28"/>
        </w:rPr>
        <w:t xml:space="preserve">£</w:t>
      </w:r>
      <w:r>
        <w:rPr>
          <w:rFonts w:hint="eastAsia" w:ascii="方正仿宋_GB2312" w:hAnsi="方正仿宋_GB2312" w:eastAsia="方正仿宋_GB2312" w:cs="方正仿宋_GB2312"/>
          <w:sz w:val="28"/>
          <w:szCs w:val="28"/>
        </w:rPr>
        <w:t xml:space="preserve">残疾人福利性单位 </w:t>
      </w:r>
      <w:r>
        <w:rPr>
          <w:rFonts w:ascii="Wingdings 2;Wingdings" w:hAnsi="Wingdings 2;Wingdings" w:eastAsia="Wingdings 2;Wingdings" w:cs="Wingdings 2;Wingdings"/>
          <w:sz w:val="28"/>
          <w:szCs w:val="28"/>
        </w:rPr>
        <w:t xml:space="preserve">£</w:t>
      </w:r>
      <w:r>
        <w:rPr>
          <w:rFonts w:hint="eastAsia" w:ascii="方正仿宋_GB2312" w:hAnsi="方正仿宋_GB2312" w:eastAsia="方正仿宋_GB2312" w:cs="方正仿宋_GB2312"/>
          <w:sz w:val="28"/>
          <w:szCs w:val="28"/>
        </w:rPr>
        <w:t xml:space="preserve">监狱企业）企业，且我们约定该公司/单位所承担的合同金额将占本项目合同总金额的</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                                          </w:t>
      </w:r>
      <w:r/>
    </w:p>
    <w:p>
      <w:pPr>
        <w:ind w:left="0" w:right="0"/>
        <w:jc w:val="right"/>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联合体中各供应商全称（公章）：     </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                            </w:t>
      </w:r>
      <w:r>
        <w:rPr>
          <w:rFonts w:hint="eastAsia" w:ascii="方正仿宋_GB2312" w:hAnsi="方正仿宋_GB2312" w:eastAsia="方正仿宋_GB2312" w:cs="方正仿宋_GB2312"/>
          <w:sz w:val="28"/>
          <w:szCs w:val="28"/>
          <w:shd w:val="clear" w:color="auto" w:fill="ffffff"/>
        </w:rPr>
        <w:t xml:space="preserve">日期：___年____月____日     </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备注：本招标文件中要求加盖CA电子签章的地方，仅需加盖牵头单位的CA电子签章。</w:t>
      </w:r>
      <w:r/>
    </w:p>
    <w:p>
      <w:pPr>
        <w:ind w:right="0" w:firstLine="645"/>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ind w:left="0" w:right="0"/>
        <w:spacing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附件12 实质性要求响应及偏离表（采购包号：XX）</w:t>
      </w:r>
      <w:r/>
    </w:p>
    <w:tbl>
      <w:tblPr>
        <w:tblStyle w:val="668"/>
        <w:tblW w:w="8997" w:type="dxa"/>
        <w:tblInd w:w="0" w:type="dxa"/>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3609"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招标文件（含技术要求和商务要求）中的实质性要求</w:t>
            </w:r>
            <w:r>
              <w:rPr>
                <w:rFonts w:hint="eastAsia" w:ascii="方正仿宋_GB2312" w:hAnsi="方正仿宋_GB2312" w:eastAsia="方正仿宋_GB2312" w:cs="方正仿宋_GB2312"/>
                <w:b/>
                <w:bCs/>
                <w:sz w:val="28"/>
                <w:szCs w:val="28"/>
              </w:rPr>
              <w:t xml:space="preserve">（</w:t>
            </w:r>
            <w:r>
              <w:rPr>
                <w:rFonts w:hint="eastAsia" w:ascii="方正仿宋_GB2312" w:hAnsi="方正仿宋_GB2312" w:eastAsia="方正仿宋_GB2312" w:cs="方正仿宋_GB2312"/>
                <w:b/>
                <w:bCs/>
                <w:i/>
                <w:sz w:val="28"/>
                <w:szCs w:val="28"/>
                <w:u w:val="single"/>
              </w:rPr>
              <w:t xml:space="preserve">斜体且有下划线部分</w:t>
            </w:r>
            <w:r>
              <w:rPr>
                <w:rFonts w:hint="eastAsia" w:ascii="方正仿宋_GB2312" w:hAnsi="方正仿宋_GB2312" w:eastAsia="方正仿宋_GB2312" w:cs="方正仿宋_GB2312"/>
                <w:b/>
                <w:bCs/>
                <w:sz w:val="28"/>
                <w:szCs w:val="28"/>
              </w:rPr>
              <w:t xml:space="preserve">或加*号条款）</w:t>
            </w:r>
            <w:r/>
          </w:p>
        </w:tc>
        <w:tc>
          <w:tcPr>
            <w:tcBorders>
              <w:top w:val="single" w:color="000000" w:sz="4" w:space="0"/>
              <w:left w:val="single" w:color="000000" w:sz="4" w:space="0"/>
              <w:bottom w:val="single" w:color="000000" w:sz="4" w:space="0"/>
              <w:right w:val="single" w:color="000000" w:sz="4" w:space="0"/>
            </w:tcBorders>
            <w:tcW w:w="3317"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投标响应情况</w:t>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超出、符合或偏离</w:t>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w:t>
            </w:r>
            <w:r/>
          </w:p>
        </w:tc>
        <w:tc>
          <w:tcPr>
            <w:tcBorders>
              <w:top w:val="single" w:color="000000" w:sz="4" w:space="0"/>
              <w:left w:val="single" w:color="000000" w:sz="4" w:space="0"/>
              <w:bottom w:val="single" w:color="000000" w:sz="4" w:space="0"/>
              <w:right w:val="single" w:color="000000" w:sz="4" w:space="0"/>
            </w:tcBorders>
            <w:tcW w:w="3609"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3317"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26"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w:t>
            </w:r>
            <w:r/>
          </w:p>
        </w:tc>
        <w:tc>
          <w:tcPr>
            <w:tcBorders>
              <w:top w:val="single" w:color="000000" w:sz="4" w:space="0"/>
              <w:left w:val="single" w:color="000000" w:sz="4" w:space="0"/>
              <w:bottom w:val="single" w:color="000000" w:sz="4" w:space="0"/>
              <w:right w:val="single" w:color="000000" w:sz="4" w:space="0"/>
            </w:tcBorders>
            <w:tcW w:w="3609"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3317"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26"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3609"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w:t>
            </w:r>
            <w:r/>
          </w:p>
        </w:tc>
        <w:tc>
          <w:tcPr>
            <w:tcBorders>
              <w:top w:val="single" w:color="000000" w:sz="4" w:space="0"/>
              <w:left w:val="single" w:color="000000" w:sz="4" w:space="0"/>
              <w:bottom w:val="single" w:color="000000" w:sz="4" w:space="0"/>
              <w:right w:val="single" w:color="000000" w:sz="4" w:space="0"/>
            </w:tcBorders>
            <w:tcW w:w="3317"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Borders>
              <w:top w:val="single" w:color="000000" w:sz="4" w:space="0"/>
              <w:left w:val="single" w:color="000000" w:sz="4" w:space="0"/>
              <w:bottom w:val="single" w:color="000000" w:sz="4" w:space="0"/>
              <w:right w:val="single" w:color="000000" w:sz="4" w:space="0"/>
            </w:tcBorders>
            <w:tcW w:w="1526" w:type="dxa"/>
            <w:textDirection w:val="lrTb"/>
            <w:noWrap w:val="false"/>
          </w:tcPr>
          <w:p>
            <w:pPr>
              <w:jc w:val="cente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bl>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附件12-1 证明材料1，证明材料2，……</w:t>
      </w:r>
      <w:r/>
    </w:p>
    <w:p>
      <w:pPr>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备注：</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1.投标人必须对招标文件（含技术要求和商务要求）中的实质性要求</w:t>
      </w:r>
      <w:r>
        <w:rPr>
          <w:rFonts w:hint="eastAsia" w:ascii="方正仿宋_GB2312" w:hAnsi="方正仿宋_GB2312" w:eastAsia="方正仿宋_GB2312" w:cs="方正仿宋_GB2312"/>
          <w:b/>
          <w:bCs/>
          <w:sz w:val="28"/>
          <w:szCs w:val="28"/>
        </w:rPr>
        <w:t xml:space="preserve">（</w:t>
      </w:r>
      <w:r>
        <w:rPr>
          <w:rFonts w:hint="eastAsia" w:ascii="方正仿宋_GB2312" w:hAnsi="方正仿宋_GB2312" w:eastAsia="方正仿宋_GB2312" w:cs="方正仿宋_GB2312"/>
          <w:b/>
          <w:bCs/>
          <w:i/>
          <w:sz w:val="28"/>
          <w:szCs w:val="28"/>
          <w:u w:val="single"/>
        </w:rPr>
        <w:t xml:space="preserve">斜体且有下划线部分</w:t>
      </w:r>
      <w:r>
        <w:rPr>
          <w:rFonts w:hint="eastAsia" w:ascii="方正仿宋_GB2312" w:hAnsi="方正仿宋_GB2312" w:eastAsia="方正仿宋_GB2312" w:cs="方正仿宋_GB2312"/>
          <w:b/>
          <w:bCs/>
          <w:sz w:val="28"/>
          <w:szCs w:val="28"/>
        </w:rPr>
        <w:t xml:space="preserve">或加*号条款为实质性要求）</w:t>
      </w:r>
      <w:r>
        <w:rPr>
          <w:rFonts w:hint="eastAsia" w:ascii="方正仿宋_GB2312" w:hAnsi="方正仿宋_GB2312" w:eastAsia="方正仿宋_GB2312" w:cs="方正仿宋_GB2312"/>
          <w:sz w:val="28"/>
          <w:szCs w:val="28"/>
        </w:rPr>
        <w:t xml:space="preserve">逐条做出明确响应，否则作无效投标处理。</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2.如果招标文件要求提供证明材料，投标人必须将证明材料列于该表之下。</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3.投标人未对实质性要求逐条作出明确响应的，或未按招标文件要求提供证明材料的，该采购包作无效投标处理。</w:t>
      </w:r>
      <w:r/>
    </w:p>
    <w:p>
      <w:pPr>
        <w:spacing w:line="400" w:lineRule="exact"/>
        <w:rPr>
          <w:rFonts w:hint="eastAsia" w:ascii="方正仿宋_GB2312" w:hAnsi="方正仿宋_GB2312" w:eastAsia="方正仿宋_GB2312" w:cs="方正仿宋_GB2312"/>
          <w:color w:val="ff0000"/>
          <w:sz w:val="28"/>
          <w:szCs w:val="28"/>
        </w:rPr>
      </w:pPr>
      <w:r>
        <w:rPr>
          <w:rFonts w:hint="eastAsia" w:ascii="方正仿宋_GB2312" w:hAnsi="方正仿宋_GB2312" w:eastAsia="方正仿宋_GB2312" w:cs="方正仿宋_GB2312"/>
          <w:color w:val="ff0000"/>
          <w:sz w:val="28"/>
          <w:szCs w:val="28"/>
        </w:rPr>
      </w:r>
      <w:r/>
    </w:p>
    <w:p>
      <w:pPr>
        <w:jc w:val="center"/>
        <w:spacing w:line="400" w:lineRule="exact"/>
        <w:rPr>
          <w:rFonts w:hint="eastAsia" w:ascii="方正仿宋_GB2312" w:hAnsi="方正仿宋_GB2312" w:eastAsia="方正仿宋_GB2312" w:cs="方正仿宋_GB2312"/>
          <w:b/>
          <w:color w:val="ff0000"/>
          <w:sz w:val="28"/>
          <w:szCs w:val="28"/>
        </w:rPr>
      </w:pPr>
      <w:r>
        <w:rPr>
          <w:rFonts w:hint="eastAsia" w:ascii="方正仿宋_GB2312" w:hAnsi="方正仿宋_GB2312" w:eastAsia="方正仿宋_GB2312" w:cs="方正仿宋_GB2312"/>
          <w:b/>
          <w:color w:val="ff0000"/>
          <w:sz w:val="28"/>
          <w:szCs w:val="28"/>
        </w:rPr>
      </w:r>
      <w:r/>
    </w:p>
    <w:p>
      <w:pPr>
        <w:jc w:val="center"/>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jc w:val="center"/>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jc w:val="center"/>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jc w:val="center"/>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jc w:val="center"/>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jc w:val="center"/>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jc w:val="center"/>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jc w:val="center"/>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jc w:val="center"/>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jc w:val="center"/>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jc w:val="center"/>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jc w:val="center"/>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jc w:val="center"/>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jc w:val="center"/>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jc w:val="center"/>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jc w:val="center"/>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jc w:val="center"/>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jc w:val="center"/>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jc w:val="center"/>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jc w:val="center"/>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jc w:val="center"/>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jc w:val="center"/>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jc w:val="center"/>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jc w:val="center"/>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jc w:val="center"/>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jc w:val="center"/>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jc w:val="center"/>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ind w:left="0" w:right="0"/>
        <w:spacing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附件13  关于符合本国产品标准的声明函（采购包号：XX）</w:t>
      </w:r>
      <w:r/>
    </w:p>
    <w:p>
      <w:pPr>
        <w:pStyle w:val="747"/>
        <w:ind w:left="0" w:right="0"/>
        <w:jc w:val="center"/>
        <w:spacing w:before="0" w:after="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（本项目不适用无需提供）</w:t>
      </w:r>
      <w:r/>
    </w:p>
    <w:p>
      <w:pPr>
        <w:pStyle w:val="747"/>
        <w:ind w:left="0" w:right="0"/>
        <w:spacing w:before="0" w:after="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7"/>
        <w:ind w:left="0" w:right="0"/>
        <w:spacing w:before="30" w:after="3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shd w:val="clear" w:color="auto" w:fill="ffffff"/>
        </w:rPr>
        <w:t xml:space="preserve">1.</w:t>
      </w:r>
      <w:r>
        <w:rPr>
          <w:rStyle w:val="692"/>
          <w:rFonts w:hint="eastAsia" w:ascii="方正仿宋_GB2312" w:hAnsi="方正仿宋_GB2312" w:eastAsia="方正仿宋_GB2312" w:cs="方正仿宋_GB2312"/>
          <w:i w:val="0"/>
          <w:sz w:val="28"/>
          <w:szCs w:val="28"/>
          <w:u w:val="single"/>
          <w:shd w:val="clear" w:color="auto" w:fill="ffffff"/>
        </w:rPr>
        <w:t xml:space="preserve">（产品名称1）</w:t>
      </w:r>
      <w:r>
        <w:rPr>
          <w:rStyle w:val="692"/>
          <w:rFonts w:hint="eastAsia" w:ascii="方正仿宋_GB2312" w:hAnsi="方正仿宋_GB2312" w:eastAsia="方正仿宋_GB2312" w:cs="方正仿宋_GB2312"/>
          <w:i w:val="0"/>
          <w:sz w:val="28"/>
          <w:szCs w:val="28"/>
          <w:shd w:val="clear" w:color="auto" w:fill="ffffff"/>
          <w:vertAlign w:val="superscript"/>
        </w:rPr>
        <w:t xml:space="preserve">1</w:t>
      </w:r>
      <w:r>
        <w:rPr>
          <w:rFonts w:hint="eastAsia" w:ascii="方正仿宋_GB2312" w:hAnsi="方正仿宋_GB2312" w:eastAsia="方正仿宋_GB2312" w:cs="方正仿宋_GB2312"/>
          <w:sz w:val="28"/>
          <w:szCs w:val="28"/>
          <w:shd w:val="clear" w:color="auto" w:fill="ffffff"/>
        </w:rPr>
        <w:t xml:space="preserve">，生产厂为</w:t>
      </w:r>
      <w:r>
        <w:rPr>
          <w:rStyle w:val="692"/>
          <w:rFonts w:hint="eastAsia" w:ascii="方正仿宋_GB2312" w:hAnsi="方正仿宋_GB2312" w:eastAsia="方正仿宋_GB2312" w:cs="方正仿宋_GB2312"/>
          <w:i w:val="0"/>
          <w:sz w:val="28"/>
          <w:szCs w:val="28"/>
          <w:u w:val="single"/>
          <w:shd w:val="clear" w:color="auto" w:fill="ffffff"/>
        </w:rPr>
        <w:t xml:space="preserve">（厂名）</w:t>
      </w:r>
      <w:r>
        <w:rPr>
          <w:rStyle w:val="692"/>
          <w:rFonts w:hint="eastAsia" w:ascii="方正仿宋_GB2312" w:hAnsi="方正仿宋_GB2312" w:eastAsia="方正仿宋_GB2312" w:cs="方正仿宋_GB2312"/>
          <w:i w:val="0"/>
          <w:sz w:val="28"/>
          <w:szCs w:val="28"/>
          <w:shd w:val="clear" w:color="auto" w:fill="ffffff"/>
          <w:vertAlign w:val="superscript"/>
        </w:rPr>
        <w:t xml:space="preserve">2</w:t>
      </w:r>
      <w:r>
        <w:rPr>
          <w:rFonts w:hint="eastAsia" w:ascii="方正仿宋_GB2312" w:hAnsi="方正仿宋_GB2312" w:eastAsia="方正仿宋_GB2312" w:cs="方正仿宋_GB2312"/>
          <w:sz w:val="28"/>
          <w:szCs w:val="28"/>
          <w:shd w:val="clear" w:color="auto" w:fill="ffffff"/>
        </w:rPr>
        <w:t xml:space="preserve">，厂址为</w:t>
      </w:r>
      <w:r>
        <w:rPr>
          <w:rStyle w:val="692"/>
          <w:rFonts w:hint="eastAsia" w:ascii="方正仿宋_GB2312" w:hAnsi="方正仿宋_GB2312" w:eastAsia="方正仿宋_GB2312" w:cs="方正仿宋_GB2312"/>
          <w:i w:val="0"/>
          <w:sz w:val="28"/>
          <w:szCs w:val="28"/>
          <w:u w:val="single"/>
          <w:shd w:val="clear" w:color="auto" w:fill="ffffff"/>
        </w:rPr>
        <w:t xml:space="preserve">（生产厂址）</w:t>
      </w:r>
      <w:r>
        <w:rPr>
          <w:rFonts w:hint="eastAsia" w:ascii="方正仿宋_GB2312" w:hAnsi="方正仿宋_GB2312" w:eastAsia="方正仿宋_GB2312" w:cs="方正仿宋_GB2312"/>
          <w:sz w:val="28"/>
          <w:szCs w:val="28"/>
          <w:shd w:val="clear" w:color="auto" w:fill="ffffff"/>
        </w:rPr>
        <w:t xml:space="preserve">。</w:t>
      </w:r>
      <w:r>
        <w:rPr>
          <w:rFonts w:hint="eastAsia" w:ascii="方正仿宋_GB2312" w:hAnsi="方正仿宋_GB2312" w:eastAsia="方正仿宋_GB2312" w:cs="方正仿宋_GB2312"/>
          <w:sz w:val="28"/>
          <w:szCs w:val="28"/>
          <w:u w:val="single"/>
          <w:shd w:val="clear" w:color="auto" w:fill="ffffff"/>
        </w:rPr>
        <w:t xml:space="preserve"> </w:t>
      </w:r>
      <w:r>
        <w:rPr>
          <w:rStyle w:val="692"/>
          <w:rFonts w:hint="eastAsia" w:ascii="方正仿宋_GB2312" w:hAnsi="方正仿宋_GB2312" w:eastAsia="方正仿宋_GB2312" w:cs="方正仿宋_GB2312"/>
          <w:i w:val="0"/>
          <w:sz w:val="28"/>
          <w:szCs w:val="28"/>
          <w:u w:val="single"/>
          <w:shd w:val="clear" w:color="auto" w:fill="ffffff"/>
        </w:rPr>
        <w:t xml:space="preserve">/ </w:t>
      </w:r>
      <w:r>
        <w:rPr>
          <w:rFonts w:hint="eastAsia" w:ascii="方正仿宋_GB2312" w:hAnsi="方正仿宋_GB2312" w:eastAsia="方正仿宋_GB2312" w:cs="方正仿宋_GB2312"/>
          <w:sz w:val="28"/>
          <w:szCs w:val="28"/>
          <w:shd w:val="clear" w:color="auto" w:fill="ffffff"/>
        </w:rPr>
        <w:t xml:space="preserve">的中国境内生产的组件成本占比≥</w:t>
      </w:r>
      <w:r>
        <w:rPr>
          <w:rFonts w:hint="eastAsia" w:ascii="方正仿宋_GB2312" w:hAnsi="方正仿宋_GB2312" w:eastAsia="方正仿宋_GB2312" w:cs="方正仿宋_GB2312"/>
          <w:sz w:val="28"/>
          <w:szCs w:val="28"/>
          <w:u w:val="single"/>
          <w:shd w:val="clear" w:color="auto" w:fill="ffffff"/>
        </w:rPr>
        <w:t xml:space="preserve">  </w:t>
      </w:r>
      <w:r>
        <w:rPr>
          <w:rStyle w:val="692"/>
          <w:rFonts w:hint="eastAsia" w:ascii="方正仿宋_GB2312" w:hAnsi="方正仿宋_GB2312" w:eastAsia="方正仿宋_GB2312" w:cs="方正仿宋_GB2312"/>
          <w:i w:val="0"/>
          <w:sz w:val="28"/>
          <w:szCs w:val="28"/>
          <w:u w:val="single"/>
          <w:shd w:val="clear" w:color="auto" w:fill="ffffff"/>
        </w:rPr>
        <w:t xml:space="preserve">/  </w:t>
      </w:r>
      <w:r>
        <w:rPr>
          <w:rStyle w:val="692"/>
          <w:rFonts w:hint="eastAsia" w:ascii="方正仿宋_GB2312" w:hAnsi="方正仿宋_GB2312" w:eastAsia="方正仿宋_GB2312" w:cs="方正仿宋_GB2312"/>
          <w:i w:val="0"/>
          <w:sz w:val="28"/>
          <w:szCs w:val="28"/>
          <w:shd w:val="clear" w:color="auto" w:fill="ffffff"/>
          <w:vertAlign w:val="superscript"/>
        </w:rPr>
        <w:t xml:space="preserve">3</w:t>
      </w:r>
      <w:r>
        <w:rPr>
          <w:rFonts w:hint="eastAsia" w:ascii="方正仿宋_GB2312" w:hAnsi="方正仿宋_GB2312" w:eastAsia="方正仿宋_GB2312" w:cs="方正仿宋_GB2312"/>
          <w:sz w:val="28"/>
          <w:szCs w:val="28"/>
          <w:shd w:val="clear" w:color="auto" w:fill="ffffff"/>
        </w:rPr>
        <w:t xml:space="preserve">。</w:t>
      </w:r>
      <w:r>
        <w:rPr>
          <w:rFonts w:hint="eastAsia" w:ascii="方正仿宋_GB2312" w:hAnsi="方正仿宋_GB2312" w:eastAsia="方正仿宋_GB2312" w:cs="方正仿宋_GB2312"/>
          <w:sz w:val="28"/>
          <w:szCs w:val="28"/>
          <w:u w:val="single"/>
          <w:shd w:val="clear" w:color="auto" w:fill="ffffff"/>
        </w:rPr>
        <w:t xml:space="preserve">  </w:t>
      </w:r>
      <w:r>
        <w:rPr>
          <w:rStyle w:val="692"/>
          <w:rFonts w:hint="eastAsia" w:ascii="方正仿宋_GB2312" w:hAnsi="方正仿宋_GB2312" w:eastAsia="方正仿宋_GB2312" w:cs="方正仿宋_GB2312"/>
          <w:i w:val="0"/>
          <w:sz w:val="28"/>
          <w:szCs w:val="28"/>
          <w:u w:val="single"/>
          <w:shd w:val="clear" w:color="auto" w:fill="ffffff"/>
        </w:rPr>
        <w:t xml:space="preserve">/  </w:t>
      </w:r>
      <w:r>
        <w:rPr>
          <w:rFonts w:hint="eastAsia" w:ascii="方正仿宋_GB2312" w:hAnsi="方正仿宋_GB2312" w:eastAsia="方正仿宋_GB2312" w:cs="方正仿宋_GB2312"/>
          <w:sz w:val="28"/>
          <w:szCs w:val="28"/>
          <w:shd w:val="clear" w:color="auto" w:fill="ffffff"/>
        </w:rPr>
        <w:t xml:space="preserve">的</w:t>
      </w:r>
      <w:r>
        <w:rPr>
          <w:rFonts w:hint="eastAsia" w:ascii="方正仿宋_GB2312" w:hAnsi="方正仿宋_GB2312" w:eastAsia="方正仿宋_GB2312" w:cs="方正仿宋_GB2312"/>
          <w:sz w:val="28"/>
          <w:szCs w:val="28"/>
          <w:u w:val="single"/>
          <w:shd w:val="clear" w:color="auto" w:fill="ffffff"/>
        </w:rPr>
        <w:t xml:space="preserve">  </w:t>
      </w:r>
      <w:r>
        <w:rPr>
          <w:rStyle w:val="692"/>
          <w:rFonts w:hint="eastAsia" w:ascii="方正仿宋_GB2312" w:hAnsi="方正仿宋_GB2312" w:eastAsia="方正仿宋_GB2312" w:cs="方正仿宋_GB2312"/>
          <w:i w:val="0"/>
          <w:sz w:val="28"/>
          <w:szCs w:val="28"/>
          <w:u w:val="single"/>
          <w:shd w:val="clear" w:color="auto" w:fill="ffffff"/>
        </w:rPr>
        <w:t xml:space="preserve">/  </w:t>
      </w:r>
      <w:r>
        <w:rPr>
          <w:rStyle w:val="692"/>
          <w:rFonts w:hint="eastAsia" w:ascii="方正仿宋_GB2312" w:hAnsi="方正仿宋_GB2312" w:eastAsia="方正仿宋_GB2312" w:cs="方正仿宋_GB2312"/>
          <w:i w:val="0"/>
          <w:sz w:val="28"/>
          <w:szCs w:val="28"/>
          <w:shd w:val="clear" w:color="auto" w:fill="ffffff"/>
          <w:vertAlign w:val="superscript"/>
        </w:rPr>
        <w:t xml:space="preserve">4</w:t>
      </w:r>
      <w:r>
        <w:rPr>
          <w:rFonts w:hint="eastAsia" w:ascii="方正仿宋_GB2312" w:hAnsi="方正仿宋_GB2312" w:eastAsia="方正仿宋_GB2312" w:cs="方正仿宋_GB2312"/>
          <w:sz w:val="28"/>
          <w:szCs w:val="28"/>
          <w:shd w:val="clear" w:color="auto" w:fill="ffffff"/>
        </w:rPr>
        <w:t xml:space="preserve">在中国境内生产。</w:t>
      </w:r>
      <w:r>
        <w:rPr>
          <w:rFonts w:hint="eastAsia" w:ascii="方正仿宋_GB2312" w:hAnsi="方正仿宋_GB2312" w:eastAsia="方正仿宋_GB2312" w:cs="方正仿宋_GB2312"/>
          <w:sz w:val="28"/>
          <w:szCs w:val="28"/>
          <w:u w:val="single"/>
          <w:shd w:val="clear" w:color="auto" w:fill="ffffff"/>
        </w:rPr>
        <w:t xml:space="preserve">  </w:t>
      </w:r>
      <w:r>
        <w:rPr>
          <w:rStyle w:val="692"/>
          <w:rFonts w:hint="eastAsia" w:ascii="方正仿宋_GB2312" w:hAnsi="方正仿宋_GB2312" w:eastAsia="方正仿宋_GB2312" w:cs="方正仿宋_GB2312"/>
          <w:i w:val="0"/>
          <w:sz w:val="28"/>
          <w:szCs w:val="28"/>
          <w:u w:val="single"/>
          <w:shd w:val="clear" w:color="auto" w:fill="ffffff"/>
        </w:rPr>
        <w:t xml:space="preserve">/  </w:t>
      </w:r>
      <w:r>
        <w:rPr>
          <w:rFonts w:hint="eastAsia" w:ascii="方正仿宋_GB2312" w:hAnsi="方正仿宋_GB2312" w:eastAsia="方正仿宋_GB2312" w:cs="方正仿宋_GB2312"/>
          <w:sz w:val="28"/>
          <w:szCs w:val="28"/>
          <w:shd w:val="clear" w:color="auto" w:fill="ffffff"/>
        </w:rPr>
        <w:t xml:space="preserve">的</w:t>
      </w:r>
      <w:r>
        <w:rPr>
          <w:rFonts w:hint="eastAsia" w:ascii="方正仿宋_GB2312" w:hAnsi="方正仿宋_GB2312" w:eastAsia="方正仿宋_GB2312" w:cs="方正仿宋_GB2312"/>
          <w:sz w:val="28"/>
          <w:szCs w:val="28"/>
          <w:u w:val="single"/>
          <w:shd w:val="clear" w:color="auto" w:fill="ffffff"/>
        </w:rPr>
        <w:t xml:space="preserve">  </w:t>
      </w:r>
      <w:r>
        <w:rPr>
          <w:rStyle w:val="692"/>
          <w:rFonts w:hint="eastAsia" w:ascii="方正仿宋_GB2312" w:hAnsi="方正仿宋_GB2312" w:eastAsia="方正仿宋_GB2312" w:cs="方正仿宋_GB2312"/>
          <w:i w:val="0"/>
          <w:sz w:val="28"/>
          <w:szCs w:val="28"/>
          <w:u w:val="single"/>
          <w:shd w:val="clear" w:color="auto" w:fill="ffffff"/>
        </w:rPr>
        <w:t xml:space="preserve">/  </w:t>
      </w:r>
      <w:r>
        <w:rPr>
          <w:rStyle w:val="692"/>
          <w:rFonts w:hint="eastAsia" w:ascii="方正仿宋_GB2312" w:hAnsi="方正仿宋_GB2312" w:eastAsia="方正仿宋_GB2312" w:cs="方正仿宋_GB2312"/>
          <w:i w:val="0"/>
          <w:sz w:val="28"/>
          <w:szCs w:val="28"/>
          <w:shd w:val="clear" w:color="auto" w:fill="ffffff"/>
          <w:vertAlign w:val="superscript"/>
        </w:rPr>
        <w:t xml:space="preserve">5</w:t>
      </w:r>
      <w:r>
        <w:rPr>
          <w:rFonts w:hint="eastAsia" w:ascii="方正仿宋_GB2312" w:hAnsi="方正仿宋_GB2312" w:eastAsia="方正仿宋_GB2312" w:cs="方正仿宋_GB2312"/>
          <w:sz w:val="28"/>
          <w:szCs w:val="28"/>
          <w:shd w:val="clear" w:color="auto" w:fill="ffffff"/>
        </w:rPr>
        <w:t xml:space="preserve">在中国境内完成。</w:t>
      </w:r>
      <w:r/>
    </w:p>
    <w:p>
      <w:pPr>
        <w:pStyle w:val="747"/>
        <w:ind w:left="0" w:right="0"/>
        <w:spacing w:before="30" w:after="3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shd w:val="clear" w:color="auto" w:fill="ffffff"/>
        </w:rPr>
        <w:t xml:space="preserve">2.</w:t>
      </w:r>
      <w:r>
        <w:rPr>
          <w:rStyle w:val="692"/>
          <w:rFonts w:hint="eastAsia" w:ascii="方正仿宋_GB2312" w:hAnsi="方正仿宋_GB2312" w:eastAsia="方正仿宋_GB2312" w:cs="方正仿宋_GB2312"/>
          <w:i w:val="0"/>
          <w:sz w:val="28"/>
          <w:szCs w:val="28"/>
          <w:u w:val="single"/>
          <w:shd w:val="clear" w:color="auto" w:fill="ffffff"/>
        </w:rPr>
        <w:t xml:space="preserve">（产品名称2）</w:t>
      </w:r>
      <w:r>
        <w:rPr>
          <w:rFonts w:hint="eastAsia" w:ascii="方正仿宋_GB2312" w:hAnsi="方正仿宋_GB2312" w:eastAsia="方正仿宋_GB2312" w:cs="方正仿宋_GB2312"/>
          <w:sz w:val="28"/>
          <w:szCs w:val="28"/>
          <w:shd w:val="clear" w:color="auto" w:fill="ffffff"/>
        </w:rPr>
        <w:t xml:space="preserve">，生产厂为</w:t>
      </w:r>
      <w:r>
        <w:rPr>
          <w:rStyle w:val="692"/>
          <w:rFonts w:hint="eastAsia" w:ascii="方正仿宋_GB2312" w:hAnsi="方正仿宋_GB2312" w:eastAsia="方正仿宋_GB2312" w:cs="方正仿宋_GB2312"/>
          <w:i w:val="0"/>
          <w:sz w:val="28"/>
          <w:szCs w:val="28"/>
          <w:u w:val="single"/>
          <w:shd w:val="clear" w:color="auto" w:fill="ffffff"/>
        </w:rPr>
        <w:t xml:space="preserve">（厂名）</w:t>
      </w:r>
      <w:r>
        <w:rPr>
          <w:rFonts w:hint="eastAsia" w:ascii="方正仿宋_GB2312" w:hAnsi="方正仿宋_GB2312" w:eastAsia="方正仿宋_GB2312" w:cs="方正仿宋_GB2312"/>
          <w:sz w:val="28"/>
          <w:szCs w:val="28"/>
          <w:shd w:val="clear" w:color="auto" w:fill="ffffff"/>
        </w:rPr>
        <w:t xml:space="preserve">，厂址为</w:t>
      </w:r>
      <w:r>
        <w:rPr>
          <w:rStyle w:val="692"/>
          <w:rFonts w:hint="eastAsia" w:ascii="方正仿宋_GB2312" w:hAnsi="方正仿宋_GB2312" w:eastAsia="方正仿宋_GB2312" w:cs="方正仿宋_GB2312"/>
          <w:i w:val="0"/>
          <w:sz w:val="28"/>
          <w:szCs w:val="28"/>
          <w:u w:val="single"/>
          <w:shd w:val="clear" w:color="auto" w:fill="ffffff"/>
        </w:rPr>
        <w:t xml:space="preserve">（生产厂址）</w:t>
      </w:r>
      <w:r>
        <w:rPr>
          <w:rFonts w:hint="eastAsia" w:ascii="方正仿宋_GB2312" w:hAnsi="方正仿宋_GB2312" w:eastAsia="方正仿宋_GB2312" w:cs="方正仿宋_GB2312"/>
          <w:sz w:val="28"/>
          <w:szCs w:val="28"/>
          <w:shd w:val="clear" w:color="auto" w:fill="ffffff"/>
        </w:rPr>
        <w:t xml:space="preserve">。</w:t>
      </w:r>
      <w:r>
        <w:rPr>
          <w:rFonts w:hint="eastAsia" w:ascii="方正仿宋_GB2312" w:hAnsi="方正仿宋_GB2312" w:eastAsia="方正仿宋_GB2312" w:cs="方正仿宋_GB2312"/>
          <w:sz w:val="28"/>
          <w:szCs w:val="28"/>
          <w:u w:val="single"/>
          <w:shd w:val="clear" w:color="auto" w:fill="ffffff"/>
        </w:rPr>
        <w:t xml:space="preserve"> </w:t>
      </w:r>
      <w:r>
        <w:rPr>
          <w:rStyle w:val="692"/>
          <w:rFonts w:hint="eastAsia" w:ascii="方正仿宋_GB2312" w:hAnsi="方正仿宋_GB2312" w:eastAsia="方正仿宋_GB2312" w:cs="方正仿宋_GB2312"/>
          <w:i w:val="0"/>
          <w:sz w:val="28"/>
          <w:szCs w:val="28"/>
          <w:u w:val="single"/>
          <w:shd w:val="clear" w:color="auto" w:fill="ffffff"/>
        </w:rPr>
        <w:t xml:space="preserve">/  </w:t>
      </w:r>
      <w:r>
        <w:rPr>
          <w:rFonts w:hint="eastAsia" w:ascii="方正仿宋_GB2312" w:hAnsi="方正仿宋_GB2312" w:eastAsia="方正仿宋_GB2312" w:cs="方正仿宋_GB2312"/>
          <w:sz w:val="28"/>
          <w:szCs w:val="28"/>
          <w:shd w:val="clear" w:color="auto" w:fill="ffffff"/>
        </w:rPr>
        <w:t xml:space="preserve">的中国境内生产的组件成本占比≥</w:t>
      </w:r>
      <w:r>
        <w:rPr>
          <w:rFonts w:hint="eastAsia" w:ascii="方正仿宋_GB2312" w:hAnsi="方正仿宋_GB2312" w:eastAsia="方正仿宋_GB2312" w:cs="方正仿宋_GB2312"/>
          <w:sz w:val="28"/>
          <w:szCs w:val="28"/>
          <w:u w:val="single"/>
          <w:shd w:val="clear" w:color="auto" w:fill="ffffff"/>
        </w:rPr>
        <w:t xml:space="preserve">  </w:t>
      </w:r>
      <w:r>
        <w:rPr>
          <w:rStyle w:val="692"/>
          <w:rFonts w:hint="eastAsia" w:ascii="方正仿宋_GB2312" w:hAnsi="方正仿宋_GB2312" w:eastAsia="方正仿宋_GB2312" w:cs="方正仿宋_GB2312"/>
          <w:i w:val="0"/>
          <w:sz w:val="28"/>
          <w:szCs w:val="28"/>
          <w:u w:val="single"/>
          <w:shd w:val="clear" w:color="auto" w:fill="ffffff"/>
        </w:rPr>
        <w:t xml:space="preserve">/  </w:t>
      </w:r>
      <w:r>
        <w:rPr>
          <w:rFonts w:hint="eastAsia" w:ascii="方正仿宋_GB2312" w:hAnsi="方正仿宋_GB2312" w:eastAsia="方正仿宋_GB2312" w:cs="方正仿宋_GB2312"/>
          <w:sz w:val="28"/>
          <w:szCs w:val="28"/>
          <w:shd w:val="clear" w:color="auto" w:fill="ffffff"/>
        </w:rPr>
        <w:t xml:space="preserve">。</w:t>
      </w:r>
      <w:r>
        <w:rPr>
          <w:rFonts w:hint="eastAsia" w:ascii="方正仿宋_GB2312" w:hAnsi="方正仿宋_GB2312" w:eastAsia="方正仿宋_GB2312" w:cs="方正仿宋_GB2312"/>
          <w:sz w:val="28"/>
          <w:szCs w:val="28"/>
          <w:u w:val="single"/>
          <w:shd w:val="clear" w:color="auto" w:fill="ffffff"/>
        </w:rPr>
        <w:t xml:space="preserve">  </w:t>
      </w:r>
      <w:r>
        <w:rPr>
          <w:rStyle w:val="692"/>
          <w:rFonts w:hint="eastAsia" w:ascii="方正仿宋_GB2312" w:hAnsi="方正仿宋_GB2312" w:eastAsia="方正仿宋_GB2312" w:cs="方正仿宋_GB2312"/>
          <w:i w:val="0"/>
          <w:sz w:val="28"/>
          <w:szCs w:val="28"/>
          <w:u w:val="single"/>
          <w:shd w:val="clear" w:color="auto" w:fill="ffffff"/>
        </w:rPr>
        <w:t xml:space="preserve">/  </w:t>
      </w:r>
      <w:r>
        <w:rPr>
          <w:rFonts w:hint="eastAsia" w:ascii="方正仿宋_GB2312" w:hAnsi="方正仿宋_GB2312" w:eastAsia="方正仿宋_GB2312" w:cs="方正仿宋_GB2312"/>
          <w:sz w:val="28"/>
          <w:szCs w:val="28"/>
          <w:shd w:val="clear" w:color="auto" w:fill="ffffff"/>
        </w:rPr>
        <w:t xml:space="preserve">的</w:t>
      </w:r>
      <w:r>
        <w:rPr>
          <w:rFonts w:hint="eastAsia" w:ascii="方正仿宋_GB2312" w:hAnsi="方正仿宋_GB2312" w:eastAsia="方正仿宋_GB2312" w:cs="方正仿宋_GB2312"/>
          <w:sz w:val="28"/>
          <w:szCs w:val="28"/>
          <w:u w:val="single"/>
          <w:shd w:val="clear" w:color="auto" w:fill="ffffff"/>
        </w:rPr>
        <w:t xml:space="preserve">  </w:t>
      </w:r>
      <w:r>
        <w:rPr>
          <w:rStyle w:val="692"/>
          <w:rFonts w:hint="eastAsia" w:ascii="方正仿宋_GB2312" w:hAnsi="方正仿宋_GB2312" w:eastAsia="方正仿宋_GB2312" w:cs="方正仿宋_GB2312"/>
          <w:i w:val="0"/>
          <w:sz w:val="28"/>
          <w:szCs w:val="28"/>
          <w:u w:val="single"/>
          <w:shd w:val="clear" w:color="auto" w:fill="ffffff"/>
        </w:rPr>
        <w:t xml:space="preserve">/  </w:t>
      </w:r>
      <w:r>
        <w:rPr>
          <w:rFonts w:hint="eastAsia" w:ascii="方正仿宋_GB2312" w:hAnsi="方正仿宋_GB2312" w:eastAsia="方正仿宋_GB2312" w:cs="方正仿宋_GB2312"/>
          <w:sz w:val="28"/>
          <w:szCs w:val="28"/>
          <w:shd w:val="clear" w:color="auto" w:fill="ffffff"/>
        </w:rPr>
        <w:t xml:space="preserve">在中国境内生产。</w:t>
      </w:r>
      <w:r>
        <w:rPr>
          <w:rFonts w:hint="eastAsia" w:ascii="方正仿宋_GB2312" w:hAnsi="方正仿宋_GB2312" w:eastAsia="方正仿宋_GB2312" w:cs="方正仿宋_GB2312"/>
          <w:sz w:val="28"/>
          <w:szCs w:val="28"/>
          <w:u w:val="single"/>
          <w:shd w:val="clear" w:color="auto" w:fill="ffffff"/>
        </w:rPr>
        <w:t xml:space="preserve">  </w:t>
      </w:r>
      <w:r>
        <w:rPr>
          <w:rStyle w:val="692"/>
          <w:rFonts w:hint="eastAsia" w:ascii="方正仿宋_GB2312" w:hAnsi="方正仿宋_GB2312" w:eastAsia="方正仿宋_GB2312" w:cs="方正仿宋_GB2312"/>
          <w:i w:val="0"/>
          <w:sz w:val="28"/>
          <w:szCs w:val="28"/>
          <w:u w:val="single"/>
          <w:shd w:val="clear" w:color="auto" w:fill="ffffff"/>
        </w:rPr>
        <w:t xml:space="preserve">/  </w:t>
      </w:r>
      <w:r>
        <w:rPr>
          <w:rFonts w:hint="eastAsia" w:ascii="方正仿宋_GB2312" w:hAnsi="方正仿宋_GB2312" w:eastAsia="方正仿宋_GB2312" w:cs="方正仿宋_GB2312"/>
          <w:sz w:val="28"/>
          <w:szCs w:val="28"/>
          <w:shd w:val="clear" w:color="auto" w:fill="ffffff"/>
        </w:rPr>
        <w:t xml:space="preserve">的</w:t>
      </w:r>
      <w:r>
        <w:rPr>
          <w:rFonts w:hint="eastAsia" w:ascii="方正仿宋_GB2312" w:hAnsi="方正仿宋_GB2312" w:eastAsia="方正仿宋_GB2312" w:cs="方正仿宋_GB2312"/>
          <w:sz w:val="28"/>
          <w:szCs w:val="28"/>
          <w:u w:val="single"/>
          <w:shd w:val="clear" w:color="auto" w:fill="ffffff"/>
        </w:rPr>
        <w:t xml:space="preserve">  </w:t>
      </w:r>
      <w:r>
        <w:rPr>
          <w:rStyle w:val="692"/>
          <w:rFonts w:hint="eastAsia" w:ascii="方正仿宋_GB2312" w:hAnsi="方正仿宋_GB2312" w:eastAsia="方正仿宋_GB2312" w:cs="方正仿宋_GB2312"/>
          <w:i w:val="0"/>
          <w:sz w:val="28"/>
          <w:szCs w:val="28"/>
          <w:u w:val="single"/>
          <w:shd w:val="clear" w:color="auto" w:fill="ffffff"/>
        </w:rPr>
        <w:t xml:space="preserve">/  </w:t>
      </w:r>
      <w:r>
        <w:rPr>
          <w:rFonts w:hint="eastAsia" w:ascii="方正仿宋_GB2312" w:hAnsi="方正仿宋_GB2312" w:eastAsia="方正仿宋_GB2312" w:cs="方正仿宋_GB2312"/>
          <w:sz w:val="28"/>
          <w:szCs w:val="28"/>
          <w:shd w:val="clear" w:color="auto" w:fill="ffffff"/>
        </w:rPr>
        <w:t xml:space="preserve">在中国境内完成。</w:t>
      </w:r>
      <w:r/>
    </w:p>
    <w:p>
      <w:pPr>
        <w:pStyle w:val="747"/>
        <w:ind w:left="0" w:right="0"/>
        <w:spacing w:before="30" w:after="3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shd w:val="clear" w:color="auto" w:fill="ffffff"/>
        </w:rPr>
        <w:t xml:space="preserve">……</w:t>
      </w:r>
      <w:r/>
    </w:p>
    <w:p>
      <w:pPr>
        <w:pStyle w:val="747"/>
        <w:ind w:left="0" w:right="0"/>
        <w:spacing w:before="30" w:after="3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shd w:val="clear" w:color="auto" w:fill="ffffff"/>
        </w:rPr>
        <w:t xml:space="preserve">本公司（单位）对上述声明内容的真实性负责。如有虚假，愿承担相应法律责任。</w:t>
      </w:r>
      <w:r/>
    </w:p>
    <w:p>
      <w:pPr>
        <w:pStyle w:val="747"/>
        <w:ind w:left="0" w:right="0"/>
        <w:spacing w:before="30" w:after="3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47"/>
        <w:ind w:left="0" w:right="0"/>
        <w:jc w:val="right"/>
        <w:spacing w:before="30" w:after="3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shd w:val="clear" w:color="auto" w:fill="ffffff"/>
        </w:rPr>
        <w:t xml:space="preserve">    公司（单位）名称（加盖CA电子公章）：　        </w:t>
      </w:r>
      <w:r/>
    </w:p>
    <w:p>
      <w:pPr>
        <w:pStyle w:val="747"/>
        <w:ind w:left="0" w:right="0"/>
        <w:jc w:val="center"/>
        <w:spacing w:before="30" w:after="3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shd w:val="clear" w:color="auto" w:fill="ffffff"/>
        </w:rPr>
        <w:t xml:space="preserve">          日期：</w:t>
      </w:r>
      <w:r>
        <w:rPr>
          <w:rFonts w:hint="eastAsia" w:ascii="方正仿宋_GB2312" w:hAnsi="方正仿宋_GB2312" w:eastAsia="方正仿宋_GB2312" w:cs="方正仿宋_GB2312"/>
          <w:sz w:val="28"/>
          <w:szCs w:val="28"/>
        </w:rPr>
        <w:t xml:space="preserve">___年____月____日</w:t>
      </w:r>
      <w:r>
        <w:rPr>
          <w:rFonts w:hint="eastAsia" w:ascii="方正仿宋_GB2312" w:hAnsi="方正仿宋_GB2312" w:eastAsia="方正仿宋_GB2312" w:cs="方正仿宋_GB2312"/>
          <w:sz w:val="28"/>
          <w:szCs w:val="28"/>
          <w:shd w:val="clear" w:color="auto" w:fill="ffffff"/>
        </w:rPr>
        <w:t xml:space="preserve">        </w:t>
      </w:r>
      <w:r/>
    </w:p>
    <w:p>
      <w:pPr>
        <w:pStyle w:val="747"/>
        <w:ind w:left="0" w:right="0"/>
        <w:spacing w:before="30" w:after="3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shd w:val="clear" w:color="auto" w:fill="ffffff"/>
        </w:rPr>
        <w:t xml:space="preserve">__________________</w:t>
      </w:r>
      <w:r/>
    </w:p>
    <w:p>
      <w:pPr>
        <w:pStyle w:val="747"/>
        <w:ind w:left="0" w:right="0"/>
        <w:spacing w:before="30" w:after="3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shd w:val="clear" w:color="auto" w:fill="ffffff"/>
        </w:rPr>
        <w:t xml:space="preserve">1.产品如有型号，请在“产品名称”栏一并填写。</w:t>
      </w:r>
      <w:r/>
    </w:p>
    <w:p>
      <w:pPr>
        <w:pStyle w:val="747"/>
        <w:ind w:left="0" w:right="0"/>
        <w:spacing w:before="30" w:after="3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shd w:val="clear" w:color="auto" w:fill="ffffff"/>
        </w:rPr>
        <w:t xml:space="preserve">2.生产厂名与厂址应与生产厂营业执照载明的相关信息保持一致。</w:t>
      </w:r>
      <w:r/>
    </w:p>
    <w:p>
      <w:pPr>
        <w:pStyle w:val="747"/>
        <w:ind w:left="0" w:right="0"/>
        <w:spacing w:before="30" w:after="3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shd w:val="clear" w:color="auto" w:fill="ffffff"/>
        </w:rPr>
        <w:t xml:space="preserve">3.该产品的中国境内生产的组件成本占比相关要求实施前，“规定比例”栏可不填，下同。</w:t>
      </w:r>
      <w:r/>
    </w:p>
    <w:p>
      <w:pPr>
        <w:pStyle w:val="747"/>
        <w:ind w:left="0" w:right="0"/>
        <w:spacing w:before="30" w:after="30"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shd w:val="clear" w:color="auto" w:fill="ffffff"/>
        </w:rPr>
        <w:t xml:space="preserve">4.该产品的关键组件要求实施前，“关键组件”栏可不填，下同。</w:t>
      </w:r>
      <w:r/>
    </w:p>
    <w:p>
      <w:pPr>
        <w:pStyle w:val="747"/>
        <w:ind w:left="0" w:right="0"/>
        <w:spacing w:before="30" w:after="30" w:line="400" w:lineRule="exact"/>
        <w:rPr>
          <w:rFonts w:hint="eastAsia" w:ascii="方正仿宋_GB2312" w:hAnsi="方正仿宋_GB2312" w:eastAsia="方正仿宋_GB2312" w:cs="方正仿宋_GB2312"/>
          <w:sz w:val="28"/>
          <w:szCs w:val="28"/>
          <w:shd w:val="clear" w:color="auto" w:fill="ffffff"/>
        </w:rPr>
      </w:pPr>
      <w:r>
        <w:rPr>
          <w:rFonts w:hint="eastAsia" w:ascii="方正仿宋_GB2312" w:hAnsi="方正仿宋_GB2312" w:eastAsia="方正仿宋_GB2312" w:cs="方正仿宋_GB2312"/>
          <w:sz w:val="28"/>
          <w:szCs w:val="28"/>
          <w:shd w:val="clear" w:color="auto" w:fill="ffffff"/>
        </w:rPr>
        <w:t xml:space="preserve">5.该产品的关键工序要求实施前，“关键工序”栏可不填，下同。</w:t>
      </w:r>
      <w:r/>
    </w:p>
    <w:p>
      <w:pPr>
        <w:pStyle w:val="747"/>
        <w:ind w:left="0" w:right="0"/>
        <w:spacing w:before="30" w:after="30" w:line="400" w:lineRule="exact"/>
        <w:rPr>
          <w:rFonts w:hint="eastAsia" w:ascii="方正仿宋_GB2312" w:hAnsi="方正仿宋_GB2312" w:eastAsia="方正仿宋_GB2312" w:cs="方正仿宋_GB2312"/>
          <w:sz w:val="28"/>
          <w:szCs w:val="28"/>
          <w:shd w:val="clear" w:color="auto" w:fill="ffffff"/>
        </w:rPr>
      </w:pPr>
      <w:r>
        <w:rPr>
          <w:rFonts w:hint="eastAsia" w:ascii="方正仿宋_GB2312" w:hAnsi="方正仿宋_GB2312" w:eastAsia="方正仿宋_GB2312" w:cs="方正仿宋_GB2312"/>
          <w:sz w:val="28"/>
          <w:szCs w:val="28"/>
          <w:shd w:val="clear" w:color="auto" w:fill="ffffff"/>
        </w:rPr>
        <w:t xml:space="preserve">6.《声明函》中标注“</w:t>
      </w:r>
      <w:r>
        <w:rPr>
          <w:rFonts w:hint="eastAsia" w:ascii="方正仿宋_GB2312" w:hAnsi="方正仿宋_GB2312" w:eastAsia="方正仿宋_GB2312" w:cs="方正仿宋_GB2312"/>
          <w:sz w:val="28"/>
          <w:szCs w:val="28"/>
          <w:u w:val="single"/>
          <w:shd w:val="clear" w:color="auto" w:fill="ffffff"/>
        </w:rPr>
        <w:t xml:space="preserve">  </w:t>
      </w:r>
      <w:r>
        <w:rPr>
          <w:rStyle w:val="692"/>
          <w:rFonts w:hint="eastAsia" w:ascii="方正仿宋_GB2312" w:hAnsi="方正仿宋_GB2312" w:eastAsia="方正仿宋_GB2312" w:cs="方正仿宋_GB2312"/>
          <w:i w:val="0"/>
          <w:sz w:val="28"/>
          <w:szCs w:val="28"/>
          <w:u w:val="single"/>
          <w:shd w:val="clear" w:color="auto" w:fill="ffffff"/>
        </w:rPr>
        <w:t xml:space="preserve">/  </w:t>
      </w:r>
      <w:r>
        <w:rPr>
          <w:rFonts w:hint="eastAsia" w:ascii="方正仿宋_GB2312" w:hAnsi="方正仿宋_GB2312" w:eastAsia="方正仿宋_GB2312" w:cs="方正仿宋_GB2312"/>
          <w:sz w:val="28"/>
          <w:szCs w:val="28"/>
          <w:shd w:val="clear" w:color="auto" w:fill="ffffff"/>
        </w:rPr>
        <w:t xml:space="preserve">”的地方无需填写。</w:t>
      </w:r>
      <w:r/>
    </w:p>
    <w:p>
      <w:pPr>
        <w:spacing w:line="400" w:lineRule="exact"/>
        <w:rPr>
          <w:rFonts w:hint="eastAsia" w:ascii="方正仿宋_GB2312" w:hAnsi="方正仿宋_GB2312" w:eastAsia="方正仿宋_GB2312" w:cs="方正仿宋_GB2312"/>
          <w:bCs/>
          <w:color w:val="ff0000"/>
          <w:sz w:val="28"/>
          <w:szCs w:val="28"/>
          <w:shd w:val="clear" w:color="auto" w:fill="ffffff"/>
        </w:rPr>
      </w:pPr>
      <w:r>
        <w:rPr>
          <w:rFonts w:hint="eastAsia" w:ascii="方正仿宋_GB2312" w:hAnsi="方正仿宋_GB2312" w:eastAsia="方正仿宋_GB2312" w:cs="方正仿宋_GB2312"/>
          <w:bCs/>
          <w:color w:val="ff0000"/>
          <w:sz w:val="28"/>
          <w:szCs w:val="28"/>
          <w:shd w:val="clear" w:color="auto" w:fill="ffffff"/>
        </w:rPr>
      </w:r>
      <w:r/>
    </w:p>
    <w:p>
      <w:pPr>
        <w:spacing w:line="400" w:lineRule="exact"/>
        <w:rPr>
          <w:rFonts w:hint="eastAsia" w:ascii="方正仿宋_GB2312" w:hAnsi="方正仿宋_GB2312" w:eastAsia="方正仿宋_GB2312" w:cs="方正仿宋_GB2312"/>
          <w:bCs/>
          <w:color w:val="ff0000"/>
          <w:sz w:val="28"/>
          <w:szCs w:val="28"/>
        </w:rPr>
      </w:pPr>
      <w:r>
        <w:rPr>
          <w:rFonts w:hint="eastAsia" w:ascii="方正仿宋_GB2312" w:hAnsi="方正仿宋_GB2312" w:eastAsia="方正仿宋_GB2312" w:cs="方正仿宋_GB2312"/>
          <w:bCs/>
          <w:color w:val="ff0000"/>
          <w:sz w:val="28"/>
          <w:szCs w:val="28"/>
        </w:rPr>
      </w:r>
      <w:r/>
    </w:p>
    <w:p>
      <w:pPr>
        <w:spacing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r>
      <w:r/>
    </w:p>
    <w:p>
      <w:pPr>
        <w:spacing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r>
      <w:r/>
    </w:p>
    <w:p>
      <w:pPr>
        <w:spacing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r>
      <w:r/>
    </w:p>
    <w:p>
      <w:pPr>
        <w:spacing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r>
      <w:r/>
    </w:p>
    <w:p>
      <w:pPr>
        <w:jc w:val="center"/>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jc w:val="center"/>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附件14   提供服务的人员均为订立劳动合同的从业人员的书面声明</w:t>
      </w:r>
      <w:r/>
    </w:p>
    <w:p>
      <w:pPr>
        <w:ind w:firstLine="392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（采购包号：XX）</w:t>
      </w:r>
      <w:r/>
    </w:p>
    <w:p>
      <w:pPr>
        <w:pStyle w:val="687"/>
        <w:ind w:right="0" w:firstLine="560"/>
        <w:keepLines w:val="0"/>
        <w:keepNext w:val="0"/>
        <w:pageBreakBefore w:val="0"/>
        <w:spacing w:before="30" w:beforeAutospacing="0" w:after="30" w:afterAutospacing="0" w:line="400" w:lineRule="exact"/>
        <w:shd w:val="clear" w:color="auto" w:fill="auto"/>
        <w:widowControl/>
        <w:rPr>
          <w:rFonts w:hint="default" w:ascii="方正仿宋_GBK" w:hAnsi="方正仿宋_GBK" w:eastAsia="方正仿宋_GBK" w:cs="方正仿宋_GBK"/>
          <w:i w:val="0"/>
          <w:iCs w:val="0"/>
          <w:caps w:val="0"/>
          <w:color w:val="auto"/>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本企业（本联合体，如项目采购包接受联合体参加的）</w:t>
      </w:r>
      <w:r>
        <w:rPr>
          <w:rFonts w:hint="default" w:ascii="方正仿宋_GBK" w:hAnsi="方正仿宋_GBK" w:eastAsia="方正仿宋_GBK" w:cs="方正仿宋_GBK"/>
          <w:i w:val="0"/>
          <w:iCs w:val="0"/>
          <w:caps w:val="0"/>
          <w:color w:val="auto"/>
          <w:spacing w:val="0"/>
          <w:sz w:val="28"/>
          <w:szCs w:val="28"/>
          <w:shd w:val="clear" w:color="auto" w:fill="ffffff"/>
          <w:lang w:val="en-US" w:eastAsia="zh-CN"/>
        </w:rPr>
        <w:t xml:space="preserve">参加江苏省政府采购中心组织的项目编号为JSZC-320000-SCZX-</w:t>
      </w: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G（C、T、K）</w:t>
      </w:r>
      <w:r>
        <w:rPr>
          <w:rFonts w:hint="default" w:ascii="方正仿宋_GBK" w:hAnsi="方正仿宋_GBK" w:eastAsia="方正仿宋_GBK" w:cs="方正仿宋_GBK"/>
          <w:i w:val="0"/>
          <w:iCs w:val="0"/>
          <w:caps w:val="0"/>
          <w:color w:val="auto"/>
          <w:spacing w:val="0"/>
          <w:sz w:val="28"/>
          <w:szCs w:val="28"/>
          <w:shd w:val="clear" w:color="auto" w:fill="ffffff"/>
          <w:lang w:val="en-US" w:eastAsia="zh-CN"/>
        </w:rPr>
        <w:t xml:space="preserve">20XX-XXXX，XXXX（项目名称）（采购包号：XX）项目采购活动</w:t>
      </w: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，根据</w:t>
      </w:r>
      <w:r>
        <w:rPr>
          <w:rFonts w:hint="default" w:ascii="方正仿宋_GBK" w:hAnsi="方正仿宋_GBK" w:eastAsia="方正仿宋_GBK" w:cs="方正仿宋_GBK"/>
          <w:i w:val="0"/>
          <w:iCs w:val="0"/>
          <w:caps w:val="0"/>
          <w:color w:val="auto"/>
          <w:spacing w:val="0"/>
          <w:sz w:val="28"/>
          <w:szCs w:val="28"/>
          <w:shd w:val="clear" w:color="auto" w:fill="ffffff"/>
          <w:lang w:val="en-US" w:eastAsia="zh-CN"/>
        </w:rPr>
        <w:t xml:space="preserve">《政府采购促进中小企业发展管理办法》</w:t>
      </w: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第四条规定</w:t>
      </w:r>
      <w:r>
        <w:rPr>
          <w:rFonts w:hint="default" w:ascii="方正仿宋_GBK" w:hAnsi="方正仿宋_GBK" w:eastAsia="方正仿宋_GBK" w:cs="方正仿宋_GBK"/>
          <w:i w:val="0"/>
          <w:iCs w:val="0"/>
          <w:caps w:val="0"/>
          <w:color w:val="auto"/>
          <w:spacing w:val="0"/>
          <w:sz w:val="28"/>
          <w:szCs w:val="28"/>
          <w:shd w:val="clear" w:color="auto" w:fill="ffffff"/>
          <w:lang w:val="en-US" w:eastAsia="zh-CN"/>
        </w:rPr>
        <w:t xml:space="preserve">，</w:t>
      </w: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本企业（本联合体，如项目采购包接受联合体参加的）</w:t>
      </w:r>
      <w:r>
        <w:rPr>
          <w:rFonts w:hint="default" w:ascii="方正仿宋_GBK" w:hAnsi="方正仿宋_GBK" w:eastAsia="方正仿宋_GBK" w:cs="方正仿宋_GBK"/>
          <w:i w:val="0"/>
          <w:iCs w:val="0"/>
          <w:caps w:val="0"/>
          <w:color w:val="auto"/>
          <w:spacing w:val="0"/>
          <w:sz w:val="28"/>
          <w:szCs w:val="28"/>
          <w:shd w:val="clear" w:color="auto" w:fill="ffffff"/>
          <w:lang w:val="en-US" w:eastAsia="zh-CN"/>
        </w:rPr>
        <w:t xml:space="preserve">郑重声明</w:t>
      </w: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：如服务由本企业（本联合体，如项目采购包接受联合体参加的）承接，为本项目采购包提供服务的人员均为依照《中华人民共和国劳动合同法》订立劳动合同的从业人员。</w:t>
      </w:r>
      <w:r/>
    </w:p>
    <w:p>
      <w:pPr>
        <w:pStyle w:val="687"/>
        <w:ind w:right="0" w:firstLine="560"/>
        <w:keepLines w:val="0"/>
        <w:keepNext w:val="0"/>
        <w:pageBreakBefore w:val="0"/>
        <w:spacing w:before="30" w:beforeAutospacing="0" w:after="30" w:afterAutospacing="0" w:line="400" w:lineRule="exact"/>
        <w:shd w:val="clear" w:color="auto" w:fill="auto"/>
        <w:widowControl/>
        <w:rPr>
          <w:rFonts w:hint="default"/>
          <w:lang w:val="en-US" w:eastAsia="zh-CN"/>
        </w:rPr>
        <w:pBdr>
          <w:top w:val="none" w:color="auto" w:sz="0" w:space="0"/>
          <w:left w:val="none" w:color="auto" w:sz="0" w:space="0"/>
          <w:bottom w:val="none" w:color="auto" w:sz="0" w:space="0"/>
          <w:right w:val="none" w:color="auto" w:sz="0" w:space="0"/>
        </w:pBdr>
        <w:suppressLineNumbers w:val="0"/>
      </w:pPr>
      <w:r>
        <w:rPr>
          <w:rFonts w:hint="default" w:ascii="方正仿宋_GBK" w:hAnsi="方正仿宋_GBK" w:eastAsia="方正仿宋_GBK" w:cs="方正仿宋_GBK"/>
          <w:i w:val="0"/>
          <w:iCs w:val="0"/>
          <w:caps w:val="0"/>
          <w:color w:val="auto"/>
          <w:spacing w:val="0"/>
          <w:sz w:val="28"/>
          <w:szCs w:val="28"/>
          <w:shd w:val="clear" w:color="auto" w:fill="ffffff"/>
          <w:lang w:val="en-US" w:eastAsia="zh-CN"/>
        </w:rPr>
        <w:t xml:space="preserve">本</w:t>
      </w: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企业（联合体）</w:t>
      </w:r>
      <w:r>
        <w:rPr>
          <w:rFonts w:hint="default" w:ascii="方正仿宋_GBK" w:hAnsi="方正仿宋_GBK" w:eastAsia="方正仿宋_GBK" w:cs="方正仿宋_GBK"/>
          <w:i w:val="0"/>
          <w:iCs w:val="0"/>
          <w:caps w:val="0"/>
          <w:color w:val="auto"/>
          <w:spacing w:val="0"/>
          <w:sz w:val="28"/>
          <w:szCs w:val="28"/>
          <w:shd w:val="clear" w:color="auto" w:fill="ffffff"/>
          <w:lang w:val="en-US" w:eastAsia="zh-CN"/>
        </w:rPr>
        <w:t xml:space="preserve">对上述声明的真实性负责。如有虚假，将依法承担相应责任。</w:t>
      </w:r>
      <w:r/>
    </w:p>
    <w:p>
      <w:pPr>
        <w:jc w:val="center"/>
        <w:spacing w:line="400" w:lineRule="exact"/>
        <w:rPr>
          <w:rFonts w:hint="eastAsia" w:ascii="黑体" w:hAnsi="黑体" w:eastAsia="黑体"/>
          <w:b/>
          <w:color w:val="auto"/>
          <w:sz w:val="28"/>
          <w:szCs w:val="28"/>
        </w:rPr>
      </w:pPr>
      <w:r>
        <w:rPr>
          <w:rFonts w:hint="eastAsia" w:ascii="方正黑体_GBK" w:hAnsi="方正黑体_GBK" w:eastAsia="方正黑体_GBK" w:cs="方正黑体_GBK"/>
          <w:b/>
          <w:bCs/>
          <w:i w:val="0"/>
          <w:iCs w:val="0"/>
          <w:caps w:val="0"/>
          <w:color w:val="333333"/>
          <w:spacing w:val="0"/>
          <w:sz w:val="32"/>
          <w:szCs w:val="32"/>
          <w:lang w:val="en-US" w:eastAsia="zh-CN"/>
        </w:rPr>
        <w:t xml:space="preserve">注：专门面向中小微型企业采购的采购项目采购包，投标人（供应商）未提供该书面声明的，投标（响应）无效。</w:t>
      </w:r>
      <w:r/>
    </w:p>
    <w:p>
      <w:pPr>
        <w:jc w:val="center"/>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pStyle w:val="681"/>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pStyle w:val="681"/>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pStyle w:val="681"/>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pStyle w:val="681"/>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pStyle w:val="681"/>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pStyle w:val="681"/>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sz w:val="28"/>
          <w:szCs w:val="28"/>
        </w:rPr>
      </w:r>
      <w:r>
        <w:rPr>
          <w:rFonts w:hint="eastAsia" w:ascii="方正仿宋_GB2312" w:hAnsi="方正仿宋_GB2312" w:eastAsia="方正仿宋_GB2312" w:cs="方正仿宋_GB2312"/>
          <w:b/>
          <w:sz w:val="28"/>
          <w:szCs w:val="28"/>
        </w:rPr>
      </w:r>
    </w:p>
    <w:p>
      <w:pPr>
        <w:pStyle w:val="681"/>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r>
      <w:r>
        <w:rPr>
          <w:rFonts w:hint="eastAsia" w:ascii="方正仿宋_GB2312" w:hAnsi="方正仿宋_GB2312" w:eastAsia="方正仿宋_GB2312" w:cs="方正仿宋_GB2312"/>
          <w:b/>
          <w:bCs/>
          <w:sz w:val="28"/>
          <w:szCs w:val="28"/>
        </w:rPr>
      </w:r>
    </w:p>
    <w:p>
      <w:pPr>
        <w:pStyle w:val="681"/>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r>
      <w:r>
        <w:rPr>
          <w:rFonts w:hint="eastAsia" w:ascii="方正仿宋_GB2312" w:hAnsi="方正仿宋_GB2312" w:eastAsia="方正仿宋_GB2312" w:cs="方正仿宋_GB2312"/>
          <w:b/>
          <w:bCs/>
          <w:sz w:val="28"/>
          <w:szCs w:val="28"/>
        </w:rPr>
      </w:r>
    </w:p>
    <w:p>
      <w:pPr>
        <w:pStyle w:val="681"/>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sz w:val="28"/>
          <w:szCs w:val="28"/>
        </w:rPr>
      </w:r>
      <w:r/>
    </w:p>
    <w:p>
      <w:pPr>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pStyle w:val="681"/>
        <w:rPr>
          <w:rFonts w:hint="eastAsia"/>
        </w:rPr>
      </w:pPr>
      <w:r>
        <w:rPr>
          <w:rFonts w:hint="eastAsia"/>
        </w:rPr>
      </w:r>
      <w:r/>
    </w:p>
    <w:p>
      <w:pPr>
        <w:ind w:left="0" w:right="0"/>
        <w:jc w:val="center"/>
        <w:spacing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质疑函范本</w:t>
      </w:r>
      <w:r/>
    </w:p>
    <w:p>
      <w:pPr>
        <w:ind w:left="0" w:right="0"/>
        <w:spacing w:before="290" w:after="0"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一、质疑供应商基本信息</w:t>
      </w:r>
      <w:r/>
    </w:p>
    <w:p>
      <w:pPr>
        <w:ind w:left="0" w:right="0"/>
        <w:spacing w:line="400" w:lineRule="exact"/>
        <w:rPr>
          <w:rFonts w:hint="eastAsia" w:ascii="方正仿宋_GB2312" w:hAnsi="方正仿宋_GB2312" w:eastAsia="方正仿宋_GB2312" w:cs="方正仿宋_GB2312"/>
          <w:sz w:val="28"/>
          <w:szCs w:val="28"/>
          <w:u w:val="single"/>
        </w:rPr>
      </w:pPr>
      <w:r>
        <w:rPr>
          <w:rFonts w:hint="eastAsia" w:ascii="方正仿宋_GB2312" w:hAnsi="方正仿宋_GB2312" w:eastAsia="方正仿宋_GB2312" w:cs="方正仿宋_GB2312"/>
          <w:sz w:val="28"/>
          <w:szCs w:val="28"/>
        </w:rPr>
        <w:t xml:space="preserve">质疑供应商：</w:t>
      </w:r>
      <w:r>
        <w:rPr>
          <w:rFonts w:hint="eastAsia" w:ascii="方正仿宋_GB2312" w:hAnsi="方正仿宋_GB2312" w:eastAsia="方正仿宋_GB2312" w:cs="方正仿宋_GB2312"/>
          <w:sz w:val="28"/>
          <w:szCs w:val="28"/>
          <w:u w:val="single"/>
        </w:rPr>
        <w:t xml:space="preserve">                                                              </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地址：</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邮编：</w:t>
      </w:r>
      <w:r>
        <w:rPr>
          <w:rFonts w:hint="eastAsia" w:ascii="方正仿宋_GB2312" w:hAnsi="方正仿宋_GB2312" w:eastAsia="方正仿宋_GB2312" w:cs="方正仿宋_GB2312"/>
          <w:sz w:val="28"/>
          <w:szCs w:val="28"/>
          <w:u w:val="single"/>
        </w:rPr>
        <w:t xml:space="preserve">                                    </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联系人：</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联系电话：</w:t>
      </w:r>
      <w:r>
        <w:rPr>
          <w:rFonts w:hint="eastAsia" w:ascii="方正仿宋_GB2312" w:hAnsi="方正仿宋_GB2312" w:eastAsia="方正仿宋_GB2312" w:cs="方正仿宋_GB2312"/>
          <w:sz w:val="28"/>
          <w:szCs w:val="28"/>
          <w:u w:val="single"/>
        </w:rPr>
        <w:t xml:space="preserve">                                       </w:t>
      </w:r>
      <w:r/>
    </w:p>
    <w:p>
      <w:pPr>
        <w:ind w:left="0" w:right="0"/>
        <w:spacing w:line="400" w:lineRule="exact"/>
        <w:rPr>
          <w:rFonts w:hint="eastAsia" w:ascii="方正仿宋_GB2312" w:hAnsi="方正仿宋_GB2312" w:eastAsia="方正仿宋_GB2312" w:cs="方正仿宋_GB2312"/>
          <w:sz w:val="28"/>
          <w:szCs w:val="28"/>
          <w:u w:val="single"/>
        </w:rPr>
      </w:pPr>
      <w:r>
        <w:rPr>
          <w:rFonts w:hint="eastAsia" w:ascii="方正仿宋_GB2312" w:hAnsi="方正仿宋_GB2312" w:eastAsia="方正仿宋_GB2312" w:cs="方正仿宋_GB2312"/>
          <w:sz w:val="28"/>
          <w:szCs w:val="28"/>
        </w:rPr>
        <w:t xml:space="preserve">授权代表：</w:t>
      </w:r>
      <w:r>
        <w:rPr>
          <w:rFonts w:hint="eastAsia" w:ascii="方正仿宋_GB2312" w:hAnsi="方正仿宋_GB2312" w:eastAsia="方正仿宋_GB2312" w:cs="方正仿宋_GB2312"/>
          <w:sz w:val="28"/>
          <w:szCs w:val="28"/>
          <w:u w:val="single"/>
        </w:rPr>
        <w:t xml:space="preserve">                                                                 </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联系电话：</w:t>
      </w:r>
      <w:r>
        <w:rPr>
          <w:rFonts w:hint="eastAsia" w:ascii="方正仿宋_GB2312" w:hAnsi="方正仿宋_GB2312" w:eastAsia="方正仿宋_GB2312" w:cs="方正仿宋_GB2312"/>
          <w:sz w:val="28"/>
          <w:szCs w:val="28"/>
          <w:u w:val="single"/>
        </w:rPr>
        <w:t xml:space="preserve">                                                                </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地址： </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邮编：</w:t>
      </w:r>
      <w:r>
        <w:rPr>
          <w:rFonts w:hint="eastAsia" w:ascii="方正仿宋_GB2312" w:hAnsi="方正仿宋_GB2312" w:eastAsia="方正仿宋_GB2312" w:cs="方正仿宋_GB2312"/>
          <w:sz w:val="28"/>
          <w:szCs w:val="28"/>
          <w:u w:val="single"/>
        </w:rPr>
        <w:t xml:space="preserve">                                     </w:t>
      </w:r>
      <w:r/>
    </w:p>
    <w:p>
      <w:pPr>
        <w:ind w:left="0" w:right="0"/>
        <w:spacing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二、质疑项目基本情况</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质疑项目的名称：</w:t>
      </w:r>
      <w:r>
        <w:rPr>
          <w:rFonts w:hint="eastAsia" w:ascii="方正仿宋_GB2312" w:hAnsi="方正仿宋_GB2312" w:eastAsia="方正仿宋_GB2312" w:cs="方正仿宋_GB2312"/>
          <w:sz w:val="28"/>
          <w:szCs w:val="28"/>
          <w:u w:val="single"/>
        </w:rPr>
        <w:t xml:space="preserve">                                                          </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质疑项目的编号：</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包号：</w:t>
      </w:r>
      <w:r>
        <w:rPr>
          <w:rFonts w:hint="eastAsia" w:ascii="方正仿宋_GB2312" w:hAnsi="方正仿宋_GB2312" w:eastAsia="方正仿宋_GB2312" w:cs="方正仿宋_GB2312"/>
          <w:sz w:val="28"/>
          <w:szCs w:val="28"/>
          <w:u w:val="single"/>
        </w:rPr>
        <w:t xml:space="preserve">                           </w:t>
      </w:r>
      <w:r/>
    </w:p>
    <w:p>
      <w:pPr>
        <w:ind w:left="0" w:right="0"/>
        <w:spacing w:line="400" w:lineRule="exact"/>
        <w:rPr>
          <w:rFonts w:hint="eastAsia" w:ascii="方正仿宋_GB2312" w:hAnsi="方正仿宋_GB2312" w:eastAsia="方正仿宋_GB2312" w:cs="方正仿宋_GB2312"/>
          <w:sz w:val="28"/>
          <w:szCs w:val="28"/>
          <w:u w:val="single"/>
        </w:rPr>
      </w:pPr>
      <w:r>
        <w:rPr>
          <w:rFonts w:hint="eastAsia" w:ascii="方正仿宋_GB2312" w:hAnsi="方正仿宋_GB2312" w:eastAsia="方正仿宋_GB2312" w:cs="方正仿宋_GB2312"/>
          <w:sz w:val="28"/>
          <w:szCs w:val="28"/>
        </w:rPr>
        <w:t xml:space="preserve">采购人名称：</w:t>
      </w:r>
      <w:r>
        <w:rPr>
          <w:rFonts w:hint="eastAsia" w:ascii="方正仿宋_GB2312" w:hAnsi="方正仿宋_GB2312" w:eastAsia="方正仿宋_GB2312" w:cs="方正仿宋_GB2312"/>
          <w:sz w:val="28"/>
          <w:szCs w:val="28"/>
          <w:u w:val="single"/>
        </w:rPr>
        <w:t xml:space="preserve">                                                              </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采购文件获取日期：</w:t>
      </w:r>
      <w:r>
        <w:rPr>
          <w:rFonts w:hint="eastAsia" w:ascii="方正仿宋_GB2312" w:hAnsi="方正仿宋_GB2312" w:eastAsia="方正仿宋_GB2312" w:cs="方正仿宋_GB2312"/>
          <w:sz w:val="28"/>
          <w:szCs w:val="28"/>
          <w:u w:val="single"/>
        </w:rPr>
        <w:t xml:space="preserve">                                                        </w:t>
      </w:r>
      <w:r/>
    </w:p>
    <w:p>
      <w:pPr>
        <w:ind w:left="0" w:right="0"/>
        <w:spacing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三、质疑事项具体内容</w:t>
      </w:r>
      <w:r/>
    </w:p>
    <w:p>
      <w:pPr>
        <w:ind w:left="0" w:right="0"/>
        <w:spacing w:line="400" w:lineRule="exact"/>
        <w:rPr>
          <w:rFonts w:hint="eastAsia" w:ascii="方正仿宋_GB2312" w:hAnsi="方正仿宋_GB2312" w:eastAsia="方正仿宋_GB2312" w:cs="方正仿宋_GB2312"/>
          <w:sz w:val="28"/>
          <w:szCs w:val="28"/>
          <w:u w:val="single"/>
        </w:rPr>
      </w:pPr>
      <w:r>
        <w:rPr>
          <w:rFonts w:hint="eastAsia" w:ascii="方正仿宋_GB2312" w:hAnsi="方正仿宋_GB2312" w:eastAsia="方正仿宋_GB2312" w:cs="方正仿宋_GB2312"/>
          <w:sz w:val="28"/>
          <w:szCs w:val="28"/>
        </w:rPr>
        <w:t xml:space="preserve">质疑事项1：</w:t>
      </w:r>
      <w:r>
        <w:rPr>
          <w:rFonts w:hint="eastAsia" w:ascii="方正仿宋_GB2312" w:hAnsi="方正仿宋_GB2312" w:eastAsia="方正仿宋_GB2312" w:cs="方正仿宋_GB2312"/>
          <w:sz w:val="28"/>
          <w:szCs w:val="28"/>
          <w:u w:val="single"/>
        </w:rPr>
        <w:t xml:space="preserve">                                                              </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事实依据：</w:t>
      </w:r>
      <w:r>
        <w:rPr>
          <w:rFonts w:hint="eastAsia" w:ascii="方正仿宋_GB2312" w:hAnsi="方正仿宋_GB2312" w:eastAsia="方正仿宋_GB2312" w:cs="方正仿宋_GB2312"/>
          <w:sz w:val="28"/>
          <w:szCs w:val="28"/>
          <w:u w:val="single"/>
        </w:rPr>
        <w:t xml:space="preserve">                                                                </w:t>
      </w:r>
      <w:r/>
    </w:p>
    <w:p>
      <w:pPr>
        <w:ind w:left="0" w:right="0"/>
        <w:spacing w:line="400" w:lineRule="exact"/>
        <w:rPr>
          <w:rFonts w:hint="eastAsia" w:ascii="方正仿宋_GB2312" w:hAnsi="方正仿宋_GB2312" w:eastAsia="方正仿宋_GB2312" w:cs="方正仿宋_GB2312"/>
          <w:sz w:val="28"/>
          <w:szCs w:val="28"/>
          <w:u w:val="single"/>
        </w:rPr>
      </w:pPr>
      <w:r>
        <w:rPr>
          <w:rFonts w:hint="eastAsia" w:ascii="方正仿宋_GB2312" w:hAnsi="方正仿宋_GB2312" w:eastAsia="方正仿宋_GB2312" w:cs="方正仿宋_GB2312"/>
          <w:sz w:val="28"/>
          <w:szCs w:val="28"/>
        </w:rPr>
        <w:t xml:space="preserve">法律依据：</w:t>
      </w:r>
      <w:r>
        <w:rPr>
          <w:rFonts w:hint="eastAsia" w:ascii="方正仿宋_GB2312" w:hAnsi="方正仿宋_GB2312" w:eastAsia="方正仿宋_GB2312" w:cs="方正仿宋_GB2312"/>
          <w:sz w:val="28"/>
          <w:szCs w:val="28"/>
          <w:u w:val="single"/>
        </w:rPr>
        <w:t xml:space="preserve">                                                                 </w:t>
      </w:r>
      <w:r/>
    </w:p>
    <w:p>
      <w:pPr>
        <w:ind w:left="0" w:right="0"/>
        <w:spacing w:line="400" w:lineRule="exact"/>
        <w:rPr>
          <w:rFonts w:hint="eastAsia" w:ascii="方正仿宋_GB2312" w:hAnsi="方正仿宋_GB2312" w:eastAsia="方正仿宋_GB2312" w:cs="方正仿宋_GB2312"/>
          <w:sz w:val="28"/>
          <w:szCs w:val="28"/>
          <w:u w:val="single"/>
        </w:rPr>
      </w:pPr>
      <w:r>
        <w:rPr>
          <w:rFonts w:hint="eastAsia" w:ascii="方正仿宋_GB2312" w:hAnsi="方正仿宋_GB2312" w:eastAsia="方正仿宋_GB2312" w:cs="方正仿宋_GB2312"/>
          <w:sz w:val="28"/>
          <w:szCs w:val="28"/>
        </w:rPr>
        <w:t xml:space="preserve">质疑事项2</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w:t>
      </w:r>
      <w:r/>
    </w:p>
    <w:p>
      <w:pPr>
        <w:ind w:left="0" w:right="0"/>
        <w:spacing w:line="40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四、与质疑事项相关的质疑请求</w:t>
      </w:r>
      <w:r/>
    </w:p>
    <w:p>
      <w:pPr>
        <w:ind w:left="0" w:right="0"/>
        <w:spacing w:line="400" w:lineRule="exact"/>
        <w:rPr>
          <w:rFonts w:hint="eastAsia" w:ascii="方正仿宋_GB2312" w:hAnsi="方正仿宋_GB2312" w:eastAsia="方正仿宋_GB2312" w:cs="方正仿宋_GB2312"/>
          <w:sz w:val="28"/>
          <w:szCs w:val="28"/>
          <w:u w:val="single"/>
        </w:rPr>
      </w:pPr>
      <w:r>
        <w:rPr>
          <w:rFonts w:hint="eastAsia" w:ascii="方正仿宋_GB2312" w:hAnsi="方正仿宋_GB2312" w:eastAsia="方正仿宋_GB2312" w:cs="方正仿宋_GB2312"/>
          <w:sz w:val="28"/>
          <w:szCs w:val="28"/>
        </w:rPr>
        <w:t xml:space="preserve">请求：</w:t>
      </w:r>
      <w:r>
        <w:rPr>
          <w:rFonts w:hint="eastAsia" w:ascii="方正仿宋_GB2312" w:hAnsi="方正仿宋_GB2312" w:eastAsia="方正仿宋_GB2312" w:cs="方正仿宋_GB2312"/>
          <w:sz w:val="28"/>
          <w:szCs w:val="28"/>
          <w:u w:val="single"/>
        </w:rPr>
        <w:t xml:space="preserve">                                                                     </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签字(签章)：                   公章：                      </w:t>
      </w:r>
      <w:r/>
    </w:p>
    <w:p>
      <w:pPr>
        <w:ind w:left="0" w:right="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日期：    </w:t>
      </w:r>
      <w:r/>
    </w:p>
    <w:p>
      <w:pPr>
        <w:ind w:left="0" w:right="0"/>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t xml:space="preserve">质疑函制作说明：</w:t>
      </w:r>
      <w:r/>
    </w:p>
    <w:p>
      <w:pPr>
        <w:ind w:left="0" w:right="0"/>
        <w:jc w:val="left"/>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1.供应商提出质疑时，应提交质疑函和必要的证明材料。</w:t>
      </w:r>
      <w:r/>
    </w:p>
    <w:p>
      <w:pPr>
        <w:ind w:left="0" w:right="0"/>
        <w:jc w:val="left"/>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2.质疑供应商若委托代理人进行质疑的，质疑函应按要求列明“授权代表”的有关内容，并在附件中提交由质疑</w:t>
      </w:r>
      <w:r>
        <w:rPr>
          <w:rFonts w:hint="eastAsia" w:ascii="方正仿宋_GB2312" w:hAnsi="方正仿宋_GB2312" w:eastAsia="方正仿宋_GB2312" w:cs="方正仿宋_GB2312"/>
          <w:sz w:val="28"/>
          <w:szCs w:val="28"/>
        </w:rPr>
        <w:t xml:space="preserve">供应商签署的授权委托书。授权委托书应载明代理人的姓名或者名称、代理事项、具体权限、期限和相关事项。</w:t>
      </w:r>
      <w:r/>
    </w:p>
    <w:p>
      <w:pPr>
        <w:ind w:left="0" w:right="0"/>
        <w:jc w:val="left"/>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3.质疑供应商若对项目的某一采购包进行质疑，质疑函中应列明具体采购包号。</w:t>
      </w:r>
      <w:r/>
    </w:p>
    <w:p>
      <w:pPr>
        <w:ind w:left="0" w:right="0"/>
        <w:jc w:val="left"/>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4.质疑函的质疑事项应具体、明确，并有必要的事实依据和法律依据。</w:t>
      </w:r>
      <w:r/>
    </w:p>
    <w:p>
      <w:pPr>
        <w:ind w:left="0" w:right="0"/>
        <w:jc w:val="left"/>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5.质疑函的质疑请求应与质疑事项相关。</w:t>
      </w:r>
      <w:r/>
    </w:p>
    <w:p>
      <w:pPr>
        <w:ind w:left="0" w:right="0"/>
        <w:jc w:val="left"/>
        <w:spacing w:line="400" w:lineRule="exact"/>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669"/>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669"/>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sectPr>
      <w:headerReference w:type="default" r:id="rId9"/>
      <w:footerReference w:type="default" r:id="rId10"/>
      <w:footnotePr/>
      <w:endnotePr/>
      <w:type w:val="nextPage"/>
      <w:pgSz w:w="11906" w:h="16838" w:orient="portrait"/>
      <w:pgMar w:top="1418" w:right="1588"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erif CJK SC">
    <w:panose1 w:val="020B0503020202020204"/>
  </w:font>
  <w:font w:name="Symbol">
    <w:panose1 w:val="05050102010706020507"/>
  </w:font>
  <w:font w:name="方正小标宋_GBK;微软雅黑">
    <w:panose1 w:val="020B0503020202020204"/>
  </w:font>
  <w:font w:name="Tahoma">
    <w:panose1 w:val="020B0604030504040204"/>
  </w:font>
  <w:font w:name="Wingdings">
    <w:panose1 w:val="05000000000000000000"/>
  </w:font>
  <w:font w:name="Liberation Sans">
    <w:panose1 w:val="020B0604020202020204"/>
  </w:font>
  <w:font w:name="方正黑体_GBK">
    <w:panose1 w:val="020B0503020202020204"/>
  </w:font>
  <w:font w:name="方正仿宋_GBK">
    <w:panose1 w:val="020B0503020202020204"/>
  </w:font>
  <w:font w:name="Calibri">
    <w:panose1 w:val="020F0502020204030204"/>
  </w:font>
  <w:font w:name="仿宋_GB2312;仿宋">
    <w:panose1 w:val="02010609060101010101"/>
  </w:font>
  <w:font w:name="Courier New">
    <w:panose1 w:val="02070309020205020404"/>
  </w:font>
  <w:font w:name="Wingdings 2;Wingdings">
    <w:panose1 w:val="05020102010507070707"/>
  </w:font>
  <w:font w:name="Verdana">
    <w:panose1 w:val="020B0604030504040204"/>
  </w:font>
  <w:font w:name="方正黑体_GBK;微软雅黑">
    <w:panose1 w:val="020B0503020202020204"/>
  </w:font>
  <w:font w:name="黑体">
    <w:panose1 w:val="02010609060101010101"/>
  </w:font>
  <w:font w:name="幼圆;宋体">
    <w:panose1 w:val="02010509060101010101"/>
  </w:font>
  <w:font w:name="方正仿宋_GB2312">
    <w:panose1 w:val="020B0503020202020204"/>
  </w:font>
  <w:font w:name="楷体_GB2312;楷体">
    <w:panose1 w:val="02010609060101010101"/>
  </w:font>
  <w:font w:name="Arial Unicode MS;宋体">
    <w:panose1 w:val="020B0604020202020204"/>
  </w:font>
  <w:font w:name="宋体">
    <w:panose1 w:val="02010600030101010101"/>
  </w:font>
  <w:font w:name="Times New Roman">
    <w:panose1 w:val="02020603050405020304"/>
  </w:font>
  <w:font w:name="Arial">
    <w:panose1 w:val="020B0604020202020204"/>
  </w:font>
  <w:font w:name="Noto Sans">
    <w:panose1 w:val="020B0502040504020204"/>
  </w:font>
  <w:font w:name="Liberation Serif">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9"/>
      <w:jc w:val="center"/>
      <w:rPr>
        <w:b/>
        <w:i/>
        <w:sz w:val="20"/>
      </w:rPr>
    </w:pPr>
    <w:r>
      <w:rPr>
        <w:rFonts w:ascii="Noto Serif CJK SC" w:hAnsi="Noto Serif CJK SC" w:eastAsia="Noto Serif CJK SC"/>
        <w:b/>
        <w:i/>
        <w:sz w:val="20"/>
      </w:rPr>
      <w:t xml:space="preserve"> </w:t>
    </w:r>
    <w:r>
      <w:rPr>
        <w:rFonts w:ascii="Noto Serif CJK SC" w:hAnsi="Noto Serif CJK SC" w:eastAsia="Noto Serif CJK SC"/>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1" locked="0" layoutInCell="0" allowOverlap="1">
              <wp:simplePos x="0" y="0"/>
              <wp:positionH relativeFrom="margin">
                <wp:align>center</wp:align>
              </wp:positionH>
              <wp:positionV relativeFrom="paragraph">
                <wp:posOffset>635</wp:posOffset>
              </wp:positionV>
              <wp:extent cx="865505" cy="243205"/>
              <wp:effectExtent l="0" t="0" r="0" b="0"/>
              <wp:wrapNone/>
              <wp:docPr id="1" name="Frame2"/>
              <wp:cNvGraphicFramePr/>
              <a:graphic xmlns:a="http://schemas.openxmlformats.org/drawingml/2006/main">
                <a:graphicData uri="http://schemas.microsoft.com/office/word/2010/wordprocessingShape">
                  <wps:wsp>
                    <wps:cNvPr id="0" name=""/>
                    <wps:cNvSpPr txBox="1"/>
                    <wps:spPr bwMode="auto">
                      <a:xfrm>
                        <a:off x="0" y="0"/>
                        <a:ext cx="865505" cy="243204"/>
                      </a:xfrm>
                      <a:prstGeom prst="rect">
                        <a:avLst/>
                      </a:prstGeom>
                      <a:solidFill>
                        <a:srgbClr val="FFFFFF">
                          <a:alpha val="0"/>
                        </a:srgbClr>
                      </a:solidFill>
                    </wps:spPr>
                    <wps:txbx>
                      <w:txbxContent>
                        <w:p>
                          <w:pPr>
                            <w:pStyle w:val="679"/>
                          </w:pPr>
                          <w:r>
                            <w:rPr>
                              <w:rFonts w:ascii="宋体" w:hAnsi="宋体" w:cs="宋体"/>
                              <w:sz w:val="28"/>
                            </w:rPr>
                            <w:t xml:space="preserve">—</w:t>
                          </w:r>
                          <w:r>
                            <w:rPr>
                              <w:rFonts w:ascii="宋体" w:hAnsi="宋体" w:cs="宋体"/>
                              <w:sz w:val="24"/>
                            </w:rPr>
                            <w:t xml:space="preserve">　</w:t>
                          </w:r>
                          <w:r>
                            <w:rPr>
                              <w:rFonts w:ascii="宋体" w:hAnsi="宋体" w:cs="宋体"/>
                              <w:sz w:val="28"/>
                            </w:rPr>
                            <w:fldChar w:fldCharType="begin"/>
                          </w:r>
                          <w:r>
                            <w:rPr>
                              <w:rFonts w:ascii="宋体" w:hAnsi="宋体" w:cs="宋体"/>
                              <w:sz w:val="28"/>
                            </w:rPr>
                            <w:instrText xml:space="preserve"> PAGE </w:instrText>
                          </w:r>
                          <w:r>
                            <w:rPr>
                              <w:rFonts w:ascii="宋体" w:hAnsi="宋体" w:cs="宋体"/>
                              <w:sz w:val="28"/>
                            </w:rPr>
                            <w:fldChar w:fldCharType="separate"/>
                          </w:r>
                          <w:r>
                            <w:rPr>
                              <w:rFonts w:ascii="宋体" w:hAnsi="宋体" w:cs="宋体"/>
                              <w:sz w:val="28"/>
                            </w:rPr>
                            <w:t xml:space="preserve">51</w:t>
                          </w:r>
                          <w:r>
                            <w:rPr>
                              <w:rFonts w:ascii="宋体" w:hAnsi="宋体" w:cs="宋体"/>
                              <w:sz w:val="28"/>
                            </w:rPr>
                            <w:fldChar w:fldCharType="end"/>
                          </w:r>
                          <w:r>
                            <w:rPr>
                              <w:rFonts w:ascii="宋体" w:hAnsi="宋体" w:cs="宋体"/>
                              <w:sz w:val="24"/>
                            </w:rPr>
                            <w:t xml:space="preserve">　</w:t>
                          </w:r>
                          <w:r>
                            <w:rPr>
                              <w:rFonts w:ascii="宋体" w:hAnsi="宋体" w:cs="宋体"/>
                              <w:sz w:val="28"/>
                            </w:rPr>
                            <w:t xml:space="preserve">—</w:t>
                          </w:r>
                          <w:r/>
                        </w:p>
                      </w:txbxContent>
                    </wps:txbx>
                    <wps:bodyPr lIns="635" tIns="635" rIns="635" bIns="635" anchor="t">
                      <a:spAutoFit/>
                    </wps:bodyPr>
                  </wps:wsp>
                </a:graphicData>
              </a:graphic>
            </wp:anchor>
          </w:drawing>
        </mc:Choice>
        <mc:Fallback>
          <w:pict>
            <v:shape id="shape 0" o:spid="_x0000_s0" o:spt="202" type="#_x0000_t202" style="position:absolute;z-index:-251659264;o:allowoverlap:true;o:allowincell:false;mso-position-horizontal-relative:margin;mso-position-horizontal:center;mso-position-vertical-relative:text;margin-top:0.0pt;mso-position-vertical:absolute;width:68.1pt;height:19.1pt;mso-wrap-distance-left:9.0pt;mso-wrap-distance-top:0.0pt;mso-wrap-distance-right:9.0pt;mso-wrap-distance-bottom:0.0pt;v-text-anchor:top;visibility:visible;" fillcolor="#FFFFFF">
              <v:fill opacity="100f"/>
              <v:textbox inset="0,0,0,0">
                <w:txbxContent>
                  <w:p>
                    <w:pPr>
                      <w:pStyle w:val="679"/>
                    </w:pPr>
                    <w:r>
                      <w:rPr>
                        <w:rFonts w:ascii="宋体" w:hAnsi="宋体" w:cs="宋体"/>
                        <w:sz w:val="28"/>
                      </w:rPr>
                      <w:t xml:space="preserve">—</w:t>
                    </w:r>
                    <w:r>
                      <w:rPr>
                        <w:rFonts w:ascii="宋体" w:hAnsi="宋体" w:cs="宋体"/>
                        <w:sz w:val="24"/>
                      </w:rPr>
                      <w:t xml:space="preserve">　</w:t>
                    </w:r>
                    <w:r>
                      <w:rPr>
                        <w:rFonts w:ascii="宋体" w:hAnsi="宋体" w:cs="宋体"/>
                        <w:sz w:val="28"/>
                      </w:rPr>
                      <w:fldChar w:fldCharType="begin"/>
                    </w:r>
                    <w:r>
                      <w:rPr>
                        <w:rFonts w:ascii="宋体" w:hAnsi="宋体" w:cs="宋体"/>
                        <w:sz w:val="28"/>
                      </w:rPr>
                      <w:instrText xml:space="preserve"> PAGE </w:instrText>
                    </w:r>
                    <w:r>
                      <w:rPr>
                        <w:rFonts w:ascii="宋体" w:hAnsi="宋体" w:cs="宋体"/>
                        <w:sz w:val="28"/>
                      </w:rPr>
                      <w:fldChar w:fldCharType="separate"/>
                    </w:r>
                    <w:r>
                      <w:rPr>
                        <w:rFonts w:ascii="宋体" w:hAnsi="宋体" w:cs="宋体"/>
                        <w:sz w:val="28"/>
                      </w:rPr>
                      <w:t xml:space="preserve">51</w:t>
                    </w:r>
                    <w:r>
                      <w:rPr>
                        <w:rFonts w:ascii="宋体" w:hAnsi="宋体" w:cs="宋体"/>
                        <w:sz w:val="28"/>
                      </w:rPr>
                      <w:fldChar w:fldCharType="end"/>
                    </w:r>
                    <w:r>
                      <w:rPr>
                        <w:rFonts w:ascii="宋体" w:hAnsi="宋体" w:cs="宋体"/>
                        <w:sz w:val="24"/>
                      </w:rPr>
                      <w:t xml:space="preserve">　</w:t>
                    </w:r>
                    <w:r>
                      <w:rPr>
                        <w:rFonts w:ascii="宋体" w:hAnsi="宋体" w:cs="宋体"/>
                        <w:sz w:val="28"/>
                      </w:rPr>
                      <w:t xml:space="preserve">—</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ind w:left="0" w:firstLine="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751"/>
      <w:isLgl w:val="false"/>
      <w:suff w:val="tab"/>
      <w:lvlText w:val="附录%1."/>
      <w:lvlJc w:val="left"/>
      <w:pPr>
        <w:ind w:left="907" w:hanging="907"/>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tabs>
          <w:tab w:val="left" w:pos="0" w:leader="none"/>
        </w:tabs>
      </w:pPr>
      <w:rPr>
        <w:rFonts w:hint="eastAsia"/>
      </w:rPr>
    </w:lvl>
    <w:lvl w:ilvl="1">
      <w:start w:val="1"/>
      <w:numFmt w:val="decimal"/>
      <w:isLgl w:val="false"/>
      <w:suff w:val="nothing"/>
      <w:lvlText w:val="%2、"/>
      <w:lvlJc w:val="left"/>
      <w:pPr>
        <w:ind w:left="0" w:firstLine="0"/>
        <w:tabs>
          <w:tab w:val="left" w:pos="0" w:leader="none"/>
        </w:tabs>
      </w:pPr>
      <w:rPr>
        <w:rFonts w:hint="eastAsia"/>
      </w:rPr>
    </w:lvl>
    <w:lvl w:ilvl="2">
      <w:start w:val="1"/>
      <w:numFmt w:val="decimal"/>
      <w:isLgl w:val="false"/>
      <w:suff w:val="nothing"/>
      <w:lvlText w:val="%2.%3 "/>
      <w:lvlJc w:val="left"/>
      <w:pPr>
        <w:ind w:left="0" w:firstLine="0"/>
        <w:tabs>
          <w:tab w:val="left" w:pos="0" w:leader="none"/>
        </w:tabs>
      </w:pPr>
      <w:rPr>
        <w:rFonts w:hint="eastAsia"/>
      </w:rPr>
    </w:lvl>
    <w:lvl w:ilvl="3">
      <w:start w:val="1"/>
      <w:numFmt w:val="decimal"/>
      <w:isLgl w:val="false"/>
      <w:suff w:val="nothing"/>
      <w:lvlText w:val="%2.%3.%4 "/>
      <w:lvlJc w:val="left"/>
      <w:pPr>
        <w:ind w:left="0" w:firstLine="0"/>
        <w:tabs>
          <w:tab w:val="left" w:pos="0" w:leader="none"/>
        </w:tabs>
      </w:pPr>
      <w:rPr>
        <w:rFonts w:hint="eastAsia"/>
      </w:rPr>
    </w:lvl>
    <w:lvl w:ilvl="4">
      <w:start w:val="1"/>
      <w:numFmt w:val="decimal"/>
      <w:isLgl w:val="false"/>
      <w:suff w:val="nothing"/>
      <w:lvlText w:val="%2.%3.%4.%5 "/>
      <w:lvlJc w:val="left"/>
      <w:pPr>
        <w:ind w:left="0" w:firstLine="0"/>
        <w:tabs>
          <w:tab w:val="left" w:pos="0" w:leader="none"/>
        </w:tabs>
      </w:pPr>
      <w:rPr>
        <w:rFonts w:hint="eastAsia"/>
      </w:rPr>
    </w:lvl>
    <w:lvl w:ilvl="5">
      <w:start w:val="1"/>
      <w:numFmt w:val="none"/>
      <w:pStyle w:val="663"/>
      <w:isLgl w:val="false"/>
      <w:suff w:val="nothing"/>
      <w:lvlText w:val=""/>
      <w:lvlJc w:val="left"/>
      <w:pPr>
        <w:ind w:left="0" w:firstLine="0"/>
        <w:tabs>
          <w:tab w:val="left" w:pos="0" w:leader="none"/>
        </w:tabs>
      </w:pPr>
      <w:rPr>
        <w:rFonts w:hint="eastAsia"/>
      </w:rPr>
    </w:lvl>
    <w:lvl w:ilvl="6">
      <w:start w:val="1"/>
      <w:numFmt w:val="none"/>
      <w:pStyle w:val="664"/>
      <w:isLgl w:val="false"/>
      <w:suff w:val="nothing"/>
      <w:lvlText w:val=""/>
      <w:lvlJc w:val="left"/>
      <w:pPr>
        <w:ind w:left="0" w:firstLine="0"/>
        <w:tabs>
          <w:tab w:val="left" w:pos="0" w:leader="none"/>
        </w:tabs>
      </w:pPr>
      <w:rPr>
        <w:rFonts w:hint="eastAsia"/>
      </w:rPr>
    </w:lvl>
    <w:lvl w:ilvl="7">
      <w:start w:val="1"/>
      <w:numFmt w:val="none"/>
      <w:pStyle w:val="665"/>
      <w:isLgl w:val="false"/>
      <w:suff w:val="nothing"/>
      <w:lvlText w:val=""/>
      <w:lvlJc w:val="left"/>
      <w:pPr>
        <w:ind w:left="0" w:firstLine="0"/>
        <w:tabs>
          <w:tab w:val="left" w:pos="0" w:leader="none"/>
        </w:tabs>
      </w:pPr>
      <w:rPr>
        <w:rFonts w:hint="eastAsia"/>
      </w:rPr>
    </w:lvl>
    <w:lvl w:ilvl="8">
      <w:start w:val="1"/>
      <w:numFmt w:val="none"/>
      <w:pStyle w:val="666"/>
      <w:isLgl w:val="false"/>
      <w:suff w:val="nothing"/>
      <w:lvlText w:val=""/>
      <w:lvlJc w:val="left"/>
      <w:pPr>
        <w:ind w:left="0" w:firstLine="0"/>
        <w:tabs>
          <w:tab w:val="left" w:pos="0" w:leader="none"/>
        </w:tabs>
      </w:pPr>
      <w:rPr>
        <w:rFonts w:hint="eastAsia"/>
      </w:rPr>
    </w:lvl>
  </w:abstractNum>
  <w:abstractNum w:abstractNumId="4">
    <w:multiLevelType w:val="hybridMultilevel"/>
    <w:lvl w:ilvl="0">
      <w:start w:val="1"/>
      <w:numFmt w:val="decimal"/>
      <w:pStyle w:val="767"/>
      <w:isLgl w:val="false"/>
      <w:suff w:val="tab"/>
      <w:lvlText w:val="%1."/>
      <w:lvlJc w:val="left"/>
      <w:pPr>
        <w:ind w:left="709" w:hanging="709"/>
        <w:tabs>
          <w:tab w:val="left" w:pos="0" w:leader="none"/>
        </w:tabs>
      </w:pPr>
      <w:rPr>
        <w:rFonts w:hint="eastAsia"/>
      </w:rPr>
    </w:lvl>
    <w:lvl w:ilvl="1">
      <w:start w:val="1"/>
      <w:numFmt w:val="decimal"/>
      <w:isLgl w:val="false"/>
      <w:suff w:val="tab"/>
      <w:lvlText w:val="%1.%2"/>
      <w:lvlJc w:val="left"/>
      <w:pPr>
        <w:ind w:left="709" w:hanging="709"/>
        <w:tabs>
          <w:tab w:val="left" w:pos="0" w:leader="none"/>
        </w:tabs>
      </w:pPr>
      <w:rPr>
        <w:rFonts w:hint="eastAsia"/>
      </w:rPr>
    </w:lvl>
    <w:lvl w:ilvl="2">
      <w:start w:val="1"/>
      <w:numFmt w:val="decimal"/>
      <w:isLgl w:val="false"/>
      <w:suff w:val="tab"/>
      <w:lvlText w:val="%1.%2.%3."/>
      <w:lvlJc w:val="left"/>
      <w:pPr>
        <w:ind w:left="425" w:hanging="425"/>
        <w:tabs>
          <w:tab w:val="left" w:pos="0" w:leader="none"/>
        </w:tabs>
      </w:pPr>
      <w:rPr>
        <w:rFonts w:hint="eastAsia"/>
      </w:rPr>
    </w:lvl>
    <w:lvl w:ilvl="3">
      <w:start w:val="1"/>
      <w:numFmt w:val="decimal"/>
      <w:isLgl w:val="false"/>
      <w:suff w:val="tab"/>
      <w:lvlText w:val="%1.%2.%3.%4."/>
      <w:lvlJc w:val="left"/>
      <w:pPr>
        <w:ind w:left="851" w:hanging="851"/>
        <w:tabs>
          <w:tab w:val="left" w:pos="0" w:leader="none"/>
        </w:tabs>
      </w:pPr>
      <w:rPr>
        <w:rFonts w:hint="eastAsia"/>
      </w:rPr>
    </w:lvl>
    <w:lvl w:ilvl="4">
      <w:start w:val="1"/>
      <w:numFmt w:val="decimal"/>
      <w:isLgl w:val="false"/>
      <w:suff w:val="tab"/>
      <w:lvlText w:val="%1.%2.%3.%4.%5."/>
      <w:lvlJc w:val="left"/>
      <w:pPr>
        <w:ind w:left="992" w:hanging="992"/>
        <w:tabs>
          <w:tab w:val="left" w:pos="0" w:leader="none"/>
        </w:tabs>
      </w:pPr>
      <w:rPr>
        <w:rFonts w:hint="eastAsia"/>
      </w:rPr>
    </w:lvl>
    <w:lvl w:ilvl="5">
      <w:start w:val="1"/>
      <w:numFmt w:val="decimal"/>
      <w:isLgl w:val="false"/>
      <w:suff w:val="tab"/>
      <w:lvlText w:val="%1.%2.%3.%4.%5.%6."/>
      <w:lvlJc w:val="left"/>
      <w:pPr>
        <w:ind w:left="1134" w:hanging="1134"/>
        <w:tabs>
          <w:tab w:val="left" w:pos="0" w:leader="none"/>
        </w:tabs>
      </w:pPr>
      <w:rPr>
        <w:rFonts w:hint="eastAsia"/>
      </w:rPr>
    </w:lvl>
    <w:lvl w:ilvl="6">
      <w:start w:val="1"/>
      <w:numFmt w:val="decimal"/>
      <w:isLgl w:val="false"/>
      <w:suff w:val="tab"/>
      <w:lvlText w:val="%1.%2.%3.%4.%5.%6.%7."/>
      <w:lvlJc w:val="left"/>
      <w:pPr>
        <w:ind w:left="1276" w:hanging="1276"/>
        <w:tabs>
          <w:tab w:val="left" w:pos="0" w:leader="none"/>
        </w:tabs>
      </w:pPr>
      <w:rPr>
        <w:rFonts w:hint="eastAsia"/>
      </w:rPr>
    </w:lvl>
    <w:lvl w:ilvl="7">
      <w:start w:val="1"/>
      <w:numFmt w:val="decimal"/>
      <w:isLgl w:val="false"/>
      <w:suff w:val="tab"/>
      <w:lvlText w:val="%1.%2.%3.%4.%5.%6.%7.%8."/>
      <w:lvlJc w:val="left"/>
      <w:pPr>
        <w:ind w:left="1418" w:hanging="1418"/>
        <w:tabs>
          <w:tab w:val="left" w:pos="0" w:leader="none"/>
        </w:tabs>
      </w:pPr>
      <w:rPr>
        <w:rFonts w:hint="eastAsia"/>
      </w:rPr>
    </w:lvl>
    <w:lvl w:ilvl="8">
      <w:start w:val="1"/>
      <w:numFmt w:val="decimal"/>
      <w:isLgl w:val="false"/>
      <w:suff w:val="tab"/>
      <w:lvlText w:val="%1.%2.%3.%4.%5.%6.%7.%8.%9."/>
      <w:lvlJc w:val="left"/>
      <w:pPr>
        <w:ind w:left="1559" w:hanging="1559"/>
        <w:tabs>
          <w:tab w:val="left" w:pos="0"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Liberation Serif" w:hAnsi="Liberation Serif" w:eastAsia="Noto Sans" w:cs="Noto Sans"/>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7"/>
    <w:link w:val="658"/>
    <w:uiPriority w:val="9"/>
    <w:rPr>
      <w:rFonts w:ascii="Arial" w:hAnsi="Arial" w:eastAsia="Arial" w:cs="Arial"/>
      <w:sz w:val="40"/>
      <w:szCs w:val="40"/>
    </w:rPr>
  </w:style>
  <w:style w:type="character" w:styleId="15">
    <w:name w:val="Heading 2 Char"/>
    <w:basedOn w:val="667"/>
    <w:link w:val="659"/>
    <w:uiPriority w:val="9"/>
    <w:rPr>
      <w:rFonts w:ascii="Arial" w:hAnsi="Arial" w:eastAsia="Arial" w:cs="Arial"/>
      <w:sz w:val="34"/>
    </w:rPr>
  </w:style>
  <w:style w:type="character" w:styleId="17">
    <w:name w:val="Heading 3 Char"/>
    <w:basedOn w:val="667"/>
    <w:link w:val="660"/>
    <w:uiPriority w:val="9"/>
    <w:rPr>
      <w:rFonts w:ascii="Arial" w:hAnsi="Arial" w:eastAsia="Arial" w:cs="Arial"/>
      <w:sz w:val="30"/>
      <w:szCs w:val="30"/>
    </w:rPr>
  </w:style>
  <w:style w:type="character" w:styleId="19">
    <w:name w:val="Heading 4 Char"/>
    <w:basedOn w:val="667"/>
    <w:link w:val="661"/>
    <w:uiPriority w:val="9"/>
    <w:rPr>
      <w:rFonts w:ascii="Arial" w:hAnsi="Arial" w:eastAsia="Arial" w:cs="Arial"/>
      <w:b/>
      <w:bCs/>
      <w:sz w:val="26"/>
      <w:szCs w:val="26"/>
    </w:rPr>
  </w:style>
  <w:style w:type="character" w:styleId="21">
    <w:name w:val="Heading 5 Char"/>
    <w:basedOn w:val="667"/>
    <w:link w:val="662"/>
    <w:uiPriority w:val="9"/>
    <w:rPr>
      <w:rFonts w:ascii="Arial" w:hAnsi="Arial" w:eastAsia="Arial" w:cs="Arial"/>
      <w:b/>
      <w:bCs/>
      <w:sz w:val="24"/>
      <w:szCs w:val="24"/>
    </w:rPr>
  </w:style>
  <w:style w:type="character" w:styleId="23">
    <w:name w:val="Heading 6 Char"/>
    <w:basedOn w:val="667"/>
    <w:link w:val="663"/>
    <w:uiPriority w:val="9"/>
    <w:rPr>
      <w:rFonts w:ascii="Arial" w:hAnsi="Arial" w:eastAsia="Arial" w:cs="Arial"/>
      <w:b/>
      <w:bCs/>
      <w:sz w:val="22"/>
      <w:szCs w:val="22"/>
    </w:rPr>
  </w:style>
  <w:style w:type="character" w:styleId="25">
    <w:name w:val="Heading 7 Char"/>
    <w:basedOn w:val="667"/>
    <w:link w:val="664"/>
    <w:uiPriority w:val="9"/>
    <w:rPr>
      <w:rFonts w:ascii="Arial" w:hAnsi="Arial" w:eastAsia="Arial" w:cs="Arial"/>
      <w:b/>
      <w:bCs/>
      <w:i/>
      <w:iCs/>
      <w:sz w:val="22"/>
      <w:szCs w:val="22"/>
    </w:rPr>
  </w:style>
  <w:style w:type="character" w:styleId="27">
    <w:name w:val="Heading 8 Char"/>
    <w:basedOn w:val="667"/>
    <w:link w:val="665"/>
    <w:uiPriority w:val="9"/>
    <w:rPr>
      <w:rFonts w:ascii="Arial" w:hAnsi="Arial" w:eastAsia="Arial" w:cs="Arial"/>
      <w:i/>
      <w:iCs/>
      <w:sz w:val="22"/>
      <w:szCs w:val="22"/>
    </w:rPr>
  </w:style>
  <w:style w:type="character" w:styleId="29">
    <w:name w:val="Heading 9 Char"/>
    <w:basedOn w:val="667"/>
    <w:link w:val="666"/>
    <w:uiPriority w:val="9"/>
    <w:rPr>
      <w:rFonts w:ascii="Arial" w:hAnsi="Arial" w:eastAsia="Arial" w:cs="Arial"/>
      <w:i/>
      <w:iCs/>
      <w:sz w:val="21"/>
      <w:szCs w:val="21"/>
    </w:rPr>
  </w:style>
  <w:style w:type="paragraph" w:styleId="30">
    <w:name w:val="List Paragraph"/>
    <w:basedOn w:val="65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7"/>
    <w:next w:val="657"/>
    <w:link w:val="34"/>
    <w:uiPriority w:val="10"/>
    <w:qFormat/>
    <w:pPr>
      <w:contextualSpacing/>
      <w:spacing w:before="300" w:after="200"/>
    </w:pPr>
    <w:rPr>
      <w:sz w:val="48"/>
      <w:szCs w:val="48"/>
    </w:rPr>
  </w:style>
  <w:style w:type="character" w:styleId="34">
    <w:name w:val="Title Char"/>
    <w:basedOn w:val="667"/>
    <w:link w:val="33"/>
    <w:uiPriority w:val="10"/>
    <w:rPr>
      <w:sz w:val="48"/>
      <w:szCs w:val="48"/>
    </w:rPr>
  </w:style>
  <w:style w:type="paragraph" w:styleId="35">
    <w:name w:val="Subtitle"/>
    <w:basedOn w:val="657"/>
    <w:next w:val="657"/>
    <w:link w:val="36"/>
    <w:uiPriority w:val="11"/>
    <w:qFormat/>
    <w:pPr>
      <w:spacing w:before="200" w:after="200"/>
    </w:pPr>
    <w:rPr>
      <w:sz w:val="24"/>
      <w:szCs w:val="24"/>
    </w:rPr>
  </w:style>
  <w:style w:type="character" w:styleId="36">
    <w:name w:val="Subtitle Char"/>
    <w:basedOn w:val="667"/>
    <w:link w:val="35"/>
    <w:uiPriority w:val="11"/>
    <w:rPr>
      <w:sz w:val="24"/>
      <w:szCs w:val="24"/>
    </w:rPr>
  </w:style>
  <w:style w:type="paragraph" w:styleId="37">
    <w:name w:val="Quote"/>
    <w:basedOn w:val="657"/>
    <w:next w:val="657"/>
    <w:link w:val="38"/>
    <w:uiPriority w:val="29"/>
    <w:qFormat/>
    <w:pPr>
      <w:ind w:left="720" w:right="720"/>
    </w:pPr>
    <w:rPr>
      <w:i/>
    </w:rPr>
  </w:style>
  <w:style w:type="character" w:styleId="38">
    <w:name w:val="Quote Char"/>
    <w:link w:val="37"/>
    <w:uiPriority w:val="29"/>
    <w:rPr>
      <w:i/>
    </w:rPr>
  </w:style>
  <w:style w:type="paragraph" w:styleId="39">
    <w:name w:val="Intense Quote"/>
    <w:basedOn w:val="657"/>
    <w:next w:val="65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7"/>
    <w:link w:val="680"/>
    <w:uiPriority w:val="99"/>
  </w:style>
  <w:style w:type="character" w:styleId="44">
    <w:name w:val="Footer Char"/>
    <w:basedOn w:val="667"/>
    <w:link w:val="679"/>
    <w:uiPriority w:val="99"/>
  </w:style>
  <w:style w:type="character" w:styleId="46">
    <w:name w:val="Caption Char"/>
    <w:basedOn w:val="671"/>
    <w:link w:val="679"/>
    <w:uiPriority w:val="99"/>
  </w:style>
  <w:style w:type="table" w:styleId="47">
    <w:name w:val="Table Grid"/>
    <w:basedOn w:val="66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c3fdba" w:themeFill="accent1" w:themeFillTint="34"/>
      </w:tcPr>
    </w:tblStylePr>
    <w:tblStylePr w:type="band1Vert">
      <w:rPr>
        <w:rFonts w:ascii="Arial" w:hAnsi="Arial"/>
        <w:color w:val="404040"/>
        <w:sz w:val="22"/>
      </w:rPr>
      <w:tcPr>
        <w:shd w:val="clear" w:color="ffffff" w:themeColor="accent1" w:themeTint="34" w:fill="c3fdba"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bce7fd" w:themeFill="accent2" w:themeFillTint="32"/>
      </w:tcPr>
    </w:tblStylePr>
    <w:tblStylePr w:type="band1Vert">
      <w:rPr>
        <w:rFonts w:ascii="Arial" w:hAnsi="Arial"/>
        <w:color w:val="404040"/>
        <w:sz w:val="22"/>
      </w:rPr>
      <w:tcPr>
        <w:shd w:val="clear" w:color="ffffff" w:themeColor="accent2" w:themeTint="32" w:fill="bce7fd"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dd2ba" w:themeFill="accent3" w:themeFillTint="34"/>
      </w:tcPr>
    </w:tblStylePr>
    <w:tblStylePr w:type="band1Vert">
      <w:rPr>
        <w:rFonts w:ascii="Arial" w:hAnsi="Arial"/>
        <w:color w:val="404040"/>
        <w:sz w:val="22"/>
      </w:rPr>
      <w:tcPr>
        <w:shd w:val="clear" w:color="ffffff" w:themeColor="accent3" w:themeTint="34" w:fill="fdd2ba"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3bafd" w:themeFill="accent4" w:themeFillTint="34"/>
      </w:tcPr>
    </w:tblStylePr>
    <w:tblStylePr w:type="band1Vert">
      <w:rPr>
        <w:rFonts w:ascii="Arial" w:hAnsi="Arial"/>
        <w:color w:val="404040"/>
        <w:sz w:val="22"/>
      </w:rPr>
      <w:tcPr>
        <w:shd w:val="clear" w:color="ffffff" w:themeColor="accent4" w:themeTint="34" w:fill="f3bafd"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fefbf" w:themeFill="accent5" w:themeFillTint="34"/>
      </w:tcPr>
    </w:tblStylePr>
    <w:tblStylePr w:type="band1Vert">
      <w:rPr>
        <w:rFonts w:ascii="Arial" w:hAnsi="Arial"/>
        <w:color w:val="404040"/>
        <w:sz w:val="22"/>
      </w:rPr>
      <w:tcPr>
        <w:shd w:val="clear" w:color="ffffff" w:themeColor="accent5" w:themeTint="34" w:fill="ffefbf"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7cccc" w:themeFill="accent6" w:themeFillTint="34"/>
      </w:tcPr>
    </w:tblStylePr>
    <w:tblStylePr w:type="band1Vert">
      <w:rPr>
        <w:rFonts w:ascii="Arial" w:hAnsi="Arial"/>
        <w:color w:val="404040"/>
        <w:sz w:val="22"/>
      </w:rPr>
      <w:tcPr>
        <w:shd w:val="clear" w:color="ffffff" w:themeColor="accent6" w:themeTint="34" w:fill="f7cccc"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c3fdba" w:themeFill="accent1" w:themeFillTint="34"/>
      </w:tcPr>
    </w:tblStylePr>
    <w:tblStylePr w:type="band1Vert">
      <w:rPr>
        <w:rFonts w:ascii="Arial" w:hAnsi="Arial"/>
        <w:color w:val="404040"/>
        <w:sz w:val="22"/>
      </w:rPr>
      <w:tcPr>
        <w:shd w:val="clear" w:color="ffffff" w:themeColor="accent1" w:themeTint="34" w:fill="c3fdba"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bce7fd" w:themeFill="accent2" w:themeFillTint="32"/>
      </w:tcPr>
    </w:tblStylePr>
    <w:tblStylePr w:type="band1Vert">
      <w:rPr>
        <w:rFonts w:ascii="Arial" w:hAnsi="Arial"/>
        <w:color w:val="404040"/>
        <w:sz w:val="22"/>
      </w:rPr>
      <w:tcPr>
        <w:shd w:val="clear" w:color="ffffff" w:themeColor="accent2" w:themeTint="32" w:fill="bce7fd"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dd2ba" w:themeFill="accent3" w:themeFillTint="34"/>
      </w:tcPr>
    </w:tblStylePr>
    <w:tblStylePr w:type="band1Vert">
      <w:rPr>
        <w:rFonts w:ascii="Arial" w:hAnsi="Arial"/>
        <w:color w:val="404040"/>
        <w:sz w:val="22"/>
      </w:rPr>
      <w:tcPr>
        <w:shd w:val="clear" w:color="ffffff" w:themeColor="accent3" w:themeTint="34" w:fill="fdd2ba"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3bafd" w:themeFill="accent4" w:themeFillTint="34"/>
      </w:tcPr>
    </w:tblStylePr>
    <w:tblStylePr w:type="band1Vert">
      <w:rPr>
        <w:rFonts w:ascii="Arial" w:hAnsi="Arial"/>
        <w:color w:val="404040"/>
        <w:sz w:val="22"/>
      </w:rPr>
      <w:tcPr>
        <w:shd w:val="clear" w:color="ffffff" w:themeColor="accent4" w:themeTint="34" w:fill="f3bafd"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fefbf" w:themeFill="accent5" w:themeFillTint="34"/>
      </w:tcPr>
    </w:tblStylePr>
    <w:tblStylePr w:type="band1Vert">
      <w:rPr>
        <w:rFonts w:ascii="Arial" w:hAnsi="Arial"/>
        <w:color w:val="404040"/>
        <w:sz w:val="22"/>
      </w:rPr>
      <w:tcPr>
        <w:shd w:val="clear" w:color="ffffff" w:themeColor="accent5" w:themeTint="34" w:fill="ffefbf"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7cccc" w:themeFill="accent6" w:themeFillTint="34"/>
      </w:tcPr>
    </w:tblStylePr>
    <w:tblStylePr w:type="band1Vert">
      <w:rPr>
        <w:rFonts w:ascii="Arial" w:hAnsi="Arial"/>
        <w:color w:val="404040"/>
        <w:sz w:val="22"/>
      </w:rPr>
      <w:tcPr>
        <w:shd w:val="clear" w:color="ffffff" w:themeColor="accent6" w:themeTint="34" w:fill="f7cccc"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c5fdbc" w:themeFill="accent1" w:themeFillTint="32"/>
      </w:tcPr>
    </w:tblStylePr>
    <w:tblStylePr w:type="band1Vert">
      <w:rPr>
        <w:rFonts w:ascii="Arial" w:hAnsi="Arial"/>
        <w:color w:val="404040"/>
        <w:sz w:val="22"/>
      </w:rPr>
      <w:tcPr>
        <w:shd w:val="clear" w:color="ffffff" w:themeColor="accent1" w:themeTint="32" w:fill="c5fdbc"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1ebe03"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bce7fd" w:themeFill="accent2" w:themeFillTint="32"/>
      </w:tcPr>
    </w:tblStylePr>
    <w:tblStylePr w:type="band1Vert">
      <w:rPr>
        <w:rFonts w:ascii="Arial" w:hAnsi="Arial"/>
        <w:color w:val="404040"/>
        <w:sz w:val="22"/>
      </w:rPr>
      <w:tcPr>
        <w:shd w:val="clear" w:color="ffffff" w:themeColor="accent2" w:themeTint="32" w:fill="bce7fd"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36b8fb"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dd2ba" w:themeFill="accent3" w:themeFillTint="34"/>
      </w:tcPr>
    </w:tblStylePr>
    <w:tblStylePr w:type="band1Vert">
      <w:rPr>
        <w:rFonts w:ascii="Arial" w:hAnsi="Arial"/>
        <w:color w:val="404040"/>
        <w:sz w:val="22"/>
      </w:rPr>
      <w:tcPr>
        <w:shd w:val="clear" w:color="ffffff" w:themeColor="accent3" w:themeTint="34" w:fill="fdd2ba"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43c03"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3bafd" w:themeFill="accent4" w:themeFillTint="34"/>
      </w:tcPr>
    </w:tblStylePr>
    <w:tblStylePr w:type="band1Vert">
      <w:rPr>
        <w:rFonts w:ascii="Arial" w:hAnsi="Arial"/>
        <w:color w:val="404040"/>
        <w:sz w:val="22"/>
      </w:rPr>
      <w:tcPr>
        <w:shd w:val="clear" w:color="ffffff" w:themeColor="accent4" w:themeTint="34" w:fill="f3bafd"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dc33fa"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ffefbf" w:themeFill="accent5" w:themeFillTint="34"/>
      </w:tcPr>
    </w:tblStylePr>
    <w:tblStylePr w:type="band1Vert">
      <w:rPr>
        <w:rFonts w:ascii="Arial" w:hAnsi="Arial"/>
        <w:color w:val="404040"/>
        <w:sz w:val="22"/>
      </w:rPr>
      <w:tcPr>
        <w:shd w:val="clear" w:color="ffffff" w:themeColor="accent5" w:themeTint="34" w:fill="ffefbf"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c99c00"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7cccc" w:themeFill="accent6" w:themeFillTint="34"/>
      </w:tcPr>
    </w:tblStylePr>
    <w:tblStylePr w:type="band1Vert">
      <w:rPr>
        <w:rFonts w:ascii="Arial" w:hAnsi="Arial"/>
        <w:color w:val="404040"/>
        <w:sz w:val="22"/>
      </w:rPr>
      <w:tcPr>
        <w:shd w:val="clear" w:color="ffffff" w:themeColor="accent6" w:themeTint="34" w:fill="f7cccc"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c9211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c3fdba" w:themeFill="accent1" w:themeFillTint="34"/>
    </w:tblPr>
    <w:tblStylePr w:type="band1Horz">
      <w:tcPr>
        <w:shd w:val="clear" w:color="ffffff" w:themeColor="accent1" w:themeTint="75" w:fill="79fb64" w:themeFill="accent1" w:themeFillTint="75"/>
      </w:tcPr>
    </w:tblStylePr>
    <w:tblStylePr w:type="band1Vert">
      <w:tcPr>
        <w:shd w:val="clear" w:color="ffffff" w:themeColor="accent1" w:themeTint="75" w:fill="79fb64" w:themeFill="accent1" w:themeFillTint="75"/>
      </w:tcPr>
    </w:tblStylePr>
    <w:tblStylePr w:type="firstCol">
      <w:rPr>
        <w:rFonts w:ascii="Arial" w:hAnsi="Arial"/>
        <w:b/>
        <w:color w:val="ffffff"/>
        <w:sz w:val="22"/>
      </w:rPr>
      <w:tcPr>
        <w:shd w:val="clear" w:color="ffffff" w:themeColor="accent1" w:fill="18a303" w:themeFill="accent1"/>
      </w:tcPr>
    </w:tblStylePr>
    <w:tblStylePr w:type="firstRow">
      <w:rPr>
        <w:rFonts w:ascii="Arial" w:hAnsi="Arial"/>
        <w:b/>
        <w:color w:val="ffffff"/>
        <w:sz w:val="22"/>
      </w:rPr>
      <w:tcPr>
        <w:shd w:val="clear" w:color="ffffff" w:themeColor="accent1" w:fill="18a303" w:themeFill="accent1"/>
      </w:tcPr>
    </w:tblStylePr>
    <w:tblStylePr w:type="lastCol">
      <w:rPr>
        <w:rFonts w:ascii="Arial" w:hAnsi="Arial"/>
        <w:b/>
        <w:color w:val="ffffff"/>
        <w:sz w:val="22"/>
      </w:rPr>
      <w:tcPr>
        <w:shd w:val="clear" w:color="ffffff" w:themeColor="accent1" w:fill="18a303" w:themeFill="accent1"/>
      </w:tcPr>
    </w:tblStylePr>
    <w:tblStylePr w:type="lastRow">
      <w:rPr>
        <w:rFonts w:ascii="Arial" w:hAnsi="Arial"/>
        <w:b/>
        <w:color w:val="ffffff"/>
        <w:sz w:val="22"/>
      </w:rPr>
      <w:tcPr>
        <w:shd w:val="clear" w:color="ffffff" w:themeColor="accent1" w:fill="18a303" w:themeFill="accent1"/>
        <w:tcBorders>
          <w:top w:val="single" w:color="000000" w:themeColor="light1" w:sz="4" w:space="0"/>
        </w:tcBorders>
      </w:tcPr>
    </w:tblStylePr>
  </w:style>
  <w:style w:type="table" w:styleId="84">
    <w:name w:val="Grid Table 5 Dark - Accent 2"/>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bce7fd" w:themeFill="accent2" w:themeFillTint="32"/>
    </w:tblPr>
    <w:tblStylePr w:type="band1Horz">
      <w:tcPr>
        <w:shd w:val="clear" w:color="ffffff" w:themeColor="accent2" w:themeTint="75" w:fill="64c8fb" w:themeFill="accent2" w:themeFillTint="75"/>
      </w:tcPr>
    </w:tblStylePr>
    <w:tblStylePr w:type="band1Vert">
      <w:tcPr>
        <w:shd w:val="clear" w:color="ffffff" w:themeColor="accent2" w:themeTint="75" w:fill="64c8fb" w:themeFill="accent2" w:themeFillTint="75"/>
      </w:tcPr>
    </w:tblStylePr>
    <w:tblStylePr w:type="firstCol">
      <w:rPr>
        <w:rFonts w:ascii="Arial" w:hAnsi="Arial"/>
        <w:b/>
        <w:color w:val="ffffff"/>
        <w:sz w:val="22"/>
      </w:rPr>
      <w:tcPr>
        <w:shd w:val="clear" w:color="ffffff" w:themeColor="accent2" w:fill="0369a3" w:themeFill="accent2"/>
      </w:tcPr>
    </w:tblStylePr>
    <w:tblStylePr w:type="firstRow">
      <w:rPr>
        <w:rFonts w:ascii="Arial" w:hAnsi="Arial"/>
        <w:b/>
        <w:color w:val="ffffff"/>
        <w:sz w:val="22"/>
      </w:rPr>
      <w:tcPr>
        <w:shd w:val="clear" w:color="ffffff" w:themeColor="accent2" w:fill="0369a3" w:themeFill="accent2"/>
      </w:tcPr>
    </w:tblStylePr>
    <w:tblStylePr w:type="lastCol">
      <w:rPr>
        <w:rFonts w:ascii="Arial" w:hAnsi="Arial"/>
        <w:b/>
        <w:color w:val="ffffff"/>
        <w:sz w:val="22"/>
      </w:rPr>
      <w:tcPr>
        <w:shd w:val="clear" w:color="ffffff" w:themeColor="accent2" w:fill="0369a3" w:themeFill="accent2"/>
      </w:tcPr>
    </w:tblStylePr>
    <w:tblStylePr w:type="lastRow">
      <w:rPr>
        <w:rFonts w:ascii="Arial" w:hAnsi="Arial"/>
        <w:b/>
        <w:color w:val="ffffff"/>
        <w:sz w:val="22"/>
      </w:rPr>
      <w:tcPr>
        <w:shd w:val="clear" w:color="ffffff" w:themeColor="accent2" w:fill="0369a3" w:themeFill="accent2"/>
        <w:tcBorders>
          <w:top w:val="single" w:color="000000" w:themeColor="light1" w:sz="4" w:space="0"/>
        </w:tcBorders>
      </w:tcPr>
    </w:tblStylePr>
  </w:style>
  <w:style w:type="table" w:styleId="85">
    <w:name w:val="Grid Table 5 Dark - Accent 3"/>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dd2ba" w:themeFill="accent3" w:themeFillTint="34"/>
    </w:tblPr>
    <w:tblStylePr w:type="band1Horz">
      <w:tcPr>
        <w:shd w:val="clear" w:color="ffffff" w:themeColor="accent3" w:themeTint="75" w:fill="fb9964" w:themeFill="accent3" w:themeFillTint="75"/>
      </w:tcPr>
    </w:tblStylePr>
    <w:tblStylePr w:type="band1Vert">
      <w:tcPr>
        <w:shd w:val="clear" w:color="ffffff" w:themeColor="accent3" w:themeTint="75" w:fill="fb9964" w:themeFill="accent3" w:themeFillTint="75"/>
      </w:tcPr>
    </w:tblStylePr>
    <w:tblStylePr w:type="firstCol">
      <w:rPr>
        <w:rFonts w:ascii="Arial" w:hAnsi="Arial"/>
        <w:b/>
        <w:color w:val="ffffff"/>
        <w:sz w:val="22"/>
      </w:rPr>
      <w:tcPr>
        <w:shd w:val="clear" w:color="ffffff" w:themeColor="accent3" w:fill="a33e03" w:themeFill="accent3"/>
      </w:tcPr>
    </w:tblStylePr>
    <w:tblStylePr w:type="firstRow">
      <w:rPr>
        <w:rFonts w:ascii="Arial" w:hAnsi="Arial"/>
        <w:b/>
        <w:color w:val="ffffff"/>
        <w:sz w:val="22"/>
      </w:rPr>
      <w:tcPr>
        <w:shd w:val="clear" w:color="ffffff" w:themeColor="accent3" w:fill="a33e03" w:themeFill="accent3"/>
      </w:tcPr>
    </w:tblStylePr>
    <w:tblStylePr w:type="lastCol">
      <w:rPr>
        <w:rFonts w:ascii="Arial" w:hAnsi="Arial"/>
        <w:b/>
        <w:color w:val="ffffff"/>
        <w:sz w:val="22"/>
      </w:rPr>
      <w:tcPr>
        <w:shd w:val="clear" w:color="ffffff" w:themeColor="accent3" w:fill="a33e03" w:themeFill="accent3"/>
      </w:tcPr>
    </w:tblStylePr>
    <w:tblStylePr w:type="lastRow">
      <w:rPr>
        <w:rFonts w:ascii="Arial" w:hAnsi="Arial"/>
        <w:b/>
        <w:color w:val="ffffff"/>
        <w:sz w:val="22"/>
      </w:rPr>
      <w:tcPr>
        <w:shd w:val="clear" w:color="ffffff" w:themeColor="accent3" w:fill="a33e03" w:themeFill="accent3"/>
        <w:tcBorders>
          <w:top w:val="single" w:color="000000" w:themeColor="light1" w:sz="4" w:space="0"/>
        </w:tcBorders>
      </w:tcPr>
    </w:tblStylePr>
  </w:style>
  <w:style w:type="table" w:styleId="86">
    <w:name w:val="Grid Table 5 Dark- Accent 4"/>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3bafd" w:themeFill="accent4" w:themeFillTint="34"/>
    </w:tblPr>
    <w:tblStylePr w:type="band1Horz">
      <w:tcPr>
        <w:shd w:val="clear" w:color="ffffff" w:themeColor="accent4" w:themeTint="75" w:fill="e464fb" w:themeFill="accent4" w:themeFillTint="75"/>
      </w:tcPr>
    </w:tblStylePr>
    <w:tblStylePr w:type="band1Vert">
      <w:tcPr>
        <w:shd w:val="clear" w:color="ffffff" w:themeColor="accent4" w:themeTint="75" w:fill="e464fb" w:themeFill="accent4" w:themeFillTint="75"/>
      </w:tcPr>
    </w:tblStylePr>
    <w:tblStylePr w:type="firstCol">
      <w:rPr>
        <w:rFonts w:ascii="Arial" w:hAnsi="Arial"/>
        <w:b/>
        <w:color w:val="ffffff"/>
        <w:sz w:val="22"/>
      </w:rPr>
      <w:tcPr>
        <w:shd w:val="clear" w:color="ffffff" w:themeColor="accent4" w:fill="8e03a3" w:themeFill="accent4"/>
      </w:tcPr>
    </w:tblStylePr>
    <w:tblStylePr w:type="firstRow">
      <w:rPr>
        <w:rFonts w:ascii="Arial" w:hAnsi="Arial"/>
        <w:b/>
        <w:color w:val="ffffff"/>
        <w:sz w:val="22"/>
      </w:rPr>
      <w:tcPr>
        <w:shd w:val="clear" w:color="ffffff" w:themeColor="accent4" w:fill="8e03a3" w:themeFill="accent4"/>
      </w:tcPr>
    </w:tblStylePr>
    <w:tblStylePr w:type="lastCol">
      <w:rPr>
        <w:rFonts w:ascii="Arial" w:hAnsi="Arial"/>
        <w:b/>
        <w:color w:val="ffffff"/>
        <w:sz w:val="22"/>
      </w:rPr>
      <w:tcPr>
        <w:shd w:val="clear" w:color="ffffff" w:themeColor="accent4" w:fill="8e03a3" w:themeFill="accent4"/>
      </w:tcPr>
    </w:tblStylePr>
    <w:tblStylePr w:type="lastRow">
      <w:rPr>
        <w:rFonts w:ascii="Arial" w:hAnsi="Arial"/>
        <w:b/>
        <w:color w:val="ffffff"/>
        <w:sz w:val="22"/>
      </w:rPr>
      <w:tcPr>
        <w:shd w:val="clear" w:color="ffffff" w:themeColor="accent4" w:fill="8e03a3" w:themeFill="accent4"/>
        <w:tcBorders>
          <w:top w:val="single" w:color="000000" w:themeColor="light1" w:sz="4" w:space="0"/>
        </w:tcBorders>
      </w:tcPr>
    </w:tblStylePr>
  </w:style>
  <w:style w:type="table" w:styleId="87">
    <w:name w:val="Grid Table 5 Dark - Accent 5"/>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fefbf" w:themeFill="accent5" w:themeFillTint="34"/>
    </w:tblPr>
    <w:tblStylePr w:type="band1Horz">
      <w:tcPr>
        <w:shd w:val="clear" w:color="ffffff" w:themeColor="accent5" w:themeTint="75" w:fill="ffdb71" w:themeFill="accent5" w:themeFillTint="75"/>
      </w:tcPr>
    </w:tblStylePr>
    <w:tblStylePr w:type="band1Vert">
      <w:tcPr>
        <w:shd w:val="clear" w:color="ffffff" w:themeColor="accent5" w:themeTint="75" w:fill="ffdb71" w:themeFill="accent5" w:themeFillTint="75"/>
      </w:tcPr>
    </w:tblStylePr>
    <w:tblStylePr w:type="firstCol">
      <w:rPr>
        <w:rFonts w:ascii="Arial" w:hAnsi="Arial"/>
        <w:b/>
        <w:color w:val="ffffff"/>
        <w:sz w:val="22"/>
      </w:rPr>
      <w:tcPr>
        <w:shd w:val="clear" w:color="ffffff" w:themeColor="accent5" w:fill="c99c00" w:themeFill="accent5"/>
      </w:tcPr>
    </w:tblStylePr>
    <w:tblStylePr w:type="firstRow">
      <w:rPr>
        <w:rFonts w:ascii="Arial" w:hAnsi="Arial"/>
        <w:b/>
        <w:color w:val="ffffff"/>
        <w:sz w:val="22"/>
      </w:rPr>
      <w:tcPr>
        <w:shd w:val="clear" w:color="ffffff" w:themeColor="accent5" w:fill="c99c00" w:themeFill="accent5"/>
      </w:tcPr>
    </w:tblStylePr>
    <w:tblStylePr w:type="lastCol">
      <w:rPr>
        <w:rFonts w:ascii="Arial" w:hAnsi="Arial"/>
        <w:b/>
        <w:color w:val="ffffff"/>
        <w:sz w:val="22"/>
      </w:rPr>
      <w:tcPr>
        <w:shd w:val="clear" w:color="ffffff" w:themeColor="accent5" w:fill="c99c00" w:themeFill="accent5"/>
      </w:tcPr>
    </w:tblStylePr>
    <w:tblStylePr w:type="lastRow">
      <w:rPr>
        <w:rFonts w:ascii="Arial" w:hAnsi="Arial"/>
        <w:b/>
        <w:color w:val="ffffff"/>
        <w:sz w:val="22"/>
      </w:rPr>
      <w:tcPr>
        <w:shd w:val="clear" w:color="ffffff" w:themeColor="accent5" w:fill="c99c00" w:themeFill="accent5"/>
        <w:tcBorders>
          <w:top w:val="single" w:color="000000" w:themeColor="light1" w:sz="4" w:space="0"/>
        </w:tcBorders>
      </w:tcPr>
    </w:tblStylePr>
  </w:style>
  <w:style w:type="table" w:styleId="88">
    <w:name w:val="Grid Table 5 Dark - Accent 6"/>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7cccc" w:themeFill="accent6" w:themeFillTint="34"/>
    </w:tblPr>
    <w:tblStylePr w:type="band1Horz">
      <w:tcPr>
        <w:shd w:val="clear" w:color="ffffff" w:themeColor="accent6" w:themeTint="75" w:fill="ee8f8f" w:themeFill="accent6" w:themeFillTint="75"/>
      </w:tcPr>
    </w:tblStylePr>
    <w:tblStylePr w:type="band1Vert">
      <w:tcPr>
        <w:shd w:val="clear" w:color="ffffff" w:themeColor="accent6" w:themeTint="75" w:fill="ee8f8f" w:themeFill="accent6" w:themeFillTint="75"/>
      </w:tcPr>
    </w:tblStylePr>
    <w:tblStylePr w:type="firstCol">
      <w:rPr>
        <w:rFonts w:ascii="Arial" w:hAnsi="Arial"/>
        <w:b/>
        <w:color w:val="ffffff"/>
        <w:sz w:val="22"/>
      </w:rPr>
      <w:tcPr>
        <w:shd w:val="clear" w:color="ffffff" w:themeColor="accent6" w:fill="c9211e" w:themeFill="accent6"/>
      </w:tcPr>
    </w:tblStylePr>
    <w:tblStylePr w:type="firstRow">
      <w:rPr>
        <w:rFonts w:ascii="Arial" w:hAnsi="Arial"/>
        <w:b/>
        <w:color w:val="ffffff"/>
        <w:sz w:val="22"/>
      </w:rPr>
      <w:tcPr>
        <w:shd w:val="clear" w:color="ffffff" w:themeColor="accent6" w:fill="c9211e" w:themeFill="accent6"/>
      </w:tcPr>
    </w:tblStylePr>
    <w:tblStylePr w:type="lastCol">
      <w:rPr>
        <w:rFonts w:ascii="Arial" w:hAnsi="Arial"/>
        <w:b/>
        <w:color w:val="ffffff"/>
        <w:sz w:val="22"/>
      </w:rPr>
      <w:tcPr>
        <w:shd w:val="clear" w:color="ffffff" w:themeColor="accent6" w:fill="c9211e" w:themeFill="accent6"/>
      </w:tcPr>
    </w:tblStylePr>
    <w:tblStylePr w:type="lastRow">
      <w:rPr>
        <w:rFonts w:ascii="Arial" w:hAnsi="Arial"/>
        <w:b/>
        <w:color w:val="ffffff"/>
        <w:sz w:val="22"/>
      </w:rPr>
      <w:tcPr>
        <w:shd w:val="clear" w:color="ffffff" w:themeColor="accent6" w:fill="c9211e" w:themeFill="accent6"/>
        <w:tcBorders>
          <w:top w:val="single" w:color="000000" w:themeColor="light1" w:sz="4" w:space="0"/>
        </w:tcBorders>
      </w:tcPr>
    </w:tblStylePr>
  </w:style>
  <w:style w:type="table" w:styleId="89">
    <w:name w:val="Grid Table 6 Colorful"/>
    <w:basedOn w:val="6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c3fdba" w:themeFill="accent1" w:themeFillTint="34"/>
      </w:tcPr>
    </w:tblStylePr>
    <w:tblStylePr w:type="band1Vert">
      <w:tcPr>
        <w:shd w:val="clear" w:color="ffffff" w:themeColor="accent1" w:themeTint="34" w:fill="c3fdba" w:themeFill="accent1" w:themeFillTint="34"/>
      </w:tcPr>
    </w:tblStylePr>
    <w:tblStylePr w:type="band2Horz">
      <w:rPr>
        <w:rFonts w:ascii="Arial" w:hAnsi="Arial"/>
        <w:color w:val="404040" w:themeColor="accent1" w:themeTint="80" w:themeShade="95"/>
        <w:sz w:val="22"/>
      </w:rPr>
    </w:tblStylePr>
    <w:tblStylePr w:type="firstCol">
      <w:rPr>
        <w:b/>
        <w:color w:val="1ebf04" w:themeColor="accent1" w:themeTint="80" w:themeShade="95"/>
      </w:rPr>
    </w:tblStylePr>
    <w:tblStylePr w:type="firstRow">
      <w:rPr>
        <w:b/>
        <w:color w:val="1ebf04" w:themeColor="accent1" w:themeTint="80" w:themeShade="95"/>
      </w:rPr>
      <w:tcPr>
        <w:tcBorders>
          <w:bottom w:val="single" w:color="000000" w:themeColor="accent1" w:themeTint="80" w:sz="12" w:space="0"/>
        </w:tcBorders>
      </w:tcPr>
    </w:tblStylePr>
    <w:tblStylePr w:type="lastCol">
      <w:rPr>
        <w:b/>
        <w:color w:val="1ebf04" w:themeColor="accent1" w:themeTint="80" w:themeShade="95"/>
      </w:rPr>
    </w:tblStylePr>
    <w:tblStylePr w:type="lastRow">
      <w:rPr>
        <w:b/>
        <w:color w:val="1ebf04"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bce7fd" w:themeFill="accent2" w:themeFillTint="32"/>
      </w:tcPr>
    </w:tblStylePr>
    <w:tblStylePr w:type="band1Vert">
      <w:tcPr>
        <w:shd w:val="clear" w:color="ffffff" w:themeColor="accent2" w:themeTint="32" w:fill="bce7fd" w:themeFill="accent2" w:themeFillTint="32"/>
      </w:tcPr>
    </w:tblStylePr>
    <w:tblStylePr w:type="band2Horz">
      <w:rPr>
        <w:rFonts w:ascii="Arial" w:hAnsi="Arial"/>
        <w:color w:val="404040" w:themeColor="accent2" w:themeTint="97" w:themeShade="95"/>
        <w:sz w:val="22"/>
      </w:rPr>
    </w:tblStylePr>
    <w:tblStylePr w:type="firstCol">
      <w:rPr>
        <w:b/>
        <w:color w:val="0378ae" w:themeColor="accent2" w:themeTint="97" w:themeShade="95"/>
      </w:rPr>
    </w:tblStylePr>
    <w:tblStylePr w:type="firstRow">
      <w:rPr>
        <w:b/>
        <w:color w:val="0378ae" w:themeColor="accent2" w:themeTint="97" w:themeShade="95"/>
      </w:rPr>
      <w:tcPr>
        <w:tcBorders>
          <w:bottom w:val="single" w:color="000000" w:themeColor="accent2" w:themeTint="97" w:sz="12" w:space="0"/>
        </w:tcBorders>
      </w:tcPr>
    </w:tblStylePr>
    <w:tblStylePr w:type="lastCol">
      <w:rPr>
        <w:b/>
        <w:color w:val="0378ae" w:themeColor="accent2" w:themeTint="97" w:themeShade="95"/>
      </w:rPr>
    </w:tblStylePr>
    <w:tblStylePr w:type="lastRow">
      <w:rPr>
        <w:b/>
        <w:color w:val="0378ae"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dd2ba" w:themeFill="accent3" w:themeFillTint="34"/>
      </w:tcPr>
    </w:tblStylePr>
    <w:tblStylePr w:type="band1Vert">
      <w:tcPr>
        <w:shd w:val="clear" w:color="ffffff" w:themeColor="accent3" w:themeTint="34" w:fill="fdd2ba" w:themeFill="accent3" w:themeFillTint="34"/>
      </w:tcPr>
    </w:tblStylePr>
    <w:tblStylePr w:type="band2Horz">
      <w:rPr>
        <w:rFonts w:ascii="Arial" w:hAnsi="Arial"/>
        <w:color w:val="404040" w:themeColor="accent3" w:themeTint="FE" w:themeShade="95"/>
        <w:sz w:val="22"/>
      </w:rPr>
    </w:tblStylePr>
    <w:tblStylePr w:type="firstCol">
      <w:rPr>
        <w:b/>
        <w:color w:val="5e2201" w:themeColor="accent3" w:themeTint="FE" w:themeShade="95"/>
      </w:rPr>
    </w:tblStylePr>
    <w:tblStylePr w:type="firstRow">
      <w:rPr>
        <w:b/>
        <w:color w:val="5e2201" w:themeColor="accent3" w:themeTint="FE" w:themeShade="95"/>
      </w:rPr>
      <w:tcPr>
        <w:tcBorders>
          <w:bottom w:val="single" w:color="000000" w:themeColor="accent3" w:themeTint="FE" w:sz="12" w:space="0"/>
        </w:tcBorders>
      </w:tcPr>
    </w:tblStylePr>
    <w:tblStylePr w:type="lastCol">
      <w:rPr>
        <w:b/>
        <w:color w:val="5e2201" w:themeColor="accent3" w:themeTint="FE" w:themeShade="95"/>
      </w:rPr>
    </w:tblStylePr>
    <w:tblStylePr w:type="lastRow">
      <w:rPr>
        <w:b/>
        <w:color w:val="5e22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3bafd" w:themeFill="accent4" w:themeFillTint="34"/>
      </w:tcPr>
    </w:tblStylePr>
    <w:tblStylePr w:type="band1Vert">
      <w:tcPr>
        <w:shd w:val="clear" w:color="ffffff" w:themeColor="accent4" w:themeTint="34" w:fill="f3bafd" w:themeFill="accent4" w:themeFillTint="34"/>
      </w:tcPr>
    </w:tblStylePr>
    <w:tblStylePr w:type="band2Horz">
      <w:rPr>
        <w:rFonts w:ascii="Arial" w:hAnsi="Arial"/>
        <w:color w:val="404040" w:themeColor="accent4" w:themeTint="9A" w:themeShade="95"/>
        <w:sz w:val="22"/>
      </w:rPr>
    </w:tblStylePr>
    <w:tblStylePr w:type="firstCol">
      <w:rPr>
        <w:b/>
        <w:color w:val="9104ab" w:themeColor="accent4" w:themeTint="9A" w:themeShade="95"/>
      </w:rPr>
    </w:tblStylePr>
    <w:tblStylePr w:type="firstRow">
      <w:rPr>
        <w:b/>
        <w:color w:val="9104ab" w:themeColor="accent4" w:themeTint="9A" w:themeShade="95"/>
      </w:rPr>
      <w:tcPr>
        <w:tcBorders>
          <w:bottom w:val="single" w:color="000000" w:themeColor="accent4" w:themeTint="9A" w:sz="12" w:space="0"/>
        </w:tcBorders>
      </w:tcPr>
    </w:tblStylePr>
    <w:tblStylePr w:type="lastCol">
      <w:rPr>
        <w:b/>
        <w:color w:val="9104ab" w:themeColor="accent4" w:themeTint="9A" w:themeShade="95"/>
      </w:rPr>
    </w:tblStylePr>
    <w:tblStylePr w:type="lastRow">
      <w:rPr>
        <w:b/>
        <w:color w:val="9104ab"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ffefbf" w:themeFill="accent5" w:themeFillTint="34"/>
      </w:tcPr>
    </w:tblStylePr>
    <w:tblStylePr w:type="band1Vert">
      <w:tcPr>
        <w:shd w:val="clear" w:color="ffffff" w:themeColor="accent5" w:themeTint="34" w:fill="ffefbf" w:themeFill="accent5" w:themeFillTint="34"/>
      </w:tcPr>
    </w:tblStylePr>
    <w:tblStylePr w:type="band2Horz">
      <w:rPr>
        <w:rFonts w:ascii="Arial" w:hAnsi="Arial"/>
        <w:color w:val="404040" w:themeColor="accent5" w:themeShade="95"/>
        <w:sz w:val="22"/>
      </w:rPr>
    </w:tblStylePr>
    <w:tblStylePr w:type="firstCol">
      <w:rPr>
        <w:b/>
        <w:color w:val="745700" w:themeColor="accent5" w:themeShade="95"/>
      </w:rPr>
    </w:tblStylePr>
    <w:tblStylePr w:type="firstRow">
      <w:rPr>
        <w:b/>
        <w:color w:val="745700" w:themeColor="accent5" w:themeShade="95"/>
      </w:rPr>
      <w:tcPr>
        <w:tcBorders>
          <w:bottom w:val="single" w:color="000000" w:themeColor="accent5" w:sz="12" w:space="0"/>
        </w:tcBorders>
      </w:tcPr>
    </w:tblStylePr>
    <w:tblStylePr w:type="lastCol">
      <w:rPr>
        <w:b/>
        <w:color w:val="745700" w:themeColor="accent5" w:themeShade="95"/>
      </w:rPr>
    </w:tblStylePr>
    <w:tblStylePr w:type="lastRow">
      <w:rPr>
        <w:b/>
        <w:color w:val="745700"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7cccc" w:themeFill="accent6" w:themeFillTint="34"/>
      </w:tcPr>
    </w:tblStylePr>
    <w:tblStylePr w:type="band1Vert">
      <w:tcPr>
        <w:shd w:val="clear" w:color="ffffff" w:themeColor="accent6" w:themeTint="34" w:fill="f7cccc" w:themeFill="accent6" w:themeFillTint="34"/>
      </w:tcPr>
    </w:tblStylePr>
    <w:tblStylePr w:type="band2Horz">
      <w:rPr>
        <w:rFonts w:ascii="Arial" w:hAnsi="Arial"/>
        <w:color w:val="404040" w:themeColor="accent5" w:themeShade="95"/>
        <w:sz w:val="22"/>
      </w:rPr>
    </w:tblStylePr>
    <w:tblStylePr w:type="firstCol">
      <w:rPr>
        <w:b/>
        <w:color w:val="745700" w:themeColor="accent5" w:themeShade="95"/>
      </w:rPr>
    </w:tblStylePr>
    <w:tblStylePr w:type="firstRow">
      <w:rPr>
        <w:b/>
        <w:color w:val="745700" w:themeColor="accent5" w:themeShade="95"/>
      </w:rPr>
      <w:tcPr>
        <w:tcBorders>
          <w:bottom w:val="single" w:color="000000" w:themeColor="accent6" w:sz="12" w:space="0"/>
        </w:tcBorders>
      </w:tcPr>
    </w:tblStylePr>
    <w:tblStylePr w:type="lastCol">
      <w:rPr>
        <w:b/>
        <w:color w:val="745700" w:themeColor="accent5" w:themeShade="95"/>
      </w:rPr>
    </w:tblStylePr>
    <w:tblStylePr w:type="lastRow">
      <w:rPr>
        <w:b/>
        <w:color w:val="745700" w:themeColor="accent5" w:themeShade="95"/>
      </w:rPr>
    </w:tblStylePr>
    <w:tblStylePr w:type="wholeTable">
      <w:rPr>
        <w:rFonts w:ascii="Arial" w:hAnsi="Arial"/>
        <w:color w:val="404040" w:themeColor="accent5" w:themeShade="95"/>
        <w:sz w:val="22"/>
      </w:rPr>
    </w:tblStylePr>
  </w:style>
  <w:style w:type="table" w:styleId="96">
    <w:name w:val="Grid Table 7 Colorful"/>
    <w:basedOn w:val="6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1ebf04" w:themeColor="accent1" w:themeTint="80" w:themeShade="95"/>
        <w:sz w:val="22"/>
      </w:rPr>
      <w:tcPr>
        <w:shd w:val="clear" w:color="ffffff" w:themeColor="accent1" w:themeTint="34" w:fill="c3fdba" w:themeFill="accent1" w:themeFillTint="34"/>
      </w:tcPr>
    </w:tblStylePr>
    <w:tblStylePr w:type="band1Vert">
      <w:tcPr>
        <w:shd w:val="clear" w:color="ffffff" w:themeColor="accent1" w:themeTint="34" w:fill="c3fdba" w:themeFill="accent1" w:themeFillTint="34"/>
      </w:tcPr>
    </w:tblStylePr>
    <w:tblStylePr w:type="band2Horz">
      <w:rPr>
        <w:rFonts w:ascii="Arial" w:hAnsi="Arial"/>
        <w:color w:val="1ebf04" w:themeColor="accent1" w:themeTint="80" w:themeShade="95"/>
        <w:sz w:val="22"/>
      </w:rPr>
    </w:tblStylePr>
    <w:tblStylePr w:type="firstCol">
      <w:rPr>
        <w:rFonts w:ascii="Arial" w:hAnsi="Arial"/>
        <w:i/>
        <w:color w:val="1ebf04"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1ebf04"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1ebf04"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1ebf04"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0378ae" w:themeColor="accent2" w:themeTint="97" w:themeShade="95"/>
        <w:sz w:val="22"/>
      </w:rPr>
      <w:tcPr>
        <w:shd w:val="clear" w:color="ffffff" w:themeColor="accent2" w:themeTint="32" w:fill="bce7fd" w:themeFill="accent2" w:themeFillTint="32"/>
      </w:tcPr>
    </w:tblStylePr>
    <w:tblStylePr w:type="band1Vert">
      <w:tcPr>
        <w:shd w:val="clear" w:color="ffffff" w:themeColor="accent2" w:themeTint="32" w:fill="bce7fd" w:themeFill="accent2" w:themeFillTint="32"/>
      </w:tcPr>
    </w:tblStylePr>
    <w:tblStylePr w:type="band2Horz">
      <w:rPr>
        <w:rFonts w:ascii="Arial" w:hAnsi="Arial"/>
        <w:color w:val="0378ae" w:themeColor="accent2" w:themeTint="97" w:themeShade="95"/>
        <w:sz w:val="22"/>
      </w:rPr>
    </w:tblStylePr>
    <w:tblStylePr w:type="firstCol">
      <w:rPr>
        <w:rFonts w:ascii="Arial" w:hAnsi="Arial"/>
        <w:i/>
        <w:color w:val="0378ae"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0378ae"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0378ae"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0378ae"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e2201" w:themeColor="accent3" w:themeTint="FE" w:themeShade="95"/>
        <w:sz w:val="22"/>
      </w:rPr>
      <w:tcPr>
        <w:shd w:val="clear" w:color="ffffff" w:themeColor="accent3" w:themeTint="34" w:fill="fdd2ba" w:themeFill="accent3" w:themeFillTint="34"/>
      </w:tcPr>
    </w:tblStylePr>
    <w:tblStylePr w:type="band1Vert">
      <w:tcPr>
        <w:shd w:val="clear" w:color="ffffff" w:themeColor="accent3" w:themeTint="34" w:fill="fdd2ba" w:themeFill="accent3" w:themeFillTint="34"/>
      </w:tcPr>
    </w:tblStylePr>
    <w:tblStylePr w:type="band2Horz">
      <w:rPr>
        <w:rFonts w:ascii="Arial" w:hAnsi="Arial"/>
        <w:color w:val="5e2201" w:themeColor="accent3" w:themeTint="FE" w:themeShade="95"/>
        <w:sz w:val="22"/>
      </w:rPr>
    </w:tblStylePr>
    <w:tblStylePr w:type="firstCol">
      <w:rPr>
        <w:rFonts w:ascii="Arial" w:hAnsi="Arial"/>
        <w:i/>
        <w:color w:val="5e22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e22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e22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e22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9104ab" w:themeColor="accent4" w:themeTint="9A" w:themeShade="95"/>
        <w:sz w:val="22"/>
      </w:rPr>
      <w:tcPr>
        <w:shd w:val="clear" w:color="ffffff" w:themeColor="accent4" w:themeTint="34" w:fill="f3bafd" w:themeFill="accent4" w:themeFillTint="34"/>
      </w:tcPr>
    </w:tblStylePr>
    <w:tblStylePr w:type="band1Vert">
      <w:tcPr>
        <w:shd w:val="clear" w:color="ffffff" w:themeColor="accent4" w:themeTint="34" w:fill="f3bafd" w:themeFill="accent4" w:themeFillTint="34"/>
      </w:tcPr>
    </w:tblStylePr>
    <w:tblStylePr w:type="band2Horz">
      <w:rPr>
        <w:rFonts w:ascii="Arial" w:hAnsi="Arial"/>
        <w:color w:val="9104ab" w:themeColor="accent4" w:themeTint="9A" w:themeShade="95"/>
        <w:sz w:val="22"/>
      </w:rPr>
    </w:tblStylePr>
    <w:tblStylePr w:type="firstCol">
      <w:rPr>
        <w:rFonts w:ascii="Arial" w:hAnsi="Arial"/>
        <w:i/>
        <w:color w:val="9104ab"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9104ab"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9104ab"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9104ab"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745700" w:themeColor="accent5" w:themeShade="95"/>
        <w:sz w:val="22"/>
      </w:rPr>
      <w:tcPr>
        <w:shd w:val="clear" w:color="ffffff" w:themeColor="accent5" w:themeTint="34" w:fill="ffefbf" w:themeFill="accent5" w:themeFillTint="34"/>
      </w:tcPr>
    </w:tblStylePr>
    <w:tblStylePr w:type="band1Vert">
      <w:tcPr>
        <w:shd w:val="clear" w:color="ffffff" w:themeColor="accent5" w:themeTint="34" w:fill="ffefbf" w:themeFill="accent5" w:themeFillTint="34"/>
      </w:tcPr>
    </w:tblStylePr>
    <w:tblStylePr w:type="band2Horz">
      <w:rPr>
        <w:rFonts w:ascii="Arial" w:hAnsi="Arial"/>
        <w:color w:val="745700" w:themeColor="accent5" w:themeShade="95"/>
        <w:sz w:val="22"/>
      </w:rPr>
    </w:tblStylePr>
    <w:tblStylePr w:type="firstCol">
      <w:rPr>
        <w:rFonts w:ascii="Arial" w:hAnsi="Arial"/>
        <w:i/>
        <w:color w:val="745700"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745700"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745700"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745700"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741111" w:themeColor="accent6" w:themeShade="95"/>
        <w:sz w:val="22"/>
      </w:rPr>
      <w:tcPr>
        <w:shd w:val="clear" w:color="ffffff" w:themeColor="accent6" w:themeTint="34" w:fill="f7cccc" w:themeFill="accent6" w:themeFillTint="34"/>
      </w:tcPr>
    </w:tblStylePr>
    <w:tblStylePr w:type="band1Vert">
      <w:tcPr>
        <w:shd w:val="clear" w:color="ffffff" w:themeColor="accent6" w:themeTint="34" w:fill="f7cccc" w:themeFill="accent6" w:themeFillTint="34"/>
      </w:tcPr>
    </w:tblStylePr>
    <w:tblStylePr w:type="band2Horz">
      <w:rPr>
        <w:rFonts w:ascii="Arial" w:hAnsi="Arial"/>
        <w:color w:val="741111" w:themeColor="accent6" w:themeShade="95"/>
        <w:sz w:val="22"/>
      </w:rPr>
    </w:tblStylePr>
    <w:tblStylePr w:type="firstCol">
      <w:rPr>
        <w:rFonts w:ascii="Arial" w:hAnsi="Arial"/>
        <w:i/>
        <w:color w:val="741111"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741111"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741111"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741111"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8"/>
    <w:uiPriority w:val="99"/>
    <w:pPr>
      <w:spacing w:after="0" w:line="240" w:lineRule="auto"/>
    </w:pPr>
    <w:tblPr>
      <w:tblStyleRowBandSize w:val="1"/>
      <w:tblStyleColBandSize w:val="1"/>
      <w:tblInd w:w="0" w:type="dxa"/>
    </w:tblPr>
    <w:tblStylePr w:type="band1Horz">
      <w:tcPr>
        <w:shd w:val="clear" w:color="ffffff" w:themeColor="accent1" w:themeTint="40" w:fill="b6fdaa" w:themeFill="accent1" w:themeFillTint="40"/>
      </w:tcPr>
    </w:tblStylePr>
    <w:tblStylePr w:type="band1Vert">
      <w:tcPr>
        <w:shd w:val="clear" w:color="ffffff" w:themeColor="accent1" w:themeTint="40" w:fill="b6fdaa"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8"/>
    <w:uiPriority w:val="99"/>
    <w:pPr>
      <w:spacing w:after="0" w:line="240" w:lineRule="auto"/>
    </w:pPr>
    <w:tblPr>
      <w:tblStyleRowBandSize w:val="1"/>
      <w:tblStyleColBandSize w:val="1"/>
      <w:tblInd w:w="0" w:type="dxa"/>
    </w:tblPr>
    <w:tblStylePr w:type="band1Horz">
      <w:tcPr>
        <w:shd w:val="clear" w:color="ffffff" w:themeColor="accent2" w:themeTint="40" w:fill="aae1fd" w:themeFill="accent2" w:themeFillTint="40"/>
      </w:tcPr>
    </w:tblStylePr>
    <w:tblStylePr w:type="band1Vert">
      <w:tcPr>
        <w:shd w:val="clear" w:color="ffffff" w:themeColor="accent2" w:themeTint="40" w:fill="aae1fd"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8"/>
    <w:uiPriority w:val="99"/>
    <w:pPr>
      <w:spacing w:after="0" w:line="240" w:lineRule="auto"/>
    </w:pPr>
    <w:tblPr>
      <w:tblStyleRowBandSize w:val="1"/>
      <w:tblStyleColBandSize w:val="1"/>
      <w:tblInd w:w="0" w:type="dxa"/>
    </w:tblPr>
    <w:tblStylePr w:type="band1Horz">
      <w:tcPr>
        <w:shd w:val="clear" w:color="ffffff" w:themeColor="accent3" w:themeTint="40" w:fill="fdc7aa" w:themeFill="accent3" w:themeFillTint="40"/>
      </w:tcPr>
    </w:tblStylePr>
    <w:tblStylePr w:type="band1Vert">
      <w:tcPr>
        <w:shd w:val="clear" w:color="ffffff" w:themeColor="accent3" w:themeTint="40" w:fill="fdc7aa"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8"/>
    <w:uiPriority w:val="99"/>
    <w:pPr>
      <w:spacing w:after="0" w:line="240" w:lineRule="auto"/>
    </w:pPr>
    <w:tblPr>
      <w:tblStyleRowBandSize w:val="1"/>
      <w:tblStyleColBandSize w:val="1"/>
      <w:tblInd w:w="0" w:type="dxa"/>
    </w:tblPr>
    <w:tblStylePr w:type="band1Horz">
      <w:tcPr>
        <w:shd w:val="clear" w:color="ffffff" w:themeColor="accent4" w:themeTint="40" w:fill="f0aafd" w:themeFill="accent4" w:themeFillTint="40"/>
      </w:tcPr>
    </w:tblStylePr>
    <w:tblStylePr w:type="band1Vert">
      <w:tcPr>
        <w:shd w:val="clear" w:color="ffffff" w:themeColor="accent4" w:themeTint="40" w:fill="f0aafd"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8"/>
    <w:uiPriority w:val="99"/>
    <w:pPr>
      <w:spacing w:after="0" w:line="240" w:lineRule="auto"/>
    </w:pPr>
    <w:tblPr>
      <w:tblStyleRowBandSize w:val="1"/>
      <w:tblStyleColBandSize w:val="1"/>
      <w:tblInd w:w="0" w:type="dxa"/>
    </w:tblPr>
    <w:tblStylePr w:type="band1Horz">
      <w:tcPr>
        <w:shd w:val="clear" w:color="ffffff" w:themeColor="accent5" w:themeTint="40" w:fill="ffebb1" w:themeFill="accent5" w:themeFillTint="40"/>
      </w:tcPr>
    </w:tblStylePr>
    <w:tblStylePr w:type="band1Vert">
      <w:tcPr>
        <w:shd w:val="clear" w:color="ffffff" w:themeColor="accent5" w:themeTint="40" w:fill="ffebb1"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8"/>
    <w:uiPriority w:val="99"/>
    <w:pPr>
      <w:spacing w:after="0" w:line="240" w:lineRule="auto"/>
    </w:pPr>
    <w:tblPr>
      <w:tblStyleRowBandSize w:val="1"/>
      <w:tblStyleColBandSize w:val="1"/>
      <w:tblInd w:w="0" w:type="dxa"/>
    </w:tblPr>
    <w:tblStylePr w:type="band1Horz">
      <w:tcPr>
        <w:shd w:val="clear" w:color="ffffff" w:themeColor="accent6" w:themeTint="40" w:fill="f5c2c2" w:themeFill="accent6" w:themeFillTint="40"/>
      </w:tcPr>
    </w:tblStylePr>
    <w:tblStylePr w:type="band1Vert">
      <w:tcPr>
        <w:shd w:val="clear" w:color="ffffff" w:themeColor="accent6" w:themeTint="40" w:fill="f5c2c2"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6fdaa" w:themeFill="accent1" w:themeFillTint="40"/>
      </w:tcPr>
    </w:tblStylePr>
    <w:tblStylePr w:type="band1Vert">
      <w:rPr>
        <w:rFonts w:ascii="Arial" w:hAnsi="Arial"/>
        <w:color w:val="404040"/>
        <w:sz w:val="22"/>
      </w:rPr>
      <w:tcPr>
        <w:shd w:val="clear" w:color="ffffff" w:themeColor="accent1" w:themeTint="40" w:fill="b6fdaa"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aae1fd" w:themeFill="accent2" w:themeFillTint="40"/>
      </w:tcPr>
    </w:tblStylePr>
    <w:tblStylePr w:type="band1Vert">
      <w:rPr>
        <w:rFonts w:ascii="Arial" w:hAnsi="Arial"/>
        <w:color w:val="404040"/>
        <w:sz w:val="22"/>
      </w:rPr>
      <w:tcPr>
        <w:shd w:val="clear" w:color="ffffff" w:themeColor="accent2" w:themeTint="40" w:fill="aae1fd"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dc7aa" w:themeFill="accent3" w:themeFillTint="40"/>
      </w:tcPr>
    </w:tblStylePr>
    <w:tblStylePr w:type="band1Vert">
      <w:rPr>
        <w:rFonts w:ascii="Arial" w:hAnsi="Arial"/>
        <w:color w:val="404040"/>
        <w:sz w:val="22"/>
      </w:rPr>
      <w:tcPr>
        <w:shd w:val="clear" w:color="ffffff" w:themeColor="accent3" w:themeTint="40" w:fill="fdc7aa"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0aafd" w:themeFill="accent4" w:themeFillTint="40"/>
      </w:tcPr>
    </w:tblStylePr>
    <w:tblStylePr w:type="band1Vert">
      <w:rPr>
        <w:rFonts w:ascii="Arial" w:hAnsi="Arial"/>
        <w:color w:val="404040"/>
        <w:sz w:val="22"/>
      </w:rPr>
      <w:tcPr>
        <w:shd w:val="clear" w:color="ffffff" w:themeColor="accent4" w:themeTint="40" w:fill="f0aafd"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ffebb1" w:themeFill="accent5" w:themeFillTint="40"/>
      </w:tcPr>
    </w:tblStylePr>
    <w:tblStylePr w:type="band1Vert">
      <w:rPr>
        <w:rFonts w:ascii="Arial" w:hAnsi="Arial"/>
        <w:color w:val="404040"/>
        <w:sz w:val="22"/>
      </w:rPr>
      <w:tcPr>
        <w:shd w:val="clear" w:color="ffffff" w:themeColor="accent5" w:themeTint="40" w:fill="ffebb1"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5c2c2" w:themeFill="accent6" w:themeFillTint="40"/>
      </w:tcPr>
    </w:tblStylePr>
    <w:tblStylePr w:type="band1Vert">
      <w:rPr>
        <w:rFonts w:ascii="Arial" w:hAnsi="Arial"/>
        <w:color w:val="404040"/>
        <w:sz w:val="22"/>
      </w:rPr>
      <w:tcPr>
        <w:shd w:val="clear" w:color="ffffff" w:themeColor="accent6" w:themeTint="40" w:fill="f5c2c2"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18a303" w:themeFill="accent1"/>
      </w:tcPr>
    </w:tblStylePr>
    <w:tblStylePr w:type="lastCol">
      <w:rPr>
        <w:b/>
        <w:color w:val="404040"/>
      </w:rPr>
    </w:tblStylePr>
    <w:tblStylePr w:type="lastRow">
      <w:rPr>
        <w:b/>
        <w:color w:val="404040"/>
      </w:rPr>
    </w:tblStylePr>
  </w:style>
  <w:style w:type="table" w:styleId="119">
    <w:name w:val="List Table 3 - Accent 2"/>
    <w:basedOn w:val="6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36b8fb" w:themeFill="accent2" w:themeFillTint="97"/>
      </w:tcPr>
    </w:tblStylePr>
    <w:tblStylePr w:type="lastCol">
      <w:rPr>
        <w:b/>
        <w:color w:val="404040"/>
      </w:rPr>
    </w:tblStylePr>
    <w:tblStylePr w:type="lastRow">
      <w:rPr>
        <w:b/>
        <w:color w:val="404040"/>
      </w:rPr>
    </w:tblStylePr>
  </w:style>
  <w:style w:type="table" w:styleId="120">
    <w:name w:val="List Table 3 - Accent 3"/>
    <w:basedOn w:val="6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a7a35" w:themeFill="accent3" w:themeFillTint="98"/>
      </w:tcPr>
    </w:tblStylePr>
    <w:tblStylePr w:type="lastCol">
      <w:rPr>
        <w:b/>
        <w:color w:val="404040"/>
      </w:rPr>
    </w:tblStylePr>
    <w:tblStylePr w:type="lastRow">
      <w:rPr>
        <w:b/>
        <w:color w:val="404040"/>
      </w:rPr>
    </w:tblStylePr>
  </w:style>
  <w:style w:type="table" w:styleId="121">
    <w:name w:val="List Table 3 - Accent 4"/>
    <w:basedOn w:val="6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dc33fa" w:themeFill="accent4" w:themeFillTint="9A"/>
      </w:tcPr>
    </w:tblStylePr>
    <w:tblStylePr w:type="lastCol">
      <w:rPr>
        <w:b/>
        <w:color w:val="404040"/>
      </w:rPr>
    </w:tblStylePr>
    <w:tblStylePr w:type="lastRow">
      <w:rPr>
        <w:b/>
        <w:color w:val="404040"/>
      </w:rPr>
    </w:tblStylePr>
  </w:style>
  <w:style w:type="table" w:styleId="122">
    <w:name w:val="List Table 3 - Accent 5"/>
    <w:basedOn w:val="6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ffd042" w:themeFill="accent5" w:themeFillTint="9A"/>
      </w:tcPr>
    </w:tblStylePr>
    <w:tblStylePr w:type="lastCol">
      <w:rPr>
        <w:b/>
        <w:color w:val="404040"/>
      </w:rPr>
    </w:tblStylePr>
    <w:tblStylePr w:type="lastRow">
      <w:rPr>
        <w:b/>
        <w:color w:val="404040"/>
      </w:rPr>
    </w:tblStylePr>
  </w:style>
  <w:style w:type="table" w:styleId="123">
    <w:name w:val="List Table 3 - Accent 6"/>
    <w:basedOn w:val="6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96e6e" w:themeFill="accent6" w:themeFillTint="98"/>
      </w:tcPr>
    </w:tblStylePr>
    <w:tblStylePr w:type="lastCol">
      <w:rPr>
        <w:b/>
        <w:color w:val="404040"/>
      </w:rPr>
    </w:tblStylePr>
    <w:tblStylePr w:type="lastRow">
      <w:rPr>
        <w:b/>
        <w:color w:val="404040"/>
      </w:rPr>
    </w:tblStylePr>
  </w:style>
  <w:style w:type="table" w:styleId="124">
    <w:name w:val="List Table 4"/>
    <w:basedOn w:val="6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6fdaa" w:themeFill="accent1" w:themeFillTint="40"/>
      </w:tcPr>
    </w:tblStylePr>
    <w:tblStylePr w:type="band1Vert">
      <w:rPr>
        <w:rFonts w:ascii="Arial" w:hAnsi="Arial"/>
        <w:color w:val="404040"/>
        <w:sz w:val="22"/>
      </w:rPr>
      <w:tcPr>
        <w:shd w:val="clear" w:color="ffffff" w:themeColor="accent1" w:themeTint="40" w:fill="b6fdaa"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18a303" w:themeFill="accent1"/>
      </w:tcPr>
    </w:tblStylePr>
    <w:tblStylePr w:type="lastCol">
      <w:rPr>
        <w:b/>
        <w:color w:val="404040"/>
      </w:rPr>
    </w:tblStylePr>
    <w:tblStylePr w:type="lastRow">
      <w:rPr>
        <w:b/>
        <w:color w:val="404040"/>
      </w:rPr>
    </w:tblStylePr>
  </w:style>
  <w:style w:type="table" w:styleId="126">
    <w:name w:val="List Table 4 - Accent 2"/>
    <w:basedOn w:val="6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aae1fd" w:themeFill="accent2" w:themeFillTint="40"/>
      </w:tcPr>
    </w:tblStylePr>
    <w:tblStylePr w:type="band1Vert">
      <w:rPr>
        <w:rFonts w:ascii="Arial" w:hAnsi="Arial"/>
        <w:color w:val="404040"/>
        <w:sz w:val="22"/>
      </w:rPr>
      <w:tcPr>
        <w:shd w:val="clear" w:color="ffffff" w:themeColor="accent2" w:themeTint="40" w:fill="aae1fd"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0369a3" w:themeFill="accent2"/>
      </w:tcPr>
    </w:tblStylePr>
    <w:tblStylePr w:type="lastCol">
      <w:rPr>
        <w:b/>
        <w:color w:val="404040"/>
      </w:rPr>
    </w:tblStylePr>
    <w:tblStylePr w:type="lastRow">
      <w:rPr>
        <w:b/>
        <w:color w:val="404040"/>
      </w:rPr>
    </w:tblStylePr>
  </w:style>
  <w:style w:type="table" w:styleId="127">
    <w:name w:val="List Table 4 - Accent 3"/>
    <w:basedOn w:val="6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dc7aa" w:themeFill="accent3" w:themeFillTint="40"/>
      </w:tcPr>
    </w:tblStylePr>
    <w:tblStylePr w:type="band1Vert">
      <w:rPr>
        <w:rFonts w:ascii="Arial" w:hAnsi="Arial"/>
        <w:color w:val="404040"/>
        <w:sz w:val="22"/>
      </w:rPr>
      <w:tcPr>
        <w:shd w:val="clear" w:color="ffffff" w:themeColor="accent3" w:themeTint="40" w:fill="fdc7aa"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33e03" w:themeFill="accent3"/>
      </w:tcPr>
    </w:tblStylePr>
    <w:tblStylePr w:type="lastCol">
      <w:rPr>
        <w:b/>
        <w:color w:val="404040"/>
      </w:rPr>
    </w:tblStylePr>
    <w:tblStylePr w:type="lastRow">
      <w:rPr>
        <w:b/>
        <w:color w:val="404040"/>
      </w:rPr>
    </w:tblStylePr>
  </w:style>
  <w:style w:type="table" w:styleId="128">
    <w:name w:val="List Table 4 - Accent 4"/>
    <w:basedOn w:val="6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0aafd" w:themeFill="accent4" w:themeFillTint="40"/>
      </w:tcPr>
    </w:tblStylePr>
    <w:tblStylePr w:type="band1Vert">
      <w:rPr>
        <w:rFonts w:ascii="Arial" w:hAnsi="Arial"/>
        <w:color w:val="404040"/>
        <w:sz w:val="22"/>
      </w:rPr>
      <w:tcPr>
        <w:shd w:val="clear" w:color="ffffff" w:themeColor="accent4" w:themeTint="40" w:fill="f0aafd"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e03a3" w:themeFill="accent4"/>
      </w:tcPr>
    </w:tblStylePr>
    <w:tblStylePr w:type="lastCol">
      <w:rPr>
        <w:b/>
        <w:color w:val="404040"/>
      </w:rPr>
    </w:tblStylePr>
    <w:tblStylePr w:type="lastRow">
      <w:rPr>
        <w:b/>
        <w:color w:val="404040"/>
      </w:rPr>
    </w:tblStylePr>
  </w:style>
  <w:style w:type="table" w:styleId="129">
    <w:name w:val="List Table 4 - Accent 5"/>
    <w:basedOn w:val="6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ffebb1" w:themeFill="accent5" w:themeFillTint="40"/>
      </w:tcPr>
    </w:tblStylePr>
    <w:tblStylePr w:type="band1Vert">
      <w:rPr>
        <w:rFonts w:ascii="Arial" w:hAnsi="Arial"/>
        <w:color w:val="404040"/>
        <w:sz w:val="22"/>
      </w:rPr>
      <w:tcPr>
        <w:shd w:val="clear" w:color="ffffff" w:themeColor="accent5" w:themeTint="40" w:fill="ffebb1"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c99c00" w:themeFill="accent5"/>
      </w:tcPr>
    </w:tblStylePr>
    <w:tblStylePr w:type="lastCol">
      <w:rPr>
        <w:b/>
        <w:color w:val="404040"/>
      </w:rPr>
    </w:tblStylePr>
    <w:tblStylePr w:type="lastRow">
      <w:rPr>
        <w:b/>
        <w:color w:val="404040"/>
      </w:rPr>
    </w:tblStylePr>
  </w:style>
  <w:style w:type="table" w:styleId="130">
    <w:name w:val="List Table 4 - Accent 6"/>
    <w:basedOn w:val="6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5c2c2" w:themeFill="accent6" w:themeFillTint="40"/>
      </w:tcPr>
    </w:tblStylePr>
    <w:tblStylePr w:type="band1Vert">
      <w:rPr>
        <w:rFonts w:ascii="Arial" w:hAnsi="Arial"/>
        <w:color w:val="404040"/>
        <w:sz w:val="22"/>
      </w:rPr>
      <w:tcPr>
        <w:shd w:val="clear" w:color="ffffff" w:themeColor="accent6" w:themeTint="40" w:fill="f5c2c2"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c9211e" w:themeFill="accent6"/>
      </w:tcPr>
    </w:tblStylePr>
    <w:tblStylePr w:type="lastCol">
      <w:rPr>
        <w:b/>
        <w:color w:val="404040"/>
      </w:rPr>
    </w:tblStylePr>
    <w:tblStylePr w:type="lastRow">
      <w:rPr>
        <w:b/>
        <w:color w:val="404040"/>
      </w:rPr>
    </w:tblStylePr>
  </w:style>
  <w:style w:type="table" w:styleId="131">
    <w:name w:val="List Table 5 Dark"/>
    <w:basedOn w:val="6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8a303" w:themeFill="accent1"/>
    </w:tblPr>
    <w:tblStylePr w:type="band1Horz">
      <w:tcPr>
        <w:shd w:val="clear" w:color="ffffff" w:themeColor="accent1" w:fill="18a303" w:themeFill="accent1"/>
        <w:tcBorders>
          <w:top w:val="single" w:color="000000" w:themeColor="light1" w:sz="4" w:space="0"/>
          <w:bottom w:val="single" w:color="000000" w:themeColor="light1" w:sz="4" w:space="0"/>
        </w:tcBorders>
      </w:tcPr>
    </w:tblStylePr>
    <w:tblStylePr w:type="band1Vert">
      <w:tcPr>
        <w:shd w:val="clear" w:color="ffffff" w:themeColor="accent1" w:fill="18a303" w:themeFill="accent1"/>
        <w:tcBorders>
          <w:left w:val="single" w:color="000000" w:themeColor="light1" w:sz="4" w:space="0"/>
          <w:right w:val="single" w:color="000000" w:themeColor="light1" w:sz="4" w:space="0"/>
        </w:tcBorders>
      </w:tcPr>
    </w:tblStylePr>
    <w:tblStylePr w:type="band2Horz">
      <w:tcPr>
        <w:shd w:val="clear" w:color="ffffff" w:themeColor="accent1" w:fill="18a303"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18a303"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36b8fb" w:themeFill="accent2" w:themeFillTint="97"/>
    </w:tblPr>
    <w:tblStylePr w:type="band1Horz">
      <w:tcPr>
        <w:shd w:val="clear" w:color="ffffff" w:themeColor="accent2" w:themeTint="97" w:fill="36b8fb"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36b8fb"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36b8fb"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36b8fb"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a7a35" w:themeFill="accent3" w:themeFillTint="98"/>
    </w:tblPr>
    <w:tblStylePr w:type="band1Horz">
      <w:tcPr>
        <w:shd w:val="clear" w:color="ffffff" w:themeColor="accent3" w:themeTint="98" w:fill="fa7a35"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a7a35"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a7a35"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a7a35"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dc33fa" w:themeFill="accent4" w:themeFillTint="9A"/>
    </w:tblPr>
    <w:tblStylePr w:type="band1Horz">
      <w:tcPr>
        <w:shd w:val="clear" w:color="ffffff" w:themeColor="accent4" w:themeTint="9A" w:fill="dc33fa"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dc33fa"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dc33fa"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dc33fa"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ffd042" w:themeFill="accent5" w:themeFillTint="9A"/>
    </w:tblPr>
    <w:tblStylePr w:type="band1Horz">
      <w:tcPr>
        <w:shd w:val="clear" w:color="ffffff" w:themeColor="accent5" w:themeTint="9A" w:fill="ffd042"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ffd042"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ffd042"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ffd042"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96e6e" w:themeFill="accent6" w:themeFillTint="98"/>
    </w:tblPr>
    <w:tblStylePr w:type="band1Horz">
      <w:tcPr>
        <w:shd w:val="clear" w:color="ffffff" w:themeColor="accent6" w:themeTint="98" w:fill="e96e6e"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96e6e"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96e6e"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96e6e"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b6fdaa" w:themeFill="accent1" w:themeFillTint="40"/>
      </w:tcPr>
    </w:tblStylePr>
    <w:tblStylePr w:type="band1Vert">
      <w:tcPr>
        <w:shd w:val="clear" w:color="ffffff" w:themeColor="accent1" w:themeTint="40" w:fill="b6fdaa" w:themeFill="accent1" w:themeFillTint="40"/>
      </w:tcPr>
    </w:tblStylePr>
    <w:tblStylePr w:type="band2Horz">
      <w:rPr>
        <w:rFonts w:ascii="Arial" w:hAnsi="Arial"/>
        <w:color w:val="404040" w:themeColor="accent1" w:themeShade="95"/>
        <w:sz w:val="22"/>
      </w:rPr>
    </w:tblStylePr>
    <w:tblStylePr w:type="firstCol">
      <w:rPr>
        <w:b/>
        <w:color w:val="0e5e01" w:themeColor="accent1" w:themeShade="95"/>
      </w:rPr>
    </w:tblStylePr>
    <w:tblStylePr w:type="firstRow">
      <w:rPr>
        <w:b/>
        <w:color w:val="0e5e01" w:themeColor="accent1" w:themeShade="95"/>
      </w:rPr>
      <w:tcPr>
        <w:tcBorders>
          <w:bottom w:val="single" w:color="000000" w:themeColor="accent1" w:sz="4" w:space="0"/>
        </w:tcBorders>
      </w:tcPr>
    </w:tblStylePr>
    <w:tblStylePr w:type="lastCol">
      <w:rPr>
        <w:b/>
        <w:color w:val="0e5e01" w:themeColor="accent1" w:themeShade="95"/>
      </w:rPr>
    </w:tblStylePr>
    <w:tblStylePr w:type="lastRow">
      <w:rPr>
        <w:b/>
        <w:color w:val="0e5e01" w:themeColor="accent1" w:themeShade="95"/>
      </w:rPr>
      <w:tcPr>
        <w:tcBorders>
          <w:top w:val="single" w:color="000000" w:themeColor="accent1" w:sz="4" w:space="0"/>
        </w:tcBorders>
      </w:tcPr>
    </w:tblStylePr>
  </w:style>
  <w:style w:type="table" w:styleId="140">
    <w:name w:val="List Table 6 Colorful - Accent 2"/>
    <w:basedOn w:val="6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aae1fd" w:themeFill="accent2" w:themeFillTint="40"/>
      </w:tcPr>
    </w:tblStylePr>
    <w:tblStylePr w:type="band1Vert">
      <w:tcPr>
        <w:shd w:val="clear" w:color="ffffff" w:themeColor="accent2" w:themeTint="40" w:fill="aae1fd" w:themeFill="accent2" w:themeFillTint="40"/>
      </w:tcPr>
    </w:tblStylePr>
    <w:tblStylePr w:type="band2Horz">
      <w:rPr>
        <w:rFonts w:ascii="Arial" w:hAnsi="Arial"/>
        <w:color w:val="404040" w:themeColor="accent2" w:themeTint="97" w:themeShade="95"/>
        <w:sz w:val="22"/>
      </w:rPr>
    </w:tblStylePr>
    <w:tblStylePr w:type="firstCol">
      <w:rPr>
        <w:b/>
        <w:color w:val="0378ae" w:themeColor="accent2" w:themeTint="97" w:themeShade="95"/>
      </w:rPr>
    </w:tblStylePr>
    <w:tblStylePr w:type="firstRow">
      <w:rPr>
        <w:b/>
        <w:color w:val="0378ae" w:themeColor="accent2" w:themeTint="97" w:themeShade="95"/>
      </w:rPr>
      <w:tcPr>
        <w:tcBorders>
          <w:bottom w:val="single" w:color="000000" w:themeColor="accent2" w:themeTint="97" w:sz="4" w:space="0"/>
        </w:tcBorders>
      </w:tcPr>
    </w:tblStylePr>
    <w:tblStylePr w:type="lastCol">
      <w:rPr>
        <w:b/>
        <w:color w:val="0378ae" w:themeColor="accent2" w:themeTint="97" w:themeShade="95"/>
      </w:rPr>
    </w:tblStylePr>
    <w:tblStylePr w:type="lastRow">
      <w:rPr>
        <w:b/>
        <w:color w:val="0378ae" w:themeColor="accent2" w:themeTint="97" w:themeShade="95"/>
      </w:rPr>
      <w:tcPr>
        <w:tcBorders>
          <w:top w:val="single" w:color="000000" w:themeColor="accent2" w:themeTint="97" w:sz="4" w:space="0"/>
        </w:tcBorders>
      </w:tcPr>
    </w:tblStylePr>
  </w:style>
  <w:style w:type="table" w:styleId="141">
    <w:name w:val="List Table 6 Colorful - Accent 3"/>
    <w:basedOn w:val="6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dc7aa" w:themeFill="accent3" w:themeFillTint="40"/>
      </w:tcPr>
    </w:tblStylePr>
    <w:tblStylePr w:type="band1Vert">
      <w:tcPr>
        <w:shd w:val="clear" w:color="ffffff" w:themeColor="accent3" w:themeTint="40" w:fill="fdc7aa" w:themeFill="accent3" w:themeFillTint="40"/>
      </w:tcPr>
    </w:tblStylePr>
    <w:tblStylePr w:type="band2Horz">
      <w:rPr>
        <w:rFonts w:ascii="Arial" w:hAnsi="Arial"/>
        <w:color w:val="404040" w:themeColor="accent3" w:themeTint="98" w:themeShade="95"/>
        <w:sz w:val="22"/>
      </w:rPr>
    </w:tblStylePr>
    <w:tblStylePr w:type="firstCol">
      <w:rPr>
        <w:b/>
        <w:color w:val="ab3b04" w:themeColor="accent3" w:themeTint="98" w:themeShade="95"/>
      </w:rPr>
    </w:tblStylePr>
    <w:tblStylePr w:type="firstRow">
      <w:rPr>
        <w:b/>
        <w:color w:val="ab3b04" w:themeColor="accent3" w:themeTint="98" w:themeShade="95"/>
      </w:rPr>
      <w:tcPr>
        <w:tcBorders>
          <w:bottom w:val="single" w:color="000000" w:themeColor="accent3" w:themeTint="98" w:sz="4" w:space="0"/>
        </w:tcBorders>
      </w:tcPr>
    </w:tblStylePr>
    <w:tblStylePr w:type="lastCol">
      <w:rPr>
        <w:b/>
        <w:color w:val="ab3b04" w:themeColor="accent3" w:themeTint="98" w:themeShade="95"/>
      </w:rPr>
    </w:tblStylePr>
    <w:tblStylePr w:type="lastRow">
      <w:rPr>
        <w:b/>
        <w:color w:val="ab3b04" w:themeColor="accent3" w:themeTint="98" w:themeShade="95"/>
      </w:rPr>
      <w:tcPr>
        <w:tcBorders>
          <w:top w:val="single" w:color="000000" w:themeColor="accent3" w:themeTint="98" w:sz="4" w:space="0"/>
        </w:tcBorders>
      </w:tcPr>
    </w:tblStylePr>
  </w:style>
  <w:style w:type="table" w:styleId="142">
    <w:name w:val="List Table 6 Colorful - Accent 4"/>
    <w:basedOn w:val="6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0aafd" w:themeFill="accent4" w:themeFillTint="40"/>
      </w:tcPr>
    </w:tblStylePr>
    <w:tblStylePr w:type="band1Vert">
      <w:tcPr>
        <w:shd w:val="clear" w:color="ffffff" w:themeColor="accent4" w:themeTint="40" w:fill="f0aafd" w:themeFill="accent4" w:themeFillTint="40"/>
      </w:tcPr>
    </w:tblStylePr>
    <w:tblStylePr w:type="band2Horz">
      <w:rPr>
        <w:rFonts w:ascii="Arial" w:hAnsi="Arial"/>
        <w:color w:val="404040" w:themeColor="accent4" w:themeTint="9A" w:themeShade="95"/>
        <w:sz w:val="22"/>
      </w:rPr>
    </w:tblStylePr>
    <w:tblStylePr w:type="firstCol">
      <w:rPr>
        <w:b/>
        <w:color w:val="9104ab" w:themeColor="accent4" w:themeTint="9A" w:themeShade="95"/>
      </w:rPr>
    </w:tblStylePr>
    <w:tblStylePr w:type="firstRow">
      <w:rPr>
        <w:b/>
        <w:color w:val="9104ab" w:themeColor="accent4" w:themeTint="9A" w:themeShade="95"/>
      </w:rPr>
      <w:tcPr>
        <w:tcBorders>
          <w:bottom w:val="single" w:color="000000" w:themeColor="accent4" w:themeTint="9A" w:sz="4" w:space="0"/>
        </w:tcBorders>
      </w:tcPr>
    </w:tblStylePr>
    <w:tblStylePr w:type="lastCol">
      <w:rPr>
        <w:b/>
        <w:color w:val="9104ab" w:themeColor="accent4" w:themeTint="9A" w:themeShade="95"/>
      </w:rPr>
    </w:tblStylePr>
    <w:tblStylePr w:type="lastRow">
      <w:rPr>
        <w:b/>
        <w:color w:val="9104ab" w:themeColor="accent4" w:themeTint="9A" w:themeShade="95"/>
      </w:rPr>
      <w:tcPr>
        <w:tcBorders>
          <w:top w:val="single" w:color="000000" w:themeColor="accent4" w:themeTint="9A" w:sz="4" w:space="0"/>
        </w:tcBorders>
      </w:tcPr>
    </w:tblStylePr>
  </w:style>
  <w:style w:type="table" w:styleId="143">
    <w:name w:val="List Table 6 Colorful - Accent 5"/>
    <w:basedOn w:val="6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ffebb1" w:themeFill="accent5" w:themeFillTint="40"/>
      </w:tcPr>
    </w:tblStylePr>
    <w:tblStylePr w:type="band1Vert">
      <w:tcPr>
        <w:shd w:val="clear" w:color="ffffff" w:themeColor="accent5" w:themeTint="40" w:fill="ffebb1" w:themeFill="accent5" w:themeFillTint="40"/>
      </w:tcPr>
    </w:tblStylePr>
    <w:tblStylePr w:type="band2Horz">
      <w:rPr>
        <w:rFonts w:ascii="Arial" w:hAnsi="Arial"/>
        <w:color w:val="404040" w:themeColor="accent5" w:themeTint="9A" w:themeShade="95"/>
        <w:sz w:val="22"/>
      </w:rPr>
    </w:tblStylePr>
    <w:tblStylePr w:type="firstCol">
      <w:rPr>
        <w:b/>
        <w:color w:val="ba8700" w:themeColor="accent5" w:themeTint="9A" w:themeShade="95"/>
      </w:rPr>
    </w:tblStylePr>
    <w:tblStylePr w:type="firstRow">
      <w:rPr>
        <w:b/>
        <w:color w:val="ba8700" w:themeColor="accent5" w:themeTint="9A" w:themeShade="95"/>
      </w:rPr>
      <w:tcPr>
        <w:tcBorders>
          <w:bottom w:val="single" w:color="000000" w:themeColor="accent5" w:themeTint="9A" w:sz="4" w:space="0"/>
        </w:tcBorders>
      </w:tcPr>
    </w:tblStylePr>
    <w:tblStylePr w:type="lastCol">
      <w:rPr>
        <w:b/>
        <w:color w:val="ba8700" w:themeColor="accent5" w:themeTint="9A" w:themeShade="95"/>
      </w:rPr>
    </w:tblStylePr>
    <w:tblStylePr w:type="lastRow">
      <w:rPr>
        <w:b/>
        <w:color w:val="ba8700" w:themeColor="accent5" w:themeTint="9A" w:themeShade="95"/>
      </w:rPr>
      <w:tcPr>
        <w:tcBorders>
          <w:top w:val="single" w:color="000000" w:themeColor="accent5" w:themeTint="9A" w:sz="4" w:space="0"/>
        </w:tcBorders>
      </w:tcPr>
    </w:tblStylePr>
  </w:style>
  <w:style w:type="table" w:styleId="144">
    <w:name w:val="List Table 6 Colorful - Accent 6"/>
    <w:basedOn w:val="6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5c2c2" w:themeFill="accent6" w:themeFillTint="40"/>
      </w:tcPr>
    </w:tblStylePr>
    <w:tblStylePr w:type="band1Vert">
      <w:tcPr>
        <w:shd w:val="clear" w:color="ffffff" w:themeColor="accent6" w:themeTint="40" w:fill="f5c2c2" w:themeFill="accent6" w:themeFillTint="40"/>
      </w:tcPr>
    </w:tblStylePr>
    <w:tblStylePr w:type="band2Horz">
      <w:rPr>
        <w:rFonts w:ascii="Arial" w:hAnsi="Arial"/>
        <w:color w:val="404040" w:themeColor="accent6" w:themeTint="98" w:themeShade="95"/>
        <w:sz w:val="22"/>
      </w:rPr>
    </w:tblStylePr>
    <w:tblStylePr w:type="firstCol">
      <w:rPr>
        <w:b/>
        <w:color w:val="ad1a1a" w:themeColor="accent6" w:themeTint="98" w:themeShade="95"/>
      </w:rPr>
    </w:tblStylePr>
    <w:tblStylePr w:type="firstRow">
      <w:rPr>
        <w:b/>
        <w:color w:val="ad1a1a" w:themeColor="accent6" w:themeTint="98" w:themeShade="95"/>
      </w:rPr>
      <w:tcPr>
        <w:tcBorders>
          <w:bottom w:val="single" w:color="000000" w:themeColor="accent6" w:themeTint="98" w:sz="4" w:space="0"/>
        </w:tcBorders>
      </w:tcPr>
    </w:tblStylePr>
    <w:tblStylePr w:type="lastCol">
      <w:rPr>
        <w:b/>
        <w:color w:val="ad1a1a" w:themeColor="accent6" w:themeTint="98" w:themeShade="95"/>
      </w:rPr>
    </w:tblStylePr>
    <w:tblStylePr w:type="lastRow">
      <w:rPr>
        <w:b/>
        <w:color w:val="ad1a1a" w:themeColor="accent6" w:themeTint="98" w:themeShade="95"/>
      </w:rPr>
      <w:tcPr>
        <w:tcBorders>
          <w:top w:val="single" w:color="000000" w:themeColor="accent6" w:themeTint="98" w:sz="4" w:space="0"/>
        </w:tcBorders>
      </w:tcPr>
    </w:tblStylePr>
  </w:style>
  <w:style w:type="table" w:styleId="145">
    <w:name w:val="List Table 7 Colorful"/>
    <w:basedOn w:val="6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0e5e01" w:themeColor="accent1" w:themeShade="95"/>
        <w:sz w:val="22"/>
      </w:rPr>
      <w:tcPr>
        <w:shd w:val="clear" w:color="ffffff" w:themeColor="accent1" w:themeTint="40" w:fill="b6fdaa" w:themeFill="accent1" w:themeFillTint="40"/>
      </w:tcPr>
    </w:tblStylePr>
    <w:tblStylePr w:type="band1Vert">
      <w:tcPr>
        <w:shd w:val="clear" w:color="ffffff" w:themeColor="accent1" w:themeTint="40" w:fill="b6fdaa" w:themeFill="accent1" w:themeFillTint="40"/>
      </w:tcPr>
    </w:tblStylePr>
    <w:tblStylePr w:type="band2Horz">
      <w:rPr>
        <w:rFonts w:ascii="Arial" w:hAnsi="Arial"/>
        <w:color w:val="0e5e01" w:themeColor="accent1" w:themeShade="95"/>
        <w:sz w:val="22"/>
      </w:rPr>
    </w:tblStylePr>
    <w:tblStylePr w:type="firstCol">
      <w:rPr>
        <w:rFonts w:ascii="Arial" w:hAnsi="Arial"/>
        <w:i/>
        <w:color w:val="0e5e0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0e5e0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0e5e0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0e5e0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0e5e01" w:themeColor="accent1" w:themeShade="95"/>
        <w:sz w:val="22"/>
      </w:rPr>
    </w:tblStylePr>
  </w:style>
  <w:style w:type="table" w:styleId="147">
    <w:name w:val="List Table 7 Colorful - Accent 2"/>
    <w:basedOn w:val="6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0378ae" w:themeColor="accent2" w:themeTint="97" w:themeShade="95"/>
        <w:sz w:val="22"/>
      </w:rPr>
      <w:tcPr>
        <w:shd w:val="clear" w:color="ffffff" w:themeColor="accent2" w:themeTint="40" w:fill="aae1fd" w:themeFill="accent2" w:themeFillTint="40"/>
      </w:tcPr>
    </w:tblStylePr>
    <w:tblStylePr w:type="band1Vert">
      <w:tcPr>
        <w:shd w:val="clear" w:color="ffffff" w:themeColor="accent2" w:themeTint="40" w:fill="aae1fd" w:themeFill="accent2" w:themeFillTint="40"/>
      </w:tcPr>
    </w:tblStylePr>
    <w:tblStylePr w:type="band2Horz">
      <w:rPr>
        <w:rFonts w:ascii="Arial" w:hAnsi="Arial"/>
        <w:color w:val="0378ae" w:themeColor="accent2" w:themeTint="97" w:themeShade="95"/>
        <w:sz w:val="22"/>
      </w:rPr>
    </w:tblStylePr>
    <w:tblStylePr w:type="firstCol">
      <w:rPr>
        <w:rFonts w:ascii="Arial" w:hAnsi="Arial"/>
        <w:i/>
        <w:color w:val="0378ae"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0378ae"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0378ae"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0378ae"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0378ae" w:themeColor="accent2" w:themeTint="97" w:themeShade="95"/>
        <w:sz w:val="22"/>
      </w:rPr>
    </w:tblStylePr>
  </w:style>
  <w:style w:type="table" w:styleId="148">
    <w:name w:val="List Table 7 Colorful - Accent 3"/>
    <w:basedOn w:val="6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ab3b04" w:themeColor="accent3" w:themeTint="98" w:themeShade="95"/>
        <w:sz w:val="22"/>
      </w:rPr>
      <w:tcPr>
        <w:shd w:val="clear" w:color="ffffff" w:themeColor="accent3" w:themeTint="40" w:fill="fdc7aa" w:themeFill="accent3" w:themeFillTint="40"/>
      </w:tcPr>
    </w:tblStylePr>
    <w:tblStylePr w:type="band1Vert">
      <w:tcPr>
        <w:shd w:val="clear" w:color="ffffff" w:themeColor="accent3" w:themeTint="40" w:fill="fdc7aa" w:themeFill="accent3" w:themeFillTint="40"/>
      </w:tcPr>
    </w:tblStylePr>
    <w:tblStylePr w:type="band2Horz">
      <w:rPr>
        <w:rFonts w:ascii="Arial" w:hAnsi="Arial"/>
        <w:color w:val="ab3b04" w:themeColor="accent3" w:themeTint="98" w:themeShade="95"/>
        <w:sz w:val="22"/>
      </w:rPr>
    </w:tblStylePr>
    <w:tblStylePr w:type="firstCol">
      <w:rPr>
        <w:rFonts w:ascii="Arial" w:hAnsi="Arial"/>
        <w:i/>
        <w:color w:val="ab3b04"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ab3b04"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ab3b04"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ab3b04"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ab3b04" w:themeColor="accent3" w:themeTint="98" w:themeShade="95"/>
        <w:sz w:val="22"/>
      </w:rPr>
    </w:tblStylePr>
  </w:style>
  <w:style w:type="table" w:styleId="149">
    <w:name w:val="List Table 7 Colorful - Accent 4"/>
    <w:basedOn w:val="6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9104ab" w:themeColor="accent4" w:themeTint="9A" w:themeShade="95"/>
        <w:sz w:val="22"/>
      </w:rPr>
      <w:tcPr>
        <w:shd w:val="clear" w:color="ffffff" w:themeColor="accent4" w:themeTint="40" w:fill="f0aafd" w:themeFill="accent4" w:themeFillTint="40"/>
      </w:tcPr>
    </w:tblStylePr>
    <w:tblStylePr w:type="band1Vert">
      <w:tcPr>
        <w:shd w:val="clear" w:color="ffffff" w:themeColor="accent4" w:themeTint="40" w:fill="f0aafd" w:themeFill="accent4" w:themeFillTint="40"/>
      </w:tcPr>
    </w:tblStylePr>
    <w:tblStylePr w:type="band2Horz">
      <w:rPr>
        <w:rFonts w:ascii="Arial" w:hAnsi="Arial"/>
        <w:color w:val="9104ab" w:themeColor="accent4" w:themeTint="9A" w:themeShade="95"/>
        <w:sz w:val="22"/>
      </w:rPr>
    </w:tblStylePr>
    <w:tblStylePr w:type="firstCol">
      <w:rPr>
        <w:rFonts w:ascii="Arial" w:hAnsi="Arial"/>
        <w:i/>
        <w:color w:val="9104ab"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9104ab"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9104ab"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9104ab"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9104ab" w:themeColor="accent4" w:themeTint="9A" w:themeShade="95"/>
        <w:sz w:val="22"/>
      </w:rPr>
    </w:tblStylePr>
  </w:style>
  <w:style w:type="table" w:styleId="150">
    <w:name w:val="List Table 7 Colorful - Accent 5"/>
    <w:basedOn w:val="6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ba8700" w:themeColor="accent5" w:themeTint="9A" w:themeShade="95"/>
        <w:sz w:val="22"/>
      </w:rPr>
      <w:tcPr>
        <w:shd w:val="clear" w:color="ffffff" w:themeColor="accent5" w:themeTint="40" w:fill="ffebb1" w:themeFill="accent5" w:themeFillTint="40"/>
      </w:tcPr>
    </w:tblStylePr>
    <w:tblStylePr w:type="band1Vert">
      <w:tcPr>
        <w:shd w:val="clear" w:color="ffffff" w:themeColor="accent5" w:themeTint="40" w:fill="ffebb1" w:themeFill="accent5" w:themeFillTint="40"/>
      </w:tcPr>
    </w:tblStylePr>
    <w:tblStylePr w:type="band2Horz">
      <w:rPr>
        <w:rFonts w:ascii="Arial" w:hAnsi="Arial"/>
        <w:color w:val="ba8700" w:themeColor="accent5" w:themeTint="9A" w:themeShade="95"/>
        <w:sz w:val="22"/>
      </w:rPr>
    </w:tblStylePr>
    <w:tblStylePr w:type="firstCol">
      <w:rPr>
        <w:rFonts w:ascii="Arial" w:hAnsi="Arial"/>
        <w:i/>
        <w:color w:val="ba870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ba870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ba870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ba870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ba8700" w:themeColor="accent5" w:themeTint="9A" w:themeShade="95"/>
        <w:sz w:val="22"/>
      </w:rPr>
    </w:tblStylePr>
  </w:style>
  <w:style w:type="table" w:styleId="151">
    <w:name w:val="List Table 7 Colorful - Accent 6"/>
    <w:basedOn w:val="6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ad1a1a" w:themeColor="accent6" w:themeTint="98" w:themeShade="95"/>
        <w:sz w:val="22"/>
      </w:rPr>
      <w:tcPr>
        <w:shd w:val="clear" w:color="ffffff" w:themeColor="accent6" w:themeTint="40" w:fill="f5c2c2" w:themeFill="accent6" w:themeFillTint="40"/>
      </w:tcPr>
    </w:tblStylePr>
    <w:tblStylePr w:type="band1Vert">
      <w:tcPr>
        <w:shd w:val="clear" w:color="ffffff" w:themeColor="accent6" w:themeTint="40" w:fill="f5c2c2" w:themeFill="accent6" w:themeFillTint="40"/>
      </w:tcPr>
    </w:tblStylePr>
    <w:tblStylePr w:type="band2Horz">
      <w:rPr>
        <w:rFonts w:ascii="Arial" w:hAnsi="Arial"/>
        <w:color w:val="ad1a1a" w:themeColor="accent6" w:themeTint="98" w:themeShade="95"/>
        <w:sz w:val="22"/>
      </w:rPr>
    </w:tblStylePr>
    <w:tblStylePr w:type="firstCol">
      <w:rPr>
        <w:rFonts w:ascii="Arial" w:hAnsi="Arial"/>
        <w:i/>
        <w:color w:val="ad1a1a"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ad1a1a"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ad1a1a"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ad1a1a"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ad1a1a" w:themeColor="accent6" w:themeTint="98" w:themeShade="95"/>
        <w:sz w:val="22"/>
      </w:rPr>
    </w:tblStylePr>
  </w:style>
  <w:style w:type="table" w:styleId="152">
    <w:name w:val="Lined - Accent"/>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a3fc95" w:themeFill="accent1" w:themeFillTint="50"/>
      </w:tcPr>
    </w:tblStylePr>
    <w:tblStylePr w:type="band2Vert">
      <w:rPr>
        <w:rFonts w:ascii="Arial" w:hAnsi="Arial"/>
        <w:color w:val="404040"/>
        <w:sz w:val="22"/>
      </w:rPr>
      <w:tcPr>
        <w:shd w:val="clear" w:color="ffffff" w:themeColor="accent1" w:themeTint="50" w:fill="a3fc95" w:themeFill="accent1" w:themeFillTint="50"/>
      </w:tcPr>
    </w:tblStylePr>
    <w:tblStylePr w:type="firstCol">
      <w:rPr>
        <w:rFonts w:ascii="Arial" w:hAnsi="Arial"/>
        <w:color w:val="f2f2f2"/>
        <w:sz w:val="22"/>
      </w:rPr>
      <w:tcPr>
        <w:shd w:val="clear" w:color="ffffff" w:themeColor="accent1" w:themeTint="EA" w:fill="1ebe03" w:themeFill="accent1" w:themeFillTint="EA"/>
      </w:tcPr>
    </w:tblStylePr>
    <w:tblStylePr w:type="firstRow">
      <w:rPr>
        <w:rFonts w:ascii="Arial" w:hAnsi="Arial"/>
        <w:color w:val="f2f2f2"/>
        <w:sz w:val="22"/>
      </w:rPr>
      <w:tcPr>
        <w:shd w:val="clear" w:color="ffffff" w:themeColor="accent1" w:themeTint="EA" w:fill="1ebe03" w:themeFill="accent1" w:themeFillTint="EA"/>
      </w:tcPr>
    </w:tblStylePr>
    <w:tblStylePr w:type="lastCol">
      <w:rPr>
        <w:rFonts w:ascii="Arial" w:hAnsi="Arial"/>
        <w:color w:val="f2f2f2"/>
        <w:sz w:val="22"/>
      </w:rPr>
      <w:tcPr>
        <w:shd w:val="clear" w:color="ffffff" w:themeColor="accent1" w:themeTint="EA" w:fill="1ebe03" w:themeFill="accent1" w:themeFillTint="EA"/>
      </w:tcPr>
    </w:tblStylePr>
    <w:tblStylePr w:type="lastRow">
      <w:rPr>
        <w:rFonts w:ascii="Arial" w:hAnsi="Arial"/>
        <w:color w:val="f2f2f2"/>
        <w:sz w:val="22"/>
      </w:rPr>
      <w:tcPr>
        <w:shd w:val="clear" w:color="ffffff" w:themeColor="accent1" w:themeTint="EA" w:fill="1ebe03" w:themeFill="accent1" w:themeFillTint="EA"/>
      </w:tcPr>
    </w:tblStylePr>
  </w:style>
  <w:style w:type="table" w:styleId="154">
    <w:name w:val="Lined - Accent 2"/>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bce7fd" w:themeFill="accent2" w:themeFillTint="32"/>
      </w:tcPr>
    </w:tblStylePr>
    <w:tblStylePr w:type="band2Vert">
      <w:rPr>
        <w:rFonts w:ascii="Arial" w:hAnsi="Arial"/>
        <w:color w:val="404040"/>
        <w:sz w:val="22"/>
      </w:rPr>
      <w:tcPr>
        <w:shd w:val="clear" w:color="ffffff" w:themeColor="accent2" w:themeTint="32" w:fill="bce7fd" w:themeFill="accent2" w:themeFillTint="32"/>
      </w:tcPr>
    </w:tblStylePr>
    <w:tblStylePr w:type="firstCol">
      <w:rPr>
        <w:rFonts w:ascii="Arial" w:hAnsi="Arial"/>
        <w:color w:val="f2f2f2"/>
        <w:sz w:val="22"/>
      </w:rPr>
      <w:tcPr>
        <w:shd w:val="clear" w:color="ffffff" w:themeColor="accent2" w:themeTint="97" w:fill="36b8fb" w:themeFill="accent2" w:themeFillTint="97"/>
      </w:tcPr>
    </w:tblStylePr>
    <w:tblStylePr w:type="firstRow">
      <w:rPr>
        <w:rFonts w:ascii="Arial" w:hAnsi="Arial"/>
        <w:color w:val="f2f2f2"/>
        <w:sz w:val="22"/>
      </w:rPr>
      <w:tcPr>
        <w:shd w:val="clear" w:color="ffffff" w:themeColor="accent2" w:themeTint="97" w:fill="36b8fb" w:themeFill="accent2" w:themeFillTint="97"/>
      </w:tcPr>
    </w:tblStylePr>
    <w:tblStylePr w:type="lastCol">
      <w:rPr>
        <w:rFonts w:ascii="Arial" w:hAnsi="Arial"/>
        <w:color w:val="f2f2f2"/>
        <w:sz w:val="22"/>
      </w:rPr>
      <w:tcPr>
        <w:shd w:val="clear" w:color="ffffff" w:themeColor="accent2" w:themeTint="97" w:fill="36b8fb" w:themeFill="accent2" w:themeFillTint="97"/>
      </w:tcPr>
    </w:tblStylePr>
    <w:tblStylePr w:type="lastRow">
      <w:rPr>
        <w:rFonts w:ascii="Arial" w:hAnsi="Arial"/>
        <w:color w:val="f2f2f2"/>
        <w:sz w:val="22"/>
      </w:rPr>
      <w:tcPr>
        <w:shd w:val="clear" w:color="ffffff" w:themeColor="accent2" w:themeTint="97" w:fill="36b8fb" w:themeFill="accent2" w:themeFillTint="97"/>
      </w:tcPr>
    </w:tblStylePr>
  </w:style>
  <w:style w:type="table" w:styleId="155">
    <w:name w:val="Lined - Accent 3"/>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dd2ba" w:themeFill="accent3" w:themeFillTint="34"/>
      </w:tcPr>
    </w:tblStylePr>
    <w:tblStylePr w:type="band2Vert">
      <w:rPr>
        <w:rFonts w:ascii="Arial" w:hAnsi="Arial"/>
        <w:color w:val="404040"/>
        <w:sz w:val="22"/>
      </w:rPr>
      <w:tcPr>
        <w:shd w:val="clear" w:color="ffffff" w:themeColor="accent3" w:themeTint="34" w:fill="fdd2ba" w:themeFill="accent3" w:themeFillTint="34"/>
      </w:tcPr>
    </w:tblStylePr>
    <w:tblStylePr w:type="firstCol">
      <w:rPr>
        <w:rFonts w:ascii="Arial" w:hAnsi="Arial"/>
        <w:color w:val="f2f2f2"/>
        <w:sz w:val="22"/>
      </w:rPr>
      <w:tcPr>
        <w:shd w:val="clear" w:color="ffffff" w:themeColor="accent3" w:themeTint="FE" w:fill="a43c03" w:themeFill="accent3" w:themeFillTint="FE"/>
      </w:tcPr>
    </w:tblStylePr>
    <w:tblStylePr w:type="firstRow">
      <w:rPr>
        <w:rFonts w:ascii="Arial" w:hAnsi="Arial"/>
        <w:color w:val="f2f2f2"/>
        <w:sz w:val="22"/>
      </w:rPr>
      <w:tcPr>
        <w:shd w:val="clear" w:color="ffffff" w:themeColor="accent3" w:themeTint="FE" w:fill="a43c03" w:themeFill="accent3" w:themeFillTint="FE"/>
      </w:tcPr>
    </w:tblStylePr>
    <w:tblStylePr w:type="lastCol">
      <w:rPr>
        <w:rFonts w:ascii="Arial" w:hAnsi="Arial"/>
        <w:color w:val="f2f2f2"/>
        <w:sz w:val="22"/>
      </w:rPr>
      <w:tcPr>
        <w:shd w:val="clear" w:color="ffffff" w:themeColor="accent3" w:themeTint="FE" w:fill="a43c03" w:themeFill="accent3" w:themeFillTint="FE"/>
      </w:tcPr>
    </w:tblStylePr>
    <w:tblStylePr w:type="lastRow">
      <w:rPr>
        <w:rFonts w:ascii="Arial" w:hAnsi="Arial"/>
        <w:color w:val="f2f2f2"/>
        <w:sz w:val="22"/>
      </w:rPr>
      <w:tcPr>
        <w:shd w:val="clear" w:color="ffffff" w:themeColor="accent3" w:themeTint="FE" w:fill="a43c03" w:themeFill="accent3" w:themeFillTint="FE"/>
      </w:tcPr>
    </w:tblStylePr>
  </w:style>
  <w:style w:type="table" w:styleId="156">
    <w:name w:val="Lined - Accent 4"/>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3bafd" w:themeFill="accent4" w:themeFillTint="34"/>
      </w:tcPr>
    </w:tblStylePr>
    <w:tblStylePr w:type="band2Vert">
      <w:rPr>
        <w:rFonts w:ascii="Arial" w:hAnsi="Arial"/>
        <w:color w:val="404040"/>
        <w:sz w:val="22"/>
      </w:rPr>
      <w:tcPr>
        <w:shd w:val="clear" w:color="ffffff" w:themeColor="accent4" w:themeTint="34" w:fill="f3bafd" w:themeFill="accent4" w:themeFillTint="34"/>
      </w:tcPr>
    </w:tblStylePr>
    <w:tblStylePr w:type="firstCol">
      <w:rPr>
        <w:rFonts w:ascii="Arial" w:hAnsi="Arial"/>
        <w:color w:val="f2f2f2"/>
        <w:sz w:val="22"/>
      </w:rPr>
      <w:tcPr>
        <w:shd w:val="clear" w:color="ffffff" w:themeColor="accent4" w:themeTint="9A" w:fill="dc33fa" w:themeFill="accent4" w:themeFillTint="9A"/>
      </w:tcPr>
    </w:tblStylePr>
    <w:tblStylePr w:type="firstRow">
      <w:rPr>
        <w:rFonts w:ascii="Arial" w:hAnsi="Arial"/>
        <w:color w:val="f2f2f2"/>
        <w:sz w:val="22"/>
      </w:rPr>
      <w:tcPr>
        <w:shd w:val="clear" w:color="ffffff" w:themeColor="accent4" w:themeTint="9A" w:fill="dc33fa" w:themeFill="accent4" w:themeFillTint="9A"/>
      </w:tcPr>
    </w:tblStylePr>
    <w:tblStylePr w:type="lastCol">
      <w:rPr>
        <w:rFonts w:ascii="Arial" w:hAnsi="Arial"/>
        <w:color w:val="f2f2f2"/>
        <w:sz w:val="22"/>
      </w:rPr>
      <w:tcPr>
        <w:shd w:val="clear" w:color="ffffff" w:themeColor="accent4" w:themeTint="9A" w:fill="dc33fa" w:themeFill="accent4" w:themeFillTint="9A"/>
      </w:tcPr>
    </w:tblStylePr>
    <w:tblStylePr w:type="lastRow">
      <w:rPr>
        <w:rFonts w:ascii="Arial" w:hAnsi="Arial"/>
        <w:color w:val="f2f2f2"/>
        <w:sz w:val="22"/>
      </w:rPr>
      <w:tcPr>
        <w:shd w:val="clear" w:color="ffffff" w:themeColor="accent4" w:themeTint="9A" w:fill="dc33fa" w:themeFill="accent4" w:themeFillTint="9A"/>
      </w:tcPr>
    </w:tblStylePr>
  </w:style>
  <w:style w:type="table" w:styleId="157">
    <w:name w:val="Lined - Accent 5"/>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fefbf" w:themeFill="accent5" w:themeFillTint="34"/>
      </w:tcPr>
    </w:tblStylePr>
    <w:tblStylePr w:type="band2Vert">
      <w:rPr>
        <w:rFonts w:ascii="Arial" w:hAnsi="Arial"/>
        <w:color w:val="404040"/>
        <w:sz w:val="22"/>
      </w:rPr>
      <w:tcPr>
        <w:shd w:val="clear" w:color="ffffff" w:themeColor="accent5" w:themeTint="34" w:fill="ffefbf" w:themeFill="accent5" w:themeFillTint="34"/>
      </w:tcPr>
    </w:tblStylePr>
    <w:tblStylePr w:type="firstCol">
      <w:rPr>
        <w:rFonts w:ascii="Arial" w:hAnsi="Arial"/>
        <w:color w:val="f2f2f2"/>
        <w:sz w:val="22"/>
      </w:rPr>
      <w:tcPr>
        <w:shd w:val="clear" w:color="ffffff" w:themeColor="accent5" w:fill="c99c00" w:themeFill="accent5"/>
      </w:tcPr>
    </w:tblStylePr>
    <w:tblStylePr w:type="firstRow">
      <w:rPr>
        <w:rFonts w:ascii="Arial" w:hAnsi="Arial"/>
        <w:color w:val="f2f2f2"/>
        <w:sz w:val="22"/>
      </w:rPr>
      <w:tcPr>
        <w:shd w:val="clear" w:color="ffffff" w:themeColor="accent5" w:fill="c99c00" w:themeFill="accent5"/>
      </w:tcPr>
    </w:tblStylePr>
    <w:tblStylePr w:type="lastCol">
      <w:rPr>
        <w:rFonts w:ascii="Arial" w:hAnsi="Arial"/>
        <w:color w:val="f2f2f2"/>
        <w:sz w:val="22"/>
      </w:rPr>
      <w:tcPr>
        <w:shd w:val="clear" w:color="ffffff" w:themeColor="accent5" w:fill="c99c00" w:themeFill="accent5"/>
      </w:tcPr>
    </w:tblStylePr>
    <w:tblStylePr w:type="lastRow">
      <w:rPr>
        <w:rFonts w:ascii="Arial" w:hAnsi="Arial"/>
        <w:color w:val="f2f2f2"/>
        <w:sz w:val="22"/>
      </w:rPr>
      <w:tcPr>
        <w:shd w:val="clear" w:color="ffffff" w:themeColor="accent5" w:fill="c99c00" w:themeFill="accent5"/>
      </w:tcPr>
    </w:tblStylePr>
  </w:style>
  <w:style w:type="table" w:styleId="158">
    <w:name w:val="Lined - Accent 6"/>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7cccc" w:themeFill="accent6" w:themeFillTint="34"/>
      </w:tcPr>
    </w:tblStylePr>
    <w:tblStylePr w:type="band2Vert">
      <w:rPr>
        <w:rFonts w:ascii="Arial" w:hAnsi="Arial"/>
        <w:color w:val="404040"/>
        <w:sz w:val="22"/>
      </w:rPr>
      <w:tcPr>
        <w:shd w:val="clear" w:color="ffffff" w:themeColor="accent6" w:themeTint="34" w:fill="f7cccc" w:themeFill="accent6" w:themeFillTint="34"/>
      </w:tcPr>
    </w:tblStylePr>
    <w:tblStylePr w:type="firstCol">
      <w:rPr>
        <w:rFonts w:ascii="Arial" w:hAnsi="Arial"/>
        <w:color w:val="f2f2f2"/>
        <w:sz w:val="22"/>
      </w:rPr>
      <w:tcPr>
        <w:shd w:val="clear" w:color="ffffff" w:themeColor="accent6" w:fill="c9211e" w:themeFill="accent6"/>
      </w:tcPr>
    </w:tblStylePr>
    <w:tblStylePr w:type="firstRow">
      <w:rPr>
        <w:rFonts w:ascii="Arial" w:hAnsi="Arial"/>
        <w:color w:val="f2f2f2"/>
        <w:sz w:val="22"/>
      </w:rPr>
      <w:tcPr>
        <w:shd w:val="clear" w:color="ffffff" w:themeColor="accent6" w:fill="c9211e" w:themeFill="accent6"/>
      </w:tcPr>
    </w:tblStylePr>
    <w:tblStylePr w:type="lastCol">
      <w:rPr>
        <w:rFonts w:ascii="Arial" w:hAnsi="Arial"/>
        <w:color w:val="f2f2f2"/>
        <w:sz w:val="22"/>
      </w:rPr>
      <w:tcPr>
        <w:shd w:val="clear" w:color="ffffff" w:themeColor="accent6" w:fill="c9211e" w:themeFill="accent6"/>
      </w:tcPr>
    </w:tblStylePr>
    <w:tblStylePr w:type="lastRow">
      <w:rPr>
        <w:rFonts w:ascii="Arial" w:hAnsi="Arial"/>
        <w:color w:val="f2f2f2"/>
        <w:sz w:val="22"/>
      </w:rPr>
      <w:tcPr>
        <w:shd w:val="clear" w:color="ffffff" w:themeColor="accent6" w:fill="c9211e" w:themeFill="accent6"/>
      </w:tcPr>
    </w:tblStylePr>
  </w:style>
  <w:style w:type="table" w:styleId="159">
    <w:name w:val="Bordered &amp; Lined - Accent"/>
    <w:basedOn w:val="6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a3fc95" w:themeFill="accent1" w:themeFillTint="50"/>
      </w:tcPr>
    </w:tblStylePr>
    <w:tblStylePr w:type="band2Vert">
      <w:rPr>
        <w:rFonts w:ascii="Arial" w:hAnsi="Arial"/>
        <w:color w:val="404040"/>
        <w:sz w:val="22"/>
      </w:rPr>
      <w:tcPr>
        <w:shd w:val="clear" w:color="ffffff" w:themeColor="accent1" w:themeTint="50" w:fill="a3fc95" w:themeFill="accent1" w:themeFillTint="50"/>
      </w:tcPr>
    </w:tblStylePr>
    <w:tblStylePr w:type="firstCol">
      <w:rPr>
        <w:rFonts w:ascii="Arial" w:hAnsi="Arial"/>
        <w:color w:val="f2f2f2"/>
        <w:sz w:val="22"/>
      </w:rPr>
      <w:tcPr>
        <w:shd w:val="clear" w:color="ffffff" w:themeColor="accent1" w:themeTint="EA" w:fill="1ebe03" w:themeFill="accent1" w:themeFillTint="EA"/>
      </w:tcPr>
    </w:tblStylePr>
    <w:tblStylePr w:type="firstRow">
      <w:rPr>
        <w:rFonts w:ascii="Arial" w:hAnsi="Arial"/>
        <w:color w:val="f2f2f2"/>
        <w:sz w:val="22"/>
      </w:rPr>
      <w:tcPr>
        <w:shd w:val="clear" w:color="ffffff" w:themeColor="accent1" w:themeTint="EA" w:fill="1ebe03" w:themeFill="accent1" w:themeFillTint="EA"/>
      </w:tcPr>
    </w:tblStylePr>
    <w:tblStylePr w:type="lastCol">
      <w:rPr>
        <w:rFonts w:ascii="Arial" w:hAnsi="Arial"/>
        <w:color w:val="f2f2f2"/>
        <w:sz w:val="22"/>
      </w:rPr>
      <w:tcPr>
        <w:shd w:val="clear" w:color="ffffff" w:themeColor="accent1" w:themeTint="EA" w:fill="1ebe03" w:themeFill="accent1" w:themeFillTint="EA"/>
      </w:tcPr>
    </w:tblStylePr>
    <w:tblStylePr w:type="lastRow">
      <w:rPr>
        <w:rFonts w:ascii="Arial" w:hAnsi="Arial"/>
        <w:color w:val="f2f2f2"/>
        <w:sz w:val="22"/>
      </w:rPr>
      <w:tcPr>
        <w:shd w:val="clear" w:color="ffffff" w:themeColor="accent1" w:themeTint="EA" w:fill="1ebe03" w:themeFill="accent1" w:themeFillTint="EA"/>
      </w:tcPr>
    </w:tblStylePr>
  </w:style>
  <w:style w:type="table" w:styleId="161">
    <w:name w:val="Bordered &amp; Lined - Accent 2"/>
    <w:basedOn w:val="6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bce7fd" w:themeFill="accent2" w:themeFillTint="32"/>
      </w:tcPr>
    </w:tblStylePr>
    <w:tblStylePr w:type="band2Vert">
      <w:rPr>
        <w:rFonts w:ascii="Arial" w:hAnsi="Arial"/>
        <w:color w:val="404040"/>
        <w:sz w:val="22"/>
      </w:rPr>
      <w:tcPr>
        <w:shd w:val="clear" w:color="ffffff" w:themeColor="accent2" w:themeTint="32" w:fill="bce7fd" w:themeFill="accent2" w:themeFillTint="32"/>
      </w:tcPr>
    </w:tblStylePr>
    <w:tblStylePr w:type="firstCol">
      <w:rPr>
        <w:rFonts w:ascii="Arial" w:hAnsi="Arial"/>
        <w:color w:val="f2f2f2"/>
        <w:sz w:val="22"/>
      </w:rPr>
      <w:tcPr>
        <w:shd w:val="clear" w:color="ffffff" w:themeColor="accent2" w:themeTint="97" w:fill="36b8fb" w:themeFill="accent2" w:themeFillTint="97"/>
      </w:tcPr>
    </w:tblStylePr>
    <w:tblStylePr w:type="firstRow">
      <w:rPr>
        <w:rFonts w:ascii="Arial" w:hAnsi="Arial"/>
        <w:color w:val="f2f2f2"/>
        <w:sz w:val="22"/>
      </w:rPr>
      <w:tcPr>
        <w:shd w:val="clear" w:color="ffffff" w:themeColor="accent2" w:themeTint="97" w:fill="36b8fb" w:themeFill="accent2" w:themeFillTint="97"/>
      </w:tcPr>
    </w:tblStylePr>
    <w:tblStylePr w:type="lastCol">
      <w:rPr>
        <w:rFonts w:ascii="Arial" w:hAnsi="Arial"/>
        <w:color w:val="f2f2f2"/>
        <w:sz w:val="22"/>
      </w:rPr>
      <w:tcPr>
        <w:shd w:val="clear" w:color="ffffff" w:themeColor="accent2" w:themeTint="97" w:fill="36b8fb" w:themeFill="accent2" w:themeFillTint="97"/>
      </w:tcPr>
    </w:tblStylePr>
    <w:tblStylePr w:type="lastRow">
      <w:rPr>
        <w:rFonts w:ascii="Arial" w:hAnsi="Arial"/>
        <w:color w:val="f2f2f2"/>
        <w:sz w:val="22"/>
      </w:rPr>
      <w:tcPr>
        <w:shd w:val="clear" w:color="ffffff" w:themeColor="accent2" w:themeTint="97" w:fill="36b8fb" w:themeFill="accent2" w:themeFillTint="97"/>
      </w:tcPr>
    </w:tblStylePr>
  </w:style>
  <w:style w:type="table" w:styleId="162">
    <w:name w:val="Bordered &amp; Lined - Accent 3"/>
    <w:basedOn w:val="6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dd2ba" w:themeFill="accent3" w:themeFillTint="34"/>
      </w:tcPr>
    </w:tblStylePr>
    <w:tblStylePr w:type="band2Vert">
      <w:rPr>
        <w:rFonts w:ascii="Arial" w:hAnsi="Arial"/>
        <w:color w:val="404040"/>
        <w:sz w:val="22"/>
      </w:rPr>
      <w:tcPr>
        <w:shd w:val="clear" w:color="ffffff" w:themeColor="accent3" w:themeTint="34" w:fill="fdd2ba" w:themeFill="accent3" w:themeFillTint="34"/>
      </w:tcPr>
    </w:tblStylePr>
    <w:tblStylePr w:type="firstCol">
      <w:rPr>
        <w:rFonts w:ascii="Arial" w:hAnsi="Arial"/>
        <w:color w:val="f2f2f2"/>
        <w:sz w:val="22"/>
      </w:rPr>
      <w:tcPr>
        <w:shd w:val="clear" w:color="ffffff" w:themeColor="accent3" w:themeTint="FE" w:fill="a43c03" w:themeFill="accent3" w:themeFillTint="FE"/>
      </w:tcPr>
    </w:tblStylePr>
    <w:tblStylePr w:type="firstRow">
      <w:rPr>
        <w:rFonts w:ascii="Arial" w:hAnsi="Arial"/>
        <w:color w:val="f2f2f2"/>
        <w:sz w:val="22"/>
      </w:rPr>
      <w:tcPr>
        <w:shd w:val="clear" w:color="ffffff" w:themeColor="accent3" w:themeTint="FE" w:fill="a43c03" w:themeFill="accent3" w:themeFillTint="FE"/>
      </w:tcPr>
    </w:tblStylePr>
    <w:tblStylePr w:type="lastCol">
      <w:rPr>
        <w:rFonts w:ascii="Arial" w:hAnsi="Arial"/>
        <w:color w:val="f2f2f2"/>
        <w:sz w:val="22"/>
      </w:rPr>
      <w:tcPr>
        <w:shd w:val="clear" w:color="ffffff" w:themeColor="accent3" w:themeTint="FE" w:fill="a43c03" w:themeFill="accent3" w:themeFillTint="FE"/>
      </w:tcPr>
    </w:tblStylePr>
    <w:tblStylePr w:type="lastRow">
      <w:rPr>
        <w:rFonts w:ascii="Arial" w:hAnsi="Arial"/>
        <w:color w:val="f2f2f2"/>
        <w:sz w:val="22"/>
      </w:rPr>
      <w:tcPr>
        <w:shd w:val="clear" w:color="ffffff" w:themeColor="accent3" w:themeTint="FE" w:fill="a43c03" w:themeFill="accent3" w:themeFillTint="FE"/>
      </w:tcPr>
    </w:tblStylePr>
  </w:style>
  <w:style w:type="table" w:styleId="163">
    <w:name w:val="Bordered &amp; Lined - Accent 4"/>
    <w:basedOn w:val="6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3bafd" w:themeFill="accent4" w:themeFillTint="34"/>
      </w:tcPr>
    </w:tblStylePr>
    <w:tblStylePr w:type="band2Vert">
      <w:rPr>
        <w:rFonts w:ascii="Arial" w:hAnsi="Arial"/>
        <w:color w:val="404040"/>
        <w:sz w:val="22"/>
      </w:rPr>
      <w:tcPr>
        <w:shd w:val="clear" w:color="ffffff" w:themeColor="accent4" w:themeTint="34" w:fill="f3bafd" w:themeFill="accent4" w:themeFillTint="34"/>
      </w:tcPr>
    </w:tblStylePr>
    <w:tblStylePr w:type="firstCol">
      <w:rPr>
        <w:rFonts w:ascii="Arial" w:hAnsi="Arial"/>
        <w:color w:val="f2f2f2"/>
        <w:sz w:val="22"/>
      </w:rPr>
      <w:tcPr>
        <w:shd w:val="clear" w:color="ffffff" w:themeColor="accent4" w:themeTint="9A" w:fill="dc33fa" w:themeFill="accent4" w:themeFillTint="9A"/>
      </w:tcPr>
    </w:tblStylePr>
    <w:tblStylePr w:type="firstRow">
      <w:rPr>
        <w:rFonts w:ascii="Arial" w:hAnsi="Arial"/>
        <w:color w:val="f2f2f2"/>
        <w:sz w:val="22"/>
      </w:rPr>
      <w:tcPr>
        <w:shd w:val="clear" w:color="ffffff" w:themeColor="accent4" w:themeTint="9A" w:fill="dc33fa" w:themeFill="accent4" w:themeFillTint="9A"/>
      </w:tcPr>
    </w:tblStylePr>
    <w:tblStylePr w:type="lastCol">
      <w:rPr>
        <w:rFonts w:ascii="Arial" w:hAnsi="Arial"/>
        <w:color w:val="f2f2f2"/>
        <w:sz w:val="22"/>
      </w:rPr>
      <w:tcPr>
        <w:shd w:val="clear" w:color="ffffff" w:themeColor="accent4" w:themeTint="9A" w:fill="dc33fa" w:themeFill="accent4" w:themeFillTint="9A"/>
      </w:tcPr>
    </w:tblStylePr>
    <w:tblStylePr w:type="lastRow">
      <w:rPr>
        <w:rFonts w:ascii="Arial" w:hAnsi="Arial"/>
        <w:color w:val="f2f2f2"/>
        <w:sz w:val="22"/>
      </w:rPr>
      <w:tcPr>
        <w:shd w:val="clear" w:color="ffffff" w:themeColor="accent4" w:themeTint="9A" w:fill="dc33fa" w:themeFill="accent4" w:themeFillTint="9A"/>
      </w:tcPr>
    </w:tblStylePr>
  </w:style>
  <w:style w:type="table" w:styleId="164">
    <w:name w:val="Bordered &amp; Lined - Accent 5"/>
    <w:basedOn w:val="6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fefbf" w:themeFill="accent5" w:themeFillTint="34"/>
      </w:tcPr>
    </w:tblStylePr>
    <w:tblStylePr w:type="band2Vert">
      <w:rPr>
        <w:rFonts w:ascii="Arial" w:hAnsi="Arial"/>
        <w:color w:val="404040"/>
        <w:sz w:val="22"/>
      </w:rPr>
      <w:tcPr>
        <w:shd w:val="clear" w:color="ffffff" w:themeColor="accent5" w:themeTint="34" w:fill="ffefbf" w:themeFill="accent5" w:themeFillTint="34"/>
      </w:tcPr>
    </w:tblStylePr>
    <w:tblStylePr w:type="firstCol">
      <w:rPr>
        <w:rFonts w:ascii="Arial" w:hAnsi="Arial"/>
        <w:color w:val="f2f2f2"/>
        <w:sz w:val="22"/>
      </w:rPr>
      <w:tcPr>
        <w:shd w:val="clear" w:color="ffffff" w:themeColor="accent5" w:fill="c99c00" w:themeFill="accent5"/>
      </w:tcPr>
    </w:tblStylePr>
    <w:tblStylePr w:type="firstRow">
      <w:rPr>
        <w:rFonts w:ascii="Arial" w:hAnsi="Arial"/>
        <w:color w:val="f2f2f2"/>
        <w:sz w:val="22"/>
      </w:rPr>
      <w:tcPr>
        <w:shd w:val="clear" w:color="ffffff" w:themeColor="accent5" w:fill="c99c00" w:themeFill="accent5"/>
      </w:tcPr>
    </w:tblStylePr>
    <w:tblStylePr w:type="lastCol">
      <w:rPr>
        <w:rFonts w:ascii="Arial" w:hAnsi="Arial"/>
        <w:color w:val="f2f2f2"/>
        <w:sz w:val="22"/>
      </w:rPr>
      <w:tcPr>
        <w:shd w:val="clear" w:color="ffffff" w:themeColor="accent5" w:fill="c99c00" w:themeFill="accent5"/>
      </w:tcPr>
    </w:tblStylePr>
    <w:tblStylePr w:type="lastRow">
      <w:rPr>
        <w:rFonts w:ascii="Arial" w:hAnsi="Arial"/>
        <w:color w:val="f2f2f2"/>
        <w:sz w:val="22"/>
      </w:rPr>
      <w:tcPr>
        <w:shd w:val="clear" w:color="ffffff" w:themeColor="accent5" w:fill="c99c00" w:themeFill="accent5"/>
      </w:tcPr>
    </w:tblStylePr>
  </w:style>
  <w:style w:type="table" w:styleId="165">
    <w:name w:val="Bordered &amp; Lined - Accent 6"/>
    <w:basedOn w:val="6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7cccc" w:themeFill="accent6" w:themeFillTint="34"/>
      </w:tcPr>
    </w:tblStylePr>
    <w:tblStylePr w:type="band2Vert">
      <w:rPr>
        <w:rFonts w:ascii="Arial" w:hAnsi="Arial"/>
        <w:color w:val="404040"/>
        <w:sz w:val="22"/>
      </w:rPr>
      <w:tcPr>
        <w:shd w:val="clear" w:color="ffffff" w:themeColor="accent6" w:themeTint="34" w:fill="f7cccc" w:themeFill="accent6" w:themeFillTint="34"/>
      </w:tcPr>
    </w:tblStylePr>
    <w:tblStylePr w:type="firstCol">
      <w:rPr>
        <w:rFonts w:ascii="Arial" w:hAnsi="Arial"/>
        <w:color w:val="f2f2f2"/>
        <w:sz w:val="22"/>
      </w:rPr>
      <w:tcPr>
        <w:shd w:val="clear" w:color="ffffff" w:themeColor="accent6" w:fill="c9211e" w:themeFill="accent6"/>
      </w:tcPr>
    </w:tblStylePr>
    <w:tblStylePr w:type="firstRow">
      <w:rPr>
        <w:rFonts w:ascii="Arial" w:hAnsi="Arial"/>
        <w:color w:val="f2f2f2"/>
        <w:sz w:val="22"/>
      </w:rPr>
      <w:tcPr>
        <w:shd w:val="clear" w:color="ffffff" w:themeColor="accent6" w:fill="c9211e" w:themeFill="accent6"/>
      </w:tcPr>
    </w:tblStylePr>
    <w:tblStylePr w:type="lastCol">
      <w:rPr>
        <w:rFonts w:ascii="Arial" w:hAnsi="Arial"/>
        <w:color w:val="f2f2f2"/>
        <w:sz w:val="22"/>
      </w:rPr>
      <w:tcPr>
        <w:shd w:val="clear" w:color="ffffff" w:themeColor="accent6" w:fill="c9211e" w:themeFill="accent6"/>
      </w:tcPr>
    </w:tblStylePr>
    <w:tblStylePr w:type="lastRow">
      <w:rPr>
        <w:rFonts w:ascii="Arial" w:hAnsi="Arial"/>
        <w:color w:val="f2f2f2"/>
        <w:sz w:val="22"/>
      </w:rPr>
      <w:tcPr>
        <w:shd w:val="clear" w:color="ffffff" w:themeColor="accent6" w:fill="c9211e" w:themeFill="accent6"/>
      </w:tcPr>
    </w:tblStylePr>
  </w:style>
  <w:style w:type="table" w:styleId="166">
    <w:name w:val="Bordered"/>
    <w:basedOn w:val="6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5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7"/>
    <w:uiPriority w:val="99"/>
    <w:unhideWhenUsed/>
    <w:rPr>
      <w:vertAlign w:val="superscript"/>
    </w:rPr>
  </w:style>
  <w:style w:type="paragraph" w:styleId="177">
    <w:name w:val="endnote text"/>
    <w:basedOn w:val="65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7"/>
    <w:uiPriority w:val="99"/>
    <w:semiHidden/>
    <w:unhideWhenUsed/>
    <w:rPr>
      <w:vertAlign w:val="superscript"/>
    </w:rPr>
  </w:style>
  <w:style w:type="paragraph" w:styleId="189">
    <w:name w:val="TOC Heading"/>
    <w:uiPriority w:val="39"/>
    <w:unhideWhenUsed/>
  </w:style>
  <w:style w:type="paragraph" w:styleId="190">
    <w:name w:val="table of figures"/>
    <w:basedOn w:val="657"/>
    <w:next w:val="657"/>
    <w:uiPriority w:val="99"/>
    <w:unhideWhenUsed/>
    <w:pPr>
      <w:spacing w:after="0" w:afterAutospacing="0"/>
    </w:pPr>
  </w:style>
  <w:style w:type="paragraph" w:styleId="657" w:default="1">
    <w:name w:val="Normal"/>
    <w:uiPriority w:val="0"/>
    <w:qFormat/>
    <w:pPr>
      <w:jc w:val="both"/>
      <w:widowControl w:val="off"/>
    </w:pPr>
    <w:rPr>
      <w:rFonts w:ascii="Times New Roman" w:hAnsi="Times New Roman" w:eastAsia="宋体" w:cs="Times New Roman"/>
      <w:color w:val="auto"/>
      <w:sz w:val="21"/>
      <w:szCs w:val="21"/>
      <w:lang w:val="en-US" w:eastAsia="zh-CN" w:bidi="ar-SA"/>
    </w:rPr>
  </w:style>
  <w:style w:type="paragraph" w:styleId="658">
    <w:name w:val="Heading 1"/>
    <w:basedOn w:val="657"/>
    <w:next w:val="657"/>
    <w:uiPriority w:val="0"/>
    <w:qFormat/>
    <w:pPr>
      <w:jc w:val="center"/>
      <w:keepNext/>
      <w:outlineLvl w:val="0"/>
    </w:pPr>
    <w:rPr>
      <w:rFonts w:ascii="楷体_GB2312;楷体" w:hAnsi="楷体_GB2312;楷体" w:eastAsia="楷体_GB2312;楷体"/>
      <w:sz w:val="28"/>
      <w:szCs w:val="28"/>
    </w:rPr>
  </w:style>
  <w:style w:type="paragraph" w:styleId="659">
    <w:name w:val="Heading 2"/>
    <w:basedOn w:val="657"/>
    <w:next w:val="669"/>
    <w:uiPriority w:val="0"/>
    <w:qFormat/>
    <w:pPr>
      <w:jc w:val="center"/>
      <w:keepLines/>
      <w:keepNext/>
      <w:spacing w:before="260" w:after="260" w:line="415" w:lineRule="auto"/>
      <w:outlineLvl w:val="1"/>
    </w:pPr>
    <w:rPr>
      <w:rFonts w:ascii="Arial" w:hAnsi="Arial" w:eastAsia="幼圆;宋体" w:cs="Arial"/>
      <w:b/>
      <w:bCs/>
      <w:sz w:val="44"/>
      <w:szCs w:val="44"/>
    </w:rPr>
  </w:style>
  <w:style w:type="paragraph" w:styleId="660">
    <w:name w:val="Heading 3"/>
    <w:basedOn w:val="657"/>
    <w:next w:val="669"/>
    <w:uiPriority w:val="0"/>
    <w:qFormat/>
    <w:pPr>
      <w:keepLines/>
      <w:keepNext/>
      <w:spacing w:before="260" w:after="260" w:line="415" w:lineRule="auto"/>
      <w:outlineLvl w:val="2"/>
    </w:pPr>
    <w:rPr>
      <w:b/>
      <w:bCs/>
      <w:sz w:val="32"/>
      <w:szCs w:val="32"/>
    </w:rPr>
  </w:style>
  <w:style w:type="paragraph" w:styleId="661">
    <w:name w:val="Heading 4"/>
    <w:basedOn w:val="657"/>
    <w:next w:val="669"/>
    <w:uiPriority w:val="0"/>
    <w:qFormat/>
    <w:pPr>
      <w:keepLines/>
      <w:keepNext/>
      <w:spacing w:before="280" w:after="290" w:line="374" w:lineRule="auto"/>
      <w:outlineLvl w:val="3"/>
    </w:pPr>
    <w:rPr>
      <w:rFonts w:ascii="Arial" w:hAnsi="Arial" w:eastAsia="黑体" w:cs="Arial"/>
      <w:b/>
      <w:bCs/>
      <w:sz w:val="28"/>
      <w:szCs w:val="28"/>
    </w:rPr>
  </w:style>
  <w:style w:type="paragraph" w:styleId="662">
    <w:name w:val="Heading 5"/>
    <w:basedOn w:val="657"/>
    <w:next w:val="669"/>
    <w:uiPriority w:val="0"/>
    <w:qFormat/>
    <w:pPr>
      <w:keepNext/>
      <w:outlineLvl w:val="4"/>
    </w:pPr>
    <w:rPr>
      <w:rFonts w:ascii="宋体" w:hAnsi="宋体"/>
      <w:color w:val="000000"/>
      <w:sz w:val="28"/>
      <w:szCs w:val="28"/>
    </w:rPr>
  </w:style>
  <w:style w:type="paragraph" w:styleId="663">
    <w:name w:val="Heading 6"/>
    <w:basedOn w:val="657"/>
    <w:next w:val="657"/>
    <w:uiPriority w:val="0"/>
    <w:qFormat/>
    <w:pPr>
      <w:numPr>
        <w:ilvl w:val="5"/>
        <w:numId w:val="1"/>
      </w:numPr>
      <w:keepLines/>
      <w:keepNext/>
      <w:spacing w:before="240" w:after="64" w:line="319" w:lineRule="auto"/>
      <w:outlineLvl w:val="5"/>
    </w:pPr>
    <w:rPr>
      <w:rFonts w:ascii="Arial" w:hAnsi="Arial" w:eastAsia="黑体" w:cs="Arial"/>
      <w:b/>
      <w:bCs/>
      <w:sz w:val="24"/>
      <w:szCs w:val="24"/>
    </w:rPr>
  </w:style>
  <w:style w:type="paragraph" w:styleId="664">
    <w:name w:val="Heading 7"/>
    <w:basedOn w:val="657"/>
    <w:next w:val="657"/>
    <w:uiPriority w:val="0"/>
    <w:qFormat/>
    <w:pPr>
      <w:numPr>
        <w:ilvl w:val="6"/>
        <w:numId w:val="1"/>
      </w:numPr>
      <w:keepLines/>
      <w:keepNext/>
      <w:spacing w:before="240" w:after="64" w:line="319" w:lineRule="auto"/>
      <w:outlineLvl w:val="6"/>
    </w:pPr>
    <w:rPr>
      <w:b/>
      <w:bCs/>
      <w:sz w:val="24"/>
      <w:szCs w:val="24"/>
    </w:rPr>
  </w:style>
  <w:style w:type="paragraph" w:styleId="665">
    <w:name w:val="Heading 8"/>
    <w:basedOn w:val="657"/>
    <w:next w:val="657"/>
    <w:uiPriority w:val="0"/>
    <w:qFormat/>
    <w:pPr>
      <w:numPr>
        <w:ilvl w:val="7"/>
        <w:numId w:val="1"/>
      </w:numPr>
      <w:keepLines/>
      <w:keepNext/>
      <w:spacing w:before="240" w:after="64" w:line="319" w:lineRule="auto"/>
      <w:outlineLvl w:val="7"/>
    </w:pPr>
    <w:rPr>
      <w:rFonts w:ascii="Arial" w:hAnsi="Arial" w:eastAsia="黑体" w:cs="Arial"/>
      <w:sz w:val="24"/>
      <w:szCs w:val="24"/>
    </w:rPr>
  </w:style>
  <w:style w:type="paragraph" w:styleId="666">
    <w:name w:val="Heading 9"/>
    <w:basedOn w:val="657"/>
    <w:next w:val="657"/>
    <w:uiPriority w:val="0"/>
    <w:qFormat/>
    <w:pPr>
      <w:numPr>
        <w:ilvl w:val="8"/>
        <w:numId w:val="1"/>
      </w:numPr>
      <w:keepLines/>
      <w:keepNext/>
      <w:spacing w:before="240" w:after="64" w:line="319" w:lineRule="auto"/>
      <w:outlineLvl w:val="8"/>
    </w:pPr>
    <w:rPr>
      <w:rFonts w:ascii="Arial" w:hAnsi="Arial" w:eastAsia="黑体" w:cs="Arial"/>
    </w:rPr>
  </w:style>
  <w:style w:type="character" w:styleId="667" w:default="1">
    <w:name w:val="Default Paragraph Font"/>
    <w:uiPriority w:val="0"/>
    <w:semiHidden/>
    <w:qFormat/>
  </w:style>
  <w:style w:type="table" w:styleId="668" w:default="1">
    <w:name w:val="Normal Table"/>
    <w:uiPriority w:val="0"/>
    <w:semiHidden/>
    <w:qFormat/>
    <w:tblPr>
      <w:tblCellMar>
        <w:left w:w="108" w:type="dxa"/>
        <w:top w:w="0" w:type="dxa"/>
        <w:right w:w="108" w:type="dxa"/>
        <w:bottom w:w="0" w:type="dxa"/>
      </w:tblCellMar>
    </w:tblPr>
  </w:style>
  <w:style w:type="paragraph" w:styleId="669" w:customStyle="1">
    <w:name w:val="正文缩进1"/>
    <w:basedOn w:val="657"/>
    <w:uiPriority w:val="0"/>
    <w:qFormat/>
    <w:pPr>
      <w:ind w:left="0" w:right="0" w:firstLine="420"/>
    </w:pPr>
  </w:style>
  <w:style w:type="paragraph" w:styleId="670">
    <w:name w:val="toc 7"/>
    <w:basedOn w:val="657"/>
    <w:next w:val="657"/>
    <w:uiPriority w:val="0"/>
    <w:qFormat/>
    <w:pPr>
      <w:ind w:left="1260" w:right="0" w:firstLine="0"/>
      <w:jc w:val="left"/>
    </w:pPr>
  </w:style>
  <w:style w:type="paragraph" w:styleId="671">
    <w:name w:val="Caption"/>
    <w:basedOn w:val="657"/>
    <w:uiPriority w:val="0"/>
    <w:qFormat/>
    <w:pPr>
      <w:spacing w:before="120" w:after="120"/>
      <w:suppressLineNumbers/>
    </w:pPr>
    <w:rPr>
      <w:i/>
      <w:iCs/>
      <w:sz w:val="24"/>
      <w:szCs w:val="24"/>
    </w:rPr>
  </w:style>
  <w:style w:type="paragraph" w:styleId="672">
    <w:name w:val="annotation text"/>
    <w:basedOn w:val="657"/>
    <w:uiPriority w:val="0"/>
    <w:qFormat/>
    <w:pPr>
      <w:jc w:val="left"/>
    </w:pPr>
  </w:style>
  <w:style w:type="paragraph" w:styleId="673">
    <w:name w:val="Body Text"/>
    <w:basedOn w:val="657"/>
    <w:uiPriority w:val="0"/>
    <w:qFormat/>
    <w:rPr>
      <w:rFonts w:ascii="楷体_GB2312;楷体" w:hAnsi="楷体_GB2312;楷体" w:eastAsia="楷体_GB2312;楷体" w:cs="Arial"/>
      <w:sz w:val="28"/>
      <w:szCs w:val="28"/>
    </w:rPr>
  </w:style>
  <w:style w:type="paragraph" w:styleId="674">
    <w:name w:val="Body Text Indent"/>
    <w:basedOn w:val="657"/>
    <w:uiPriority w:val="0"/>
    <w:qFormat/>
    <w:pPr>
      <w:ind w:left="0" w:right="0" w:firstLine="645"/>
    </w:pPr>
    <w:rPr>
      <w:rFonts w:ascii="楷体_GB2312;楷体" w:hAnsi="楷体_GB2312;楷体" w:eastAsia="楷体_GB2312;楷体"/>
      <w:sz w:val="32"/>
      <w:szCs w:val="32"/>
    </w:rPr>
  </w:style>
  <w:style w:type="paragraph" w:styleId="675">
    <w:name w:val="toc 5"/>
    <w:basedOn w:val="657"/>
    <w:next w:val="657"/>
    <w:uiPriority w:val="0"/>
    <w:qFormat/>
    <w:pPr>
      <w:ind w:left="840" w:right="0" w:firstLine="0"/>
      <w:jc w:val="left"/>
    </w:pPr>
  </w:style>
  <w:style w:type="paragraph" w:styleId="676">
    <w:name w:val="toc 3"/>
    <w:basedOn w:val="657"/>
    <w:next w:val="657"/>
    <w:uiPriority w:val="0"/>
    <w:qFormat/>
    <w:pPr>
      <w:ind w:left="420" w:right="0" w:firstLine="0"/>
      <w:jc w:val="left"/>
    </w:pPr>
    <w:rPr>
      <w:i/>
      <w:iCs/>
      <w:szCs w:val="24"/>
    </w:rPr>
  </w:style>
  <w:style w:type="paragraph" w:styleId="677">
    <w:name w:val="Plain Text"/>
    <w:basedOn w:val="657"/>
    <w:uiPriority w:val="0"/>
    <w:qFormat/>
    <w:rPr>
      <w:rFonts w:ascii="宋体" w:hAnsi="Courier New" w:cs="Courier New"/>
    </w:rPr>
  </w:style>
  <w:style w:type="paragraph" w:styleId="678">
    <w:name w:val="toc 8"/>
    <w:basedOn w:val="657"/>
    <w:next w:val="657"/>
    <w:uiPriority w:val="0"/>
    <w:qFormat/>
    <w:pPr>
      <w:ind w:left="1470" w:right="0" w:firstLine="0"/>
      <w:jc w:val="left"/>
    </w:pPr>
  </w:style>
  <w:style w:type="paragraph" w:styleId="679">
    <w:name w:val="Footer"/>
    <w:basedOn w:val="657"/>
    <w:uiPriority w:val="0"/>
    <w:qFormat/>
    <w:pPr>
      <w:jc w:val="left"/>
      <w:tabs>
        <w:tab w:val="center" w:pos="4153" w:leader="none"/>
        <w:tab w:val="right" w:pos="8306" w:leader="none"/>
      </w:tabs>
    </w:pPr>
    <w:rPr>
      <w:sz w:val="18"/>
      <w:szCs w:val="18"/>
    </w:rPr>
  </w:style>
  <w:style w:type="paragraph" w:styleId="680">
    <w:name w:val="Header"/>
    <w:basedOn w:val="657"/>
    <w:uiPriority w:val="0"/>
    <w:qFormat/>
    <w:pPr>
      <w:jc w:val="center"/>
      <w:tabs>
        <w:tab w:val="center" w:pos="4153" w:leader="none"/>
        <w:tab w:val="right" w:pos="8306" w:leader="none"/>
      </w:tabs>
      <w:pBdr>
        <w:bottom w:val="single" w:color="000000" w:sz="6" w:space="1"/>
      </w:pBdr>
    </w:pPr>
    <w:rPr>
      <w:sz w:val="18"/>
      <w:szCs w:val="18"/>
    </w:rPr>
  </w:style>
  <w:style w:type="paragraph" w:styleId="681">
    <w:name w:val="toc 1"/>
    <w:basedOn w:val="657"/>
    <w:next w:val="657"/>
    <w:uiPriority w:val="0"/>
    <w:qFormat/>
    <w:pPr>
      <w:jc w:val="left"/>
      <w:spacing w:before="120" w:after="120" w:line="400" w:lineRule="exact"/>
      <w:tabs>
        <w:tab w:val="right" w:pos="8720" w:leader="dot"/>
      </w:tabs>
    </w:pPr>
    <w:rPr>
      <w:rFonts w:ascii="宋体" w:hAnsi="宋体" w:cs="宋体"/>
      <w:caps/>
      <w:sz w:val="24"/>
      <w:szCs w:val="24"/>
      <w:lang w:val="en-US" w:eastAsia="en-US"/>
    </w:rPr>
  </w:style>
  <w:style w:type="paragraph" w:styleId="682">
    <w:name w:val="toc 4"/>
    <w:basedOn w:val="657"/>
    <w:next w:val="657"/>
    <w:uiPriority w:val="0"/>
    <w:qFormat/>
    <w:pPr>
      <w:ind w:left="630" w:right="0" w:firstLine="0"/>
      <w:jc w:val="left"/>
    </w:pPr>
  </w:style>
  <w:style w:type="paragraph" w:styleId="683">
    <w:name w:val="List"/>
    <w:basedOn w:val="657"/>
    <w:uiPriority w:val="0"/>
    <w:qFormat/>
    <w:pPr>
      <w:ind w:left="0" w:right="0"/>
    </w:pPr>
  </w:style>
  <w:style w:type="paragraph" w:styleId="684">
    <w:name w:val="toc 6"/>
    <w:basedOn w:val="657"/>
    <w:next w:val="657"/>
    <w:uiPriority w:val="0"/>
    <w:qFormat/>
    <w:pPr>
      <w:ind w:left="1050" w:right="0" w:firstLine="0"/>
      <w:jc w:val="left"/>
    </w:pPr>
  </w:style>
  <w:style w:type="paragraph" w:styleId="685">
    <w:name w:val="toc 2"/>
    <w:basedOn w:val="657"/>
    <w:next w:val="657"/>
    <w:uiPriority w:val="0"/>
    <w:qFormat/>
    <w:pPr>
      <w:ind w:left="210" w:right="0" w:firstLine="0"/>
      <w:jc w:val="left"/>
    </w:pPr>
    <w:rPr>
      <w:smallCaps/>
      <w:szCs w:val="24"/>
    </w:rPr>
  </w:style>
  <w:style w:type="paragraph" w:styleId="686">
    <w:name w:val="toc 9"/>
    <w:basedOn w:val="657"/>
    <w:next w:val="657"/>
    <w:uiPriority w:val="0"/>
    <w:qFormat/>
    <w:pPr>
      <w:ind w:left="1680" w:right="0" w:firstLine="0"/>
      <w:jc w:val="left"/>
    </w:pPr>
  </w:style>
  <w:style w:type="paragraph" w:styleId="687">
    <w:name w:val="Normal (Web)"/>
    <w:basedOn w:val="657"/>
    <w:uiPriority w:val="99"/>
    <w:qFormat/>
    <w:pPr>
      <w:jc w:val="left"/>
      <w:spacing w:before="100" w:beforeAutospacing="1" w:after="100" w:afterAutospacing="1"/>
      <w:widowControl/>
    </w:pPr>
    <w:rPr>
      <w:rFonts w:ascii="宋体" w:hAnsi="宋体" w:cs="宋体"/>
      <w:sz w:val="24"/>
      <w:szCs w:val="24"/>
    </w:rPr>
  </w:style>
  <w:style w:type="paragraph" w:styleId="688">
    <w:name w:val="index 1"/>
    <w:basedOn w:val="657"/>
    <w:next w:val="657"/>
    <w:uiPriority w:val="0"/>
    <w:qFormat/>
    <w:pPr>
      <w:spacing w:line="240" w:lineRule="atLeast"/>
    </w:pPr>
    <w:rPr>
      <w:b/>
      <w:bCs/>
    </w:rPr>
  </w:style>
  <w:style w:type="character" w:styleId="689">
    <w:name w:val="Strong"/>
    <w:uiPriority w:val="0"/>
    <w:qFormat/>
    <w:rPr>
      <w:b/>
      <w:bCs/>
    </w:rPr>
  </w:style>
  <w:style w:type="character" w:styleId="690">
    <w:name w:val="page number"/>
    <w:uiPriority w:val="0"/>
    <w:qFormat/>
  </w:style>
  <w:style w:type="character" w:styleId="691">
    <w:name w:val="FollowedHyperlink"/>
    <w:uiPriority w:val="0"/>
    <w:qFormat/>
    <w:rPr>
      <w:color w:val="800080"/>
      <w:u w:val="single"/>
    </w:rPr>
  </w:style>
  <w:style w:type="character" w:styleId="692">
    <w:name w:val="Emphasis"/>
    <w:uiPriority w:val="0"/>
    <w:qFormat/>
    <w:rPr>
      <w:i/>
    </w:rPr>
  </w:style>
  <w:style w:type="character" w:styleId="693">
    <w:name w:val="Hyperlink"/>
    <w:uiPriority w:val="0"/>
    <w:qFormat/>
    <w:rPr>
      <w:color w:val="0000ff"/>
      <w:u w:val="single"/>
    </w:rPr>
  </w:style>
  <w:style w:type="character" w:styleId="694" w:customStyle="1">
    <w:name w:val="WW8Num2z0"/>
    <w:uiPriority w:val="0"/>
    <w:qFormat/>
    <w:rPr>
      <w:rFonts w:hint="eastAsia"/>
    </w:rPr>
  </w:style>
  <w:style w:type="character" w:styleId="695" w:customStyle="1">
    <w:name w:val="WW8Num4z0"/>
    <w:uiPriority w:val="0"/>
    <w:qFormat/>
    <w:rPr>
      <w:rFonts w:hint="eastAsia"/>
    </w:rPr>
  </w:style>
  <w:style w:type="character" w:styleId="696" w:customStyle="1">
    <w:name w:val="WW8Num5z0"/>
    <w:uiPriority w:val="0"/>
    <w:qFormat/>
    <w:rPr>
      <w:rFonts w:hint="eastAsia"/>
    </w:rPr>
  </w:style>
  <w:style w:type="character" w:styleId="697" w:customStyle="1">
    <w:name w:val="默认段落字体1"/>
    <w:uiPriority w:val="0"/>
    <w:qFormat/>
  </w:style>
  <w:style w:type="character" w:styleId="698" w:customStyle="1">
    <w:name w:val="标题 1 字符"/>
    <w:uiPriority w:val="0"/>
    <w:qFormat/>
    <w:rPr>
      <w:rFonts w:ascii="楷体_GB2312;楷体" w:hAnsi="楷体_GB2312;楷体" w:eastAsia="楷体_GB2312;楷体" w:cs="Times New Roman"/>
      <w:sz w:val="28"/>
      <w:szCs w:val="28"/>
    </w:rPr>
  </w:style>
  <w:style w:type="character" w:styleId="699" w:customStyle="1">
    <w:name w:val="标题 2 字符"/>
    <w:uiPriority w:val="0"/>
    <w:qFormat/>
    <w:rPr>
      <w:rFonts w:ascii="Arial" w:hAnsi="Arial" w:eastAsia="幼圆;宋体" w:cs="Arial"/>
      <w:b/>
      <w:bCs/>
      <w:sz w:val="44"/>
      <w:szCs w:val="44"/>
    </w:rPr>
  </w:style>
  <w:style w:type="character" w:styleId="700" w:customStyle="1">
    <w:name w:val="正文缩进 字符"/>
    <w:uiPriority w:val="0"/>
    <w:qFormat/>
    <w:rPr>
      <w:rFonts w:ascii="Times New Roman" w:hAnsi="Times New Roman" w:eastAsia="宋体" w:cs="Times New Roman"/>
      <w:szCs w:val="21"/>
    </w:rPr>
  </w:style>
  <w:style w:type="character" w:styleId="701" w:customStyle="1">
    <w:name w:val="标题 3 字符"/>
    <w:uiPriority w:val="0"/>
    <w:qFormat/>
    <w:rPr>
      <w:rFonts w:ascii="Times New Roman" w:hAnsi="Times New Roman" w:eastAsia="宋体" w:cs="Times New Roman"/>
      <w:b/>
      <w:bCs/>
      <w:sz w:val="32"/>
      <w:szCs w:val="32"/>
    </w:rPr>
  </w:style>
  <w:style w:type="character" w:styleId="702" w:customStyle="1">
    <w:name w:val="标题 4 字符"/>
    <w:uiPriority w:val="0"/>
    <w:qFormat/>
    <w:rPr>
      <w:rFonts w:ascii="Arial" w:hAnsi="Arial" w:eastAsia="黑体" w:cs="Arial"/>
      <w:b/>
      <w:bCs/>
      <w:sz w:val="28"/>
      <w:szCs w:val="28"/>
    </w:rPr>
  </w:style>
  <w:style w:type="character" w:styleId="703" w:customStyle="1">
    <w:name w:val="标题 5 字符"/>
    <w:uiPriority w:val="0"/>
    <w:qFormat/>
    <w:rPr>
      <w:rFonts w:ascii="宋体" w:hAnsi="宋体" w:eastAsia="宋体" w:cs="Times New Roman"/>
      <w:color w:val="000000"/>
      <w:sz w:val="28"/>
      <w:szCs w:val="28"/>
    </w:rPr>
  </w:style>
  <w:style w:type="character" w:styleId="704" w:customStyle="1">
    <w:name w:val="标题 6 字符"/>
    <w:uiPriority w:val="0"/>
    <w:qFormat/>
    <w:rPr>
      <w:rFonts w:ascii="Arial" w:hAnsi="Arial" w:eastAsia="黑体" w:cs="Times New Roman"/>
      <w:b/>
      <w:bCs/>
      <w:sz w:val="24"/>
      <w:szCs w:val="24"/>
    </w:rPr>
  </w:style>
  <w:style w:type="character" w:styleId="705" w:customStyle="1">
    <w:name w:val="标题 7 字符"/>
    <w:uiPriority w:val="0"/>
    <w:qFormat/>
    <w:rPr>
      <w:rFonts w:ascii="Times New Roman" w:hAnsi="Times New Roman" w:eastAsia="宋体" w:cs="Times New Roman"/>
      <w:b/>
      <w:bCs/>
      <w:sz w:val="24"/>
      <w:szCs w:val="24"/>
    </w:rPr>
  </w:style>
  <w:style w:type="character" w:styleId="706" w:customStyle="1">
    <w:name w:val="标题 8 字符"/>
    <w:uiPriority w:val="0"/>
    <w:qFormat/>
    <w:rPr>
      <w:rFonts w:ascii="Arial" w:hAnsi="Arial" w:eastAsia="黑体" w:cs="Times New Roman"/>
      <w:sz w:val="24"/>
      <w:szCs w:val="24"/>
    </w:rPr>
  </w:style>
  <w:style w:type="character" w:styleId="707" w:customStyle="1">
    <w:name w:val="标题 9 字符"/>
    <w:uiPriority w:val="0"/>
    <w:qFormat/>
    <w:rPr>
      <w:rFonts w:ascii="Arial" w:hAnsi="Arial" w:eastAsia="黑体" w:cs="Times New Roman"/>
      <w:szCs w:val="21"/>
    </w:rPr>
  </w:style>
  <w:style w:type="character" w:styleId="708" w:customStyle="1">
    <w:name w:val="文档结构图 字符"/>
    <w:uiPriority w:val="0"/>
    <w:qFormat/>
    <w:rPr>
      <w:rFonts w:ascii="Times New Roman" w:hAnsi="Times New Roman" w:eastAsia="宋体" w:cs="Times New Roman"/>
      <w:szCs w:val="21"/>
      <w:shd w:val="clear" w:color="auto" w:fill="000080"/>
    </w:rPr>
  </w:style>
  <w:style w:type="character" w:styleId="709" w:customStyle="1">
    <w:name w:val="批注文字 字符"/>
    <w:uiPriority w:val="0"/>
    <w:qFormat/>
    <w:rPr>
      <w:rFonts w:ascii="Times New Roman" w:hAnsi="Times New Roman" w:eastAsia="宋体" w:cs="Times New Roman"/>
      <w:szCs w:val="21"/>
    </w:rPr>
  </w:style>
  <w:style w:type="character" w:styleId="710" w:customStyle="1">
    <w:name w:val="正文文本 3 字符"/>
    <w:uiPriority w:val="0"/>
    <w:qFormat/>
    <w:rPr>
      <w:rFonts w:ascii="仿宋_GB2312;仿宋" w:hAnsi="仿宋_GB2312;仿宋" w:eastAsia="仿宋_GB2312;仿宋" w:cs="Times New Roman"/>
      <w:sz w:val="32"/>
      <w:szCs w:val="32"/>
    </w:rPr>
  </w:style>
  <w:style w:type="character" w:styleId="711" w:customStyle="1">
    <w:name w:val="正文文本 字符"/>
    <w:uiPriority w:val="0"/>
    <w:qFormat/>
    <w:rPr>
      <w:rFonts w:ascii="楷体_GB2312;楷体" w:hAnsi="楷体_GB2312;楷体" w:eastAsia="楷体_GB2312;楷体" w:cs="Times New Roman"/>
      <w:sz w:val="28"/>
      <w:szCs w:val="28"/>
    </w:rPr>
  </w:style>
  <w:style w:type="character" w:styleId="712" w:customStyle="1">
    <w:name w:val="正文文本缩进 字符"/>
    <w:uiPriority w:val="0"/>
    <w:qFormat/>
    <w:rPr>
      <w:rFonts w:ascii="楷体_GB2312;楷体" w:hAnsi="楷体_GB2312;楷体" w:eastAsia="楷体_GB2312;楷体" w:cs="Times New Roman"/>
      <w:sz w:val="32"/>
      <w:szCs w:val="32"/>
    </w:rPr>
  </w:style>
  <w:style w:type="character" w:styleId="713" w:customStyle="1">
    <w:name w:val="纯文本 字符"/>
    <w:uiPriority w:val="0"/>
    <w:qFormat/>
    <w:rPr>
      <w:rFonts w:ascii="宋体" w:hAnsi="宋体" w:eastAsia="宋体" w:cs="Courier New"/>
      <w:szCs w:val="21"/>
    </w:rPr>
  </w:style>
  <w:style w:type="character" w:styleId="714" w:customStyle="1">
    <w:name w:val="日期 字符"/>
    <w:uiPriority w:val="0"/>
    <w:qFormat/>
    <w:rPr>
      <w:rFonts w:ascii="Times New Roman" w:hAnsi="Times New Roman" w:eastAsia="宋体" w:cs="Times New Roman"/>
      <w:sz w:val="24"/>
      <w:szCs w:val="24"/>
    </w:rPr>
  </w:style>
  <w:style w:type="character" w:styleId="715" w:customStyle="1">
    <w:name w:val="正文文本缩进 2 字符"/>
    <w:uiPriority w:val="0"/>
    <w:qFormat/>
    <w:rPr>
      <w:rFonts w:ascii="Arial" w:hAnsi="Arial" w:eastAsia="仿宋_GB2312;仿宋" w:cs="Arial"/>
      <w:sz w:val="32"/>
      <w:szCs w:val="32"/>
    </w:rPr>
  </w:style>
  <w:style w:type="character" w:styleId="716" w:customStyle="1">
    <w:name w:val="批注框文本 字符"/>
    <w:uiPriority w:val="0"/>
    <w:qFormat/>
    <w:rPr>
      <w:rFonts w:ascii="Times New Roman" w:hAnsi="Times New Roman" w:eastAsia="宋体" w:cs="Times New Roman"/>
      <w:sz w:val="18"/>
      <w:szCs w:val="18"/>
    </w:rPr>
  </w:style>
  <w:style w:type="character" w:styleId="717" w:customStyle="1">
    <w:name w:val="页脚 字符"/>
    <w:uiPriority w:val="0"/>
    <w:qFormat/>
    <w:rPr>
      <w:rFonts w:ascii="Times New Roman" w:hAnsi="Times New Roman" w:eastAsia="宋体" w:cs="Times New Roman"/>
      <w:sz w:val="18"/>
      <w:szCs w:val="18"/>
    </w:rPr>
  </w:style>
  <w:style w:type="character" w:styleId="718" w:customStyle="1">
    <w:name w:val="页眉 字符"/>
    <w:uiPriority w:val="0"/>
    <w:qFormat/>
    <w:rPr>
      <w:rFonts w:ascii="Times New Roman" w:hAnsi="Times New Roman" w:eastAsia="宋体" w:cs="Times New Roman"/>
      <w:sz w:val="18"/>
      <w:szCs w:val="18"/>
    </w:rPr>
  </w:style>
  <w:style w:type="character" w:styleId="719" w:customStyle="1">
    <w:name w:val="正文文本缩进 3 字符"/>
    <w:uiPriority w:val="0"/>
    <w:qFormat/>
    <w:rPr>
      <w:rFonts w:ascii="Arial" w:hAnsi="Arial" w:eastAsia="仿宋_GB2312;仿宋" w:cs="Arial"/>
      <w:color w:val="ffff00"/>
      <w:sz w:val="32"/>
      <w:szCs w:val="32"/>
    </w:rPr>
  </w:style>
  <w:style w:type="character" w:styleId="720" w:customStyle="1">
    <w:name w:val="正文文本 2 字符"/>
    <w:uiPriority w:val="0"/>
    <w:qFormat/>
    <w:rPr>
      <w:rFonts w:ascii="楷体_GB2312;楷体" w:hAnsi="楷体_GB2312;楷体" w:eastAsia="楷体_GB2312;楷体" w:cs="Times New Roman"/>
      <w:sz w:val="28"/>
      <w:szCs w:val="28"/>
    </w:rPr>
  </w:style>
  <w:style w:type="character" w:styleId="721" w:customStyle="1">
    <w:name w:val="批注主题 字符"/>
    <w:uiPriority w:val="0"/>
    <w:qFormat/>
    <w:rPr>
      <w:rFonts w:ascii="Times New Roman" w:hAnsi="Times New Roman" w:eastAsia="宋体" w:cs="Times New Roman"/>
      <w:b/>
      <w:bCs/>
      <w:szCs w:val="21"/>
    </w:rPr>
  </w:style>
  <w:style w:type="character" w:styleId="722" w:customStyle="1">
    <w:name w:val="正文文本首行缩进 字符"/>
    <w:uiPriority w:val="0"/>
    <w:qFormat/>
    <w:rPr>
      <w:rFonts w:ascii="仿宋_GB2312;仿宋" w:hAnsi="仿宋_GB2312;仿宋" w:eastAsia="仿宋_GB2312;仿宋" w:cs="Times New Roman"/>
      <w:sz w:val="30"/>
      <w:szCs w:val="30"/>
    </w:rPr>
  </w:style>
  <w:style w:type="character" w:styleId="723" w:customStyle="1">
    <w:name w:val="正文文本首行缩进 2 字符"/>
    <w:uiPriority w:val="0"/>
    <w:qFormat/>
    <w:rPr>
      <w:rFonts w:ascii="宋体" w:hAnsi="宋体" w:eastAsia="宋体" w:cs="Times New Roman"/>
      <w:sz w:val="32"/>
      <w:szCs w:val="20"/>
    </w:rPr>
  </w:style>
  <w:style w:type="character" w:styleId="724" w:customStyle="1">
    <w:name w:val="HTML 代码1"/>
    <w:basedOn w:val="697"/>
    <w:uiPriority w:val="0"/>
    <w:qFormat/>
    <w:rPr>
      <w:rFonts w:ascii="Courier New" w:hAnsi="Courier New" w:cs="Courier New"/>
      <w:sz w:val="20"/>
    </w:rPr>
  </w:style>
  <w:style w:type="character" w:styleId="725" w:customStyle="1">
    <w:name w:val="批注引用1"/>
    <w:uiPriority w:val="0"/>
    <w:qFormat/>
    <w:rPr>
      <w:sz w:val="21"/>
      <w:szCs w:val="21"/>
    </w:rPr>
  </w:style>
  <w:style w:type="character" w:styleId="726" w:customStyle="1">
    <w:name w:val="font5 Char"/>
    <w:uiPriority w:val="0"/>
    <w:qFormat/>
    <w:rPr>
      <w:rFonts w:ascii="宋体" w:hAnsi="宋体" w:eastAsia="宋体" w:cs="宋体"/>
      <w:sz w:val="28"/>
      <w:szCs w:val="28"/>
      <w:lang w:bidi="ar-SA"/>
    </w:rPr>
  </w:style>
  <w:style w:type="character" w:styleId="727" w:customStyle="1">
    <w:name w:val="二级目录 Char"/>
    <w:uiPriority w:val="0"/>
    <w:qFormat/>
    <w:rPr>
      <w:b/>
      <w:sz w:val="30"/>
      <w:szCs w:val="28"/>
    </w:rPr>
  </w:style>
  <w:style w:type="character" w:styleId="728" w:customStyle="1">
    <w:name w:val="列出段落 Char"/>
    <w:uiPriority w:val="0"/>
    <w:qFormat/>
    <w:rPr>
      <w:rFonts w:ascii="Calibri" w:hAnsi="Calibri" w:cs="Calibri"/>
      <w:sz w:val="24"/>
      <w:szCs w:val="24"/>
      <w:lang w:eastAsia="en-US" w:bidi="en-US"/>
    </w:rPr>
  </w:style>
  <w:style w:type="character" w:styleId="729" w:customStyle="1">
    <w:name w:val="font31"/>
    <w:uiPriority w:val="0"/>
    <w:qFormat/>
    <w:rPr>
      <w:rFonts w:ascii="方正仿宋_GBK" w:hAnsi="方正仿宋_GBK" w:eastAsia="方正仿宋_GBK" w:cs="方正仿宋_GBK"/>
      <w:b/>
      <w:bCs/>
      <w:color w:val="000000"/>
      <w:sz w:val="28"/>
      <w:szCs w:val="28"/>
      <w:u w:val="none"/>
    </w:rPr>
  </w:style>
  <w:style w:type="character" w:styleId="730" w:customStyle="1">
    <w:name w:val="font21"/>
    <w:basedOn w:val="667"/>
    <w:uiPriority w:val="0"/>
    <w:qFormat/>
    <w:rPr>
      <w:rFonts w:ascii="方正仿宋_GBK" w:hAnsi="方正仿宋_GBK" w:eastAsia="方正仿宋_GBK" w:cs="方正仿宋_GBK"/>
      <w:color w:val="000000"/>
      <w:sz w:val="28"/>
      <w:szCs w:val="28"/>
      <w:u w:val="none"/>
    </w:rPr>
  </w:style>
  <w:style w:type="paragraph" w:styleId="731" w:customStyle="1">
    <w:name w:val="Heading"/>
    <w:basedOn w:val="657"/>
    <w:next w:val="673"/>
    <w:uiPriority w:val="0"/>
    <w:qFormat/>
    <w:pPr>
      <w:keepNext/>
      <w:spacing w:before="240" w:after="120"/>
    </w:pPr>
    <w:rPr>
      <w:rFonts w:ascii="Liberation Sans" w:hAnsi="Liberation Sans" w:eastAsia="Noto Sans" w:cs="Noto Sans"/>
      <w:sz w:val="28"/>
      <w:szCs w:val="28"/>
    </w:rPr>
  </w:style>
  <w:style w:type="paragraph" w:styleId="732" w:customStyle="1">
    <w:name w:val="Index"/>
    <w:basedOn w:val="657"/>
    <w:uiPriority w:val="0"/>
    <w:qFormat/>
    <w:pPr>
      <w:suppressLineNumbers/>
    </w:pPr>
  </w:style>
  <w:style w:type="paragraph" w:styleId="733" w:customStyle="1">
    <w:name w:val="列表 31"/>
    <w:basedOn w:val="657"/>
    <w:uiPriority w:val="0"/>
    <w:qFormat/>
    <w:pPr>
      <w:ind w:right="0"/>
    </w:pPr>
  </w:style>
  <w:style w:type="paragraph" w:styleId="734" w:customStyle="1">
    <w:name w:val="索引 81"/>
    <w:basedOn w:val="657"/>
    <w:next w:val="657"/>
    <w:uiPriority w:val="0"/>
    <w:qFormat/>
    <w:pPr>
      <w:ind w:right="0" w:firstLine="0"/>
    </w:pPr>
  </w:style>
  <w:style w:type="paragraph" w:styleId="735" w:customStyle="1">
    <w:name w:val="文档结构图1"/>
    <w:basedOn w:val="657"/>
    <w:uiPriority w:val="0"/>
    <w:qFormat/>
    <w:pPr>
      <w:shd w:val="clear" w:color="auto" w:fill="000080"/>
    </w:pPr>
  </w:style>
  <w:style w:type="paragraph" w:styleId="736" w:customStyle="1">
    <w:name w:val="批注文字1"/>
    <w:basedOn w:val="657"/>
    <w:uiPriority w:val="0"/>
    <w:qFormat/>
    <w:pPr>
      <w:jc w:val="left"/>
    </w:pPr>
  </w:style>
  <w:style w:type="paragraph" w:styleId="737" w:customStyle="1">
    <w:name w:val="正文文本 31"/>
    <w:basedOn w:val="657"/>
    <w:uiPriority w:val="0"/>
    <w:qFormat/>
    <w:rPr>
      <w:rFonts w:ascii="仿宋_GB2312;仿宋" w:hAnsi="仿宋_GB2312;仿宋" w:eastAsia="仿宋_GB2312;仿宋" w:cs="Arial"/>
      <w:sz w:val="32"/>
      <w:szCs w:val="32"/>
    </w:rPr>
  </w:style>
  <w:style w:type="paragraph" w:styleId="738" w:customStyle="1">
    <w:name w:val="列表 21"/>
    <w:basedOn w:val="657"/>
    <w:uiPriority w:val="0"/>
    <w:qFormat/>
    <w:pPr>
      <w:ind w:right="0"/>
    </w:pPr>
  </w:style>
  <w:style w:type="paragraph" w:styleId="739" w:customStyle="1">
    <w:name w:val="纯文本1"/>
    <w:basedOn w:val="657"/>
    <w:uiPriority w:val="0"/>
    <w:qFormat/>
    <w:rPr>
      <w:rFonts w:ascii="宋体" w:hAnsi="宋体" w:cs="Courier New"/>
    </w:rPr>
  </w:style>
  <w:style w:type="paragraph" w:styleId="740" w:customStyle="1">
    <w:name w:val="日期1"/>
    <w:basedOn w:val="657"/>
    <w:next w:val="657"/>
    <w:uiPriority w:val="0"/>
    <w:qFormat/>
    <w:rPr>
      <w:sz w:val="24"/>
      <w:szCs w:val="24"/>
    </w:rPr>
  </w:style>
  <w:style w:type="paragraph" w:styleId="741" w:customStyle="1">
    <w:name w:val="正文文本缩进 21"/>
    <w:basedOn w:val="657"/>
    <w:uiPriority w:val="0"/>
    <w:qFormat/>
    <w:pPr>
      <w:ind w:left="630" w:right="0" w:firstLine="645"/>
    </w:pPr>
    <w:rPr>
      <w:rFonts w:ascii="Arial" w:hAnsi="Arial" w:eastAsia="仿宋_GB2312;仿宋" w:cs="Arial"/>
      <w:sz w:val="32"/>
      <w:szCs w:val="32"/>
    </w:rPr>
  </w:style>
  <w:style w:type="paragraph" w:styleId="742" w:customStyle="1">
    <w:name w:val="批注框文本1"/>
    <w:basedOn w:val="657"/>
    <w:uiPriority w:val="0"/>
    <w:qFormat/>
    <w:rPr>
      <w:sz w:val="18"/>
      <w:szCs w:val="18"/>
    </w:rPr>
  </w:style>
  <w:style w:type="paragraph" w:styleId="743" w:customStyle="1">
    <w:name w:val="Header and Footer"/>
    <w:basedOn w:val="657"/>
    <w:uiPriority w:val="0"/>
    <w:qFormat/>
    <w:pPr>
      <w:tabs>
        <w:tab w:val="center" w:pos="4819" w:leader="none"/>
        <w:tab w:val="right" w:pos="9638" w:leader="none"/>
      </w:tabs>
      <w:suppressLineNumbers/>
    </w:pPr>
  </w:style>
  <w:style w:type="paragraph" w:styleId="744" w:customStyle="1">
    <w:name w:val="正文文本缩进 31"/>
    <w:basedOn w:val="657"/>
    <w:uiPriority w:val="0"/>
    <w:qFormat/>
    <w:pPr>
      <w:ind w:left="645" w:right="0" w:firstLine="645"/>
    </w:pPr>
    <w:rPr>
      <w:rFonts w:ascii="Arial" w:hAnsi="Arial" w:eastAsia="仿宋_GB2312;仿宋" w:cs="Arial"/>
      <w:color w:val="ffff00"/>
      <w:sz w:val="32"/>
      <w:szCs w:val="32"/>
    </w:rPr>
  </w:style>
  <w:style w:type="paragraph" w:styleId="745" w:customStyle="1">
    <w:name w:val="图表目录1"/>
    <w:basedOn w:val="657"/>
    <w:next w:val="657"/>
    <w:uiPriority w:val="0"/>
    <w:qFormat/>
    <w:pPr>
      <w:ind w:left="840" w:right="0" w:hanging="420"/>
    </w:pPr>
  </w:style>
  <w:style w:type="paragraph" w:styleId="746" w:customStyle="1">
    <w:name w:val="正文文本 21"/>
    <w:basedOn w:val="657"/>
    <w:uiPriority w:val="0"/>
    <w:qFormat/>
    <w:pPr>
      <w:jc w:val="center"/>
      <w:widowControl/>
    </w:pPr>
    <w:rPr>
      <w:rFonts w:ascii="楷体_GB2312;楷体" w:hAnsi="楷体_GB2312;楷体" w:eastAsia="楷体_GB2312;楷体"/>
      <w:sz w:val="28"/>
      <w:szCs w:val="28"/>
    </w:rPr>
  </w:style>
  <w:style w:type="paragraph" w:styleId="747" w:customStyle="1">
    <w:name w:val="普通(网站)1"/>
    <w:basedOn w:val="657"/>
    <w:uiPriority w:val="0"/>
    <w:qFormat/>
    <w:pPr>
      <w:jc w:val="left"/>
      <w:spacing w:before="100" w:after="100"/>
      <w:widowControl/>
    </w:pPr>
    <w:rPr>
      <w:rFonts w:ascii="宋体" w:hAnsi="宋体" w:cs="宋体"/>
      <w:sz w:val="24"/>
      <w:szCs w:val="24"/>
    </w:rPr>
  </w:style>
  <w:style w:type="paragraph" w:styleId="748" w:customStyle="1">
    <w:name w:val="批注主题1"/>
    <w:basedOn w:val="736"/>
    <w:next w:val="736"/>
    <w:uiPriority w:val="0"/>
    <w:qFormat/>
    <w:rPr>
      <w:b/>
      <w:bCs/>
    </w:rPr>
  </w:style>
  <w:style w:type="paragraph" w:styleId="749" w:customStyle="1">
    <w:name w:val="正文首行缩进1"/>
    <w:basedOn w:val="657"/>
    <w:uiPriority w:val="0"/>
    <w:qFormat/>
    <w:pPr>
      <w:ind w:left="0" w:right="0"/>
      <w:spacing w:line="360" w:lineRule="auto"/>
    </w:pPr>
    <w:rPr>
      <w:rFonts w:ascii="仿宋_GB2312;仿宋" w:hAnsi="仿宋_GB2312;仿宋" w:eastAsia="仿宋_GB2312;仿宋"/>
      <w:sz w:val="30"/>
      <w:szCs w:val="30"/>
    </w:rPr>
  </w:style>
  <w:style w:type="paragraph" w:styleId="750" w:customStyle="1">
    <w:name w:val="正文首行缩进 21"/>
    <w:basedOn w:val="674"/>
    <w:uiPriority w:val="0"/>
    <w:qFormat/>
    <w:pPr>
      <w:ind w:left="0" w:right="0"/>
      <w:spacing w:line="360" w:lineRule="auto"/>
    </w:pPr>
    <w:rPr>
      <w:rFonts w:ascii="宋体" w:hAnsi="宋体" w:eastAsia="宋体" w:cs="宋体"/>
      <w:sz w:val="21"/>
      <w:szCs w:val="20"/>
    </w:rPr>
  </w:style>
  <w:style w:type="paragraph" w:styleId="751" w:customStyle="1">
    <w:name w:val="二级目录"/>
    <w:next w:val="657"/>
    <w:uiPriority w:val="0"/>
    <w:qFormat/>
    <w:pPr>
      <w:numPr>
        <w:ilvl w:val="0"/>
        <w:numId w:val="2"/>
      </w:numPr>
      <w:widowControl/>
      <w:tabs>
        <w:tab w:val="left" w:pos="907" w:leader="none"/>
        <w:tab w:val="left" w:pos="1145" w:leader="none"/>
      </w:tabs>
      <w:outlineLvl w:val="1"/>
    </w:pPr>
    <w:rPr>
      <w:rFonts w:ascii="Times New Roman" w:hAnsi="Times New Roman" w:eastAsia="宋体" w:cs="Times New Roman"/>
      <w:b/>
      <w:color w:val="auto"/>
      <w:sz w:val="30"/>
      <w:szCs w:val="28"/>
      <w:lang w:val="en-US" w:eastAsia="zh-CN" w:bidi="ar-SA"/>
    </w:rPr>
  </w:style>
  <w:style w:type="paragraph" w:styleId="752" w:customStyle="1">
    <w:name w:val="列出段落1"/>
    <w:basedOn w:val="657"/>
    <w:uiPriority w:val="0"/>
    <w:qFormat/>
    <w:pPr>
      <w:contextualSpacing/>
      <w:ind w:left="720" w:right="0" w:firstLine="0"/>
      <w:jc w:val="left"/>
      <w:spacing w:before="0" w:after="0"/>
      <w:widowControl/>
    </w:pPr>
    <w:rPr>
      <w:rFonts w:ascii="Calibri" w:hAnsi="Calibri" w:eastAsia="宋体" w:cs="Times New Roman"/>
      <w:sz w:val="24"/>
      <w:szCs w:val="24"/>
      <w:lang w:eastAsia="en-US" w:bidi="en-US"/>
    </w:rPr>
  </w:style>
  <w:style w:type="paragraph" w:styleId="753" w:customStyle="1">
    <w:name w:val="Body Text(ch)"/>
    <w:basedOn w:val="657"/>
    <w:next w:val="673"/>
    <w:uiPriority w:val="0"/>
    <w:qFormat/>
    <w:pPr>
      <w:spacing w:before="0" w:after="120"/>
    </w:pPr>
    <w:rPr>
      <w:rFonts w:ascii="宋体" w:hAnsi="宋体" w:cs="Arial"/>
      <w:bCs/>
      <w:iCs/>
      <w:szCs w:val="24"/>
    </w:rPr>
  </w:style>
  <w:style w:type="paragraph" w:styleId="754" w:customStyle="1">
    <w:name w:val="xl27"/>
    <w:basedOn w:val="657"/>
    <w:uiPriority w:val="0"/>
    <w:qFormat/>
    <w:pPr>
      <w:jc w:val="center"/>
      <w:spacing w:before="100" w:after="100"/>
      <w:widowControl/>
      <w:pBdr>
        <w:left w:val="single" w:color="000000" w:sz="4" w:space="0"/>
        <w:bottom w:val="single" w:color="000000" w:sz="4" w:space="0"/>
        <w:right w:val="single" w:color="000000" w:sz="4" w:space="0"/>
      </w:pBdr>
    </w:pPr>
    <w:rPr>
      <w:rFonts w:ascii="宋体" w:hAnsi="宋体" w:cs="宋体"/>
      <w:sz w:val="24"/>
      <w:szCs w:val="24"/>
    </w:rPr>
  </w:style>
  <w:style w:type="paragraph" w:styleId="755" w:customStyle="1">
    <w:name w:val="xl26"/>
    <w:basedOn w:val="657"/>
    <w:uiPriority w:val="0"/>
    <w:qFormat/>
    <w:pPr>
      <w:jc w:val="left"/>
      <w:spacing w:before="100" w:after="100"/>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756" w:customStyle="1">
    <w:name w:val="Char"/>
    <w:basedOn w:val="657"/>
    <w:uiPriority w:val="0"/>
    <w:qFormat/>
    <w:pPr>
      <w:ind w:left="0" w:right="0"/>
      <w:tabs>
        <w:tab w:val="left" w:pos="360" w:leader="none"/>
      </w:tabs>
    </w:pPr>
    <w:rPr>
      <w:sz w:val="28"/>
      <w:szCs w:val="30"/>
    </w:rPr>
  </w:style>
  <w:style w:type="paragraph" w:styleId="757" w:customStyle="1">
    <w:name w:val=" Char"/>
    <w:basedOn w:val="735"/>
    <w:uiPriority w:val="0"/>
    <w:qFormat/>
    <w:rPr>
      <w:rFonts w:ascii="Tahoma" w:hAnsi="Tahoma" w:cs="Tahoma"/>
      <w:sz w:val="24"/>
      <w:szCs w:val="24"/>
    </w:rPr>
  </w:style>
  <w:style w:type="paragraph" w:styleId="758" w:customStyle="1">
    <w:name w:val="普通正文"/>
    <w:basedOn w:val="657"/>
    <w:uiPriority w:val="0"/>
    <w:qFormat/>
    <w:pPr>
      <w:ind w:left="0" w:right="0" w:firstLine="480"/>
      <w:jc w:val="left"/>
      <w:spacing w:before="120" w:after="120" w:line="360" w:lineRule="auto"/>
    </w:pPr>
    <w:rPr>
      <w:rFonts w:ascii="Arial" w:hAnsi="Arial" w:cs="Arial"/>
      <w:sz w:val="24"/>
      <w:szCs w:val="24"/>
    </w:rPr>
  </w:style>
  <w:style w:type="paragraph" w:styleId="759" w:customStyle="1">
    <w:name w:val="table_lines"/>
    <w:basedOn w:val="657"/>
    <w:uiPriority w:val="0"/>
    <w:qFormat/>
    <w:pPr>
      <w:jc w:val="left"/>
      <w:widowControl/>
    </w:pPr>
    <w:rPr>
      <w:sz w:val="20"/>
      <w:szCs w:val="20"/>
      <w:lang w:val="de-DE" w:eastAsia="de-DE"/>
    </w:rPr>
  </w:style>
  <w:style w:type="paragraph" w:styleId="760" w:customStyle="1">
    <w:name w:val="附录1"/>
    <w:uiPriority w:val="0"/>
    <w:qFormat/>
    <w:pPr>
      <w:numPr>
        <w:ilvl w:val="0"/>
        <w:numId w:val="2"/>
      </w:numPr>
      <w:spacing w:before="240" w:after="0" w:line="600" w:lineRule="atLeast"/>
      <w:widowControl/>
      <w:tabs>
        <w:tab w:val="left" w:pos="907" w:leader="none"/>
      </w:tabs>
    </w:pPr>
    <w:rPr>
      <w:rFonts w:ascii="Times New Roman" w:hAnsi="Times New Roman" w:eastAsia="宋体" w:cs="Times New Roman"/>
      <w:b/>
      <w:i/>
      <w:color w:val="auto"/>
      <w:sz w:val="28"/>
      <w:szCs w:val="20"/>
      <w:lang w:val="en-US" w:eastAsia="zh-CN" w:bidi="ar-SA"/>
    </w:rPr>
  </w:style>
  <w:style w:type="paragraph" w:styleId="761" w:customStyle="1">
    <w:name w:val="font7"/>
    <w:basedOn w:val="657"/>
    <w:uiPriority w:val="0"/>
    <w:qFormat/>
    <w:pPr>
      <w:jc w:val="left"/>
      <w:spacing w:before="100" w:after="100"/>
      <w:widowControl/>
    </w:pPr>
    <w:rPr>
      <w:rFonts w:hint="eastAsia" w:ascii="宋体" w:hAnsi="宋体" w:cs="宋体"/>
      <w:sz w:val="18"/>
      <w:szCs w:val="18"/>
    </w:rPr>
  </w:style>
  <w:style w:type="paragraph" w:styleId="762" w:customStyle="1">
    <w:name w:val=" Char Char Char Char"/>
    <w:basedOn w:val="735"/>
    <w:uiPriority w:val="0"/>
    <w:qFormat/>
    <w:pPr>
      <w:spacing w:line="360" w:lineRule="auto"/>
    </w:pPr>
    <w:rPr>
      <w:rFonts w:ascii="Tahoma" w:hAnsi="Tahoma" w:cs="Tahoma"/>
      <w:sz w:val="24"/>
      <w:szCs w:val="24"/>
    </w:rPr>
  </w:style>
  <w:style w:type="paragraph" w:styleId="763" w:customStyle="1">
    <w:name w:val="列表段落"/>
    <w:basedOn w:val="657"/>
    <w:uiPriority w:val="0"/>
    <w:qFormat/>
    <w:pPr>
      <w:contextualSpacing/>
      <w:ind w:left="720" w:right="0" w:firstLine="0"/>
      <w:jc w:val="left"/>
      <w:spacing w:before="0" w:after="0"/>
      <w:widowControl/>
    </w:pPr>
    <w:rPr>
      <w:rFonts w:ascii="Calibri" w:hAnsi="Calibri" w:cs="Calibri"/>
      <w:sz w:val="24"/>
      <w:szCs w:val="24"/>
      <w:lang w:eastAsia="en-US" w:bidi="en-US"/>
    </w:rPr>
  </w:style>
  <w:style w:type="paragraph" w:styleId="764" w:customStyle="1">
    <w:name w:val="4"/>
    <w:basedOn w:val="657"/>
    <w:next w:val="744"/>
    <w:uiPriority w:val="0"/>
    <w:qFormat/>
    <w:pPr>
      <w:ind w:left="0" w:right="0" w:firstLine="420"/>
      <w:spacing w:line="360" w:lineRule="auto"/>
    </w:pPr>
    <w:rPr>
      <w:color w:val="ff0000"/>
      <w:sz w:val="24"/>
      <w:szCs w:val="24"/>
    </w:rPr>
  </w:style>
  <w:style w:type="paragraph" w:styleId="765" w:customStyle="1">
    <w:name w:val="普通 (Web)"/>
    <w:basedOn w:val="657"/>
    <w:uiPriority w:val="0"/>
    <w:qFormat/>
    <w:pPr>
      <w:jc w:val="left"/>
      <w:spacing w:before="100" w:after="100"/>
      <w:widowControl/>
    </w:pPr>
    <w:rPr>
      <w:rFonts w:ascii="宋体" w:hAnsi="宋体" w:cs="宋体"/>
      <w:sz w:val="24"/>
      <w:szCs w:val="24"/>
    </w:rPr>
  </w:style>
  <w:style w:type="paragraph" w:styleId="766" w:customStyle="1">
    <w:name w:val=" Char Char Char Char Char Char Char Char Char Char"/>
    <w:basedOn w:val="657"/>
    <w:uiPriority w:val="0"/>
    <w:qFormat/>
    <w:pPr>
      <w:spacing w:line="360" w:lineRule="auto"/>
    </w:pPr>
    <w:rPr>
      <w:sz w:val="24"/>
      <w:szCs w:val="20"/>
    </w:rPr>
  </w:style>
  <w:style w:type="paragraph" w:styleId="767" w:customStyle="1">
    <w:name w:val="样式1"/>
    <w:basedOn w:val="657"/>
    <w:uiPriority w:val="0"/>
    <w:qFormat/>
    <w:pPr>
      <w:numPr>
        <w:ilvl w:val="0"/>
        <w:numId w:val="3"/>
      </w:numPr>
      <w:tabs>
        <w:tab w:val="left" w:pos="709" w:leader="none"/>
      </w:tabs>
    </w:pPr>
    <w:rPr>
      <w:rFonts w:ascii="宋体" w:hAnsi="宋体" w:cs="宋体"/>
    </w:rPr>
  </w:style>
  <w:style w:type="paragraph" w:styleId="768" w:customStyle="1">
    <w:name w:val="font6"/>
    <w:basedOn w:val="657"/>
    <w:uiPriority w:val="0"/>
    <w:qFormat/>
    <w:pPr>
      <w:jc w:val="left"/>
      <w:spacing w:before="100" w:after="100"/>
      <w:widowControl/>
    </w:pPr>
    <w:rPr>
      <w:rFonts w:hint="eastAsia" w:ascii="宋体" w:hAnsi="宋体" w:cs="宋体"/>
      <w:sz w:val="28"/>
      <w:szCs w:val="28"/>
      <w:u w:val="single"/>
    </w:rPr>
  </w:style>
  <w:style w:type="paragraph" w:styleId="769" w:customStyle="1">
    <w:name w:val="xl25"/>
    <w:basedOn w:val="657"/>
    <w:uiPriority w:val="0"/>
    <w:qFormat/>
    <w:pPr>
      <w:jc w:val="center"/>
      <w:spacing w:before="100" w:after="100"/>
      <w:widowControl/>
    </w:pPr>
    <w:rPr>
      <w:rFonts w:ascii="Arial Unicode MS;宋体" w:hAnsi="Arial Unicode MS;宋体" w:eastAsia="Arial Unicode MS;宋体" w:cs="Arial Unicode MS;宋体"/>
      <w:sz w:val="24"/>
      <w:szCs w:val="24"/>
    </w:rPr>
  </w:style>
  <w:style w:type="paragraph" w:styleId="770" w:customStyle="1">
    <w:name w:val="图标"/>
    <w:basedOn w:val="657"/>
    <w:next w:val="657"/>
    <w:uiPriority w:val="0"/>
    <w:qFormat/>
    <w:pPr>
      <w:ind w:left="840" w:right="0" w:hanging="420"/>
      <w:jc w:val="center"/>
      <w:spacing w:before="120" w:after="120" w:line="320" w:lineRule="atLeast"/>
      <w:tabs>
        <w:tab w:val="left" w:pos="567" w:leader="none"/>
        <w:tab w:val="left" w:pos="840" w:leader="none"/>
      </w:tabs>
    </w:pPr>
    <w:rPr>
      <w:rFonts w:eastAsia="仿宋_GB2312;仿宋"/>
      <w:sz w:val="24"/>
      <w:szCs w:val="20"/>
    </w:rPr>
  </w:style>
  <w:style w:type="paragraph" w:styleId="771" w:customStyle="1">
    <w:name w:val="标题3"/>
    <w:basedOn w:val="657"/>
    <w:next w:val="657"/>
    <w:uiPriority w:val="0"/>
    <w:qFormat/>
    <w:pPr>
      <w:ind w:left="0" w:right="0" w:firstLine="624"/>
      <w:spacing w:line="590" w:lineRule="atLeast"/>
    </w:pPr>
    <w:rPr>
      <w:rFonts w:ascii="方正黑体_GBK;微软雅黑" w:hAnsi="方正黑体_GBK;微软雅黑" w:eastAsia="方正黑体_GBK;微软雅黑"/>
      <w:sz w:val="32"/>
      <w:szCs w:val="32"/>
    </w:rPr>
  </w:style>
  <w:style w:type="paragraph" w:styleId="772" w:customStyle="1">
    <w:name w:val="xl24"/>
    <w:basedOn w:val="657"/>
    <w:uiPriority w:val="0"/>
    <w:qFormat/>
    <w:pPr>
      <w:jc w:val="center"/>
      <w:spacing w:before="100" w:after="100"/>
      <w:widowControl/>
      <w:pBdr>
        <w:left w:val="single" w:color="000000" w:sz="4" w:space="0"/>
        <w:bottom w:val="single" w:color="000000" w:sz="4" w:space="0"/>
        <w:right w:val="single" w:color="000000" w:sz="4" w:space="0"/>
      </w:pBdr>
    </w:pPr>
    <w:rPr>
      <w:rFonts w:ascii="宋体" w:hAnsi="宋体" w:cs="宋体"/>
      <w:sz w:val="24"/>
      <w:szCs w:val="24"/>
    </w:rPr>
  </w:style>
  <w:style w:type="paragraph" w:styleId="773" w:customStyle="1">
    <w:name w:val="xl29"/>
    <w:basedOn w:val="657"/>
    <w:uiPriority w:val="0"/>
    <w:qFormat/>
    <w:pPr>
      <w:jc w:val="left"/>
      <w:spacing w:before="100" w:after="100"/>
      <w:widowControl/>
      <w:pBdr>
        <w:left w:val="single" w:color="000000" w:sz="4" w:space="0"/>
        <w:bottom w:val="single" w:color="000000" w:sz="4" w:space="0"/>
      </w:pBdr>
    </w:pPr>
    <w:rPr>
      <w:rFonts w:ascii="宋体" w:hAnsi="宋体" w:cs="宋体"/>
      <w:sz w:val="24"/>
      <w:szCs w:val="24"/>
    </w:rPr>
  </w:style>
  <w:style w:type="paragraph" w:styleId="774" w:customStyle="1">
    <w:name w:val="Char Char Char Char Char Char Char Char"/>
    <w:basedOn w:val="657"/>
    <w:uiPriority w:val="0"/>
    <w:qFormat/>
    <w:pPr>
      <w:jc w:val="left"/>
      <w:spacing w:before="0" w:after="160" w:line="240" w:lineRule="exact"/>
      <w:widowControl/>
    </w:pPr>
    <w:rPr>
      <w:rFonts w:ascii="Verdana" w:hAnsi="Verdana" w:cs="Verdana"/>
      <w:sz w:val="20"/>
      <w:szCs w:val="20"/>
      <w:lang w:eastAsia="en-US"/>
    </w:rPr>
  </w:style>
  <w:style w:type="paragraph" w:styleId="775" w:customStyle="1">
    <w:name w:val="xl28"/>
    <w:basedOn w:val="657"/>
    <w:uiPriority w:val="0"/>
    <w:qFormat/>
    <w:pPr>
      <w:jc w:val="left"/>
      <w:spacing w:before="100" w:after="100"/>
      <w:widowControl/>
      <w:pBdr>
        <w:top w:val="single" w:color="000000" w:sz="4" w:space="0"/>
        <w:left w:val="single" w:color="000000" w:sz="4" w:space="0"/>
        <w:bottom w:val="single" w:color="000000" w:sz="4" w:space="0"/>
      </w:pBdr>
    </w:pPr>
    <w:rPr>
      <w:rFonts w:ascii="宋体" w:hAnsi="宋体" w:cs="宋体"/>
      <w:sz w:val="24"/>
      <w:szCs w:val="24"/>
    </w:rPr>
  </w:style>
  <w:style w:type="paragraph" w:styleId="776" w:customStyle="1">
    <w:name w:val=" Char Char Char Char Char Char Char Char"/>
    <w:basedOn w:val="657"/>
    <w:uiPriority w:val="0"/>
    <w:qFormat/>
    <w:pPr>
      <w:jc w:val="left"/>
      <w:spacing w:before="0" w:after="160" w:line="240" w:lineRule="exact"/>
      <w:widowControl/>
    </w:pPr>
    <w:rPr>
      <w:rFonts w:ascii="Verdana" w:hAnsi="Verdana" w:cs="Verdana"/>
      <w:sz w:val="20"/>
      <w:szCs w:val="20"/>
      <w:lang w:eastAsia="en-US"/>
    </w:rPr>
  </w:style>
  <w:style w:type="paragraph" w:styleId="777" w:customStyle="1">
    <w:name w:val="xl30"/>
    <w:basedOn w:val="657"/>
    <w:uiPriority w:val="0"/>
    <w:qFormat/>
    <w:pPr>
      <w:jc w:val="center"/>
      <w:spacing w:before="100" w:after="100"/>
      <w:widowControl/>
    </w:pPr>
    <w:rPr>
      <w:rFonts w:ascii="宋体" w:hAnsi="宋体" w:cs="宋体"/>
      <w:b/>
      <w:bCs/>
      <w:sz w:val="36"/>
      <w:szCs w:val="36"/>
    </w:rPr>
  </w:style>
  <w:style w:type="paragraph" w:styleId="778" w:customStyle="1">
    <w:name w:val="Char Char Char Char"/>
    <w:basedOn w:val="735"/>
    <w:uiPriority w:val="0"/>
    <w:qFormat/>
    <w:pPr>
      <w:spacing w:line="360" w:lineRule="auto"/>
    </w:pPr>
    <w:rPr>
      <w:rFonts w:ascii="Tahoma" w:hAnsi="Tahoma" w:cs="Tahoma"/>
      <w:sz w:val="24"/>
      <w:szCs w:val="24"/>
    </w:rPr>
  </w:style>
  <w:style w:type="paragraph" w:styleId="779" w:customStyle="1">
    <w:name w:val="table_1stline"/>
    <w:basedOn w:val="657"/>
    <w:uiPriority w:val="0"/>
    <w:qFormat/>
    <w:pPr>
      <w:jc w:val="left"/>
      <w:spacing w:before="120" w:after="0"/>
      <w:widowControl/>
    </w:pPr>
    <w:rPr>
      <w:bCs/>
      <w:sz w:val="20"/>
      <w:szCs w:val="20"/>
      <w:lang w:val="de-DE" w:eastAsia="de-DE"/>
    </w:rPr>
  </w:style>
  <w:style w:type="paragraph" w:styleId="780" w:customStyle="1">
    <w:name w:val="font5"/>
    <w:basedOn w:val="657"/>
    <w:uiPriority w:val="0"/>
    <w:qFormat/>
    <w:pPr>
      <w:jc w:val="left"/>
      <w:spacing w:before="100" w:after="100"/>
      <w:widowControl/>
    </w:pPr>
    <w:rPr>
      <w:rFonts w:hint="eastAsia" w:ascii="宋体" w:hAnsi="宋体" w:cs="宋体"/>
      <w:sz w:val="28"/>
      <w:szCs w:val="28"/>
    </w:rPr>
  </w:style>
  <w:style w:type="paragraph" w:styleId="781" w:customStyle="1">
    <w:name w:val="标题1"/>
    <w:basedOn w:val="657"/>
    <w:next w:val="657"/>
    <w:uiPriority w:val="0"/>
    <w:qFormat/>
    <w:pPr>
      <w:jc w:val="center"/>
      <w:spacing w:line="700" w:lineRule="atLeast"/>
      <w:tabs>
        <w:tab w:val="left" w:pos="9193" w:leader="none"/>
        <w:tab w:val="left" w:pos="9827" w:leader="none"/>
      </w:tabs>
    </w:pPr>
    <w:rPr>
      <w:rFonts w:ascii="方正小标宋_GBK;微软雅黑" w:hAnsi="方正小标宋_GBK;微软雅黑" w:eastAsia="方正小标宋_GBK;微软雅黑"/>
      <w:sz w:val="44"/>
      <w:szCs w:val="20"/>
    </w:rPr>
  </w:style>
  <w:style w:type="paragraph" w:styleId="782" w:customStyle="1">
    <w:name w:val="修订"/>
    <w:uiPriority w:val="0"/>
    <w:qFormat/>
    <w:pPr>
      <w:widowControl/>
    </w:pPr>
    <w:rPr>
      <w:rFonts w:ascii="Times New Roman" w:hAnsi="Times New Roman" w:eastAsia="宋体" w:cs="Times New Roman"/>
      <w:color w:val="auto"/>
      <w:sz w:val="21"/>
      <w:szCs w:val="21"/>
      <w:lang w:val="en-US" w:eastAsia="zh-CN" w:bidi="ar-SA"/>
    </w:rPr>
  </w:style>
  <w:style w:type="paragraph" w:styleId="783" w:customStyle="1">
    <w:name w:val="无间隔"/>
    <w:uiPriority w:val="0"/>
    <w:qFormat/>
    <w:pPr>
      <w:jc w:val="both"/>
      <w:widowControl w:val="off"/>
    </w:pPr>
    <w:rPr>
      <w:rFonts w:ascii="Times New Roman" w:hAnsi="Times New Roman" w:eastAsia="宋体" w:cs="Times New Roman"/>
      <w:color w:val="auto"/>
      <w:sz w:val="21"/>
      <w:szCs w:val="21"/>
      <w:lang w:val="en-US" w:eastAsia="zh-CN" w:bidi="ar-SA"/>
    </w:rPr>
  </w:style>
  <w:style w:type="paragraph" w:styleId="784" w:customStyle="1">
    <w:name w:val="ds-markdown-paragraph"/>
    <w:basedOn w:val="657"/>
    <w:uiPriority w:val="0"/>
    <w:qFormat/>
    <w:pPr>
      <w:jc w:val="left"/>
      <w:spacing w:before="100" w:after="100"/>
      <w:widowControl/>
    </w:pPr>
    <w:rPr>
      <w:rFonts w:ascii="宋体" w:hAnsi="宋体" w:cs="宋体"/>
      <w:sz w:val="24"/>
      <w:szCs w:val="24"/>
    </w:rPr>
  </w:style>
  <w:style w:type="paragraph" w:styleId="785" w:customStyle="1">
    <w:name w:val="Table Contents"/>
    <w:basedOn w:val="657"/>
    <w:uiPriority w:val="0"/>
    <w:qFormat/>
    <w:pPr>
      <w:widowControl w:val="off"/>
      <w:suppressLineNumbers/>
    </w:pPr>
  </w:style>
  <w:style w:type="paragraph" w:styleId="786" w:customStyle="1">
    <w:name w:val="Table Heading"/>
    <w:basedOn w:val="785"/>
    <w:uiPriority w:val="0"/>
    <w:qFormat/>
    <w:pPr>
      <w:jc w:val="center"/>
      <w:suppressLineNumbers/>
    </w:pPr>
    <w:rPr>
      <w:b/>
      <w:bCs/>
    </w:rPr>
  </w:style>
  <w:style w:type="paragraph" w:styleId="787" w:customStyle="1">
    <w:name w:val="Frame Contents"/>
    <w:basedOn w:val="657"/>
    <w:uiPriority w:val="0"/>
    <w:qFormat/>
  </w:style>
  <w:style w:type="numbering" w:styleId="97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na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solidFill>
        <a:solidFill>
          <a:schemeClr val="phClr"/>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徐晨义</cp:lastModifiedBy>
  <cp:revision>3</cp:revision>
  <dcterms:created xsi:type="dcterms:W3CDTF">2023-03-16T11:16:00Z</dcterms:created>
  <dcterms:modified xsi:type="dcterms:W3CDTF">2026-10-26T06:06:09Z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E37FFE277C124527AE73150716D13D4C_13</vt:lpwstr>
  </property>
  <property fmtid="{D5CDD505-2E9C-101B-9397-08002B2CF9AE}" pid="3" name="KSOProductBuildVer">
    <vt:lpwstr>2052-12.1.0.29161</vt:lpwstr>
  </property>
  <property fmtid="{D5CDD505-2E9C-101B-9397-08002B2CF9AE}" pid="4" name="KSOTemplateDocerSaveRecord">
    <vt:lpwstr>eyJoZGlkIjoiNzJlOTY1MmE5ZGM0ZDc4N2I4NmFhYjY2MWRlNTE1ZTAiLCJ1c2VySWQiOiIxNTU1OTM2MDk2In0=</vt:lpwstr>
  </property>
</Properties>
</file>