
<file path=[Content_Types].xml><?xml version="1.0" encoding="utf-8"?>
<Types xmlns="http://schemas.openxmlformats.org/package/2006/content-types">
  <Default Extension="xml" ContentType="application/xml"/>
  <Default Extension="xlsx" ContentType="application/vnd.openxmlformats-officedocument.spreadsheetml.shee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CB52F">
      <w:pPr>
        <w:pStyle w:val="82"/>
        <w:rPr>
          <w:rFonts w:hint="eastAsia" w:ascii="宋体" w:hAnsi="宋体" w:cs="宋体"/>
          <w:color w:val="000000" w:themeColor="text1"/>
        </w:rPr>
      </w:pPr>
    </w:p>
    <w:p w14:paraId="0CFF8FF6">
      <w:pPr>
        <w:pStyle w:val="82"/>
        <w:rPr>
          <w:rFonts w:hint="eastAsia" w:ascii="宋体" w:hAnsi="宋体" w:cs="宋体"/>
          <w:color w:val="000000" w:themeColor="text1"/>
        </w:rPr>
      </w:pPr>
    </w:p>
    <w:p w14:paraId="43429992">
      <w:pPr>
        <w:widowControl/>
        <w:shd w:val="clear" w:color="auto" w:fill="FFFFFF"/>
        <w:spacing w:line="360" w:lineRule="auto"/>
        <w:jc w:val="center"/>
        <w:rPr>
          <w:rFonts w:hint="eastAsia" w:ascii="宋体" w:hAnsi="宋体" w:cs="宋体"/>
          <w:b/>
          <w:color w:val="000000" w:themeColor="text1"/>
          <w:spacing w:val="-20"/>
          <w:sz w:val="48"/>
          <w:szCs w:val="48"/>
        </w:rPr>
      </w:pPr>
    </w:p>
    <w:p w14:paraId="6D0A61A2">
      <w:pPr>
        <w:pStyle w:val="19"/>
        <w:rPr>
          <w:rFonts w:hint="eastAsia" w:ascii="宋体" w:hAnsi="宋体" w:cs="宋体"/>
          <w:color w:val="000000" w:themeColor="text1"/>
          <w:sz w:val="56"/>
          <w:szCs w:val="56"/>
        </w:rPr>
      </w:pPr>
      <w:r>
        <w:rPr>
          <w:rFonts w:hint="eastAsia" w:ascii="宋体" w:hAnsi="宋体" w:cs="宋体"/>
          <w:color w:val="000000" w:themeColor="text1"/>
          <w:sz w:val="56"/>
          <w:szCs w:val="56"/>
        </w:rPr>
        <w:t>2026-2027年度</w:t>
      </w:r>
    </w:p>
    <w:p w14:paraId="42507DC3">
      <w:pPr>
        <w:pStyle w:val="19"/>
        <w:rPr>
          <w:color w:val="000000" w:themeColor="text1"/>
        </w:rPr>
      </w:pPr>
      <w:r>
        <w:rPr>
          <w:rFonts w:hint="eastAsia" w:ascii="宋体" w:hAnsi="宋体" w:cs="宋体"/>
          <w:color w:val="000000" w:themeColor="text1"/>
          <w:sz w:val="56"/>
          <w:szCs w:val="56"/>
        </w:rPr>
        <w:t>钟山风景区安保服务采购</w:t>
      </w:r>
    </w:p>
    <w:p w14:paraId="24F569B3">
      <w:pPr>
        <w:pStyle w:val="19"/>
        <w:jc w:val="both"/>
        <w:rPr>
          <w:color w:val="000000" w:themeColor="text1"/>
        </w:rPr>
      </w:pPr>
    </w:p>
    <w:p w14:paraId="75E4B2EB">
      <w:pPr>
        <w:rPr>
          <w:color w:val="000000" w:themeColor="text1"/>
        </w:rPr>
      </w:pPr>
    </w:p>
    <w:p w14:paraId="61B0D8BB">
      <w:pPr>
        <w:rPr>
          <w:color w:val="000000" w:themeColor="text1"/>
        </w:rPr>
      </w:pPr>
    </w:p>
    <w:p w14:paraId="58776569">
      <w:pPr>
        <w:pStyle w:val="40"/>
        <w:rPr>
          <w:rFonts w:hint="eastAsia" w:cs="宋体"/>
          <w:color w:val="000000" w:themeColor="text1"/>
        </w:rPr>
      </w:pPr>
    </w:p>
    <w:p w14:paraId="777A4110">
      <w:pPr>
        <w:widowControl/>
        <w:spacing w:line="360" w:lineRule="auto"/>
        <w:jc w:val="center"/>
        <w:rPr>
          <w:rFonts w:hint="eastAsia" w:ascii="宋体" w:hAnsi="宋体" w:cs="宋体"/>
          <w:b/>
          <w:color w:val="000000" w:themeColor="text1"/>
          <w:kern w:val="0"/>
          <w:sz w:val="72"/>
          <w:szCs w:val="72"/>
        </w:rPr>
      </w:pPr>
      <w:r>
        <w:rPr>
          <w:rFonts w:hint="eastAsia" w:ascii="宋体" w:hAnsi="宋体" w:cs="宋体"/>
          <w:b/>
          <w:color w:val="000000" w:themeColor="text1"/>
          <w:kern w:val="0"/>
          <w:sz w:val="72"/>
          <w:szCs w:val="72"/>
        </w:rPr>
        <w:t>招标文件</w:t>
      </w:r>
    </w:p>
    <w:p w14:paraId="281EED70">
      <w:pPr>
        <w:widowControl/>
        <w:spacing w:line="360" w:lineRule="auto"/>
        <w:jc w:val="center"/>
        <w:rPr>
          <w:rFonts w:hint="eastAsia" w:ascii="宋体" w:hAnsi="宋体" w:cs="宋体"/>
          <w:b/>
          <w:color w:val="000000" w:themeColor="text1"/>
          <w:kern w:val="0"/>
          <w:sz w:val="36"/>
          <w:szCs w:val="36"/>
        </w:rPr>
      </w:pPr>
      <w:r>
        <w:rPr>
          <w:rFonts w:hint="eastAsia" w:ascii="宋体" w:hAnsi="宋体" w:cs="宋体"/>
          <w:b/>
          <w:color w:val="000000" w:themeColor="text1"/>
          <w:kern w:val="0"/>
          <w:sz w:val="36"/>
          <w:szCs w:val="36"/>
        </w:rPr>
        <w:t>项目编号：JSZC-320100-JSFH-G2026-0041</w:t>
      </w:r>
    </w:p>
    <w:p w14:paraId="4587A772">
      <w:pPr>
        <w:widowControl/>
        <w:spacing w:line="360" w:lineRule="auto"/>
        <w:jc w:val="center"/>
        <w:rPr>
          <w:rFonts w:hint="eastAsia" w:ascii="宋体" w:hAnsi="宋体" w:cs="宋体"/>
          <w:b/>
          <w:color w:val="000000" w:themeColor="text1"/>
          <w:kern w:val="0"/>
          <w:sz w:val="36"/>
          <w:szCs w:val="36"/>
        </w:rPr>
      </w:pPr>
      <w:r>
        <w:rPr>
          <w:rFonts w:hint="eastAsia" w:ascii="宋体" w:hAnsi="宋体" w:cs="宋体"/>
          <w:b/>
          <w:color w:val="000000" w:themeColor="text1"/>
          <w:kern w:val="0"/>
          <w:sz w:val="36"/>
          <w:szCs w:val="36"/>
        </w:rPr>
        <w:t>（服务类项目，</w:t>
      </w:r>
      <w:r>
        <w:rPr>
          <w:rFonts w:ascii="宋体" w:hAnsi="宋体" w:cs="宋体"/>
          <w:b/>
          <w:color w:val="000000" w:themeColor="text1"/>
          <w:kern w:val="0"/>
          <w:sz w:val="36"/>
          <w:szCs w:val="36"/>
        </w:rPr>
        <w:t>专门面向中小微企业</w:t>
      </w:r>
      <w:r>
        <w:rPr>
          <w:rFonts w:hint="eastAsia" w:ascii="宋体" w:hAnsi="宋体" w:cs="宋体"/>
          <w:b/>
          <w:color w:val="000000" w:themeColor="text1"/>
          <w:kern w:val="0"/>
          <w:sz w:val="36"/>
          <w:szCs w:val="36"/>
        </w:rPr>
        <w:t>）</w:t>
      </w:r>
    </w:p>
    <w:p w14:paraId="002F9E61">
      <w:pPr>
        <w:widowControl/>
        <w:spacing w:line="360" w:lineRule="auto"/>
        <w:jc w:val="center"/>
        <w:rPr>
          <w:rFonts w:hint="eastAsia" w:ascii="宋体" w:hAnsi="宋体" w:cs="宋体"/>
          <w:b/>
          <w:color w:val="000000" w:themeColor="text1"/>
          <w:kern w:val="0"/>
          <w:sz w:val="72"/>
          <w:szCs w:val="72"/>
        </w:rPr>
      </w:pPr>
    </w:p>
    <w:p w14:paraId="3DDB9A2C">
      <w:pPr>
        <w:widowControl/>
        <w:spacing w:line="360" w:lineRule="auto"/>
        <w:rPr>
          <w:rFonts w:hint="eastAsia" w:ascii="宋体" w:hAnsi="宋体" w:cs="宋体"/>
          <w:b/>
          <w:color w:val="000000" w:themeColor="text1"/>
          <w:kern w:val="0"/>
          <w:sz w:val="72"/>
          <w:szCs w:val="72"/>
        </w:rPr>
      </w:pPr>
    </w:p>
    <w:p w14:paraId="2CB666E6">
      <w:pPr>
        <w:pStyle w:val="19"/>
        <w:rPr>
          <w:color w:val="000000" w:themeColor="text1"/>
        </w:rPr>
      </w:pPr>
    </w:p>
    <w:p w14:paraId="6C965068">
      <w:pPr>
        <w:widowControl/>
        <w:spacing w:line="360" w:lineRule="auto"/>
        <w:jc w:val="center"/>
        <w:rPr>
          <w:rFonts w:hint="eastAsia" w:ascii="宋体" w:hAnsi="宋体" w:cs="宋体"/>
          <w:b/>
          <w:color w:val="000000" w:themeColor="text1"/>
          <w:kern w:val="0"/>
          <w:sz w:val="36"/>
          <w:szCs w:val="36"/>
        </w:rPr>
      </w:pPr>
      <w:r>
        <w:rPr>
          <w:rFonts w:hint="eastAsia" w:ascii="宋体" w:hAnsi="宋体" w:cs="宋体"/>
          <w:b/>
          <w:color w:val="000000" w:themeColor="text1"/>
          <w:kern w:val="0"/>
          <w:sz w:val="36"/>
          <w:szCs w:val="36"/>
        </w:rPr>
        <w:t>采购人：中山陵园管理局</w:t>
      </w:r>
    </w:p>
    <w:p w14:paraId="5D97913A">
      <w:pPr>
        <w:widowControl/>
        <w:spacing w:line="360" w:lineRule="auto"/>
        <w:jc w:val="center"/>
        <w:rPr>
          <w:rFonts w:hint="eastAsia" w:ascii="宋体" w:hAnsi="宋体" w:cs="宋体"/>
          <w:b/>
          <w:color w:val="000000" w:themeColor="text1"/>
          <w:kern w:val="0"/>
          <w:sz w:val="36"/>
          <w:szCs w:val="36"/>
        </w:rPr>
      </w:pPr>
      <w:r>
        <w:rPr>
          <w:rFonts w:hint="eastAsia" w:ascii="宋体" w:hAnsi="宋体" w:cs="宋体"/>
          <w:b/>
          <w:color w:val="000000" w:themeColor="text1"/>
          <w:kern w:val="0"/>
          <w:sz w:val="36"/>
          <w:szCs w:val="36"/>
        </w:rPr>
        <w:t>采购代理机构：江苏富华工程造价咨询有限公司</w:t>
      </w:r>
    </w:p>
    <w:p w14:paraId="1AAB4A32">
      <w:pPr>
        <w:widowControl/>
        <w:shd w:val="clear" w:color="auto" w:fill="FFFFFF"/>
        <w:spacing w:line="360" w:lineRule="auto"/>
        <w:jc w:val="center"/>
        <w:rPr>
          <w:rFonts w:hint="eastAsia" w:ascii="宋体" w:hAnsi="宋体" w:cs="宋体"/>
          <w:b/>
          <w:color w:val="000000" w:themeColor="text1"/>
          <w:kern w:val="0"/>
          <w:sz w:val="36"/>
          <w:szCs w:val="36"/>
        </w:rPr>
      </w:pPr>
      <w:r>
        <w:rPr>
          <w:rFonts w:hint="eastAsia" w:ascii="宋体" w:hAnsi="宋体" w:cs="宋体"/>
          <w:b/>
          <w:color w:val="000000" w:themeColor="text1"/>
          <w:kern w:val="0"/>
          <w:sz w:val="36"/>
          <w:szCs w:val="36"/>
        </w:rPr>
        <w:t>2026年10月</w:t>
      </w:r>
    </w:p>
    <w:p w14:paraId="384A17C3">
      <w:pPr>
        <w:pStyle w:val="162"/>
        <w:jc w:val="center"/>
        <w:rPr>
          <w:rFonts w:hint="eastAsia" w:ascii="宋体" w:hAnsi="宋体" w:cs="宋体"/>
          <w:color w:val="000000" w:themeColor="text1"/>
          <w:sz w:val="36"/>
          <w:szCs w:val="36"/>
          <w:lang w:val="zh-CN"/>
        </w:rPr>
        <w:sectPr>
          <w:footerReference r:id="rId3" w:type="default"/>
          <w:endnotePr>
            <w:numFmt w:val="decimal"/>
          </w:endnotePr>
          <w:pgSz w:w="11906" w:h="16838"/>
          <w:pgMar w:top="850" w:right="850" w:bottom="850" w:left="1418" w:header="227" w:footer="720" w:gutter="0"/>
          <w:cols w:space="720" w:num="1"/>
        </w:sectPr>
      </w:pPr>
    </w:p>
    <w:p w14:paraId="0D7E6524">
      <w:pPr>
        <w:pStyle w:val="162"/>
        <w:jc w:val="center"/>
        <w:rPr>
          <w:rFonts w:hint="eastAsia" w:ascii="宋体" w:hAnsi="宋体" w:cs="宋体"/>
          <w:color w:val="000000" w:themeColor="text1"/>
          <w:sz w:val="36"/>
          <w:szCs w:val="36"/>
        </w:rPr>
      </w:pPr>
      <w:r>
        <w:rPr>
          <w:rFonts w:hint="eastAsia" w:ascii="宋体" w:hAnsi="宋体" w:cs="宋体"/>
          <w:color w:val="000000" w:themeColor="text1"/>
          <w:sz w:val="36"/>
          <w:szCs w:val="36"/>
          <w:lang w:val="zh-CN"/>
        </w:rPr>
        <w:t>目录</w:t>
      </w:r>
    </w:p>
    <w:p w14:paraId="44FACCA0">
      <w:pPr>
        <w:pStyle w:val="31"/>
        <w:tabs>
          <w:tab w:val="right" w:leader="dot" w:pos="8296"/>
        </w:tabs>
        <w:rPr>
          <w:rFonts w:hint="eastAsia" w:ascii="宋体" w:hAnsi="宋体" w:cs="宋体"/>
          <w:color w:val="000000" w:themeColor="text1"/>
          <w:sz w:val="28"/>
          <w:szCs w:val="28"/>
        </w:rPr>
      </w:pPr>
    </w:p>
    <w:p w14:paraId="5E924409">
      <w:pPr>
        <w:pStyle w:val="31"/>
        <w:tabs>
          <w:tab w:val="right" w:leader="dot" w:pos="9628"/>
        </w:tabs>
        <w:spacing w:line="480" w:lineRule="auto"/>
        <w:rPr>
          <w:rFonts w:hint="eastAsia" w:ascii="宋体" w:hAnsi="宋体" w:cstheme="minorBidi"/>
          <w:sz w:val="32"/>
          <w:szCs w:val="36"/>
          <w14:ligatures w14:val="standardContextual"/>
        </w:rPr>
      </w:pPr>
      <w:r>
        <w:rPr>
          <w:rFonts w:hint="eastAsia" w:ascii="宋体" w:hAnsi="宋体" w:cs="宋体"/>
          <w:color w:val="000000" w:themeColor="text1"/>
          <w:sz w:val="24"/>
        </w:rPr>
        <w:fldChar w:fldCharType="begin"/>
      </w:r>
      <w:r>
        <w:rPr>
          <w:rFonts w:hint="eastAsia" w:ascii="宋体" w:hAnsi="宋体" w:cs="宋体"/>
          <w:color w:val="000000" w:themeColor="text1"/>
          <w:sz w:val="24"/>
        </w:rPr>
        <w:instrText xml:space="preserve">TOC \o "1-1" \h \u </w:instrText>
      </w:r>
      <w:r>
        <w:rPr>
          <w:rFonts w:hint="eastAsia" w:ascii="宋体" w:hAnsi="宋体" w:cs="宋体"/>
          <w:color w:val="000000" w:themeColor="text1"/>
          <w:sz w:val="24"/>
        </w:rPr>
        <w:fldChar w:fldCharType="separate"/>
      </w:r>
      <w:r>
        <w:fldChar w:fldCharType="begin"/>
      </w:r>
      <w:r>
        <w:instrText xml:space="preserve"> HYPERLINK \l "_Toc242444304" </w:instrText>
      </w:r>
      <w:r>
        <w:fldChar w:fldCharType="separate"/>
      </w:r>
      <w:r>
        <w:rPr>
          <w:rStyle w:val="52"/>
          <w:rFonts w:ascii="宋体" w:hAnsi="宋体" w:cs="宋体"/>
          <w:kern w:val="0"/>
          <w:sz w:val="28"/>
          <w:szCs w:val="36"/>
        </w:rPr>
        <w:t>第一章</w:t>
      </w:r>
      <w:r>
        <w:rPr>
          <w:rStyle w:val="52"/>
          <w:rFonts w:ascii="宋体" w:hAnsi="宋体" w:cs="宋体"/>
          <w:sz w:val="28"/>
          <w:szCs w:val="36"/>
        </w:rPr>
        <w:t xml:space="preserve"> 招标公告</w:t>
      </w:r>
      <w:r>
        <w:rPr>
          <w:rFonts w:hint="eastAsia" w:ascii="宋体" w:hAnsi="宋体"/>
          <w:sz w:val="28"/>
          <w:szCs w:val="36"/>
        </w:rPr>
        <w:tab/>
      </w:r>
      <w:r>
        <w:rPr>
          <w:rFonts w:hint="eastAsia" w:ascii="宋体" w:hAnsi="宋体"/>
          <w:sz w:val="28"/>
          <w:szCs w:val="36"/>
        </w:rPr>
        <w:fldChar w:fldCharType="begin"/>
      </w:r>
      <w:r>
        <w:rPr>
          <w:rFonts w:hint="eastAsia" w:ascii="宋体" w:hAnsi="宋体"/>
          <w:sz w:val="28"/>
          <w:szCs w:val="36"/>
        </w:rPr>
        <w:instrText xml:space="preserve"> </w:instrText>
      </w:r>
      <w:r>
        <w:rPr>
          <w:rFonts w:ascii="宋体" w:hAnsi="宋体"/>
          <w:sz w:val="28"/>
          <w:szCs w:val="36"/>
        </w:rPr>
        <w:instrText xml:space="preserve">PAGEREF _Toc242444304 \h</w:instrText>
      </w:r>
      <w:r>
        <w:rPr>
          <w:rFonts w:hint="eastAsia" w:ascii="宋体" w:hAnsi="宋体"/>
          <w:sz w:val="28"/>
          <w:szCs w:val="36"/>
        </w:rPr>
        <w:instrText xml:space="preserve"> </w:instrText>
      </w:r>
      <w:r>
        <w:rPr>
          <w:rFonts w:hint="eastAsia" w:ascii="宋体" w:hAnsi="宋体"/>
          <w:sz w:val="28"/>
          <w:szCs w:val="36"/>
        </w:rPr>
        <w:fldChar w:fldCharType="separate"/>
      </w:r>
      <w:r>
        <w:rPr>
          <w:rFonts w:ascii="宋体" w:hAnsi="宋体"/>
          <w:sz w:val="28"/>
          <w:szCs w:val="36"/>
        </w:rPr>
        <w:t>1</w:t>
      </w:r>
      <w:r>
        <w:rPr>
          <w:rFonts w:hint="eastAsia" w:ascii="宋体" w:hAnsi="宋体"/>
          <w:sz w:val="28"/>
          <w:szCs w:val="36"/>
        </w:rPr>
        <w:fldChar w:fldCharType="end"/>
      </w:r>
      <w:r>
        <w:rPr>
          <w:rFonts w:hint="eastAsia" w:ascii="宋体" w:hAnsi="宋体"/>
          <w:sz w:val="28"/>
          <w:szCs w:val="36"/>
        </w:rPr>
        <w:fldChar w:fldCharType="end"/>
      </w:r>
    </w:p>
    <w:p w14:paraId="2C48EC21">
      <w:pPr>
        <w:pStyle w:val="31"/>
        <w:tabs>
          <w:tab w:val="right" w:leader="dot" w:pos="9628"/>
        </w:tabs>
        <w:spacing w:line="480" w:lineRule="auto"/>
        <w:rPr>
          <w:rFonts w:hint="eastAsia" w:ascii="宋体" w:hAnsi="宋体" w:cstheme="minorBidi"/>
          <w:sz w:val="32"/>
          <w:szCs w:val="36"/>
          <w14:ligatures w14:val="standardContextual"/>
        </w:rPr>
      </w:pPr>
      <w:r>
        <w:fldChar w:fldCharType="begin"/>
      </w:r>
      <w:r>
        <w:instrText xml:space="preserve"> HYPERLINK \l "_Toc242444305" </w:instrText>
      </w:r>
      <w:r>
        <w:fldChar w:fldCharType="separate"/>
      </w:r>
      <w:r>
        <w:rPr>
          <w:rStyle w:val="52"/>
          <w:rFonts w:ascii="宋体" w:hAnsi="宋体" w:cs="宋体"/>
          <w:sz w:val="28"/>
          <w:szCs w:val="36"/>
        </w:rPr>
        <w:t>第二章 投标人须知</w:t>
      </w:r>
      <w:r>
        <w:rPr>
          <w:rFonts w:hint="eastAsia" w:ascii="宋体" w:hAnsi="宋体"/>
          <w:sz w:val="28"/>
          <w:szCs w:val="36"/>
        </w:rPr>
        <w:tab/>
      </w:r>
      <w:r>
        <w:rPr>
          <w:rFonts w:hint="eastAsia" w:ascii="宋体" w:hAnsi="宋体"/>
          <w:sz w:val="28"/>
          <w:szCs w:val="36"/>
        </w:rPr>
        <w:fldChar w:fldCharType="begin"/>
      </w:r>
      <w:r>
        <w:rPr>
          <w:rFonts w:hint="eastAsia" w:ascii="宋体" w:hAnsi="宋体"/>
          <w:sz w:val="28"/>
          <w:szCs w:val="36"/>
        </w:rPr>
        <w:instrText xml:space="preserve"> </w:instrText>
      </w:r>
      <w:r>
        <w:rPr>
          <w:rFonts w:ascii="宋体" w:hAnsi="宋体"/>
          <w:sz w:val="28"/>
          <w:szCs w:val="36"/>
        </w:rPr>
        <w:instrText xml:space="preserve">PAGEREF _Toc242444305 \h</w:instrText>
      </w:r>
      <w:r>
        <w:rPr>
          <w:rFonts w:hint="eastAsia" w:ascii="宋体" w:hAnsi="宋体"/>
          <w:sz w:val="28"/>
          <w:szCs w:val="36"/>
        </w:rPr>
        <w:instrText xml:space="preserve"> </w:instrText>
      </w:r>
      <w:r>
        <w:rPr>
          <w:rFonts w:hint="eastAsia" w:ascii="宋体" w:hAnsi="宋体"/>
          <w:sz w:val="28"/>
          <w:szCs w:val="36"/>
        </w:rPr>
        <w:fldChar w:fldCharType="separate"/>
      </w:r>
      <w:r>
        <w:rPr>
          <w:rFonts w:ascii="宋体" w:hAnsi="宋体"/>
          <w:sz w:val="28"/>
          <w:szCs w:val="36"/>
        </w:rPr>
        <w:t>6</w:t>
      </w:r>
      <w:r>
        <w:rPr>
          <w:rFonts w:hint="eastAsia" w:ascii="宋体" w:hAnsi="宋体"/>
          <w:sz w:val="28"/>
          <w:szCs w:val="36"/>
        </w:rPr>
        <w:fldChar w:fldCharType="end"/>
      </w:r>
      <w:r>
        <w:rPr>
          <w:rFonts w:hint="eastAsia" w:ascii="宋体" w:hAnsi="宋体"/>
          <w:sz w:val="28"/>
          <w:szCs w:val="36"/>
        </w:rPr>
        <w:fldChar w:fldCharType="end"/>
      </w:r>
    </w:p>
    <w:p w14:paraId="0497862F">
      <w:pPr>
        <w:pStyle w:val="31"/>
        <w:tabs>
          <w:tab w:val="right" w:leader="dot" w:pos="9628"/>
        </w:tabs>
        <w:spacing w:line="480" w:lineRule="auto"/>
        <w:rPr>
          <w:rFonts w:hint="eastAsia" w:ascii="宋体" w:hAnsi="宋体" w:cstheme="minorBidi"/>
          <w:sz w:val="32"/>
          <w:szCs w:val="36"/>
          <w14:ligatures w14:val="standardContextual"/>
        </w:rPr>
      </w:pPr>
      <w:r>
        <w:fldChar w:fldCharType="begin"/>
      </w:r>
      <w:r>
        <w:instrText xml:space="preserve"> HYPERLINK \l "_Toc242444306" </w:instrText>
      </w:r>
      <w:r>
        <w:fldChar w:fldCharType="separate"/>
      </w:r>
      <w:r>
        <w:rPr>
          <w:rStyle w:val="52"/>
          <w:rFonts w:ascii="宋体" w:hAnsi="宋体" w:cs="宋体"/>
          <w:sz w:val="28"/>
          <w:szCs w:val="36"/>
        </w:rPr>
        <w:t>第三章 评标标准</w:t>
      </w:r>
      <w:r>
        <w:rPr>
          <w:rFonts w:hint="eastAsia" w:ascii="宋体" w:hAnsi="宋体"/>
          <w:sz w:val="28"/>
          <w:szCs w:val="36"/>
        </w:rPr>
        <w:tab/>
      </w:r>
      <w:r>
        <w:rPr>
          <w:rFonts w:hint="eastAsia" w:ascii="宋体" w:hAnsi="宋体"/>
          <w:sz w:val="28"/>
          <w:szCs w:val="36"/>
        </w:rPr>
        <w:fldChar w:fldCharType="begin"/>
      </w:r>
      <w:r>
        <w:rPr>
          <w:rFonts w:hint="eastAsia" w:ascii="宋体" w:hAnsi="宋体"/>
          <w:sz w:val="28"/>
          <w:szCs w:val="36"/>
        </w:rPr>
        <w:instrText xml:space="preserve"> </w:instrText>
      </w:r>
      <w:r>
        <w:rPr>
          <w:rFonts w:ascii="宋体" w:hAnsi="宋体"/>
          <w:sz w:val="28"/>
          <w:szCs w:val="36"/>
        </w:rPr>
        <w:instrText xml:space="preserve">PAGEREF _Toc242444306 \h</w:instrText>
      </w:r>
      <w:r>
        <w:rPr>
          <w:rFonts w:hint="eastAsia" w:ascii="宋体" w:hAnsi="宋体"/>
          <w:sz w:val="28"/>
          <w:szCs w:val="36"/>
        </w:rPr>
        <w:instrText xml:space="preserve"> </w:instrText>
      </w:r>
      <w:r>
        <w:rPr>
          <w:rFonts w:hint="eastAsia" w:ascii="宋体" w:hAnsi="宋体"/>
          <w:sz w:val="28"/>
          <w:szCs w:val="36"/>
        </w:rPr>
        <w:fldChar w:fldCharType="separate"/>
      </w:r>
      <w:r>
        <w:rPr>
          <w:rFonts w:ascii="宋体" w:hAnsi="宋体"/>
          <w:sz w:val="28"/>
          <w:szCs w:val="36"/>
        </w:rPr>
        <w:t>19</w:t>
      </w:r>
      <w:r>
        <w:rPr>
          <w:rFonts w:hint="eastAsia" w:ascii="宋体" w:hAnsi="宋体"/>
          <w:sz w:val="28"/>
          <w:szCs w:val="36"/>
        </w:rPr>
        <w:fldChar w:fldCharType="end"/>
      </w:r>
      <w:r>
        <w:rPr>
          <w:rFonts w:hint="eastAsia" w:ascii="宋体" w:hAnsi="宋体"/>
          <w:sz w:val="28"/>
          <w:szCs w:val="36"/>
        </w:rPr>
        <w:fldChar w:fldCharType="end"/>
      </w:r>
    </w:p>
    <w:p w14:paraId="44036488">
      <w:pPr>
        <w:pStyle w:val="31"/>
        <w:tabs>
          <w:tab w:val="right" w:leader="dot" w:pos="9628"/>
        </w:tabs>
        <w:spacing w:line="480" w:lineRule="auto"/>
        <w:rPr>
          <w:rFonts w:hint="eastAsia" w:ascii="宋体" w:hAnsi="宋体" w:cstheme="minorBidi"/>
          <w:sz w:val="32"/>
          <w:szCs w:val="36"/>
          <w14:ligatures w14:val="standardContextual"/>
        </w:rPr>
      </w:pPr>
      <w:r>
        <w:fldChar w:fldCharType="begin"/>
      </w:r>
      <w:r>
        <w:instrText xml:space="preserve"> HYPERLINK \l "_Toc242444307" </w:instrText>
      </w:r>
      <w:r>
        <w:fldChar w:fldCharType="separate"/>
      </w:r>
      <w:r>
        <w:rPr>
          <w:rStyle w:val="52"/>
          <w:rFonts w:ascii="宋体" w:hAnsi="宋体" w:cs="宋体"/>
          <w:sz w:val="28"/>
          <w:szCs w:val="36"/>
        </w:rPr>
        <w:t>第四章 采购需求</w:t>
      </w:r>
      <w:r>
        <w:rPr>
          <w:rFonts w:hint="eastAsia" w:ascii="宋体" w:hAnsi="宋体"/>
          <w:sz w:val="28"/>
          <w:szCs w:val="36"/>
        </w:rPr>
        <w:tab/>
      </w:r>
      <w:r>
        <w:rPr>
          <w:rFonts w:hint="eastAsia" w:ascii="宋体" w:hAnsi="宋体"/>
          <w:sz w:val="28"/>
          <w:szCs w:val="36"/>
        </w:rPr>
        <w:fldChar w:fldCharType="begin"/>
      </w:r>
      <w:r>
        <w:rPr>
          <w:rFonts w:hint="eastAsia" w:ascii="宋体" w:hAnsi="宋体"/>
          <w:sz w:val="28"/>
          <w:szCs w:val="36"/>
        </w:rPr>
        <w:instrText xml:space="preserve"> </w:instrText>
      </w:r>
      <w:r>
        <w:rPr>
          <w:rFonts w:ascii="宋体" w:hAnsi="宋体"/>
          <w:sz w:val="28"/>
          <w:szCs w:val="36"/>
        </w:rPr>
        <w:instrText xml:space="preserve">PAGEREF _Toc242444307 \h</w:instrText>
      </w:r>
      <w:r>
        <w:rPr>
          <w:rFonts w:hint="eastAsia" w:ascii="宋体" w:hAnsi="宋体"/>
          <w:sz w:val="28"/>
          <w:szCs w:val="36"/>
        </w:rPr>
        <w:instrText xml:space="preserve"> </w:instrText>
      </w:r>
      <w:r>
        <w:rPr>
          <w:rFonts w:hint="eastAsia" w:ascii="宋体" w:hAnsi="宋体"/>
          <w:sz w:val="28"/>
          <w:szCs w:val="36"/>
        </w:rPr>
        <w:fldChar w:fldCharType="separate"/>
      </w:r>
      <w:r>
        <w:rPr>
          <w:rFonts w:ascii="宋体" w:hAnsi="宋体"/>
          <w:sz w:val="28"/>
          <w:szCs w:val="36"/>
        </w:rPr>
        <w:t>25</w:t>
      </w:r>
      <w:r>
        <w:rPr>
          <w:rFonts w:hint="eastAsia" w:ascii="宋体" w:hAnsi="宋体"/>
          <w:sz w:val="28"/>
          <w:szCs w:val="36"/>
        </w:rPr>
        <w:fldChar w:fldCharType="end"/>
      </w:r>
      <w:r>
        <w:rPr>
          <w:rFonts w:hint="eastAsia" w:ascii="宋体" w:hAnsi="宋体"/>
          <w:sz w:val="28"/>
          <w:szCs w:val="36"/>
        </w:rPr>
        <w:fldChar w:fldCharType="end"/>
      </w:r>
    </w:p>
    <w:p w14:paraId="51349CBB">
      <w:pPr>
        <w:pStyle w:val="31"/>
        <w:tabs>
          <w:tab w:val="right" w:leader="dot" w:pos="9628"/>
        </w:tabs>
        <w:spacing w:line="480" w:lineRule="auto"/>
        <w:rPr>
          <w:rFonts w:hint="eastAsia" w:ascii="宋体" w:hAnsi="宋体" w:cstheme="minorBidi"/>
          <w:sz w:val="32"/>
          <w:szCs w:val="36"/>
          <w14:ligatures w14:val="standardContextual"/>
        </w:rPr>
      </w:pPr>
      <w:r>
        <w:fldChar w:fldCharType="begin"/>
      </w:r>
      <w:r>
        <w:instrText xml:space="preserve"> HYPERLINK \l "_Toc242444308" </w:instrText>
      </w:r>
      <w:r>
        <w:fldChar w:fldCharType="separate"/>
      </w:r>
      <w:r>
        <w:rPr>
          <w:rStyle w:val="52"/>
          <w:rFonts w:ascii="宋体" w:hAnsi="宋体" w:cs="宋体"/>
          <w:sz w:val="28"/>
          <w:szCs w:val="36"/>
          <w:lang w:val="zh-CN"/>
        </w:rPr>
        <w:t>第五章</w:t>
      </w:r>
      <w:r>
        <w:rPr>
          <w:rStyle w:val="52"/>
          <w:rFonts w:ascii="宋体" w:hAnsi="宋体" w:cs="宋体"/>
          <w:sz w:val="28"/>
          <w:szCs w:val="36"/>
        </w:rPr>
        <w:t xml:space="preserve"> 合同主要条款及格式</w:t>
      </w:r>
      <w:r>
        <w:rPr>
          <w:rFonts w:hint="eastAsia" w:ascii="宋体" w:hAnsi="宋体"/>
          <w:sz w:val="28"/>
          <w:szCs w:val="36"/>
        </w:rPr>
        <w:tab/>
      </w:r>
      <w:r>
        <w:rPr>
          <w:rFonts w:hint="eastAsia" w:ascii="宋体" w:hAnsi="宋体"/>
          <w:sz w:val="28"/>
          <w:szCs w:val="36"/>
        </w:rPr>
        <w:fldChar w:fldCharType="begin"/>
      </w:r>
      <w:r>
        <w:rPr>
          <w:rFonts w:hint="eastAsia" w:ascii="宋体" w:hAnsi="宋体"/>
          <w:sz w:val="28"/>
          <w:szCs w:val="36"/>
        </w:rPr>
        <w:instrText xml:space="preserve"> </w:instrText>
      </w:r>
      <w:r>
        <w:rPr>
          <w:rFonts w:ascii="宋体" w:hAnsi="宋体"/>
          <w:sz w:val="28"/>
          <w:szCs w:val="36"/>
        </w:rPr>
        <w:instrText xml:space="preserve">PAGEREF _Toc242444308 \h</w:instrText>
      </w:r>
      <w:r>
        <w:rPr>
          <w:rFonts w:hint="eastAsia" w:ascii="宋体" w:hAnsi="宋体"/>
          <w:sz w:val="28"/>
          <w:szCs w:val="36"/>
        </w:rPr>
        <w:instrText xml:space="preserve"> </w:instrText>
      </w:r>
      <w:r>
        <w:rPr>
          <w:rFonts w:hint="eastAsia" w:ascii="宋体" w:hAnsi="宋体"/>
          <w:sz w:val="28"/>
          <w:szCs w:val="36"/>
        </w:rPr>
        <w:fldChar w:fldCharType="separate"/>
      </w:r>
      <w:r>
        <w:rPr>
          <w:rFonts w:ascii="宋体" w:hAnsi="宋体"/>
          <w:sz w:val="28"/>
          <w:szCs w:val="36"/>
        </w:rPr>
        <w:t>45</w:t>
      </w:r>
      <w:r>
        <w:rPr>
          <w:rFonts w:hint="eastAsia" w:ascii="宋体" w:hAnsi="宋体"/>
          <w:sz w:val="28"/>
          <w:szCs w:val="36"/>
        </w:rPr>
        <w:fldChar w:fldCharType="end"/>
      </w:r>
      <w:r>
        <w:rPr>
          <w:rFonts w:hint="eastAsia" w:ascii="宋体" w:hAnsi="宋体"/>
          <w:sz w:val="28"/>
          <w:szCs w:val="36"/>
        </w:rPr>
        <w:fldChar w:fldCharType="end"/>
      </w:r>
    </w:p>
    <w:p w14:paraId="67EFE17C">
      <w:pPr>
        <w:pStyle w:val="31"/>
        <w:tabs>
          <w:tab w:val="right" w:leader="dot" w:pos="9628"/>
        </w:tabs>
        <w:spacing w:line="480" w:lineRule="auto"/>
        <w:rPr>
          <w:rFonts w:hint="eastAsia" w:ascii="宋体" w:hAnsi="宋体" w:cstheme="minorBidi"/>
          <w:sz w:val="32"/>
          <w:szCs w:val="36"/>
          <w14:ligatures w14:val="standardContextual"/>
        </w:rPr>
      </w:pPr>
      <w:r>
        <w:fldChar w:fldCharType="begin"/>
      </w:r>
      <w:r>
        <w:instrText xml:space="preserve"> HYPERLINK \l "_Toc242444313" </w:instrText>
      </w:r>
      <w:r>
        <w:fldChar w:fldCharType="separate"/>
      </w:r>
      <w:r>
        <w:rPr>
          <w:rStyle w:val="52"/>
          <w:rFonts w:ascii="宋体" w:hAnsi="宋体" w:cs="宋体"/>
          <w:sz w:val="28"/>
          <w:szCs w:val="36"/>
        </w:rPr>
        <w:t>第六章 投标文件格式及附件</w:t>
      </w:r>
      <w:r>
        <w:rPr>
          <w:rFonts w:hint="eastAsia" w:ascii="宋体" w:hAnsi="宋体"/>
          <w:sz w:val="28"/>
          <w:szCs w:val="36"/>
        </w:rPr>
        <w:tab/>
      </w:r>
      <w:r>
        <w:rPr>
          <w:rFonts w:hint="eastAsia" w:ascii="宋体" w:hAnsi="宋体"/>
          <w:sz w:val="28"/>
          <w:szCs w:val="36"/>
        </w:rPr>
        <w:fldChar w:fldCharType="begin"/>
      </w:r>
      <w:r>
        <w:rPr>
          <w:rFonts w:hint="eastAsia" w:ascii="宋体" w:hAnsi="宋体"/>
          <w:sz w:val="28"/>
          <w:szCs w:val="36"/>
        </w:rPr>
        <w:instrText xml:space="preserve"> </w:instrText>
      </w:r>
      <w:r>
        <w:rPr>
          <w:rFonts w:ascii="宋体" w:hAnsi="宋体"/>
          <w:sz w:val="28"/>
          <w:szCs w:val="36"/>
        </w:rPr>
        <w:instrText xml:space="preserve">PAGEREF _Toc242444313 \h</w:instrText>
      </w:r>
      <w:r>
        <w:rPr>
          <w:rFonts w:hint="eastAsia" w:ascii="宋体" w:hAnsi="宋体"/>
          <w:sz w:val="28"/>
          <w:szCs w:val="36"/>
        </w:rPr>
        <w:instrText xml:space="preserve"> </w:instrText>
      </w:r>
      <w:r>
        <w:rPr>
          <w:rFonts w:hint="eastAsia" w:ascii="宋体" w:hAnsi="宋体"/>
          <w:sz w:val="28"/>
          <w:szCs w:val="36"/>
        </w:rPr>
        <w:fldChar w:fldCharType="separate"/>
      </w:r>
      <w:r>
        <w:rPr>
          <w:rFonts w:ascii="宋体" w:hAnsi="宋体"/>
          <w:sz w:val="28"/>
          <w:szCs w:val="36"/>
        </w:rPr>
        <w:t>73</w:t>
      </w:r>
      <w:r>
        <w:rPr>
          <w:rFonts w:hint="eastAsia" w:ascii="宋体" w:hAnsi="宋体"/>
          <w:sz w:val="28"/>
          <w:szCs w:val="36"/>
        </w:rPr>
        <w:fldChar w:fldCharType="end"/>
      </w:r>
      <w:r>
        <w:rPr>
          <w:rFonts w:hint="eastAsia" w:ascii="宋体" w:hAnsi="宋体"/>
          <w:sz w:val="28"/>
          <w:szCs w:val="36"/>
        </w:rPr>
        <w:fldChar w:fldCharType="end"/>
      </w:r>
    </w:p>
    <w:p w14:paraId="62CAF3FE">
      <w:pPr>
        <w:spacing w:line="360" w:lineRule="auto"/>
        <w:rPr>
          <w:rFonts w:hint="eastAsia" w:ascii="宋体" w:hAnsi="宋体" w:cs="宋体"/>
          <w:color w:val="000000" w:themeColor="text1"/>
          <w:sz w:val="28"/>
          <w:szCs w:val="28"/>
        </w:rPr>
      </w:pPr>
      <w:r>
        <w:rPr>
          <w:rFonts w:hint="eastAsia" w:ascii="宋体" w:hAnsi="宋体" w:cs="宋体"/>
          <w:color w:val="000000" w:themeColor="text1"/>
        </w:rPr>
        <w:fldChar w:fldCharType="end"/>
      </w:r>
    </w:p>
    <w:p w14:paraId="1EFF4C04">
      <w:pPr>
        <w:widowControl/>
        <w:shd w:val="clear" w:color="auto" w:fill="FFFFFF"/>
        <w:spacing w:line="360" w:lineRule="auto"/>
        <w:jc w:val="center"/>
        <w:rPr>
          <w:rFonts w:hint="eastAsia" w:ascii="宋体" w:hAnsi="宋体" w:cs="宋体"/>
          <w:b/>
          <w:color w:val="000000" w:themeColor="text1"/>
          <w:kern w:val="0"/>
          <w:sz w:val="36"/>
          <w:szCs w:val="36"/>
        </w:rPr>
      </w:pPr>
    </w:p>
    <w:p w14:paraId="4313E8C7">
      <w:pPr>
        <w:pStyle w:val="3"/>
        <w:rPr>
          <w:rFonts w:hint="eastAsia" w:ascii="宋体" w:hAnsi="宋体" w:cs="宋体"/>
          <w:color w:val="000000" w:themeColor="text1"/>
          <w:kern w:val="0"/>
          <w:szCs w:val="21"/>
        </w:rPr>
        <w:sectPr>
          <w:footerReference r:id="rId4" w:type="default"/>
          <w:endnotePr>
            <w:numFmt w:val="decimal"/>
          </w:endnotePr>
          <w:pgSz w:w="11906" w:h="16838"/>
          <w:pgMar w:top="850" w:right="850" w:bottom="850" w:left="1418" w:header="227" w:footer="720" w:gutter="0"/>
          <w:pgNumType w:start="1"/>
          <w:cols w:space="720" w:num="1"/>
        </w:sectPr>
      </w:pPr>
      <w:bookmarkStart w:id="0" w:name="_Toc481057143"/>
      <w:bookmarkStart w:id="1" w:name="_Hlk54715254"/>
      <w:bookmarkStart w:id="2" w:name="_Hlk52290185"/>
    </w:p>
    <w:p w14:paraId="6DD60464">
      <w:pPr>
        <w:pStyle w:val="3"/>
        <w:spacing w:line="360" w:lineRule="auto"/>
        <w:rPr>
          <w:rFonts w:hint="eastAsia" w:ascii="宋体" w:hAnsi="宋体" w:cs="宋体"/>
          <w:color w:val="000000" w:themeColor="text1"/>
          <w:kern w:val="0"/>
          <w:szCs w:val="21"/>
        </w:rPr>
      </w:pPr>
      <w:bookmarkStart w:id="3" w:name="_Toc242444304"/>
      <w:r>
        <w:rPr>
          <w:rFonts w:hint="eastAsia" w:ascii="宋体" w:hAnsi="宋体" w:cs="宋体"/>
          <w:color w:val="000000" w:themeColor="text1"/>
        </w:rPr>
        <w:t>招标公告</w:t>
      </w:r>
      <w:bookmarkEnd w:id="0"/>
      <w:bookmarkEnd w:id="3"/>
    </w:p>
    <w:p w14:paraId="467351F6">
      <w:pPr>
        <w:widowControl/>
        <w:pBdr>
          <w:top w:val="single" w:color="auto" w:sz="4" w:space="1"/>
          <w:left w:val="single" w:color="auto" w:sz="4" w:space="4"/>
          <w:bottom w:val="single" w:color="auto" w:sz="4" w:space="1"/>
          <w:right w:val="single" w:color="auto" w:sz="4" w:space="4"/>
        </w:pBdr>
        <w:spacing w:line="360" w:lineRule="auto"/>
        <w:ind w:firstLine="369"/>
        <w:rPr>
          <w:rFonts w:hint="eastAsia" w:ascii="宋体" w:hAnsi="宋体" w:cs="宋体"/>
          <w:b/>
          <w:bCs/>
          <w:color w:val="000000" w:themeColor="text1"/>
          <w:spacing w:val="8"/>
          <w:kern w:val="0"/>
          <w:szCs w:val="21"/>
        </w:rPr>
      </w:pPr>
      <w:r>
        <w:rPr>
          <w:rFonts w:hint="eastAsia" w:ascii="宋体" w:hAnsi="宋体" w:cs="宋体"/>
          <w:b/>
          <w:bCs/>
          <w:color w:val="000000" w:themeColor="text1"/>
          <w:spacing w:val="8"/>
          <w:kern w:val="0"/>
          <w:szCs w:val="21"/>
        </w:rPr>
        <w:t>项目概况</w:t>
      </w:r>
    </w:p>
    <w:p w14:paraId="511C17EB">
      <w:pPr>
        <w:widowControl/>
        <w:pBdr>
          <w:top w:val="single" w:color="auto" w:sz="4" w:space="1"/>
          <w:left w:val="single" w:color="auto" w:sz="4" w:space="4"/>
          <w:bottom w:val="single" w:color="auto" w:sz="4" w:space="1"/>
          <w:right w:val="single" w:color="auto" w:sz="4" w:space="4"/>
        </w:pBdr>
        <w:spacing w:line="360" w:lineRule="auto"/>
        <w:ind w:firstLine="369"/>
        <w:rPr>
          <w:rFonts w:hint="eastAsia" w:ascii="宋体" w:hAnsi="宋体" w:cs="宋体"/>
          <w:color w:val="000000" w:themeColor="text1"/>
          <w:kern w:val="0"/>
          <w:szCs w:val="21"/>
        </w:rPr>
      </w:pPr>
      <w:r>
        <w:rPr>
          <w:rFonts w:hint="eastAsia" w:ascii="宋体" w:hAnsi="宋体" w:cs="宋体"/>
          <w:b/>
          <w:bCs/>
          <w:color w:val="000000" w:themeColor="text1"/>
          <w:szCs w:val="21"/>
          <w:u w:val="single"/>
        </w:rPr>
        <w:t>2026-2027年度钟山风景区安保服务采购</w:t>
      </w:r>
      <w:r>
        <w:rPr>
          <w:rFonts w:hint="eastAsia" w:ascii="宋体" w:hAnsi="宋体" w:cs="宋体"/>
          <w:color w:val="000000" w:themeColor="text1"/>
          <w:spacing w:val="8"/>
          <w:kern w:val="0"/>
          <w:szCs w:val="21"/>
        </w:rPr>
        <w:t>的潜在投标人应在</w:t>
      </w:r>
      <w:r>
        <w:rPr>
          <w:rFonts w:hint="eastAsia" w:ascii="宋体" w:hAnsi="宋体" w:cs="宋体"/>
          <w:b/>
          <w:bCs/>
          <w:color w:val="000000" w:themeColor="text1"/>
          <w:szCs w:val="21"/>
          <w:u w:val="single"/>
        </w:rPr>
        <w:t>江苏政府采购网苏采云系统注册登记成功后系统内免费下载</w:t>
      </w:r>
      <w:r>
        <w:rPr>
          <w:rFonts w:hint="eastAsia" w:ascii="宋体" w:hAnsi="宋体" w:cs="宋体"/>
          <w:color w:val="000000" w:themeColor="text1"/>
          <w:szCs w:val="21"/>
        </w:rPr>
        <w:t>获取采购文件，并于</w:t>
      </w:r>
      <w:r>
        <w:rPr>
          <w:rFonts w:hint="eastAsia" w:ascii="宋体" w:hAnsi="宋体" w:cs="宋体"/>
          <w:b/>
          <w:bCs/>
          <w:iCs/>
          <w:color w:val="000000" w:themeColor="text1"/>
          <w:spacing w:val="8"/>
          <w:kern w:val="0"/>
          <w:szCs w:val="21"/>
        </w:rPr>
        <w:t>2026</w:t>
      </w:r>
      <w:r>
        <w:rPr>
          <w:rFonts w:hint="eastAsia" w:ascii="宋体" w:hAnsi="宋体" w:cs="宋体"/>
          <w:b/>
          <w:bCs/>
          <w:color w:val="000000" w:themeColor="text1"/>
          <w:spacing w:val="8"/>
          <w:kern w:val="0"/>
          <w:szCs w:val="21"/>
        </w:rPr>
        <w:t>年10月29日</w:t>
      </w:r>
      <w:r>
        <w:rPr>
          <w:rFonts w:hint="eastAsia" w:ascii="宋体" w:hAnsi="宋体" w:cs="宋体"/>
          <w:b/>
          <w:bCs/>
          <w:color w:val="000000" w:themeColor="text1"/>
          <w:kern w:val="0"/>
          <w:szCs w:val="21"/>
        </w:rPr>
        <w:t>09点30分</w:t>
      </w:r>
      <w:r>
        <w:rPr>
          <w:rFonts w:hint="eastAsia" w:ascii="宋体" w:hAnsi="宋体" w:cs="宋体"/>
          <w:color w:val="000000" w:themeColor="text1"/>
          <w:kern w:val="0"/>
          <w:szCs w:val="21"/>
        </w:rPr>
        <w:t>（北京时间）前递交投标文件。</w:t>
      </w:r>
    </w:p>
    <w:p w14:paraId="3DCE6C23">
      <w:pPr>
        <w:adjustRightInd w:val="0"/>
        <w:snapToGrid w:val="0"/>
        <w:spacing w:line="360" w:lineRule="auto"/>
        <w:ind w:firstLine="452" w:firstLineChars="200"/>
        <w:jc w:val="left"/>
        <w:rPr>
          <w:rFonts w:hint="eastAsia" w:ascii="宋体" w:hAnsi="宋体" w:cs="宋体"/>
          <w:color w:val="000000" w:themeColor="text1"/>
          <w:spacing w:val="8"/>
          <w:kern w:val="0"/>
          <w:szCs w:val="21"/>
        </w:rPr>
      </w:pPr>
    </w:p>
    <w:p w14:paraId="3317456B">
      <w:pPr>
        <w:adjustRightInd w:val="0"/>
        <w:snapToGrid w:val="0"/>
        <w:spacing w:line="360" w:lineRule="auto"/>
        <w:jc w:val="left"/>
        <w:rPr>
          <w:rFonts w:hint="eastAsia" w:ascii="宋体" w:hAnsi="宋体" w:cs="宋体"/>
          <w:b/>
          <w:bCs/>
          <w:color w:val="000000" w:themeColor="text1"/>
          <w:sz w:val="24"/>
        </w:rPr>
      </w:pPr>
      <w:r>
        <w:rPr>
          <w:rFonts w:hint="eastAsia" w:ascii="宋体" w:hAnsi="宋体" w:cs="宋体"/>
          <w:b/>
          <w:bCs/>
          <w:color w:val="000000" w:themeColor="text1"/>
          <w:sz w:val="24"/>
        </w:rPr>
        <w:t>一、项目基本情况</w:t>
      </w:r>
    </w:p>
    <w:bookmarkEnd w:id="1"/>
    <w:bookmarkEnd w:id="2"/>
    <w:p w14:paraId="1ECEF762">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1.1项目编号：</w:t>
      </w:r>
      <w:r>
        <w:rPr>
          <w:rFonts w:ascii="Segoe UI" w:hAnsi="Segoe UI" w:eastAsia="Segoe UI" w:cs="Segoe UI"/>
          <w:i w:val="0"/>
          <w:iCs w:val="0"/>
          <w:caps w:val="0"/>
          <w:spacing w:val="0"/>
          <w:sz w:val="21"/>
          <w:szCs w:val="21"/>
          <w:shd w:val="clear" w:fill="FFFFFF"/>
        </w:rPr>
        <w:t>JSZC-320100-JSFH-G2026-0041</w:t>
      </w:r>
    </w:p>
    <w:p w14:paraId="04F53875">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1.2项目名称：2026-2027年度钟山风景区安保服务采购</w:t>
      </w:r>
    </w:p>
    <w:p w14:paraId="4E83896A">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1.3预算金额：人民币1833.64万。</w:t>
      </w:r>
    </w:p>
    <w:p w14:paraId="273B8818">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1.4最高限价：人民币1833.64万。（采购包1：525.92万元；采购包2：347.32万元；采购包3：320.68万元；采购包4：347.32万元；采购包5：62万元；采购包6：54万元；采购包7：43.12万元；采购包8：40万元；采购包9：93.28万元）</w:t>
      </w:r>
    </w:p>
    <w:p w14:paraId="31E0B95E">
      <w:pPr>
        <w:widowControl/>
        <w:shd w:val="clear" w:color="auto" w:fill="FFFFFF"/>
        <w:spacing w:line="360" w:lineRule="auto"/>
        <w:ind w:firstLine="420" w:firstLineChars="200"/>
        <w:jc w:val="left"/>
        <w:rPr>
          <w:rFonts w:hint="eastAsia" w:ascii="宋体" w:hAnsi="宋体" w:cs="宋体"/>
          <w:bCs/>
          <w:color w:val="000000" w:themeColor="text1"/>
          <w:szCs w:val="21"/>
        </w:rPr>
      </w:pPr>
      <w:r>
        <w:rPr>
          <w:rFonts w:hint="eastAsia" w:ascii="宋体" w:hAnsi="宋体" w:cs="宋体"/>
          <w:bCs/>
          <w:color w:val="000000" w:themeColor="text1"/>
          <w:szCs w:val="21"/>
        </w:rPr>
        <w:t>1.5采购需求：2026-2027年度钟山风景区安保服务采购，本项目适用品目为：租赁和商务服务业-保安服务，其中采购包1：</w:t>
      </w:r>
      <w:r>
        <w:rPr>
          <w:rFonts w:ascii="宋体" w:hAnsi="宋体" w:cs="宋体"/>
          <w:bCs/>
          <w:color w:val="000000" w:themeColor="text1"/>
          <w:szCs w:val="21"/>
        </w:rPr>
        <w:t>中山陵区域安保服务</w:t>
      </w:r>
      <w:r>
        <w:rPr>
          <w:rFonts w:hint="eastAsia" w:ascii="宋体" w:hAnsi="宋体" w:cs="宋体"/>
          <w:bCs/>
          <w:color w:val="000000" w:themeColor="text1"/>
          <w:szCs w:val="21"/>
        </w:rPr>
        <w:t>；采购包2：</w:t>
      </w:r>
      <w:r>
        <w:rPr>
          <w:rFonts w:ascii="宋体" w:hAnsi="宋体" w:cs="宋体"/>
          <w:bCs/>
          <w:color w:val="000000" w:themeColor="text1"/>
          <w:szCs w:val="21"/>
        </w:rPr>
        <w:t>中山陵南侧外围区域安保服务</w:t>
      </w:r>
      <w:r>
        <w:rPr>
          <w:rFonts w:hint="eastAsia" w:ascii="宋体" w:hAnsi="宋体" w:cs="宋体"/>
          <w:bCs/>
          <w:color w:val="000000" w:themeColor="text1"/>
          <w:szCs w:val="21"/>
        </w:rPr>
        <w:t>；采购包3：</w:t>
      </w:r>
      <w:r>
        <w:rPr>
          <w:rFonts w:ascii="宋体" w:hAnsi="宋体" w:cs="宋体"/>
          <w:bCs/>
          <w:color w:val="000000" w:themeColor="text1"/>
          <w:szCs w:val="21"/>
        </w:rPr>
        <w:t>中山陵夜巡及交通治理安保服务</w:t>
      </w:r>
      <w:r>
        <w:rPr>
          <w:rFonts w:hint="eastAsia" w:ascii="宋体" w:hAnsi="宋体" w:cs="宋体"/>
          <w:bCs/>
          <w:color w:val="000000" w:themeColor="text1"/>
          <w:szCs w:val="21"/>
        </w:rPr>
        <w:t>；采购包4：</w:t>
      </w:r>
      <w:r>
        <w:rPr>
          <w:rFonts w:ascii="宋体" w:hAnsi="宋体" w:cs="宋体"/>
          <w:bCs/>
          <w:color w:val="000000" w:themeColor="text1"/>
          <w:szCs w:val="21"/>
        </w:rPr>
        <w:t>明孝陵区域安保服务</w:t>
      </w:r>
      <w:r>
        <w:rPr>
          <w:rFonts w:hint="eastAsia" w:ascii="宋体" w:hAnsi="宋体" w:cs="宋体"/>
          <w:bCs/>
          <w:color w:val="000000" w:themeColor="text1"/>
          <w:szCs w:val="21"/>
        </w:rPr>
        <w:t>；采购包5：</w:t>
      </w:r>
      <w:r>
        <w:rPr>
          <w:rFonts w:ascii="宋体" w:hAnsi="宋体" w:cs="宋体"/>
          <w:bCs/>
          <w:color w:val="000000" w:themeColor="text1"/>
          <w:szCs w:val="21"/>
        </w:rPr>
        <w:t>节假日及重大活动安保服务(陵园路以西）</w:t>
      </w:r>
      <w:r>
        <w:rPr>
          <w:rFonts w:hint="eastAsia" w:ascii="宋体" w:hAnsi="宋体" w:cs="宋体"/>
          <w:bCs/>
          <w:color w:val="000000" w:themeColor="text1"/>
          <w:szCs w:val="21"/>
        </w:rPr>
        <w:t>；采购包6：</w:t>
      </w:r>
      <w:r>
        <w:rPr>
          <w:rFonts w:ascii="宋体" w:hAnsi="宋体" w:cs="宋体"/>
          <w:bCs/>
          <w:color w:val="000000" w:themeColor="text1"/>
          <w:szCs w:val="21"/>
        </w:rPr>
        <w:t>节假日及重大活动安保服务(陵园路以东）</w:t>
      </w:r>
      <w:r>
        <w:rPr>
          <w:rFonts w:hint="eastAsia" w:ascii="宋体" w:hAnsi="宋体" w:cs="宋体"/>
          <w:bCs/>
          <w:color w:val="000000" w:themeColor="text1"/>
          <w:szCs w:val="21"/>
        </w:rPr>
        <w:t>；采购包7：</w:t>
      </w:r>
      <w:r>
        <w:rPr>
          <w:rFonts w:ascii="宋体" w:hAnsi="宋体" w:cs="宋体"/>
          <w:bCs/>
          <w:color w:val="000000" w:themeColor="text1"/>
          <w:szCs w:val="21"/>
        </w:rPr>
        <w:t>全年配合交警车辆管控安保服务</w:t>
      </w:r>
      <w:r>
        <w:rPr>
          <w:rFonts w:hint="eastAsia" w:ascii="宋体" w:hAnsi="宋体" w:cs="宋体"/>
          <w:bCs/>
          <w:color w:val="000000" w:themeColor="text1"/>
          <w:szCs w:val="21"/>
        </w:rPr>
        <w:t>；采购包8：</w:t>
      </w:r>
      <w:r>
        <w:rPr>
          <w:rFonts w:ascii="宋体" w:hAnsi="宋体" w:cs="宋体"/>
          <w:bCs/>
          <w:color w:val="000000" w:themeColor="text1"/>
          <w:szCs w:val="21"/>
        </w:rPr>
        <w:t>临时突击任务安保服务</w:t>
      </w:r>
      <w:r>
        <w:rPr>
          <w:rFonts w:hint="eastAsia" w:ascii="宋体" w:hAnsi="宋体" w:cs="宋体"/>
          <w:bCs/>
          <w:color w:val="000000" w:themeColor="text1"/>
          <w:szCs w:val="21"/>
        </w:rPr>
        <w:t>；采购包9：</w:t>
      </w:r>
      <w:r>
        <w:rPr>
          <w:rFonts w:ascii="宋体" w:hAnsi="宋体" w:cs="宋体"/>
          <w:bCs/>
          <w:color w:val="000000" w:themeColor="text1"/>
          <w:szCs w:val="21"/>
        </w:rPr>
        <w:t>消防安全服务</w:t>
      </w:r>
      <w:r>
        <w:rPr>
          <w:rFonts w:hint="eastAsia" w:ascii="宋体" w:hAnsi="宋体" w:cs="宋体"/>
          <w:bCs/>
          <w:color w:val="000000" w:themeColor="text1"/>
          <w:szCs w:val="21"/>
        </w:rPr>
        <w:t>。</w:t>
      </w:r>
      <w:r>
        <w:rPr>
          <w:rFonts w:ascii="宋体" w:hAnsi="宋体" w:cs="宋体"/>
          <w:bCs/>
          <w:color w:val="000000" w:themeColor="text1"/>
          <w:szCs w:val="21"/>
        </w:rPr>
        <w:t>本项目多个采购包</w:t>
      </w:r>
      <w:r>
        <w:rPr>
          <w:rFonts w:hint="eastAsia" w:ascii="宋体" w:hAnsi="宋体" w:cs="宋体"/>
          <w:bCs/>
          <w:color w:val="000000" w:themeColor="text1"/>
          <w:szCs w:val="21"/>
        </w:rPr>
        <w:t>，</w:t>
      </w:r>
      <w:r>
        <w:rPr>
          <w:rFonts w:ascii="宋体" w:hAnsi="宋体" w:cs="宋体"/>
          <w:bCs/>
          <w:color w:val="000000" w:themeColor="text1"/>
          <w:szCs w:val="21"/>
        </w:rPr>
        <w:t>评审顺序依次为采购包1、采购包2、采购包3、采购包4、采购包5、采购包6、采购包7、采购包8、采购包9。其中采购包1、采购包2、采购包3、采购包4、采购包5、采购包6、采购包8</w:t>
      </w:r>
      <w:r>
        <w:rPr>
          <w:rFonts w:hint="eastAsia" w:ascii="宋体" w:hAnsi="宋体" w:cs="宋体"/>
          <w:bCs/>
          <w:color w:val="000000" w:themeColor="text1"/>
          <w:szCs w:val="21"/>
        </w:rPr>
        <w:t>、</w:t>
      </w:r>
      <w:r>
        <w:rPr>
          <w:rFonts w:ascii="宋体" w:hAnsi="宋体" w:cs="宋体"/>
          <w:bCs/>
          <w:color w:val="000000" w:themeColor="text1"/>
          <w:szCs w:val="21"/>
        </w:rPr>
        <w:t>采购包9兼投不兼中；采购包</w:t>
      </w:r>
      <w:r>
        <w:rPr>
          <w:rFonts w:hint="eastAsia" w:ascii="宋体" w:hAnsi="宋体" w:cs="宋体"/>
          <w:bCs/>
          <w:color w:val="000000" w:themeColor="text1"/>
          <w:szCs w:val="21"/>
        </w:rPr>
        <w:t>7可以与其他包兼投兼中</w:t>
      </w:r>
      <w:r>
        <w:rPr>
          <w:rFonts w:ascii="宋体" w:hAnsi="宋体" w:cs="宋体"/>
          <w:bCs/>
          <w:color w:val="000000" w:themeColor="text1"/>
          <w:szCs w:val="21"/>
        </w:rPr>
        <w:t>。同一投标人参与采购包1、采购包2、采购包3、采购包4、采购包5、采购包6、采购包8</w:t>
      </w:r>
      <w:r>
        <w:rPr>
          <w:rFonts w:hint="eastAsia" w:ascii="宋体" w:hAnsi="宋体" w:cs="宋体"/>
          <w:bCs/>
          <w:color w:val="000000" w:themeColor="text1"/>
          <w:szCs w:val="21"/>
        </w:rPr>
        <w:t>、</w:t>
      </w:r>
      <w:r>
        <w:rPr>
          <w:rFonts w:ascii="宋体" w:hAnsi="宋体" w:cs="宋体"/>
          <w:bCs/>
          <w:color w:val="000000" w:themeColor="text1"/>
          <w:szCs w:val="21"/>
        </w:rPr>
        <w:t>采购包9投标时，在前一个采购包被确定为排名第一的中标候选人后，不作为其他采购包（不包含采购包7）的合格投标人。</w:t>
      </w:r>
    </w:p>
    <w:p w14:paraId="15340AEA">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1.6合同履行期限：</w:t>
      </w:r>
      <w:bookmarkStart w:id="4" w:name="OLE_LINK7"/>
      <w:r>
        <w:rPr>
          <w:rFonts w:hint="eastAsia" w:ascii="宋体" w:hAnsi="宋体" w:cs="宋体"/>
          <w:bCs/>
          <w:color w:val="000000" w:themeColor="text1"/>
          <w:szCs w:val="21"/>
        </w:rPr>
        <w:t>采购包1：</w:t>
      </w:r>
      <w:r>
        <w:rPr>
          <w:rFonts w:ascii="宋体" w:hAnsi="宋体" w:cs="宋体"/>
          <w:bCs/>
          <w:color w:val="000000" w:themeColor="text1"/>
          <w:szCs w:val="21"/>
        </w:rPr>
        <w:t>2026-11.1-2027.11.30</w:t>
      </w:r>
      <w:r>
        <w:rPr>
          <w:rFonts w:hint="eastAsia" w:ascii="宋体" w:hAnsi="宋体" w:cs="宋体"/>
          <w:bCs/>
          <w:color w:val="000000" w:themeColor="text1"/>
          <w:szCs w:val="21"/>
        </w:rPr>
        <w:t>；采购包2：</w:t>
      </w:r>
      <w:r>
        <w:rPr>
          <w:rFonts w:ascii="宋体" w:hAnsi="宋体" w:cs="宋体"/>
          <w:bCs/>
          <w:color w:val="000000" w:themeColor="text1"/>
          <w:szCs w:val="21"/>
        </w:rPr>
        <w:t>2027.1.1-2027.11.30</w:t>
      </w:r>
      <w:r>
        <w:rPr>
          <w:rFonts w:hint="eastAsia" w:ascii="宋体" w:hAnsi="宋体" w:cs="宋体"/>
          <w:bCs/>
          <w:color w:val="000000" w:themeColor="text1"/>
          <w:szCs w:val="21"/>
        </w:rPr>
        <w:t>；采购包3：</w:t>
      </w:r>
      <w:r>
        <w:rPr>
          <w:rFonts w:ascii="宋体" w:hAnsi="宋体" w:cs="宋体"/>
          <w:bCs/>
          <w:color w:val="000000" w:themeColor="text1"/>
          <w:szCs w:val="21"/>
        </w:rPr>
        <w:t>2026.11.1-2027.11.30</w:t>
      </w:r>
      <w:r>
        <w:rPr>
          <w:rFonts w:hint="eastAsia" w:ascii="宋体" w:hAnsi="宋体" w:cs="宋体"/>
          <w:bCs/>
          <w:color w:val="000000" w:themeColor="text1"/>
          <w:szCs w:val="21"/>
        </w:rPr>
        <w:t>；采购包4：</w:t>
      </w:r>
      <w:r>
        <w:rPr>
          <w:rFonts w:ascii="宋体" w:hAnsi="宋体" w:cs="宋体"/>
          <w:bCs/>
          <w:color w:val="000000" w:themeColor="text1"/>
          <w:szCs w:val="21"/>
        </w:rPr>
        <w:t>2027.1.1-2027.11.30</w:t>
      </w:r>
      <w:r>
        <w:rPr>
          <w:rFonts w:hint="eastAsia" w:ascii="宋体" w:hAnsi="宋体" w:cs="宋体"/>
          <w:bCs/>
          <w:color w:val="000000" w:themeColor="text1"/>
          <w:szCs w:val="21"/>
        </w:rPr>
        <w:t>；采购包5：</w:t>
      </w:r>
      <w:r>
        <w:rPr>
          <w:rFonts w:ascii="宋体" w:hAnsi="宋体" w:cs="宋体"/>
          <w:bCs/>
          <w:color w:val="000000" w:themeColor="text1"/>
          <w:szCs w:val="21"/>
        </w:rPr>
        <w:t>2027.1.1-2027.11.30</w:t>
      </w:r>
      <w:r>
        <w:rPr>
          <w:rFonts w:hint="eastAsia" w:ascii="宋体" w:hAnsi="宋体" w:cs="宋体"/>
          <w:bCs/>
          <w:color w:val="000000" w:themeColor="text1"/>
          <w:szCs w:val="21"/>
        </w:rPr>
        <w:t>；采购包6：</w:t>
      </w:r>
      <w:r>
        <w:rPr>
          <w:rFonts w:ascii="宋体" w:hAnsi="宋体" w:cs="宋体"/>
          <w:bCs/>
          <w:color w:val="000000" w:themeColor="text1"/>
          <w:szCs w:val="21"/>
        </w:rPr>
        <w:t>2027.1.1-2027.11.30</w:t>
      </w:r>
      <w:r>
        <w:rPr>
          <w:rFonts w:hint="eastAsia" w:ascii="宋体" w:hAnsi="宋体" w:cs="宋体"/>
          <w:bCs/>
          <w:color w:val="000000" w:themeColor="text1"/>
          <w:szCs w:val="21"/>
        </w:rPr>
        <w:t>；采购包7：</w:t>
      </w:r>
      <w:r>
        <w:rPr>
          <w:rFonts w:ascii="宋体" w:hAnsi="宋体" w:cs="宋体"/>
          <w:bCs/>
          <w:color w:val="000000" w:themeColor="text1"/>
          <w:szCs w:val="21"/>
        </w:rPr>
        <w:t>2027.1.1-2027.11.30</w:t>
      </w:r>
      <w:r>
        <w:rPr>
          <w:rFonts w:hint="eastAsia" w:ascii="宋体" w:hAnsi="宋体" w:cs="宋体"/>
          <w:bCs/>
          <w:color w:val="000000" w:themeColor="text1"/>
          <w:szCs w:val="21"/>
        </w:rPr>
        <w:t>采购包8：</w:t>
      </w:r>
      <w:r>
        <w:rPr>
          <w:rFonts w:ascii="宋体" w:hAnsi="宋体" w:cs="宋体"/>
          <w:bCs/>
          <w:color w:val="000000" w:themeColor="text1"/>
          <w:szCs w:val="21"/>
        </w:rPr>
        <w:t>2027.1.1-2027.11.30</w:t>
      </w:r>
      <w:r>
        <w:rPr>
          <w:rFonts w:hint="eastAsia" w:ascii="宋体" w:hAnsi="宋体" w:cs="宋体"/>
          <w:bCs/>
          <w:color w:val="000000" w:themeColor="text1"/>
          <w:szCs w:val="21"/>
        </w:rPr>
        <w:t>；采购包9：</w:t>
      </w:r>
      <w:r>
        <w:rPr>
          <w:rFonts w:ascii="宋体" w:hAnsi="宋体" w:cs="宋体"/>
          <w:bCs/>
          <w:color w:val="000000" w:themeColor="text1"/>
          <w:szCs w:val="21"/>
        </w:rPr>
        <w:t>2026-11.1-2027.11.30</w:t>
      </w:r>
      <w:r>
        <w:rPr>
          <w:rFonts w:hint="eastAsia" w:ascii="宋体" w:hAnsi="宋体" w:cs="宋体"/>
          <w:bCs/>
          <w:color w:val="000000" w:themeColor="text1"/>
          <w:szCs w:val="21"/>
        </w:rPr>
        <w:t>。（具体服务时间以采购人实际需求为准，合同履行期间，必须严格按照采购人的要求执行）</w:t>
      </w:r>
      <w:bookmarkEnd w:id="4"/>
    </w:p>
    <w:p w14:paraId="08937C97">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1.7行业划分：租赁和商务服务业。</w:t>
      </w:r>
    </w:p>
    <w:p w14:paraId="1D1F6E92">
      <w:pPr>
        <w:spacing w:line="360" w:lineRule="auto"/>
        <w:ind w:firstLine="420" w:firstLineChars="200"/>
        <w:rPr>
          <w:color w:val="000000" w:themeColor="text1"/>
        </w:rPr>
      </w:pPr>
      <w:r>
        <w:rPr>
          <w:rFonts w:hint="eastAsia" w:ascii="宋体" w:hAnsi="宋体" w:cs="宋体"/>
          <w:bCs/>
          <w:color w:val="000000" w:themeColor="text1"/>
          <w:szCs w:val="21"/>
        </w:rPr>
        <w:t>1.8本项目不接受联合体投标。</w:t>
      </w:r>
    </w:p>
    <w:p w14:paraId="59E195FA">
      <w:pPr>
        <w:adjustRightInd w:val="0"/>
        <w:snapToGrid w:val="0"/>
        <w:spacing w:line="360" w:lineRule="auto"/>
        <w:ind w:firstLine="452" w:firstLineChars="200"/>
        <w:jc w:val="left"/>
        <w:rPr>
          <w:rFonts w:hint="eastAsia" w:ascii="宋体" w:hAnsi="宋体" w:cs="宋体"/>
          <w:color w:val="000000" w:themeColor="text1"/>
          <w:spacing w:val="8"/>
          <w:kern w:val="0"/>
          <w:szCs w:val="21"/>
        </w:rPr>
      </w:pPr>
    </w:p>
    <w:p w14:paraId="3E4387D7">
      <w:pPr>
        <w:adjustRightInd w:val="0"/>
        <w:snapToGrid w:val="0"/>
        <w:spacing w:line="360" w:lineRule="auto"/>
        <w:jc w:val="left"/>
        <w:rPr>
          <w:rFonts w:hint="eastAsia" w:ascii="宋体" w:hAnsi="宋体" w:cs="宋体"/>
          <w:b/>
          <w:bCs/>
          <w:color w:val="000000" w:themeColor="text1"/>
          <w:sz w:val="24"/>
        </w:rPr>
      </w:pPr>
      <w:r>
        <w:rPr>
          <w:rFonts w:hint="eastAsia" w:ascii="宋体" w:hAnsi="宋体" w:cs="宋体"/>
          <w:b/>
          <w:bCs/>
          <w:color w:val="000000" w:themeColor="text1"/>
          <w:sz w:val="24"/>
        </w:rPr>
        <w:t>二、申请人的资格要求：</w:t>
      </w:r>
    </w:p>
    <w:p w14:paraId="3FBF0BC9">
      <w:pPr>
        <w:adjustRightInd w:val="0"/>
        <w:snapToGrid w:val="0"/>
        <w:spacing w:line="360" w:lineRule="auto"/>
        <w:ind w:firstLine="454" w:firstLineChars="200"/>
        <w:jc w:val="left"/>
        <w:rPr>
          <w:rFonts w:hint="eastAsia" w:ascii="宋体" w:hAnsi="宋体" w:cs="宋体"/>
          <w:b/>
          <w:color w:val="000000" w:themeColor="text1"/>
          <w:spacing w:val="8"/>
          <w:kern w:val="0"/>
          <w:szCs w:val="21"/>
        </w:rPr>
      </w:pPr>
      <w:r>
        <w:rPr>
          <w:rFonts w:hint="eastAsia" w:ascii="宋体" w:hAnsi="宋体" w:cs="宋体"/>
          <w:b/>
          <w:color w:val="000000" w:themeColor="text1"/>
          <w:spacing w:val="8"/>
          <w:kern w:val="0"/>
          <w:szCs w:val="21"/>
        </w:rPr>
        <w:t>2.1满足《中华人民共和国政府采购法》第二十二条规定：</w:t>
      </w:r>
    </w:p>
    <w:p w14:paraId="1F33FF34">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（1）具有独立承担民事责任的能力（提供法人或者其他组织的营业执照；供应商为自然人的，提供其身份证）；</w:t>
      </w:r>
    </w:p>
    <w:p w14:paraId="28D237EC">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（2）具有良好的商业信誉和健全的财务会计制度（提供2025年度的财务报表，或投标截止时间前六个月内银行出具的资信证明）；</w:t>
      </w:r>
    </w:p>
    <w:p w14:paraId="23B81DE5">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（3）具有履行合同所必需的设备和专业技术能力（供应商根据履行采购项目合同需要，提供履行合同所必需的设备和专业技术能力的证明材料）；</w:t>
      </w:r>
    </w:p>
    <w:p w14:paraId="695FA6C4">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（4）有依法缴纳税收和社会保障资金的良好记录（提供参加本次政府采购活动前半年内至少一个月：</w:t>
      </w:r>
      <w:r>
        <w:rPr>
          <w:rFonts w:hint="eastAsia" w:ascii="宋体" w:hAnsi="宋体" w:cs="宋体"/>
          <w:bCs/>
          <w:color w:val="000000" w:themeColor="text1"/>
          <w:szCs w:val="21"/>
        </w:rPr>
        <w:fldChar w:fldCharType="begin"/>
      </w:r>
      <w:r>
        <w:rPr>
          <w:rFonts w:hint="eastAsia" w:ascii="宋体" w:hAnsi="宋体" w:cs="宋体"/>
          <w:bCs/>
          <w:color w:val="000000" w:themeColor="text1"/>
          <w:szCs w:val="21"/>
        </w:rPr>
        <w:instrText xml:space="preserve"> EQ \o\ac(○,1)</w:instrText>
      </w:r>
      <w:r>
        <w:rPr>
          <w:rFonts w:hint="eastAsia" w:ascii="宋体" w:hAnsi="宋体" w:cs="宋体"/>
          <w:bCs/>
          <w:color w:val="000000" w:themeColor="text1"/>
          <w:szCs w:val="21"/>
        </w:rPr>
        <w:fldChar w:fldCharType="end"/>
      </w:r>
      <w:r>
        <w:rPr>
          <w:rFonts w:hint="eastAsia" w:ascii="宋体" w:hAnsi="宋体" w:cs="宋体"/>
          <w:bCs/>
          <w:color w:val="000000" w:themeColor="text1"/>
          <w:szCs w:val="21"/>
        </w:rPr>
        <w:t>缴纳税收的凭证；</w:t>
      </w:r>
      <w:r>
        <w:rPr>
          <w:rFonts w:hint="eastAsia" w:ascii="宋体" w:hAnsi="宋体" w:cs="宋体"/>
          <w:bCs/>
          <w:color w:val="000000" w:themeColor="text1"/>
          <w:szCs w:val="21"/>
        </w:rPr>
        <w:fldChar w:fldCharType="begin"/>
      </w:r>
      <w:r>
        <w:rPr>
          <w:rFonts w:hint="eastAsia" w:ascii="宋体" w:hAnsi="宋体" w:cs="宋体"/>
          <w:bCs/>
          <w:color w:val="000000" w:themeColor="text1"/>
          <w:szCs w:val="21"/>
        </w:rPr>
        <w:instrText xml:space="preserve"> EQ \o\ac(○,2)</w:instrText>
      </w:r>
      <w:r>
        <w:rPr>
          <w:rFonts w:hint="eastAsia" w:ascii="宋体" w:hAnsi="宋体" w:cs="宋体"/>
          <w:bCs/>
          <w:color w:val="000000" w:themeColor="text1"/>
          <w:szCs w:val="21"/>
        </w:rPr>
        <w:fldChar w:fldCharType="end"/>
      </w:r>
      <w:r>
        <w:rPr>
          <w:rFonts w:hint="eastAsia" w:ascii="宋体" w:hAnsi="宋体" w:cs="宋体"/>
          <w:bCs/>
          <w:color w:val="000000" w:themeColor="text1"/>
          <w:szCs w:val="21"/>
        </w:rPr>
        <w:t>缴纳社会保险的凭据），依法享受免缴、缓缴的，提供证明材料；</w:t>
      </w:r>
    </w:p>
    <w:p w14:paraId="158D9F79">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（5）参加政府采购活动前三年内，在经营活动中没有重大违法记录（提供承诺书）；</w:t>
      </w:r>
    </w:p>
    <w:p w14:paraId="752B9881">
      <w:pPr>
        <w:spacing w:line="360" w:lineRule="auto"/>
        <w:ind w:firstLine="420" w:firstLineChars="200"/>
        <w:rPr>
          <w:rFonts w:hint="eastAsia" w:ascii="宋体" w:hAnsi="宋体" w:cs="宋体"/>
          <w:bCs/>
          <w:color w:val="000000" w:themeColor="text1"/>
          <w:szCs w:val="21"/>
        </w:rPr>
      </w:pPr>
      <w:r>
        <w:rPr>
          <w:rFonts w:hint="eastAsia" w:ascii="宋体" w:hAnsi="宋体" w:cs="宋体"/>
          <w:bCs/>
          <w:color w:val="000000" w:themeColor="text1"/>
          <w:szCs w:val="21"/>
        </w:rPr>
        <w:t>（6）法律、行政法规规定的其他条件：无。</w:t>
      </w:r>
    </w:p>
    <w:p w14:paraId="24868BDE">
      <w:pPr>
        <w:spacing w:line="360" w:lineRule="auto"/>
        <w:ind w:firstLine="454" w:firstLineChars="200"/>
        <w:rPr>
          <w:rFonts w:hint="eastAsia" w:ascii="宋体" w:hAnsi="宋体" w:cs="宋体"/>
          <w:b/>
          <w:color w:val="000000" w:themeColor="text1"/>
          <w:spacing w:val="8"/>
          <w:kern w:val="0"/>
          <w:szCs w:val="21"/>
        </w:rPr>
      </w:pPr>
      <w:r>
        <w:rPr>
          <w:rFonts w:hint="eastAsia" w:ascii="宋体" w:hAnsi="宋体" w:cs="宋体"/>
          <w:b/>
          <w:color w:val="000000" w:themeColor="text1"/>
          <w:spacing w:val="8"/>
          <w:kern w:val="0"/>
          <w:szCs w:val="21"/>
        </w:rPr>
        <w:t>2.2落实政府采购政策需满足的资格要求：</w:t>
      </w:r>
      <w:r>
        <w:rPr>
          <w:rFonts w:ascii="宋体" w:hAnsi="宋体" w:cs="宋体"/>
          <w:b/>
          <w:color w:val="000000" w:themeColor="text1"/>
          <w:spacing w:val="8"/>
          <w:kern w:val="0"/>
          <w:szCs w:val="21"/>
        </w:rPr>
        <w:t>本项目为专门面向中小微企业项目</w:t>
      </w:r>
    </w:p>
    <w:p w14:paraId="3B208E51">
      <w:pPr>
        <w:spacing w:line="360" w:lineRule="auto"/>
        <w:ind w:firstLine="458" w:firstLineChars="202"/>
        <w:rPr>
          <w:rFonts w:hint="eastAsia" w:ascii="宋体" w:hAnsi="宋体" w:cs="宋体"/>
          <w:b/>
          <w:color w:val="000000" w:themeColor="text1"/>
          <w:spacing w:val="8"/>
          <w:kern w:val="0"/>
          <w:szCs w:val="21"/>
        </w:rPr>
      </w:pPr>
      <w:r>
        <w:rPr>
          <w:rFonts w:hint="eastAsia" w:ascii="宋体" w:hAnsi="宋体" w:cs="宋体"/>
          <w:b/>
          <w:color w:val="000000" w:themeColor="text1"/>
          <w:spacing w:val="8"/>
          <w:kern w:val="0"/>
          <w:szCs w:val="21"/>
        </w:rPr>
        <w:t>2.3采购人根据采购项目的特殊要求规定的特定条件，并提供符合特殊要求的证明</w:t>
      </w:r>
      <w:r>
        <w:rPr>
          <w:rFonts w:hint="eastAsia" w:ascii="宋体" w:hAnsi="宋体" w:cs="宋体"/>
          <w:b/>
          <w:color w:val="000000" w:themeColor="text1"/>
          <w:szCs w:val="21"/>
        </w:rPr>
        <w:t>材料或者情况</w:t>
      </w:r>
      <w:r>
        <w:rPr>
          <w:rFonts w:hint="eastAsia" w:ascii="宋体" w:hAnsi="宋体" w:cs="宋体"/>
          <w:b/>
          <w:color w:val="000000" w:themeColor="text1"/>
          <w:spacing w:val="8"/>
          <w:kern w:val="0"/>
          <w:szCs w:val="21"/>
        </w:rPr>
        <w:t>说明：</w:t>
      </w:r>
    </w:p>
    <w:p w14:paraId="6B007C1C">
      <w:pPr>
        <w:pStyle w:val="247"/>
        <w:spacing w:before="0" w:beforeAutospacing="0" w:after="0" w:afterAutospacing="0" w:line="460" w:lineRule="exact"/>
        <w:ind w:firstLine="560"/>
        <w:rPr>
          <w:rFonts w:hint="eastAsia" w:cs="宋体"/>
          <w:bCs/>
          <w:color w:val="000000" w:themeColor="text1"/>
          <w:sz w:val="21"/>
          <w:szCs w:val="21"/>
        </w:rPr>
      </w:pPr>
      <w:r>
        <w:rPr>
          <w:rFonts w:hint="eastAsia" w:cs="宋体"/>
          <w:bCs/>
          <w:color w:val="000000" w:themeColor="text1"/>
          <w:sz w:val="21"/>
          <w:szCs w:val="21"/>
        </w:rPr>
        <w:t>（1）</w:t>
      </w:r>
      <w:bookmarkStart w:id="5" w:name="OLE_LINK33"/>
      <w:r>
        <w:rPr>
          <w:rFonts w:hint="eastAsia" w:cs="宋体"/>
          <w:bCs/>
          <w:color w:val="000000" w:themeColor="text1"/>
          <w:sz w:val="21"/>
          <w:szCs w:val="21"/>
        </w:rPr>
        <w:t>采购包1-采购包8：投标人必须具有省、自治区、直辖市公安机关颁发的有效内的《保安服务许可证》（提供许可证扫描件上传系统）；若投标人跨省、自治区、直辖市为客户单位提供保安服务的，应当向本项目所在地的南京市公安机关备案，提供备案证明或承诺中标后至进场服务前须通过南京市公安机关备案，未按要求备案的，取消其成交资格。（提供备案证明或承诺书并加盖公章，承诺书格式自拟，否则作无效投标处理）。</w:t>
      </w:r>
      <w:bookmarkEnd w:id="5"/>
    </w:p>
    <w:p w14:paraId="0CA63157">
      <w:pPr>
        <w:pStyle w:val="247"/>
        <w:spacing w:before="0" w:beforeAutospacing="0" w:after="0" w:afterAutospacing="0" w:line="460" w:lineRule="exact"/>
        <w:ind w:firstLine="560"/>
        <w:rPr>
          <w:rFonts w:hint="eastAsia" w:cs="宋体"/>
          <w:bCs/>
          <w:color w:val="000000" w:themeColor="text1"/>
          <w:sz w:val="21"/>
          <w:szCs w:val="21"/>
        </w:rPr>
      </w:pPr>
      <w:r>
        <w:rPr>
          <w:rFonts w:hint="eastAsia" w:cs="宋体"/>
          <w:bCs/>
          <w:color w:val="000000" w:themeColor="text1"/>
          <w:sz w:val="21"/>
          <w:szCs w:val="21"/>
        </w:rPr>
        <w:t>（2）</w:t>
      </w:r>
      <w:bookmarkStart w:id="67" w:name="_GoBack"/>
      <w:bookmarkEnd w:id="67"/>
      <w:r>
        <w:rPr>
          <w:rFonts w:hint="eastAsia" w:cs="宋体"/>
          <w:bCs/>
          <w:color w:val="000000" w:themeColor="text1"/>
          <w:sz w:val="21"/>
          <w:szCs w:val="21"/>
        </w:rPr>
        <w:t>采购包1-采购包8：投标人拟派安保人员必须均具有公安机关颁发的保安员证书（提供人员证书或承诺书加盖公章）。</w:t>
      </w:r>
    </w:p>
    <w:p w14:paraId="5EBF911F">
      <w:pPr>
        <w:pStyle w:val="247"/>
        <w:spacing w:before="0" w:beforeAutospacing="0" w:after="0" w:afterAutospacing="0" w:line="460" w:lineRule="exact"/>
        <w:ind w:firstLine="560"/>
        <w:rPr>
          <w:rFonts w:hint="eastAsia" w:cs="宋体"/>
          <w:bCs/>
          <w:color w:val="000000" w:themeColor="text1"/>
          <w:sz w:val="21"/>
          <w:szCs w:val="21"/>
        </w:rPr>
      </w:pPr>
      <w:r>
        <w:rPr>
          <w:rFonts w:hint="eastAsia" w:cs="宋体"/>
          <w:bCs/>
          <w:color w:val="000000" w:themeColor="text1"/>
          <w:sz w:val="21"/>
          <w:szCs w:val="21"/>
        </w:rPr>
        <w:t>（3）采购包7：投标人须承诺具备独立完成交通指挥能力，并且具备与</w:t>
      </w:r>
      <w:r>
        <w:rPr>
          <w:rFonts w:cs="宋体"/>
          <w:bCs/>
          <w:color w:val="000000" w:themeColor="text1"/>
          <w:sz w:val="21"/>
          <w:szCs w:val="21"/>
        </w:rPr>
        <w:t>交管部门合作协调的能力与机制</w:t>
      </w:r>
      <w:r>
        <w:rPr>
          <w:rFonts w:hint="eastAsia" w:cs="宋体"/>
          <w:bCs/>
          <w:color w:val="000000" w:themeColor="text1"/>
          <w:sz w:val="21"/>
          <w:szCs w:val="21"/>
        </w:rPr>
        <w:t>的能力。（提供承诺书加盖公章）。</w:t>
      </w:r>
    </w:p>
    <w:p w14:paraId="762F4D24">
      <w:pPr>
        <w:spacing w:line="360" w:lineRule="auto"/>
        <w:ind w:firstLine="426" w:firstLineChars="202"/>
        <w:rPr>
          <w:rFonts w:hint="eastAsia" w:ascii="宋体" w:hAnsi="宋体" w:cs="宋体"/>
          <w:b/>
          <w:color w:val="000000" w:themeColor="text1"/>
          <w:szCs w:val="21"/>
        </w:rPr>
      </w:pPr>
      <w:r>
        <w:rPr>
          <w:rFonts w:hint="eastAsia" w:ascii="宋体" w:hAnsi="宋体" w:cs="宋体"/>
          <w:b/>
          <w:color w:val="000000" w:themeColor="text1"/>
          <w:szCs w:val="21"/>
        </w:rPr>
        <w:t>2.4</w:t>
      </w:r>
      <w:r>
        <w:rPr>
          <w:rFonts w:hint="eastAsia" w:ascii="宋体" w:hAnsi="宋体" w:cs="宋体"/>
          <w:b/>
          <w:bCs/>
          <w:color w:val="000000" w:themeColor="text1"/>
          <w:spacing w:val="8"/>
          <w:kern w:val="0"/>
          <w:szCs w:val="21"/>
        </w:rPr>
        <w:t xml:space="preserve"> 提供《南京市政府采购供应商信用记录表暨信用承诺书》（法定代表人签字并盖单位公章）</w:t>
      </w:r>
      <w:r>
        <w:rPr>
          <w:rFonts w:hint="eastAsia" w:ascii="宋体" w:hAnsi="宋体" w:cs="宋体"/>
          <w:b/>
          <w:color w:val="000000" w:themeColor="text1"/>
          <w:szCs w:val="21"/>
        </w:rPr>
        <w:t>。</w:t>
      </w:r>
    </w:p>
    <w:p w14:paraId="0FAF5A16">
      <w:pPr>
        <w:spacing w:line="360" w:lineRule="auto"/>
        <w:ind w:firstLine="426" w:firstLineChars="202"/>
        <w:rPr>
          <w:rFonts w:hint="eastAsia" w:ascii="宋体" w:hAnsi="宋体" w:cs="宋体"/>
          <w:b/>
          <w:color w:val="000000" w:themeColor="text1"/>
          <w:szCs w:val="21"/>
        </w:rPr>
      </w:pPr>
      <w:r>
        <w:rPr>
          <w:rFonts w:hint="eastAsia" w:ascii="宋体" w:hAnsi="宋体" w:cs="宋体"/>
          <w:b/>
          <w:color w:val="000000" w:themeColor="text1"/>
          <w:szCs w:val="21"/>
        </w:rPr>
        <w:t>2.5 拒绝下述供应商参加本次招标活动：</w:t>
      </w:r>
    </w:p>
    <w:p w14:paraId="551FC925">
      <w:pPr>
        <w:spacing w:line="360" w:lineRule="auto"/>
        <w:ind w:firstLine="424" w:firstLineChars="202"/>
        <w:rPr>
          <w:rFonts w:hint="eastAsia" w:ascii="宋体" w:hAnsi="宋体" w:cs="宋体"/>
          <w:bCs/>
          <w:color w:val="000000" w:themeColor="text1"/>
          <w:szCs w:val="21"/>
        </w:rPr>
      </w:pPr>
      <w:r>
        <w:rPr>
          <w:rFonts w:hint="eastAsia" w:ascii="宋体" w:hAnsi="宋体" w:cs="宋体"/>
          <w:bCs/>
          <w:color w:val="000000" w:themeColor="text1"/>
          <w:szCs w:val="21"/>
        </w:rPr>
        <w:t>（1）单位负责人为同一人或者存在直接控股、管理关系的不同供应商，不得参加同一合同项下的政府采购活动。</w:t>
      </w:r>
    </w:p>
    <w:p w14:paraId="3F747166">
      <w:pPr>
        <w:spacing w:line="360" w:lineRule="auto"/>
        <w:ind w:firstLine="424" w:firstLineChars="202"/>
        <w:rPr>
          <w:rFonts w:hint="eastAsia" w:ascii="宋体" w:hAnsi="宋体" w:cs="宋体"/>
          <w:bCs/>
          <w:color w:val="000000" w:themeColor="text1"/>
          <w:szCs w:val="21"/>
        </w:rPr>
      </w:pPr>
      <w:r>
        <w:rPr>
          <w:rFonts w:hint="eastAsia" w:ascii="宋体" w:hAnsi="宋体" w:cs="宋体"/>
          <w:bCs/>
          <w:color w:val="000000" w:themeColor="text1"/>
          <w:szCs w:val="21"/>
        </w:rPr>
        <w:t>（2）为采购项目提供整体设计、规范编制或者项目管理、监理、检测等服务的供应商，不得参加本项目的采购活动。</w:t>
      </w:r>
    </w:p>
    <w:p w14:paraId="712F318A">
      <w:pPr>
        <w:spacing w:line="360" w:lineRule="auto"/>
        <w:ind w:firstLine="424" w:firstLineChars="202"/>
        <w:rPr>
          <w:rFonts w:hint="eastAsia" w:ascii="宋体" w:hAnsi="宋体" w:cs="宋体"/>
          <w:bCs/>
          <w:color w:val="000000" w:themeColor="text1"/>
          <w:szCs w:val="21"/>
        </w:rPr>
      </w:pPr>
      <w:r>
        <w:rPr>
          <w:rFonts w:hint="eastAsia" w:ascii="宋体" w:hAnsi="宋体" w:cs="宋体"/>
          <w:bCs/>
          <w:color w:val="000000" w:themeColor="text1"/>
          <w:szCs w:val="21"/>
        </w:rPr>
        <w:t>（3）供应商被“信用中国”网站（www.creditchina.gov.cn）、“中国政府采购网”(www.ccgp.gov.cn)列入失信被执行人、重大税收违法失信主体名单、政府采购严重违法失信行为记录名单。</w:t>
      </w:r>
    </w:p>
    <w:p w14:paraId="3A8C7305">
      <w:pPr>
        <w:spacing w:line="360" w:lineRule="auto"/>
        <w:ind w:firstLine="420" w:firstLineChars="200"/>
        <w:rPr>
          <w:rFonts w:hint="eastAsia" w:ascii="宋体" w:hAnsi="宋体" w:cs="宋体"/>
          <w:bCs/>
          <w:color w:val="000000" w:themeColor="text1"/>
          <w:szCs w:val="21"/>
        </w:rPr>
      </w:pPr>
    </w:p>
    <w:p w14:paraId="39255245">
      <w:pPr>
        <w:widowControl/>
        <w:spacing w:line="360" w:lineRule="auto"/>
        <w:rPr>
          <w:rFonts w:hint="eastAsia" w:ascii="宋体" w:hAnsi="宋体" w:cs="宋体"/>
          <w:b/>
          <w:color w:val="000000" w:themeColor="text1"/>
          <w:spacing w:val="8"/>
          <w:kern w:val="0"/>
          <w:sz w:val="24"/>
        </w:rPr>
      </w:pPr>
      <w:r>
        <w:rPr>
          <w:rFonts w:hint="eastAsia" w:ascii="宋体" w:hAnsi="宋体" w:cs="宋体"/>
          <w:b/>
          <w:color w:val="000000" w:themeColor="text1"/>
          <w:spacing w:val="8"/>
          <w:kern w:val="0"/>
          <w:sz w:val="24"/>
        </w:rPr>
        <w:t>三、获取招标文件</w:t>
      </w:r>
    </w:p>
    <w:p w14:paraId="67D1F788">
      <w:pPr>
        <w:widowControl/>
        <w:shd w:val="clear" w:color="auto" w:fill="FFFFFF"/>
        <w:spacing w:line="360" w:lineRule="auto"/>
        <w:ind w:firstLine="454" w:firstLineChars="200"/>
        <w:jc w:val="left"/>
        <w:rPr>
          <w:rFonts w:hint="eastAsia" w:ascii="宋体" w:hAnsi="宋体" w:cs="宋体"/>
          <w:b/>
          <w:bCs/>
          <w:color w:val="000000" w:themeColor="text1"/>
          <w:spacing w:val="8"/>
          <w:kern w:val="0"/>
          <w:szCs w:val="21"/>
        </w:rPr>
      </w:pPr>
      <w:r>
        <w:rPr>
          <w:rFonts w:hint="eastAsia" w:ascii="宋体" w:hAnsi="宋体" w:cs="宋体"/>
          <w:b/>
          <w:bCs/>
          <w:color w:val="000000" w:themeColor="text1"/>
          <w:spacing w:val="8"/>
          <w:kern w:val="0"/>
          <w:szCs w:val="21"/>
        </w:rPr>
        <w:t>3.1时间：自招标文件公告发布之日起5个工作日</w:t>
      </w:r>
    </w:p>
    <w:p w14:paraId="7D120DC5">
      <w:pPr>
        <w:widowControl/>
        <w:shd w:val="clear" w:color="auto" w:fill="FFFFFF"/>
        <w:spacing w:line="360" w:lineRule="auto"/>
        <w:ind w:firstLine="452" w:firstLineChars="200"/>
        <w:jc w:val="left"/>
        <w:rPr>
          <w:rFonts w:hint="eastAsia" w:ascii="宋体" w:hAnsi="宋体" w:cs="宋体"/>
          <w:color w:val="000000" w:themeColor="text1"/>
          <w:spacing w:val="8"/>
          <w:kern w:val="0"/>
          <w:szCs w:val="21"/>
        </w:rPr>
      </w:pPr>
      <w:r>
        <w:rPr>
          <w:rFonts w:hint="eastAsia" w:ascii="宋体" w:hAnsi="宋体" w:cs="宋体"/>
          <w:color w:val="000000" w:themeColor="text1"/>
          <w:spacing w:val="8"/>
          <w:kern w:val="0"/>
          <w:szCs w:val="21"/>
        </w:rPr>
        <w:t>3.2地点：江苏政府采购网</w:t>
      </w:r>
      <w:r>
        <w:rPr>
          <w:rFonts w:hint="eastAsia" w:ascii="宋体" w:hAnsi="宋体" w:cs="宋体"/>
          <w:bCs/>
          <w:color w:val="000000" w:themeColor="text1"/>
          <w:szCs w:val="21"/>
        </w:rPr>
        <w:t xml:space="preserve">苏采云系统注册登记成功后系统内免费下载 </w:t>
      </w:r>
    </w:p>
    <w:p w14:paraId="38A737F3">
      <w:pPr>
        <w:widowControl/>
        <w:shd w:val="clear" w:color="auto" w:fill="FFFFFF"/>
        <w:spacing w:line="360" w:lineRule="auto"/>
        <w:ind w:firstLine="452" w:firstLineChars="200"/>
        <w:jc w:val="left"/>
        <w:rPr>
          <w:rFonts w:hint="eastAsia" w:ascii="宋体" w:hAnsi="宋体" w:cs="宋体"/>
          <w:color w:val="000000" w:themeColor="text1"/>
          <w:spacing w:val="8"/>
          <w:kern w:val="0"/>
          <w:szCs w:val="21"/>
        </w:rPr>
      </w:pPr>
      <w:r>
        <w:rPr>
          <w:rFonts w:hint="eastAsia" w:ascii="宋体" w:hAnsi="宋体" w:cs="宋体"/>
          <w:color w:val="000000" w:themeColor="text1"/>
          <w:spacing w:val="8"/>
          <w:kern w:val="0"/>
          <w:szCs w:val="21"/>
        </w:rPr>
        <w:t>3.3方式：</w:t>
      </w:r>
      <w:r>
        <w:rPr>
          <w:rFonts w:hint="eastAsia" w:ascii="宋体" w:hAnsi="宋体" w:cs="宋体"/>
          <w:color w:val="000000" w:themeColor="text1"/>
          <w:szCs w:val="21"/>
        </w:rPr>
        <w:t>网上下载 </w:t>
      </w:r>
    </w:p>
    <w:p w14:paraId="021A4903">
      <w:pPr>
        <w:widowControl/>
        <w:shd w:val="clear" w:color="auto" w:fill="FFFFFF"/>
        <w:spacing w:line="360" w:lineRule="auto"/>
        <w:ind w:firstLine="452" w:firstLineChars="200"/>
        <w:jc w:val="left"/>
        <w:rPr>
          <w:rFonts w:hint="eastAsia" w:ascii="宋体" w:hAnsi="宋体" w:cs="宋体"/>
          <w:color w:val="000000" w:themeColor="text1"/>
          <w:spacing w:val="8"/>
          <w:kern w:val="0"/>
          <w:szCs w:val="21"/>
        </w:rPr>
      </w:pPr>
      <w:r>
        <w:rPr>
          <w:rFonts w:hint="eastAsia" w:ascii="宋体" w:hAnsi="宋体" w:cs="宋体"/>
          <w:color w:val="000000" w:themeColor="text1"/>
          <w:spacing w:val="8"/>
          <w:kern w:val="0"/>
          <w:szCs w:val="21"/>
        </w:rPr>
        <w:t>3.4售价：0.00元。</w:t>
      </w:r>
    </w:p>
    <w:p w14:paraId="456FA280">
      <w:pPr>
        <w:widowControl/>
        <w:spacing w:line="360" w:lineRule="auto"/>
        <w:ind w:firstLine="360"/>
        <w:rPr>
          <w:rFonts w:hint="eastAsia" w:ascii="宋体" w:hAnsi="宋体" w:cs="宋体"/>
          <w:color w:val="000000" w:themeColor="text1"/>
          <w:szCs w:val="21"/>
        </w:rPr>
      </w:pPr>
    </w:p>
    <w:p w14:paraId="66B9DAFF">
      <w:pPr>
        <w:widowControl/>
        <w:spacing w:line="360" w:lineRule="auto"/>
        <w:rPr>
          <w:rFonts w:hint="eastAsia" w:ascii="宋体" w:hAnsi="宋体" w:cs="宋体"/>
          <w:b/>
          <w:color w:val="000000" w:themeColor="text1"/>
          <w:spacing w:val="8"/>
          <w:kern w:val="0"/>
          <w:sz w:val="24"/>
        </w:rPr>
      </w:pPr>
      <w:r>
        <w:rPr>
          <w:rFonts w:hint="eastAsia" w:ascii="宋体" w:hAnsi="宋体" w:cs="宋体"/>
          <w:b/>
          <w:color w:val="000000" w:themeColor="text1"/>
          <w:spacing w:val="8"/>
          <w:kern w:val="0"/>
          <w:sz w:val="24"/>
        </w:rPr>
        <w:t>四、提交投标文件截止时间、开标时间和地点</w:t>
      </w:r>
    </w:p>
    <w:p w14:paraId="031358F5">
      <w:pPr>
        <w:widowControl/>
        <w:spacing w:line="360" w:lineRule="auto"/>
        <w:ind w:firstLine="370"/>
        <w:rPr>
          <w:rFonts w:hint="eastAsia" w:ascii="宋体" w:hAnsi="宋体" w:cs="宋体"/>
          <w:color w:val="000000" w:themeColor="text1"/>
          <w:spacing w:val="8"/>
          <w:kern w:val="0"/>
          <w:szCs w:val="21"/>
        </w:rPr>
      </w:pPr>
      <w:r>
        <w:rPr>
          <w:rFonts w:hint="eastAsia" w:ascii="宋体" w:hAnsi="宋体" w:cs="宋体"/>
          <w:color w:val="000000" w:themeColor="text1"/>
          <w:spacing w:val="8"/>
          <w:kern w:val="0"/>
          <w:szCs w:val="21"/>
        </w:rPr>
        <w:t>4.1</w:t>
      </w:r>
      <w:r>
        <w:rPr>
          <w:rFonts w:hint="eastAsia" w:ascii="宋体" w:hAnsi="宋体" w:cs="宋体"/>
          <w:color w:val="000000" w:themeColor="text1"/>
          <w:spacing w:val="15"/>
          <w:kern w:val="0"/>
          <w:szCs w:val="21"/>
          <w:shd w:val="clear" w:color="auto" w:fill="FFFFFF"/>
        </w:rPr>
        <w:t>提交投标文件截止时间、开标时间：</w:t>
      </w:r>
      <w:r>
        <w:rPr>
          <w:rFonts w:hint="eastAsia" w:ascii="宋体" w:hAnsi="宋体" w:cs="宋体"/>
          <w:b/>
          <w:bCs/>
          <w:color w:val="000000" w:themeColor="text1"/>
        </w:rPr>
        <w:t>2026</w:t>
      </w:r>
      <w:r>
        <w:rPr>
          <w:rFonts w:hint="eastAsia" w:ascii="宋体" w:hAnsi="宋体" w:cs="宋体"/>
          <w:b/>
          <w:bCs/>
          <w:color w:val="000000" w:themeColor="text1"/>
          <w:spacing w:val="8"/>
          <w:kern w:val="0"/>
          <w:szCs w:val="21"/>
        </w:rPr>
        <w:t>年10月29日</w:t>
      </w:r>
      <w:r>
        <w:rPr>
          <w:rFonts w:hint="eastAsia" w:ascii="宋体" w:hAnsi="宋体" w:cs="宋体"/>
          <w:b/>
          <w:bCs/>
          <w:color w:val="000000" w:themeColor="text1"/>
        </w:rPr>
        <w:t>09</w:t>
      </w:r>
      <w:r>
        <w:rPr>
          <w:rFonts w:hint="eastAsia" w:ascii="宋体" w:hAnsi="宋体" w:cs="宋体"/>
          <w:b/>
          <w:bCs/>
          <w:color w:val="000000" w:themeColor="text1"/>
          <w:spacing w:val="8"/>
          <w:kern w:val="0"/>
          <w:szCs w:val="21"/>
        </w:rPr>
        <w:t>点</w:t>
      </w:r>
      <w:r>
        <w:rPr>
          <w:rFonts w:hint="eastAsia" w:ascii="宋体" w:hAnsi="宋体" w:cs="宋体"/>
          <w:b/>
          <w:bCs/>
          <w:color w:val="000000" w:themeColor="text1"/>
        </w:rPr>
        <w:t>30</w:t>
      </w:r>
      <w:r>
        <w:rPr>
          <w:rFonts w:hint="eastAsia" w:ascii="宋体" w:hAnsi="宋体" w:cs="宋体"/>
          <w:b/>
          <w:bCs/>
          <w:color w:val="000000" w:themeColor="text1"/>
          <w:spacing w:val="8"/>
          <w:kern w:val="0"/>
          <w:szCs w:val="21"/>
        </w:rPr>
        <w:t>分</w:t>
      </w:r>
      <w:r>
        <w:rPr>
          <w:rFonts w:hint="eastAsia" w:ascii="宋体" w:hAnsi="宋体" w:cs="宋体"/>
          <w:color w:val="000000" w:themeColor="text1"/>
          <w:spacing w:val="8"/>
          <w:kern w:val="0"/>
          <w:szCs w:val="21"/>
        </w:rPr>
        <w:t>（北京时间）</w:t>
      </w:r>
    </w:p>
    <w:p w14:paraId="18486D32">
      <w:pPr>
        <w:pStyle w:val="41"/>
        <w:spacing w:before="0" w:beforeAutospacing="0" w:after="0" w:afterAutospacing="0" w:line="360" w:lineRule="auto"/>
        <w:ind w:firstLine="375"/>
        <w:rPr>
          <w:rFonts w:hint="eastAsia"/>
          <w:color w:val="000000" w:themeColor="text1"/>
          <w:spacing w:val="15"/>
          <w:sz w:val="21"/>
          <w:szCs w:val="21"/>
          <w:shd w:val="clear" w:color="auto" w:fill="FFFFFF"/>
        </w:rPr>
      </w:pPr>
      <w:r>
        <w:rPr>
          <w:rFonts w:hint="eastAsia"/>
          <w:color w:val="000000" w:themeColor="text1"/>
          <w:spacing w:val="15"/>
          <w:sz w:val="21"/>
          <w:szCs w:val="21"/>
          <w:shd w:val="clear" w:color="auto" w:fill="FFFFFF"/>
        </w:rPr>
        <w:t>4.2提交投标文件地点：江苏省政府采购管理交易系统（苏采云）（以下简称“苏采云”）（网址： http://jszfcg.jsczt.cn/）</w:t>
      </w:r>
    </w:p>
    <w:p w14:paraId="2D91E7DE">
      <w:pPr>
        <w:pStyle w:val="41"/>
        <w:spacing w:before="0" w:beforeAutospacing="0" w:after="0" w:afterAutospacing="0" w:line="360" w:lineRule="auto"/>
        <w:ind w:firstLine="375"/>
        <w:rPr>
          <w:rFonts w:hint="eastAsia"/>
          <w:color w:val="000000" w:themeColor="text1"/>
          <w:spacing w:val="15"/>
          <w:sz w:val="21"/>
          <w:szCs w:val="21"/>
          <w:shd w:val="clear" w:color="auto" w:fill="FFFFFF"/>
        </w:rPr>
      </w:pPr>
      <w:r>
        <w:rPr>
          <w:rFonts w:hint="eastAsia"/>
          <w:color w:val="000000" w:themeColor="text1"/>
          <w:spacing w:val="15"/>
          <w:sz w:val="21"/>
          <w:szCs w:val="21"/>
          <w:shd w:val="clear" w:color="auto" w:fill="FFFFFF"/>
        </w:rPr>
        <w:t>4.3开标地点：“苏采云”网上开标大厅。</w:t>
      </w:r>
    </w:p>
    <w:p w14:paraId="5178EBD1">
      <w:pPr>
        <w:widowControl/>
        <w:spacing w:line="360" w:lineRule="auto"/>
        <w:ind w:firstLine="370"/>
        <w:rPr>
          <w:rFonts w:hint="eastAsia" w:ascii="宋体" w:hAnsi="宋体" w:cs="宋体"/>
          <w:color w:val="000000" w:themeColor="text1"/>
          <w:spacing w:val="8"/>
          <w:kern w:val="0"/>
          <w:szCs w:val="21"/>
        </w:rPr>
      </w:pPr>
    </w:p>
    <w:p w14:paraId="26FB854C">
      <w:pPr>
        <w:widowControl/>
        <w:spacing w:line="360" w:lineRule="auto"/>
        <w:rPr>
          <w:rFonts w:hint="eastAsia" w:ascii="宋体" w:hAnsi="宋体" w:cs="宋体"/>
          <w:b/>
          <w:color w:val="000000" w:themeColor="text1"/>
          <w:spacing w:val="8"/>
          <w:kern w:val="0"/>
          <w:sz w:val="24"/>
        </w:rPr>
      </w:pPr>
      <w:r>
        <w:rPr>
          <w:rFonts w:hint="eastAsia" w:ascii="宋体" w:hAnsi="宋体" w:cs="宋体"/>
          <w:b/>
          <w:color w:val="000000" w:themeColor="text1"/>
          <w:spacing w:val="8"/>
          <w:kern w:val="0"/>
          <w:sz w:val="24"/>
        </w:rPr>
        <w:t>五、公告期限</w:t>
      </w:r>
    </w:p>
    <w:p w14:paraId="1A357C52">
      <w:pPr>
        <w:widowControl/>
        <w:spacing w:line="360" w:lineRule="auto"/>
        <w:ind w:firstLine="370"/>
        <w:rPr>
          <w:rFonts w:hint="eastAsia" w:ascii="宋体" w:hAnsi="宋体" w:cs="宋体"/>
          <w:color w:val="000000" w:themeColor="text1"/>
          <w:spacing w:val="8"/>
          <w:kern w:val="0"/>
          <w:szCs w:val="21"/>
        </w:rPr>
      </w:pPr>
      <w:r>
        <w:rPr>
          <w:rFonts w:hint="eastAsia" w:ascii="宋体" w:hAnsi="宋体" w:cs="宋体"/>
          <w:color w:val="000000" w:themeColor="text1"/>
          <w:spacing w:val="8"/>
          <w:kern w:val="0"/>
          <w:szCs w:val="21"/>
        </w:rPr>
        <w:t>自本公告发布之日起5个工作日。</w:t>
      </w:r>
    </w:p>
    <w:p w14:paraId="10EF02C0">
      <w:pPr>
        <w:widowControl/>
        <w:spacing w:line="360" w:lineRule="auto"/>
        <w:ind w:firstLine="370"/>
        <w:rPr>
          <w:rFonts w:hint="eastAsia" w:ascii="宋体" w:hAnsi="宋体" w:cs="宋体"/>
          <w:color w:val="000000" w:themeColor="text1"/>
          <w:spacing w:val="8"/>
          <w:kern w:val="0"/>
          <w:szCs w:val="21"/>
        </w:rPr>
      </w:pPr>
    </w:p>
    <w:p w14:paraId="3C4932A0">
      <w:pPr>
        <w:widowControl/>
        <w:spacing w:line="360" w:lineRule="auto"/>
        <w:rPr>
          <w:rFonts w:hint="eastAsia" w:ascii="宋体" w:hAnsi="宋体" w:cs="宋体"/>
          <w:b/>
          <w:color w:val="000000" w:themeColor="text1"/>
          <w:spacing w:val="8"/>
          <w:kern w:val="0"/>
          <w:sz w:val="24"/>
        </w:rPr>
      </w:pPr>
      <w:r>
        <w:rPr>
          <w:rFonts w:hint="eastAsia" w:ascii="宋体" w:hAnsi="宋体" w:cs="宋体"/>
          <w:b/>
          <w:color w:val="000000" w:themeColor="text1"/>
          <w:spacing w:val="8"/>
          <w:kern w:val="0"/>
          <w:sz w:val="24"/>
        </w:rPr>
        <w:t>六、其他补充事宜</w:t>
      </w:r>
    </w:p>
    <w:p w14:paraId="5F280AC6">
      <w:pPr>
        <w:widowControl/>
        <w:shd w:val="clear" w:color="auto" w:fill="FFFFFF" w:themeFill="background1"/>
        <w:adjustRightInd w:val="0"/>
        <w:snapToGrid w:val="0"/>
        <w:spacing w:line="360" w:lineRule="auto"/>
        <w:ind w:firstLine="420" w:firstLineChars="200"/>
        <w:rPr>
          <w:color w:val="000000" w:themeColor="text1"/>
          <w:szCs w:val="21"/>
        </w:rPr>
      </w:pPr>
      <w:r>
        <w:rPr>
          <w:color w:val="000000" w:themeColor="text1"/>
          <w:szCs w:val="21"/>
        </w:rPr>
        <w:t>6.1</w:t>
      </w:r>
      <w:r>
        <w:rPr>
          <w:color w:val="000000" w:themeColor="text1"/>
          <w:szCs w:val="21"/>
          <w:lang w:val="zh-CN"/>
        </w:rPr>
        <w:t>本项目在</w:t>
      </w:r>
      <w:r>
        <w:rPr>
          <w:b/>
          <w:bCs/>
          <w:color w:val="000000" w:themeColor="text1"/>
          <w:szCs w:val="21"/>
          <w:lang w:val="zh-CN"/>
        </w:rPr>
        <w:t>江苏政府采购网</w:t>
      </w:r>
      <w:r>
        <w:rPr>
          <w:color w:val="000000" w:themeColor="text1"/>
          <w:szCs w:val="21"/>
        </w:rPr>
        <w:t>（http://www.ccgp-jiangsu.gov.cn/）</w:t>
      </w:r>
      <w:r>
        <w:rPr>
          <w:color w:val="000000" w:themeColor="text1"/>
          <w:szCs w:val="21"/>
          <w:lang w:val="zh-CN"/>
        </w:rPr>
        <w:t>网站发布公告。</w:t>
      </w:r>
    </w:p>
    <w:p w14:paraId="1E32484A">
      <w:pPr>
        <w:widowControl/>
        <w:shd w:val="clear" w:color="auto" w:fill="FFFFFF" w:themeFill="background1"/>
        <w:adjustRightInd w:val="0"/>
        <w:snapToGrid w:val="0"/>
        <w:spacing w:line="360" w:lineRule="auto"/>
        <w:ind w:firstLine="420" w:firstLineChars="200"/>
        <w:rPr>
          <w:bCs/>
          <w:color w:val="000000" w:themeColor="text1"/>
          <w:szCs w:val="21"/>
        </w:rPr>
      </w:pPr>
      <w:r>
        <w:rPr>
          <w:color w:val="000000" w:themeColor="text1"/>
          <w:szCs w:val="21"/>
        </w:rPr>
        <w:t>6.2勘查现场</w:t>
      </w:r>
      <w:r>
        <w:rPr>
          <w:bCs/>
          <w:color w:val="000000" w:themeColor="text1"/>
          <w:szCs w:val="21"/>
        </w:rPr>
        <w:t>：无。</w:t>
      </w:r>
    </w:p>
    <w:p w14:paraId="0A0C0A1D">
      <w:pPr>
        <w:widowControl/>
        <w:shd w:val="clear" w:color="auto" w:fill="FFFFFF" w:themeFill="background1"/>
        <w:topLinePunct/>
        <w:adjustRightInd w:val="0"/>
        <w:snapToGrid w:val="0"/>
        <w:spacing w:line="360" w:lineRule="auto"/>
        <w:ind w:firstLine="420" w:firstLineChars="200"/>
        <w:rPr>
          <w:bCs/>
          <w:color w:val="000000" w:themeColor="text1"/>
          <w:szCs w:val="21"/>
        </w:rPr>
      </w:pPr>
      <w:r>
        <w:rPr>
          <w:bCs/>
          <w:color w:val="000000" w:themeColor="text1"/>
          <w:szCs w:val="21"/>
        </w:rPr>
        <w:t>6.3供应商通过“苏采云”（网址：http://jszfcg.jsczt.cn/）参与政府采购项目，需要办理江苏省政府采购数字证书及电子签章的，详见苏采云官网首页“新CA办理指南”。供应商通过苏采云官网首页进行供应商注册及CA绑定。CA登录后，供应商按《苏采云系统供应商操作手册》进行操作。</w:t>
      </w:r>
    </w:p>
    <w:p w14:paraId="0AECBC1A">
      <w:pPr>
        <w:pStyle w:val="82"/>
        <w:topLinePunct/>
        <w:adjustRightInd w:val="0"/>
        <w:snapToGrid w:val="0"/>
        <w:spacing w:line="360" w:lineRule="auto"/>
        <w:rPr>
          <w:bCs/>
          <w:color w:val="000000" w:themeColor="text1"/>
          <w:szCs w:val="21"/>
        </w:rPr>
      </w:pPr>
      <w:r>
        <w:rPr>
          <w:bCs/>
          <w:color w:val="000000" w:themeColor="text1"/>
          <w:szCs w:val="21"/>
        </w:rPr>
        <w:t>操作手册下载地址：</w:t>
      </w:r>
    </w:p>
    <w:p w14:paraId="36F8E273">
      <w:pPr>
        <w:pStyle w:val="82"/>
        <w:topLinePunct/>
        <w:adjustRightInd w:val="0"/>
        <w:snapToGrid w:val="0"/>
        <w:spacing w:line="360" w:lineRule="auto"/>
        <w:rPr>
          <w:bCs/>
          <w:color w:val="000000" w:themeColor="text1"/>
          <w:szCs w:val="21"/>
        </w:rPr>
      </w:pPr>
      <w:r>
        <w:rPr>
          <w:bCs/>
          <w:color w:val="000000" w:themeColor="text1"/>
          <w:szCs w:val="21"/>
        </w:rPr>
        <w:t>http://www.ccgp-jiangsu.gov.cn/jiangsu/zlxz/ee/ee3a4bc5a3454aa2b0d9312230633ce9.html</w:t>
      </w:r>
    </w:p>
    <w:p w14:paraId="051427AE">
      <w:pPr>
        <w:pStyle w:val="82"/>
        <w:adjustRightInd w:val="0"/>
        <w:snapToGrid w:val="0"/>
        <w:spacing w:line="360" w:lineRule="auto"/>
        <w:rPr>
          <w:bCs/>
          <w:color w:val="000000" w:themeColor="text1"/>
          <w:szCs w:val="21"/>
        </w:rPr>
      </w:pPr>
      <w:r>
        <w:rPr>
          <w:bCs/>
          <w:color w:val="000000" w:themeColor="text1"/>
          <w:szCs w:val="21"/>
        </w:rPr>
        <w:t>首次登录“苏采云”系统的新用户，登录网址后，点击“用户注册”--“新CA办理指南”--获取CA后绑定、登录系统--采购项目参与--下载采购文件（文件后缀名为“.kedt”）。</w:t>
      </w:r>
    </w:p>
    <w:p w14:paraId="7142DFC7">
      <w:pPr>
        <w:pStyle w:val="82"/>
        <w:adjustRightInd w:val="0"/>
        <w:snapToGrid w:val="0"/>
        <w:spacing w:line="360" w:lineRule="auto"/>
        <w:rPr>
          <w:bCs/>
          <w:color w:val="000000" w:themeColor="text1"/>
          <w:szCs w:val="21"/>
        </w:rPr>
      </w:pPr>
      <w:r>
        <w:rPr>
          <w:bCs/>
          <w:color w:val="000000" w:themeColor="text1"/>
          <w:szCs w:val="21"/>
        </w:rPr>
        <w:t>“苏采云”南京地区客服热线025-83633744、025-83633743。</w:t>
      </w:r>
    </w:p>
    <w:p w14:paraId="2D8FBD85">
      <w:pPr>
        <w:pStyle w:val="82"/>
        <w:adjustRightInd w:val="0"/>
        <w:snapToGrid w:val="0"/>
        <w:spacing w:line="360" w:lineRule="auto"/>
        <w:rPr>
          <w:color w:val="000000" w:themeColor="text1"/>
        </w:rPr>
      </w:pPr>
      <w:r>
        <w:rPr>
          <w:bCs/>
          <w:color w:val="000000" w:themeColor="text1"/>
          <w:szCs w:val="21"/>
        </w:rPr>
        <w:t>有关本次招标的事项若存在变动或修改，请及时关注“江苏政府采购网”（www.ccgp-jiangsu.gov.cn）更正公告。</w:t>
      </w:r>
    </w:p>
    <w:p w14:paraId="7E666444">
      <w:pPr>
        <w:widowControl/>
        <w:shd w:val="clear" w:color="auto" w:fill="FFFFFF" w:themeFill="background1"/>
        <w:spacing w:line="360" w:lineRule="auto"/>
        <w:ind w:firstLine="422"/>
        <w:rPr>
          <w:b/>
          <w:bCs/>
          <w:color w:val="000000" w:themeColor="text1"/>
          <w:szCs w:val="21"/>
          <w:lang w:val="zh-CN"/>
        </w:rPr>
      </w:pPr>
      <w:r>
        <w:rPr>
          <w:b/>
          <w:bCs/>
          <w:color w:val="000000" w:themeColor="text1"/>
          <w:szCs w:val="21"/>
          <w:lang w:val="zh-CN"/>
        </w:rPr>
        <w:t>6.</w:t>
      </w:r>
      <w:r>
        <w:rPr>
          <w:b/>
          <w:bCs/>
          <w:color w:val="000000" w:themeColor="text1"/>
          <w:szCs w:val="21"/>
        </w:rPr>
        <w:t>4政府采购信用承诺</w:t>
      </w:r>
    </w:p>
    <w:p w14:paraId="39217373">
      <w:pPr>
        <w:widowControl/>
        <w:topLinePunct/>
        <w:spacing w:line="360" w:lineRule="auto"/>
        <w:ind w:firstLine="420" w:firstLineChars="200"/>
        <w:jc w:val="left"/>
        <w:rPr>
          <w:color w:val="000000" w:themeColor="text1"/>
          <w:szCs w:val="21"/>
        </w:rPr>
      </w:pPr>
      <w:r>
        <w:rPr>
          <w:color w:val="000000" w:themeColor="text1"/>
          <w:szCs w:val="21"/>
          <w:lang w:val="zh-CN"/>
        </w:rPr>
        <w:t>根据《关于在政府采购活动中推行信用承诺制的通知》宁财购通〔2021〕5号规定，</w:t>
      </w:r>
      <w:r>
        <w:rPr>
          <w:color w:val="000000" w:themeColor="text1"/>
          <w:szCs w:val="21"/>
        </w:rPr>
        <w:t>参加</w:t>
      </w:r>
      <w:r>
        <w:rPr>
          <w:color w:val="000000" w:themeColor="text1"/>
          <w:szCs w:val="21"/>
          <w:lang w:val="zh-CN"/>
        </w:rPr>
        <w:t>南京地区采购活动的供应商，应以书面形式向采购人或政府采购代理机构作出信用承诺。</w:t>
      </w:r>
      <w:r>
        <w:rPr>
          <w:b/>
          <w:bCs/>
          <w:color w:val="000000" w:themeColor="text1"/>
          <w:szCs w:val="21"/>
          <w:lang w:val="zh-CN"/>
        </w:rPr>
        <w:t>《南京市政府采购供应商信用记录表暨信用承诺书》</w:t>
      </w:r>
      <w:r>
        <w:rPr>
          <w:color w:val="000000" w:themeColor="text1"/>
          <w:szCs w:val="21"/>
          <w:lang w:val="zh-CN"/>
        </w:rPr>
        <w:t>，</w:t>
      </w:r>
      <w:r>
        <w:rPr>
          <w:b/>
          <w:bCs/>
          <w:color w:val="000000" w:themeColor="text1"/>
          <w:szCs w:val="21"/>
          <w:lang w:val="zh-CN"/>
        </w:rPr>
        <w:t>由</w:t>
      </w:r>
      <w:r>
        <w:rPr>
          <w:b/>
          <w:bCs/>
          <w:color w:val="000000" w:themeColor="text1"/>
          <w:szCs w:val="21"/>
        </w:rPr>
        <w:t>法定代表人</w:t>
      </w:r>
      <w:r>
        <w:rPr>
          <w:b/>
          <w:bCs/>
          <w:color w:val="000000" w:themeColor="text1"/>
          <w:szCs w:val="21"/>
          <w:lang w:val="zh-CN"/>
        </w:rPr>
        <w:t>签字并盖单位公章，</w:t>
      </w:r>
      <w:r>
        <w:rPr>
          <w:b/>
          <w:bCs/>
          <w:color w:val="000000" w:themeColor="text1"/>
          <w:szCs w:val="21"/>
        </w:rPr>
        <w:t>随投标文件一并递交。</w:t>
      </w:r>
    </w:p>
    <w:p w14:paraId="5356C83C">
      <w:pPr>
        <w:widowControl/>
        <w:spacing w:line="360" w:lineRule="auto"/>
        <w:ind w:firstLine="420" w:firstLineChars="200"/>
        <w:rPr>
          <w:color w:val="000000" w:themeColor="text1"/>
          <w:szCs w:val="21"/>
          <w:lang w:val="zh-CN"/>
        </w:rPr>
      </w:pPr>
      <w:r>
        <w:rPr>
          <w:color w:val="000000" w:themeColor="text1"/>
          <w:szCs w:val="21"/>
          <w:lang w:val="zh-CN"/>
        </w:rPr>
        <w:t>在政府采购资格审查环节，供应商只需提供书面《南京市政府采购供应商信用记录表暨信用承诺书》，即可替代以下证明材料：</w:t>
      </w:r>
    </w:p>
    <w:p w14:paraId="434C8E3F">
      <w:pPr>
        <w:widowControl/>
        <w:spacing w:line="360" w:lineRule="auto"/>
        <w:ind w:firstLine="420" w:firstLineChars="200"/>
        <w:rPr>
          <w:color w:val="000000" w:themeColor="text1"/>
          <w:szCs w:val="21"/>
          <w:lang w:val="zh-CN"/>
        </w:rPr>
      </w:pPr>
      <w:r>
        <w:rPr>
          <w:color w:val="000000" w:themeColor="text1"/>
          <w:szCs w:val="21"/>
          <w:lang w:val="zh-CN"/>
        </w:rPr>
        <w:t>（1）符合国家相关规定的财务状况报告；</w:t>
      </w:r>
    </w:p>
    <w:p w14:paraId="6AF9E8AA">
      <w:pPr>
        <w:widowControl/>
        <w:spacing w:line="360" w:lineRule="auto"/>
        <w:ind w:firstLine="420" w:firstLineChars="200"/>
        <w:rPr>
          <w:color w:val="000000" w:themeColor="text1"/>
          <w:szCs w:val="21"/>
          <w:lang w:val="zh-CN"/>
        </w:rPr>
      </w:pPr>
      <w:r>
        <w:rPr>
          <w:color w:val="000000" w:themeColor="text1"/>
          <w:szCs w:val="21"/>
          <w:lang w:val="zh-CN"/>
        </w:rPr>
        <w:t>（2）依法缴纳税收的证明材料；</w:t>
      </w:r>
    </w:p>
    <w:p w14:paraId="105FC389">
      <w:pPr>
        <w:widowControl/>
        <w:spacing w:line="360" w:lineRule="auto"/>
        <w:ind w:firstLine="420" w:firstLineChars="200"/>
        <w:rPr>
          <w:color w:val="000000" w:themeColor="text1"/>
          <w:szCs w:val="21"/>
          <w:lang w:val="zh-CN"/>
        </w:rPr>
      </w:pPr>
      <w:r>
        <w:rPr>
          <w:color w:val="000000" w:themeColor="text1"/>
          <w:szCs w:val="21"/>
          <w:lang w:val="zh-CN"/>
        </w:rPr>
        <w:t>（3）依法缴纳社会保障资金的证明材料；</w:t>
      </w:r>
    </w:p>
    <w:p w14:paraId="44DD2953">
      <w:pPr>
        <w:widowControl/>
        <w:spacing w:line="360" w:lineRule="auto"/>
        <w:ind w:firstLine="420" w:firstLineChars="200"/>
        <w:rPr>
          <w:color w:val="000000" w:themeColor="text1"/>
          <w:szCs w:val="21"/>
          <w:lang w:val="zh-CN"/>
        </w:rPr>
      </w:pPr>
      <w:r>
        <w:rPr>
          <w:color w:val="000000" w:themeColor="text1"/>
          <w:szCs w:val="21"/>
          <w:lang w:val="zh-CN"/>
        </w:rPr>
        <w:t>（4）具备履行政府采购合同所必需的设备和专业技术能力的证明材料；</w:t>
      </w:r>
    </w:p>
    <w:p w14:paraId="738724B9">
      <w:pPr>
        <w:widowControl/>
        <w:spacing w:line="360" w:lineRule="auto"/>
        <w:ind w:firstLine="420" w:firstLineChars="200"/>
        <w:rPr>
          <w:color w:val="000000" w:themeColor="text1"/>
          <w:szCs w:val="21"/>
          <w:lang w:val="zh-CN"/>
        </w:rPr>
      </w:pPr>
      <w:r>
        <w:rPr>
          <w:color w:val="000000" w:themeColor="text1"/>
          <w:szCs w:val="21"/>
          <w:lang w:val="zh-CN"/>
        </w:rPr>
        <w:t>（5）参加政府采购活动前三年内在经营活动中没有重大违法记录的证明材料；</w:t>
      </w:r>
    </w:p>
    <w:p w14:paraId="2298C9AA">
      <w:pPr>
        <w:widowControl/>
        <w:spacing w:line="360" w:lineRule="auto"/>
        <w:ind w:firstLine="420" w:firstLineChars="200"/>
        <w:rPr>
          <w:color w:val="000000" w:themeColor="text1"/>
          <w:szCs w:val="21"/>
          <w:lang w:val="zh-CN"/>
        </w:rPr>
      </w:pPr>
      <w:r>
        <w:rPr>
          <w:color w:val="000000" w:themeColor="text1"/>
          <w:szCs w:val="21"/>
          <w:lang w:val="zh-CN"/>
        </w:rPr>
        <w:t>（6）未被列入失信被执行人、重大税收违法失信主体、政府采购严重违法失信行为记录名单的证明材料。</w:t>
      </w:r>
    </w:p>
    <w:p w14:paraId="5A7D4D5B">
      <w:pPr>
        <w:widowControl/>
        <w:adjustRightInd w:val="0"/>
        <w:snapToGrid w:val="0"/>
        <w:spacing w:line="360" w:lineRule="auto"/>
        <w:ind w:firstLine="420" w:firstLineChars="200"/>
        <w:rPr>
          <w:color w:val="000000" w:themeColor="text1"/>
          <w:szCs w:val="21"/>
          <w:lang w:val="zh-CN"/>
        </w:rPr>
      </w:pPr>
      <w:r>
        <w:rPr>
          <w:color w:val="000000" w:themeColor="text1"/>
          <w:szCs w:val="21"/>
          <w:lang w:val="zh-CN"/>
        </w:rPr>
        <w:t>供应商在中标（成交）后，应按采购文件要求，将上述由信用承诺书替代的证明材料提交采购人或采购代理机构核验。经核验无误后，由采购人或采购代理机构发出中标（成交）通知书。</w:t>
      </w:r>
    </w:p>
    <w:p w14:paraId="140D8AA8">
      <w:pPr>
        <w:widowControl/>
        <w:adjustRightInd w:val="0"/>
        <w:snapToGrid w:val="0"/>
        <w:spacing w:line="360" w:lineRule="auto"/>
        <w:ind w:firstLine="422" w:firstLineChars="200"/>
        <w:rPr>
          <w:b/>
          <w:bCs/>
          <w:color w:val="000000" w:themeColor="text1"/>
          <w:szCs w:val="21"/>
          <w:lang w:val="zh-CN"/>
        </w:rPr>
      </w:pPr>
      <w:r>
        <w:rPr>
          <w:b/>
          <w:bCs/>
          <w:color w:val="000000" w:themeColor="text1"/>
          <w:szCs w:val="21"/>
          <w:lang w:val="zh-CN"/>
        </w:rPr>
        <w:t>供应商涉及以下情形的，不适用信用承诺：</w:t>
      </w:r>
    </w:p>
    <w:p w14:paraId="668D0667">
      <w:pPr>
        <w:widowControl/>
        <w:adjustRightInd w:val="0"/>
        <w:snapToGrid w:val="0"/>
        <w:spacing w:line="360" w:lineRule="auto"/>
        <w:ind w:firstLine="422" w:firstLineChars="200"/>
        <w:rPr>
          <w:b/>
          <w:bCs/>
          <w:color w:val="000000" w:themeColor="text1"/>
          <w:szCs w:val="21"/>
          <w:lang w:val="zh-CN"/>
        </w:rPr>
      </w:pPr>
      <w:r>
        <w:rPr>
          <w:b/>
          <w:bCs/>
          <w:color w:val="000000" w:themeColor="text1"/>
          <w:szCs w:val="21"/>
          <w:lang w:val="zh-CN"/>
        </w:rPr>
        <w:t>（1）供应商被列入严重失信主体名单；</w:t>
      </w:r>
    </w:p>
    <w:p w14:paraId="4B3B802C">
      <w:pPr>
        <w:widowControl/>
        <w:adjustRightInd w:val="0"/>
        <w:snapToGrid w:val="0"/>
        <w:spacing w:line="360" w:lineRule="auto"/>
        <w:ind w:firstLine="422" w:firstLineChars="200"/>
        <w:rPr>
          <w:b/>
          <w:bCs/>
          <w:color w:val="000000" w:themeColor="text1"/>
          <w:szCs w:val="21"/>
          <w:lang w:val="zh-CN"/>
        </w:rPr>
      </w:pPr>
      <w:r>
        <w:rPr>
          <w:b/>
          <w:bCs/>
          <w:color w:val="000000" w:themeColor="text1"/>
          <w:szCs w:val="21"/>
          <w:lang w:val="zh-CN"/>
        </w:rPr>
        <w:t>（2）被相关监管部门作出行政处罚且尚在处罚有效期内；</w:t>
      </w:r>
    </w:p>
    <w:p w14:paraId="44B10142">
      <w:pPr>
        <w:widowControl/>
        <w:adjustRightInd w:val="0"/>
        <w:snapToGrid w:val="0"/>
        <w:spacing w:line="360" w:lineRule="auto"/>
        <w:ind w:firstLine="422" w:firstLineChars="200"/>
        <w:rPr>
          <w:b/>
          <w:bCs/>
          <w:color w:val="000000" w:themeColor="text1"/>
          <w:szCs w:val="21"/>
          <w:lang w:val="zh-CN"/>
        </w:rPr>
      </w:pPr>
      <w:r>
        <w:rPr>
          <w:b/>
          <w:bCs/>
          <w:color w:val="000000" w:themeColor="text1"/>
          <w:szCs w:val="21"/>
          <w:lang w:val="zh-CN"/>
        </w:rPr>
        <w:t>（3）其他法律、行政法规规定的不适用信用承诺的情形。</w:t>
      </w:r>
    </w:p>
    <w:p w14:paraId="558A22AF">
      <w:pPr>
        <w:widowControl/>
        <w:adjustRightInd w:val="0"/>
        <w:snapToGrid w:val="0"/>
        <w:spacing w:line="360" w:lineRule="auto"/>
        <w:ind w:firstLine="422" w:firstLineChars="200"/>
        <w:rPr>
          <w:b/>
          <w:bCs/>
          <w:color w:val="000000" w:themeColor="text1"/>
          <w:szCs w:val="21"/>
          <w:lang w:val="zh-CN"/>
        </w:rPr>
      </w:pPr>
      <w:r>
        <w:rPr>
          <w:b/>
          <w:bCs/>
          <w:color w:val="000000" w:themeColor="text1"/>
          <w:szCs w:val="21"/>
          <w:lang w:val="zh-CN"/>
        </w:rPr>
        <w:t>供应商对信用承诺内容的真实性、合法性、有效性负责。如作出虚假信用承诺，视同为“提供虚假材料谋取中标、成交”的违法行为。</w:t>
      </w:r>
    </w:p>
    <w:p w14:paraId="2F616805">
      <w:pPr>
        <w:pStyle w:val="2"/>
        <w:rPr>
          <w:color w:val="000000" w:themeColor="text1"/>
        </w:rPr>
      </w:pPr>
    </w:p>
    <w:p w14:paraId="46E0567E">
      <w:pPr>
        <w:widowControl/>
        <w:spacing w:line="360" w:lineRule="auto"/>
        <w:rPr>
          <w:rFonts w:hint="eastAsia" w:ascii="宋体" w:hAnsi="宋体" w:cs="宋体"/>
          <w:b/>
          <w:color w:val="000000" w:themeColor="text1"/>
          <w:spacing w:val="8"/>
          <w:kern w:val="0"/>
          <w:sz w:val="24"/>
        </w:rPr>
      </w:pPr>
      <w:r>
        <w:rPr>
          <w:rFonts w:hint="eastAsia" w:ascii="宋体" w:hAnsi="宋体" w:cs="宋体"/>
          <w:b/>
          <w:color w:val="000000" w:themeColor="text1"/>
          <w:spacing w:val="8"/>
          <w:kern w:val="0"/>
          <w:sz w:val="24"/>
        </w:rPr>
        <w:t>七、对本次招标提出询问，请按以下方式联系</w:t>
      </w:r>
    </w:p>
    <w:p w14:paraId="2762EEF9">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7.1采购人信息</w:t>
      </w:r>
    </w:p>
    <w:p w14:paraId="1976A013">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名称：中山陵园管理局</w:t>
      </w:r>
    </w:p>
    <w:p w14:paraId="76E7B5AB">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地 址：南京市玄武区石象路7号</w:t>
      </w:r>
    </w:p>
    <w:p w14:paraId="323146E0">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联系人：李主任</w:t>
      </w:r>
    </w:p>
    <w:p w14:paraId="2778CCA1">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联系电话：025-85769092</w:t>
      </w:r>
    </w:p>
    <w:p w14:paraId="604EFA61">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7.2采购代理机构信息</w:t>
      </w:r>
    </w:p>
    <w:p w14:paraId="50E8366D">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名称：江苏富华工程造价咨询有限公司</w:t>
      </w:r>
    </w:p>
    <w:p w14:paraId="777CCF9B">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地　　址：南京市建邺区嘉陵江东街50号康缘智汇港A栋16楼</w:t>
      </w:r>
    </w:p>
    <w:p w14:paraId="0A356F9D">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联系方式：15295771868</w:t>
      </w:r>
    </w:p>
    <w:p w14:paraId="3F0788B7">
      <w:pPr>
        <w:widowControl/>
        <w:spacing w:line="360" w:lineRule="auto"/>
        <w:ind w:firstLine="363" w:firstLineChars="173"/>
        <w:rPr>
          <w:rFonts w:hint="eastAsia" w:ascii="宋体" w:hAnsi="宋体" w:cs="宋体"/>
          <w:bCs/>
          <w:color w:val="000000" w:themeColor="text1"/>
          <w:szCs w:val="21"/>
        </w:rPr>
      </w:pPr>
      <w:bookmarkStart w:id="6" w:name="_Toc28359021"/>
      <w:bookmarkEnd w:id="6"/>
      <w:bookmarkStart w:id="7" w:name="_Toc35393808"/>
      <w:bookmarkEnd w:id="7"/>
      <w:bookmarkStart w:id="8" w:name="_Toc28359098"/>
      <w:bookmarkEnd w:id="8"/>
      <w:bookmarkStart w:id="9" w:name="_Toc35393639"/>
      <w:bookmarkEnd w:id="9"/>
      <w:r>
        <w:rPr>
          <w:rFonts w:hint="eastAsia" w:ascii="宋体" w:hAnsi="宋体" w:cs="宋体"/>
          <w:bCs/>
          <w:color w:val="000000" w:themeColor="text1"/>
          <w:szCs w:val="21"/>
        </w:rPr>
        <w:t>7.3项目联系方式</w:t>
      </w:r>
    </w:p>
    <w:p w14:paraId="1F14B48A">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项目联系人：陶亮</w:t>
      </w:r>
    </w:p>
    <w:p w14:paraId="785EE6B9">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t>电　　话：15295771868</w:t>
      </w:r>
    </w:p>
    <w:p w14:paraId="6BC64A2E">
      <w:pPr>
        <w:widowControl/>
        <w:spacing w:line="360" w:lineRule="auto"/>
        <w:ind w:firstLine="363" w:firstLineChars="173"/>
        <w:rPr>
          <w:rFonts w:hint="eastAsia" w:ascii="宋体" w:hAnsi="宋体" w:cs="宋体"/>
          <w:bCs/>
          <w:color w:val="000000" w:themeColor="text1"/>
          <w:szCs w:val="21"/>
        </w:rPr>
      </w:pPr>
      <w:r>
        <w:rPr>
          <w:rFonts w:hint="eastAsia" w:ascii="宋体" w:hAnsi="宋体" w:cs="宋体"/>
          <w:bCs/>
          <w:color w:val="000000" w:themeColor="text1"/>
          <w:szCs w:val="21"/>
        </w:rPr>
        <w:br w:type="page"/>
      </w:r>
    </w:p>
    <w:p w14:paraId="3118B408">
      <w:pPr>
        <w:pStyle w:val="3"/>
        <w:spacing w:line="360" w:lineRule="auto"/>
        <w:rPr>
          <w:rFonts w:hint="eastAsia" w:ascii="宋体" w:hAnsi="宋体" w:cs="宋体"/>
          <w:color w:val="000000" w:themeColor="text1"/>
        </w:rPr>
      </w:pPr>
      <w:bookmarkStart w:id="10" w:name="_Toc452625218"/>
      <w:bookmarkStart w:id="11" w:name="_Toc242444305"/>
      <w:r>
        <w:rPr>
          <w:rFonts w:hint="eastAsia" w:ascii="宋体" w:hAnsi="宋体" w:cs="宋体"/>
          <w:color w:val="000000" w:themeColor="text1"/>
        </w:rPr>
        <w:t>投标人须知</w:t>
      </w:r>
      <w:bookmarkEnd w:id="10"/>
      <w:bookmarkEnd w:id="11"/>
    </w:p>
    <w:p w14:paraId="1BBF7159">
      <w:pPr>
        <w:widowControl/>
        <w:shd w:val="clear" w:color="auto" w:fill="FFFFFF"/>
        <w:spacing w:line="360" w:lineRule="auto"/>
        <w:ind w:firstLine="424" w:firstLineChars="201"/>
        <w:rPr>
          <w:rFonts w:hint="eastAsia" w:ascii="宋体" w:hAnsi="宋体" w:cs="宋体"/>
          <w:color w:val="000000" w:themeColor="text1"/>
          <w:kern w:val="0"/>
          <w:szCs w:val="21"/>
        </w:rPr>
      </w:pPr>
      <w:r>
        <w:rPr>
          <w:rFonts w:hint="eastAsia" w:ascii="宋体" w:hAnsi="宋体" w:cs="宋体"/>
          <w:b/>
          <w:bCs/>
          <w:color w:val="000000" w:themeColor="text1"/>
          <w:kern w:val="0"/>
          <w:szCs w:val="21"/>
        </w:rPr>
        <w:t>一、总 则</w:t>
      </w:r>
    </w:p>
    <w:p w14:paraId="1A6C200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1、适用法律</w:t>
      </w:r>
    </w:p>
    <w:p w14:paraId="411564F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1.1本次招标，适用《中华人民共和国政府采购法》（以下简称政府采购法）《中华人民共和国政府采购法实施条例》（以下简称政府采购法实施条例）《政府采购货物和服务招标投标管理办法》等法律、行政法规、部门规章和规范性文件。</w:t>
      </w:r>
    </w:p>
    <w:p w14:paraId="6CCF28F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2、定义</w:t>
      </w:r>
    </w:p>
    <w:p w14:paraId="6262EE9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2.1“采购人”是指依法进行政府采购的国家机关、事业单位、团体组织。</w:t>
      </w:r>
    </w:p>
    <w:p w14:paraId="0867B12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2.2“投标人（供应商）”是指参加投标竞争，并符合招标文件规定资格条件的法人、其他组织或者自然人。</w:t>
      </w:r>
    </w:p>
    <w:p w14:paraId="0D041C0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2.3“采购代理机构”是指集中采购机构和集中采购机构以外的采购代理机构，集中采购机构以外的采购代理机构，是从事采购代理业务的社会中介机构。</w:t>
      </w:r>
    </w:p>
    <w:p w14:paraId="71B32F5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2.4“货物和服务”指本招标文件中所述</w:t>
      </w:r>
      <w:r>
        <w:rPr>
          <w:rFonts w:hint="eastAsia" w:ascii="宋体" w:hAnsi="宋体" w:cs="宋体"/>
          <w:bCs/>
          <w:color w:val="000000" w:themeColor="text1"/>
          <w:kern w:val="0"/>
          <w:szCs w:val="21"/>
        </w:rPr>
        <w:t>产品</w:t>
      </w:r>
      <w:r>
        <w:rPr>
          <w:rFonts w:hint="eastAsia" w:ascii="宋体" w:hAnsi="宋体" w:cs="宋体"/>
          <w:color w:val="000000" w:themeColor="text1"/>
          <w:kern w:val="0"/>
          <w:szCs w:val="21"/>
        </w:rPr>
        <w:t>及相关服务。</w:t>
      </w:r>
    </w:p>
    <w:p w14:paraId="022C532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2.5“用户或使用单位”是指使用货物，接受服务的单位。</w:t>
      </w:r>
    </w:p>
    <w:p w14:paraId="797E051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3、政策功能</w:t>
      </w:r>
    </w:p>
    <w:p w14:paraId="7296E12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3.1政府采购促进中小企业发展，在政府采购活动中，供应商提供的货物、工程或者服务符合《政府采购促进中小企业发展管理办法》（财库〔2020〕46号）的规定的，享受中小企业扶持政策。中小企业参加政府采购活动，应当出具《中小企业声明函》（格式见第六章），否则不得享受相关中小企业扶持政策。（“中小企业划型标准”详见《关于印发中小企业划型标准规定的通知》工信部联企业〔2011〕300号及《国家统计局关于印发&lt;统计上大中小微型企业划分办法（2017）&gt;的通知》国统2017〕213号）。</w:t>
      </w:r>
    </w:p>
    <w:p w14:paraId="2147BDB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3.2政府采购支持监狱和戒毒企业发展政策，监狱和戒毒企业提供的产品和服务在评标时将获得优势，参加投标的监狱和戒毒企业，应当提供由省级以上监狱管理局、戒毒管理局（含新疆生产建设兵团）出具的属于监狱企业的证明文件，监狱和戒毒企业享受政府采购支持政策的要求详见《关于政府采购支持监狱企业发展有关问题的通知》（财库〔2014〕68号）。</w:t>
      </w:r>
    </w:p>
    <w:p w14:paraId="5846637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3.3政府采购促进残疾人就业政策，残疾人福利性单位提供的产品和服务在评标时将获得优势，参加投标的残疾人福利性单位，应当提供《残疾人福利性单位声明函》，残疾人福利性单位享受政府采购支持政策的要求详见《关于促进残疾人就业政府采购政策的通知》（财库〔2017〕141号）。</w:t>
      </w:r>
    </w:p>
    <w:p w14:paraId="1F62660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3.4政府采购节能产品、环境标志产品实施品目清单管理。拟采购产品属于节能产品品目清单规定必须强制采购的，实行强制采购。拟采购产品属于节能产品、环境标志产品品目清单规定优先采购的，在性能、技术、服务等指标同等条件下，实行优先采购，优先采购的评审标准详见本招标文件第三章。参加政府采购活动的节能产品、环境标志产品投标人应当提供国家确定的认证机构出具的、处于有效期之内的节能产品、环境标志产品认证证书。</w:t>
      </w:r>
    </w:p>
    <w:p w14:paraId="1CF020C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3.5强制采购信息安全产品。参加政府采购活动的信息安全产品投标人应当选择经国家认证的信息安全产品投标，并提供由国家信息安全认证中心按国家标准认证颁发的有效认证证书。</w:t>
      </w:r>
    </w:p>
    <w:p w14:paraId="4326927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3.6进口产品政策</w:t>
      </w:r>
    </w:p>
    <w:p w14:paraId="39CEAC96">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（1）除招标公告载明接受进口产品参加外，不允许进口产品参加。进口产品认定依照《财政部关于政府采购进口产品管理有关问题的通知》（财办库〔2008〕248号）的规定。</w:t>
      </w:r>
    </w:p>
    <w:p w14:paraId="48BFD4E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（2）允许进口产品参加的，满足需求的国内产品可以参加。</w:t>
      </w:r>
    </w:p>
    <w:p w14:paraId="025776AA">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（3）允许进口产品参加的，优先采购向我国企业转让技术、与我国企业签订消化吸收再创新方案的投标人的进口产品。</w:t>
      </w:r>
    </w:p>
    <w:p w14:paraId="70701BF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3.7 本国产品支持政策</w:t>
      </w:r>
    </w:p>
    <w:p w14:paraId="17ECD1A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本国产品标准适用于货物，包括政府采购货物项目和服务项目中涉及的货物。政府采购活动涉及本国产品的，投标人应当出具《关于符合本国产品标准的声明函》（格式见第六章），否则不得享受价格评审优惠。本国产品支持政策详见《国务院办公厅关于在政府采购中实施本国产品标准及相关政策的通知》（国办发〔2025〕34号）。</w:t>
      </w:r>
    </w:p>
    <w:p w14:paraId="7332FF9A">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3.8未按要求提供相关材料的，不享受相关政策。</w:t>
      </w:r>
    </w:p>
    <w:p w14:paraId="0684A94A">
      <w:pPr>
        <w:widowControl/>
        <w:shd w:val="clear" w:color="auto" w:fill="FFFFFF"/>
        <w:spacing w:line="360" w:lineRule="auto"/>
        <w:ind w:firstLine="412"/>
        <w:rPr>
          <w:rFonts w:hint="eastAsia" w:ascii="宋体" w:hAnsi="宋体" w:cs="宋体"/>
          <w:color w:val="000000" w:themeColor="text1"/>
          <w:kern w:val="0"/>
          <w:szCs w:val="21"/>
        </w:rPr>
      </w:pPr>
      <w:r>
        <w:rPr>
          <w:rFonts w:hint="eastAsia" w:ascii="宋体" w:hAnsi="宋体" w:cs="宋体"/>
          <w:b/>
          <w:bCs/>
          <w:color w:val="000000" w:themeColor="text1"/>
          <w:kern w:val="0"/>
          <w:szCs w:val="21"/>
        </w:rPr>
        <w:t>二、招标文件构成</w:t>
      </w:r>
    </w:p>
    <w:p w14:paraId="2A5F368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4、招标文件组成</w:t>
      </w:r>
    </w:p>
    <w:p w14:paraId="21BCA1A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4.1招标文件包括以下主要内容：</w:t>
      </w:r>
    </w:p>
    <w:p w14:paraId="5C935D9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（1）招标公告；</w:t>
      </w:r>
    </w:p>
    <w:p w14:paraId="1C7B1BD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（2）投标人须知；</w:t>
      </w:r>
    </w:p>
    <w:p w14:paraId="39E8C03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（3）评标标准；</w:t>
      </w:r>
    </w:p>
    <w:p w14:paraId="3123743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（4）采购需求；</w:t>
      </w:r>
    </w:p>
    <w:p w14:paraId="382D770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（5）合同主要条款及格式；</w:t>
      </w:r>
    </w:p>
    <w:p w14:paraId="433D4C9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（6）投标文件格式及附件。</w:t>
      </w:r>
    </w:p>
    <w:p w14:paraId="21AF59E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如标书制作工具中格式和内容与“南京公共采购信息网/江苏政府采购网/中国政府采购网”发布的招标文件不一致的，以上述网站发布的招标文件为准。</w:t>
      </w:r>
    </w:p>
    <w:p w14:paraId="5F17C23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4.2 招标的最小单位是标段。招标货物数量及技术要求中未分标段的，投标人对要求提供的货物和服务不得部分投标；招标货物数量及技术要求中已经分标段的，可以以标段为单位投标。</w:t>
      </w:r>
    </w:p>
    <w:p w14:paraId="2D836C2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4.3 采购代理机构如果要求投标人按照招标文件规定提交备选投标方案的，投标人可以提交备选方案；否则，备选方案将被拒绝。</w:t>
      </w:r>
    </w:p>
    <w:p w14:paraId="25D93E1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4.4招标文件中要求的产品品牌或型号，是采购人根据项目所要实现的功能推荐的品牌或型号，仅供投标人参考，并不是限制条件。</w:t>
      </w:r>
    </w:p>
    <w:p w14:paraId="1A306A2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5、招标文件的澄清或者修改</w:t>
      </w:r>
    </w:p>
    <w:p w14:paraId="4E651390">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5.1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16AC5A66">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5.2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6D14C1C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5.3 投标人应在提交投标文件截止时间前，关注原公告媒体有关本项目的更正公告，根据更正公告内容自行决定是否需要重新制作和提交投标文件，并承担由此产生的相应责任。</w:t>
      </w:r>
    </w:p>
    <w:p w14:paraId="505B27D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三、投标文件的编制</w:t>
      </w:r>
    </w:p>
    <w:p w14:paraId="54144BA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6、投标文件的语言、计量单位、货币和编制</w:t>
      </w:r>
    </w:p>
    <w:p w14:paraId="29A6483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6.1投标人提交的投标文件、技术文件和资料，包括图纸中的说明，以及投标人与采购代理机构就有关投标的所有来往函电均应使用中文。投标文件中若有英文或其他语言文字的资料，应提供相应的中文翻译资料。对不同文本投标文件的解释发生异议的，以中文文本为准。</w:t>
      </w:r>
    </w:p>
    <w:p w14:paraId="6B2E237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6.2投标人所使用的计量单位应为国家法定计量单位。</w:t>
      </w:r>
    </w:p>
    <w:p w14:paraId="6412E41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6.3投标人应用人民币报价。投标产品如果是进口产品的，应提供人民币与</w:t>
      </w:r>
      <w:r>
        <w:rPr>
          <w:rFonts w:hint="eastAsia" w:ascii="宋体" w:hAnsi="宋体" w:cs="宋体"/>
          <w:b/>
          <w:bCs/>
          <w:color w:val="000000" w:themeColor="text1"/>
          <w:kern w:val="0"/>
          <w:szCs w:val="21"/>
        </w:rPr>
        <w:t>外币之间的汇率。</w:t>
      </w:r>
    </w:p>
    <w:p w14:paraId="43C4529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6.4投标文件应按照招标文件的规定编写并制作目录。</w:t>
      </w:r>
    </w:p>
    <w:p w14:paraId="5DA152B4">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6.5投标人应在投标文件中写清相应的项目编号、项目名称、投标人全称、地址、电话、传真等。</w:t>
      </w:r>
    </w:p>
    <w:p w14:paraId="10EEBA28">
      <w:pPr>
        <w:widowControl/>
        <w:shd w:val="clear" w:color="auto" w:fill="FFFFFF"/>
        <w:spacing w:line="360" w:lineRule="auto"/>
        <w:ind w:firstLine="412"/>
        <w:rPr>
          <w:rFonts w:hint="eastAsia" w:ascii="宋体" w:hAnsi="宋体" w:cs="宋体"/>
          <w:color w:val="000000" w:themeColor="text1"/>
          <w:kern w:val="0"/>
          <w:szCs w:val="21"/>
        </w:rPr>
      </w:pPr>
      <w:r>
        <w:rPr>
          <w:rFonts w:hint="eastAsia" w:ascii="宋体" w:hAnsi="宋体" w:cs="宋体"/>
          <w:bCs/>
          <w:color w:val="000000" w:themeColor="text1"/>
          <w:kern w:val="0"/>
          <w:szCs w:val="21"/>
        </w:rPr>
        <w:t>6.6</w:t>
      </w:r>
      <w:r>
        <w:rPr>
          <w:rFonts w:hint="eastAsia" w:ascii="宋体" w:hAnsi="宋体" w:cs="宋体"/>
          <w:color w:val="000000" w:themeColor="text1"/>
          <w:kern w:val="0"/>
          <w:szCs w:val="21"/>
        </w:rPr>
        <w:t>投标人根据招标文件载明的标的采购项目实际情况，拟在中标后将中标项目的非主体、非关键性工作交由他人完成的，应当在投标文件中载明。</w:t>
      </w:r>
    </w:p>
    <w:p w14:paraId="31684030">
      <w:pPr>
        <w:widowControl/>
        <w:numPr>
          <w:ilvl w:val="0"/>
          <w:numId w:val="4"/>
        </w:numPr>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联合体投标（本项目不接受）</w:t>
      </w:r>
    </w:p>
    <w:p w14:paraId="077338FF">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7.1 两个以上的自然人、法人或者其他组织可以组成一个联合体，以一个投标人的身份共同参加政府采购。</w:t>
      </w:r>
    </w:p>
    <w:p w14:paraId="6A5E5405">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7.2 联合体中有同类资质的投标人按照联合体分工承担相同工作的，按照资质等级较低的投标人确定资质等级。</w:t>
      </w:r>
    </w:p>
    <w:p w14:paraId="3FCA254C">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7.3 联合体各方之间应当签订联合体协议，明确约定联合体各方承担的工作和相应的责任，并将联合体协议连同投标文件一同提交。</w:t>
      </w:r>
    </w:p>
    <w:p w14:paraId="4905BA83">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7.4 以联合体形式参加政府采购活动的，联合体各方不得再单独参加或者与其他投标人另外组成联合体参加同一合同项下的政府采购活动。</w:t>
      </w:r>
    </w:p>
    <w:p w14:paraId="7BD10EA0">
      <w:pPr>
        <w:widowControl/>
        <w:shd w:val="clear" w:color="auto" w:fill="FFFFFF"/>
        <w:spacing w:line="360" w:lineRule="auto"/>
        <w:ind w:firstLine="412"/>
        <w:rPr>
          <w:rFonts w:hint="eastAsia" w:ascii="宋体" w:hAnsi="宋体" w:cs="宋体"/>
          <w:color w:val="000000" w:themeColor="text1"/>
          <w:kern w:val="0"/>
          <w:szCs w:val="21"/>
        </w:rPr>
      </w:pPr>
      <w:r>
        <w:rPr>
          <w:rFonts w:hint="eastAsia" w:ascii="宋体" w:hAnsi="宋体" w:cs="宋体"/>
          <w:b/>
          <w:bCs/>
          <w:color w:val="000000" w:themeColor="text1"/>
          <w:kern w:val="0"/>
          <w:szCs w:val="21"/>
        </w:rPr>
        <w:t>8、投标文件的组成</w:t>
      </w:r>
    </w:p>
    <w:p w14:paraId="1E2B0491">
      <w:pPr>
        <w:widowControl/>
        <w:shd w:val="clear" w:color="auto" w:fill="FFFFFF"/>
        <w:spacing w:line="360" w:lineRule="auto"/>
        <w:ind w:firstLine="420"/>
        <w:jc w:val="left"/>
        <w:rPr>
          <w:rFonts w:hint="eastAsia" w:ascii="宋体" w:hAnsi="宋体" w:cs="宋体"/>
          <w:b/>
          <w:color w:val="000000" w:themeColor="text1"/>
          <w:kern w:val="0"/>
          <w:szCs w:val="21"/>
        </w:rPr>
      </w:pPr>
      <w:r>
        <w:rPr>
          <w:rFonts w:hint="eastAsia" w:ascii="宋体" w:hAnsi="宋体" w:cs="宋体"/>
          <w:color w:val="000000" w:themeColor="text1"/>
          <w:kern w:val="0"/>
          <w:szCs w:val="21"/>
        </w:rPr>
        <w:t>8.1投标人应当根据招标文件要求编制投标文件，投标文件应对招标文件提出的要求和条件作出实质性响应，并在《商务条款偏离表》和《采购需求偏离表》等处逐条标明满足与否。</w:t>
      </w:r>
      <w:r>
        <w:rPr>
          <w:rFonts w:hint="eastAsia" w:ascii="宋体" w:hAnsi="宋体" w:cs="宋体"/>
          <w:b/>
          <w:color w:val="000000" w:themeColor="text1"/>
          <w:kern w:val="0"/>
          <w:szCs w:val="21"/>
        </w:rPr>
        <w:t>对带</w:t>
      </w:r>
      <w:r>
        <w:rPr>
          <w:rFonts w:hint="eastAsia" w:ascii="宋体" w:hAnsi="宋体" w:cs="宋体"/>
          <w:b/>
          <w:bCs/>
          <w:color w:val="000000" w:themeColor="text1"/>
          <w:kern w:val="0"/>
          <w:szCs w:val="21"/>
        </w:rPr>
        <w:t>星号（“</w:t>
      </w:r>
      <w:r>
        <w:rPr>
          <w:rFonts w:hint="eastAsia" w:ascii="宋体" w:hAnsi="宋体" w:cs="宋体"/>
          <w:b/>
          <w:bCs/>
          <w:color w:val="000000" w:themeColor="text1"/>
        </w:rPr>
        <w:t>*</w:t>
      </w:r>
      <w:r>
        <w:rPr>
          <w:rFonts w:hint="eastAsia" w:ascii="宋体" w:hAnsi="宋体" w:cs="宋体"/>
          <w:b/>
          <w:bCs/>
          <w:color w:val="000000" w:themeColor="text1"/>
          <w:kern w:val="0"/>
          <w:szCs w:val="21"/>
        </w:rPr>
        <w:t>”）的技术条款必须在投标文件中提供技术支持资料（如白皮书、彩页、手册、检测报告等），未提供技术支持资料的，视为未对招标文件实质性要求作出响应，评审时不予认可。</w:t>
      </w:r>
    </w:p>
    <w:p w14:paraId="735AECA4">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8.2 投标文件由商务、技术、价格以及其他部分内容组成。投标文件目录及有关格式按招标文件“第六章 投标文件格式及附件”的要求编制。</w:t>
      </w:r>
    </w:p>
    <w:p w14:paraId="023531B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9、投标文件的商务内容</w:t>
      </w:r>
    </w:p>
    <w:p w14:paraId="4DC1D156">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9.1商务部分内容是证明投标人有资格参加投标和中标后有能力履行合同的文件，这些文件应能满足招标的要求，包括但不限于下列文件：</w:t>
      </w:r>
    </w:p>
    <w:p w14:paraId="1F88BA7F">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（1）投标函（投标申请及声明）</w:t>
      </w:r>
      <w:r>
        <w:rPr>
          <w:rFonts w:hint="eastAsia" w:ascii="宋体" w:hAnsi="宋体" w:cs="宋体"/>
          <w:bCs/>
          <w:color w:val="000000" w:themeColor="text1"/>
          <w:szCs w:val="21"/>
        </w:rPr>
        <w:t>（</w:t>
      </w:r>
      <w:r>
        <w:rPr>
          <w:rFonts w:hint="eastAsia" w:ascii="宋体" w:hAnsi="宋体" w:cs="宋体"/>
          <w:b/>
          <w:bCs/>
          <w:color w:val="000000" w:themeColor="text1"/>
          <w:szCs w:val="21"/>
        </w:rPr>
        <w:t>格式见第六章</w:t>
      </w:r>
      <w:r>
        <w:rPr>
          <w:rFonts w:hint="eastAsia" w:ascii="宋体" w:hAnsi="宋体" w:cs="宋体"/>
          <w:bCs/>
          <w:color w:val="000000" w:themeColor="text1"/>
          <w:szCs w:val="21"/>
        </w:rPr>
        <w:t>）</w:t>
      </w:r>
      <w:r>
        <w:rPr>
          <w:rFonts w:hint="eastAsia" w:ascii="宋体" w:hAnsi="宋体" w:cs="宋体"/>
          <w:color w:val="000000" w:themeColor="text1"/>
          <w:kern w:val="0"/>
          <w:szCs w:val="21"/>
        </w:rPr>
        <w:t>；</w:t>
      </w:r>
    </w:p>
    <w:p w14:paraId="5B6753FB">
      <w:pPr>
        <w:widowControl/>
        <w:shd w:val="clear" w:color="auto" w:fill="FFFFFF"/>
        <w:spacing w:line="360" w:lineRule="auto"/>
        <w:ind w:firstLine="420" w:firstLineChars="20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（2）法人授权书</w:t>
      </w:r>
      <w:r>
        <w:rPr>
          <w:rFonts w:hint="eastAsia" w:ascii="宋体" w:hAnsi="宋体" w:cs="宋体"/>
          <w:bCs/>
          <w:color w:val="000000" w:themeColor="text1"/>
          <w:szCs w:val="21"/>
        </w:rPr>
        <w:t>（</w:t>
      </w:r>
      <w:r>
        <w:rPr>
          <w:rFonts w:hint="eastAsia" w:ascii="宋体" w:hAnsi="宋体" w:cs="宋体"/>
          <w:b/>
          <w:bCs/>
          <w:color w:val="000000" w:themeColor="text1"/>
          <w:szCs w:val="21"/>
        </w:rPr>
        <w:t>格式见第六章</w:t>
      </w:r>
      <w:r>
        <w:rPr>
          <w:rFonts w:hint="eastAsia" w:ascii="宋体" w:hAnsi="宋体" w:cs="宋体"/>
          <w:bCs/>
          <w:color w:val="000000" w:themeColor="text1"/>
          <w:szCs w:val="21"/>
        </w:rPr>
        <w:t>）</w:t>
      </w:r>
      <w:r>
        <w:rPr>
          <w:rFonts w:hint="eastAsia" w:ascii="宋体" w:hAnsi="宋体" w:cs="宋体"/>
          <w:color w:val="000000" w:themeColor="text1"/>
          <w:kern w:val="0"/>
          <w:szCs w:val="21"/>
        </w:rPr>
        <w:t>；</w:t>
      </w:r>
    </w:p>
    <w:p w14:paraId="260DA6B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（3）投标人资格资信证明文件：</w:t>
      </w:r>
    </w:p>
    <w:p w14:paraId="74C18ED9">
      <w:pPr>
        <w:numPr>
          <w:ilvl w:val="1"/>
          <w:numId w:val="5"/>
        </w:numPr>
        <w:tabs>
          <w:tab w:val="left" w:pos="840"/>
        </w:tabs>
        <w:spacing w:line="360" w:lineRule="auto"/>
        <w:ind w:left="0" w:firstLine="367" w:firstLineChars="175"/>
        <w:rPr>
          <w:rFonts w:hint="eastAsia" w:ascii="宋体" w:hAnsi="宋体" w:cs="宋体"/>
          <w:bCs/>
          <w:color w:val="000000" w:themeColor="text1"/>
          <w:szCs w:val="21"/>
        </w:rPr>
      </w:pPr>
      <w:r>
        <w:rPr>
          <w:rFonts w:hint="eastAsia" w:ascii="宋体" w:hAnsi="宋体" w:cs="宋体"/>
          <w:bCs/>
          <w:color w:val="000000" w:themeColor="text1"/>
          <w:szCs w:val="21"/>
        </w:rPr>
        <w:t>第一章招标公告中 2.1《中华人民共和国政府采购法》规定的资格条件证明文件；</w:t>
      </w:r>
    </w:p>
    <w:p w14:paraId="409208E7">
      <w:pPr>
        <w:numPr>
          <w:ilvl w:val="1"/>
          <w:numId w:val="5"/>
        </w:numPr>
        <w:tabs>
          <w:tab w:val="left" w:pos="840"/>
        </w:tabs>
        <w:spacing w:line="360" w:lineRule="auto"/>
        <w:ind w:left="0" w:firstLine="367" w:firstLineChars="175"/>
        <w:rPr>
          <w:rFonts w:hint="eastAsia" w:ascii="宋体" w:hAnsi="宋体" w:cs="宋体"/>
          <w:bCs/>
          <w:color w:val="000000" w:themeColor="text1"/>
          <w:szCs w:val="21"/>
        </w:rPr>
      </w:pPr>
      <w:r>
        <w:rPr>
          <w:rFonts w:hint="eastAsia" w:ascii="宋体" w:hAnsi="宋体" w:cs="宋体"/>
          <w:bCs/>
          <w:color w:val="000000" w:themeColor="text1"/>
          <w:szCs w:val="21"/>
        </w:rPr>
        <w:t>第一章招标公告中 2.2</w:t>
      </w:r>
      <w:r>
        <w:rPr>
          <w:rFonts w:hint="eastAsia" w:ascii="宋体" w:hAnsi="宋体" w:cs="宋体"/>
          <w:color w:val="000000" w:themeColor="text1"/>
          <w:spacing w:val="8"/>
          <w:kern w:val="0"/>
          <w:szCs w:val="21"/>
        </w:rPr>
        <w:t>落实政府采购政策需满足的资格要求；</w:t>
      </w:r>
    </w:p>
    <w:p w14:paraId="3D6C5950">
      <w:pPr>
        <w:numPr>
          <w:ilvl w:val="1"/>
          <w:numId w:val="5"/>
        </w:numPr>
        <w:tabs>
          <w:tab w:val="left" w:pos="840"/>
        </w:tabs>
        <w:spacing w:line="360" w:lineRule="auto"/>
        <w:ind w:left="0" w:firstLine="367" w:firstLineChars="175"/>
        <w:rPr>
          <w:rFonts w:hint="eastAsia" w:ascii="宋体" w:hAnsi="宋体" w:cs="宋体"/>
          <w:bCs/>
          <w:color w:val="000000" w:themeColor="text1"/>
          <w:szCs w:val="21"/>
        </w:rPr>
      </w:pPr>
      <w:r>
        <w:rPr>
          <w:rFonts w:hint="eastAsia" w:ascii="宋体" w:hAnsi="宋体" w:cs="宋体"/>
          <w:bCs/>
          <w:color w:val="000000" w:themeColor="text1"/>
          <w:szCs w:val="21"/>
        </w:rPr>
        <w:t>第一章招标公告中 2.3 采购人根据采购项目的特殊要求规定的特定条件证明文件。</w:t>
      </w:r>
    </w:p>
    <w:p w14:paraId="00AB3246">
      <w:pPr>
        <w:widowControl/>
        <w:shd w:val="clear" w:color="auto" w:fill="FFFFFF"/>
        <w:spacing w:line="360" w:lineRule="auto"/>
        <w:ind w:firstLine="420" w:firstLineChars="20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（4）开标一览表及附表</w:t>
      </w:r>
      <w:r>
        <w:rPr>
          <w:rFonts w:hint="eastAsia" w:ascii="宋体" w:hAnsi="宋体" w:cs="宋体"/>
          <w:bCs/>
          <w:color w:val="000000" w:themeColor="text1"/>
          <w:szCs w:val="21"/>
        </w:rPr>
        <w:t>（</w:t>
      </w:r>
      <w:r>
        <w:rPr>
          <w:rFonts w:hint="eastAsia" w:ascii="宋体" w:hAnsi="宋体" w:cs="宋体"/>
          <w:b/>
          <w:bCs/>
          <w:color w:val="000000" w:themeColor="text1"/>
          <w:szCs w:val="21"/>
        </w:rPr>
        <w:t>格式见第六章</w:t>
      </w:r>
      <w:r>
        <w:rPr>
          <w:rFonts w:hint="eastAsia" w:ascii="宋体" w:hAnsi="宋体" w:cs="宋体"/>
          <w:bCs/>
          <w:color w:val="000000" w:themeColor="text1"/>
          <w:szCs w:val="21"/>
        </w:rPr>
        <w:t>）；</w:t>
      </w:r>
    </w:p>
    <w:p w14:paraId="42B46399">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（5）《南京市政府采购供应商信用记录表暨信用承诺书》</w:t>
      </w:r>
      <w:r>
        <w:rPr>
          <w:rFonts w:hint="eastAsia" w:ascii="宋体" w:hAnsi="宋体" w:cs="宋体"/>
          <w:b/>
          <w:color w:val="000000" w:themeColor="text1"/>
          <w:szCs w:val="21"/>
          <w:lang w:val="zh-CN"/>
        </w:rPr>
        <w:t>；</w:t>
      </w:r>
    </w:p>
    <w:p w14:paraId="1D5DB8F4">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（6）《商务条款偏离表》；</w:t>
      </w:r>
    </w:p>
    <w:p w14:paraId="2F8D3BD0">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（7）第三章评标标准中对应的所需证明材料（如有自行添加）；</w:t>
      </w:r>
    </w:p>
    <w:p w14:paraId="583C65DD">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（8）要求采购人提供的配合（如有自拟并自行添加）；</w:t>
      </w:r>
    </w:p>
    <w:p w14:paraId="201CBE2E">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（9）其他（投标人认为有必要提供的声明和文件，如有，自行拟定并添加）。</w:t>
      </w:r>
    </w:p>
    <w:p w14:paraId="09B8BDF6">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b/>
          <w:bCs/>
          <w:color w:val="000000" w:themeColor="text1"/>
          <w:kern w:val="0"/>
          <w:szCs w:val="21"/>
        </w:rPr>
        <w:t>10、投标文件的技术内容</w:t>
      </w:r>
    </w:p>
    <w:p w14:paraId="0F5C3247">
      <w:pPr>
        <w:widowControl/>
        <w:adjustRightInd w:val="0"/>
        <w:spacing w:line="360" w:lineRule="auto"/>
        <w:ind w:firstLine="420"/>
        <w:jc w:val="left"/>
        <w:rPr>
          <w:rFonts w:hint="eastAsia" w:ascii="宋体" w:hAnsi="宋体" w:cs="宋体"/>
          <w:color w:val="000000" w:themeColor="text1"/>
          <w:szCs w:val="21"/>
          <w:lang w:val="zh-CN"/>
        </w:rPr>
      </w:pPr>
      <w:r>
        <w:rPr>
          <w:rFonts w:hint="eastAsia" w:ascii="宋体" w:hAnsi="宋体" w:cs="宋体"/>
          <w:color w:val="000000" w:themeColor="text1"/>
          <w:szCs w:val="21"/>
          <w:lang w:val="zh-CN"/>
        </w:rPr>
        <w:t>技术部分</w:t>
      </w:r>
      <w:r>
        <w:rPr>
          <w:rFonts w:hint="eastAsia" w:ascii="宋体" w:hAnsi="宋体" w:cs="宋体"/>
          <w:color w:val="000000" w:themeColor="text1"/>
          <w:kern w:val="0"/>
          <w:szCs w:val="21"/>
        </w:rPr>
        <w:t>内容</w:t>
      </w:r>
      <w:r>
        <w:rPr>
          <w:rFonts w:hint="eastAsia" w:ascii="宋体" w:hAnsi="宋体" w:cs="宋体"/>
          <w:color w:val="000000" w:themeColor="text1"/>
          <w:szCs w:val="21"/>
          <w:lang w:val="zh-CN"/>
        </w:rPr>
        <w:t>是证明</w:t>
      </w:r>
      <w:r>
        <w:rPr>
          <w:rFonts w:hint="eastAsia" w:ascii="宋体" w:hAnsi="宋体" w:cs="宋体"/>
          <w:color w:val="000000" w:themeColor="text1"/>
          <w:szCs w:val="21"/>
        </w:rPr>
        <w:t>投标人提供的货物和服务是合格的、并符合招标文件要求的证明文件，以及</w:t>
      </w:r>
      <w:r>
        <w:rPr>
          <w:rFonts w:hint="eastAsia" w:ascii="宋体" w:hAnsi="宋体" w:cs="宋体"/>
          <w:color w:val="000000" w:themeColor="text1"/>
          <w:szCs w:val="21"/>
          <w:lang w:val="zh-CN"/>
        </w:rPr>
        <w:t>对货物和服务的详细说明，这些文件可以是文字资料、图纸、数据</w:t>
      </w:r>
      <w:r>
        <w:rPr>
          <w:rFonts w:hint="eastAsia" w:ascii="宋体" w:hAnsi="宋体" w:cs="宋体"/>
          <w:color w:val="000000" w:themeColor="text1"/>
          <w:szCs w:val="21"/>
        </w:rPr>
        <w:t>或其他证明文件</w:t>
      </w:r>
      <w:r>
        <w:rPr>
          <w:rFonts w:hint="eastAsia" w:ascii="宋体" w:hAnsi="宋体" w:cs="宋体"/>
          <w:color w:val="000000" w:themeColor="text1"/>
          <w:szCs w:val="21"/>
          <w:lang w:val="zh-CN"/>
        </w:rPr>
        <w:t>等。提供的货物和服务如与招标文件要求有不符之处，应说明其差别之所在。包括但不限于下列文件：</w:t>
      </w:r>
    </w:p>
    <w:p w14:paraId="5F019233">
      <w:pPr>
        <w:widowControl/>
        <w:adjustRightInd w:val="0"/>
        <w:spacing w:line="360" w:lineRule="auto"/>
        <w:ind w:firstLine="420"/>
        <w:jc w:val="left"/>
        <w:rPr>
          <w:rFonts w:hint="eastAsia" w:ascii="宋体" w:hAnsi="宋体" w:cs="宋体"/>
          <w:color w:val="000000" w:themeColor="text1"/>
          <w:kern w:val="0"/>
          <w:szCs w:val="21"/>
          <w:lang w:val="zh-CN"/>
        </w:rPr>
      </w:pPr>
      <w:r>
        <w:rPr>
          <w:rFonts w:hint="eastAsia" w:ascii="宋体" w:hAnsi="宋体" w:cs="宋体"/>
          <w:color w:val="000000" w:themeColor="text1"/>
          <w:kern w:val="0"/>
          <w:szCs w:val="21"/>
          <w:lang w:val="zh-CN"/>
        </w:rPr>
        <w:t>（1）技术说明或服务方案；</w:t>
      </w:r>
    </w:p>
    <w:p w14:paraId="5A52A882">
      <w:pPr>
        <w:widowControl/>
        <w:adjustRightInd w:val="0"/>
        <w:spacing w:line="360" w:lineRule="auto"/>
        <w:ind w:firstLine="420"/>
        <w:jc w:val="left"/>
        <w:rPr>
          <w:rFonts w:hint="eastAsia" w:ascii="宋体" w:hAnsi="宋体" w:cs="宋体"/>
          <w:color w:val="000000" w:themeColor="text1"/>
          <w:kern w:val="0"/>
          <w:szCs w:val="21"/>
          <w:lang w:val="zh-CN"/>
        </w:rPr>
      </w:pPr>
      <w:r>
        <w:rPr>
          <w:rFonts w:hint="eastAsia" w:ascii="宋体" w:hAnsi="宋体" w:cs="宋体"/>
          <w:color w:val="000000" w:themeColor="text1"/>
          <w:kern w:val="0"/>
          <w:szCs w:val="21"/>
          <w:lang w:val="zh-CN"/>
        </w:rPr>
        <w:t>（2）《采购需求偏离表》；</w:t>
      </w:r>
    </w:p>
    <w:p w14:paraId="30177857">
      <w:pPr>
        <w:widowControl/>
        <w:adjustRightInd w:val="0"/>
        <w:spacing w:line="360" w:lineRule="auto"/>
        <w:ind w:firstLine="420"/>
        <w:jc w:val="left"/>
        <w:rPr>
          <w:rFonts w:hint="eastAsia" w:ascii="宋体" w:hAnsi="宋体" w:cs="宋体"/>
          <w:color w:val="000000" w:themeColor="text1"/>
          <w:kern w:val="0"/>
          <w:szCs w:val="21"/>
          <w:lang w:val="zh-CN"/>
        </w:rPr>
      </w:pPr>
      <w:r>
        <w:rPr>
          <w:rFonts w:hint="eastAsia" w:ascii="宋体" w:hAnsi="宋体" w:cs="宋体"/>
          <w:color w:val="000000" w:themeColor="text1"/>
          <w:kern w:val="0"/>
          <w:szCs w:val="21"/>
          <w:lang w:val="zh-CN"/>
        </w:rPr>
        <w:t>（3）服务承诺；</w:t>
      </w:r>
    </w:p>
    <w:p w14:paraId="68AFBC6C">
      <w:pPr>
        <w:widowControl/>
        <w:adjustRightInd w:val="0"/>
        <w:spacing w:line="360" w:lineRule="auto"/>
        <w:ind w:firstLine="420"/>
        <w:jc w:val="left"/>
        <w:rPr>
          <w:rFonts w:hint="eastAsia" w:ascii="宋体" w:hAnsi="宋体" w:cs="宋体"/>
          <w:color w:val="000000" w:themeColor="text1"/>
          <w:kern w:val="0"/>
          <w:szCs w:val="21"/>
          <w:lang w:val="zh-CN"/>
        </w:rPr>
      </w:pPr>
      <w:r>
        <w:rPr>
          <w:rFonts w:hint="eastAsia" w:ascii="宋体" w:hAnsi="宋体" w:cs="宋体"/>
          <w:color w:val="000000" w:themeColor="text1"/>
          <w:kern w:val="0"/>
          <w:szCs w:val="21"/>
          <w:lang w:val="zh-CN"/>
        </w:rPr>
        <w:t>（4）投标人认为需要提供的其他技术资料。</w:t>
      </w:r>
    </w:p>
    <w:p w14:paraId="38DC5EB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11、投标文件的价格内容</w:t>
      </w:r>
    </w:p>
    <w:p w14:paraId="792B5AE3">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11.1价格部分内容是对采购标的价格构成的说明，招标文件如无特别说明，每一项货物及服务仅接受一个价格。</w:t>
      </w:r>
    </w:p>
    <w:p w14:paraId="0F4ABBB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11.2报价应包含为履行本项目合同项下所有义务的全部含税费用（包括但不限于</w:t>
      </w:r>
      <w:r>
        <w:rPr>
          <w:rFonts w:hint="eastAsia" w:ascii="宋体" w:hAnsi="宋体" w:cs="宋体"/>
          <w:color w:val="000000" w:themeColor="text1"/>
          <w:szCs w:val="21"/>
        </w:rPr>
        <w:t>货物设计、制造、包装、仓储、运输装卸、保险、安装、调试及其材料及验收合格之前保管及保修期内备品备件、专用工具、伴随服务、技术图纸资料、人员培训发生的所有含税费用、支付给员工的工资和国家强制缴纳的各种社会保障资金</w:t>
      </w:r>
      <w:r>
        <w:rPr>
          <w:rFonts w:hint="eastAsia" w:ascii="宋体" w:hAnsi="宋体" w:cs="宋体"/>
          <w:color w:val="000000" w:themeColor="text1"/>
          <w:kern w:val="0"/>
          <w:szCs w:val="21"/>
        </w:rPr>
        <w:t>）</w:t>
      </w:r>
      <w:r>
        <w:rPr>
          <w:rFonts w:hint="eastAsia" w:ascii="宋体" w:hAnsi="宋体" w:cs="宋体"/>
          <w:color w:val="000000" w:themeColor="text1"/>
          <w:kern w:val="0"/>
          <w:szCs w:val="21"/>
          <w:lang w:val="zh-CN"/>
        </w:rPr>
        <w:t>，</w:t>
      </w:r>
      <w:r>
        <w:rPr>
          <w:rFonts w:hint="eastAsia" w:ascii="宋体" w:hAnsi="宋体" w:cs="宋体"/>
          <w:bCs/>
          <w:color w:val="000000" w:themeColor="text1"/>
          <w:szCs w:val="21"/>
        </w:rPr>
        <w:t>以</w:t>
      </w:r>
      <w:r>
        <w:rPr>
          <w:rFonts w:hint="eastAsia" w:ascii="宋体" w:hAnsi="宋体" w:cs="宋体"/>
          <w:color w:val="000000" w:themeColor="text1"/>
          <w:szCs w:val="21"/>
        </w:rPr>
        <w:t>及投标人认为需要的其他费用等</w:t>
      </w:r>
      <w:r>
        <w:rPr>
          <w:rFonts w:hint="eastAsia" w:ascii="宋体" w:hAnsi="宋体" w:cs="宋体"/>
          <w:b/>
          <w:color w:val="000000" w:themeColor="text1"/>
          <w:szCs w:val="21"/>
        </w:rPr>
        <w:t>。</w:t>
      </w:r>
    </w:p>
    <w:p w14:paraId="410F274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11.3投标人的任何错漏、优惠、竞争性报价不得作为减轻责任、减少服务、增加收费、降低质量的理由。</w:t>
      </w:r>
    </w:p>
    <w:p w14:paraId="7D62AE8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11.4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w:t>
      </w:r>
      <w:r>
        <w:rPr>
          <w:rFonts w:hint="eastAsia" w:ascii="宋体" w:hAnsi="宋体" w:cs="宋体"/>
          <w:b/>
          <w:bCs/>
          <w:color w:val="000000" w:themeColor="text1"/>
          <w:kern w:val="0"/>
          <w:szCs w:val="21"/>
        </w:rPr>
        <w:t>无效投标处理</w:t>
      </w:r>
      <w:r>
        <w:rPr>
          <w:rFonts w:hint="eastAsia" w:ascii="宋体" w:hAnsi="宋体" w:cs="宋体"/>
          <w:color w:val="000000" w:themeColor="text1"/>
          <w:kern w:val="0"/>
          <w:szCs w:val="21"/>
        </w:rPr>
        <w:t>。</w:t>
      </w:r>
    </w:p>
    <w:p w14:paraId="4DCF364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11.5 投标人应在《开标一览表》《分项报价表》等标明投标货物和服务的单价、总价以及分项报价等。</w:t>
      </w:r>
    </w:p>
    <w:p w14:paraId="21633B82">
      <w:pPr>
        <w:widowControl/>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11.6本项目预算为：详见第一章</w:t>
      </w:r>
      <w:r>
        <w:rPr>
          <w:rFonts w:hint="eastAsia" w:ascii="宋体" w:hAnsi="宋体" w:cs="宋体"/>
          <w:bCs/>
          <w:color w:val="000000" w:themeColor="text1"/>
          <w:kern w:val="0"/>
          <w:szCs w:val="21"/>
        </w:rPr>
        <w:t>。</w:t>
      </w:r>
    </w:p>
    <w:p w14:paraId="76EEB6A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12、投标文件的其他部分</w:t>
      </w:r>
    </w:p>
    <w:p w14:paraId="3EE208F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12.1 其他部分由投标人根据编制投标文件需要提供的其他相关文件组成。</w:t>
      </w:r>
    </w:p>
    <w:p w14:paraId="008000DF">
      <w:pPr>
        <w:autoSpaceDE w:val="0"/>
        <w:autoSpaceDN w:val="0"/>
        <w:spacing w:line="360" w:lineRule="auto"/>
        <w:ind w:firstLine="420"/>
        <w:rPr>
          <w:rFonts w:ascii="Arial" w:hAnsi="Arial"/>
          <w:color w:val="000000" w:themeColor="text1"/>
          <w:szCs w:val="21"/>
        </w:rPr>
      </w:pPr>
      <w:r>
        <w:rPr>
          <w:rFonts w:hint="eastAsia" w:ascii="宋体" w:hAnsi="宋体" w:cs="宋体"/>
          <w:color w:val="000000" w:themeColor="text1"/>
          <w:kern w:val="0"/>
          <w:szCs w:val="21"/>
        </w:rPr>
        <w:t>12.2</w:t>
      </w:r>
      <w:r>
        <w:rPr>
          <w:rFonts w:hint="eastAsia" w:ascii="Arial" w:hAnsi="Arial"/>
          <w:color w:val="000000" w:themeColor="text1"/>
          <w:szCs w:val="21"/>
          <w:lang w:val="zh-CN"/>
        </w:rPr>
        <w:t>如标书制作工具中格式和内容与“南京公共采购信息网、江苏政府采购网、中国政府采购网”发布的</w:t>
      </w:r>
      <w:r>
        <w:rPr>
          <w:rFonts w:hint="eastAsia" w:ascii="Arial" w:hAnsi="Arial"/>
          <w:color w:val="000000" w:themeColor="text1"/>
          <w:szCs w:val="21"/>
        </w:rPr>
        <w:t>采购</w:t>
      </w:r>
      <w:r>
        <w:rPr>
          <w:rFonts w:hint="eastAsia" w:ascii="Arial" w:hAnsi="Arial"/>
          <w:color w:val="000000" w:themeColor="text1"/>
          <w:szCs w:val="21"/>
          <w:lang w:val="zh-CN"/>
        </w:rPr>
        <w:t>文件不一致，以</w:t>
      </w:r>
      <w:r>
        <w:rPr>
          <w:rFonts w:hint="eastAsia" w:ascii="Arial" w:hAnsi="Arial"/>
          <w:color w:val="000000" w:themeColor="text1"/>
          <w:szCs w:val="21"/>
        </w:rPr>
        <w:t>上述网站</w:t>
      </w:r>
      <w:r>
        <w:rPr>
          <w:rFonts w:hint="eastAsia" w:ascii="Arial" w:hAnsi="Arial"/>
          <w:color w:val="000000" w:themeColor="text1"/>
          <w:szCs w:val="21"/>
          <w:lang w:val="zh-CN"/>
        </w:rPr>
        <w:t>发布的</w:t>
      </w:r>
      <w:r>
        <w:rPr>
          <w:rFonts w:hint="eastAsia" w:ascii="Arial" w:hAnsi="Arial"/>
          <w:color w:val="000000" w:themeColor="text1"/>
          <w:szCs w:val="21"/>
        </w:rPr>
        <w:t>采购</w:t>
      </w:r>
      <w:r>
        <w:rPr>
          <w:rFonts w:hint="eastAsia" w:ascii="Arial" w:hAnsi="Arial"/>
          <w:color w:val="000000" w:themeColor="text1"/>
          <w:szCs w:val="21"/>
          <w:lang w:val="zh-CN"/>
        </w:rPr>
        <w:t>文件为准。</w:t>
      </w:r>
    </w:p>
    <w:p w14:paraId="49AE2382">
      <w:pPr>
        <w:widowControl/>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13、投标保证金（本项目无需缴纳投标保证金）</w:t>
      </w:r>
    </w:p>
    <w:p w14:paraId="38950A6B">
      <w:pPr>
        <w:widowControl/>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14、投标有效期</w:t>
      </w:r>
    </w:p>
    <w:p w14:paraId="48BD8828">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14.1 自开标之日起</w:t>
      </w:r>
      <w:r>
        <w:rPr>
          <w:rFonts w:hint="eastAsia" w:ascii="宋体" w:hAnsi="宋体" w:cs="宋体"/>
          <w:b/>
          <w:color w:val="000000" w:themeColor="text1"/>
          <w:kern w:val="0"/>
          <w:szCs w:val="21"/>
        </w:rPr>
        <w:t>90</w:t>
      </w:r>
      <w:r>
        <w:rPr>
          <w:rFonts w:hint="eastAsia" w:ascii="宋体" w:hAnsi="宋体" w:cs="宋体"/>
          <w:color w:val="000000" w:themeColor="text1"/>
          <w:kern w:val="0"/>
          <w:szCs w:val="21"/>
        </w:rPr>
        <w:t>天内投标有效</w:t>
      </w:r>
      <w:r>
        <w:rPr>
          <w:rFonts w:hint="eastAsia" w:ascii="宋体" w:hAnsi="宋体" w:cs="宋体"/>
          <w:b/>
          <w:color w:val="000000" w:themeColor="text1"/>
        </w:rPr>
        <w:t>，投标有效期从提交投标文件的截止之日起算。投标文件中承诺的投标有效期应当不少于招标文件中载明的投标有效期。</w:t>
      </w:r>
    </w:p>
    <w:p w14:paraId="2A1D45D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14.2 特殊情况下，在原投标有效期截止之前，采购代理机构可要求投标人同意延长投标有效期，这种要求与答复均应以书面形式提交。投标人可拒绝这种要求，并且不影响投标保证金的退还。接受延长投标有效期的投标人将不会要求和允许修正其投标，而只会被要求相应地延长其投标保证金的有效期。在这种情况下，有关投标保证金的退还规定在延长了的有效期内继续有效。</w:t>
      </w:r>
    </w:p>
    <w:p w14:paraId="400D24B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15、投标文件签署</w:t>
      </w:r>
    </w:p>
    <w:p w14:paraId="53476C7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15.1 投标文件应按照招标文件要求加盖电子公章，否则视为无效投标。</w:t>
      </w:r>
    </w:p>
    <w:p w14:paraId="7619944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16、投标费用</w:t>
      </w:r>
    </w:p>
    <w:p w14:paraId="4E597F3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16.1 投标人应承担所有与准备和参加投标有关的费用，无论招标结果如何，采购代理机构和采购人在任何情况下均无义务和责任承担这些费用。</w:t>
      </w:r>
    </w:p>
    <w:p w14:paraId="5A71651F">
      <w:pPr>
        <w:widowControl/>
        <w:shd w:val="clear" w:color="auto" w:fill="FFFFFF"/>
        <w:spacing w:line="360" w:lineRule="auto"/>
        <w:ind w:firstLine="420"/>
        <w:rPr>
          <w:rFonts w:hint="eastAsia" w:ascii="宋体" w:hAnsi="宋体" w:cs="宋体"/>
          <w:bCs/>
          <w:color w:val="000000" w:themeColor="text1"/>
          <w:kern w:val="0"/>
          <w:szCs w:val="21"/>
        </w:rPr>
      </w:pPr>
      <w:r>
        <w:rPr>
          <w:rFonts w:hint="eastAsia" w:ascii="宋体" w:hAnsi="宋体" w:cs="宋体"/>
          <w:bCs/>
          <w:color w:val="000000" w:themeColor="text1"/>
          <w:kern w:val="0"/>
          <w:szCs w:val="21"/>
        </w:rPr>
        <w:t>16.2 招标代理服务费：</w:t>
      </w:r>
      <w:r>
        <w:rPr>
          <w:rFonts w:hint="eastAsia" w:ascii="宋体" w:hAnsi="宋体" w:cs="宋体"/>
          <w:color w:val="000000" w:themeColor="text1"/>
          <w:szCs w:val="21"/>
        </w:rPr>
        <w:t>本次中标供应商在领取中标通知书时,需向采购代理机构支付招标代理费（以中标价为计费基数按计价格[2002]1980号文件服务类收费标准53.20%计取）。专家评委费（按实支付）由招标人支付。本项费用无需在报价表中单列</w:t>
      </w:r>
      <w:r>
        <w:rPr>
          <w:rFonts w:hint="eastAsia" w:ascii="宋体" w:hAnsi="宋体" w:cs="宋体"/>
          <w:bCs/>
          <w:color w:val="000000" w:themeColor="text1"/>
          <w:kern w:val="0"/>
          <w:szCs w:val="21"/>
        </w:rPr>
        <w:t>。</w:t>
      </w:r>
    </w:p>
    <w:p w14:paraId="4B414CC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四、投标文件的递交</w:t>
      </w:r>
    </w:p>
    <w:p w14:paraId="232C1596">
      <w:pPr>
        <w:widowControl/>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17、投标文件的递交</w:t>
      </w:r>
    </w:p>
    <w:p w14:paraId="6D44EF6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17.1 投标人应当按照《操作手册》规定，在招标公告规定的投标截止时间前制作并上传电子投标文件。招标代理机构拒绝接收提交投标文件截止时间后上传的任何电子投标文件。</w:t>
      </w:r>
    </w:p>
    <w:p w14:paraId="08A179C5">
      <w:pPr>
        <w:widowControl/>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18、投标文件的解密</w:t>
      </w:r>
    </w:p>
    <w:p w14:paraId="35C9405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18.1 投标人应当按照《操作手册》规定，在“苏采云”系统规定的时间内对投标文件进行解密。</w:t>
      </w:r>
    </w:p>
    <w:p w14:paraId="04B58E1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18.2 投标人应充分考虑网络环境、网络带宽等因素可能对投标产生的影响，如因投标人自身原因造成的电子投标文件解密不成功的，做无效投标处理。</w:t>
      </w:r>
    </w:p>
    <w:p w14:paraId="4419BFD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19、投标文件的修改和撤回</w:t>
      </w:r>
    </w:p>
    <w:p w14:paraId="2AE12B4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19.1投标人在投标截止时间前，可以对所递交的投标文件进行补充、修改或者撤回，并书面通知采购人或者采购代理机构。补充、修改的内容应当按照招标文件要求签署、盖章、密封后，作为投标文件的组成部分。</w:t>
      </w:r>
    </w:p>
    <w:p w14:paraId="1B4698B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19.2 投标截止时间之后，投标文件不得撤回；如撤回，投标保证金不予退还。</w:t>
      </w:r>
    </w:p>
    <w:p w14:paraId="7E5D6E5B">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20、诚实信用</w:t>
      </w:r>
    </w:p>
    <w:p w14:paraId="615F9D0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20.1投标人应当遵循公平竞争的原则，不得恶意串通，不得妨碍其他投标人的竞争行为，不得损害采购人或者其他投标人的合法权益。</w:t>
      </w:r>
    </w:p>
    <w:p w14:paraId="2C172A9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20.2在评标过程中发现投标人有上述情形的，评标委员会应当认定其投标无效，并书面报告本级财政部门。</w:t>
      </w:r>
    </w:p>
    <w:p w14:paraId="0FCAE7E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五、开标、评标与定标</w:t>
      </w:r>
    </w:p>
    <w:p w14:paraId="762EA5E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21、开标</w:t>
      </w:r>
    </w:p>
    <w:p w14:paraId="76A0C40C">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21.1 代理机构在招标公告中规定的时间和地点组织公开开标。投标人按照《操作手册》规定参加开标活动，并在“苏采云”系统规定的时间内对投标文件进行解密。“苏采云”系统公布各投标人名称和投标价格。</w:t>
      </w:r>
    </w:p>
    <w:p w14:paraId="108DF4E0">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21.2 投标人在开标过程中涉及到的投标文件解密、开标结果确认等工作，应按照《操作手册》规定执行。</w:t>
      </w:r>
    </w:p>
    <w:p w14:paraId="30F7FA3C">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21.3投标人不足3家的，不得开标。</w:t>
      </w:r>
    </w:p>
    <w:p w14:paraId="3447A6DD">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21.4 投标人如果对开标过程和开标结果有疑义，应当根据《操作手册》规定提出，“苏采云”系统中《开标记录表》公布后5分钟内未提出的，视同认可开标结果。</w:t>
      </w:r>
    </w:p>
    <w:p w14:paraId="3BD948AC">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21.5公开招标数额标准以上的采购项目，投标截止后投标人不足3家或者通过资格审查或符合性审查的投标人不足3家的，除采购任务取消情形外，按照以下方式处理：</w:t>
      </w:r>
    </w:p>
    <w:p w14:paraId="19C5C6E7">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（1）招标文件存在不合理条款或者招标程序不符合规定的，采购人、采购代理机构改正后依法重新招标；</w:t>
      </w:r>
    </w:p>
    <w:p w14:paraId="536C4C48">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（2）招标文件没有不合理条款、招标程序符合规定，需要采用其他采购方式采购的，采购人依法报财政部门批准，经批准后，可变更为其他采购方式采购。</w:t>
      </w:r>
    </w:p>
    <w:p w14:paraId="7CB7411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22、评标</w:t>
      </w:r>
    </w:p>
    <w:p w14:paraId="1D4A095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22.1 评标委员会</w:t>
      </w:r>
    </w:p>
    <w:p w14:paraId="3C564386">
      <w:pPr>
        <w:widowControl/>
        <w:shd w:val="clear" w:color="auto" w:fill="FFFFFF"/>
        <w:spacing w:line="360" w:lineRule="auto"/>
        <w:ind w:firstLine="420"/>
        <w:rPr>
          <w:rFonts w:hint="eastAsia" w:ascii="宋体" w:hAnsi="宋体" w:cs="宋体"/>
          <w:bCs/>
          <w:color w:val="000000" w:themeColor="text1"/>
          <w:kern w:val="0"/>
          <w:szCs w:val="21"/>
        </w:rPr>
      </w:pPr>
      <w:r>
        <w:rPr>
          <w:rFonts w:hint="eastAsia" w:ascii="宋体" w:hAnsi="宋体" w:cs="宋体"/>
          <w:b/>
          <w:bCs/>
          <w:color w:val="000000" w:themeColor="text1"/>
          <w:kern w:val="0"/>
          <w:szCs w:val="21"/>
        </w:rPr>
        <w:t>22.1.1</w:t>
      </w:r>
      <w:r>
        <w:rPr>
          <w:rFonts w:hint="eastAsia" w:ascii="宋体" w:hAnsi="宋体" w:cs="宋体"/>
          <w:bCs/>
          <w:color w:val="000000" w:themeColor="text1"/>
          <w:kern w:val="0"/>
          <w:szCs w:val="21"/>
        </w:rPr>
        <w:t>评标委员会负责具体评标事务，并独立履行下列职责：</w:t>
      </w:r>
    </w:p>
    <w:p w14:paraId="5469467E">
      <w:pPr>
        <w:widowControl/>
        <w:shd w:val="clear" w:color="auto" w:fill="FFFFFF"/>
        <w:spacing w:line="360" w:lineRule="auto"/>
        <w:ind w:firstLine="420"/>
        <w:rPr>
          <w:rFonts w:hint="eastAsia" w:ascii="宋体" w:hAnsi="宋体" w:cs="宋体"/>
          <w:bCs/>
          <w:color w:val="000000" w:themeColor="text1"/>
          <w:kern w:val="0"/>
          <w:szCs w:val="21"/>
        </w:rPr>
      </w:pPr>
      <w:r>
        <w:rPr>
          <w:rFonts w:hint="eastAsia" w:ascii="宋体" w:hAnsi="宋体" w:cs="宋体"/>
          <w:bCs/>
          <w:color w:val="000000" w:themeColor="text1"/>
          <w:kern w:val="0"/>
          <w:szCs w:val="21"/>
        </w:rPr>
        <w:t>（一）审查、评价投标文件是否符合招标文件的商务、技术等实质性要求；</w:t>
      </w:r>
    </w:p>
    <w:p w14:paraId="65C22F4E">
      <w:pPr>
        <w:widowControl/>
        <w:shd w:val="clear" w:color="auto" w:fill="FFFFFF"/>
        <w:spacing w:line="360" w:lineRule="auto"/>
        <w:ind w:firstLine="420"/>
        <w:rPr>
          <w:rFonts w:hint="eastAsia" w:ascii="宋体" w:hAnsi="宋体" w:cs="宋体"/>
          <w:bCs/>
          <w:color w:val="000000" w:themeColor="text1"/>
          <w:kern w:val="0"/>
          <w:szCs w:val="21"/>
        </w:rPr>
      </w:pPr>
      <w:r>
        <w:rPr>
          <w:rFonts w:hint="eastAsia" w:ascii="宋体" w:hAnsi="宋体" w:cs="宋体"/>
          <w:bCs/>
          <w:color w:val="000000" w:themeColor="text1"/>
          <w:kern w:val="0"/>
          <w:szCs w:val="21"/>
        </w:rPr>
        <w:t>（二）要求投标人对投标文件有关事项作出澄清或者说明；</w:t>
      </w:r>
    </w:p>
    <w:p w14:paraId="659DB3E0">
      <w:pPr>
        <w:widowControl/>
        <w:shd w:val="clear" w:color="auto" w:fill="FFFFFF"/>
        <w:spacing w:line="360" w:lineRule="auto"/>
        <w:ind w:firstLine="420"/>
        <w:rPr>
          <w:rFonts w:hint="eastAsia" w:ascii="宋体" w:hAnsi="宋体" w:cs="宋体"/>
          <w:bCs/>
          <w:color w:val="000000" w:themeColor="text1"/>
          <w:kern w:val="0"/>
          <w:szCs w:val="21"/>
        </w:rPr>
      </w:pPr>
      <w:r>
        <w:rPr>
          <w:rFonts w:hint="eastAsia" w:ascii="宋体" w:hAnsi="宋体" w:cs="宋体"/>
          <w:bCs/>
          <w:color w:val="000000" w:themeColor="text1"/>
          <w:kern w:val="0"/>
          <w:szCs w:val="21"/>
        </w:rPr>
        <w:t>（三）对投标文件进行比较和评价；</w:t>
      </w:r>
    </w:p>
    <w:p w14:paraId="6E0A91D5">
      <w:pPr>
        <w:widowControl/>
        <w:shd w:val="clear" w:color="auto" w:fill="FFFFFF"/>
        <w:spacing w:line="360" w:lineRule="auto"/>
        <w:ind w:firstLine="420"/>
        <w:rPr>
          <w:rFonts w:hint="eastAsia" w:ascii="宋体" w:hAnsi="宋体" w:cs="宋体"/>
          <w:bCs/>
          <w:color w:val="000000" w:themeColor="text1"/>
          <w:kern w:val="0"/>
          <w:szCs w:val="21"/>
        </w:rPr>
      </w:pPr>
      <w:r>
        <w:rPr>
          <w:rFonts w:hint="eastAsia" w:ascii="宋体" w:hAnsi="宋体" w:cs="宋体"/>
          <w:bCs/>
          <w:color w:val="000000" w:themeColor="text1"/>
          <w:kern w:val="0"/>
          <w:szCs w:val="21"/>
        </w:rPr>
        <w:t>（四）确定中标候选人名单，以及根据采购人委托直接确定中标人；</w:t>
      </w:r>
    </w:p>
    <w:p w14:paraId="26898314">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Cs/>
          <w:color w:val="000000" w:themeColor="text1"/>
          <w:kern w:val="0"/>
          <w:szCs w:val="21"/>
        </w:rPr>
        <w:t>（五）向采购人、采购代理机构或者有关部门报告评标中发现的违法行为。</w:t>
      </w:r>
    </w:p>
    <w:p w14:paraId="047662E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 xml:space="preserve">22.1.2 </w:t>
      </w:r>
      <w:r>
        <w:rPr>
          <w:rFonts w:hint="eastAsia" w:ascii="宋体" w:hAnsi="宋体" w:cs="宋体"/>
          <w:color w:val="000000" w:themeColor="text1"/>
          <w:kern w:val="0"/>
          <w:szCs w:val="21"/>
        </w:rPr>
        <w:t>评标委员会由</w:t>
      </w:r>
      <w:r>
        <w:rPr>
          <w:rFonts w:hint="eastAsia" w:ascii="宋体" w:hAnsi="宋体" w:cs="宋体"/>
          <w:bCs/>
          <w:color w:val="000000" w:themeColor="text1"/>
          <w:kern w:val="0"/>
          <w:szCs w:val="21"/>
        </w:rPr>
        <w:t>采购人</w:t>
      </w:r>
      <w:r>
        <w:rPr>
          <w:rFonts w:hint="eastAsia" w:ascii="宋体" w:hAnsi="宋体" w:cs="宋体"/>
          <w:color w:val="000000" w:themeColor="text1"/>
          <w:kern w:val="0"/>
          <w:szCs w:val="21"/>
        </w:rPr>
        <w:t>代表和有关技术、经济等方面的专家组成，独立开展评审工作。</w:t>
      </w:r>
    </w:p>
    <w:p w14:paraId="4CBDA43E">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b/>
          <w:bCs/>
          <w:color w:val="000000" w:themeColor="text1"/>
          <w:kern w:val="0"/>
          <w:szCs w:val="21"/>
        </w:rPr>
        <w:t>22.2  评标程序</w:t>
      </w:r>
    </w:p>
    <w:p w14:paraId="2252B452">
      <w:pPr>
        <w:widowControl/>
        <w:shd w:val="clear" w:color="auto" w:fill="FFFFFF"/>
        <w:spacing w:line="360" w:lineRule="auto"/>
        <w:ind w:firstLine="420"/>
        <w:jc w:val="left"/>
        <w:rPr>
          <w:rFonts w:hint="eastAsia" w:ascii="宋体" w:hAnsi="宋体" w:cs="宋体"/>
          <w:b/>
          <w:color w:val="000000" w:themeColor="text1"/>
          <w:kern w:val="0"/>
          <w:szCs w:val="21"/>
        </w:rPr>
      </w:pPr>
      <w:r>
        <w:rPr>
          <w:rFonts w:hint="eastAsia" w:ascii="宋体" w:hAnsi="宋体" w:cs="宋体"/>
          <w:b/>
          <w:color w:val="000000" w:themeColor="text1"/>
          <w:kern w:val="0"/>
          <w:szCs w:val="21"/>
        </w:rPr>
        <w:t xml:space="preserve">22.2.1 </w:t>
      </w:r>
      <w:r>
        <w:rPr>
          <w:rFonts w:hint="eastAsia" w:ascii="宋体" w:hAnsi="宋体" w:cs="宋体"/>
          <w:b/>
          <w:bCs/>
          <w:color w:val="000000" w:themeColor="text1"/>
          <w:kern w:val="0"/>
          <w:szCs w:val="21"/>
        </w:rPr>
        <w:t>投标文件的资格性检查。</w:t>
      </w:r>
      <w:r>
        <w:rPr>
          <w:rFonts w:hint="eastAsia" w:ascii="宋体" w:hAnsi="宋体" w:cs="宋体"/>
          <w:color w:val="000000" w:themeColor="text1"/>
          <w:kern w:val="0"/>
          <w:szCs w:val="21"/>
        </w:rPr>
        <w:t>公开招标采购项目开标结束后，</w:t>
      </w:r>
      <w:r>
        <w:rPr>
          <w:rFonts w:hint="eastAsia" w:ascii="宋体" w:hAnsi="宋体" w:cs="宋体"/>
          <w:color w:val="000000" w:themeColor="text1"/>
        </w:rPr>
        <w:t>采购人</w:t>
      </w:r>
      <w:r>
        <w:rPr>
          <w:rFonts w:hint="eastAsia" w:ascii="宋体" w:hAnsi="宋体" w:cs="宋体"/>
          <w:color w:val="000000" w:themeColor="text1"/>
          <w:kern w:val="0"/>
          <w:szCs w:val="21"/>
        </w:rPr>
        <w:t>或者</w:t>
      </w:r>
      <w:r>
        <w:rPr>
          <w:rFonts w:hint="eastAsia" w:ascii="宋体" w:hAnsi="宋体" w:cs="宋体"/>
          <w:color w:val="000000" w:themeColor="text1"/>
        </w:rPr>
        <w:t>采购代理机构</w:t>
      </w:r>
      <w:r>
        <w:rPr>
          <w:rFonts w:hint="eastAsia" w:ascii="宋体" w:hAnsi="宋体" w:cs="宋体"/>
          <w:color w:val="000000" w:themeColor="text1"/>
          <w:kern w:val="0"/>
          <w:szCs w:val="21"/>
        </w:rPr>
        <w:t>应当依法对投标人的资格进行审查。合格投标人不足3家的，不得评标。</w:t>
      </w:r>
    </w:p>
    <w:p w14:paraId="59DC6070">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b/>
          <w:bCs/>
          <w:color w:val="000000" w:themeColor="text1"/>
          <w:kern w:val="0"/>
          <w:szCs w:val="21"/>
        </w:rPr>
        <w:t>22.2.2投标文件的符合性审查</w:t>
      </w:r>
      <w:r>
        <w:rPr>
          <w:rFonts w:hint="eastAsia" w:ascii="宋体" w:hAnsi="宋体" w:cs="宋体"/>
          <w:color w:val="000000" w:themeColor="text1"/>
          <w:kern w:val="0"/>
          <w:szCs w:val="21"/>
        </w:rPr>
        <w:t>。评标委员会对通过资格性检查的投标人的投标文件进行符合性审查，以确定其是否满足招标文件的实质性要求。投标文件有下列情况之一的，在符合性检查时按照无效投标处理：</w:t>
      </w:r>
    </w:p>
    <w:p w14:paraId="766CA0CB">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color w:val="000000" w:themeColor="text1"/>
          <w:kern w:val="0"/>
          <w:szCs w:val="21"/>
        </w:rPr>
        <w:t>（1）同一投标人提交两个（含两个）以上不同的投标报价的；</w:t>
      </w:r>
    </w:p>
    <w:p w14:paraId="40619278">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color w:val="000000" w:themeColor="text1"/>
          <w:kern w:val="0"/>
          <w:szCs w:val="21"/>
        </w:rPr>
        <w:t>（2）投标文件未按照招标文件要求加盖电子公章的；</w:t>
      </w:r>
    </w:p>
    <w:p w14:paraId="7A3CCFD8">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color w:val="000000" w:themeColor="text1"/>
          <w:kern w:val="0"/>
          <w:szCs w:val="21"/>
        </w:rPr>
        <w:t>（3）报价超过招标文件中规定的预算金额或者最高限价的；</w:t>
      </w:r>
    </w:p>
    <w:p w14:paraId="09FE91E6">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color w:val="000000" w:themeColor="text1"/>
          <w:kern w:val="0"/>
          <w:szCs w:val="21"/>
        </w:rPr>
        <w:t>（4）投标文件含有采购人不能接受的附加条件的；</w:t>
      </w:r>
    </w:p>
    <w:p w14:paraId="062FE4EC">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color w:val="000000" w:themeColor="text1"/>
          <w:kern w:val="0"/>
          <w:szCs w:val="21"/>
        </w:rPr>
        <w:t>（5）投标文件内容不全或不符合招标文件中规定的其他实质性要求的；</w:t>
      </w:r>
    </w:p>
    <w:p w14:paraId="766DE655">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color w:val="000000" w:themeColor="text1"/>
          <w:kern w:val="0"/>
          <w:szCs w:val="21"/>
        </w:rPr>
        <w:t>（6）现行法律、法规、规章和招标文件规定的其他无效情形。</w:t>
      </w:r>
    </w:p>
    <w:p w14:paraId="712A3859">
      <w:pPr>
        <w:widowControl/>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22.2.2.1 实质性要求是指本招标文件中用带星号（“</w:t>
      </w:r>
      <w:r>
        <w:rPr>
          <w:rFonts w:hint="eastAsia" w:ascii="宋体" w:hAnsi="宋体" w:cs="宋体"/>
          <w:b/>
          <w:bCs/>
          <w:color w:val="000000" w:themeColor="text1"/>
        </w:rPr>
        <w:t>*</w:t>
      </w:r>
      <w:r>
        <w:rPr>
          <w:rFonts w:hint="eastAsia" w:ascii="宋体" w:hAnsi="宋体" w:cs="宋体"/>
          <w:b/>
          <w:bCs/>
          <w:color w:val="000000" w:themeColor="text1"/>
          <w:kern w:val="0"/>
          <w:szCs w:val="21"/>
        </w:rPr>
        <w:t>”）、“必须”或“应（应当）”等其他文字说明的商务和技术要求。</w:t>
      </w:r>
    </w:p>
    <w:p w14:paraId="7BC096B4">
      <w:pPr>
        <w:widowControl/>
        <w:shd w:val="clear" w:color="auto" w:fill="FFFFFF"/>
        <w:spacing w:line="360" w:lineRule="auto"/>
        <w:ind w:firstLine="420"/>
        <w:rPr>
          <w:rFonts w:hint="eastAsia" w:ascii="宋体" w:hAnsi="宋体" w:cs="宋体"/>
          <w:b/>
          <w:bCs/>
          <w:color w:val="000000" w:themeColor="text1"/>
          <w:kern w:val="0"/>
          <w:szCs w:val="21"/>
        </w:rPr>
      </w:pPr>
      <w:r>
        <w:rPr>
          <w:rFonts w:ascii="宋体" w:hAnsi="宋体" w:cs="宋体"/>
          <w:b/>
          <w:bCs/>
          <w:color w:val="000000" w:themeColor="text1"/>
          <w:kern w:val="0"/>
          <w:szCs w:val="21"/>
        </w:rPr>
        <w:t>22.2.2.</w:t>
      </w:r>
      <w:r>
        <w:rPr>
          <w:rFonts w:hint="eastAsia" w:ascii="宋体" w:hAnsi="宋体" w:cs="宋体"/>
          <w:b/>
          <w:bCs/>
          <w:color w:val="000000" w:themeColor="text1"/>
          <w:kern w:val="0"/>
          <w:szCs w:val="21"/>
        </w:rPr>
        <w:t>2未通过资格审查或符合性审查的投标人，代理机构将通过“苏采云”系统告知其具体原因，评标结束后不再接受有关询问。</w:t>
      </w:r>
    </w:p>
    <w:p w14:paraId="266278A5">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22.2.2.3有下列情形之一的予以废标：</w:t>
      </w:r>
    </w:p>
    <w:p w14:paraId="2ABB1228">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（1）符合专业条件的投标人或者对招标文件作实质性响应的投标人不足三家的；</w:t>
      </w:r>
    </w:p>
    <w:p w14:paraId="65B4558E">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（2）出现影响采购公正的违法、违规行为的；</w:t>
      </w:r>
    </w:p>
    <w:p w14:paraId="52431E4C">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（3）投标人的报价均超过了采购预算，采购人不能支付的；</w:t>
      </w:r>
    </w:p>
    <w:p w14:paraId="73EE3128">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（4）因苏采云系统故障造成开标不成功的；</w:t>
      </w:r>
    </w:p>
    <w:p w14:paraId="13E0CCC9">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（5）因重大变故，采购任务取消的。</w:t>
      </w:r>
    </w:p>
    <w:p w14:paraId="321CFB3C">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（6）投标人以明显低于其他通过符合性审查投标人的报价，有可能影响产品质量或者不能诚信履约的，且不能证明其报价合理性的。</w:t>
      </w:r>
    </w:p>
    <w:p w14:paraId="1CDEF9D3">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22.2.3</w:t>
      </w:r>
      <w:r>
        <w:rPr>
          <w:rFonts w:hint="eastAsia" w:ascii="宋体" w:hAnsi="宋体" w:cs="宋体"/>
          <w:b/>
          <w:bCs/>
          <w:color w:val="000000" w:themeColor="text1"/>
          <w:kern w:val="0"/>
          <w:szCs w:val="21"/>
        </w:rPr>
        <w:t>澄清有关问题</w:t>
      </w:r>
      <w:r>
        <w:rPr>
          <w:rFonts w:hint="eastAsia" w:ascii="宋体" w:hAnsi="宋体" w:cs="宋体"/>
          <w:color w:val="000000" w:themeColor="text1"/>
          <w:kern w:val="0"/>
          <w:szCs w:val="21"/>
        </w:rPr>
        <w:t>。</w:t>
      </w:r>
    </w:p>
    <w:p w14:paraId="3122E301">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22.2.3.1 评标期间，评委会对投标文件中含义不明确、同类问题表述不一致或者有明显文字和计算错误的内容，有权要求投标人作出必要的澄清、说明或者补正。</w:t>
      </w:r>
    </w:p>
    <w:p w14:paraId="226B5E8E">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投标人的澄清、说明或者补正不得超出投标文件的范围或者改变投标文件的实质性内容。</w:t>
      </w:r>
    </w:p>
    <w:p w14:paraId="0C17221D">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评委会并非对每个投标人都做澄清要求。</w:t>
      </w:r>
    </w:p>
    <w:p w14:paraId="6E8472AC">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22.2.3.2 需要供应商进行澄清、说明和补正的，评委会将通过苏采云系统向投标人发出《澄清要求函》，接到《澄清要求函》的投标人应当按照要求在苏采云系统中提交《澄清响应函》并加盖电子公章。澄清、说明和补正的内容作为投标文件的补充部分，具体操作方式见《操作手册》。</w:t>
      </w:r>
    </w:p>
    <w:p w14:paraId="6A301CE7">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22.2.3.3 接到评委会澄清、说明和补正要求的，投标人如未按规定作出澄清、说明和补正，其风险由投标人自行承担。</w:t>
      </w:r>
    </w:p>
    <w:p w14:paraId="52D1C3D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22.2.3.4投标文件报价出现前后不一致的，除招标文件另有规定外，按照下列规定修正：</w:t>
      </w:r>
    </w:p>
    <w:p w14:paraId="545263C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（1）投标文件中开标一览表（报价表）内容与投标文件中相应内容不一致的，以开标一览表（报价表）为准；</w:t>
      </w:r>
    </w:p>
    <w:p w14:paraId="77CB636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（2）大写金额和小写金额不一致的，以大写金额为准；</w:t>
      </w:r>
    </w:p>
    <w:p w14:paraId="50B1152C">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（3）单价金额小数点或者百分比有明显错位的，以开标一览表的总价为准，并修改单价；</w:t>
      </w:r>
    </w:p>
    <w:p w14:paraId="3486200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（4）总价金额与按单价汇总金额不一致的，以单价金额计算结果为准。</w:t>
      </w:r>
    </w:p>
    <w:p w14:paraId="1886E39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评委会将按上述修正错误的方法调整投标文件中的投标报价，同时出现两种以上不一致的，按照前款规定的顺序修正，并由评标委员会通过“苏采云”系统告知投标人，调整后的价格对投标人具有约束力。如果投标人不接受修正后的价格，则其投标将被拒绝。</w:t>
      </w:r>
    </w:p>
    <w:p w14:paraId="09D4E84D">
      <w:pPr>
        <w:widowControl/>
        <w:shd w:val="clear" w:color="auto" w:fill="FFFFFF"/>
        <w:spacing w:line="360" w:lineRule="auto"/>
        <w:ind w:firstLine="420"/>
        <w:rPr>
          <w:rFonts w:hint="eastAsia" w:ascii="宋体" w:hAnsi="宋体" w:cs="宋体"/>
          <w:b/>
          <w:color w:val="000000" w:themeColor="text1"/>
          <w:kern w:val="0"/>
          <w:szCs w:val="21"/>
        </w:rPr>
      </w:pPr>
      <w:r>
        <w:rPr>
          <w:rFonts w:ascii="宋体" w:hAnsi="宋体" w:cs="宋体"/>
          <w:color w:val="000000" w:themeColor="text1"/>
          <w:kern w:val="0"/>
          <w:szCs w:val="21"/>
        </w:rPr>
        <w:t>2.2.3.</w:t>
      </w:r>
      <w:r>
        <w:rPr>
          <w:rFonts w:hint="eastAsia" w:ascii="宋体" w:hAnsi="宋体" w:cs="宋体"/>
          <w:color w:val="000000" w:themeColor="text1"/>
          <w:kern w:val="0"/>
          <w:szCs w:val="21"/>
        </w:rPr>
        <w:t>5投标人在开、评标全过程中应保持通讯畅通，及时登录苏采云系统查阅、答复相关信息，并安排专人与代理机构及评委会联系。</w:t>
      </w:r>
    </w:p>
    <w:p w14:paraId="47E09568">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22.2.3.6</w:t>
      </w:r>
      <w:r>
        <w:rPr>
          <w:rFonts w:hint="eastAsia" w:ascii="宋体" w:hAnsi="宋体" w:cs="宋体"/>
          <w:color w:val="000000" w:themeColor="text1"/>
        </w:rPr>
        <w:t>评标委员会认为投标人的报价明显低于其他通过符合性审查投标人的报价，有可能影响产品质量或者不能诚信履约的，将要求其在评标现场合理的时间内提供书面说明，必要时提交相关证明材料；</w:t>
      </w:r>
      <w:r>
        <w:rPr>
          <w:rFonts w:hint="eastAsia" w:ascii="宋体" w:hAnsi="宋体" w:cs="宋体"/>
          <w:b/>
          <w:color w:val="000000" w:themeColor="text1"/>
        </w:rPr>
        <w:t>投标人不能证明其报价合理性的，评标委员会将其作为无效投标处理。</w:t>
      </w:r>
    </w:p>
    <w:p w14:paraId="0DD0A2E8">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22.2.4</w:t>
      </w:r>
      <w:r>
        <w:rPr>
          <w:rFonts w:hint="eastAsia" w:ascii="宋体" w:hAnsi="宋体" w:cs="宋体"/>
          <w:bCs/>
          <w:color w:val="000000" w:themeColor="text1"/>
          <w:kern w:val="0"/>
          <w:szCs w:val="21"/>
        </w:rPr>
        <w:t>比较与评价。</w:t>
      </w:r>
      <w:r>
        <w:rPr>
          <w:rFonts w:hint="eastAsia" w:ascii="宋体" w:hAnsi="宋体" w:cs="宋体"/>
          <w:color w:val="000000" w:themeColor="text1"/>
          <w:kern w:val="0"/>
          <w:szCs w:val="21"/>
        </w:rPr>
        <w:t>评标委员会应当按照招标文件中规定的评标方法和标准，对符合性审查合格的投标文件进行商务和技术评估，综合比较与评价。</w:t>
      </w:r>
    </w:p>
    <w:p w14:paraId="180655E1">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b/>
          <w:bCs/>
          <w:color w:val="000000" w:themeColor="text1"/>
          <w:kern w:val="0"/>
          <w:szCs w:val="21"/>
        </w:rPr>
        <w:t>22.3 评标方法和标准</w:t>
      </w:r>
    </w:p>
    <w:p w14:paraId="46196A09">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22.3.1评标方法分为最低评标价法和综合评分法。本次招标的评标方法和标准，详见本招标文件第三章。</w:t>
      </w:r>
    </w:p>
    <w:p w14:paraId="5805B82E">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22.3.2最低评标价法，是指投标文件满足招标文件全部实质性要求，且投标报价最低的投标人为中标候选人的评标方法。</w:t>
      </w:r>
    </w:p>
    <w:p w14:paraId="6E779F8A">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采用最低评标价法评标时，除了算术修正和落实政府采购政策需进行的价格扣除外，不对投标人的投标价格进行任何调整。</w:t>
      </w:r>
    </w:p>
    <w:p w14:paraId="7E30615F">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22.3.3综合评分法，是指投标文件满足招标文件全部实质性要求，且按照评审因素的量化指标评审得分最高的投标人为中标候选人的评标方法。</w:t>
      </w:r>
    </w:p>
    <w:p w14:paraId="21147D9D">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评审因素，包括价格、技术、商务等。</w:t>
      </w:r>
    </w:p>
    <w:p w14:paraId="2A23AC81">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评标时，评标委员会各成员应当独立对每个投标人的投标文件进行评价，并汇总每个投标人的得分。</w:t>
      </w:r>
    </w:p>
    <w:p w14:paraId="359D9ABE">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价格分采用低价优先法计算，即满足招标文件要求且投标价格最低的投标报价为评标基准价，其价格分为满分。</w:t>
      </w:r>
    </w:p>
    <w:p w14:paraId="7A46489B">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评标总得分＝F1×A1＋F2×A2＋……＋Fn×An</w:t>
      </w:r>
    </w:p>
    <w:p w14:paraId="755C5D7D">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F1、F2……Fn分别为各项评审因素的得分；</w:t>
      </w:r>
    </w:p>
    <w:p w14:paraId="737B75EC">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A1、A2、……An 分别为各项评审因素所占的权重(A1＋A2＋……＋An＝1)。</w:t>
      </w:r>
    </w:p>
    <w:p w14:paraId="6267E621">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因落实政府采购政策进行价格调整的，以调整后的价格计算评标基准价和投标报价。</w:t>
      </w:r>
    </w:p>
    <w:p w14:paraId="46F46285">
      <w:pPr>
        <w:widowControl/>
        <w:shd w:val="clear" w:color="auto" w:fill="FFFFFF"/>
        <w:spacing w:line="360" w:lineRule="auto"/>
        <w:ind w:firstLine="422" w:firstLineChars="20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22.4 评标委员会启动异常低价投标审查的情形和具体要求</w:t>
      </w:r>
    </w:p>
    <w:p w14:paraId="28745CB0">
      <w:pPr>
        <w:widowControl/>
        <w:shd w:val="clear" w:color="auto" w:fill="FFFFFF"/>
        <w:spacing w:line="360" w:lineRule="auto"/>
        <w:ind w:firstLine="422" w:firstLineChars="20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 xml:space="preserve">22.4.1评标过程中出现下列情形之一的，评标委员会应当启动异常低价投标审查程序： </w:t>
      </w:r>
    </w:p>
    <w:p w14:paraId="131493A6">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（1）投标报价低于全部通过符合性审查投标人投标报价平均值50%的，即投标报价&lt;全部通过符合性审查投标人投标报价平均值×50%；</w:t>
      </w:r>
    </w:p>
    <w:p w14:paraId="1770F444">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（2）投标报价低于通过符合性审查的次低报价投标人投标报价50%的，即投标报价&lt;通过符合性审查的次低报价投标人投标报价×50%；</w:t>
      </w:r>
    </w:p>
    <w:p w14:paraId="63578794">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（3）投标报价低于本项目最高限价45%的，即投标报价&lt;本项目最高限价×45%；</w:t>
      </w:r>
    </w:p>
    <w:p w14:paraId="2FF91F6B">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（4）评标委员会基于专业判断，认为投标人报价过低，有可能影响产品质量或者不能诚信履约的其他情形。</w:t>
      </w:r>
    </w:p>
    <w:p w14:paraId="03371FDF">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22.4.2 评标委员会启动异常低价投标审查后，属于22.4.1条第（1）项至第（4）项情形的，应当要求相关投标人在评标现场合理的时间内对投标价格作出解释，提供项目具体成本测算等与报价合理性相关的书面说明及必要的证明材料，包括但不限于原材料成本、人工成本、制造费用等，给予相关投标人的合理时间一般不少于30分钟。其中，属于22.4.1条第（3）项情形的，供应商已随投标文件一并提交相关书面说明及必要的证明材料的，在评标现场可不再重复提交。</w:t>
      </w:r>
    </w:p>
    <w:p w14:paraId="74CE52E0">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22.4.3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审委员会应当将其作为无效投标处理。</w:t>
      </w:r>
    </w:p>
    <w:p w14:paraId="2A4E434E">
      <w:pPr>
        <w:widowControl/>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22.4.4异常低价投标审查的启动原因、审查意见和审查结果应当在评标报告中记录，并随投标人提供的相关书面说明及证明材料，以及评标委员会有关互联网浏览、查询历史一并归档。</w:t>
      </w:r>
    </w:p>
    <w:p w14:paraId="1778CF58">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bCs/>
          <w:color w:val="000000" w:themeColor="text1"/>
          <w:kern w:val="0"/>
          <w:szCs w:val="21"/>
        </w:rPr>
        <w:t>23、</w:t>
      </w:r>
      <w:r>
        <w:rPr>
          <w:rFonts w:hint="eastAsia" w:ascii="宋体" w:hAnsi="宋体" w:cs="宋体"/>
          <w:b/>
          <w:color w:val="000000" w:themeColor="text1"/>
          <w:kern w:val="0"/>
          <w:szCs w:val="21"/>
        </w:rPr>
        <w:t>确定中标人</w:t>
      </w:r>
    </w:p>
    <w:p w14:paraId="10B72BC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23.1 采用最低评标价法的，评标结果按投标报价由低到高顺序排列。投标报价相同的并列。投标文件满足招标文件全部实质性要求且投标报价最低的投标人为排名第一的中标候选人。</w:t>
      </w:r>
    </w:p>
    <w:p w14:paraId="5E18203A">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23.2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5E993938">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23.3 中标人确定后，在省级以上财政部门指定的媒体上公告中标结果，中标公告期为1个工作日，公告的同时向中标人发出中标通知书。中标人可在中标结果公告届满之日起三十日内,登录苏采云系统下载。</w:t>
      </w:r>
    </w:p>
    <w:p w14:paraId="3735059E">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因系统存储空间有限，中标结果公告届满之日起三十日后，苏采云系统不再保证提供下载《中标通知书》服务，因未及时下载而造成的不利后果由中标人自行承担。</w:t>
      </w:r>
    </w:p>
    <w:p w14:paraId="082543F0">
      <w:pPr>
        <w:widowControl/>
        <w:shd w:val="clear" w:color="auto" w:fill="FFFFFF"/>
        <w:spacing w:line="360" w:lineRule="auto"/>
        <w:ind w:firstLine="420"/>
        <w:rPr>
          <w:rFonts w:hint="eastAsia" w:ascii="宋体" w:hAnsi="宋体" w:cs="宋体"/>
          <w:b/>
          <w:color w:val="000000" w:themeColor="text1"/>
          <w:kern w:val="0"/>
          <w:szCs w:val="21"/>
        </w:rPr>
      </w:pPr>
      <w:r>
        <w:rPr>
          <w:rFonts w:hint="eastAsia" w:ascii="宋体" w:hAnsi="宋体" w:cs="宋体"/>
          <w:b/>
          <w:bCs/>
          <w:color w:val="000000" w:themeColor="text1"/>
          <w:kern w:val="0"/>
          <w:szCs w:val="21"/>
        </w:rPr>
        <w:t>23.4 中标通知书对采购人和中标人具有同等法律效力。中标通知书发出后，采购人不得</w:t>
      </w:r>
      <w:r>
        <w:rPr>
          <w:rFonts w:hint="eastAsia" w:ascii="宋体" w:hAnsi="宋体" w:cs="宋体"/>
          <w:b/>
          <w:color w:val="000000" w:themeColor="text1"/>
          <w:kern w:val="0"/>
          <w:szCs w:val="21"/>
        </w:rPr>
        <w:t>违法改变中标结果，中标人无正当理由不得放弃中标。</w:t>
      </w:r>
    </w:p>
    <w:p w14:paraId="18ABF0E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23.5 所有投标文件不论中标与否，均不退回。</w:t>
      </w:r>
    </w:p>
    <w:p w14:paraId="1744C567">
      <w:pPr>
        <w:widowControl/>
        <w:shd w:val="clear" w:color="auto" w:fill="FFFFFF"/>
        <w:spacing w:line="360" w:lineRule="auto"/>
        <w:ind w:firstLine="412"/>
        <w:rPr>
          <w:rFonts w:hint="eastAsia" w:ascii="宋体" w:hAnsi="宋体" w:cs="宋体"/>
          <w:color w:val="000000" w:themeColor="text1"/>
          <w:kern w:val="0"/>
          <w:szCs w:val="21"/>
        </w:rPr>
      </w:pPr>
      <w:r>
        <w:rPr>
          <w:rFonts w:hint="eastAsia" w:ascii="宋体" w:hAnsi="宋体" w:cs="宋体"/>
          <w:b/>
          <w:bCs/>
          <w:color w:val="000000" w:themeColor="text1"/>
          <w:kern w:val="0"/>
          <w:szCs w:val="21"/>
        </w:rPr>
        <w:t>24、编写评标报告</w:t>
      </w:r>
    </w:p>
    <w:p w14:paraId="4455B5D8">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24.1评标委员会根据全体评标成员签字的原始评标记录和评标结果编写评标报告。</w:t>
      </w:r>
    </w:p>
    <w:p w14:paraId="272DE68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25、评标过程的保密性</w:t>
      </w:r>
    </w:p>
    <w:p w14:paraId="26F09DD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25.1 采购人和采购代理机构将采取必要措施，保证评标在严格保密的情况下进行。</w:t>
      </w:r>
    </w:p>
    <w:p w14:paraId="77E3CC57">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25.2 任何单位和个人不得非法干预、影响评标办法的确定，以及评标过程和结果。</w:t>
      </w:r>
    </w:p>
    <w:p w14:paraId="79232F3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25.3 凡是与审查、澄清、评价和比较投标的有关资料等，均不向投标人及与评标无关的其他人员透露。</w:t>
      </w:r>
    </w:p>
    <w:p w14:paraId="55D877A6">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六、签订合同</w:t>
      </w:r>
    </w:p>
    <w:p w14:paraId="6C730D91">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26、签订合同</w:t>
      </w:r>
    </w:p>
    <w:p w14:paraId="14DC73F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26.1采购人与中标人应当自中标通知书发出之日起30日内，按照招标文件和中标人投标文件的规定，签订书面合同。所签订的合同不得对招标文件确定的事项和中标人投标文件作实质性修改。</w:t>
      </w:r>
    </w:p>
    <w:p w14:paraId="68593047">
      <w:pPr>
        <w:widowControl/>
        <w:shd w:val="clear" w:color="auto" w:fill="FFFFFF"/>
        <w:spacing w:line="360" w:lineRule="auto"/>
        <w:ind w:firstLine="420"/>
        <w:rPr>
          <w:rFonts w:hint="eastAsia" w:ascii="宋体" w:hAnsi="宋体" w:cs="宋体"/>
          <w:b/>
          <w:bCs/>
          <w:color w:val="000000" w:themeColor="text1"/>
          <w:szCs w:val="21"/>
        </w:rPr>
      </w:pPr>
      <w:r>
        <w:rPr>
          <w:rFonts w:hint="eastAsia" w:ascii="宋体" w:hAnsi="宋体" w:cs="宋体"/>
          <w:b/>
          <w:color w:val="000000" w:themeColor="text1"/>
          <w:kern w:val="0"/>
          <w:szCs w:val="21"/>
        </w:rPr>
        <w:t>26.2</w:t>
      </w:r>
      <w:r>
        <w:rPr>
          <w:rFonts w:hint="eastAsia" w:ascii="宋体" w:hAnsi="宋体" w:cs="宋体"/>
          <w:color w:val="000000" w:themeColor="text1"/>
          <w:szCs w:val="21"/>
        </w:rPr>
        <w:t>除继续履行将损害国家利益和社会公众利益的，政府采购合同的双方当事人不得擅自变更、中止或者终止合同。</w:t>
      </w:r>
      <w:r>
        <w:rPr>
          <w:rFonts w:hint="eastAsia" w:ascii="宋体" w:hAnsi="宋体" w:cs="宋体"/>
          <w:b/>
          <w:bCs/>
          <w:color w:val="000000" w:themeColor="text1"/>
          <w:szCs w:val="21"/>
        </w:rPr>
        <w:t>放弃或拒绝签订合同的，中标人不得参加对该项目重新开展的采购活动，投标保证金不予退还</w:t>
      </w:r>
      <w:r>
        <w:rPr>
          <w:rFonts w:hint="eastAsia" w:ascii="宋体" w:hAnsi="宋体" w:cs="宋体"/>
          <w:b/>
          <w:bCs/>
          <w:color w:val="000000" w:themeColor="text1"/>
          <w:kern w:val="0"/>
          <w:szCs w:val="21"/>
        </w:rPr>
        <w:t>，不收取投标保证金的项目，中标人应向采购人支付采购人为招标所发生的相关费用，</w:t>
      </w:r>
      <w:r>
        <w:rPr>
          <w:rFonts w:hint="eastAsia" w:ascii="宋体" w:hAnsi="宋体" w:cs="宋体"/>
          <w:b/>
          <w:bCs/>
          <w:color w:val="000000" w:themeColor="text1"/>
          <w:szCs w:val="21"/>
        </w:rPr>
        <w:t>由财政部门列入不良行为记录名单，在一至三年内禁止参加政府采购活动，并予以通报。</w:t>
      </w:r>
    </w:p>
    <w:p w14:paraId="409E0F6D">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26.3采购人不得向中标人提出任何不合理的要求作为签订合同的条件。</w:t>
      </w:r>
    </w:p>
    <w:p w14:paraId="0AC2973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26.4中标人拒绝与采购人签订合同的，采购人可以按照评审报告推荐的中标或者成交候选人名单排序，确定下一候选人为中标或者成交供应商，也可以重新开展政府采购活动。</w:t>
      </w:r>
    </w:p>
    <w:p w14:paraId="662F47C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26.5 政府采购合同履行中，采购人需追加与合同标的相同的货物或者服务的，在不改变合同其他条款的前提下，可以与供应商协商签订补充合同，但所有补充合同的采购金额不得超过原合同采购金额的百分之十。</w:t>
      </w:r>
    </w:p>
    <w:p w14:paraId="3EE0BB36">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26.6 采购人与中标人应当根据合同的约定依法履行合同义务。</w:t>
      </w:r>
    </w:p>
    <w:p w14:paraId="4E7AE95F">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七、质疑和投诉</w:t>
      </w:r>
    </w:p>
    <w:p w14:paraId="5C57CAC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27、质疑</w:t>
      </w:r>
    </w:p>
    <w:p w14:paraId="2F0B62BA">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27.1供应商对招标活动事项有疑问的，可以向采购代理机构提出询问，采购代理机构将依法作出答复，但答复的内容不涉及商业秘密</w:t>
      </w:r>
      <w:r>
        <w:rPr>
          <w:rFonts w:hint="eastAsia" w:ascii="宋体" w:hAnsi="宋体" w:cs="宋体"/>
          <w:b/>
          <w:bCs/>
          <w:color w:val="000000" w:themeColor="text1"/>
          <w:kern w:val="0"/>
          <w:szCs w:val="21"/>
        </w:rPr>
        <w:t>。</w:t>
      </w:r>
    </w:p>
    <w:p w14:paraId="62D74E0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27.2提出质疑的供应商应当是参与所质疑项目采购活动的供应商。潜在供应商已依法获取其可质疑的采购文件的，可以对该文件提出质疑。</w:t>
      </w:r>
    </w:p>
    <w:p w14:paraId="78D8BE20">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27.3供应商认为采购文件、采购过程和中标结果使自己的合法权益受到损害的，可以在知道或者应知其权益受到损害之日起七个工作日内，</w:t>
      </w:r>
      <w:r>
        <w:rPr>
          <w:rFonts w:hint="eastAsia" w:ascii="宋体" w:hAnsi="宋体" w:cs="宋体"/>
          <w:b/>
          <w:bCs/>
          <w:color w:val="000000" w:themeColor="text1"/>
          <w:kern w:val="0"/>
          <w:szCs w:val="21"/>
        </w:rPr>
        <w:t>以书面形式向采购人或采购代理机构提出质疑</w:t>
      </w:r>
      <w:r>
        <w:rPr>
          <w:rFonts w:hint="eastAsia" w:ascii="宋体" w:hAnsi="宋体" w:cs="宋体"/>
          <w:color w:val="000000" w:themeColor="text1"/>
          <w:kern w:val="0"/>
          <w:szCs w:val="21"/>
        </w:rPr>
        <w:t>。</w:t>
      </w:r>
    </w:p>
    <w:p w14:paraId="2E02C730">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供应商应知其权益受到损害之日，是指：对采购文件提出质疑的，应当在获取采购文件或者采购文件公告期限届满之日起七个工作日内提出；对采购过程提出质疑的，为各采购程序环节结束之日；对中标或者成交结果提出质疑的，为中标或者成交结果公告期限届满之日。</w:t>
      </w:r>
    </w:p>
    <w:p w14:paraId="3BA05621">
      <w:pPr>
        <w:widowControl/>
        <w:shd w:val="clear" w:color="auto" w:fill="FFFFFF"/>
        <w:spacing w:line="360" w:lineRule="auto"/>
        <w:ind w:firstLine="420"/>
        <w:rPr>
          <w:rFonts w:hint="eastAsia" w:ascii="宋体" w:hAnsi="宋体" w:cs="宋体"/>
          <w:b/>
          <w:bCs/>
          <w:color w:val="000000" w:themeColor="text1"/>
          <w:kern w:val="0"/>
          <w:szCs w:val="21"/>
        </w:rPr>
      </w:pPr>
      <w:r>
        <w:rPr>
          <w:rFonts w:hint="eastAsia" w:ascii="宋体" w:hAnsi="宋体" w:cs="宋体"/>
          <w:b/>
          <w:bCs/>
          <w:color w:val="000000" w:themeColor="text1"/>
        </w:rPr>
        <w:t>供应商必须在法定质疑期内一次性提出针对同一采购程序环节的质疑。</w:t>
      </w:r>
    </w:p>
    <w:p w14:paraId="1114F3BA">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27.4 供应商提出质疑应当提交质疑函和必要的证明材料。质疑函应当包括下列内容：</w:t>
      </w:r>
    </w:p>
    <w:p w14:paraId="6BD6E1D6">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（一）供应商的姓名或者名称、地址、邮编、联系人及联系电话；</w:t>
      </w:r>
    </w:p>
    <w:p w14:paraId="2DA2C295">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（二）质疑项目的名称、编号；</w:t>
      </w:r>
    </w:p>
    <w:p w14:paraId="580FA113">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（三）具体、明确的质疑事项和与质疑事项相关的请求（具体条款）；</w:t>
      </w:r>
    </w:p>
    <w:p w14:paraId="6AA332A9">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（四）事实依据（具体条款）；</w:t>
      </w:r>
    </w:p>
    <w:p w14:paraId="11DB78A8">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（五）必要的法律依据（具体条款）；</w:t>
      </w:r>
    </w:p>
    <w:p w14:paraId="2BB070CA">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（六）提出质疑的日期。</w:t>
      </w:r>
    </w:p>
    <w:p w14:paraId="2AE3D238">
      <w:pPr>
        <w:widowControl/>
        <w:shd w:val="clear" w:color="auto" w:fill="FFFFFF"/>
        <w:spacing w:line="360" w:lineRule="auto"/>
        <w:ind w:firstLine="420"/>
        <w:rPr>
          <w:rFonts w:hint="eastAsia" w:ascii="宋体" w:hAnsi="宋体" w:cs="宋体"/>
          <w:color w:val="000000" w:themeColor="text1"/>
          <w:szCs w:val="21"/>
        </w:rPr>
      </w:pPr>
      <w:r>
        <w:rPr>
          <w:rFonts w:hint="eastAsia" w:ascii="宋体" w:hAnsi="宋体" w:cs="宋体"/>
          <w:color w:val="000000" w:themeColor="text1"/>
          <w:szCs w:val="21"/>
        </w:rPr>
        <w:t>供应商为自然人的，应当由本人签字；供应商为法人或者其他组织的，应当由法定代表人、主要负责人，或者其授权代表签字或者盖章，并加盖公章。代理人提出质疑和投诉，应当提交供应商签署的授权委托书。其授权委托书应当载明代理人的姓名或者名称、代理事项、具体权限、期限和相关事项。</w:t>
      </w:r>
    </w:p>
    <w:p w14:paraId="01048A36">
      <w:pPr>
        <w:widowControl/>
        <w:shd w:val="clear" w:color="auto" w:fill="FFFFFF"/>
        <w:spacing w:line="360" w:lineRule="auto"/>
        <w:ind w:firstLine="420"/>
        <w:rPr>
          <w:rFonts w:hint="eastAsia" w:ascii="宋体" w:hAnsi="宋体" w:cs="宋体"/>
          <w:color w:val="000000" w:themeColor="text1"/>
          <w:szCs w:val="21"/>
        </w:rPr>
      </w:pPr>
      <w:r>
        <w:rPr>
          <w:rFonts w:hint="eastAsia" w:ascii="宋体" w:hAnsi="宋体" w:cs="宋体"/>
          <w:color w:val="000000" w:themeColor="text1"/>
          <w:szCs w:val="21"/>
        </w:rPr>
        <w:t>质疑函应当使用中文。相关当事人提供外文书证或者外国语视听资料的，应当附有中文译本，由翻译机构盖章或者翻译人员签名。</w:t>
      </w:r>
    </w:p>
    <w:p w14:paraId="2636E142">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27.5投标人不得虚假质疑和恶意质疑，并对质疑内容的真实性承担责任。投标人或者其他利害关系人通过捏造事实、伪造证明材料等方式提出异议或投诉，阻碍招投标活动正常进行的，属于严重不良行为，</w:t>
      </w:r>
      <w:r>
        <w:rPr>
          <w:rFonts w:hint="eastAsia" w:ascii="宋体" w:hAnsi="宋体" w:cs="宋体"/>
          <w:b/>
          <w:bCs/>
          <w:color w:val="000000" w:themeColor="text1"/>
          <w:kern w:val="0"/>
          <w:szCs w:val="21"/>
        </w:rPr>
        <w:t>财政部门将依法予以处罚</w:t>
      </w:r>
      <w:r>
        <w:rPr>
          <w:rFonts w:hint="eastAsia" w:ascii="宋体" w:hAnsi="宋体" w:cs="宋体"/>
          <w:color w:val="000000" w:themeColor="text1"/>
          <w:kern w:val="0"/>
          <w:szCs w:val="21"/>
        </w:rPr>
        <w:t>。</w:t>
      </w:r>
    </w:p>
    <w:p w14:paraId="226C57D4">
      <w:pPr>
        <w:widowControl/>
        <w:shd w:val="clear" w:color="auto" w:fill="FFFFFF"/>
        <w:spacing w:line="360" w:lineRule="auto"/>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27.6采购代理机构在收到投标人的书面质疑后将及时组织调查核实，在</w:t>
      </w:r>
      <w:r>
        <w:rPr>
          <w:rFonts w:hint="eastAsia" w:ascii="宋体" w:hAnsi="宋体" w:cs="宋体"/>
          <w:b/>
          <w:bCs/>
          <w:color w:val="000000" w:themeColor="text1"/>
          <w:kern w:val="0"/>
          <w:szCs w:val="21"/>
        </w:rPr>
        <w:t>七个工作日内</w:t>
      </w:r>
      <w:r>
        <w:rPr>
          <w:rFonts w:hint="eastAsia" w:ascii="宋体" w:hAnsi="宋体" w:cs="宋体"/>
          <w:color w:val="000000" w:themeColor="text1"/>
          <w:kern w:val="0"/>
          <w:szCs w:val="21"/>
        </w:rPr>
        <w:t>作出答复，并以书面或在网站公告形式通知质疑投标人和其他有关投标人，答复的内容不涉及商业秘密。</w:t>
      </w:r>
    </w:p>
    <w:p w14:paraId="31721D7F">
      <w:pPr>
        <w:widowControl/>
        <w:shd w:val="clear" w:color="auto" w:fill="FFFFFF"/>
        <w:spacing w:line="420" w:lineRule="exact"/>
        <w:ind w:firstLine="420"/>
        <w:rPr>
          <w:rFonts w:hint="eastAsia" w:ascii="宋体" w:hAnsi="宋体" w:cs="宋体"/>
          <w:color w:val="000000" w:themeColor="text1"/>
          <w:kern w:val="0"/>
          <w:szCs w:val="21"/>
        </w:rPr>
      </w:pPr>
      <w:r>
        <w:rPr>
          <w:rFonts w:hint="eastAsia" w:ascii="宋体" w:hAnsi="宋体" w:cs="宋体"/>
          <w:b/>
          <w:bCs/>
          <w:color w:val="000000" w:themeColor="text1"/>
          <w:kern w:val="0"/>
          <w:szCs w:val="21"/>
        </w:rPr>
        <w:t>28、投诉</w:t>
      </w:r>
    </w:p>
    <w:p w14:paraId="01E2592F">
      <w:pPr>
        <w:spacing w:line="420" w:lineRule="exact"/>
        <w:ind w:firstLine="420" w:firstLineChars="200"/>
        <w:rPr>
          <w:rFonts w:hint="eastAsia" w:ascii="宋体" w:hAnsi="宋体" w:cs="宋体"/>
          <w:color w:val="000000" w:themeColor="text1"/>
        </w:rPr>
      </w:pPr>
      <w:r>
        <w:rPr>
          <w:rFonts w:hint="eastAsia" w:ascii="宋体" w:hAnsi="宋体" w:cs="宋体"/>
          <w:color w:val="000000" w:themeColor="text1"/>
        </w:rPr>
        <w:t>28.1质疑供应商对采购代理机构的答复不满意或者采购代理机构未在规定的时间内作出答复的，可以在答复期满后十五个工作日内向同级政府采购监督管理部门投诉。</w:t>
      </w:r>
    </w:p>
    <w:p w14:paraId="63841935">
      <w:pPr>
        <w:spacing w:line="420" w:lineRule="exact"/>
        <w:ind w:firstLine="420" w:firstLineChars="200"/>
        <w:rPr>
          <w:rFonts w:hint="eastAsia" w:ascii="宋体" w:hAnsi="宋体" w:cs="宋体"/>
          <w:color w:val="000000" w:themeColor="text1"/>
        </w:rPr>
      </w:pPr>
      <w:r>
        <w:rPr>
          <w:rFonts w:hint="eastAsia" w:ascii="宋体" w:hAnsi="宋体" w:cs="宋体"/>
          <w:color w:val="000000" w:themeColor="text1"/>
          <w:szCs w:val="21"/>
        </w:rPr>
        <w:t>28.2供应商投诉应当有明确的请求和必要的证明材料。供应商投诉的事项不得超出已质疑事项的范围。</w:t>
      </w:r>
    </w:p>
    <w:p w14:paraId="5DC7E022">
      <w:pPr>
        <w:spacing w:line="420" w:lineRule="exact"/>
        <w:ind w:firstLine="420" w:firstLineChars="200"/>
        <w:rPr>
          <w:rFonts w:hint="eastAsia" w:ascii="宋体" w:hAnsi="宋体" w:cs="宋体"/>
          <w:color w:val="000000" w:themeColor="text1"/>
        </w:rPr>
      </w:pPr>
      <w:r>
        <w:rPr>
          <w:rFonts w:hint="eastAsia" w:ascii="宋体" w:hAnsi="宋体" w:cs="宋体"/>
          <w:color w:val="000000" w:themeColor="text1"/>
          <w:szCs w:val="21"/>
        </w:rPr>
        <w:t>28.3投诉人对政府采购监督管理部门的投诉处理决定不服或者政府采购监督管理部门逾期未作处理的，可以依法申请行政复议或者向人民法院提起行政诉讼。</w:t>
      </w:r>
    </w:p>
    <w:p w14:paraId="57EE514A">
      <w:pPr>
        <w:spacing w:line="420" w:lineRule="exact"/>
        <w:ind w:firstLine="420" w:firstLineChars="200"/>
        <w:rPr>
          <w:rFonts w:hint="eastAsia" w:ascii="宋体" w:hAnsi="宋体" w:cs="宋体"/>
          <w:color w:val="000000" w:themeColor="text1"/>
          <w:szCs w:val="21"/>
        </w:rPr>
      </w:pPr>
      <w:r>
        <w:rPr>
          <w:rFonts w:hint="eastAsia" w:ascii="宋体" w:hAnsi="宋体" w:cs="宋体"/>
          <w:color w:val="000000" w:themeColor="text1"/>
        </w:rPr>
        <w:t>28.4 投诉人有下列行为之一的，属于严重失信行为，</w:t>
      </w:r>
      <w:r>
        <w:rPr>
          <w:rFonts w:hint="eastAsia" w:ascii="宋体" w:hAnsi="宋体" w:cs="宋体"/>
          <w:color w:val="000000" w:themeColor="text1"/>
          <w:szCs w:val="21"/>
        </w:rPr>
        <w:t>由财政部门列入不良行为记录名单，禁止其一至三年内参加政府采购活动。</w:t>
      </w:r>
    </w:p>
    <w:p w14:paraId="6CB17506">
      <w:pPr>
        <w:spacing w:line="420" w:lineRule="exact"/>
        <w:ind w:firstLine="420" w:firstLineChars="200"/>
        <w:rPr>
          <w:rFonts w:hint="eastAsia" w:ascii="宋体" w:hAnsi="宋体" w:cs="宋体"/>
          <w:color w:val="000000" w:themeColor="text1"/>
        </w:rPr>
      </w:pPr>
      <w:r>
        <w:rPr>
          <w:rFonts w:hint="eastAsia" w:ascii="宋体" w:hAnsi="宋体" w:cs="宋体"/>
          <w:color w:val="000000" w:themeColor="text1"/>
        </w:rPr>
        <w:t>（1）投诉人在全国范围12个月内三次以上投诉查无实据的；</w:t>
      </w:r>
    </w:p>
    <w:p w14:paraId="6EE34BA8">
      <w:pPr>
        <w:spacing w:line="420" w:lineRule="exact"/>
        <w:ind w:firstLine="420" w:firstLineChars="200"/>
        <w:rPr>
          <w:rFonts w:hint="eastAsia" w:ascii="宋体" w:hAnsi="宋体" w:cs="宋体"/>
          <w:color w:val="000000" w:themeColor="text1"/>
        </w:rPr>
      </w:pPr>
      <w:r>
        <w:rPr>
          <w:rFonts w:hint="eastAsia" w:ascii="宋体" w:hAnsi="宋体" w:cs="宋体"/>
          <w:color w:val="000000" w:themeColor="text1"/>
        </w:rPr>
        <w:t>（2）采用捏造事实、提供虚假材料或者以非法手段取得证明材料等方式进行虚假、恶意投诉。</w:t>
      </w:r>
    </w:p>
    <w:p w14:paraId="20DA5C33">
      <w:pPr>
        <w:spacing w:line="420" w:lineRule="exact"/>
        <w:ind w:firstLine="420" w:firstLineChars="200"/>
        <w:rPr>
          <w:rFonts w:hint="eastAsia" w:ascii="宋体" w:hAnsi="宋体" w:cs="宋体"/>
          <w:color w:val="000000" w:themeColor="text1"/>
        </w:rPr>
      </w:pPr>
      <w:r>
        <w:rPr>
          <w:rFonts w:hint="eastAsia" w:ascii="宋体" w:hAnsi="宋体" w:cs="宋体"/>
          <w:color w:val="000000" w:themeColor="text1"/>
        </w:rPr>
        <w:t>证据来源的合法性存在明显疑问，投诉人无法证明其取得方式合法的，视为以非法手段取得证明材料。</w:t>
      </w:r>
    </w:p>
    <w:p w14:paraId="740FE737">
      <w:pPr>
        <w:widowControl/>
        <w:shd w:val="clear" w:color="auto" w:fill="FFFFFF"/>
        <w:spacing w:line="360" w:lineRule="auto"/>
        <w:ind w:firstLine="422" w:firstLineChars="200"/>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29、其他</w:t>
      </w:r>
    </w:p>
    <w:p w14:paraId="21262F41">
      <w:pPr>
        <w:spacing w:line="360" w:lineRule="auto"/>
        <w:ind w:firstLine="420" w:firstLineChars="200"/>
        <w:rPr>
          <w:rFonts w:hint="eastAsia" w:ascii="宋体" w:hAnsi="宋体" w:cs="宋体"/>
          <w:color w:val="000000" w:themeColor="text1"/>
          <w:szCs w:val="20"/>
        </w:rPr>
      </w:pPr>
      <w:r>
        <w:rPr>
          <w:rFonts w:hint="eastAsia" w:ascii="宋体" w:hAnsi="宋体" w:cs="宋体"/>
          <w:color w:val="000000" w:themeColor="text1"/>
          <w:szCs w:val="20"/>
        </w:rPr>
        <w:t>29.1本项目根据江苏省财政厅关于加强政府绿色采购有关事项的通知（苏财购</w:t>
      </w:r>
      <w:r>
        <w:rPr>
          <w:rFonts w:hint="eastAsia" w:ascii="宋体" w:hAnsi="宋体" w:cs="宋体"/>
          <w:color w:val="000000" w:themeColor="text1"/>
          <w:kern w:val="0"/>
          <w:szCs w:val="21"/>
        </w:rPr>
        <w:t>〔2023〕65号</w:t>
      </w:r>
      <w:r>
        <w:rPr>
          <w:rFonts w:hint="eastAsia" w:ascii="宋体" w:hAnsi="宋体" w:cs="宋体"/>
          <w:color w:val="000000" w:themeColor="text1"/>
          <w:szCs w:val="20"/>
        </w:rPr>
        <w:t>）规定，执行绿色采购需求标准。</w:t>
      </w:r>
    </w:p>
    <w:p w14:paraId="50EF9745">
      <w:pPr>
        <w:rPr>
          <w:rFonts w:hint="eastAsia" w:ascii="宋体" w:hAnsi="宋体" w:cs="宋体"/>
          <w:color w:val="000000" w:themeColor="text1"/>
        </w:rPr>
      </w:pPr>
      <w:r>
        <w:rPr>
          <w:rFonts w:hint="eastAsia" w:ascii="宋体" w:hAnsi="宋体" w:cs="宋体"/>
          <w:color w:val="000000" w:themeColor="text1"/>
        </w:rPr>
        <w:br w:type="page"/>
      </w:r>
    </w:p>
    <w:p w14:paraId="128B16EC">
      <w:pPr>
        <w:pStyle w:val="3"/>
        <w:spacing w:line="360" w:lineRule="auto"/>
        <w:rPr>
          <w:rFonts w:hint="eastAsia" w:ascii="宋体" w:hAnsi="宋体" w:cs="宋体"/>
          <w:color w:val="000000" w:themeColor="text1"/>
        </w:rPr>
      </w:pPr>
      <w:bookmarkStart w:id="12" w:name="_Toc242444306"/>
      <w:bookmarkStart w:id="13" w:name="_Toc481057145"/>
      <w:r>
        <w:rPr>
          <w:rFonts w:hint="eastAsia" w:ascii="宋体" w:hAnsi="宋体" w:cs="宋体"/>
          <w:color w:val="000000" w:themeColor="text1"/>
        </w:rPr>
        <w:t>评标标准</w:t>
      </w:r>
      <w:bookmarkEnd w:id="12"/>
    </w:p>
    <w:bookmarkEnd w:id="13"/>
    <w:p w14:paraId="7CFB21F0">
      <w:pPr>
        <w:spacing w:line="264" w:lineRule="auto"/>
        <w:ind w:firstLine="480"/>
        <w:rPr>
          <w:rFonts w:hint="eastAsia" w:ascii="黑体" w:hAnsi="黑体" w:eastAsia="黑体" w:cs="黑体"/>
          <w:color w:val="000000" w:themeColor="text1"/>
          <w:sz w:val="24"/>
        </w:rPr>
      </w:pPr>
      <w:r>
        <w:rPr>
          <w:rFonts w:hint="eastAsia" w:ascii="黑体" w:hAnsi="黑体" w:eastAsia="黑体" w:cs="黑体"/>
          <w:color w:val="000000" w:themeColor="text1"/>
          <w:sz w:val="24"/>
        </w:rPr>
        <w:t>一、评标方法</w:t>
      </w:r>
    </w:p>
    <w:p w14:paraId="4951FBF5">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1.采用综合评分法，评标结果按评审后得分由高到低顺序排列。得分相同的，按投标报价由低到高顺序排列。得分且投标报价相同的，按整体方案得分由高到低顺序排列。在投标文件满足招标文件全部实质性要求的供应商中，按照评审得分由高到低选取1名中标候选人。</w:t>
      </w:r>
    </w:p>
    <w:p w14:paraId="693BC4F0">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2.采购包评审说明</w:t>
      </w:r>
    </w:p>
    <w:p w14:paraId="312835A9">
      <w:pPr>
        <w:spacing w:line="360" w:lineRule="auto"/>
        <w:ind w:firstLine="420" w:firstLineChars="200"/>
        <w:rPr>
          <w:rFonts w:hint="eastAsia" w:ascii="宋体" w:hAnsi="宋体" w:cs="宋体"/>
          <w:color w:val="000000" w:themeColor="text1"/>
        </w:rPr>
      </w:pPr>
      <w:r>
        <w:rPr>
          <w:rFonts w:ascii="宋体" w:hAnsi="宋体" w:cs="宋体"/>
          <w:color w:val="000000" w:themeColor="text1"/>
        </w:rPr>
        <w:t>本项目多个采购包</w:t>
      </w:r>
      <w:r>
        <w:rPr>
          <w:rFonts w:hint="eastAsia" w:ascii="宋体" w:hAnsi="宋体" w:cs="宋体"/>
          <w:color w:val="000000" w:themeColor="text1"/>
        </w:rPr>
        <w:t>，</w:t>
      </w:r>
      <w:r>
        <w:rPr>
          <w:rFonts w:ascii="宋体" w:hAnsi="宋体" w:cs="宋体"/>
          <w:color w:val="000000" w:themeColor="text1"/>
        </w:rPr>
        <w:t>评审顺序依次为采购包1、采购包2、采购包3、采购包4、采购包5、采购包6、采购包7、采购包8、采购包9。其中采购包1、采购包2、采购包3、采购包4、采购包5、采购包6、采购包8、采购包9兼投不兼中；采购包7可以与其他包兼投兼中。同一投标人参与采购包1、采购包2、采购包3、采购包4、采购包5、采购包6、采购包8、采购包9投标时，在前一个采购包被确定为排名第一的中标候选人后，不作为其他采购包（不包含采购包7）的合格投标人。</w:t>
      </w:r>
    </w:p>
    <w:p w14:paraId="373CC609">
      <w:pPr>
        <w:spacing w:line="264" w:lineRule="auto"/>
        <w:ind w:firstLine="480"/>
        <w:rPr>
          <w:rFonts w:hint="eastAsia" w:ascii="黑体" w:hAnsi="黑体" w:eastAsia="黑体" w:cs="黑体"/>
          <w:color w:val="000000" w:themeColor="text1"/>
          <w:sz w:val="24"/>
        </w:rPr>
      </w:pPr>
      <w:r>
        <w:rPr>
          <w:rFonts w:hint="eastAsia" w:ascii="黑体" w:hAnsi="黑体" w:eastAsia="黑体" w:cs="黑体"/>
          <w:color w:val="000000" w:themeColor="text1"/>
          <w:sz w:val="24"/>
        </w:rPr>
        <w:t>二、小微企业价格扣除</w:t>
      </w:r>
    </w:p>
    <w:p w14:paraId="3186089C">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1.本项目服务全部由小微企业承接的，对报价给予10%的扣除，用扣除后的价格参与评审。</w:t>
      </w:r>
    </w:p>
    <w:p w14:paraId="7E050B21">
      <w:pPr>
        <w:spacing w:line="360" w:lineRule="auto"/>
        <w:ind w:firstLine="420" w:firstLineChars="200"/>
        <w:rPr>
          <w:rFonts w:hint="eastAsia" w:ascii="宋体" w:hAnsi="宋体" w:cs="宋体"/>
          <w:color w:val="000000" w:themeColor="text1"/>
        </w:rPr>
      </w:pPr>
      <w:r>
        <w:rPr>
          <w:rFonts w:hint="eastAsia" w:ascii="宋体" w:hAnsi="宋体" w:cs="宋体"/>
          <w:color w:val="000000" w:themeColor="text1"/>
        </w:rPr>
        <w:t>2.残疾人福利性单位视同小型、微型企业，给予与小微企业相同的价格扣除，用扣除后的价格参与评审；监狱和戒毒企业视同小型、微型企业，给予与小微企业相同的价格扣除，用扣除后的价格参与评审。残疾人福利单位、监狱企业属于小型、微型企业的，不重复享受价格扣除。</w:t>
      </w:r>
    </w:p>
    <w:p w14:paraId="2288F59D">
      <w:pPr>
        <w:spacing w:line="264" w:lineRule="auto"/>
        <w:ind w:firstLine="480"/>
        <w:rPr>
          <w:rFonts w:hint="eastAsia" w:ascii="黑体" w:hAnsi="黑体" w:eastAsia="黑体" w:cs="黑体"/>
          <w:color w:val="000000" w:themeColor="text1"/>
          <w:sz w:val="24"/>
        </w:rPr>
      </w:pPr>
      <w:r>
        <w:rPr>
          <w:rFonts w:hint="eastAsia" w:ascii="黑体" w:hAnsi="黑体" w:eastAsia="黑体" w:cs="黑体"/>
          <w:color w:val="000000" w:themeColor="text1"/>
          <w:sz w:val="24"/>
        </w:rPr>
        <w:t>三、评标标准</w:t>
      </w:r>
    </w:p>
    <w:p w14:paraId="7B434EFD">
      <w:pPr>
        <w:spacing w:line="360" w:lineRule="auto"/>
        <w:ind w:firstLine="422" w:firstLineChars="200"/>
        <w:rPr>
          <w:rFonts w:hint="eastAsia" w:ascii="宋体" w:hAnsi="宋体" w:cs="宋体"/>
          <w:b/>
          <w:bCs/>
          <w:color w:val="000000" w:themeColor="text1"/>
        </w:rPr>
      </w:pPr>
      <w:bookmarkStart w:id="14" w:name="OLE_LINK5"/>
      <w:r>
        <w:rPr>
          <w:rFonts w:hint="eastAsia" w:ascii="宋体" w:hAnsi="宋体" w:cs="宋体"/>
          <w:b/>
          <w:bCs/>
          <w:color w:val="000000" w:themeColor="text1"/>
        </w:rPr>
        <w:t>采购包1</w:t>
      </w:r>
    </w:p>
    <w:tbl>
      <w:tblPr>
        <w:tblStyle w:val="45"/>
        <w:tblW w:w="10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14"/>
        <w:gridCol w:w="7553"/>
        <w:gridCol w:w="872"/>
      </w:tblGrid>
      <w:tr w14:paraId="3322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14:paraId="603A40A3">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序号</w:t>
            </w:r>
          </w:p>
        </w:tc>
        <w:tc>
          <w:tcPr>
            <w:tcW w:w="914" w:type="dxa"/>
            <w:tcBorders>
              <w:top w:val="single" w:color="auto" w:sz="4" w:space="0"/>
              <w:left w:val="single" w:color="auto" w:sz="4" w:space="0"/>
              <w:bottom w:val="single" w:color="auto" w:sz="4" w:space="0"/>
              <w:right w:val="single" w:color="auto" w:sz="4" w:space="0"/>
            </w:tcBorders>
            <w:vAlign w:val="center"/>
          </w:tcPr>
          <w:p w14:paraId="35CE8974">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评分</w:t>
            </w:r>
          </w:p>
          <w:p w14:paraId="4F7BF19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因素</w:t>
            </w:r>
          </w:p>
        </w:tc>
        <w:tc>
          <w:tcPr>
            <w:tcW w:w="7553" w:type="dxa"/>
            <w:tcBorders>
              <w:top w:val="single" w:color="auto" w:sz="4" w:space="0"/>
              <w:left w:val="single" w:color="auto" w:sz="4" w:space="0"/>
              <w:bottom w:val="single" w:color="auto" w:sz="4" w:space="0"/>
              <w:right w:val="single" w:color="auto" w:sz="4" w:space="0"/>
            </w:tcBorders>
            <w:vAlign w:val="center"/>
          </w:tcPr>
          <w:p w14:paraId="60F1295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评审标准</w:t>
            </w:r>
          </w:p>
        </w:tc>
        <w:tc>
          <w:tcPr>
            <w:tcW w:w="872" w:type="dxa"/>
            <w:tcBorders>
              <w:top w:val="single" w:color="auto" w:sz="4" w:space="0"/>
              <w:left w:val="single" w:color="auto" w:sz="4" w:space="0"/>
              <w:bottom w:val="single" w:color="auto" w:sz="4" w:space="0"/>
              <w:right w:val="single" w:color="auto" w:sz="4" w:space="0"/>
            </w:tcBorders>
            <w:vAlign w:val="center"/>
          </w:tcPr>
          <w:p w14:paraId="1ECCD55D">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分值（分）</w:t>
            </w:r>
          </w:p>
        </w:tc>
      </w:tr>
      <w:tr w14:paraId="45BA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09" w:type="dxa"/>
            <w:tcBorders>
              <w:top w:val="single" w:color="auto" w:sz="4" w:space="0"/>
              <w:left w:val="single" w:color="auto" w:sz="4" w:space="0"/>
              <w:right w:val="single" w:color="auto" w:sz="4" w:space="0"/>
            </w:tcBorders>
            <w:vAlign w:val="center"/>
          </w:tcPr>
          <w:p w14:paraId="3F09A1F9">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1</w:t>
            </w:r>
          </w:p>
        </w:tc>
        <w:tc>
          <w:tcPr>
            <w:tcW w:w="914" w:type="dxa"/>
            <w:tcBorders>
              <w:top w:val="single" w:color="auto" w:sz="4" w:space="0"/>
              <w:left w:val="single" w:color="auto" w:sz="4" w:space="0"/>
              <w:right w:val="single" w:color="auto" w:sz="4" w:space="0"/>
            </w:tcBorders>
            <w:vAlign w:val="center"/>
          </w:tcPr>
          <w:p w14:paraId="6F979D8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价格</w:t>
            </w:r>
          </w:p>
        </w:tc>
        <w:tc>
          <w:tcPr>
            <w:tcW w:w="7553" w:type="dxa"/>
            <w:tcBorders>
              <w:top w:val="single" w:color="auto" w:sz="4" w:space="0"/>
              <w:left w:val="single" w:color="auto" w:sz="4" w:space="0"/>
              <w:bottom w:val="single" w:color="auto" w:sz="4" w:space="0"/>
              <w:right w:val="single" w:color="auto" w:sz="4" w:space="0"/>
            </w:tcBorders>
            <w:vAlign w:val="center"/>
          </w:tcPr>
          <w:p w14:paraId="26843118">
            <w:pPr>
              <w:spacing w:line="200" w:lineRule="atLeast"/>
              <w:rPr>
                <w:rFonts w:hint="eastAsia" w:ascii="宋体" w:hAnsi="宋体" w:cs="宋体"/>
                <w:bCs/>
                <w:color w:val="000000" w:themeColor="text1"/>
                <w:szCs w:val="21"/>
              </w:rPr>
            </w:pPr>
            <w:r>
              <w:rPr>
                <w:rFonts w:hint="eastAsia" w:ascii="宋体" w:hAnsi="宋体" w:cs="宋体"/>
                <w:bCs/>
                <w:color w:val="000000" w:themeColor="text1"/>
                <w:szCs w:val="21"/>
                <w:lang w:val="zh-CN"/>
              </w:rPr>
              <w:t>价格评审采用低价优先法计算，即满足招标文件要求且价格最低的最终报价为基准价，其价格分为满分20分。其他供应商的价格分按照下列公式计算（小数点保留两位）。报价得分=(基准价／最终报价)×</w:t>
            </w:r>
            <w:r>
              <w:rPr>
                <w:rFonts w:hint="eastAsia" w:ascii="宋体" w:hAnsi="宋体" w:cs="宋体"/>
                <w:bCs/>
                <w:color w:val="000000" w:themeColor="text1"/>
                <w:szCs w:val="21"/>
              </w:rPr>
              <w:t>20</w:t>
            </w:r>
          </w:p>
        </w:tc>
        <w:tc>
          <w:tcPr>
            <w:tcW w:w="872" w:type="dxa"/>
            <w:tcBorders>
              <w:top w:val="single" w:color="auto" w:sz="4" w:space="0"/>
              <w:left w:val="single" w:color="auto" w:sz="4" w:space="0"/>
              <w:right w:val="single" w:color="auto" w:sz="4" w:space="0"/>
            </w:tcBorders>
            <w:vAlign w:val="center"/>
          </w:tcPr>
          <w:p w14:paraId="385C3DC3">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20</w:t>
            </w:r>
          </w:p>
        </w:tc>
      </w:tr>
      <w:tr w14:paraId="24BB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restart"/>
            <w:tcBorders>
              <w:top w:val="single" w:color="auto" w:sz="4" w:space="0"/>
              <w:left w:val="single" w:color="auto" w:sz="4" w:space="0"/>
              <w:right w:val="single" w:color="auto" w:sz="4" w:space="0"/>
            </w:tcBorders>
            <w:vAlign w:val="center"/>
          </w:tcPr>
          <w:p w14:paraId="114619C7">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2</w:t>
            </w:r>
          </w:p>
        </w:tc>
        <w:tc>
          <w:tcPr>
            <w:tcW w:w="914" w:type="dxa"/>
            <w:vMerge w:val="restart"/>
            <w:tcBorders>
              <w:top w:val="single" w:color="auto" w:sz="4" w:space="0"/>
              <w:left w:val="single" w:color="auto" w:sz="4" w:space="0"/>
              <w:right w:val="single" w:color="auto" w:sz="4" w:space="0"/>
            </w:tcBorders>
            <w:vAlign w:val="center"/>
          </w:tcPr>
          <w:p w14:paraId="4957AC87">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整体服务方案</w:t>
            </w:r>
          </w:p>
        </w:tc>
        <w:tc>
          <w:tcPr>
            <w:tcW w:w="7553" w:type="dxa"/>
            <w:tcBorders>
              <w:top w:val="single" w:color="auto" w:sz="4" w:space="0"/>
              <w:left w:val="single" w:color="auto" w:sz="4" w:space="0"/>
              <w:bottom w:val="single" w:color="auto" w:sz="4" w:space="0"/>
              <w:right w:val="single" w:color="auto" w:sz="4" w:space="0"/>
            </w:tcBorders>
            <w:vAlign w:val="center"/>
          </w:tcPr>
          <w:p w14:paraId="43828A97">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评委根据供应商提供的</w:t>
            </w:r>
            <w:r>
              <w:rPr>
                <w:rFonts w:ascii="宋体" w:hAnsi="宋体"/>
                <w:color w:val="000000" w:themeColor="text1"/>
                <w:szCs w:val="21"/>
              </w:rPr>
              <w:t>日常现场管理方案</w:t>
            </w:r>
            <w:r>
              <w:rPr>
                <w:rFonts w:hint="eastAsia" w:ascii="宋体" w:hAnsi="宋体"/>
                <w:color w:val="000000" w:themeColor="text1"/>
                <w:szCs w:val="21"/>
              </w:rPr>
              <w:t>（</w:t>
            </w:r>
            <w:r>
              <w:rPr>
                <w:rFonts w:ascii="宋体" w:hAnsi="宋体"/>
                <w:color w:val="000000" w:themeColor="text1"/>
                <w:szCs w:val="21"/>
              </w:rPr>
              <w:t>针对景区保安工作内容、特点等要素，根据供应商提供的针对本项目的整体设想及策划（至少包含安全检查规范与标准、进退场交接方案、监督检查与过程风险控制及质量保障体系监督检查等内容）</w:t>
            </w:r>
            <w:r>
              <w:rPr>
                <w:rFonts w:hint="eastAsia" w:ascii="宋体" w:hAnsi="宋体"/>
                <w:color w:val="000000" w:themeColor="text1"/>
                <w:szCs w:val="21"/>
              </w:rPr>
              <w:t>）进行综合评分：</w:t>
            </w:r>
          </w:p>
          <w:p w14:paraId="020B8AA4">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日常现场管理方案</w:t>
            </w:r>
            <w:r>
              <w:rPr>
                <w:rFonts w:hint="eastAsia" w:ascii="宋体" w:hAnsi="宋体"/>
                <w:color w:val="000000" w:themeColor="text1"/>
                <w:szCs w:val="21"/>
              </w:rPr>
              <w:t>完善全面合理，无瑕疵的得10分；</w:t>
            </w:r>
          </w:p>
          <w:p w14:paraId="0FD26982">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日常现场管理方案</w:t>
            </w:r>
            <w:r>
              <w:rPr>
                <w:rFonts w:hint="eastAsia" w:ascii="宋体" w:hAnsi="宋体"/>
                <w:color w:val="000000" w:themeColor="text1"/>
                <w:szCs w:val="21"/>
              </w:rPr>
              <w:t>完善比较合理，无明显瑕疵的得8分；</w:t>
            </w:r>
          </w:p>
          <w:p w14:paraId="16264EFD">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日常现场管理方案</w:t>
            </w:r>
            <w:r>
              <w:rPr>
                <w:rFonts w:hint="eastAsia" w:ascii="宋体" w:hAnsi="宋体"/>
                <w:color w:val="000000" w:themeColor="text1"/>
                <w:szCs w:val="21"/>
              </w:rPr>
              <w:t>完善基本合理，基本无明显瑕疵的得</w:t>
            </w:r>
            <w:bookmarkStart w:id="15" w:name="OLE_LINK1"/>
            <w:r>
              <w:rPr>
                <w:rFonts w:hint="eastAsia" w:ascii="宋体" w:hAnsi="宋体"/>
                <w:color w:val="000000" w:themeColor="text1"/>
                <w:szCs w:val="21"/>
              </w:rPr>
              <w:t>5分</w:t>
            </w:r>
            <w:bookmarkEnd w:id="15"/>
            <w:r>
              <w:rPr>
                <w:rFonts w:hint="eastAsia" w:ascii="宋体" w:hAnsi="宋体"/>
                <w:color w:val="000000" w:themeColor="text1"/>
                <w:szCs w:val="21"/>
              </w:rPr>
              <w:t>；</w:t>
            </w:r>
          </w:p>
          <w:p w14:paraId="56B0F136">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日常现场管理方案</w:t>
            </w:r>
            <w:r>
              <w:rPr>
                <w:rFonts w:hint="eastAsia" w:ascii="宋体" w:hAnsi="宋体"/>
                <w:color w:val="000000" w:themeColor="text1"/>
                <w:szCs w:val="21"/>
              </w:rPr>
              <w:t>合理一般，有明显瑕疵的得2分，</w:t>
            </w:r>
          </w:p>
          <w:p w14:paraId="5D229263">
            <w:pPr>
              <w:spacing w:line="200" w:lineRule="atLeast"/>
              <w:rPr>
                <w:rFonts w:hint="eastAsia" w:ascii="宋体" w:hAnsi="宋体"/>
                <w:color w:val="000000" w:themeColor="text1"/>
                <w:szCs w:val="21"/>
              </w:rPr>
            </w:pPr>
            <w:r>
              <w:rPr>
                <w:rFonts w:hint="eastAsia" w:ascii="宋体" w:hAnsi="宋体"/>
                <w:color w:val="000000" w:themeColor="text1"/>
                <w:szCs w:val="21"/>
              </w:rPr>
              <w:t>（5）不提供不得分。</w:t>
            </w:r>
          </w:p>
        </w:tc>
        <w:tc>
          <w:tcPr>
            <w:tcW w:w="872" w:type="dxa"/>
            <w:tcBorders>
              <w:top w:val="single" w:color="auto" w:sz="4" w:space="0"/>
              <w:left w:val="single" w:color="auto" w:sz="4" w:space="0"/>
              <w:right w:val="single" w:color="auto" w:sz="4" w:space="0"/>
            </w:tcBorders>
            <w:vAlign w:val="center"/>
          </w:tcPr>
          <w:p w14:paraId="1256BDC7">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294C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3E5F71D2">
            <w:pPr>
              <w:widowControl/>
              <w:spacing w:line="200" w:lineRule="atLeast"/>
              <w:jc w:val="center"/>
              <w:rPr>
                <w:rFonts w:hint="eastAsia" w:ascii="宋体" w:hAnsi="宋体" w:cs="宋体"/>
                <w:b/>
                <w:color w:val="000000" w:themeColor="text1"/>
                <w:szCs w:val="21"/>
              </w:rPr>
            </w:pPr>
            <w:bookmarkStart w:id="16" w:name="OLE_LINK11"/>
          </w:p>
        </w:tc>
        <w:tc>
          <w:tcPr>
            <w:tcW w:w="914" w:type="dxa"/>
            <w:vMerge w:val="continue"/>
            <w:tcBorders>
              <w:left w:val="single" w:color="auto" w:sz="4" w:space="0"/>
              <w:right w:val="single" w:color="auto" w:sz="4" w:space="0"/>
            </w:tcBorders>
            <w:vAlign w:val="center"/>
          </w:tcPr>
          <w:p w14:paraId="6E9E675E">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4DF0786F">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评委根据供应商针对本项目</w:t>
            </w:r>
            <w:r>
              <w:rPr>
                <w:rFonts w:ascii="宋体" w:hAnsi="宋体"/>
                <w:color w:val="000000" w:themeColor="text1"/>
                <w:szCs w:val="21"/>
              </w:rPr>
              <w:t>配套流程和规章制度</w:t>
            </w:r>
            <w:r>
              <w:rPr>
                <w:rFonts w:hint="eastAsia" w:ascii="宋体" w:hAnsi="宋体"/>
                <w:color w:val="000000" w:themeColor="text1"/>
                <w:szCs w:val="21"/>
              </w:rPr>
              <w:t>（针对景区保安工作内容、特点等要素，根据供应商提供的配套流程和规章制度（至少包含岗位职责、岗位执行规范、工作程序、管理制度等内容））内容进行评审：</w:t>
            </w:r>
          </w:p>
          <w:p w14:paraId="1D491AC2">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配套流程和规章制度</w:t>
            </w:r>
            <w:r>
              <w:rPr>
                <w:rFonts w:hint="eastAsia" w:ascii="宋体" w:hAnsi="宋体"/>
                <w:color w:val="000000" w:themeColor="text1"/>
                <w:szCs w:val="21"/>
              </w:rPr>
              <w:t>合理、切实可行、针对性强得10分；</w:t>
            </w:r>
          </w:p>
          <w:p w14:paraId="1894558D">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配套流程和规章制度</w:t>
            </w:r>
            <w:r>
              <w:rPr>
                <w:rFonts w:hint="eastAsia" w:ascii="宋体" w:hAnsi="宋体"/>
                <w:color w:val="000000" w:themeColor="text1"/>
                <w:szCs w:val="21"/>
              </w:rPr>
              <w:t>较合理、较可行、针对性较强得8分；</w:t>
            </w:r>
          </w:p>
          <w:p w14:paraId="0DA2CA3B">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配套流程和规章制度</w:t>
            </w:r>
            <w:r>
              <w:rPr>
                <w:rFonts w:hint="eastAsia" w:ascii="宋体" w:hAnsi="宋体"/>
                <w:color w:val="000000" w:themeColor="text1"/>
                <w:szCs w:val="21"/>
              </w:rPr>
              <w:t>简单、可行性、针对性差的得5分；</w:t>
            </w:r>
          </w:p>
          <w:p w14:paraId="39350244">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配套流程和规章制度</w:t>
            </w:r>
            <w:r>
              <w:rPr>
                <w:rFonts w:hint="eastAsia" w:ascii="宋体" w:hAnsi="宋体"/>
                <w:color w:val="000000" w:themeColor="text1"/>
                <w:szCs w:val="21"/>
              </w:rPr>
              <w:t>较简单、可行性、针对性较差的得2分；</w:t>
            </w:r>
          </w:p>
          <w:p w14:paraId="41A4B375">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668577A7">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bookmarkEnd w:id="16"/>
      <w:tr w14:paraId="6FAA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6A8B3C15">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7A8CE10B">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09A26706">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评委根据供应商针对本项目</w:t>
            </w:r>
            <w:r>
              <w:rPr>
                <w:rFonts w:ascii="宋体" w:hAnsi="宋体"/>
                <w:color w:val="000000" w:themeColor="text1"/>
                <w:szCs w:val="21"/>
              </w:rPr>
              <w:t>应急事件处理预案</w:t>
            </w:r>
            <w:r>
              <w:rPr>
                <w:rFonts w:hint="eastAsia" w:ascii="宋体" w:hAnsi="宋体"/>
                <w:color w:val="000000" w:themeColor="text1"/>
                <w:szCs w:val="21"/>
              </w:rPr>
              <w:t>（针对景区保安工作内容、特点等要素，根据供应商提供的应急管理与突发事件处置预案（至少包含突发事件的原则、方法和流程，人流拥堵疏导、纠纷事件处理、重大活动或节假日、打架斗殴事件处理、群体性事件处置等内容））内容进行评审：</w:t>
            </w:r>
          </w:p>
          <w:p w14:paraId="365706C1">
            <w:pPr>
              <w:spacing w:line="200" w:lineRule="atLeast"/>
              <w:rPr>
                <w:rFonts w:hint="eastAsia" w:ascii="宋体" w:hAnsi="宋体"/>
                <w:color w:val="000000" w:themeColor="text1"/>
                <w:szCs w:val="21"/>
              </w:rPr>
            </w:pPr>
            <w:r>
              <w:rPr>
                <w:rFonts w:ascii="宋体" w:hAnsi="宋体"/>
                <w:color w:val="000000" w:themeColor="text1"/>
                <w:szCs w:val="21"/>
              </w:rPr>
              <w:t>（1）应急事件处理预案合理、切实可行、针对性强得10分；</w:t>
            </w:r>
          </w:p>
          <w:p w14:paraId="43AAEF15">
            <w:pPr>
              <w:spacing w:line="200" w:lineRule="atLeast"/>
              <w:rPr>
                <w:rFonts w:hint="eastAsia" w:ascii="宋体" w:hAnsi="宋体"/>
                <w:color w:val="000000" w:themeColor="text1"/>
                <w:szCs w:val="21"/>
              </w:rPr>
            </w:pPr>
            <w:r>
              <w:rPr>
                <w:rFonts w:ascii="宋体" w:hAnsi="宋体"/>
                <w:color w:val="000000" w:themeColor="text1"/>
                <w:szCs w:val="21"/>
              </w:rPr>
              <w:t>（2）应急事件处理预案较合理、较可行、针对性较强得8分；</w:t>
            </w:r>
          </w:p>
          <w:p w14:paraId="0FA2D1B9">
            <w:pPr>
              <w:spacing w:line="200" w:lineRule="atLeast"/>
              <w:rPr>
                <w:rFonts w:hint="eastAsia" w:ascii="宋体" w:hAnsi="宋体"/>
                <w:color w:val="000000" w:themeColor="text1"/>
                <w:szCs w:val="21"/>
              </w:rPr>
            </w:pPr>
            <w:r>
              <w:rPr>
                <w:rFonts w:ascii="宋体" w:hAnsi="宋体"/>
                <w:color w:val="000000" w:themeColor="text1"/>
                <w:szCs w:val="21"/>
              </w:rPr>
              <w:t>（3）应急事件处理预案简单、可行性、针对性差的得5分；</w:t>
            </w:r>
          </w:p>
          <w:p w14:paraId="7454588E">
            <w:pPr>
              <w:spacing w:line="200" w:lineRule="atLeast"/>
              <w:rPr>
                <w:rFonts w:hint="eastAsia" w:ascii="宋体" w:hAnsi="宋体"/>
                <w:color w:val="000000" w:themeColor="text1"/>
                <w:szCs w:val="21"/>
              </w:rPr>
            </w:pPr>
            <w:r>
              <w:rPr>
                <w:rFonts w:ascii="宋体" w:hAnsi="宋体"/>
                <w:color w:val="000000" w:themeColor="text1"/>
                <w:szCs w:val="21"/>
              </w:rPr>
              <w:t>（4）应急事件处理预案较简单、可行性、针对性较差的得2分；</w:t>
            </w:r>
          </w:p>
          <w:p w14:paraId="62D6422F">
            <w:pPr>
              <w:spacing w:line="200" w:lineRule="atLeast"/>
              <w:rPr>
                <w:rFonts w:hint="eastAsia" w:ascii="宋体" w:hAnsi="宋体"/>
                <w:color w:val="000000" w:themeColor="text1"/>
                <w:szCs w:val="21"/>
              </w:rPr>
            </w:pPr>
            <w:r>
              <w:rPr>
                <w:rFonts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50B5F5FE">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216A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0980BAEE">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2A8FE4B3">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6D456F41">
            <w:pPr>
              <w:spacing w:line="200" w:lineRule="atLeast"/>
              <w:rPr>
                <w:rFonts w:hint="eastAsia" w:ascii="宋体" w:hAnsi="宋体"/>
                <w:color w:val="000000" w:themeColor="text1"/>
                <w:szCs w:val="21"/>
              </w:rPr>
            </w:pPr>
            <w:bookmarkStart w:id="17" w:name="OLE_LINK2"/>
            <w:r>
              <w:rPr>
                <w:rFonts w:hint="eastAsia" w:ascii="宋体" w:hAnsi="宋体"/>
                <w:color w:val="000000" w:themeColor="text1"/>
                <w:szCs w:val="21"/>
              </w:rPr>
              <w:t>评委根据供应商提供的</w:t>
            </w:r>
            <w:r>
              <w:rPr>
                <w:rFonts w:ascii="宋体" w:hAnsi="宋体"/>
                <w:color w:val="000000" w:themeColor="text1"/>
                <w:szCs w:val="21"/>
              </w:rPr>
              <w:t>人员配备方案</w:t>
            </w:r>
            <w:r>
              <w:rPr>
                <w:rFonts w:hint="eastAsia" w:ascii="宋体" w:hAnsi="宋体"/>
                <w:color w:val="000000" w:themeColor="text1"/>
                <w:szCs w:val="21"/>
              </w:rPr>
              <w:t>（针对景区保安工作内容、特点等要素，根据供应商提供的人员配备方案（至少包含人员配备数量、培训计划、培训措施、培训管理等内容））进行综合评分：</w:t>
            </w:r>
          </w:p>
          <w:p w14:paraId="1BCA14B7">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人员配备</w:t>
            </w:r>
            <w:r>
              <w:rPr>
                <w:rFonts w:hint="eastAsia" w:ascii="宋体" w:hAnsi="宋体"/>
                <w:color w:val="000000" w:themeColor="text1"/>
                <w:szCs w:val="21"/>
              </w:rPr>
              <w:t>方案合理可行，针对性强，无明显瑕疵的，得10分；</w:t>
            </w:r>
          </w:p>
          <w:p w14:paraId="32896CF3">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人员配备</w:t>
            </w:r>
            <w:r>
              <w:rPr>
                <w:rFonts w:hint="eastAsia" w:ascii="宋体" w:hAnsi="宋体"/>
                <w:color w:val="000000" w:themeColor="text1"/>
                <w:szCs w:val="21"/>
              </w:rPr>
              <w:t>方案基本合理，针对性较强，无明显瑕疵的，得8分；</w:t>
            </w:r>
          </w:p>
          <w:p w14:paraId="5D257028">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人员配备</w:t>
            </w:r>
            <w:r>
              <w:rPr>
                <w:rFonts w:hint="eastAsia" w:ascii="宋体" w:hAnsi="宋体"/>
                <w:color w:val="000000" w:themeColor="text1"/>
                <w:szCs w:val="21"/>
              </w:rPr>
              <w:t>方案一般，针对性一般，基本明显瑕疵的，得5分；</w:t>
            </w:r>
          </w:p>
          <w:p w14:paraId="004C8C1F">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人员</w:t>
            </w:r>
            <w:r>
              <w:rPr>
                <w:rFonts w:hint="eastAsia" w:ascii="宋体" w:hAnsi="宋体"/>
                <w:color w:val="000000" w:themeColor="text1"/>
                <w:szCs w:val="21"/>
              </w:rPr>
              <w:t>配备方案较差，针对性一般，有明显瑕疵的，得2分；</w:t>
            </w:r>
          </w:p>
          <w:p w14:paraId="13A82FB8">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bookmarkEnd w:id="17"/>
          </w:p>
        </w:tc>
        <w:tc>
          <w:tcPr>
            <w:tcW w:w="872" w:type="dxa"/>
            <w:tcBorders>
              <w:top w:val="single" w:color="auto" w:sz="4" w:space="0"/>
              <w:left w:val="single" w:color="auto" w:sz="4" w:space="0"/>
              <w:right w:val="single" w:color="auto" w:sz="4" w:space="0"/>
            </w:tcBorders>
            <w:vAlign w:val="center"/>
          </w:tcPr>
          <w:p w14:paraId="363B7100">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3EB1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1A9F1CEE">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652592C7">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6D7CBE99">
            <w:pPr>
              <w:spacing w:line="200" w:lineRule="atLeast"/>
              <w:rPr>
                <w:rFonts w:hint="eastAsia" w:ascii="宋体" w:hAnsi="宋体"/>
                <w:color w:val="000000" w:themeColor="text1"/>
                <w:szCs w:val="21"/>
              </w:rPr>
            </w:pPr>
            <w:r>
              <w:rPr>
                <w:rFonts w:ascii="宋体" w:hAnsi="宋体"/>
                <w:color w:val="000000" w:themeColor="text1"/>
                <w:szCs w:val="21"/>
              </w:rPr>
              <w:t>评委根据供应商提供的考核及激励措施方案（</w:t>
            </w:r>
            <w:r>
              <w:rPr>
                <w:rFonts w:hint="eastAsia" w:ascii="宋体" w:hAnsi="宋体"/>
                <w:color w:val="000000" w:themeColor="text1"/>
                <w:szCs w:val="21"/>
              </w:rPr>
              <w:t>针对景区保安工作内容、特点等要素，根据供应商提供的考核与激励方案（至少包含人员考核措施、奖罚淘汰机制、奖惩制度、提高人员工作积极性措施等内容）</w:t>
            </w:r>
            <w:r>
              <w:rPr>
                <w:rFonts w:ascii="宋体" w:hAnsi="宋体"/>
                <w:color w:val="000000" w:themeColor="text1"/>
                <w:szCs w:val="21"/>
              </w:rPr>
              <w:t>）进行综合评分：</w:t>
            </w:r>
          </w:p>
          <w:p w14:paraId="65A8D968">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考核及激励措施</w:t>
            </w:r>
            <w:r>
              <w:rPr>
                <w:rFonts w:hint="eastAsia" w:ascii="宋体" w:hAnsi="宋体"/>
                <w:color w:val="000000" w:themeColor="text1"/>
                <w:szCs w:val="21"/>
              </w:rPr>
              <w:t>方案合理、重点和难点把控精准、可实施性高得8分；</w:t>
            </w:r>
          </w:p>
          <w:p w14:paraId="19A9654B">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考核及激励措施</w:t>
            </w:r>
            <w:r>
              <w:rPr>
                <w:rFonts w:hint="eastAsia" w:ascii="宋体" w:hAnsi="宋体"/>
                <w:color w:val="000000" w:themeColor="text1"/>
                <w:szCs w:val="21"/>
              </w:rPr>
              <w:t>方案较合理、重点和难点把控较精准、可实施性较高得7分；</w:t>
            </w:r>
          </w:p>
          <w:p w14:paraId="129FA10D">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考核及激励措施</w:t>
            </w:r>
            <w:r>
              <w:rPr>
                <w:rFonts w:hint="eastAsia" w:ascii="宋体" w:hAnsi="宋体"/>
                <w:color w:val="000000" w:themeColor="text1"/>
                <w:szCs w:val="21"/>
              </w:rPr>
              <w:t>方案简单、重点和难点把控较精准、可实施性欠缺得4分；</w:t>
            </w:r>
          </w:p>
          <w:p w14:paraId="10F2290C">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考核及激励措施</w:t>
            </w:r>
            <w:r>
              <w:rPr>
                <w:rFonts w:hint="eastAsia" w:ascii="宋体" w:hAnsi="宋体"/>
                <w:color w:val="000000" w:themeColor="text1"/>
                <w:szCs w:val="21"/>
              </w:rPr>
              <w:t>方案简单、重点和难点把控不精准、可实施性欠缺得1分；</w:t>
            </w:r>
          </w:p>
          <w:p w14:paraId="351D631D">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43701A63">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8</w:t>
            </w:r>
          </w:p>
        </w:tc>
      </w:tr>
      <w:tr w14:paraId="179F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2F0E2F1E">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4E3261EC">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7DE37445">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评委根据供应商提供的</w:t>
            </w:r>
            <w:r>
              <w:rPr>
                <w:rFonts w:ascii="宋体" w:hAnsi="宋体"/>
                <w:color w:val="000000" w:themeColor="text1"/>
                <w:szCs w:val="21"/>
              </w:rPr>
              <w:t>纠纷解决方案</w:t>
            </w:r>
            <w:r>
              <w:rPr>
                <w:rFonts w:hint="eastAsia" w:ascii="宋体" w:hAnsi="宋体"/>
                <w:color w:val="000000" w:themeColor="text1"/>
                <w:szCs w:val="21"/>
              </w:rPr>
              <w:t>（针对景区保安工作内容、特点等要素，根据供应商提供的劳务纠纷解决方案（至少包含劳务纠纷解决策略、处理流程等内容））进行综合评分：</w:t>
            </w:r>
          </w:p>
          <w:p w14:paraId="19F07D98">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纠纷解决</w:t>
            </w:r>
            <w:r>
              <w:rPr>
                <w:rFonts w:hint="eastAsia" w:ascii="宋体" w:hAnsi="宋体"/>
                <w:color w:val="000000" w:themeColor="text1"/>
                <w:szCs w:val="21"/>
              </w:rPr>
              <w:t>方案合理、重点和难点把控精准、可实施性高得8分；</w:t>
            </w:r>
          </w:p>
          <w:p w14:paraId="3A0EF3E1">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纠纷解决</w:t>
            </w:r>
            <w:r>
              <w:rPr>
                <w:rFonts w:hint="eastAsia" w:ascii="宋体" w:hAnsi="宋体"/>
                <w:color w:val="000000" w:themeColor="text1"/>
                <w:szCs w:val="21"/>
              </w:rPr>
              <w:t>方案较合理、重点和难点把控较精准、可实施性较高得7分；</w:t>
            </w:r>
          </w:p>
          <w:p w14:paraId="6AAED966">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纠纷解决</w:t>
            </w:r>
            <w:r>
              <w:rPr>
                <w:rFonts w:hint="eastAsia" w:ascii="宋体" w:hAnsi="宋体"/>
                <w:color w:val="000000" w:themeColor="text1"/>
                <w:szCs w:val="21"/>
              </w:rPr>
              <w:t>方案简单、重点和难点把控较精准、可实施性欠缺得4分；</w:t>
            </w:r>
          </w:p>
          <w:p w14:paraId="50D71604">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纠纷解决</w:t>
            </w:r>
            <w:r>
              <w:rPr>
                <w:rFonts w:hint="eastAsia" w:ascii="宋体" w:hAnsi="宋体"/>
                <w:color w:val="000000" w:themeColor="text1"/>
                <w:szCs w:val="21"/>
              </w:rPr>
              <w:t>方案简单、重点和难点把控不精准、可实施性欠缺得1分；</w:t>
            </w:r>
          </w:p>
          <w:p w14:paraId="667469DF">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1B0E88B9">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8</w:t>
            </w:r>
          </w:p>
        </w:tc>
      </w:tr>
      <w:tr w14:paraId="7DF7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6D4405FD">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65A6B065">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46CA0BB3">
            <w:pPr>
              <w:spacing w:line="200" w:lineRule="atLeast"/>
              <w:rPr>
                <w:rFonts w:hint="eastAsia" w:ascii="宋体" w:hAnsi="宋体"/>
                <w:color w:val="000000" w:themeColor="text1"/>
                <w:szCs w:val="21"/>
              </w:rPr>
            </w:pPr>
            <w:bookmarkStart w:id="18" w:name="OLE_LINK15"/>
            <w:r>
              <w:rPr>
                <w:rFonts w:hint="eastAsia" w:ascii="宋体" w:hAnsi="宋体"/>
                <w:color w:val="000000" w:themeColor="text1"/>
                <w:szCs w:val="21"/>
              </w:rPr>
              <w:t>评委根据供应商提供的</w:t>
            </w:r>
            <w:r>
              <w:rPr>
                <w:rFonts w:ascii="宋体" w:hAnsi="宋体"/>
                <w:color w:val="000000" w:themeColor="text1"/>
                <w:szCs w:val="21"/>
              </w:rPr>
              <w:t>智慧化创新管理实施方案</w:t>
            </w:r>
            <w:r>
              <w:rPr>
                <w:rFonts w:hint="eastAsia" w:ascii="宋体" w:hAnsi="宋体"/>
                <w:color w:val="000000" w:themeColor="text1"/>
                <w:szCs w:val="21"/>
              </w:rPr>
              <w:t>（包括安保、景区巡查服务，提供智慧化创新管理，并且提供相关的材料进行佐证）进行综合评分：</w:t>
            </w:r>
          </w:p>
          <w:p w14:paraId="502FB947">
            <w:pPr>
              <w:spacing w:line="200" w:lineRule="atLeast"/>
              <w:rPr>
                <w:rFonts w:hint="eastAsia" w:ascii="宋体" w:hAnsi="宋体"/>
                <w:color w:val="000000" w:themeColor="text1"/>
                <w:szCs w:val="21"/>
              </w:rPr>
            </w:pPr>
            <w:r>
              <w:rPr>
                <w:rFonts w:hint="eastAsia" w:ascii="宋体" w:hAnsi="宋体"/>
                <w:color w:val="000000" w:themeColor="text1"/>
                <w:szCs w:val="21"/>
              </w:rPr>
              <w:t>（1）</w:t>
            </w:r>
            <w:bookmarkStart w:id="19" w:name="OLE_LINK4"/>
            <w:r>
              <w:rPr>
                <w:rFonts w:ascii="宋体" w:hAnsi="宋体"/>
                <w:color w:val="000000" w:themeColor="text1"/>
                <w:szCs w:val="21"/>
              </w:rPr>
              <w:t>智慧化创新管理实施方案</w:t>
            </w:r>
            <w:r>
              <w:rPr>
                <w:rFonts w:hint="eastAsia" w:ascii="宋体" w:hAnsi="宋体"/>
                <w:color w:val="000000" w:themeColor="text1"/>
                <w:szCs w:val="21"/>
              </w:rPr>
              <w:t>合</w:t>
            </w:r>
            <w:bookmarkEnd w:id="19"/>
            <w:r>
              <w:rPr>
                <w:rFonts w:hint="eastAsia" w:ascii="宋体" w:hAnsi="宋体"/>
                <w:color w:val="000000" w:themeColor="text1"/>
                <w:szCs w:val="21"/>
              </w:rPr>
              <w:t>理可行，针对性强，无明显瑕疵的，得9分；</w:t>
            </w:r>
          </w:p>
          <w:p w14:paraId="51E3BE2C">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智慧化创新管理实施方案</w:t>
            </w:r>
            <w:r>
              <w:rPr>
                <w:rFonts w:hint="eastAsia" w:ascii="宋体" w:hAnsi="宋体"/>
                <w:color w:val="000000" w:themeColor="text1"/>
                <w:szCs w:val="21"/>
              </w:rPr>
              <w:t>基本合理，针对性较强，无明显瑕疵的，得8分；</w:t>
            </w:r>
          </w:p>
          <w:p w14:paraId="29036E9C">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智慧化创新管理实施方案</w:t>
            </w:r>
            <w:r>
              <w:rPr>
                <w:rFonts w:hint="eastAsia" w:ascii="宋体" w:hAnsi="宋体"/>
                <w:color w:val="000000" w:themeColor="text1"/>
                <w:szCs w:val="21"/>
              </w:rPr>
              <w:t>一般，针对性一般，基本明显瑕疵的，得5分；</w:t>
            </w:r>
          </w:p>
          <w:p w14:paraId="03B71B3C">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智慧化创新管理实施方案</w:t>
            </w:r>
            <w:r>
              <w:rPr>
                <w:rFonts w:hint="eastAsia" w:ascii="宋体" w:hAnsi="宋体"/>
                <w:color w:val="000000" w:themeColor="text1"/>
                <w:szCs w:val="21"/>
              </w:rPr>
              <w:t>较差，针对性一般，有明显瑕疵的，得2分；</w:t>
            </w:r>
          </w:p>
          <w:p w14:paraId="229C87FE">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bookmarkEnd w:id="18"/>
          </w:p>
        </w:tc>
        <w:tc>
          <w:tcPr>
            <w:tcW w:w="872" w:type="dxa"/>
            <w:tcBorders>
              <w:top w:val="single" w:color="auto" w:sz="4" w:space="0"/>
              <w:left w:val="single" w:color="auto" w:sz="4" w:space="0"/>
              <w:right w:val="single" w:color="auto" w:sz="4" w:space="0"/>
            </w:tcBorders>
            <w:vAlign w:val="center"/>
          </w:tcPr>
          <w:p w14:paraId="6A19E1C7">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9</w:t>
            </w:r>
          </w:p>
        </w:tc>
      </w:tr>
      <w:tr w14:paraId="0BF7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09" w:type="dxa"/>
            <w:tcBorders>
              <w:top w:val="single" w:color="auto" w:sz="4" w:space="0"/>
              <w:left w:val="single" w:color="auto" w:sz="4" w:space="0"/>
              <w:right w:val="single" w:color="auto" w:sz="4" w:space="0"/>
            </w:tcBorders>
            <w:vAlign w:val="center"/>
          </w:tcPr>
          <w:p w14:paraId="1CD8B1DB">
            <w:pPr>
              <w:widowControl/>
              <w:spacing w:line="200" w:lineRule="atLeast"/>
              <w:jc w:val="center"/>
              <w:rPr>
                <w:rFonts w:hint="eastAsia" w:ascii="宋体" w:hAnsi="宋体" w:cs="宋体"/>
                <w:b/>
                <w:color w:val="000000" w:themeColor="text1"/>
                <w:szCs w:val="21"/>
              </w:rPr>
            </w:pPr>
            <w:bookmarkStart w:id="20" w:name="OLE_LINK8"/>
            <w:r>
              <w:rPr>
                <w:rFonts w:hint="eastAsia" w:ascii="宋体" w:hAnsi="宋体" w:cs="宋体"/>
                <w:b/>
                <w:color w:val="000000" w:themeColor="text1"/>
                <w:szCs w:val="21"/>
              </w:rPr>
              <w:t>3</w:t>
            </w:r>
          </w:p>
        </w:tc>
        <w:tc>
          <w:tcPr>
            <w:tcW w:w="914" w:type="dxa"/>
            <w:tcBorders>
              <w:top w:val="single" w:color="auto" w:sz="4" w:space="0"/>
              <w:left w:val="single" w:color="auto" w:sz="4" w:space="0"/>
              <w:right w:val="single" w:color="auto" w:sz="4" w:space="0"/>
            </w:tcBorders>
            <w:vAlign w:val="center"/>
          </w:tcPr>
          <w:p w14:paraId="402BD8E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拟投入无人机及飞手人员</w:t>
            </w:r>
          </w:p>
        </w:tc>
        <w:tc>
          <w:tcPr>
            <w:tcW w:w="7553" w:type="dxa"/>
            <w:tcBorders>
              <w:top w:val="single" w:color="auto" w:sz="4" w:space="0"/>
              <w:left w:val="single" w:color="auto" w:sz="4" w:space="0"/>
              <w:bottom w:val="single" w:color="auto" w:sz="4" w:space="0"/>
              <w:right w:val="single" w:color="auto" w:sz="4" w:space="0"/>
            </w:tcBorders>
            <w:vAlign w:val="center"/>
          </w:tcPr>
          <w:p w14:paraId="50C8B57B">
            <w:pPr>
              <w:spacing w:line="200" w:lineRule="atLeast"/>
              <w:rPr>
                <w:rFonts w:hint="eastAsia" w:ascii="宋体" w:hAnsi="宋体" w:cs="宋体"/>
                <w:bCs/>
                <w:color w:val="000000" w:themeColor="text1"/>
                <w:szCs w:val="21"/>
              </w:rPr>
            </w:pPr>
            <w:r>
              <w:rPr>
                <w:rFonts w:hint="eastAsia" w:ascii="宋体" w:hAnsi="宋体" w:cs="宋体"/>
                <w:bCs/>
                <w:color w:val="000000" w:themeColor="text1"/>
                <w:szCs w:val="21"/>
              </w:rPr>
              <w:t>（1）投标人须承诺提供无人机设备，设备参数不得低于以下要求：无人机系统含飞行器、电池等全套配套，无遮挡环境下有效图传/遥控距离≥5km，满足景区全域巡查航拍使用；具备高清可见光摄像，支持低电量、信号丢失自动返航，具备基础避障功能。</w:t>
            </w:r>
            <w:r>
              <w:rPr>
                <w:rFonts w:ascii="宋体" w:hAnsi="宋体" w:cs="宋体"/>
                <w:bCs/>
                <w:color w:val="000000" w:themeColor="text1"/>
                <w:szCs w:val="21"/>
              </w:rPr>
              <w:t>中标后按上述技术指标配备无人机设备；飞手为本项目专职人员，服从采购人调度；负责空域报备、飞行安全、设备维保、故障更换；飞手人员离职须及时更换同等资质飞手，保障服务不间断。飞行作业期间发生安全事故、设备损坏丢失，全部责任由中标人承担。若违反承诺，采购人有权扣减服务金。</w:t>
            </w:r>
            <w:r>
              <w:rPr>
                <w:rFonts w:hint="eastAsia" w:ascii="宋体" w:hAnsi="宋体" w:cs="宋体"/>
                <w:bCs/>
                <w:color w:val="000000" w:themeColor="text1"/>
                <w:szCs w:val="21"/>
              </w:rPr>
              <w:t>提供承诺书得4分，否则不得分。（</w:t>
            </w:r>
            <w:r>
              <w:rPr>
                <w:rFonts w:ascii="宋体" w:hAnsi="宋体" w:cs="宋体"/>
                <w:color w:val="000000" w:themeColor="text1"/>
              </w:rPr>
              <w:t>提供承诺</w:t>
            </w:r>
            <w:r>
              <w:rPr>
                <w:rFonts w:hint="eastAsia" w:ascii="宋体" w:hAnsi="宋体" w:cs="宋体"/>
                <w:color w:val="000000" w:themeColor="text1"/>
              </w:rPr>
              <w:t>函</w:t>
            </w:r>
            <w:r>
              <w:rPr>
                <w:rFonts w:ascii="宋体" w:hAnsi="宋体" w:cs="宋体"/>
                <w:color w:val="000000" w:themeColor="text1"/>
              </w:rPr>
              <w:t>，承诺</w:t>
            </w:r>
            <w:r>
              <w:rPr>
                <w:rFonts w:hint="eastAsia" w:ascii="宋体" w:hAnsi="宋体" w:cs="宋体"/>
                <w:color w:val="000000" w:themeColor="text1"/>
              </w:rPr>
              <w:t>函</w:t>
            </w:r>
            <w:r>
              <w:rPr>
                <w:rFonts w:ascii="宋体" w:hAnsi="宋体" w:cs="宋体"/>
                <w:color w:val="000000" w:themeColor="text1"/>
              </w:rPr>
              <w:t>格式自拟</w:t>
            </w:r>
            <w:r>
              <w:rPr>
                <w:rFonts w:hint="eastAsia" w:ascii="宋体" w:hAnsi="宋体" w:cs="宋体"/>
                <w:bCs/>
                <w:color w:val="000000" w:themeColor="text1"/>
                <w:szCs w:val="21"/>
              </w:rPr>
              <w:t>）</w:t>
            </w:r>
          </w:p>
          <w:p w14:paraId="252F2B38">
            <w:pPr>
              <w:spacing w:line="200" w:lineRule="atLeast"/>
              <w:rPr>
                <w:rFonts w:hint="eastAsia" w:ascii="宋体" w:hAnsi="宋体" w:cs="宋体"/>
                <w:bCs/>
                <w:color w:val="000000" w:themeColor="text1"/>
                <w:szCs w:val="21"/>
              </w:rPr>
            </w:pPr>
            <w:r>
              <w:rPr>
                <w:rFonts w:hint="eastAsia" w:ascii="宋体" w:hAnsi="宋体" w:cs="宋体"/>
                <w:bCs/>
                <w:color w:val="000000" w:themeColor="text1"/>
                <w:szCs w:val="21"/>
              </w:rPr>
              <w:t>（2）拟派飞手：①持有民航局CAAC民用无人驾驶航空器操控员（超视距）执照，每人得2分；②持有民航局CAAC民用无人驾驶航空器操控员（视距内）执照，每人得1分；本项最高2分。</w:t>
            </w:r>
          </w:p>
          <w:p w14:paraId="6D2DE90A">
            <w:pPr>
              <w:spacing w:line="200" w:lineRule="atLeast"/>
              <w:rPr>
                <w:rFonts w:hint="eastAsia" w:ascii="宋体" w:hAnsi="宋体" w:cs="宋体"/>
                <w:bCs/>
                <w:color w:val="000000" w:themeColor="text1"/>
                <w:szCs w:val="21"/>
              </w:rPr>
            </w:pPr>
            <w:r>
              <w:rPr>
                <w:rFonts w:hint="eastAsia" w:ascii="宋体" w:hAnsi="宋体" w:cs="宋体"/>
                <w:bCs/>
                <w:color w:val="000000" w:themeColor="text1"/>
                <w:szCs w:val="21"/>
              </w:rPr>
              <w:t>（提供CAAC云执照截图或证书扫描件，证书须在有效期内）</w:t>
            </w:r>
          </w:p>
        </w:tc>
        <w:tc>
          <w:tcPr>
            <w:tcW w:w="872" w:type="dxa"/>
            <w:tcBorders>
              <w:top w:val="single" w:color="auto" w:sz="4" w:space="0"/>
              <w:left w:val="single" w:color="auto" w:sz="4" w:space="0"/>
              <w:right w:val="single" w:color="auto" w:sz="4" w:space="0"/>
            </w:tcBorders>
            <w:vAlign w:val="center"/>
          </w:tcPr>
          <w:p w14:paraId="155228E2">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6</w:t>
            </w:r>
          </w:p>
        </w:tc>
      </w:tr>
      <w:bookmarkEnd w:id="20"/>
      <w:tr w14:paraId="68C1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09" w:type="dxa"/>
            <w:tcBorders>
              <w:top w:val="single" w:color="auto" w:sz="4" w:space="0"/>
              <w:left w:val="single" w:color="auto" w:sz="4" w:space="0"/>
              <w:right w:val="single" w:color="auto" w:sz="4" w:space="0"/>
            </w:tcBorders>
            <w:vAlign w:val="center"/>
          </w:tcPr>
          <w:p w14:paraId="250CACDE">
            <w:pPr>
              <w:widowControl/>
              <w:spacing w:line="200" w:lineRule="atLeast"/>
              <w:jc w:val="center"/>
              <w:rPr>
                <w:rFonts w:hint="eastAsia" w:ascii="宋体" w:hAnsi="宋体" w:cs="宋体"/>
                <w:b/>
                <w:color w:val="000000" w:themeColor="text1"/>
                <w:szCs w:val="21"/>
              </w:rPr>
            </w:pPr>
            <w:bookmarkStart w:id="21" w:name="OLE_LINK16"/>
            <w:r>
              <w:rPr>
                <w:rFonts w:hint="eastAsia" w:ascii="宋体" w:hAnsi="宋体" w:cs="宋体"/>
                <w:b/>
                <w:color w:val="000000" w:themeColor="text1"/>
                <w:szCs w:val="21"/>
              </w:rPr>
              <w:t>4</w:t>
            </w:r>
          </w:p>
        </w:tc>
        <w:tc>
          <w:tcPr>
            <w:tcW w:w="914" w:type="dxa"/>
            <w:tcBorders>
              <w:top w:val="single" w:color="auto" w:sz="4" w:space="0"/>
              <w:left w:val="single" w:color="auto" w:sz="4" w:space="0"/>
              <w:right w:val="single" w:color="auto" w:sz="4" w:space="0"/>
            </w:tcBorders>
            <w:vAlign w:val="center"/>
          </w:tcPr>
          <w:p w14:paraId="7250789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业绩</w:t>
            </w:r>
          </w:p>
        </w:tc>
        <w:tc>
          <w:tcPr>
            <w:tcW w:w="7553" w:type="dxa"/>
            <w:tcBorders>
              <w:top w:val="single" w:color="auto" w:sz="4" w:space="0"/>
              <w:left w:val="single" w:color="auto" w:sz="4" w:space="0"/>
              <w:bottom w:val="single" w:color="auto" w:sz="4" w:space="0"/>
              <w:right w:val="single" w:color="auto" w:sz="4" w:space="0"/>
            </w:tcBorders>
            <w:vAlign w:val="center"/>
          </w:tcPr>
          <w:p w14:paraId="1430398A">
            <w:pPr>
              <w:rPr>
                <w:rFonts w:hint="eastAsia" w:ascii="宋体" w:hAnsi="宋体"/>
                <w:color w:val="000000" w:themeColor="text1"/>
                <w:szCs w:val="21"/>
              </w:rPr>
            </w:pPr>
            <w:r>
              <w:rPr>
                <w:color w:val="000000" w:themeColor="text1"/>
              </w:rPr>
              <w:t>投标人自2023年1</w:t>
            </w:r>
            <w:r>
              <w:rPr>
                <w:rFonts w:hint="eastAsia"/>
                <w:color w:val="000000" w:themeColor="text1"/>
              </w:rPr>
              <w:t>0</w:t>
            </w:r>
            <w:r>
              <w:rPr>
                <w:color w:val="000000" w:themeColor="text1"/>
              </w:rPr>
              <w:t>月1日</w:t>
            </w:r>
            <w:r>
              <w:rPr>
                <w:rFonts w:hint="eastAsia"/>
                <w:color w:val="000000" w:themeColor="text1"/>
              </w:rPr>
              <w:t>（含）</w:t>
            </w:r>
            <w:r>
              <w:rPr>
                <w:color w:val="000000" w:themeColor="text1"/>
              </w:rPr>
              <w:t>以来承接过类似服务业绩的，每提供一项得</w:t>
            </w:r>
            <w:r>
              <w:rPr>
                <w:rFonts w:hint="eastAsia"/>
                <w:color w:val="000000" w:themeColor="text1"/>
              </w:rPr>
              <w:t>1</w:t>
            </w:r>
            <w:r>
              <w:rPr>
                <w:color w:val="000000" w:themeColor="text1"/>
              </w:rPr>
              <w:t>分，最高得</w:t>
            </w:r>
            <w:r>
              <w:rPr>
                <w:rFonts w:hint="eastAsia"/>
                <w:color w:val="000000" w:themeColor="text1"/>
              </w:rPr>
              <w:t>3</w:t>
            </w:r>
            <w:r>
              <w:rPr>
                <w:color w:val="000000" w:themeColor="text1"/>
              </w:rPr>
              <w:t>分。</w:t>
            </w:r>
            <w:r>
              <w:rPr>
                <w:rFonts w:hint="eastAsia"/>
                <w:color w:val="000000" w:themeColor="text1"/>
              </w:rPr>
              <w:t>（</w:t>
            </w:r>
            <w:r>
              <w:rPr>
                <w:color w:val="000000" w:themeColor="text1"/>
              </w:rPr>
              <w:t>须提供合同复印件并加盖</w:t>
            </w:r>
            <w:r>
              <w:rPr>
                <w:rFonts w:hint="eastAsia"/>
                <w:color w:val="000000" w:themeColor="text1"/>
              </w:rPr>
              <w:t>投标人</w:t>
            </w:r>
            <w:r>
              <w:rPr>
                <w:color w:val="000000" w:themeColor="text1"/>
              </w:rPr>
              <w:t>公章，未提供不得分。同一招标人的业绩不重复计分。</w:t>
            </w:r>
            <w:r>
              <w:rPr>
                <w:rFonts w:hint="eastAsia"/>
                <w:color w:val="000000" w:themeColor="text1"/>
              </w:rPr>
              <w:t>）</w:t>
            </w:r>
          </w:p>
        </w:tc>
        <w:tc>
          <w:tcPr>
            <w:tcW w:w="872" w:type="dxa"/>
            <w:tcBorders>
              <w:top w:val="single" w:color="auto" w:sz="4" w:space="0"/>
              <w:left w:val="single" w:color="auto" w:sz="4" w:space="0"/>
              <w:right w:val="single" w:color="auto" w:sz="4" w:space="0"/>
            </w:tcBorders>
            <w:vAlign w:val="center"/>
          </w:tcPr>
          <w:p w14:paraId="191C2B97">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3</w:t>
            </w:r>
          </w:p>
        </w:tc>
      </w:tr>
      <w:tr w14:paraId="7763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09" w:type="dxa"/>
            <w:vMerge w:val="restart"/>
            <w:tcBorders>
              <w:top w:val="single" w:color="auto" w:sz="4" w:space="0"/>
              <w:left w:val="single" w:color="auto" w:sz="4" w:space="0"/>
              <w:right w:val="single" w:color="auto" w:sz="4" w:space="0"/>
            </w:tcBorders>
            <w:vAlign w:val="center"/>
          </w:tcPr>
          <w:p w14:paraId="50FB4AB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5</w:t>
            </w:r>
          </w:p>
        </w:tc>
        <w:tc>
          <w:tcPr>
            <w:tcW w:w="914" w:type="dxa"/>
            <w:vMerge w:val="restart"/>
            <w:tcBorders>
              <w:top w:val="single" w:color="auto" w:sz="4" w:space="0"/>
              <w:left w:val="single" w:color="auto" w:sz="4" w:space="0"/>
              <w:right w:val="single" w:color="auto" w:sz="4" w:space="0"/>
            </w:tcBorders>
            <w:vAlign w:val="center"/>
          </w:tcPr>
          <w:p w14:paraId="536F456C">
            <w:pPr>
              <w:widowControl/>
              <w:spacing w:line="200" w:lineRule="atLeast"/>
              <w:jc w:val="center"/>
              <w:rPr>
                <w:b/>
                <w:color w:val="000000" w:themeColor="text1"/>
                <w:szCs w:val="21"/>
              </w:rPr>
            </w:pPr>
            <w:r>
              <w:rPr>
                <w:rFonts w:hint="eastAsia"/>
                <w:b/>
                <w:color w:val="000000" w:themeColor="text1"/>
                <w:szCs w:val="21"/>
              </w:rPr>
              <w:t>履约</w:t>
            </w:r>
          </w:p>
          <w:p w14:paraId="6EC71760">
            <w:pPr>
              <w:widowControl/>
              <w:spacing w:line="200" w:lineRule="atLeast"/>
              <w:jc w:val="center"/>
              <w:rPr>
                <w:rFonts w:hint="eastAsia" w:ascii="宋体" w:hAnsi="宋体" w:cs="宋体"/>
                <w:b/>
                <w:color w:val="000000" w:themeColor="text1"/>
                <w:szCs w:val="21"/>
              </w:rPr>
            </w:pPr>
            <w:r>
              <w:rPr>
                <w:rFonts w:hint="eastAsia"/>
                <w:b/>
                <w:color w:val="000000" w:themeColor="text1"/>
                <w:szCs w:val="21"/>
              </w:rPr>
              <w:t>能力</w:t>
            </w:r>
          </w:p>
        </w:tc>
        <w:tc>
          <w:tcPr>
            <w:tcW w:w="7553" w:type="dxa"/>
            <w:tcBorders>
              <w:top w:val="single" w:color="auto" w:sz="4" w:space="0"/>
              <w:left w:val="single" w:color="auto" w:sz="4" w:space="0"/>
              <w:right w:val="single" w:color="auto" w:sz="4" w:space="0"/>
            </w:tcBorders>
            <w:vAlign w:val="center"/>
          </w:tcPr>
          <w:p w14:paraId="66D8A13A">
            <w:pPr>
              <w:spacing w:line="200" w:lineRule="atLeast"/>
              <w:rPr>
                <w:rFonts w:hint="eastAsia" w:ascii="宋体" w:hAnsi="宋体"/>
                <w:color w:val="000000" w:themeColor="text1"/>
                <w:szCs w:val="21"/>
              </w:rPr>
            </w:pPr>
            <w:r>
              <w:rPr>
                <w:rFonts w:hint="eastAsia" w:ascii="宋体" w:hAnsi="宋体" w:cs="宋体"/>
                <w:color w:val="000000" w:themeColor="text1"/>
              </w:rPr>
              <w:t>供应商承诺项目负责人实际派驻工作时间每周不少于40小时（含40小时），得2分</w:t>
            </w:r>
            <w:r>
              <w:rPr>
                <w:rFonts w:ascii="宋体" w:hAnsi="宋体" w:cs="宋体"/>
                <w:color w:val="000000" w:themeColor="text1"/>
              </w:rPr>
              <w:t>（提供承诺</w:t>
            </w:r>
            <w:r>
              <w:rPr>
                <w:rFonts w:hint="eastAsia" w:ascii="宋体" w:hAnsi="宋体" w:cs="宋体"/>
                <w:color w:val="000000" w:themeColor="text1"/>
              </w:rPr>
              <w:t>函</w:t>
            </w:r>
            <w:r>
              <w:rPr>
                <w:rFonts w:ascii="宋体" w:hAnsi="宋体" w:cs="宋体"/>
                <w:color w:val="000000" w:themeColor="text1"/>
              </w:rPr>
              <w:t>，承诺</w:t>
            </w:r>
            <w:r>
              <w:rPr>
                <w:rFonts w:hint="eastAsia" w:ascii="宋体" w:hAnsi="宋体" w:cs="宋体"/>
                <w:color w:val="000000" w:themeColor="text1"/>
              </w:rPr>
              <w:t>函</w:t>
            </w:r>
            <w:r>
              <w:rPr>
                <w:rFonts w:ascii="宋体" w:hAnsi="宋体" w:cs="宋体"/>
                <w:color w:val="000000" w:themeColor="text1"/>
              </w:rPr>
              <w:t>格式自拟，</w:t>
            </w:r>
            <w:r>
              <w:rPr>
                <w:rFonts w:hint="eastAsia" w:ascii="宋体" w:hAnsi="宋体" w:cs="宋体"/>
                <w:color w:val="000000" w:themeColor="text1"/>
              </w:rPr>
              <w:t>未提供</w:t>
            </w:r>
            <w:r>
              <w:rPr>
                <w:rFonts w:ascii="宋体" w:hAnsi="宋体" w:cs="宋体"/>
                <w:color w:val="000000" w:themeColor="text1"/>
              </w:rPr>
              <w:t>不得分）</w:t>
            </w:r>
            <w:r>
              <w:rPr>
                <w:rFonts w:hint="eastAsia" w:ascii="宋体" w:hAnsi="宋体" w:cs="宋体"/>
                <w:color w:val="000000" w:themeColor="text1"/>
              </w:rPr>
              <w:t>。</w:t>
            </w:r>
          </w:p>
        </w:tc>
        <w:tc>
          <w:tcPr>
            <w:tcW w:w="872" w:type="dxa"/>
            <w:tcBorders>
              <w:top w:val="single" w:color="auto" w:sz="4" w:space="0"/>
              <w:left w:val="single" w:color="auto" w:sz="4" w:space="0"/>
              <w:right w:val="single" w:color="auto" w:sz="4" w:space="0"/>
            </w:tcBorders>
            <w:vAlign w:val="center"/>
          </w:tcPr>
          <w:p w14:paraId="1FAE28E1">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w:t>
            </w:r>
          </w:p>
        </w:tc>
      </w:tr>
      <w:tr w14:paraId="0142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09" w:type="dxa"/>
            <w:vMerge w:val="continue"/>
            <w:tcBorders>
              <w:left w:val="single" w:color="auto" w:sz="4" w:space="0"/>
              <w:right w:val="single" w:color="auto" w:sz="4" w:space="0"/>
            </w:tcBorders>
            <w:vAlign w:val="center"/>
          </w:tcPr>
          <w:p w14:paraId="2E2CC7B5">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06F64472">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30AC8D27">
            <w:pPr>
              <w:spacing w:line="200" w:lineRule="atLeast"/>
              <w:rPr>
                <w:rFonts w:hint="eastAsia" w:ascii="宋体" w:hAnsi="宋体"/>
                <w:color w:val="000000" w:themeColor="text1"/>
                <w:szCs w:val="21"/>
              </w:rPr>
            </w:pPr>
            <w:r>
              <w:rPr>
                <w:rFonts w:hint="eastAsia"/>
                <w:color w:val="000000" w:themeColor="text1"/>
                <w:spacing w:val="1"/>
                <w:szCs w:val="22"/>
              </w:rPr>
              <w:t>供应商承诺中标后</w:t>
            </w:r>
            <w:r>
              <w:rPr>
                <w:rFonts w:hint="eastAsia"/>
                <w:color w:val="000000" w:themeColor="text1"/>
              </w:rPr>
              <w:t>为所有拟投入的安保人员购买保额不低于80万元/人</w:t>
            </w:r>
            <w:r>
              <w:rPr>
                <w:rFonts w:hint="eastAsia"/>
                <w:color w:val="000000" w:themeColor="text1"/>
                <w:spacing w:val="1"/>
                <w:szCs w:val="22"/>
              </w:rPr>
              <w:t>的雇主责任险和公众责任险等商业险，保险条款中明确供应商在从事服务过程中，造成第三方人身伤亡或财产损失或其它安全事故，供应商负责处理及赔偿事宜，提供书面承诺书的得2分，未提供不得分。</w:t>
            </w:r>
            <w:r>
              <w:rPr>
                <w:rFonts w:ascii="宋体" w:hAnsi="宋体" w:cs="宋体"/>
                <w:color w:val="000000" w:themeColor="text1"/>
              </w:rPr>
              <w:t>（提供承诺</w:t>
            </w:r>
            <w:r>
              <w:rPr>
                <w:rFonts w:hint="eastAsia" w:ascii="宋体" w:hAnsi="宋体" w:cs="宋体"/>
                <w:color w:val="000000" w:themeColor="text1"/>
              </w:rPr>
              <w:t>函</w:t>
            </w:r>
            <w:r>
              <w:rPr>
                <w:rFonts w:ascii="宋体" w:hAnsi="宋体" w:cs="宋体"/>
                <w:color w:val="000000" w:themeColor="text1"/>
              </w:rPr>
              <w:t>，承诺</w:t>
            </w:r>
            <w:r>
              <w:rPr>
                <w:rFonts w:hint="eastAsia" w:ascii="宋体" w:hAnsi="宋体" w:cs="宋体"/>
                <w:color w:val="000000" w:themeColor="text1"/>
              </w:rPr>
              <w:t>函</w:t>
            </w:r>
            <w:r>
              <w:rPr>
                <w:rFonts w:ascii="宋体" w:hAnsi="宋体" w:cs="宋体"/>
                <w:color w:val="000000" w:themeColor="text1"/>
              </w:rPr>
              <w:t>格式自拟）</w:t>
            </w:r>
            <w:r>
              <w:rPr>
                <w:rFonts w:hint="eastAsia" w:ascii="宋体" w:hAnsi="宋体" w:cs="宋体"/>
                <w:color w:val="000000" w:themeColor="text1"/>
              </w:rPr>
              <w:t>。</w:t>
            </w:r>
          </w:p>
        </w:tc>
        <w:tc>
          <w:tcPr>
            <w:tcW w:w="872" w:type="dxa"/>
            <w:tcBorders>
              <w:top w:val="single" w:color="auto" w:sz="4" w:space="0"/>
              <w:left w:val="single" w:color="auto" w:sz="4" w:space="0"/>
              <w:bottom w:val="single" w:color="auto" w:sz="4" w:space="0"/>
              <w:right w:val="single" w:color="auto" w:sz="4" w:space="0"/>
            </w:tcBorders>
            <w:vAlign w:val="center"/>
          </w:tcPr>
          <w:p w14:paraId="66AFCC6F">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w:t>
            </w:r>
          </w:p>
        </w:tc>
      </w:tr>
      <w:tr w14:paraId="3DD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09" w:type="dxa"/>
            <w:vMerge w:val="continue"/>
            <w:tcBorders>
              <w:left w:val="single" w:color="auto" w:sz="4" w:space="0"/>
              <w:bottom w:val="single" w:color="auto" w:sz="4" w:space="0"/>
              <w:right w:val="single" w:color="auto" w:sz="4" w:space="0"/>
            </w:tcBorders>
            <w:vAlign w:val="center"/>
          </w:tcPr>
          <w:p w14:paraId="76B9C80D">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bottom w:val="single" w:color="auto" w:sz="4" w:space="0"/>
              <w:right w:val="single" w:color="auto" w:sz="4" w:space="0"/>
            </w:tcBorders>
            <w:vAlign w:val="center"/>
          </w:tcPr>
          <w:p w14:paraId="503C8FE9">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3E69C652">
            <w:pPr>
              <w:spacing w:line="340" w:lineRule="exact"/>
              <w:rPr>
                <w:rFonts w:hint="eastAsia" w:ascii="宋体" w:hAnsi="宋体"/>
                <w:color w:val="000000" w:themeColor="text1"/>
              </w:rPr>
            </w:pPr>
            <w:r>
              <w:rPr>
                <w:rFonts w:hint="eastAsia" w:ascii="宋体" w:hAnsi="宋体"/>
                <w:color w:val="000000" w:themeColor="text1"/>
              </w:rPr>
              <w:t>对供应商投入本项目的对讲机、执法记录仪、服装等进行评价，且必须具备满足本次招标项目常态执勤保障服务作业，主要包括固定岗点、卡口岗、巡逻岗，每岗位不少于1台对讲机、执法记录仪，人员服装和景区安保统一。满分2分。</w:t>
            </w:r>
          </w:p>
          <w:p w14:paraId="7AEA081C">
            <w:pPr>
              <w:spacing w:line="200" w:lineRule="atLeast"/>
              <w:rPr>
                <w:rFonts w:hint="eastAsia" w:ascii="宋体" w:hAnsi="宋体"/>
                <w:color w:val="000000" w:themeColor="text1"/>
                <w:szCs w:val="21"/>
              </w:rPr>
            </w:pPr>
            <w:r>
              <w:rPr>
                <w:rFonts w:hint="eastAsia" w:ascii="宋体" w:hAnsi="宋体"/>
                <w:color w:val="000000" w:themeColor="text1"/>
              </w:rPr>
              <w:t>（如是自有请提供上述装备及服装购买发票；如是租赁需提供租赁合同；如提供承诺函的，须承诺中标后30日内提供相应设备及服装上岗；相关证明材料复印件加盖公章）</w:t>
            </w:r>
          </w:p>
        </w:tc>
        <w:tc>
          <w:tcPr>
            <w:tcW w:w="872" w:type="dxa"/>
            <w:tcBorders>
              <w:top w:val="single" w:color="auto" w:sz="4" w:space="0"/>
              <w:left w:val="single" w:color="auto" w:sz="4" w:space="0"/>
              <w:bottom w:val="single" w:color="auto" w:sz="4" w:space="0"/>
              <w:right w:val="single" w:color="auto" w:sz="4" w:space="0"/>
            </w:tcBorders>
            <w:vAlign w:val="center"/>
          </w:tcPr>
          <w:p w14:paraId="7F460F95">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w:t>
            </w:r>
          </w:p>
        </w:tc>
      </w:tr>
      <w:bookmarkEnd w:id="21"/>
      <w:tr w14:paraId="7046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176" w:type="dxa"/>
            <w:gridSpan w:val="3"/>
            <w:tcBorders>
              <w:top w:val="single" w:color="auto" w:sz="4" w:space="0"/>
              <w:left w:val="single" w:color="auto" w:sz="4" w:space="0"/>
              <w:bottom w:val="single" w:color="auto" w:sz="4" w:space="0"/>
              <w:right w:val="single" w:color="auto" w:sz="4" w:space="0"/>
            </w:tcBorders>
            <w:vAlign w:val="center"/>
          </w:tcPr>
          <w:p w14:paraId="0B5F71F1">
            <w:pPr>
              <w:spacing w:line="200" w:lineRule="atLeast"/>
              <w:jc w:val="center"/>
              <w:rPr>
                <w:rFonts w:hint="eastAsia" w:ascii="宋体" w:hAnsi="宋体"/>
                <w:color w:val="000000" w:themeColor="text1"/>
                <w:szCs w:val="21"/>
              </w:rPr>
            </w:pPr>
            <w:r>
              <w:rPr>
                <w:rFonts w:hint="eastAsia" w:ascii="宋体" w:hAnsi="宋体"/>
                <w:color w:val="000000" w:themeColor="text1"/>
                <w:szCs w:val="21"/>
              </w:rPr>
              <w:t>总得分</w:t>
            </w:r>
          </w:p>
        </w:tc>
        <w:tc>
          <w:tcPr>
            <w:tcW w:w="872" w:type="dxa"/>
            <w:tcBorders>
              <w:top w:val="single" w:color="auto" w:sz="4" w:space="0"/>
              <w:left w:val="single" w:color="auto" w:sz="4" w:space="0"/>
              <w:bottom w:val="single" w:color="auto" w:sz="4" w:space="0"/>
              <w:right w:val="single" w:color="auto" w:sz="4" w:space="0"/>
            </w:tcBorders>
            <w:vAlign w:val="center"/>
          </w:tcPr>
          <w:p w14:paraId="67A2EC09">
            <w:pPr>
              <w:widowControl/>
              <w:spacing w:line="200" w:lineRule="atLeast"/>
              <w:jc w:val="center"/>
              <w:rPr>
                <w:rFonts w:hint="eastAsia" w:ascii="宋体" w:hAnsi="宋体" w:cstheme="majorEastAsia"/>
                <w:b/>
                <w:color w:val="000000" w:themeColor="text1"/>
                <w:szCs w:val="21"/>
              </w:rPr>
            </w:pPr>
            <w:r>
              <w:rPr>
                <w:rFonts w:ascii="宋体" w:hAnsi="宋体" w:cstheme="majorEastAsia"/>
                <w:b/>
                <w:color w:val="000000" w:themeColor="text1"/>
                <w:szCs w:val="21"/>
              </w:rPr>
              <w:fldChar w:fldCharType="begin"/>
            </w:r>
            <w:r>
              <w:rPr>
                <w:rFonts w:ascii="宋体" w:hAnsi="宋体" w:cstheme="majorEastAsia"/>
                <w:b/>
                <w:color w:val="000000" w:themeColor="text1"/>
                <w:szCs w:val="21"/>
              </w:rPr>
              <w:instrText xml:space="preserve"> =SUM(ABOVE) </w:instrText>
            </w:r>
            <w:r>
              <w:rPr>
                <w:rFonts w:ascii="宋体" w:hAnsi="宋体" w:cstheme="majorEastAsia"/>
                <w:b/>
                <w:color w:val="000000" w:themeColor="text1"/>
                <w:szCs w:val="21"/>
              </w:rPr>
              <w:fldChar w:fldCharType="separate"/>
            </w:r>
            <w:r>
              <w:rPr>
                <w:rFonts w:ascii="宋体" w:hAnsi="宋体" w:cstheme="majorEastAsia"/>
                <w:b/>
                <w:color w:val="000000" w:themeColor="text1"/>
                <w:szCs w:val="21"/>
              </w:rPr>
              <w:t>100</w:t>
            </w:r>
            <w:r>
              <w:rPr>
                <w:rFonts w:ascii="宋体" w:hAnsi="宋体" w:cstheme="majorEastAsia"/>
                <w:b/>
                <w:color w:val="000000" w:themeColor="text1"/>
                <w:szCs w:val="21"/>
              </w:rPr>
              <w:fldChar w:fldCharType="end"/>
            </w:r>
          </w:p>
        </w:tc>
      </w:tr>
      <w:bookmarkEnd w:id="14"/>
    </w:tbl>
    <w:p w14:paraId="4A4864EC">
      <w:pPr>
        <w:spacing w:line="360" w:lineRule="auto"/>
        <w:rPr>
          <w:rFonts w:hint="eastAsia" w:ascii="宋体" w:hAnsi="宋体" w:cs="宋体"/>
          <w:b/>
          <w:bCs/>
          <w:color w:val="000000" w:themeColor="text1"/>
        </w:rPr>
      </w:pPr>
      <w:r>
        <w:rPr>
          <w:rFonts w:hint="eastAsia" w:ascii="宋体" w:hAnsi="宋体" w:cs="宋体"/>
          <w:b/>
          <w:bCs/>
          <w:color w:val="000000" w:themeColor="text1"/>
        </w:rPr>
        <w:t>采购包2、采购包3、采购包4、采购包5、</w:t>
      </w:r>
      <w:r>
        <w:rPr>
          <w:rFonts w:ascii="宋体" w:hAnsi="宋体" w:cs="宋体"/>
          <w:b/>
          <w:bCs/>
          <w:color w:val="000000" w:themeColor="text1"/>
        </w:rPr>
        <w:t>采购包</w:t>
      </w:r>
      <w:r>
        <w:rPr>
          <w:rFonts w:hint="eastAsia" w:ascii="宋体" w:hAnsi="宋体" w:cs="宋体"/>
          <w:b/>
          <w:bCs/>
          <w:color w:val="000000" w:themeColor="text1"/>
        </w:rPr>
        <w:t>6、</w:t>
      </w:r>
      <w:r>
        <w:rPr>
          <w:rFonts w:ascii="宋体" w:hAnsi="宋体" w:cs="宋体"/>
          <w:b/>
          <w:bCs/>
          <w:color w:val="000000" w:themeColor="text1"/>
        </w:rPr>
        <w:t>采购包</w:t>
      </w:r>
      <w:r>
        <w:rPr>
          <w:rFonts w:hint="eastAsia" w:ascii="宋体" w:hAnsi="宋体" w:cs="宋体"/>
          <w:b/>
          <w:bCs/>
          <w:color w:val="000000" w:themeColor="text1"/>
        </w:rPr>
        <w:t>7、采购包8、</w:t>
      </w:r>
      <w:r>
        <w:rPr>
          <w:rFonts w:ascii="宋体" w:hAnsi="宋体" w:cs="宋体"/>
          <w:b/>
          <w:bCs/>
          <w:color w:val="000000" w:themeColor="text1"/>
        </w:rPr>
        <w:t>采购包9</w:t>
      </w:r>
    </w:p>
    <w:tbl>
      <w:tblPr>
        <w:tblStyle w:val="45"/>
        <w:tblW w:w="10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14"/>
        <w:gridCol w:w="7553"/>
        <w:gridCol w:w="872"/>
      </w:tblGrid>
      <w:tr w14:paraId="5C19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14:paraId="56549FA7">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序号</w:t>
            </w:r>
          </w:p>
        </w:tc>
        <w:tc>
          <w:tcPr>
            <w:tcW w:w="914" w:type="dxa"/>
            <w:tcBorders>
              <w:top w:val="single" w:color="auto" w:sz="4" w:space="0"/>
              <w:left w:val="single" w:color="auto" w:sz="4" w:space="0"/>
              <w:bottom w:val="single" w:color="auto" w:sz="4" w:space="0"/>
              <w:right w:val="single" w:color="auto" w:sz="4" w:space="0"/>
            </w:tcBorders>
            <w:vAlign w:val="center"/>
          </w:tcPr>
          <w:p w14:paraId="077DB56B">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评分</w:t>
            </w:r>
          </w:p>
          <w:p w14:paraId="7CA584FC">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因素</w:t>
            </w:r>
          </w:p>
        </w:tc>
        <w:tc>
          <w:tcPr>
            <w:tcW w:w="7553" w:type="dxa"/>
            <w:tcBorders>
              <w:top w:val="single" w:color="auto" w:sz="4" w:space="0"/>
              <w:left w:val="single" w:color="auto" w:sz="4" w:space="0"/>
              <w:bottom w:val="single" w:color="auto" w:sz="4" w:space="0"/>
              <w:right w:val="single" w:color="auto" w:sz="4" w:space="0"/>
            </w:tcBorders>
            <w:vAlign w:val="center"/>
          </w:tcPr>
          <w:p w14:paraId="74EBC3CF">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评审标准</w:t>
            </w:r>
          </w:p>
        </w:tc>
        <w:tc>
          <w:tcPr>
            <w:tcW w:w="872" w:type="dxa"/>
            <w:tcBorders>
              <w:top w:val="single" w:color="auto" w:sz="4" w:space="0"/>
              <w:left w:val="single" w:color="auto" w:sz="4" w:space="0"/>
              <w:bottom w:val="single" w:color="auto" w:sz="4" w:space="0"/>
              <w:right w:val="single" w:color="auto" w:sz="4" w:space="0"/>
            </w:tcBorders>
            <w:vAlign w:val="center"/>
          </w:tcPr>
          <w:p w14:paraId="13C3DD9A">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分值（分）</w:t>
            </w:r>
          </w:p>
        </w:tc>
      </w:tr>
      <w:tr w14:paraId="4C3C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09" w:type="dxa"/>
            <w:tcBorders>
              <w:top w:val="single" w:color="auto" w:sz="4" w:space="0"/>
              <w:left w:val="single" w:color="auto" w:sz="4" w:space="0"/>
              <w:right w:val="single" w:color="auto" w:sz="4" w:space="0"/>
            </w:tcBorders>
            <w:vAlign w:val="center"/>
          </w:tcPr>
          <w:p w14:paraId="4C9722DE">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1</w:t>
            </w:r>
          </w:p>
        </w:tc>
        <w:tc>
          <w:tcPr>
            <w:tcW w:w="914" w:type="dxa"/>
            <w:tcBorders>
              <w:top w:val="single" w:color="auto" w:sz="4" w:space="0"/>
              <w:left w:val="single" w:color="auto" w:sz="4" w:space="0"/>
              <w:right w:val="single" w:color="auto" w:sz="4" w:space="0"/>
            </w:tcBorders>
            <w:vAlign w:val="center"/>
          </w:tcPr>
          <w:p w14:paraId="5D216EBF">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价格</w:t>
            </w:r>
          </w:p>
        </w:tc>
        <w:tc>
          <w:tcPr>
            <w:tcW w:w="7553" w:type="dxa"/>
            <w:tcBorders>
              <w:top w:val="single" w:color="auto" w:sz="4" w:space="0"/>
              <w:left w:val="single" w:color="auto" w:sz="4" w:space="0"/>
              <w:bottom w:val="single" w:color="auto" w:sz="4" w:space="0"/>
              <w:right w:val="single" w:color="auto" w:sz="4" w:space="0"/>
            </w:tcBorders>
            <w:vAlign w:val="center"/>
          </w:tcPr>
          <w:p w14:paraId="66A275E4">
            <w:pPr>
              <w:spacing w:line="200" w:lineRule="atLeast"/>
              <w:rPr>
                <w:rFonts w:hint="eastAsia" w:ascii="宋体" w:hAnsi="宋体" w:cs="宋体"/>
                <w:bCs/>
                <w:color w:val="000000" w:themeColor="text1"/>
                <w:szCs w:val="21"/>
              </w:rPr>
            </w:pPr>
            <w:r>
              <w:rPr>
                <w:rFonts w:hint="eastAsia" w:ascii="宋体" w:hAnsi="宋体" w:cs="宋体"/>
                <w:bCs/>
                <w:color w:val="000000" w:themeColor="text1"/>
                <w:szCs w:val="21"/>
                <w:lang w:val="zh-CN"/>
              </w:rPr>
              <w:t>价格评审采用低价优先法计算，即满足招标文件要求且价格最低的最终报价为基准价，其价格分为满分20分。其他供应商的价格分按照下列公式计算（小数点保留两位）。报价得分=(基准价／最终报价)×</w:t>
            </w:r>
            <w:r>
              <w:rPr>
                <w:rFonts w:hint="eastAsia" w:ascii="宋体" w:hAnsi="宋体" w:cs="宋体"/>
                <w:bCs/>
                <w:color w:val="000000" w:themeColor="text1"/>
                <w:szCs w:val="21"/>
              </w:rPr>
              <w:t>20</w:t>
            </w:r>
          </w:p>
        </w:tc>
        <w:tc>
          <w:tcPr>
            <w:tcW w:w="872" w:type="dxa"/>
            <w:tcBorders>
              <w:top w:val="single" w:color="auto" w:sz="4" w:space="0"/>
              <w:left w:val="single" w:color="auto" w:sz="4" w:space="0"/>
              <w:right w:val="single" w:color="auto" w:sz="4" w:space="0"/>
            </w:tcBorders>
            <w:vAlign w:val="center"/>
          </w:tcPr>
          <w:p w14:paraId="0191AA3C">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20</w:t>
            </w:r>
          </w:p>
        </w:tc>
      </w:tr>
      <w:tr w14:paraId="16DC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restart"/>
            <w:tcBorders>
              <w:top w:val="single" w:color="auto" w:sz="4" w:space="0"/>
              <w:left w:val="single" w:color="auto" w:sz="4" w:space="0"/>
              <w:right w:val="single" w:color="auto" w:sz="4" w:space="0"/>
            </w:tcBorders>
            <w:vAlign w:val="center"/>
          </w:tcPr>
          <w:p w14:paraId="489499C8">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2</w:t>
            </w:r>
          </w:p>
        </w:tc>
        <w:tc>
          <w:tcPr>
            <w:tcW w:w="914" w:type="dxa"/>
            <w:vMerge w:val="restart"/>
            <w:tcBorders>
              <w:top w:val="single" w:color="auto" w:sz="4" w:space="0"/>
              <w:left w:val="single" w:color="auto" w:sz="4" w:space="0"/>
              <w:right w:val="single" w:color="auto" w:sz="4" w:space="0"/>
            </w:tcBorders>
            <w:vAlign w:val="center"/>
          </w:tcPr>
          <w:p w14:paraId="07DC5E5C">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整体服务方案</w:t>
            </w:r>
          </w:p>
        </w:tc>
        <w:tc>
          <w:tcPr>
            <w:tcW w:w="7553" w:type="dxa"/>
            <w:tcBorders>
              <w:top w:val="single" w:color="auto" w:sz="4" w:space="0"/>
              <w:left w:val="single" w:color="auto" w:sz="4" w:space="0"/>
              <w:bottom w:val="single" w:color="auto" w:sz="4" w:space="0"/>
              <w:right w:val="single" w:color="auto" w:sz="4" w:space="0"/>
            </w:tcBorders>
            <w:vAlign w:val="center"/>
          </w:tcPr>
          <w:p w14:paraId="2C1C9496">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评委根据供应商提供的</w:t>
            </w:r>
            <w:r>
              <w:rPr>
                <w:rFonts w:ascii="宋体" w:hAnsi="宋体"/>
                <w:color w:val="000000" w:themeColor="text1"/>
                <w:szCs w:val="21"/>
              </w:rPr>
              <w:t>日常现场管理方案</w:t>
            </w:r>
            <w:r>
              <w:rPr>
                <w:rFonts w:hint="eastAsia" w:ascii="宋体" w:hAnsi="宋体"/>
                <w:color w:val="000000" w:themeColor="text1"/>
                <w:szCs w:val="21"/>
              </w:rPr>
              <w:t>（</w:t>
            </w:r>
            <w:r>
              <w:rPr>
                <w:rFonts w:ascii="宋体" w:hAnsi="宋体"/>
                <w:color w:val="000000" w:themeColor="text1"/>
                <w:szCs w:val="21"/>
              </w:rPr>
              <w:t>针对景区保安工作内容、特点等要素，根据供应商提供的针对本项目的整体设想及策划（至少包含安全检查规范与标准、进退场交接方案、监督检查与过程风险控制及质量保障体系监督检查等内容）</w:t>
            </w:r>
            <w:r>
              <w:rPr>
                <w:rFonts w:hint="eastAsia" w:ascii="宋体" w:hAnsi="宋体"/>
                <w:color w:val="000000" w:themeColor="text1"/>
                <w:szCs w:val="21"/>
              </w:rPr>
              <w:t>）进行综合评分：</w:t>
            </w:r>
          </w:p>
          <w:p w14:paraId="5F7D1BED">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日常现场管理方案</w:t>
            </w:r>
            <w:r>
              <w:rPr>
                <w:rFonts w:hint="eastAsia" w:ascii="宋体" w:hAnsi="宋体"/>
                <w:color w:val="000000" w:themeColor="text1"/>
                <w:szCs w:val="21"/>
              </w:rPr>
              <w:t>完善全面合理，无瑕疵的得10分；</w:t>
            </w:r>
          </w:p>
          <w:p w14:paraId="5DA54057">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日常现场管理方案</w:t>
            </w:r>
            <w:r>
              <w:rPr>
                <w:rFonts w:hint="eastAsia" w:ascii="宋体" w:hAnsi="宋体"/>
                <w:color w:val="000000" w:themeColor="text1"/>
                <w:szCs w:val="21"/>
              </w:rPr>
              <w:t>完善比较合理，无明显瑕疵的得8分；</w:t>
            </w:r>
          </w:p>
          <w:p w14:paraId="27A2435E">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日常现场管理方案</w:t>
            </w:r>
            <w:r>
              <w:rPr>
                <w:rFonts w:hint="eastAsia" w:ascii="宋体" w:hAnsi="宋体"/>
                <w:color w:val="000000" w:themeColor="text1"/>
                <w:szCs w:val="21"/>
              </w:rPr>
              <w:t>完善基本合理，基本无明显瑕疵的得5分；</w:t>
            </w:r>
          </w:p>
          <w:p w14:paraId="16FF26FF">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日常现场管理方案</w:t>
            </w:r>
            <w:r>
              <w:rPr>
                <w:rFonts w:hint="eastAsia" w:ascii="宋体" w:hAnsi="宋体"/>
                <w:color w:val="000000" w:themeColor="text1"/>
                <w:szCs w:val="21"/>
              </w:rPr>
              <w:t>合理一般，有明显瑕疵的得2分，</w:t>
            </w:r>
          </w:p>
          <w:p w14:paraId="5587C0CE">
            <w:pPr>
              <w:spacing w:line="200" w:lineRule="atLeast"/>
              <w:rPr>
                <w:rFonts w:hint="eastAsia" w:ascii="宋体" w:hAnsi="宋体"/>
                <w:color w:val="000000" w:themeColor="text1"/>
                <w:szCs w:val="21"/>
              </w:rPr>
            </w:pPr>
            <w:r>
              <w:rPr>
                <w:rFonts w:hint="eastAsia" w:ascii="宋体" w:hAnsi="宋体"/>
                <w:color w:val="000000" w:themeColor="text1"/>
                <w:szCs w:val="21"/>
              </w:rPr>
              <w:t>（5）不提供不得分。</w:t>
            </w:r>
          </w:p>
        </w:tc>
        <w:tc>
          <w:tcPr>
            <w:tcW w:w="872" w:type="dxa"/>
            <w:tcBorders>
              <w:top w:val="single" w:color="auto" w:sz="4" w:space="0"/>
              <w:left w:val="single" w:color="auto" w:sz="4" w:space="0"/>
              <w:right w:val="single" w:color="auto" w:sz="4" w:space="0"/>
            </w:tcBorders>
            <w:vAlign w:val="center"/>
          </w:tcPr>
          <w:p w14:paraId="53FC7334">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76CA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2425D3B1">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5A36E02D">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06430501">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评委根据供应商针对本项目</w:t>
            </w:r>
            <w:r>
              <w:rPr>
                <w:rFonts w:ascii="宋体" w:hAnsi="宋体"/>
                <w:color w:val="000000" w:themeColor="text1"/>
                <w:szCs w:val="21"/>
              </w:rPr>
              <w:t>配套流程和规章制度</w:t>
            </w:r>
            <w:r>
              <w:rPr>
                <w:rFonts w:hint="eastAsia" w:ascii="宋体" w:hAnsi="宋体"/>
                <w:color w:val="000000" w:themeColor="text1"/>
                <w:szCs w:val="21"/>
              </w:rPr>
              <w:t>（针对景区保安工作内容、特点等要素，根据供应商提供的配套流程和规章制度（至少包含岗位职责、岗位执行规范、工作程序、管理制度等内容））内容进行评审：</w:t>
            </w:r>
          </w:p>
          <w:p w14:paraId="5423A4FE">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配套流程和规章制度</w:t>
            </w:r>
            <w:r>
              <w:rPr>
                <w:rFonts w:hint="eastAsia" w:ascii="宋体" w:hAnsi="宋体"/>
                <w:color w:val="000000" w:themeColor="text1"/>
                <w:szCs w:val="21"/>
              </w:rPr>
              <w:t>合理、切实可行、针对性强得10分；</w:t>
            </w:r>
          </w:p>
          <w:p w14:paraId="767D95DD">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配套流程和规章制度</w:t>
            </w:r>
            <w:r>
              <w:rPr>
                <w:rFonts w:hint="eastAsia" w:ascii="宋体" w:hAnsi="宋体"/>
                <w:color w:val="000000" w:themeColor="text1"/>
                <w:szCs w:val="21"/>
              </w:rPr>
              <w:t>较合理、较可行、针对性较强得8分；</w:t>
            </w:r>
          </w:p>
          <w:p w14:paraId="4AEB2736">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配套流程和规章制度</w:t>
            </w:r>
            <w:r>
              <w:rPr>
                <w:rFonts w:hint="eastAsia" w:ascii="宋体" w:hAnsi="宋体"/>
                <w:color w:val="000000" w:themeColor="text1"/>
                <w:szCs w:val="21"/>
              </w:rPr>
              <w:t>简单、可行性、针对性差的得5分；</w:t>
            </w:r>
          </w:p>
          <w:p w14:paraId="3A4C1A0F">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配套流程和规章制度</w:t>
            </w:r>
            <w:r>
              <w:rPr>
                <w:rFonts w:hint="eastAsia" w:ascii="宋体" w:hAnsi="宋体"/>
                <w:color w:val="000000" w:themeColor="text1"/>
                <w:szCs w:val="21"/>
              </w:rPr>
              <w:t>较简单、可行性、针对性较差的得2分；</w:t>
            </w:r>
          </w:p>
          <w:p w14:paraId="14908A51">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0817093D">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13EF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44EFB169">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3A75DC64">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5694BA99">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评委根据供应商针对本项目</w:t>
            </w:r>
            <w:r>
              <w:rPr>
                <w:rFonts w:ascii="宋体" w:hAnsi="宋体"/>
                <w:color w:val="000000" w:themeColor="text1"/>
                <w:szCs w:val="21"/>
              </w:rPr>
              <w:t>应急事件处理预案</w:t>
            </w:r>
            <w:r>
              <w:rPr>
                <w:rFonts w:hint="eastAsia" w:ascii="宋体" w:hAnsi="宋体"/>
                <w:color w:val="000000" w:themeColor="text1"/>
                <w:szCs w:val="21"/>
              </w:rPr>
              <w:t>（针对景区保安工作内容、特点等要素，根据供应商提供的应急管理与突发事件处置预案（至少包含突发事件的原则、方法和流程，人流拥堵疏导、纠纷事件处理、重大活动或节假日、打架斗殴事件处理、群体性事件处置等内容））内容进行评审：</w:t>
            </w:r>
          </w:p>
          <w:p w14:paraId="22C76A5B">
            <w:pPr>
              <w:spacing w:line="200" w:lineRule="atLeast"/>
              <w:rPr>
                <w:rFonts w:hint="eastAsia" w:ascii="宋体" w:hAnsi="宋体"/>
                <w:color w:val="000000" w:themeColor="text1"/>
                <w:szCs w:val="21"/>
              </w:rPr>
            </w:pPr>
            <w:r>
              <w:rPr>
                <w:rFonts w:ascii="宋体" w:hAnsi="宋体"/>
                <w:color w:val="000000" w:themeColor="text1"/>
                <w:szCs w:val="21"/>
              </w:rPr>
              <w:t>（1）应急事件处理预案合理、切实可行、针对性强得10分；</w:t>
            </w:r>
          </w:p>
          <w:p w14:paraId="5747F8AD">
            <w:pPr>
              <w:spacing w:line="200" w:lineRule="atLeast"/>
              <w:rPr>
                <w:rFonts w:hint="eastAsia" w:ascii="宋体" w:hAnsi="宋体"/>
                <w:color w:val="000000" w:themeColor="text1"/>
                <w:szCs w:val="21"/>
              </w:rPr>
            </w:pPr>
            <w:r>
              <w:rPr>
                <w:rFonts w:ascii="宋体" w:hAnsi="宋体"/>
                <w:color w:val="000000" w:themeColor="text1"/>
                <w:szCs w:val="21"/>
              </w:rPr>
              <w:t>（2）应急事件处理预案较合理、较可行、针对性较强得8分；</w:t>
            </w:r>
          </w:p>
          <w:p w14:paraId="7F1BF9F5">
            <w:pPr>
              <w:spacing w:line="200" w:lineRule="atLeast"/>
              <w:rPr>
                <w:rFonts w:hint="eastAsia" w:ascii="宋体" w:hAnsi="宋体"/>
                <w:color w:val="000000" w:themeColor="text1"/>
                <w:szCs w:val="21"/>
              </w:rPr>
            </w:pPr>
            <w:r>
              <w:rPr>
                <w:rFonts w:ascii="宋体" w:hAnsi="宋体"/>
                <w:color w:val="000000" w:themeColor="text1"/>
                <w:szCs w:val="21"/>
              </w:rPr>
              <w:t>（3）应急事件处理预案简单、可行性、针对性差的得5分；</w:t>
            </w:r>
          </w:p>
          <w:p w14:paraId="6F512888">
            <w:pPr>
              <w:spacing w:line="200" w:lineRule="atLeast"/>
              <w:rPr>
                <w:rFonts w:hint="eastAsia" w:ascii="宋体" w:hAnsi="宋体"/>
                <w:color w:val="000000" w:themeColor="text1"/>
                <w:szCs w:val="21"/>
              </w:rPr>
            </w:pPr>
            <w:r>
              <w:rPr>
                <w:rFonts w:ascii="宋体" w:hAnsi="宋体"/>
                <w:color w:val="000000" w:themeColor="text1"/>
                <w:szCs w:val="21"/>
              </w:rPr>
              <w:t>（4）应急事件处理预案较简单、可行性、针对性较差的得2分；</w:t>
            </w:r>
          </w:p>
          <w:p w14:paraId="178CE56A">
            <w:pPr>
              <w:spacing w:line="200" w:lineRule="atLeast"/>
              <w:rPr>
                <w:rFonts w:hint="eastAsia" w:ascii="宋体" w:hAnsi="宋体"/>
                <w:color w:val="000000" w:themeColor="text1"/>
                <w:szCs w:val="21"/>
              </w:rPr>
            </w:pPr>
            <w:r>
              <w:rPr>
                <w:rFonts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1349DEAA">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046D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73988A2E">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3DF9FE99">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3AA8FF09">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评委根据供应商提供的</w:t>
            </w:r>
            <w:r>
              <w:rPr>
                <w:rFonts w:ascii="宋体" w:hAnsi="宋体"/>
                <w:color w:val="000000" w:themeColor="text1"/>
                <w:szCs w:val="21"/>
              </w:rPr>
              <w:t>人员配备方案</w:t>
            </w:r>
            <w:r>
              <w:rPr>
                <w:rFonts w:hint="eastAsia" w:ascii="宋体" w:hAnsi="宋体"/>
                <w:color w:val="000000" w:themeColor="text1"/>
                <w:szCs w:val="21"/>
              </w:rPr>
              <w:t>（针对景区保安工作内容、特点等要素，根据供应商提供的人员配备方案（至少包含人员配备数量、培训计划、培训措施、培训管理等内容））进行综合评分：</w:t>
            </w:r>
          </w:p>
          <w:p w14:paraId="004CD2BE">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人员配备</w:t>
            </w:r>
            <w:r>
              <w:rPr>
                <w:rFonts w:hint="eastAsia" w:ascii="宋体" w:hAnsi="宋体"/>
                <w:color w:val="000000" w:themeColor="text1"/>
                <w:szCs w:val="21"/>
              </w:rPr>
              <w:t>方案合理可行，针对性强，无明显瑕疵的，得10分；</w:t>
            </w:r>
          </w:p>
          <w:p w14:paraId="1E3D67AA">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人员配备</w:t>
            </w:r>
            <w:r>
              <w:rPr>
                <w:rFonts w:hint="eastAsia" w:ascii="宋体" w:hAnsi="宋体"/>
                <w:color w:val="000000" w:themeColor="text1"/>
                <w:szCs w:val="21"/>
              </w:rPr>
              <w:t>方案基本合理，针对性较强，无明显瑕疵的，得8分；</w:t>
            </w:r>
          </w:p>
          <w:p w14:paraId="34BEB7C8">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人员配备</w:t>
            </w:r>
            <w:r>
              <w:rPr>
                <w:rFonts w:hint="eastAsia" w:ascii="宋体" w:hAnsi="宋体"/>
                <w:color w:val="000000" w:themeColor="text1"/>
                <w:szCs w:val="21"/>
              </w:rPr>
              <w:t>方案一般，针对性一般，基本明显瑕疵的，得5分；</w:t>
            </w:r>
          </w:p>
          <w:p w14:paraId="139D3F69">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人员</w:t>
            </w:r>
            <w:r>
              <w:rPr>
                <w:rFonts w:hint="eastAsia" w:ascii="宋体" w:hAnsi="宋体"/>
                <w:color w:val="000000" w:themeColor="text1"/>
                <w:szCs w:val="21"/>
              </w:rPr>
              <w:t>配备方案较差，针对性一般，有明显瑕疵的，得2分；</w:t>
            </w:r>
          </w:p>
          <w:p w14:paraId="12966B20">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2F986525">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10</w:t>
            </w:r>
          </w:p>
        </w:tc>
      </w:tr>
      <w:tr w14:paraId="16F7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67308302">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4B1ED52B">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78E4AC9B">
            <w:pPr>
              <w:spacing w:line="200" w:lineRule="atLeast"/>
              <w:rPr>
                <w:rFonts w:hint="eastAsia" w:ascii="宋体" w:hAnsi="宋体"/>
                <w:color w:val="000000" w:themeColor="text1"/>
                <w:szCs w:val="21"/>
              </w:rPr>
            </w:pPr>
            <w:r>
              <w:rPr>
                <w:rFonts w:ascii="宋体" w:hAnsi="宋体"/>
                <w:color w:val="000000" w:themeColor="text1"/>
                <w:szCs w:val="21"/>
              </w:rPr>
              <w:t>评委根据供应商提供的考核及激励措施方案（</w:t>
            </w:r>
            <w:r>
              <w:rPr>
                <w:rFonts w:hint="eastAsia" w:ascii="宋体" w:hAnsi="宋体"/>
                <w:color w:val="000000" w:themeColor="text1"/>
                <w:szCs w:val="21"/>
              </w:rPr>
              <w:t>针对景区保安工作内容、特点等要素，根据供应商提供的考核与激励方案（至少包含人员考核措施、奖罚淘汰机制、奖惩制度、提高人员工作积极性措施等内容）</w:t>
            </w:r>
            <w:r>
              <w:rPr>
                <w:rFonts w:ascii="宋体" w:hAnsi="宋体"/>
                <w:color w:val="000000" w:themeColor="text1"/>
                <w:szCs w:val="21"/>
              </w:rPr>
              <w:t>）进行综合评分：</w:t>
            </w:r>
          </w:p>
          <w:p w14:paraId="77BEBC47">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考核及激励措施</w:t>
            </w:r>
            <w:r>
              <w:rPr>
                <w:rFonts w:hint="eastAsia" w:ascii="宋体" w:hAnsi="宋体"/>
                <w:color w:val="000000" w:themeColor="text1"/>
                <w:szCs w:val="21"/>
              </w:rPr>
              <w:t>方案合理、重点和难点把控精准、可实施性高得8分；</w:t>
            </w:r>
          </w:p>
          <w:p w14:paraId="6B49E74D">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考核及激励措施</w:t>
            </w:r>
            <w:r>
              <w:rPr>
                <w:rFonts w:hint="eastAsia" w:ascii="宋体" w:hAnsi="宋体"/>
                <w:color w:val="000000" w:themeColor="text1"/>
                <w:szCs w:val="21"/>
              </w:rPr>
              <w:t>方案较合理、重点和难点把控较精准、可实施性较高得7分；</w:t>
            </w:r>
          </w:p>
          <w:p w14:paraId="0D3B6A64">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考核及激励措施</w:t>
            </w:r>
            <w:r>
              <w:rPr>
                <w:rFonts w:hint="eastAsia" w:ascii="宋体" w:hAnsi="宋体"/>
                <w:color w:val="000000" w:themeColor="text1"/>
                <w:szCs w:val="21"/>
              </w:rPr>
              <w:t>方案简单、重点和难点把控较精准、可实施性欠缺得4分；</w:t>
            </w:r>
          </w:p>
          <w:p w14:paraId="3B6D23B8">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考核及激励措施</w:t>
            </w:r>
            <w:r>
              <w:rPr>
                <w:rFonts w:hint="eastAsia" w:ascii="宋体" w:hAnsi="宋体"/>
                <w:color w:val="000000" w:themeColor="text1"/>
                <w:szCs w:val="21"/>
              </w:rPr>
              <w:t>方案简单、重点和难点把控不精准、可实施性欠缺得1分；</w:t>
            </w:r>
          </w:p>
          <w:p w14:paraId="650015D2">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4F51FA2C">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8</w:t>
            </w:r>
          </w:p>
        </w:tc>
      </w:tr>
      <w:tr w14:paraId="3879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2625B082">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0EF1364F">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56BD2853">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评委根据供应商提供的</w:t>
            </w:r>
            <w:r>
              <w:rPr>
                <w:rFonts w:ascii="宋体" w:hAnsi="宋体"/>
                <w:color w:val="000000" w:themeColor="text1"/>
                <w:szCs w:val="21"/>
              </w:rPr>
              <w:t>纠纷解决方案</w:t>
            </w:r>
            <w:r>
              <w:rPr>
                <w:rFonts w:hint="eastAsia" w:ascii="宋体" w:hAnsi="宋体"/>
                <w:color w:val="000000" w:themeColor="text1"/>
                <w:szCs w:val="21"/>
              </w:rPr>
              <w:t>（针对景区保安工作内容、特点等要素，根据供应商提供的劳务纠纷解决方案（至少包含劳务纠纷解决策略、处理流程等内容））进行综合评分：</w:t>
            </w:r>
          </w:p>
          <w:p w14:paraId="31C0D7C3">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纠纷解决</w:t>
            </w:r>
            <w:r>
              <w:rPr>
                <w:rFonts w:hint="eastAsia" w:ascii="宋体" w:hAnsi="宋体"/>
                <w:color w:val="000000" w:themeColor="text1"/>
                <w:szCs w:val="21"/>
              </w:rPr>
              <w:t>方案合理、重点和难点把控精准、可实施性高得8分；</w:t>
            </w:r>
          </w:p>
          <w:p w14:paraId="4E2224FD">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纠纷解决</w:t>
            </w:r>
            <w:r>
              <w:rPr>
                <w:rFonts w:hint="eastAsia" w:ascii="宋体" w:hAnsi="宋体"/>
                <w:color w:val="000000" w:themeColor="text1"/>
                <w:szCs w:val="21"/>
              </w:rPr>
              <w:t>方案较合理、重点和难点把控较精准、可实施性较高得7分；</w:t>
            </w:r>
          </w:p>
          <w:p w14:paraId="0EF1CCE3">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纠纷解决</w:t>
            </w:r>
            <w:r>
              <w:rPr>
                <w:rFonts w:hint="eastAsia" w:ascii="宋体" w:hAnsi="宋体"/>
                <w:color w:val="000000" w:themeColor="text1"/>
                <w:szCs w:val="21"/>
              </w:rPr>
              <w:t>方案简单、重点和难点把控较精准、可实施性欠缺得4分；</w:t>
            </w:r>
          </w:p>
          <w:p w14:paraId="6D4DE52C">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纠纷解决</w:t>
            </w:r>
            <w:r>
              <w:rPr>
                <w:rFonts w:hint="eastAsia" w:ascii="宋体" w:hAnsi="宋体"/>
                <w:color w:val="000000" w:themeColor="text1"/>
                <w:szCs w:val="21"/>
              </w:rPr>
              <w:t>方案简单、重点和难点把控不精准、可实施性欠缺得1分；</w:t>
            </w:r>
          </w:p>
          <w:p w14:paraId="605DB87A">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067B04F4">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8</w:t>
            </w:r>
          </w:p>
        </w:tc>
      </w:tr>
      <w:tr w14:paraId="2871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709" w:type="dxa"/>
            <w:vMerge w:val="continue"/>
            <w:tcBorders>
              <w:left w:val="single" w:color="auto" w:sz="4" w:space="0"/>
              <w:right w:val="single" w:color="auto" w:sz="4" w:space="0"/>
            </w:tcBorders>
            <w:vAlign w:val="center"/>
          </w:tcPr>
          <w:p w14:paraId="3045CC52">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00BC439A">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517A2E4E">
            <w:pPr>
              <w:spacing w:line="200" w:lineRule="atLeast"/>
              <w:rPr>
                <w:rFonts w:hint="eastAsia" w:ascii="宋体" w:hAnsi="宋体"/>
                <w:color w:val="000000" w:themeColor="text1"/>
                <w:szCs w:val="21"/>
              </w:rPr>
            </w:pPr>
            <w:r>
              <w:rPr>
                <w:rFonts w:hint="eastAsia" w:ascii="宋体" w:hAnsi="宋体"/>
                <w:color w:val="000000" w:themeColor="text1"/>
                <w:szCs w:val="21"/>
              </w:rPr>
              <w:t>评委根据供应商提供的</w:t>
            </w:r>
            <w:r>
              <w:rPr>
                <w:rFonts w:ascii="宋体" w:hAnsi="宋体"/>
                <w:color w:val="000000" w:themeColor="text1"/>
                <w:szCs w:val="21"/>
              </w:rPr>
              <w:t>智慧化创新管理实施方案</w:t>
            </w:r>
            <w:r>
              <w:rPr>
                <w:rFonts w:hint="eastAsia" w:ascii="宋体" w:hAnsi="宋体"/>
                <w:color w:val="000000" w:themeColor="text1"/>
                <w:szCs w:val="21"/>
              </w:rPr>
              <w:t>（包括安保、景区巡查服务，提供智慧化创新管理，并且提供相关的材料进行佐证）进行综合评分：</w:t>
            </w:r>
          </w:p>
          <w:p w14:paraId="574F4B7D">
            <w:pPr>
              <w:spacing w:line="200" w:lineRule="atLeast"/>
              <w:rPr>
                <w:rFonts w:hint="eastAsia" w:ascii="宋体" w:hAnsi="宋体"/>
                <w:color w:val="000000" w:themeColor="text1"/>
                <w:szCs w:val="21"/>
              </w:rPr>
            </w:pPr>
            <w:r>
              <w:rPr>
                <w:rFonts w:hint="eastAsia" w:ascii="宋体" w:hAnsi="宋体"/>
                <w:color w:val="000000" w:themeColor="text1"/>
                <w:szCs w:val="21"/>
              </w:rPr>
              <w:t>（1）</w:t>
            </w:r>
            <w:r>
              <w:rPr>
                <w:rFonts w:ascii="宋体" w:hAnsi="宋体"/>
                <w:color w:val="000000" w:themeColor="text1"/>
                <w:szCs w:val="21"/>
              </w:rPr>
              <w:t>智慧化创新管理实施方案</w:t>
            </w:r>
            <w:r>
              <w:rPr>
                <w:rFonts w:hint="eastAsia" w:ascii="宋体" w:hAnsi="宋体"/>
                <w:color w:val="000000" w:themeColor="text1"/>
                <w:szCs w:val="21"/>
              </w:rPr>
              <w:t>合理可行，针对性强，无明显瑕疵的，得9分；</w:t>
            </w:r>
          </w:p>
          <w:p w14:paraId="180FE7F5">
            <w:pPr>
              <w:spacing w:line="200" w:lineRule="atLeast"/>
              <w:rPr>
                <w:rFonts w:hint="eastAsia"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智慧化创新管理实施方案</w:t>
            </w:r>
            <w:r>
              <w:rPr>
                <w:rFonts w:hint="eastAsia" w:ascii="宋体" w:hAnsi="宋体"/>
                <w:color w:val="000000" w:themeColor="text1"/>
                <w:szCs w:val="21"/>
              </w:rPr>
              <w:t>基本合理，针对性较强，无明显瑕疵的，得8分；</w:t>
            </w:r>
          </w:p>
          <w:p w14:paraId="35426AE9">
            <w:pPr>
              <w:spacing w:line="200" w:lineRule="atLeast"/>
              <w:rPr>
                <w:rFonts w:hint="eastAsia" w:ascii="宋体" w:hAnsi="宋体"/>
                <w:color w:val="000000" w:themeColor="text1"/>
                <w:szCs w:val="21"/>
              </w:rPr>
            </w:pPr>
            <w:r>
              <w:rPr>
                <w:rFonts w:hint="eastAsia" w:ascii="宋体" w:hAnsi="宋体"/>
                <w:color w:val="000000" w:themeColor="text1"/>
                <w:szCs w:val="21"/>
              </w:rPr>
              <w:t>（3）</w:t>
            </w:r>
            <w:r>
              <w:rPr>
                <w:rFonts w:ascii="宋体" w:hAnsi="宋体"/>
                <w:color w:val="000000" w:themeColor="text1"/>
                <w:szCs w:val="21"/>
              </w:rPr>
              <w:t>智慧化创新管理实施方案</w:t>
            </w:r>
            <w:r>
              <w:rPr>
                <w:rFonts w:hint="eastAsia" w:ascii="宋体" w:hAnsi="宋体"/>
                <w:color w:val="000000" w:themeColor="text1"/>
                <w:szCs w:val="21"/>
              </w:rPr>
              <w:t>一般，针对性一般，基本明显瑕疵的，得5分；</w:t>
            </w:r>
          </w:p>
          <w:p w14:paraId="500C3C5E">
            <w:pPr>
              <w:spacing w:line="200" w:lineRule="atLeast"/>
              <w:rPr>
                <w:rFonts w:hint="eastAsia" w:ascii="宋体" w:hAnsi="宋体"/>
                <w:color w:val="000000" w:themeColor="text1"/>
                <w:szCs w:val="21"/>
              </w:rPr>
            </w:pPr>
            <w:r>
              <w:rPr>
                <w:rFonts w:hint="eastAsia" w:ascii="宋体" w:hAnsi="宋体"/>
                <w:color w:val="000000" w:themeColor="text1"/>
                <w:szCs w:val="21"/>
              </w:rPr>
              <w:t>（4）</w:t>
            </w:r>
            <w:r>
              <w:rPr>
                <w:rFonts w:ascii="宋体" w:hAnsi="宋体"/>
                <w:color w:val="000000" w:themeColor="text1"/>
                <w:szCs w:val="21"/>
              </w:rPr>
              <w:t>智慧化创新管理实施方案</w:t>
            </w:r>
            <w:r>
              <w:rPr>
                <w:rFonts w:hint="eastAsia" w:ascii="宋体" w:hAnsi="宋体"/>
                <w:color w:val="000000" w:themeColor="text1"/>
                <w:szCs w:val="21"/>
              </w:rPr>
              <w:t>较差，针对性一般，有明显瑕疵的，得2分；</w:t>
            </w:r>
          </w:p>
          <w:p w14:paraId="0074C62F">
            <w:pPr>
              <w:spacing w:line="200" w:lineRule="atLeast"/>
              <w:rPr>
                <w:rFonts w:hint="eastAsia" w:ascii="宋体" w:hAnsi="宋体"/>
                <w:color w:val="000000" w:themeColor="text1"/>
                <w:szCs w:val="21"/>
              </w:rPr>
            </w:pPr>
            <w:r>
              <w:rPr>
                <w:rFonts w:hint="eastAsia" w:ascii="宋体" w:hAnsi="宋体"/>
                <w:color w:val="000000" w:themeColor="text1"/>
                <w:szCs w:val="21"/>
              </w:rPr>
              <w:t>（5）未提供不得分。</w:t>
            </w:r>
          </w:p>
        </w:tc>
        <w:tc>
          <w:tcPr>
            <w:tcW w:w="872" w:type="dxa"/>
            <w:tcBorders>
              <w:top w:val="single" w:color="auto" w:sz="4" w:space="0"/>
              <w:left w:val="single" w:color="auto" w:sz="4" w:space="0"/>
              <w:right w:val="single" w:color="auto" w:sz="4" w:space="0"/>
            </w:tcBorders>
            <w:vAlign w:val="center"/>
          </w:tcPr>
          <w:p w14:paraId="1AE398FF">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9</w:t>
            </w:r>
          </w:p>
        </w:tc>
      </w:tr>
      <w:tr w14:paraId="46CB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09" w:type="dxa"/>
            <w:tcBorders>
              <w:top w:val="single" w:color="auto" w:sz="4" w:space="0"/>
              <w:left w:val="single" w:color="auto" w:sz="4" w:space="0"/>
              <w:right w:val="single" w:color="auto" w:sz="4" w:space="0"/>
            </w:tcBorders>
            <w:vAlign w:val="center"/>
          </w:tcPr>
          <w:p w14:paraId="1964369F">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3</w:t>
            </w:r>
          </w:p>
        </w:tc>
        <w:tc>
          <w:tcPr>
            <w:tcW w:w="914" w:type="dxa"/>
            <w:tcBorders>
              <w:top w:val="single" w:color="auto" w:sz="4" w:space="0"/>
              <w:left w:val="single" w:color="auto" w:sz="4" w:space="0"/>
              <w:right w:val="single" w:color="auto" w:sz="4" w:space="0"/>
            </w:tcBorders>
            <w:vAlign w:val="center"/>
          </w:tcPr>
          <w:p w14:paraId="34903995">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业绩</w:t>
            </w:r>
          </w:p>
        </w:tc>
        <w:tc>
          <w:tcPr>
            <w:tcW w:w="7553" w:type="dxa"/>
            <w:tcBorders>
              <w:top w:val="single" w:color="auto" w:sz="4" w:space="0"/>
              <w:left w:val="single" w:color="auto" w:sz="4" w:space="0"/>
              <w:bottom w:val="single" w:color="auto" w:sz="4" w:space="0"/>
              <w:right w:val="single" w:color="auto" w:sz="4" w:space="0"/>
            </w:tcBorders>
            <w:vAlign w:val="center"/>
          </w:tcPr>
          <w:p w14:paraId="1BFDD3B9">
            <w:pPr>
              <w:rPr>
                <w:rFonts w:hint="eastAsia" w:ascii="宋体" w:hAnsi="宋体"/>
                <w:color w:val="000000" w:themeColor="text1"/>
                <w:szCs w:val="21"/>
              </w:rPr>
            </w:pPr>
            <w:r>
              <w:rPr>
                <w:color w:val="000000" w:themeColor="text1"/>
              </w:rPr>
              <w:t>投标人自2023年1</w:t>
            </w:r>
            <w:r>
              <w:rPr>
                <w:rFonts w:hint="eastAsia"/>
                <w:color w:val="000000" w:themeColor="text1"/>
              </w:rPr>
              <w:t>0</w:t>
            </w:r>
            <w:r>
              <w:rPr>
                <w:color w:val="000000" w:themeColor="text1"/>
              </w:rPr>
              <w:t>月1日</w:t>
            </w:r>
            <w:r>
              <w:rPr>
                <w:rFonts w:hint="eastAsia"/>
                <w:color w:val="000000" w:themeColor="text1"/>
              </w:rPr>
              <w:t>（含）</w:t>
            </w:r>
            <w:r>
              <w:rPr>
                <w:color w:val="000000" w:themeColor="text1"/>
              </w:rPr>
              <w:t>以来承接过类似服务业绩的，每提供一项得</w:t>
            </w:r>
            <w:r>
              <w:rPr>
                <w:rFonts w:hint="eastAsia"/>
                <w:color w:val="000000" w:themeColor="text1"/>
              </w:rPr>
              <w:t>3</w:t>
            </w:r>
            <w:r>
              <w:rPr>
                <w:color w:val="000000" w:themeColor="text1"/>
              </w:rPr>
              <w:t>分，最高得</w:t>
            </w:r>
            <w:r>
              <w:rPr>
                <w:rFonts w:hint="eastAsia"/>
                <w:color w:val="000000" w:themeColor="text1"/>
              </w:rPr>
              <w:t>9</w:t>
            </w:r>
            <w:r>
              <w:rPr>
                <w:color w:val="000000" w:themeColor="text1"/>
              </w:rPr>
              <w:t>分。</w:t>
            </w:r>
            <w:r>
              <w:rPr>
                <w:rFonts w:hint="eastAsia"/>
                <w:color w:val="000000" w:themeColor="text1"/>
              </w:rPr>
              <w:t>（</w:t>
            </w:r>
            <w:r>
              <w:rPr>
                <w:color w:val="000000" w:themeColor="text1"/>
              </w:rPr>
              <w:t>须提供合同复印件并加盖</w:t>
            </w:r>
            <w:r>
              <w:rPr>
                <w:rFonts w:hint="eastAsia"/>
                <w:color w:val="000000" w:themeColor="text1"/>
              </w:rPr>
              <w:t>投标人</w:t>
            </w:r>
            <w:r>
              <w:rPr>
                <w:color w:val="000000" w:themeColor="text1"/>
              </w:rPr>
              <w:t>公章，未提供不得分。同一招标人的业绩不重复计分。</w:t>
            </w:r>
            <w:r>
              <w:rPr>
                <w:rFonts w:hint="eastAsia"/>
                <w:color w:val="000000" w:themeColor="text1"/>
              </w:rPr>
              <w:t>）</w:t>
            </w:r>
          </w:p>
        </w:tc>
        <w:tc>
          <w:tcPr>
            <w:tcW w:w="872" w:type="dxa"/>
            <w:tcBorders>
              <w:top w:val="single" w:color="auto" w:sz="4" w:space="0"/>
              <w:left w:val="single" w:color="auto" w:sz="4" w:space="0"/>
              <w:right w:val="single" w:color="auto" w:sz="4" w:space="0"/>
            </w:tcBorders>
            <w:vAlign w:val="center"/>
          </w:tcPr>
          <w:p w14:paraId="73B02015">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9</w:t>
            </w:r>
          </w:p>
        </w:tc>
      </w:tr>
      <w:tr w14:paraId="6510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09" w:type="dxa"/>
            <w:vMerge w:val="restart"/>
            <w:tcBorders>
              <w:top w:val="single" w:color="auto" w:sz="4" w:space="0"/>
              <w:left w:val="single" w:color="auto" w:sz="4" w:space="0"/>
              <w:right w:val="single" w:color="auto" w:sz="4" w:space="0"/>
            </w:tcBorders>
            <w:vAlign w:val="center"/>
          </w:tcPr>
          <w:p w14:paraId="0EB2A939">
            <w:pPr>
              <w:widowControl/>
              <w:spacing w:line="200" w:lineRule="atLeast"/>
              <w:jc w:val="center"/>
              <w:rPr>
                <w:rFonts w:hint="eastAsia" w:ascii="宋体" w:hAnsi="宋体" w:cs="宋体"/>
                <w:b/>
                <w:color w:val="000000" w:themeColor="text1"/>
                <w:szCs w:val="21"/>
              </w:rPr>
            </w:pPr>
            <w:r>
              <w:rPr>
                <w:rFonts w:hint="eastAsia" w:ascii="宋体" w:hAnsi="宋体" w:cs="宋体"/>
                <w:b/>
                <w:color w:val="000000" w:themeColor="text1"/>
                <w:szCs w:val="21"/>
              </w:rPr>
              <w:t>4</w:t>
            </w:r>
          </w:p>
        </w:tc>
        <w:tc>
          <w:tcPr>
            <w:tcW w:w="914" w:type="dxa"/>
            <w:vMerge w:val="restart"/>
            <w:tcBorders>
              <w:top w:val="single" w:color="auto" w:sz="4" w:space="0"/>
              <w:left w:val="single" w:color="auto" w:sz="4" w:space="0"/>
              <w:right w:val="single" w:color="auto" w:sz="4" w:space="0"/>
            </w:tcBorders>
            <w:vAlign w:val="center"/>
          </w:tcPr>
          <w:p w14:paraId="77129F82">
            <w:pPr>
              <w:widowControl/>
              <w:spacing w:line="200" w:lineRule="atLeast"/>
              <w:jc w:val="center"/>
              <w:rPr>
                <w:b/>
                <w:color w:val="000000" w:themeColor="text1"/>
                <w:szCs w:val="21"/>
              </w:rPr>
            </w:pPr>
            <w:r>
              <w:rPr>
                <w:rFonts w:hint="eastAsia"/>
                <w:b/>
                <w:color w:val="000000" w:themeColor="text1"/>
                <w:szCs w:val="21"/>
              </w:rPr>
              <w:t>履约</w:t>
            </w:r>
          </w:p>
          <w:p w14:paraId="207E3A16">
            <w:pPr>
              <w:widowControl/>
              <w:spacing w:line="200" w:lineRule="atLeast"/>
              <w:jc w:val="center"/>
              <w:rPr>
                <w:rFonts w:hint="eastAsia" w:ascii="宋体" w:hAnsi="宋体" w:cs="宋体"/>
                <w:b/>
                <w:color w:val="000000" w:themeColor="text1"/>
                <w:szCs w:val="21"/>
              </w:rPr>
            </w:pPr>
            <w:r>
              <w:rPr>
                <w:rFonts w:hint="eastAsia"/>
                <w:b/>
                <w:color w:val="000000" w:themeColor="text1"/>
                <w:szCs w:val="21"/>
              </w:rPr>
              <w:t>能力</w:t>
            </w:r>
          </w:p>
        </w:tc>
        <w:tc>
          <w:tcPr>
            <w:tcW w:w="7553" w:type="dxa"/>
            <w:tcBorders>
              <w:top w:val="single" w:color="auto" w:sz="4" w:space="0"/>
              <w:left w:val="single" w:color="auto" w:sz="4" w:space="0"/>
              <w:right w:val="single" w:color="auto" w:sz="4" w:space="0"/>
            </w:tcBorders>
            <w:vAlign w:val="center"/>
          </w:tcPr>
          <w:p w14:paraId="25871B36">
            <w:pPr>
              <w:spacing w:line="200" w:lineRule="atLeast"/>
              <w:rPr>
                <w:rFonts w:hint="eastAsia" w:ascii="宋体" w:hAnsi="宋体"/>
                <w:color w:val="000000" w:themeColor="text1"/>
                <w:szCs w:val="21"/>
              </w:rPr>
            </w:pPr>
            <w:r>
              <w:rPr>
                <w:rFonts w:hint="eastAsia" w:ascii="宋体" w:hAnsi="宋体" w:cs="宋体"/>
                <w:color w:val="000000" w:themeColor="text1"/>
              </w:rPr>
              <w:t>供应商承诺项目负责人实际派驻工作时间每周不少于40小时（含40小时），得2分</w:t>
            </w:r>
            <w:r>
              <w:rPr>
                <w:rFonts w:ascii="宋体" w:hAnsi="宋体" w:cs="宋体"/>
                <w:color w:val="000000" w:themeColor="text1"/>
              </w:rPr>
              <w:t>（提供承诺</w:t>
            </w:r>
            <w:r>
              <w:rPr>
                <w:rFonts w:hint="eastAsia" w:ascii="宋体" w:hAnsi="宋体" w:cs="宋体"/>
                <w:color w:val="000000" w:themeColor="text1"/>
              </w:rPr>
              <w:t>函</w:t>
            </w:r>
            <w:r>
              <w:rPr>
                <w:rFonts w:ascii="宋体" w:hAnsi="宋体" w:cs="宋体"/>
                <w:color w:val="000000" w:themeColor="text1"/>
              </w:rPr>
              <w:t>，承诺</w:t>
            </w:r>
            <w:r>
              <w:rPr>
                <w:rFonts w:hint="eastAsia" w:ascii="宋体" w:hAnsi="宋体" w:cs="宋体"/>
                <w:color w:val="000000" w:themeColor="text1"/>
              </w:rPr>
              <w:t>函</w:t>
            </w:r>
            <w:r>
              <w:rPr>
                <w:rFonts w:ascii="宋体" w:hAnsi="宋体" w:cs="宋体"/>
                <w:color w:val="000000" w:themeColor="text1"/>
              </w:rPr>
              <w:t>格式自拟，</w:t>
            </w:r>
            <w:r>
              <w:rPr>
                <w:rFonts w:hint="eastAsia" w:ascii="宋体" w:hAnsi="宋体" w:cs="宋体"/>
                <w:color w:val="000000" w:themeColor="text1"/>
              </w:rPr>
              <w:t>未提供</w:t>
            </w:r>
            <w:r>
              <w:rPr>
                <w:rFonts w:ascii="宋体" w:hAnsi="宋体" w:cs="宋体"/>
                <w:color w:val="000000" w:themeColor="text1"/>
              </w:rPr>
              <w:t>不得分）</w:t>
            </w:r>
            <w:r>
              <w:rPr>
                <w:rFonts w:hint="eastAsia" w:ascii="宋体" w:hAnsi="宋体" w:cs="宋体"/>
                <w:color w:val="000000" w:themeColor="text1"/>
              </w:rPr>
              <w:t>。</w:t>
            </w:r>
          </w:p>
        </w:tc>
        <w:tc>
          <w:tcPr>
            <w:tcW w:w="872" w:type="dxa"/>
            <w:tcBorders>
              <w:top w:val="single" w:color="auto" w:sz="4" w:space="0"/>
              <w:left w:val="single" w:color="auto" w:sz="4" w:space="0"/>
              <w:right w:val="single" w:color="auto" w:sz="4" w:space="0"/>
            </w:tcBorders>
            <w:vAlign w:val="center"/>
          </w:tcPr>
          <w:p w14:paraId="4B2BA974">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w:t>
            </w:r>
          </w:p>
        </w:tc>
      </w:tr>
      <w:tr w14:paraId="2E5E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09" w:type="dxa"/>
            <w:vMerge w:val="continue"/>
            <w:tcBorders>
              <w:left w:val="single" w:color="auto" w:sz="4" w:space="0"/>
              <w:right w:val="single" w:color="auto" w:sz="4" w:space="0"/>
            </w:tcBorders>
            <w:vAlign w:val="center"/>
          </w:tcPr>
          <w:p w14:paraId="4A1F0D4E">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right w:val="single" w:color="auto" w:sz="4" w:space="0"/>
            </w:tcBorders>
            <w:vAlign w:val="center"/>
          </w:tcPr>
          <w:p w14:paraId="244E37A3">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67B93AEF">
            <w:pPr>
              <w:spacing w:line="200" w:lineRule="atLeast"/>
              <w:rPr>
                <w:rFonts w:hint="eastAsia" w:ascii="宋体" w:hAnsi="宋体"/>
                <w:color w:val="000000" w:themeColor="text1"/>
                <w:szCs w:val="21"/>
              </w:rPr>
            </w:pPr>
            <w:r>
              <w:rPr>
                <w:rFonts w:hint="eastAsia"/>
                <w:color w:val="000000" w:themeColor="text1"/>
                <w:spacing w:val="1"/>
                <w:szCs w:val="22"/>
              </w:rPr>
              <w:t>供应商承诺中标后</w:t>
            </w:r>
            <w:r>
              <w:rPr>
                <w:rFonts w:hint="eastAsia"/>
                <w:color w:val="000000" w:themeColor="text1"/>
              </w:rPr>
              <w:t>为所有拟投入的安保人员购买保额不低于80万元/人</w:t>
            </w:r>
            <w:r>
              <w:rPr>
                <w:rFonts w:hint="eastAsia"/>
                <w:color w:val="000000" w:themeColor="text1"/>
                <w:spacing w:val="1"/>
                <w:szCs w:val="22"/>
              </w:rPr>
              <w:t>的雇主责任险和公众责任险等商业险，保险条款中明确供应商在从事服务过程中，造成第三方人身伤亡或财产损失或其它安全事故，供应商负责处理及赔偿事宜，提供书面承诺书的得2分，未提供不得分。</w:t>
            </w:r>
            <w:r>
              <w:rPr>
                <w:rFonts w:ascii="宋体" w:hAnsi="宋体" w:cs="宋体"/>
                <w:color w:val="000000" w:themeColor="text1"/>
              </w:rPr>
              <w:t>（提供承诺</w:t>
            </w:r>
            <w:r>
              <w:rPr>
                <w:rFonts w:hint="eastAsia" w:ascii="宋体" w:hAnsi="宋体" w:cs="宋体"/>
                <w:color w:val="000000" w:themeColor="text1"/>
              </w:rPr>
              <w:t>函</w:t>
            </w:r>
            <w:r>
              <w:rPr>
                <w:rFonts w:ascii="宋体" w:hAnsi="宋体" w:cs="宋体"/>
                <w:color w:val="000000" w:themeColor="text1"/>
              </w:rPr>
              <w:t>，承诺</w:t>
            </w:r>
            <w:r>
              <w:rPr>
                <w:rFonts w:hint="eastAsia" w:ascii="宋体" w:hAnsi="宋体" w:cs="宋体"/>
                <w:color w:val="000000" w:themeColor="text1"/>
              </w:rPr>
              <w:t>函</w:t>
            </w:r>
            <w:r>
              <w:rPr>
                <w:rFonts w:ascii="宋体" w:hAnsi="宋体" w:cs="宋体"/>
                <w:color w:val="000000" w:themeColor="text1"/>
              </w:rPr>
              <w:t>格式自拟）</w:t>
            </w:r>
            <w:r>
              <w:rPr>
                <w:rFonts w:hint="eastAsia" w:ascii="宋体" w:hAnsi="宋体" w:cs="宋体"/>
                <w:color w:val="000000" w:themeColor="text1"/>
              </w:rPr>
              <w:t>。</w:t>
            </w:r>
          </w:p>
        </w:tc>
        <w:tc>
          <w:tcPr>
            <w:tcW w:w="872" w:type="dxa"/>
            <w:tcBorders>
              <w:top w:val="single" w:color="auto" w:sz="4" w:space="0"/>
              <w:left w:val="single" w:color="auto" w:sz="4" w:space="0"/>
              <w:bottom w:val="single" w:color="auto" w:sz="4" w:space="0"/>
              <w:right w:val="single" w:color="auto" w:sz="4" w:space="0"/>
            </w:tcBorders>
            <w:vAlign w:val="center"/>
          </w:tcPr>
          <w:p w14:paraId="4816D10B">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w:t>
            </w:r>
          </w:p>
        </w:tc>
      </w:tr>
      <w:tr w14:paraId="05F4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09" w:type="dxa"/>
            <w:vMerge w:val="continue"/>
            <w:tcBorders>
              <w:left w:val="single" w:color="auto" w:sz="4" w:space="0"/>
              <w:bottom w:val="single" w:color="auto" w:sz="4" w:space="0"/>
              <w:right w:val="single" w:color="auto" w:sz="4" w:space="0"/>
            </w:tcBorders>
            <w:vAlign w:val="center"/>
          </w:tcPr>
          <w:p w14:paraId="789EB29C">
            <w:pPr>
              <w:widowControl/>
              <w:spacing w:line="200" w:lineRule="atLeast"/>
              <w:jc w:val="center"/>
              <w:rPr>
                <w:rFonts w:hint="eastAsia" w:ascii="宋体" w:hAnsi="宋体" w:cs="宋体"/>
                <w:b/>
                <w:color w:val="000000" w:themeColor="text1"/>
                <w:szCs w:val="21"/>
              </w:rPr>
            </w:pPr>
          </w:p>
        </w:tc>
        <w:tc>
          <w:tcPr>
            <w:tcW w:w="914" w:type="dxa"/>
            <w:vMerge w:val="continue"/>
            <w:tcBorders>
              <w:left w:val="single" w:color="auto" w:sz="4" w:space="0"/>
              <w:bottom w:val="single" w:color="auto" w:sz="4" w:space="0"/>
              <w:right w:val="single" w:color="auto" w:sz="4" w:space="0"/>
            </w:tcBorders>
            <w:vAlign w:val="center"/>
          </w:tcPr>
          <w:p w14:paraId="7B36F212">
            <w:pPr>
              <w:widowControl/>
              <w:spacing w:line="200" w:lineRule="atLeast"/>
              <w:jc w:val="center"/>
              <w:rPr>
                <w:rFonts w:hint="eastAsia" w:ascii="宋体" w:hAnsi="宋体" w:cs="宋体"/>
                <w:b/>
                <w:color w:val="000000" w:themeColor="text1"/>
                <w:szCs w:val="21"/>
              </w:rPr>
            </w:pPr>
          </w:p>
        </w:tc>
        <w:tc>
          <w:tcPr>
            <w:tcW w:w="7553" w:type="dxa"/>
            <w:tcBorders>
              <w:top w:val="single" w:color="auto" w:sz="4" w:space="0"/>
              <w:left w:val="single" w:color="auto" w:sz="4" w:space="0"/>
              <w:bottom w:val="single" w:color="auto" w:sz="4" w:space="0"/>
              <w:right w:val="single" w:color="auto" w:sz="4" w:space="0"/>
            </w:tcBorders>
            <w:vAlign w:val="center"/>
          </w:tcPr>
          <w:p w14:paraId="05F18FDC">
            <w:pPr>
              <w:spacing w:line="340" w:lineRule="exact"/>
              <w:rPr>
                <w:rFonts w:hint="eastAsia" w:ascii="宋体" w:hAnsi="宋体"/>
                <w:color w:val="000000" w:themeColor="text1"/>
              </w:rPr>
            </w:pPr>
            <w:r>
              <w:rPr>
                <w:rFonts w:hint="eastAsia" w:ascii="宋体" w:hAnsi="宋体"/>
                <w:color w:val="000000" w:themeColor="text1"/>
              </w:rPr>
              <w:t>对供应商投入本项目的对讲机、执法记录仪、服装等进行评价，且必须具备满足本次招标项目常态执勤保障服务作业，主要包括固定岗点、卡口岗、巡逻岗，每岗位不少于1台对讲机、执法记录仪，人员服装和景区安保统一。满分2分。</w:t>
            </w:r>
          </w:p>
          <w:p w14:paraId="1F288D04">
            <w:pPr>
              <w:spacing w:line="200" w:lineRule="atLeast"/>
              <w:rPr>
                <w:rFonts w:hint="eastAsia" w:ascii="宋体" w:hAnsi="宋体"/>
                <w:color w:val="000000" w:themeColor="text1"/>
                <w:szCs w:val="21"/>
              </w:rPr>
            </w:pPr>
            <w:r>
              <w:rPr>
                <w:rFonts w:hint="eastAsia" w:ascii="宋体" w:hAnsi="宋体"/>
                <w:color w:val="000000" w:themeColor="text1"/>
              </w:rPr>
              <w:t>（如是自有请提供上述装备及服装购买发票；如是租赁需提供租赁合同；如提供承诺函的，须承诺中标后30日内提供相应设备及服装上岗；相关证明材料复印件加盖公章）</w:t>
            </w:r>
          </w:p>
        </w:tc>
        <w:tc>
          <w:tcPr>
            <w:tcW w:w="872" w:type="dxa"/>
            <w:tcBorders>
              <w:top w:val="single" w:color="auto" w:sz="4" w:space="0"/>
              <w:left w:val="single" w:color="auto" w:sz="4" w:space="0"/>
              <w:bottom w:val="single" w:color="auto" w:sz="4" w:space="0"/>
              <w:right w:val="single" w:color="auto" w:sz="4" w:space="0"/>
            </w:tcBorders>
            <w:vAlign w:val="center"/>
          </w:tcPr>
          <w:p w14:paraId="71B69EBA">
            <w:pPr>
              <w:widowControl/>
              <w:spacing w:line="200" w:lineRule="atLeast"/>
              <w:jc w:val="center"/>
              <w:rPr>
                <w:rFonts w:hint="eastAsia" w:ascii="宋体" w:hAnsi="宋体" w:cstheme="majorEastAsia"/>
                <w:b/>
                <w:color w:val="000000" w:themeColor="text1"/>
                <w:szCs w:val="21"/>
              </w:rPr>
            </w:pPr>
            <w:r>
              <w:rPr>
                <w:rFonts w:hint="eastAsia" w:ascii="宋体" w:hAnsi="宋体" w:cstheme="majorEastAsia"/>
                <w:b/>
                <w:color w:val="000000" w:themeColor="text1"/>
                <w:szCs w:val="21"/>
              </w:rPr>
              <w:t>2</w:t>
            </w:r>
          </w:p>
        </w:tc>
      </w:tr>
      <w:tr w14:paraId="6B37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176" w:type="dxa"/>
            <w:gridSpan w:val="3"/>
            <w:tcBorders>
              <w:top w:val="single" w:color="auto" w:sz="4" w:space="0"/>
              <w:left w:val="single" w:color="auto" w:sz="4" w:space="0"/>
              <w:bottom w:val="single" w:color="auto" w:sz="4" w:space="0"/>
              <w:right w:val="single" w:color="auto" w:sz="4" w:space="0"/>
            </w:tcBorders>
            <w:vAlign w:val="center"/>
          </w:tcPr>
          <w:p w14:paraId="06A154A1">
            <w:pPr>
              <w:spacing w:line="200" w:lineRule="atLeast"/>
              <w:jc w:val="center"/>
              <w:rPr>
                <w:rFonts w:hint="eastAsia" w:ascii="宋体" w:hAnsi="宋体"/>
                <w:color w:val="000000" w:themeColor="text1"/>
                <w:szCs w:val="21"/>
              </w:rPr>
            </w:pPr>
            <w:r>
              <w:rPr>
                <w:rFonts w:hint="eastAsia" w:ascii="宋体" w:hAnsi="宋体"/>
                <w:color w:val="000000" w:themeColor="text1"/>
                <w:szCs w:val="21"/>
              </w:rPr>
              <w:t>总得分</w:t>
            </w:r>
          </w:p>
        </w:tc>
        <w:tc>
          <w:tcPr>
            <w:tcW w:w="872" w:type="dxa"/>
            <w:tcBorders>
              <w:top w:val="single" w:color="auto" w:sz="4" w:space="0"/>
              <w:left w:val="single" w:color="auto" w:sz="4" w:space="0"/>
              <w:bottom w:val="single" w:color="auto" w:sz="4" w:space="0"/>
              <w:right w:val="single" w:color="auto" w:sz="4" w:space="0"/>
            </w:tcBorders>
            <w:vAlign w:val="center"/>
          </w:tcPr>
          <w:p w14:paraId="76385C3B">
            <w:pPr>
              <w:widowControl/>
              <w:spacing w:line="200" w:lineRule="atLeast"/>
              <w:jc w:val="center"/>
              <w:rPr>
                <w:rFonts w:hint="eastAsia" w:ascii="宋体" w:hAnsi="宋体" w:cstheme="majorEastAsia"/>
                <w:b/>
                <w:color w:val="000000" w:themeColor="text1"/>
                <w:szCs w:val="21"/>
              </w:rPr>
            </w:pPr>
            <w:r>
              <w:rPr>
                <w:rFonts w:ascii="宋体" w:hAnsi="宋体" w:cstheme="majorEastAsia"/>
                <w:b/>
                <w:color w:val="000000" w:themeColor="text1"/>
                <w:szCs w:val="21"/>
              </w:rPr>
              <w:fldChar w:fldCharType="begin"/>
            </w:r>
            <w:r>
              <w:rPr>
                <w:rFonts w:ascii="宋体" w:hAnsi="宋体" w:cstheme="majorEastAsia"/>
                <w:b/>
                <w:color w:val="000000" w:themeColor="text1"/>
                <w:szCs w:val="21"/>
              </w:rPr>
              <w:instrText xml:space="preserve"> =SUM(ABOVE) </w:instrText>
            </w:r>
            <w:r>
              <w:rPr>
                <w:rFonts w:ascii="宋体" w:hAnsi="宋体" w:cstheme="majorEastAsia"/>
                <w:b/>
                <w:color w:val="000000" w:themeColor="text1"/>
                <w:szCs w:val="21"/>
              </w:rPr>
              <w:fldChar w:fldCharType="separate"/>
            </w:r>
            <w:r>
              <w:rPr>
                <w:rFonts w:ascii="宋体" w:hAnsi="宋体" w:cstheme="majorEastAsia"/>
                <w:b/>
                <w:color w:val="000000" w:themeColor="text1"/>
                <w:szCs w:val="21"/>
              </w:rPr>
              <w:t>100</w:t>
            </w:r>
            <w:r>
              <w:rPr>
                <w:rFonts w:ascii="宋体" w:hAnsi="宋体" w:cstheme="majorEastAsia"/>
                <w:b/>
                <w:color w:val="000000" w:themeColor="text1"/>
                <w:szCs w:val="21"/>
              </w:rPr>
              <w:fldChar w:fldCharType="end"/>
            </w:r>
          </w:p>
        </w:tc>
      </w:tr>
    </w:tbl>
    <w:p w14:paraId="7CED189F">
      <w:pPr>
        <w:spacing w:line="360" w:lineRule="auto"/>
        <w:rPr>
          <w:rFonts w:hint="eastAsia" w:ascii="宋体" w:hAnsi="宋体" w:cs="宋体"/>
          <w:bCs/>
          <w:color w:val="000000" w:themeColor="text1"/>
          <w:szCs w:val="21"/>
        </w:rPr>
      </w:pPr>
    </w:p>
    <w:p w14:paraId="7A95A6ED">
      <w:pPr>
        <w:spacing w:line="360" w:lineRule="auto"/>
        <w:rPr>
          <w:rFonts w:hint="eastAsia" w:ascii="宋体" w:hAnsi="宋体" w:cs="宋体"/>
          <w:bCs/>
          <w:color w:val="000000" w:themeColor="text1"/>
          <w:szCs w:val="21"/>
        </w:rPr>
      </w:pPr>
      <w:r>
        <w:rPr>
          <w:rFonts w:hint="eastAsia" w:ascii="宋体" w:hAnsi="宋体" w:cs="宋体"/>
          <w:bCs/>
          <w:color w:val="000000" w:themeColor="text1"/>
          <w:szCs w:val="21"/>
        </w:rPr>
        <w:t>说明：</w:t>
      </w:r>
    </w:p>
    <w:p w14:paraId="5A31BE25">
      <w:pPr>
        <w:spacing w:line="360" w:lineRule="auto"/>
        <w:rPr>
          <w:rFonts w:hint="eastAsia" w:ascii="宋体" w:hAnsi="宋体" w:cs="宋体"/>
          <w:b/>
          <w:color w:val="000000" w:themeColor="text1"/>
          <w:szCs w:val="21"/>
        </w:rPr>
      </w:pPr>
      <w:r>
        <w:rPr>
          <w:rFonts w:hint="eastAsia" w:ascii="宋体" w:hAnsi="宋体" w:cs="宋体"/>
          <w:bCs/>
          <w:color w:val="000000" w:themeColor="text1"/>
          <w:szCs w:val="21"/>
        </w:rPr>
        <w:t>1.所有证明和业绩均以有效清晰的证明文件的扫描件为依据。</w:t>
      </w:r>
    </w:p>
    <w:p w14:paraId="41586895">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2.小微企业价格扣除</w:t>
      </w:r>
    </w:p>
    <w:p w14:paraId="77B0FF7B">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2.1对于专门面向中小企业或小型、微型企业的项目，只面向中小企业或小型、微型企业采购。对于非专门面向中小企业的项目，对小型和微型企业的价格给予10%的扣除，用扣除后的价格参与评审。</w:t>
      </w:r>
    </w:p>
    <w:p w14:paraId="5C460C57">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2.2大中型企业和其他自然人、法人或者其他组织与小型、微型企业组成联合体共同参加投标，如果联合协议中约定，小型、微型企业的协议合同金额占到联合体协议合同总金额30%以上的，给予联合体4%的价格扣除。联合体各方均为小型、微型企业的，联合体视同为小型、微型企业给予10%价格扣除，用扣除后的价格参与评审。组成联合体的大中型企业和其他自然人、法人或者其他组织，与小型、微型企业之间不得存在投资关系。</w:t>
      </w:r>
    </w:p>
    <w:p w14:paraId="06544CC9">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3.监狱和戒毒企业的价格扣除</w:t>
      </w:r>
    </w:p>
    <w:p w14:paraId="6B127310">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3.1 本项目对监狱和戒毒企业，给予10%的价格扣除，用扣除后的价格参与评审。</w:t>
      </w:r>
    </w:p>
    <w:p w14:paraId="3DD527EC">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3.2 监狱企业需提供由省级以上监狱管理局、戒毒管理局（含新疆生产建设兵团）出具的属于监狱企业的证明文件。</w:t>
      </w:r>
    </w:p>
    <w:p w14:paraId="35694CFF">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3.3 监狱企业标准请参照《关于政府采购支持监狱企业发展有关问题的通知》（财库〔2014〕68号）。</w:t>
      </w:r>
    </w:p>
    <w:p w14:paraId="23BB9852">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4.残疾人福利性单位的价格扣除</w:t>
      </w:r>
    </w:p>
    <w:p w14:paraId="6ECF58C7">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4.1 本项目对残疾人福利性单位，给予10%的价格扣除，用扣除后的价格参与评审。</w:t>
      </w:r>
    </w:p>
    <w:p w14:paraId="238DC614">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4.2 残疾人福利性单位需提供《残疾人福利性单位声明函》。</w:t>
      </w:r>
    </w:p>
    <w:p w14:paraId="10F4A371">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4.3 残疾人福利性单位标准请参照《关于促进残疾人就业政府采购政策的通知》（财库〔2017〕141号）。</w:t>
      </w:r>
    </w:p>
    <w:p w14:paraId="142EE60B">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5. 监狱企业、残疾人福利性单位属于小型、微型企业的，不重复享受政策。</w:t>
      </w:r>
    </w:p>
    <w:p w14:paraId="663BEC1E">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6.本国产品的价格扣除</w:t>
      </w:r>
    </w:p>
    <w:p w14:paraId="23DE169D">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6.1本国产品标准、本国产品标准的适用范围、对本国产品的支持政策等详见《国务院办公厅关于在政府采购中实施本国产品标准及相关政策的通知》（国办发〔2025〕34号）。</w:t>
      </w:r>
    </w:p>
    <w:p w14:paraId="1A16451A">
      <w:pPr>
        <w:spacing w:line="360" w:lineRule="auto"/>
        <w:rPr>
          <w:rFonts w:hint="eastAsia" w:ascii="宋体" w:hAnsi="宋体" w:cs="宋体"/>
          <w:bCs/>
          <w:color w:val="000000" w:themeColor="text1"/>
          <w:kern w:val="0"/>
          <w:szCs w:val="21"/>
        </w:rPr>
      </w:pPr>
      <w:r>
        <w:rPr>
          <w:rFonts w:hint="eastAsia" w:ascii="宋体" w:hAnsi="宋体" w:cs="宋体"/>
          <w:bCs/>
          <w:color w:val="000000" w:themeColor="text1"/>
          <w:kern w:val="0"/>
          <w:szCs w:val="21"/>
        </w:rPr>
        <w:t>6.2 政府采购活动中既有本国产品又有非本国产品参与竞争的，依法对本国产品给予价格评审优惠，对本国产品的报价给予20%的价格扣除，用扣除后的价格参与评审。</w:t>
      </w:r>
    </w:p>
    <w:p w14:paraId="6365B588">
      <w:pPr>
        <w:spacing w:line="360" w:lineRule="auto"/>
        <w:rPr>
          <w:rFonts w:hint="eastAsia" w:ascii="宋体" w:hAnsi="宋体" w:cs="宋体"/>
          <w:bCs/>
          <w:color w:val="000000" w:themeColor="text1"/>
          <w:kern w:val="0"/>
          <w:szCs w:val="21"/>
        </w:rPr>
        <w:sectPr>
          <w:footerReference r:id="rId7" w:type="first"/>
          <w:headerReference r:id="rId5" w:type="default"/>
          <w:footerReference r:id="rId6" w:type="default"/>
          <w:pgSz w:w="11906" w:h="16838"/>
          <w:pgMar w:top="1417" w:right="1417" w:bottom="1417" w:left="1417" w:header="851" w:footer="992" w:gutter="0"/>
          <w:pgNumType w:start="1"/>
          <w:cols w:space="720" w:num="1"/>
          <w:titlePg/>
          <w:docGrid w:type="lines" w:linePitch="312" w:charSpace="0"/>
        </w:sectPr>
      </w:pPr>
      <w:r>
        <w:rPr>
          <w:rFonts w:hint="eastAsia" w:ascii="宋体" w:hAnsi="宋体" w:cs="宋体"/>
          <w:bCs/>
          <w:color w:val="000000" w:themeColor="text1"/>
          <w:kern w:val="0"/>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FF2205C">
      <w:pPr>
        <w:pStyle w:val="3"/>
        <w:spacing w:line="360" w:lineRule="auto"/>
        <w:rPr>
          <w:rFonts w:hint="eastAsia" w:ascii="宋体" w:hAnsi="宋体" w:cs="宋体"/>
          <w:color w:val="000000" w:themeColor="text1"/>
        </w:rPr>
      </w:pPr>
      <w:bookmarkStart w:id="22" w:name="_Toc31739"/>
      <w:bookmarkStart w:id="23" w:name="_Toc242444307"/>
      <w:bookmarkStart w:id="24" w:name="_Toc481057147"/>
      <w:bookmarkStart w:id="25" w:name="_Hlk96071152"/>
      <w:r>
        <w:rPr>
          <w:rFonts w:hint="eastAsia" w:ascii="宋体" w:hAnsi="宋体" w:cs="宋体"/>
          <w:color w:val="000000" w:themeColor="text1"/>
        </w:rPr>
        <w:t>采购需求</w:t>
      </w:r>
      <w:bookmarkEnd w:id="22"/>
      <w:bookmarkEnd w:id="23"/>
    </w:p>
    <w:bookmarkEnd w:id="24"/>
    <w:bookmarkEnd w:id="25"/>
    <w:p w14:paraId="16D0503A">
      <w:pPr>
        <w:spacing w:after="120" w:line="360" w:lineRule="auto"/>
        <w:outlineLvl w:val="1"/>
        <w:rPr>
          <w:rFonts w:hint="eastAsia" w:ascii="宋体" w:hAnsi="宋体"/>
          <w:b/>
          <w:color w:val="000000" w:themeColor="text1"/>
          <w:sz w:val="24"/>
        </w:rPr>
      </w:pPr>
      <w:bookmarkStart w:id="26" w:name="_Toc29005"/>
      <w:r>
        <w:rPr>
          <w:rFonts w:hint="eastAsia" w:ascii="宋体" w:hAnsi="宋体"/>
          <w:b/>
          <w:color w:val="000000" w:themeColor="text1"/>
          <w:sz w:val="24"/>
        </w:rPr>
        <w:t>一、项目概况</w:t>
      </w:r>
      <w:bookmarkEnd w:id="26"/>
    </w:p>
    <w:p w14:paraId="50A27CA3">
      <w:pPr>
        <w:spacing w:line="360" w:lineRule="auto"/>
        <w:ind w:firstLine="480"/>
        <w:rPr>
          <w:rFonts w:hint="eastAsia" w:ascii="宋体" w:hAnsi="宋体"/>
          <w:color w:val="000000" w:themeColor="text1"/>
          <w:sz w:val="24"/>
        </w:rPr>
      </w:pPr>
      <w:r>
        <w:rPr>
          <w:rFonts w:hint="eastAsia" w:ascii="宋体" w:hAnsi="宋体"/>
          <w:color w:val="000000" w:themeColor="text1"/>
          <w:sz w:val="24"/>
        </w:rPr>
        <w:t>1.1项目名称：2026-2027年度钟山风景区安保服务采购</w:t>
      </w:r>
    </w:p>
    <w:p w14:paraId="04946291">
      <w:pPr>
        <w:spacing w:line="360" w:lineRule="auto"/>
        <w:ind w:firstLine="480"/>
        <w:rPr>
          <w:rFonts w:hint="eastAsia" w:ascii="宋体" w:hAnsi="宋体"/>
          <w:color w:val="000000" w:themeColor="text1"/>
          <w:sz w:val="24"/>
        </w:rPr>
      </w:pPr>
      <w:r>
        <w:rPr>
          <w:rFonts w:hint="eastAsia" w:ascii="宋体" w:hAnsi="宋体"/>
          <w:color w:val="000000" w:themeColor="text1"/>
          <w:sz w:val="24"/>
        </w:rPr>
        <w:t>1.2服务地点：采购人指定地点</w:t>
      </w:r>
    </w:p>
    <w:p w14:paraId="4B9616FD">
      <w:pPr>
        <w:numPr>
          <w:ilvl w:val="0"/>
          <w:numId w:val="6"/>
        </w:numPr>
        <w:spacing w:after="120" w:line="360" w:lineRule="auto"/>
        <w:outlineLvl w:val="1"/>
        <w:rPr>
          <w:rFonts w:hint="eastAsia" w:ascii="宋体" w:hAnsi="宋体"/>
          <w:b/>
          <w:color w:val="000000" w:themeColor="text1"/>
          <w:sz w:val="24"/>
        </w:rPr>
      </w:pPr>
      <w:r>
        <w:rPr>
          <w:rFonts w:hint="eastAsia" w:ascii="宋体" w:hAnsi="宋体"/>
          <w:b/>
          <w:color w:val="000000" w:themeColor="text1"/>
          <w:sz w:val="24"/>
        </w:rPr>
        <w:t>采购内容：</w:t>
      </w:r>
    </w:p>
    <w:p w14:paraId="57FCB83B">
      <w:pPr>
        <w:spacing w:line="360" w:lineRule="auto"/>
        <w:ind w:firstLine="480"/>
        <w:rPr>
          <w:rFonts w:hint="eastAsia" w:ascii="宋体" w:hAnsi="宋体"/>
          <w:color w:val="000000" w:themeColor="text1"/>
          <w:sz w:val="24"/>
          <w:u w:val="single"/>
        </w:rPr>
      </w:pPr>
      <w:r>
        <w:rPr>
          <w:rFonts w:hint="eastAsia" w:ascii="宋体" w:hAnsi="宋体"/>
          <w:color w:val="000000" w:themeColor="text1"/>
          <w:sz w:val="24"/>
        </w:rPr>
        <w:t>1.其中采购包1：</w:t>
      </w:r>
      <w:r>
        <w:rPr>
          <w:rFonts w:ascii="宋体" w:hAnsi="宋体"/>
          <w:color w:val="000000" w:themeColor="text1"/>
          <w:sz w:val="24"/>
        </w:rPr>
        <w:t>中山陵区域安保服务</w:t>
      </w:r>
      <w:r>
        <w:rPr>
          <w:rFonts w:hint="eastAsia" w:ascii="宋体" w:hAnsi="宋体"/>
          <w:color w:val="000000" w:themeColor="text1"/>
          <w:sz w:val="24"/>
        </w:rPr>
        <w:t>；采购包2：</w:t>
      </w:r>
      <w:r>
        <w:rPr>
          <w:rFonts w:ascii="宋体" w:hAnsi="宋体"/>
          <w:color w:val="000000" w:themeColor="text1"/>
          <w:sz w:val="24"/>
        </w:rPr>
        <w:t>中山陵南侧外围区域安保服务</w:t>
      </w:r>
      <w:r>
        <w:rPr>
          <w:rFonts w:hint="eastAsia" w:ascii="宋体" w:hAnsi="宋体"/>
          <w:color w:val="000000" w:themeColor="text1"/>
          <w:sz w:val="24"/>
        </w:rPr>
        <w:t>；采购包3：</w:t>
      </w:r>
      <w:r>
        <w:rPr>
          <w:rFonts w:ascii="宋体" w:hAnsi="宋体"/>
          <w:color w:val="000000" w:themeColor="text1"/>
          <w:sz w:val="24"/>
        </w:rPr>
        <w:t>中山陵夜巡及交通治理安保服务</w:t>
      </w:r>
      <w:r>
        <w:rPr>
          <w:rFonts w:hint="eastAsia" w:ascii="宋体" w:hAnsi="宋体"/>
          <w:color w:val="000000" w:themeColor="text1"/>
          <w:sz w:val="24"/>
        </w:rPr>
        <w:t>；采购包4：</w:t>
      </w:r>
      <w:r>
        <w:rPr>
          <w:rFonts w:ascii="宋体" w:hAnsi="宋体"/>
          <w:color w:val="000000" w:themeColor="text1"/>
          <w:sz w:val="24"/>
        </w:rPr>
        <w:t>明孝陵区域安保服务</w:t>
      </w:r>
      <w:r>
        <w:rPr>
          <w:rFonts w:hint="eastAsia" w:ascii="宋体" w:hAnsi="宋体"/>
          <w:color w:val="000000" w:themeColor="text1"/>
          <w:sz w:val="24"/>
        </w:rPr>
        <w:t>；采购包5：</w:t>
      </w:r>
      <w:r>
        <w:rPr>
          <w:rFonts w:ascii="宋体" w:hAnsi="宋体"/>
          <w:color w:val="000000" w:themeColor="text1"/>
          <w:sz w:val="24"/>
        </w:rPr>
        <w:t>节假日及重大活动安保服务(陵园路以西）</w:t>
      </w:r>
      <w:r>
        <w:rPr>
          <w:rFonts w:hint="eastAsia" w:ascii="宋体" w:hAnsi="宋体"/>
          <w:color w:val="000000" w:themeColor="text1"/>
          <w:sz w:val="24"/>
        </w:rPr>
        <w:t>；采购包6：</w:t>
      </w:r>
      <w:r>
        <w:rPr>
          <w:rFonts w:ascii="宋体" w:hAnsi="宋体"/>
          <w:color w:val="000000" w:themeColor="text1"/>
          <w:sz w:val="24"/>
        </w:rPr>
        <w:t>节假日及重大活动安保服务(陵园路以东）</w:t>
      </w:r>
      <w:r>
        <w:rPr>
          <w:rFonts w:hint="eastAsia" w:ascii="宋体" w:hAnsi="宋体"/>
          <w:color w:val="000000" w:themeColor="text1"/>
          <w:sz w:val="24"/>
        </w:rPr>
        <w:t>；采购包7：</w:t>
      </w:r>
      <w:r>
        <w:rPr>
          <w:rFonts w:ascii="宋体" w:hAnsi="宋体"/>
          <w:color w:val="000000" w:themeColor="text1"/>
          <w:sz w:val="24"/>
        </w:rPr>
        <w:t>全年配合交警车辆管控安保服务</w:t>
      </w:r>
      <w:r>
        <w:rPr>
          <w:rFonts w:hint="eastAsia" w:ascii="宋体" w:hAnsi="宋体"/>
          <w:color w:val="000000" w:themeColor="text1"/>
          <w:sz w:val="24"/>
        </w:rPr>
        <w:t>；采购包8：</w:t>
      </w:r>
      <w:r>
        <w:rPr>
          <w:rFonts w:ascii="宋体" w:hAnsi="宋体"/>
          <w:color w:val="000000" w:themeColor="text1"/>
          <w:sz w:val="24"/>
        </w:rPr>
        <w:t>临时突击任务安保服务</w:t>
      </w:r>
      <w:r>
        <w:rPr>
          <w:rFonts w:hint="eastAsia" w:ascii="宋体" w:hAnsi="宋体"/>
          <w:color w:val="000000" w:themeColor="text1"/>
          <w:sz w:val="24"/>
        </w:rPr>
        <w:t>；采购包9：</w:t>
      </w:r>
      <w:r>
        <w:rPr>
          <w:rFonts w:ascii="宋体" w:hAnsi="宋体"/>
          <w:color w:val="000000" w:themeColor="text1"/>
          <w:sz w:val="24"/>
        </w:rPr>
        <w:t>消防安全服务</w:t>
      </w:r>
      <w:r>
        <w:rPr>
          <w:rFonts w:hint="eastAsia" w:ascii="宋体" w:hAnsi="宋体"/>
          <w:color w:val="000000" w:themeColor="text1"/>
          <w:sz w:val="24"/>
        </w:rPr>
        <w:t>。</w:t>
      </w:r>
      <w:bookmarkStart w:id="27" w:name="OLE_LINK18"/>
      <w:r>
        <w:rPr>
          <w:rFonts w:hint="eastAsia" w:ascii="宋体" w:hAnsi="宋体"/>
          <w:color w:val="000000" w:themeColor="text1"/>
          <w:sz w:val="24"/>
        </w:rPr>
        <w:t>项目共分为九个采购包，投标人可以同时参与多个采购包。</w:t>
      </w:r>
      <w:r>
        <w:rPr>
          <w:rFonts w:ascii="宋体" w:hAnsi="宋体"/>
          <w:color w:val="000000" w:themeColor="text1"/>
          <w:sz w:val="24"/>
        </w:rPr>
        <w:t>评审顺序依次为采购包1、采购包2、采购包3、采购包4、采购包5、采购包6、采购包7、采购包8、采购包9。其中采购包1、采购包2、采购包3、采购包4、采购包5、采购包6、采购包8、采购包9兼投不兼中；</w:t>
      </w:r>
      <w:bookmarkEnd w:id="27"/>
      <w:r>
        <w:rPr>
          <w:rFonts w:ascii="宋体" w:hAnsi="宋体"/>
          <w:color w:val="000000" w:themeColor="text1"/>
          <w:sz w:val="24"/>
        </w:rPr>
        <w:t>采购包7可以与其他包兼投兼中。同一投标人参与采购包1、采购包2、采购包3、采购包4、采购包5、采购包6、采购包8、采购包9投标时，在前一个采购包被确定为排名第一的中标候选人后，不作为其他采购包（不包含采购包7）的合格投标人。</w:t>
      </w:r>
    </w:p>
    <w:p w14:paraId="3F76B199">
      <w:pPr>
        <w:spacing w:line="360" w:lineRule="auto"/>
        <w:ind w:firstLine="480"/>
        <w:rPr>
          <w:rFonts w:hint="eastAsia" w:ascii="宋体" w:hAnsi="宋体"/>
          <w:color w:val="000000" w:themeColor="text1"/>
          <w:sz w:val="24"/>
        </w:rPr>
      </w:pPr>
      <w:r>
        <w:rPr>
          <w:rFonts w:hint="eastAsia" w:ascii="宋体" w:hAnsi="宋体"/>
          <w:color w:val="000000" w:themeColor="text1"/>
          <w:sz w:val="24"/>
        </w:rPr>
        <w:t>2.具体服务内容如下：</w:t>
      </w:r>
    </w:p>
    <w:p w14:paraId="1FA4E483">
      <w:pPr>
        <w:ind w:firstLine="210" w:firstLineChars="100"/>
        <w:rPr>
          <w:color w:val="000000" w:themeColor="text1"/>
        </w:rPr>
        <w:sectPr>
          <w:pgSz w:w="11906" w:h="16838"/>
          <w:pgMar w:top="1417" w:right="1417" w:bottom="1417" w:left="1417" w:header="851" w:footer="992" w:gutter="0"/>
          <w:cols w:space="720" w:num="1"/>
          <w:titlePg/>
          <w:docGrid w:type="lines" w:linePitch="312" w:charSpace="0"/>
        </w:sectPr>
      </w:pPr>
      <w:r>
        <w:rPr>
          <w:rFonts w:hint="eastAsia"/>
          <w:color w:val="000000" w:themeColor="text1"/>
        </w:rPr>
        <w:t>以下表格岗位人数为最低要求人数，供应商实际投入不得低于岗位规定的人数。</w:t>
      </w:r>
    </w:p>
    <w:tbl>
      <w:tblPr>
        <w:tblStyle w:val="45"/>
        <w:tblW w:w="142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3"/>
        <w:gridCol w:w="1352"/>
        <w:gridCol w:w="779"/>
        <w:gridCol w:w="2090"/>
        <w:gridCol w:w="3786"/>
        <w:gridCol w:w="3049"/>
        <w:gridCol w:w="2591"/>
      </w:tblGrid>
      <w:tr w14:paraId="75D7E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2591" w:type="dxa"/>
            <w:gridSpan w:val="7"/>
            <w:tcBorders>
              <w:tl2br w:val="nil"/>
              <w:tr2bl w:val="nil"/>
            </w:tcBorders>
            <w:noWrap/>
            <w:vAlign w:val="center"/>
          </w:tcPr>
          <w:p w14:paraId="13DF3A9A">
            <w:pPr>
              <w:keepNext/>
              <w:widowControl/>
              <w:snapToGrid w:val="0"/>
              <w:jc w:val="center"/>
              <w:textAlignment w:val="center"/>
              <w:rPr>
                <w:rFonts w:hint="eastAsia" w:ascii="宋体" w:hAnsi="宋体" w:cs="方正小标宋简体"/>
                <w:color w:val="000000" w:themeColor="text1"/>
                <w:sz w:val="24"/>
              </w:rPr>
            </w:pPr>
            <w:bookmarkStart w:id="28" w:name="_Toc30643"/>
            <w:r>
              <w:rPr>
                <w:rFonts w:hint="eastAsia" w:ascii="宋体" w:hAnsi="宋体" w:cs="方正小标宋简体"/>
                <w:color w:val="000000" w:themeColor="text1"/>
                <w:kern w:val="0"/>
                <w:sz w:val="24"/>
              </w:rPr>
              <w:t>采购包1：</w:t>
            </w:r>
            <w:r>
              <w:rPr>
                <w:rFonts w:ascii="宋体" w:hAnsi="宋体" w:cs="方正小标宋简体"/>
                <w:color w:val="000000" w:themeColor="text1"/>
                <w:kern w:val="0"/>
                <w:sz w:val="24"/>
              </w:rPr>
              <w:t>中山陵区域安保服务</w:t>
            </w:r>
          </w:p>
        </w:tc>
      </w:tr>
      <w:tr w14:paraId="3B356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0" w:type="auto"/>
            <w:tcBorders>
              <w:tl2br w:val="nil"/>
              <w:tr2bl w:val="nil"/>
            </w:tcBorders>
            <w:vAlign w:val="center"/>
          </w:tcPr>
          <w:p w14:paraId="766922A2">
            <w:pPr>
              <w:keepNext/>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序号</w:t>
            </w:r>
          </w:p>
        </w:tc>
        <w:tc>
          <w:tcPr>
            <w:tcW w:w="0" w:type="auto"/>
            <w:tcBorders>
              <w:tl2br w:val="nil"/>
              <w:tr2bl w:val="nil"/>
            </w:tcBorders>
            <w:vAlign w:val="center"/>
          </w:tcPr>
          <w:p w14:paraId="3A62A075">
            <w:pPr>
              <w:keepNext/>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固定岗</w:t>
            </w:r>
          </w:p>
        </w:tc>
        <w:tc>
          <w:tcPr>
            <w:tcW w:w="0" w:type="auto"/>
            <w:tcBorders>
              <w:tl2br w:val="nil"/>
              <w:tr2bl w:val="nil"/>
            </w:tcBorders>
            <w:noWrap/>
            <w:vAlign w:val="center"/>
          </w:tcPr>
          <w:p w14:paraId="74B268DD">
            <w:pPr>
              <w:keepNext/>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人数</w:t>
            </w:r>
          </w:p>
        </w:tc>
        <w:tc>
          <w:tcPr>
            <w:tcW w:w="2090" w:type="dxa"/>
            <w:tcBorders>
              <w:tl2br w:val="nil"/>
              <w:tr2bl w:val="nil"/>
            </w:tcBorders>
            <w:vAlign w:val="center"/>
          </w:tcPr>
          <w:p w14:paraId="7B6DE79C">
            <w:pPr>
              <w:keepNext/>
              <w:widowControl/>
              <w:snapToGrid w:val="0"/>
              <w:jc w:val="center"/>
              <w:textAlignment w:val="center"/>
              <w:rPr>
                <w:rFonts w:hint="eastAsia" w:ascii="宋体" w:hAnsi="宋体" w:cs="黑体"/>
                <w:b/>
                <w:bCs/>
                <w:color w:val="000000" w:themeColor="text1"/>
                <w:sz w:val="24"/>
              </w:rPr>
            </w:pPr>
            <w:r>
              <w:rPr>
                <w:rFonts w:hint="eastAsia" w:ascii="宋体" w:hAnsi="宋体" w:cs="黑体"/>
                <w:b/>
                <w:bCs/>
                <w:color w:val="000000" w:themeColor="text1"/>
                <w:kern w:val="0"/>
                <w:sz w:val="24"/>
              </w:rPr>
              <w:t>服务内容</w:t>
            </w:r>
          </w:p>
        </w:tc>
        <w:tc>
          <w:tcPr>
            <w:tcW w:w="3786" w:type="dxa"/>
            <w:tcBorders>
              <w:tl2br w:val="nil"/>
              <w:tr2bl w:val="nil"/>
            </w:tcBorders>
            <w:noWrap/>
            <w:vAlign w:val="center"/>
          </w:tcPr>
          <w:p w14:paraId="425B394B">
            <w:pPr>
              <w:keepNext/>
              <w:widowControl/>
              <w:snapToGrid w:val="0"/>
              <w:jc w:val="center"/>
              <w:textAlignment w:val="center"/>
              <w:rPr>
                <w:rFonts w:hint="eastAsia" w:ascii="宋体" w:hAnsi="宋体" w:cs="黑体"/>
                <w:color w:val="000000" w:themeColor="text1"/>
                <w:sz w:val="24"/>
              </w:rPr>
            </w:pPr>
            <w:r>
              <w:rPr>
                <w:rFonts w:hint="eastAsia" w:ascii="宋体" w:hAnsi="宋体" w:cs="黑体"/>
                <w:color w:val="000000" w:themeColor="text1"/>
                <w:kern w:val="0"/>
                <w:sz w:val="24"/>
              </w:rPr>
              <w:t>预估服务规模</w:t>
            </w:r>
          </w:p>
        </w:tc>
        <w:tc>
          <w:tcPr>
            <w:tcW w:w="0" w:type="auto"/>
            <w:tcBorders>
              <w:tl2br w:val="nil"/>
              <w:tr2bl w:val="nil"/>
            </w:tcBorders>
            <w:noWrap/>
            <w:vAlign w:val="center"/>
          </w:tcPr>
          <w:p w14:paraId="40B1C232">
            <w:pPr>
              <w:keepNext/>
              <w:widowControl/>
              <w:snapToGrid w:val="0"/>
              <w:jc w:val="center"/>
              <w:textAlignment w:val="center"/>
              <w:rPr>
                <w:rFonts w:hint="eastAsia" w:ascii="宋体" w:hAnsi="宋体" w:cs="黑体"/>
                <w:color w:val="000000" w:themeColor="text1"/>
                <w:sz w:val="24"/>
              </w:rPr>
            </w:pPr>
            <w:r>
              <w:rPr>
                <w:rFonts w:hint="eastAsia" w:ascii="宋体" w:hAnsi="宋体" w:cs="黑体"/>
                <w:color w:val="000000" w:themeColor="text1"/>
                <w:kern w:val="0"/>
                <w:sz w:val="24"/>
              </w:rPr>
              <w:t>服务标准</w:t>
            </w:r>
          </w:p>
        </w:tc>
        <w:tc>
          <w:tcPr>
            <w:tcW w:w="2591" w:type="dxa"/>
            <w:tcBorders>
              <w:tl2br w:val="nil"/>
              <w:tr2bl w:val="nil"/>
            </w:tcBorders>
            <w:noWrap/>
            <w:vAlign w:val="center"/>
          </w:tcPr>
          <w:p w14:paraId="7E73CABB">
            <w:pPr>
              <w:keepNext/>
              <w:widowControl/>
              <w:snapToGrid w:val="0"/>
              <w:jc w:val="center"/>
              <w:textAlignment w:val="center"/>
              <w:rPr>
                <w:rFonts w:hint="eastAsia" w:ascii="宋体" w:hAnsi="宋体" w:cs="黑体"/>
                <w:color w:val="000000" w:themeColor="text1"/>
                <w:sz w:val="24"/>
              </w:rPr>
            </w:pPr>
            <w:r>
              <w:rPr>
                <w:rFonts w:hint="eastAsia" w:ascii="宋体" w:hAnsi="宋体" w:cs="黑体"/>
                <w:color w:val="000000" w:themeColor="text1"/>
                <w:kern w:val="0"/>
                <w:sz w:val="24"/>
              </w:rPr>
              <w:t>权责边界</w:t>
            </w:r>
          </w:p>
        </w:tc>
      </w:tr>
      <w:tr w14:paraId="25EEA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BE00D58">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0" w:type="auto"/>
            <w:tcBorders>
              <w:tl2br w:val="nil"/>
              <w:tr2bl w:val="nil"/>
            </w:tcBorders>
            <w:vAlign w:val="center"/>
          </w:tcPr>
          <w:p w14:paraId="23E0D831">
            <w:pPr>
              <w:keepNext/>
              <w:widowControl/>
              <w:snapToGrid w:val="0"/>
              <w:jc w:val="left"/>
              <w:textAlignment w:val="center"/>
              <w:rPr>
                <w:rFonts w:hint="eastAsia" w:ascii="宋体" w:hAnsi="宋体" w:cs="宋体"/>
                <w:color w:val="000000" w:themeColor="text1"/>
                <w:kern w:val="0"/>
                <w:sz w:val="24"/>
              </w:rPr>
            </w:pPr>
            <w:r>
              <w:rPr>
                <w:rFonts w:hint="eastAsia" w:ascii="宋体" w:hAnsi="宋体" w:cs="宋体"/>
                <w:color w:val="000000" w:themeColor="text1"/>
                <w:kern w:val="0"/>
                <w:sz w:val="24"/>
              </w:rPr>
              <w:t>天下为公</w:t>
            </w:r>
          </w:p>
          <w:p w14:paraId="2D6C99D3">
            <w:pPr>
              <w:pStyle w:val="2"/>
              <w:ind w:firstLine="0" w:firstLineChars="0"/>
              <w:rPr>
                <w:color w:val="000000" w:themeColor="text1"/>
              </w:rPr>
            </w:pPr>
            <w:r>
              <w:rPr>
                <w:rFonts w:hint="eastAsia"/>
                <w:color w:val="000000" w:themeColor="text1"/>
              </w:rPr>
              <w:t>（</w:t>
            </w:r>
            <w:r>
              <w:rPr>
                <w:rStyle w:val="250"/>
                <w:rFonts w:hint="default" w:ascii="宋体" w:hAnsi="宋体" w:eastAsia="宋体"/>
                <w:color w:val="000000" w:themeColor="text1"/>
                <w:sz w:val="24"/>
                <w:szCs w:val="24"/>
              </w:rPr>
              <w:t>需具备安检设备操作业务人员上岗</w:t>
            </w:r>
            <w:r>
              <w:rPr>
                <w:rFonts w:hint="eastAsia"/>
                <w:color w:val="000000" w:themeColor="text1"/>
              </w:rPr>
              <w:t>）</w:t>
            </w:r>
          </w:p>
        </w:tc>
        <w:tc>
          <w:tcPr>
            <w:tcW w:w="0" w:type="auto"/>
            <w:tcBorders>
              <w:tl2br w:val="nil"/>
              <w:tr2bl w:val="nil"/>
            </w:tcBorders>
            <w:vAlign w:val="center"/>
          </w:tcPr>
          <w:p w14:paraId="3A55F79D">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2090" w:type="dxa"/>
            <w:vMerge w:val="restart"/>
            <w:tcBorders>
              <w:tl2br w:val="nil"/>
              <w:tr2bl w:val="nil"/>
            </w:tcBorders>
            <w:vAlign w:val="center"/>
          </w:tcPr>
          <w:p w14:paraId="0F091236">
            <w:pPr>
              <w:keepNext/>
              <w:widowControl/>
              <w:snapToGrid w:val="0"/>
              <w:jc w:val="left"/>
              <w:textAlignment w:val="center"/>
              <w:rPr>
                <w:rFonts w:hint="eastAsia" w:ascii="宋体" w:hAnsi="宋体" w:cs="微软雅黑"/>
                <w:color w:val="000000" w:themeColor="text1"/>
                <w:sz w:val="24"/>
              </w:rPr>
            </w:pPr>
            <w:r>
              <w:rPr>
                <w:rStyle w:val="249"/>
                <w:rFonts w:hint="default" w:ascii="宋体" w:hAnsi="宋体" w:eastAsia="宋体"/>
                <w:color w:val="000000" w:themeColor="text1"/>
                <w:sz w:val="24"/>
                <w:szCs w:val="24"/>
              </w:rPr>
              <w:t>1. 景区重点区域秩序维护，游客疏导、人流管控，防止拥堵、踩踏风险；</w:t>
            </w:r>
            <w:r>
              <w:rPr>
                <w:rStyle w:val="249"/>
                <w:rFonts w:hint="default" w:ascii="宋体" w:hAnsi="宋体" w:eastAsia="宋体"/>
                <w:color w:val="000000" w:themeColor="text1"/>
                <w:sz w:val="24"/>
                <w:szCs w:val="24"/>
              </w:rPr>
              <w:br w:type="textWrapping"/>
            </w:r>
            <w:r>
              <w:rPr>
                <w:rStyle w:val="249"/>
                <w:rFonts w:hint="default" w:ascii="宋体" w:hAnsi="宋体" w:eastAsia="宋体"/>
                <w:color w:val="000000" w:themeColor="text1"/>
                <w:sz w:val="24"/>
                <w:szCs w:val="24"/>
              </w:rPr>
              <w:t>2. 出入口、</w:t>
            </w:r>
            <w:r>
              <w:rPr>
                <w:rFonts w:hint="eastAsia" w:ascii="宋体" w:hAnsi="宋体" w:cstheme="minorEastAsia"/>
                <w:color w:val="000000" w:themeColor="text1"/>
                <w:kern w:val="0"/>
                <w:sz w:val="24"/>
              </w:rPr>
              <w:t>非机动车停车秩序管理</w:t>
            </w:r>
            <w:r>
              <w:rPr>
                <w:rStyle w:val="249"/>
                <w:rFonts w:hint="default" w:ascii="宋体" w:hAnsi="宋体" w:eastAsia="宋体"/>
                <w:color w:val="000000" w:themeColor="text1"/>
                <w:sz w:val="24"/>
                <w:szCs w:val="24"/>
              </w:rPr>
              <w:t>、机动车通行引导，劝阻违规停放、翻越护栏、违规进入管控区域行为；</w:t>
            </w:r>
            <w:r>
              <w:rPr>
                <w:rStyle w:val="249"/>
                <w:rFonts w:hint="default" w:ascii="宋体" w:hAnsi="宋体" w:eastAsia="宋体"/>
                <w:color w:val="000000" w:themeColor="text1"/>
                <w:sz w:val="24"/>
                <w:szCs w:val="24"/>
              </w:rPr>
              <w:br w:type="textWrapping"/>
            </w:r>
            <w:r>
              <w:rPr>
                <w:rStyle w:val="249"/>
                <w:rFonts w:hint="default" w:ascii="宋体" w:hAnsi="宋体" w:eastAsia="宋体"/>
                <w:color w:val="000000" w:themeColor="text1"/>
                <w:sz w:val="24"/>
                <w:szCs w:val="24"/>
              </w:rPr>
              <w:t>3. 现场安全巡查，发现火情、设施损坏、游客纠纷、安全隐患第一时间上报并先期处置；</w:t>
            </w:r>
            <w:r>
              <w:rPr>
                <w:rStyle w:val="249"/>
                <w:rFonts w:hint="default" w:ascii="宋体" w:hAnsi="宋体" w:eastAsia="宋体"/>
                <w:color w:val="000000" w:themeColor="text1"/>
                <w:sz w:val="24"/>
                <w:szCs w:val="24"/>
              </w:rPr>
              <w:br w:type="textWrapping"/>
            </w:r>
            <w:r>
              <w:rPr>
                <w:rStyle w:val="249"/>
                <w:rFonts w:hint="default" w:ascii="宋体" w:hAnsi="宋体" w:eastAsia="宋体"/>
                <w:color w:val="000000" w:themeColor="text1"/>
                <w:sz w:val="24"/>
                <w:szCs w:val="24"/>
              </w:rPr>
              <w:t>4. 突发事件、游客冲突、紧急情况的现场先期处置，配合公安、消防开展联动保障；</w:t>
            </w:r>
            <w:r>
              <w:rPr>
                <w:rStyle w:val="249"/>
                <w:rFonts w:hint="default" w:ascii="宋体" w:hAnsi="宋体" w:eastAsia="宋体"/>
                <w:color w:val="000000" w:themeColor="text1"/>
                <w:sz w:val="24"/>
                <w:szCs w:val="24"/>
              </w:rPr>
              <w:br w:type="textWrapping"/>
            </w:r>
            <w:r>
              <w:rPr>
                <w:rStyle w:val="249"/>
                <w:rFonts w:hint="default" w:ascii="宋体" w:hAnsi="宋体" w:eastAsia="宋体"/>
                <w:color w:val="000000" w:themeColor="text1"/>
                <w:sz w:val="24"/>
                <w:szCs w:val="24"/>
              </w:rPr>
              <w:t xml:space="preserve">5. </w:t>
            </w:r>
            <w:r>
              <w:rPr>
                <w:rStyle w:val="250"/>
                <w:rFonts w:hint="default" w:ascii="宋体" w:hAnsi="宋体" w:eastAsia="宋体"/>
                <w:color w:val="000000" w:themeColor="text1"/>
                <w:sz w:val="24"/>
                <w:szCs w:val="24"/>
              </w:rPr>
              <w:t>重大节假日、大型活动期间等，根据采购人指令，延长服务保障时间，费用含在本项目中不单独支付；</w:t>
            </w:r>
            <w:r>
              <w:rPr>
                <w:rStyle w:val="249"/>
                <w:rFonts w:hint="default" w:ascii="宋体" w:hAnsi="宋体" w:eastAsia="宋体"/>
                <w:color w:val="000000" w:themeColor="text1"/>
                <w:sz w:val="24"/>
                <w:szCs w:val="24"/>
              </w:rPr>
              <w:br w:type="textWrapping"/>
            </w:r>
            <w:r>
              <w:rPr>
                <w:rStyle w:val="249"/>
                <w:rFonts w:hint="default" w:ascii="宋体" w:hAnsi="宋体" w:eastAsia="宋体"/>
                <w:color w:val="000000" w:themeColor="text1"/>
                <w:sz w:val="24"/>
                <w:szCs w:val="24"/>
              </w:rPr>
              <w:t>6. 每日平均在园时间不低于10小时。</w:t>
            </w:r>
            <w:r>
              <w:rPr>
                <w:rStyle w:val="249"/>
                <w:rFonts w:hint="default" w:ascii="宋体" w:hAnsi="宋体" w:eastAsia="宋体"/>
                <w:color w:val="000000" w:themeColor="text1"/>
                <w:sz w:val="24"/>
                <w:szCs w:val="24"/>
              </w:rPr>
              <w:br w:type="textWrapping"/>
            </w:r>
            <w:r>
              <w:rPr>
                <w:rStyle w:val="249"/>
                <w:rFonts w:hint="default" w:ascii="宋体" w:hAnsi="宋体" w:eastAsia="宋体"/>
                <w:color w:val="000000" w:themeColor="text1"/>
                <w:sz w:val="24"/>
                <w:szCs w:val="24"/>
              </w:rPr>
              <w:t>7</w:t>
            </w:r>
            <w:r>
              <w:rPr>
                <w:rStyle w:val="250"/>
                <w:rFonts w:hint="default" w:ascii="宋体" w:hAnsi="宋体" w:eastAsia="宋体"/>
                <w:color w:val="000000" w:themeColor="text1"/>
                <w:sz w:val="24"/>
                <w:szCs w:val="24"/>
              </w:rPr>
              <w:t>.</w:t>
            </w:r>
            <w:bookmarkStart w:id="29" w:name="OLE_LINK17"/>
            <w:r>
              <w:rPr>
                <w:rStyle w:val="250"/>
                <w:rFonts w:hint="default" w:ascii="宋体" w:hAnsi="宋体" w:eastAsia="宋体"/>
                <w:color w:val="000000" w:themeColor="text1"/>
                <w:sz w:val="24"/>
                <w:szCs w:val="24"/>
              </w:rPr>
              <w:t>天下为公</w:t>
            </w:r>
            <w:bookmarkEnd w:id="29"/>
            <w:r>
              <w:rPr>
                <w:rStyle w:val="250"/>
                <w:rFonts w:hint="default" w:ascii="宋体" w:hAnsi="宋体" w:eastAsia="宋体"/>
                <w:color w:val="000000" w:themeColor="text1"/>
                <w:sz w:val="24"/>
                <w:szCs w:val="24"/>
              </w:rPr>
              <w:t>岗点需具备安检设备操作业务人员上岗。</w:t>
            </w:r>
          </w:p>
        </w:tc>
        <w:tc>
          <w:tcPr>
            <w:tcW w:w="3786" w:type="dxa"/>
            <w:vMerge w:val="restart"/>
            <w:tcBorders>
              <w:tl2br w:val="nil"/>
              <w:tr2bl w:val="nil"/>
            </w:tcBorders>
            <w:vAlign w:val="center"/>
          </w:tcPr>
          <w:p w14:paraId="6A0C62BA">
            <w:pPr>
              <w:keepNext/>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项目预估最低需要41人同步在岗保障，服务按岗位服务质量结算。本项目需要中标方提供项目经理现场组织管理，人员更换需提前和甲方协商。具体结算方式和相关要求以合同为准。</w:t>
            </w:r>
          </w:p>
        </w:tc>
        <w:tc>
          <w:tcPr>
            <w:tcW w:w="0" w:type="auto"/>
            <w:vMerge w:val="restart"/>
            <w:tcBorders>
              <w:tl2br w:val="nil"/>
              <w:tr2bl w:val="nil"/>
            </w:tcBorders>
            <w:vAlign w:val="center"/>
          </w:tcPr>
          <w:p w14:paraId="783473DA">
            <w:pPr>
              <w:keepNext/>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1. 上岗安保人员须持有保安员证，无犯罪记录，身体健康，年龄符合安保从业规范；</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2. 上岗统一着装、佩戴标识，配备必要的防暴装备（由中标人自行提供）；</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3. 中标人须对所有安保人员岗前培训，熟悉景区管理规定、应急处置流程；</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4. 中标人为全部安保人员缴纳社保，承担用工、工伤、人身损害全部法律责任；</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5. 人员替换：如安保人员不合格，采购人有权提出更换，中标人须在规定时限内替换同等资质人员，不得影响服务。</w:t>
            </w:r>
          </w:p>
        </w:tc>
        <w:tc>
          <w:tcPr>
            <w:tcW w:w="2591" w:type="dxa"/>
            <w:vMerge w:val="restart"/>
            <w:tcBorders>
              <w:tl2br w:val="nil"/>
              <w:tr2bl w:val="nil"/>
            </w:tcBorders>
            <w:vAlign w:val="center"/>
          </w:tcPr>
          <w:p w14:paraId="0F4D5CD2">
            <w:pPr>
              <w:keepNext/>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1. 本项目属于购买安保服务成果，不属于人员招聘、劳务派遣、岗位外包。中标人派驻现场人员为中标人单位员工，与采购人不存在劳动关系、劳务关系；</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2. 采购人仅提出服务任务目标，不直接对中标人员工进行人事管理、考勤、奖惩；现场工作指令仅针对服务事项，不直接管理人员；</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3. 所有用工纠纷、劳动仲裁、工伤事故、人身损害赔偿全部由中标人独立承担，与采购人无关。</w:t>
            </w:r>
          </w:p>
        </w:tc>
      </w:tr>
      <w:tr w14:paraId="50D49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FFE6C52">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0" w:type="auto"/>
            <w:tcBorders>
              <w:tl2br w:val="nil"/>
              <w:tr2bl w:val="nil"/>
            </w:tcBorders>
            <w:vAlign w:val="center"/>
          </w:tcPr>
          <w:p w14:paraId="6E8E5715">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陵寝祭堂</w:t>
            </w:r>
          </w:p>
        </w:tc>
        <w:tc>
          <w:tcPr>
            <w:tcW w:w="0" w:type="auto"/>
            <w:tcBorders>
              <w:tl2br w:val="nil"/>
              <w:tr2bl w:val="nil"/>
            </w:tcBorders>
            <w:vAlign w:val="center"/>
          </w:tcPr>
          <w:p w14:paraId="65AFC3E7">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2090" w:type="dxa"/>
            <w:vMerge w:val="continue"/>
            <w:tcBorders>
              <w:tl2br w:val="nil"/>
              <w:tr2bl w:val="nil"/>
            </w:tcBorders>
            <w:vAlign w:val="center"/>
          </w:tcPr>
          <w:p w14:paraId="22FB57C0">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1F622AA2">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140A4014">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6848EDB8">
            <w:pPr>
              <w:keepNext/>
              <w:snapToGrid w:val="0"/>
              <w:jc w:val="left"/>
              <w:rPr>
                <w:rFonts w:hint="eastAsia" w:ascii="宋体" w:hAnsi="宋体" w:cs="微软雅黑"/>
                <w:color w:val="000000" w:themeColor="text1"/>
                <w:sz w:val="24"/>
              </w:rPr>
            </w:pPr>
          </w:p>
        </w:tc>
      </w:tr>
      <w:tr w14:paraId="52040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7A5B362">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0" w:type="auto"/>
            <w:tcBorders>
              <w:tl2br w:val="nil"/>
              <w:tr2bl w:val="nil"/>
            </w:tcBorders>
            <w:vAlign w:val="center"/>
          </w:tcPr>
          <w:p w14:paraId="7ADF6BB9">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中山陵检票口出口</w:t>
            </w:r>
          </w:p>
        </w:tc>
        <w:tc>
          <w:tcPr>
            <w:tcW w:w="0" w:type="auto"/>
            <w:tcBorders>
              <w:tl2br w:val="nil"/>
              <w:tr2bl w:val="nil"/>
            </w:tcBorders>
            <w:vAlign w:val="center"/>
          </w:tcPr>
          <w:p w14:paraId="68349017">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4388B42C">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6E74D273">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12BA7726">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1679998A">
            <w:pPr>
              <w:keepNext/>
              <w:snapToGrid w:val="0"/>
              <w:jc w:val="left"/>
              <w:rPr>
                <w:rFonts w:hint="eastAsia" w:ascii="宋体" w:hAnsi="宋体" w:cs="微软雅黑"/>
                <w:color w:val="000000" w:themeColor="text1"/>
                <w:sz w:val="24"/>
              </w:rPr>
            </w:pPr>
          </w:p>
        </w:tc>
      </w:tr>
      <w:tr w14:paraId="5D632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F9F533E">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0" w:type="auto"/>
            <w:tcBorders>
              <w:tl2br w:val="nil"/>
              <w:tr2bl w:val="nil"/>
            </w:tcBorders>
            <w:vAlign w:val="center"/>
          </w:tcPr>
          <w:p w14:paraId="1E496AC3">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行健亭、二道口</w:t>
            </w:r>
          </w:p>
        </w:tc>
        <w:tc>
          <w:tcPr>
            <w:tcW w:w="0" w:type="auto"/>
            <w:tcBorders>
              <w:tl2br w:val="nil"/>
              <w:tr2bl w:val="nil"/>
            </w:tcBorders>
            <w:vAlign w:val="center"/>
          </w:tcPr>
          <w:p w14:paraId="01916A6C">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2090" w:type="dxa"/>
            <w:vMerge w:val="continue"/>
            <w:tcBorders>
              <w:tl2br w:val="nil"/>
              <w:tr2bl w:val="nil"/>
            </w:tcBorders>
            <w:vAlign w:val="center"/>
          </w:tcPr>
          <w:p w14:paraId="42AC71D3">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6C977528">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09766C1B">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1F1E02EE">
            <w:pPr>
              <w:keepNext/>
              <w:snapToGrid w:val="0"/>
              <w:jc w:val="left"/>
              <w:rPr>
                <w:rFonts w:hint="eastAsia" w:ascii="宋体" w:hAnsi="宋体" w:cs="微软雅黑"/>
                <w:color w:val="000000" w:themeColor="text1"/>
                <w:sz w:val="24"/>
              </w:rPr>
            </w:pPr>
          </w:p>
        </w:tc>
      </w:tr>
      <w:tr w14:paraId="7A6BD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3F68EF0A">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0" w:type="auto"/>
            <w:tcBorders>
              <w:tl2br w:val="nil"/>
              <w:tr2bl w:val="nil"/>
            </w:tcBorders>
            <w:vAlign w:val="center"/>
          </w:tcPr>
          <w:p w14:paraId="37A720B5">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东山头</w:t>
            </w:r>
          </w:p>
        </w:tc>
        <w:tc>
          <w:tcPr>
            <w:tcW w:w="0" w:type="auto"/>
            <w:tcBorders>
              <w:tl2br w:val="nil"/>
              <w:tr2bl w:val="nil"/>
            </w:tcBorders>
            <w:vAlign w:val="center"/>
          </w:tcPr>
          <w:p w14:paraId="219EA3EF">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2090" w:type="dxa"/>
            <w:vMerge w:val="continue"/>
            <w:tcBorders>
              <w:tl2br w:val="nil"/>
              <w:tr2bl w:val="nil"/>
            </w:tcBorders>
            <w:vAlign w:val="center"/>
          </w:tcPr>
          <w:p w14:paraId="5E03DC0B">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551D7221">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65B0378C">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344FF4B7">
            <w:pPr>
              <w:keepNext/>
              <w:snapToGrid w:val="0"/>
              <w:jc w:val="left"/>
              <w:rPr>
                <w:rFonts w:hint="eastAsia" w:ascii="宋体" w:hAnsi="宋体" w:cs="微软雅黑"/>
                <w:color w:val="000000" w:themeColor="text1"/>
                <w:sz w:val="24"/>
              </w:rPr>
            </w:pPr>
          </w:p>
        </w:tc>
      </w:tr>
      <w:tr w14:paraId="57935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6431D68">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6</w:t>
            </w:r>
          </w:p>
        </w:tc>
        <w:tc>
          <w:tcPr>
            <w:tcW w:w="0" w:type="auto"/>
            <w:tcBorders>
              <w:tl2br w:val="nil"/>
              <w:tr2bl w:val="nil"/>
            </w:tcBorders>
            <w:vAlign w:val="center"/>
          </w:tcPr>
          <w:p w14:paraId="27CBE657">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灵谷寺门口</w:t>
            </w:r>
          </w:p>
        </w:tc>
        <w:tc>
          <w:tcPr>
            <w:tcW w:w="0" w:type="auto"/>
            <w:tcBorders>
              <w:tl2br w:val="nil"/>
              <w:tr2bl w:val="nil"/>
            </w:tcBorders>
            <w:vAlign w:val="center"/>
          </w:tcPr>
          <w:p w14:paraId="54505CFD">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2A0C3765">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31B5DD3B">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28F4FB79">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59601F08">
            <w:pPr>
              <w:keepNext/>
              <w:snapToGrid w:val="0"/>
              <w:jc w:val="left"/>
              <w:rPr>
                <w:rFonts w:hint="eastAsia" w:ascii="宋体" w:hAnsi="宋体" w:cs="微软雅黑"/>
                <w:color w:val="000000" w:themeColor="text1"/>
                <w:sz w:val="24"/>
              </w:rPr>
            </w:pPr>
          </w:p>
        </w:tc>
      </w:tr>
      <w:tr w14:paraId="4973F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AF3D236">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0" w:type="auto"/>
            <w:tcBorders>
              <w:tl2br w:val="nil"/>
              <w:tr2bl w:val="nil"/>
            </w:tcBorders>
            <w:vAlign w:val="center"/>
          </w:tcPr>
          <w:p w14:paraId="06D441C1">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紫金山东路至灵谷寺大巴停车场</w:t>
            </w:r>
          </w:p>
        </w:tc>
        <w:tc>
          <w:tcPr>
            <w:tcW w:w="0" w:type="auto"/>
            <w:tcBorders>
              <w:tl2br w:val="nil"/>
              <w:tr2bl w:val="nil"/>
            </w:tcBorders>
            <w:vAlign w:val="center"/>
          </w:tcPr>
          <w:p w14:paraId="17EB3E51">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36C25B8E">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593F1DEB">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656B9736">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6B94E076">
            <w:pPr>
              <w:keepNext/>
              <w:snapToGrid w:val="0"/>
              <w:jc w:val="left"/>
              <w:rPr>
                <w:rFonts w:hint="eastAsia" w:ascii="宋体" w:hAnsi="宋体" w:cs="微软雅黑"/>
                <w:color w:val="000000" w:themeColor="text1"/>
                <w:sz w:val="24"/>
              </w:rPr>
            </w:pPr>
          </w:p>
        </w:tc>
      </w:tr>
      <w:tr w14:paraId="5BC40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056E6A0">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8</w:t>
            </w:r>
          </w:p>
        </w:tc>
        <w:tc>
          <w:tcPr>
            <w:tcW w:w="0" w:type="auto"/>
            <w:tcBorders>
              <w:tl2br w:val="nil"/>
              <w:tr2bl w:val="nil"/>
            </w:tcBorders>
            <w:vAlign w:val="center"/>
          </w:tcPr>
          <w:p w14:paraId="20DA27E6">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灵谷寺转盘南往体院方向</w:t>
            </w:r>
          </w:p>
        </w:tc>
        <w:tc>
          <w:tcPr>
            <w:tcW w:w="0" w:type="auto"/>
            <w:tcBorders>
              <w:tl2br w:val="nil"/>
              <w:tr2bl w:val="nil"/>
            </w:tcBorders>
            <w:vAlign w:val="center"/>
          </w:tcPr>
          <w:p w14:paraId="6C3956A1">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6EBD4FED">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6FB03799">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5651D633">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1C9358D7">
            <w:pPr>
              <w:keepNext/>
              <w:snapToGrid w:val="0"/>
              <w:jc w:val="left"/>
              <w:rPr>
                <w:rFonts w:hint="eastAsia" w:ascii="宋体" w:hAnsi="宋体" w:cs="微软雅黑"/>
                <w:color w:val="000000" w:themeColor="text1"/>
                <w:sz w:val="24"/>
              </w:rPr>
            </w:pPr>
          </w:p>
        </w:tc>
      </w:tr>
      <w:tr w14:paraId="1B48F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9A78722">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w:t>
            </w:r>
          </w:p>
        </w:tc>
        <w:tc>
          <w:tcPr>
            <w:tcW w:w="0" w:type="auto"/>
            <w:tcBorders>
              <w:tl2br w:val="nil"/>
              <w:tr2bl w:val="nil"/>
            </w:tcBorders>
            <w:vAlign w:val="center"/>
          </w:tcPr>
          <w:p w14:paraId="7AF7E67C">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灵谷寺路体院转盘</w:t>
            </w:r>
          </w:p>
        </w:tc>
        <w:tc>
          <w:tcPr>
            <w:tcW w:w="0" w:type="auto"/>
            <w:tcBorders>
              <w:tl2br w:val="nil"/>
              <w:tr2bl w:val="nil"/>
            </w:tcBorders>
            <w:vAlign w:val="center"/>
          </w:tcPr>
          <w:p w14:paraId="135219A9">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4FAF308D">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0EE667FE">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38303BCA">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2D7276EC">
            <w:pPr>
              <w:keepNext/>
              <w:snapToGrid w:val="0"/>
              <w:jc w:val="left"/>
              <w:rPr>
                <w:rFonts w:hint="eastAsia" w:ascii="宋体" w:hAnsi="宋体" w:cs="微软雅黑"/>
                <w:color w:val="000000" w:themeColor="text1"/>
                <w:sz w:val="24"/>
              </w:rPr>
            </w:pPr>
          </w:p>
        </w:tc>
      </w:tr>
      <w:tr w14:paraId="007F8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59C2A8A1">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10</w:t>
            </w:r>
          </w:p>
        </w:tc>
        <w:tc>
          <w:tcPr>
            <w:tcW w:w="0" w:type="auto"/>
            <w:tcBorders>
              <w:tl2br w:val="nil"/>
              <w:tr2bl w:val="nil"/>
            </w:tcBorders>
            <w:vAlign w:val="center"/>
          </w:tcPr>
          <w:p w14:paraId="1BCC1BA8">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灵谷寺西路与邮局路路口</w:t>
            </w:r>
          </w:p>
        </w:tc>
        <w:tc>
          <w:tcPr>
            <w:tcW w:w="0" w:type="auto"/>
            <w:tcBorders>
              <w:tl2br w:val="nil"/>
              <w:tr2bl w:val="nil"/>
            </w:tcBorders>
            <w:vAlign w:val="center"/>
          </w:tcPr>
          <w:p w14:paraId="004DB67B">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405E33DF">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78F8CBC6">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7BAE6A61">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6D340A64">
            <w:pPr>
              <w:keepNext/>
              <w:snapToGrid w:val="0"/>
              <w:jc w:val="left"/>
              <w:rPr>
                <w:rFonts w:hint="eastAsia" w:ascii="宋体" w:hAnsi="宋体" w:cs="微软雅黑"/>
                <w:color w:val="000000" w:themeColor="text1"/>
                <w:sz w:val="24"/>
              </w:rPr>
            </w:pPr>
          </w:p>
        </w:tc>
      </w:tr>
      <w:tr w14:paraId="55736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369C0B13">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11</w:t>
            </w:r>
          </w:p>
        </w:tc>
        <w:tc>
          <w:tcPr>
            <w:tcW w:w="0" w:type="auto"/>
            <w:tcBorders>
              <w:tl2br w:val="nil"/>
              <w:tr2bl w:val="nil"/>
            </w:tcBorders>
            <w:vAlign w:val="center"/>
          </w:tcPr>
          <w:p w14:paraId="1B61A3BC">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中山陵南广场扫码整治</w:t>
            </w:r>
          </w:p>
        </w:tc>
        <w:tc>
          <w:tcPr>
            <w:tcW w:w="0" w:type="auto"/>
            <w:tcBorders>
              <w:tl2br w:val="nil"/>
              <w:tr2bl w:val="nil"/>
            </w:tcBorders>
            <w:vAlign w:val="center"/>
          </w:tcPr>
          <w:p w14:paraId="0BD31B59">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2090" w:type="dxa"/>
            <w:vMerge w:val="continue"/>
            <w:tcBorders>
              <w:tl2br w:val="nil"/>
              <w:tr2bl w:val="nil"/>
            </w:tcBorders>
            <w:vAlign w:val="center"/>
          </w:tcPr>
          <w:p w14:paraId="3CCCD3B7">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18E2D7AB">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517879D6">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15E6E1DC">
            <w:pPr>
              <w:keepNext/>
              <w:snapToGrid w:val="0"/>
              <w:jc w:val="left"/>
              <w:rPr>
                <w:rFonts w:hint="eastAsia" w:ascii="宋体" w:hAnsi="宋体" w:cs="微软雅黑"/>
                <w:color w:val="000000" w:themeColor="text1"/>
                <w:sz w:val="24"/>
              </w:rPr>
            </w:pPr>
          </w:p>
        </w:tc>
      </w:tr>
      <w:tr w14:paraId="7681B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6C0EB01">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12</w:t>
            </w:r>
          </w:p>
        </w:tc>
        <w:tc>
          <w:tcPr>
            <w:tcW w:w="0" w:type="auto"/>
            <w:tcBorders>
              <w:tl2br w:val="nil"/>
              <w:tr2bl w:val="nil"/>
            </w:tcBorders>
            <w:vAlign w:val="center"/>
          </w:tcPr>
          <w:p w14:paraId="720459F4">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观光车道与紫金山路西侧路口</w:t>
            </w:r>
          </w:p>
        </w:tc>
        <w:tc>
          <w:tcPr>
            <w:tcW w:w="0" w:type="auto"/>
            <w:tcBorders>
              <w:tl2br w:val="nil"/>
              <w:tr2bl w:val="nil"/>
            </w:tcBorders>
            <w:vAlign w:val="center"/>
          </w:tcPr>
          <w:p w14:paraId="2BFBE89E">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2090" w:type="dxa"/>
            <w:vMerge w:val="continue"/>
            <w:tcBorders>
              <w:tl2br w:val="nil"/>
              <w:tr2bl w:val="nil"/>
            </w:tcBorders>
            <w:vAlign w:val="center"/>
          </w:tcPr>
          <w:p w14:paraId="7A17BC5A">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7BA1C96B">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08B9107A">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3EB9BC83">
            <w:pPr>
              <w:keepNext/>
              <w:snapToGrid w:val="0"/>
              <w:jc w:val="left"/>
              <w:rPr>
                <w:rFonts w:hint="eastAsia" w:ascii="宋体" w:hAnsi="宋体" w:cs="微软雅黑"/>
                <w:color w:val="000000" w:themeColor="text1"/>
                <w:sz w:val="24"/>
              </w:rPr>
            </w:pPr>
          </w:p>
        </w:tc>
      </w:tr>
      <w:tr w14:paraId="6B169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6A42CA59">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13</w:t>
            </w:r>
          </w:p>
        </w:tc>
        <w:tc>
          <w:tcPr>
            <w:tcW w:w="0" w:type="auto"/>
            <w:tcBorders>
              <w:tl2br w:val="nil"/>
              <w:tr2bl w:val="nil"/>
            </w:tcBorders>
            <w:vAlign w:val="center"/>
          </w:tcPr>
          <w:p w14:paraId="1F59AD4C">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无人机巡逻岗</w:t>
            </w:r>
          </w:p>
        </w:tc>
        <w:tc>
          <w:tcPr>
            <w:tcW w:w="0" w:type="auto"/>
            <w:tcBorders>
              <w:tl2br w:val="nil"/>
              <w:tr2bl w:val="nil"/>
            </w:tcBorders>
            <w:vAlign w:val="center"/>
          </w:tcPr>
          <w:p w14:paraId="4E5A04D7">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2090" w:type="dxa"/>
            <w:vMerge w:val="continue"/>
            <w:tcBorders>
              <w:tl2br w:val="nil"/>
              <w:tr2bl w:val="nil"/>
            </w:tcBorders>
            <w:vAlign w:val="center"/>
          </w:tcPr>
          <w:p w14:paraId="6E7889D7">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214CDFDD">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1D34E459">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1128F39D">
            <w:pPr>
              <w:keepNext/>
              <w:snapToGrid w:val="0"/>
              <w:jc w:val="left"/>
              <w:rPr>
                <w:rFonts w:hint="eastAsia" w:ascii="宋体" w:hAnsi="宋体" w:cs="微软雅黑"/>
                <w:color w:val="000000" w:themeColor="text1"/>
                <w:sz w:val="24"/>
              </w:rPr>
            </w:pPr>
          </w:p>
        </w:tc>
      </w:tr>
      <w:tr w14:paraId="0FC3F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5D27E595">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14</w:t>
            </w:r>
          </w:p>
        </w:tc>
        <w:tc>
          <w:tcPr>
            <w:tcW w:w="0" w:type="auto"/>
            <w:tcBorders>
              <w:tl2br w:val="nil"/>
              <w:tr2bl w:val="nil"/>
            </w:tcBorders>
            <w:vAlign w:val="center"/>
          </w:tcPr>
          <w:p w14:paraId="5E9F73A6">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音乐台小路</w:t>
            </w:r>
          </w:p>
        </w:tc>
        <w:tc>
          <w:tcPr>
            <w:tcW w:w="0" w:type="auto"/>
            <w:tcBorders>
              <w:tl2br w:val="nil"/>
              <w:tr2bl w:val="nil"/>
            </w:tcBorders>
            <w:vAlign w:val="center"/>
          </w:tcPr>
          <w:p w14:paraId="26247E13">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2090" w:type="dxa"/>
            <w:vMerge w:val="continue"/>
            <w:tcBorders>
              <w:tl2br w:val="nil"/>
              <w:tr2bl w:val="nil"/>
            </w:tcBorders>
            <w:vAlign w:val="center"/>
          </w:tcPr>
          <w:p w14:paraId="61055F6A">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262A4E69">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400ED102">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137522C7">
            <w:pPr>
              <w:keepNext/>
              <w:snapToGrid w:val="0"/>
              <w:jc w:val="left"/>
              <w:rPr>
                <w:rFonts w:hint="eastAsia" w:ascii="宋体" w:hAnsi="宋体" w:cs="微软雅黑"/>
                <w:color w:val="000000" w:themeColor="text1"/>
                <w:sz w:val="24"/>
              </w:rPr>
            </w:pPr>
          </w:p>
        </w:tc>
      </w:tr>
      <w:tr w14:paraId="36936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6C37EE86">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15</w:t>
            </w:r>
          </w:p>
        </w:tc>
        <w:tc>
          <w:tcPr>
            <w:tcW w:w="0" w:type="auto"/>
            <w:tcBorders>
              <w:tl2br w:val="nil"/>
              <w:tr2bl w:val="nil"/>
            </w:tcBorders>
            <w:vAlign w:val="center"/>
          </w:tcPr>
          <w:p w14:paraId="38C67E98">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T80博爱路路口</w:t>
            </w:r>
          </w:p>
        </w:tc>
        <w:tc>
          <w:tcPr>
            <w:tcW w:w="0" w:type="auto"/>
            <w:tcBorders>
              <w:tl2br w:val="nil"/>
              <w:tr2bl w:val="nil"/>
            </w:tcBorders>
            <w:vAlign w:val="center"/>
          </w:tcPr>
          <w:p w14:paraId="31F3670F">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2090" w:type="dxa"/>
            <w:vMerge w:val="continue"/>
            <w:tcBorders>
              <w:tl2br w:val="nil"/>
              <w:tr2bl w:val="nil"/>
            </w:tcBorders>
            <w:vAlign w:val="center"/>
          </w:tcPr>
          <w:p w14:paraId="61C57C1F">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70378AA6">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1DCEF6E5">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27E27AF2">
            <w:pPr>
              <w:keepNext/>
              <w:snapToGrid w:val="0"/>
              <w:jc w:val="left"/>
              <w:rPr>
                <w:rFonts w:hint="eastAsia" w:ascii="宋体" w:hAnsi="宋体" w:cs="微软雅黑"/>
                <w:color w:val="000000" w:themeColor="text1"/>
                <w:sz w:val="24"/>
              </w:rPr>
            </w:pPr>
          </w:p>
        </w:tc>
      </w:tr>
      <w:tr w14:paraId="4BA6A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F1F48B6">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16</w:t>
            </w:r>
          </w:p>
        </w:tc>
        <w:tc>
          <w:tcPr>
            <w:tcW w:w="0" w:type="auto"/>
            <w:tcBorders>
              <w:tl2br w:val="nil"/>
              <w:tr2bl w:val="nil"/>
            </w:tcBorders>
            <w:vAlign w:val="center"/>
          </w:tcPr>
          <w:p w14:paraId="7E3542A2">
            <w:pPr>
              <w:keepNext/>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中山陵停车场东入口</w:t>
            </w:r>
          </w:p>
        </w:tc>
        <w:tc>
          <w:tcPr>
            <w:tcW w:w="0" w:type="auto"/>
            <w:tcBorders>
              <w:tl2br w:val="nil"/>
              <w:tr2bl w:val="nil"/>
            </w:tcBorders>
            <w:vAlign w:val="center"/>
          </w:tcPr>
          <w:p w14:paraId="5C4A3CDB">
            <w:pPr>
              <w:keepNext/>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2090" w:type="dxa"/>
            <w:vMerge w:val="continue"/>
            <w:tcBorders>
              <w:tl2br w:val="nil"/>
              <w:tr2bl w:val="nil"/>
            </w:tcBorders>
            <w:vAlign w:val="center"/>
          </w:tcPr>
          <w:p w14:paraId="270D8F14">
            <w:pPr>
              <w:keepNext/>
              <w:snapToGrid w:val="0"/>
              <w:jc w:val="left"/>
              <w:rPr>
                <w:rFonts w:hint="eastAsia" w:ascii="宋体" w:hAnsi="宋体" w:cs="微软雅黑"/>
                <w:color w:val="000000" w:themeColor="text1"/>
                <w:sz w:val="24"/>
              </w:rPr>
            </w:pPr>
          </w:p>
        </w:tc>
        <w:tc>
          <w:tcPr>
            <w:tcW w:w="3786" w:type="dxa"/>
            <w:vMerge w:val="continue"/>
            <w:tcBorders>
              <w:tl2br w:val="nil"/>
              <w:tr2bl w:val="nil"/>
            </w:tcBorders>
            <w:vAlign w:val="center"/>
          </w:tcPr>
          <w:p w14:paraId="4E36ACDC">
            <w:pPr>
              <w:keepNext/>
              <w:snapToGrid w:val="0"/>
              <w:jc w:val="left"/>
              <w:rPr>
                <w:rFonts w:hint="eastAsia" w:ascii="宋体" w:hAnsi="宋体" w:cs="微软雅黑"/>
                <w:color w:val="000000" w:themeColor="text1"/>
                <w:sz w:val="24"/>
              </w:rPr>
            </w:pPr>
          </w:p>
        </w:tc>
        <w:tc>
          <w:tcPr>
            <w:tcW w:w="0" w:type="auto"/>
            <w:vMerge w:val="continue"/>
            <w:tcBorders>
              <w:tl2br w:val="nil"/>
              <w:tr2bl w:val="nil"/>
            </w:tcBorders>
            <w:vAlign w:val="center"/>
          </w:tcPr>
          <w:p w14:paraId="22924F69">
            <w:pPr>
              <w:keepNext/>
              <w:snapToGrid w:val="0"/>
              <w:jc w:val="left"/>
              <w:rPr>
                <w:rFonts w:hint="eastAsia" w:ascii="宋体" w:hAnsi="宋体" w:cs="微软雅黑"/>
                <w:color w:val="000000" w:themeColor="text1"/>
                <w:sz w:val="24"/>
              </w:rPr>
            </w:pPr>
          </w:p>
        </w:tc>
        <w:tc>
          <w:tcPr>
            <w:tcW w:w="2591" w:type="dxa"/>
            <w:vMerge w:val="continue"/>
            <w:tcBorders>
              <w:tl2br w:val="nil"/>
              <w:tr2bl w:val="nil"/>
            </w:tcBorders>
            <w:vAlign w:val="center"/>
          </w:tcPr>
          <w:p w14:paraId="61FD40AA">
            <w:pPr>
              <w:keepNext/>
              <w:snapToGrid w:val="0"/>
              <w:jc w:val="left"/>
              <w:rPr>
                <w:rFonts w:hint="eastAsia" w:ascii="宋体" w:hAnsi="宋体" w:cs="微软雅黑"/>
                <w:color w:val="000000" w:themeColor="text1"/>
                <w:sz w:val="24"/>
              </w:rPr>
            </w:pPr>
          </w:p>
        </w:tc>
      </w:tr>
      <w:tr w14:paraId="65C89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3" w:type="dxa"/>
            <w:tcBorders>
              <w:tl2br w:val="nil"/>
              <w:tr2bl w:val="nil"/>
            </w:tcBorders>
            <w:vAlign w:val="center"/>
          </w:tcPr>
          <w:p w14:paraId="5410FCDE">
            <w:pPr>
              <w:keepNext/>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共计岗位</w:t>
            </w:r>
          </w:p>
        </w:tc>
        <w:tc>
          <w:tcPr>
            <w:tcW w:w="1352" w:type="dxa"/>
            <w:tcBorders>
              <w:tl2br w:val="nil"/>
              <w:tr2bl w:val="nil"/>
            </w:tcBorders>
            <w:noWrap/>
            <w:vAlign w:val="center"/>
          </w:tcPr>
          <w:p w14:paraId="2AC1C204">
            <w:pPr>
              <w:keepNext/>
              <w:widowControl/>
              <w:snapToGrid w:val="0"/>
              <w:jc w:val="left"/>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16</w:t>
            </w:r>
          </w:p>
        </w:tc>
        <w:tc>
          <w:tcPr>
            <w:tcW w:w="779" w:type="dxa"/>
            <w:tcBorders>
              <w:tl2br w:val="nil"/>
              <w:tr2bl w:val="nil"/>
            </w:tcBorders>
            <w:noWrap/>
            <w:vAlign w:val="center"/>
          </w:tcPr>
          <w:p w14:paraId="663CE679">
            <w:pPr>
              <w:keepNext/>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41</w:t>
            </w:r>
          </w:p>
        </w:tc>
        <w:tc>
          <w:tcPr>
            <w:tcW w:w="2591" w:type="dxa"/>
            <w:gridSpan w:val="4"/>
            <w:tcBorders>
              <w:tl2br w:val="nil"/>
              <w:tr2bl w:val="nil"/>
            </w:tcBorders>
            <w:vAlign w:val="center"/>
          </w:tcPr>
          <w:p w14:paraId="496293B0">
            <w:pPr>
              <w:keepNext/>
              <w:widowControl/>
              <w:snapToGrid w:val="0"/>
              <w:jc w:val="center"/>
              <w:textAlignment w:val="center"/>
              <w:rPr>
                <w:rFonts w:hint="eastAsia" w:ascii="宋体" w:hAnsi="宋体" w:cs="微软雅黑"/>
                <w:b/>
                <w:color w:val="000000" w:themeColor="text1"/>
                <w:sz w:val="24"/>
              </w:rPr>
            </w:pPr>
            <w:r>
              <w:rPr>
                <w:rFonts w:hint="eastAsia" w:ascii="宋体" w:hAnsi="宋体" w:cs="微软雅黑"/>
                <w:b/>
                <w:color w:val="000000" w:themeColor="text1"/>
                <w:kern w:val="0"/>
                <w:sz w:val="24"/>
              </w:rPr>
              <w:t>服务范围为景区出入口、停车场、游览步道等公共区域。服务内容由中标人全权承接，中标人自主负责人员招募、培训、管理、排班、装备配置、</w:t>
            </w:r>
            <w:r>
              <w:rPr>
                <w:rFonts w:ascii="宋体" w:hAnsi="宋体" w:cs="微软雅黑"/>
                <w:b/>
                <w:color w:val="000000" w:themeColor="text1"/>
                <w:kern w:val="0"/>
                <w:sz w:val="24"/>
              </w:rPr>
              <w:t>餐费自理</w:t>
            </w:r>
            <w:r>
              <w:rPr>
                <w:rFonts w:hint="eastAsia" w:ascii="宋体" w:hAnsi="宋体" w:cs="微软雅黑"/>
                <w:b/>
                <w:color w:val="000000" w:themeColor="text1"/>
                <w:kern w:val="0"/>
                <w:sz w:val="24"/>
              </w:rPr>
              <w:t>、人员劳动关系、薪酬社保、安全责任，采购人仅对安保服务成果进行验收，不直接管理中标人工作人员。</w:t>
            </w:r>
          </w:p>
        </w:tc>
      </w:tr>
      <w:tr w14:paraId="04175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73" w:type="dxa"/>
            <w:tcBorders>
              <w:tl2br w:val="nil"/>
              <w:tr2bl w:val="nil"/>
            </w:tcBorders>
            <w:vAlign w:val="center"/>
          </w:tcPr>
          <w:p w14:paraId="5B70F39D">
            <w:pPr>
              <w:keepNext/>
              <w:widowControl/>
              <w:snapToGrid w:val="0"/>
              <w:jc w:val="center"/>
              <w:textAlignment w:val="center"/>
              <w:rPr>
                <w:rFonts w:hint="eastAsia" w:ascii="宋体" w:hAnsi="宋体" w:cs="宋体"/>
                <w:b/>
                <w:bCs/>
                <w:color w:val="000000" w:themeColor="text1"/>
                <w:kern w:val="0"/>
                <w:sz w:val="24"/>
              </w:rPr>
            </w:pPr>
          </w:p>
        </w:tc>
        <w:tc>
          <w:tcPr>
            <w:tcW w:w="1352" w:type="dxa"/>
            <w:tcBorders>
              <w:tl2br w:val="nil"/>
              <w:tr2bl w:val="nil"/>
            </w:tcBorders>
            <w:noWrap/>
            <w:vAlign w:val="center"/>
          </w:tcPr>
          <w:p w14:paraId="173EA75A">
            <w:pPr>
              <w:keepNext/>
              <w:widowControl/>
              <w:snapToGrid w:val="0"/>
              <w:jc w:val="left"/>
              <w:textAlignment w:val="center"/>
              <w:rPr>
                <w:rFonts w:hint="eastAsia" w:ascii="宋体" w:hAnsi="宋体" w:cs="宋体"/>
                <w:b/>
                <w:bCs/>
                <w:color w:val="000000" w:themeColor="text1"/>
                <w:kern w:val="0"/>
                <w:sz w:val="24"/>
              </w:rPr>
            </w:pPr>
          </w:p>
        </w:tc>
        <w:tc>
          <w:tcPr>
            <w:tcW w:w="779" w:type="dxa"/>
            <w:tcBorders>
              <w:tl2br w:val="nil"/>
              <w:tr2bl w:val="nil"/>
            </w:tcBorders>
            <w:noWrap/>
            <w:vAlign w:val="center"/>
          </w:tcPr>
          <w:p w14:paraId="59A6EEF3">
            <w:pPr>
              <w:keepNext/>
              <w:widowControl/>
              <w:snapToGrid w:val="0"/>
              <w:jc w:val="center"/>
              <w:textAlignment w:val="center"/>
              <w:rPr>
                <w:rFonts w:hint="eastAsia" w:ascii="宋体" w:hAnsi="宋体" w:cs="宋体"/>
                <w:b/>
                <w:bCs/>
                <w:color w:val="000000" w:themeColor="text1"/>
                <w:kern w:val="0"/>
                <w:sz w:val="24"/>
              </w:rPr>
            </w:pPr>
          </w:p>
        </w:tc>
        <w:tc>
          <w:tcPr>
            <w:tcW w:w="2591" w:type="dxa"/>
            <w:gridSpan w:val="4"/>
            <w:tcBorders>
              <w:tl2br w:val="nil"/>
              <w:tr2bl w:val="nil"/>
            </w:tcBorders>
            <w:vAlign w:val="center"/>
          </w:tcPr>
          <w:p w14:paraId="7429D683">
            <w:pPr>
              <w:keepNext/>
              <w:widowControl/>
              <w:snapToGrid w:val="0"/>
              <w:jc w:val="center"/>
              <w:textAlignment w:val="center"/>
              <w:rPr>
                <w:rFonts w:hint="eastAsia" w:ascii="宋体" w:hAnsi="宋体" w:cs="微软雅黑"/>
                <w:b/>
                <w:strike/>
                <w:color w:val="000000" w:themeColor="text1"/>
                <w:kern w:val="0"/>
                <w:sz w:val="24"/>
              </w:rPr>
            </w:pPr>
            <w:r>
              <w:rPr>
                <w:rFonts w:hint="eastAsia" w:ascii="宋体" w:hAnsi="宋体" w:cs="微软雅黑"/>
                <w:b/>
                <w:color w:val="000000" w:themeColor="text1"/>
                <w:kern w:val="0"/>
                <w:sz w:val="24"/>
              </w:rPr>
              <w:t>服务期为：2026-11.1-2027.11.30</w:t>
            </w:r>
          </w:p>
        </w:tc>
      </w:tr>
    </w:tbl>
    <w:p w14:paraId="0DA09911">
      <w:pPr>
        <w:rPr>
          <w:color w:val="000000" w:themeColor="text1"/>
        </w:rPr>
      </w:pPr>
    </w:p>
    <w:p w14:paraId="651CEAE7">
      <w:pPr>
        <w:rPr>
          <w:color w:val="000000" w:themeColor="text1"/>
        </w:rPr>
      </w:pPr>
    </w:p>
    <w:p w14:paraId="216C95EF">
      <w:pPr>
        <w:rPr>
          <w:color w:val="000000" w:themeColor="text1"/>
        </w:rPr>
        <w:sectPr>
          <w:pgSz w:w="16838" w:h="11906" w:orient="landscape"/>
          <w:pgMar w:top="1417" w:right="1417" w:bottom="1417" w:left="1417" w:header="851" w:footer="992" w:gutter="0"/>
          <w:cols w:space="720" w:num="1"/>
          <w:titlePg/>
          <w:docGrid w:type="lines" w:linePitch="312" w:charSpace="0"/>
        </w:sectPr>
      </w:pPr>
    </w:p>
    <w:tbl>
      <w:tblPr>
        <w:tblStyle w:val="45"/>
        <w:tblW w:w="142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1200"/>
        <w:gridCol w:w="713"/>
        <w:gridCol w:w="4537"/>
        <w:gridCol w:w="1650"/>
        <w:gridCol w:w="2588"/>
        <w:gridCol w:w="2824"/>
      </w:tblGrid>
      <w:tr w14:paraId="430DE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4220" w:type="dxa"/>
            <w:gridSpan w:val="7"/>
            <w:tcBorders>
              <w:tl2br w:val="nil"/>
              <w:tr2bl w:val="nil"/>
            </w:tcBorders>
            <w:noWrap/>
            <w:vAlign w:val="center"/>
          </w:tcPr>
          <w:p w14:paraId="5DC0A885">
            <w:pPr>
              <w:keepNext/>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包2：</w:t>
            </w:r>
            <w:r>
              <w:rPr>
                <w:rFonts w:ascii="宋体" w:hAnsi="宋体" w:cstheme="minorEastAsia"/>
                <w:color w:val="000000" w:themeColor="text1"/>
                <w:kern w:val="0"/>
                <w:sz w:val="24"/>
              </w:rPr>
              <w:t>中山陵南侧外围区域安保服务</w:t>
            </w:r>
          </w:p>
        </w:tc>
      </w:tr>
      <w:tr w14:paraId="164F1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0766F8A2">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1200" w:type="dxa"/>
            <w:tcBorders>
              <w:tl2br w:val="nil"/>
              <w:tr2bl w:val="nil"/>
            </w:tcBorders>
            <w:vAlign w:val="center"/>
          </w:tcPr>
          <w:p w14:paraId="145D16D3">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固定岗</w:t>
            </w:r>
          </w:p>
        </w:tc>
        <w:tc>
          <w:tcPr>
            <w:tcW w:w="713" w:type="dxa"/>
            <w:tcBorders>
              <w:tl2br w:val="nil"/>
              <w:tr2bl w:val="nil"/>
            </w:tcBorders>
            <w:noWrap/>
            <w:vAlign w:val="center"/>
          </w:tcPr>
          <w:p w14:paraId="52416A6D">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人数</w:t>
            </w:r>
          </w:p>
        </w:tc>
        <w:tc>
          <w:tcPr>
            <w:tcW w:w="4537" w:type="dxa"/>
            <w:tcBorders>
              <w:tl2br w:val="nil"/>
              <w:tr2bl w:val="nil"/>
            </w:tcBorders>
            <w:vAlign w:val="center"/>
          </w:tcPr>
          <w:p w14:paraId="329CC645">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服务内容</w:t>
            </w:r>
          </w:p>
        </w:tc>
        <w:tc>
          <w:tcPr>
            <w:tcW w:w="1650" w:type="dxa"/>
            <w:tcBorders>
              <w:tl2br w:val="nil"/>
              <w:tr2bl w:val="nil"/>
            </w:tcBorders>
            <w:noWrap/>
            <w:vAlign w:val="center"/>
          </w:tcPr>
          <w:p w14:paraId="436F036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预估服务规模</w:t>
            </w:r>
          </w:p>
        </w:tc>
        <w:tc>
          <w:tcPr>
            <w:tcW w:w="2588" w:type="dxa"/>
            <w:tcBorders>
              <w:tl2br w:val="nil"/>
              <w:tr2bl w:val="nil"/>
            </w:tcBorders>
            <w:noWrap/>
            <w:vAlign w:val="center"/>
          </w:tcPr>
          <w:p w14:paraId="14E28B6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服务标准</w:t>
            </w:r>
          </w:p>
        </w:tc>
        <w:tc>
          <w:tcPr>
            <w:tcW w:w="2824" w:type="dxa"/>
            <w:tcBorders>
              <w:tl2br w:val="nil"/>
              <w:tr2bl w:val="nil"/>
            </w:tcBorders>
            <w:noWrap/>
            <w:vAlign w:val="center"/>
          </w:tcPr>
          <w:p w14:paraId="520B4B2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权责边界</w:t>
            </w:r>
          </w:p>
        </w:tc>
      </w:tr>
      <w:tr w14:paraId="1FF9F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73E721A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1200" w:type="dxa"/>
            <w:tcBorders>
              <w:tl2br w:val="nil"/>
              <w:tr2bl w:val="nil"/>
            </w:tcBorders>
            <w:vAlign w:val="center"/>
          </w:tcPr>
          <w:p w14:paraId="0504072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韦陀巷</w:t>
            </w:r>
          </w:p>
        </w:tc>
        <w:tc>
          <w:tcPr>
            <w:tcW w:w="713" w:type="dxa"/>
            <w:tcBorders>
              <w:tl2br w:val="nil"/>
              <w:tr2bl w:val="nil"/>
            </w:tcBorders>
            <w:noWrap/>
            <w:vAlign w:val="center"/>
          </w:tcPr>
          <w:p w14:paraId="0692144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4537" w:type="dxa"/>
            <w:vMerge w:val="restart"/>
            <w:tcBorders>
              <w:tl2br w:val="nil"/>
              <w:tr2bl w:val="nil"/>
            </w:tcBorders>
            <w:vAlign w:val="center"/>
          </w:tcPr>
          <w:p w14:paraId="2D21478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1.景区重点区域秩序维护，游客疏导、人流管控，防止拥堵、踩踏风险；2.出入口、</w:t>
            </w:r>
            <w:bookmarkStart w:id="30" w:name="OLE_LINK3"/>
            <w:r>
              <w:rPr>
                <w:rFonts w:hint="eastAsia" w:ascii="宋体" w:hAnsi="宋体" w:cstheme="minorEastAsia"/>
                <w:color w:val="000000" w:themeColor="text1"/>
                <w:kern w:val="0"/>
                <w:sz w:val="24"/>
              </w:rPr>
              <w:t>非机动车停车秩序管理</w:t>
            </w:r>
            <w:bookmarkEnd w:id="30"/>
            <w:r>
              <w:rPr>
                <w:rFonts w:hint="eastAsia" w:ascii="宋体" w:hAnsi="宋体" w:cstheme="minorEastAsia"/>
                <w:color w:val="000000" w:themeColor="text1"/>
                <w:kern w:val="0"/>
                <w:sz w:val="24"/>
              </w:rPr>
              <w:t>、机动车通行引导，劝阻违规停放、翻越护栏、违规进入管控区域行为；3.现场安全巡查，发现火情、设施损坏、游客纠纷、安全隐患第一时间上报并先期处置；4.突发事件、游客冲突、紧急情况的现场先期处置，配合公安、消防开展联动保障；5.</w:t>
            </w:r>
            <w:r>
              <w:rPr>
                <w:rFonts w:hint="eastAsia" w:ascii="宋体" w:hAnsi="宋体" w:cstheme="minorEastAsia"/>
                <w:b/>
                <w:bCs/>
                <w:color w:val="000000" w:themeColor="text1"/>
                <w:kern w:val="0"/>
                <w:sz w:val="24"/>
              </w:rPr>
              <w:t>重大节假日、大型活动期间等，根据采购人指令，延长服务保障时间，费用含在本项目中不单独支付；</w:t>
            </w:r>
            <w:r>
              <w:rPr>
                <w:rFonts w:hint="eastAsia" w:ascii="宋体" w:hAnsi="宋体" w:cstheme="minorEastAsia"/>
                <w:color w:val="000000" w:themeColor="text1"/>
                <w:kern w:val="0"/>
                <w:sz w:val="24"/>
              </w:rPr>
              <w:t>6.每日平均在园时间不低于10小时。7</w:t>
            </w:r>
            <w:r>
              <w:rPr>
                <w:rFonts w:hint="eastAsia" w:ascii="宋体" w:hAnsi="宋体" w:cstheme="minorEastAsia"/>
                <w:b/>
                <w:bCs/>
                <w:color w:val="000000" w:themeColor="text1"/>
                <w:kern w:val="0"/>
                <w:sz w:val="24"/>
              </w:rPr>
              <w:t>.固定岗负责维护周边秩序，管理非机动车停放、流动摊贩、黄牛拉子、电动车揽客和黑车等；卡口岗负责负责路口交通管控，驱赶周边流动摊贩、黄牛拉子、电动车揽客和车辆违停等；巡查岗负责琵琶湖、植物园、白马公园、白马山庄、</w:t>
            </w:r>
            <w:r>
              <w:rPr>
                <w:rFonts w:ascii="宋体" w:hAnsi="宋体" w:cstheme="minorEastAsia"/>
                <w:b/>
                <w:bCs/>
                <w:color w:val="000000" w:themeColor="text1"/>
                <w:kern w:val="0"/>
                <w:sz w:val="24"/>
              </w:rPr>
              <w:t>明陵路</w:t>
            </w:r>
            <w:r>
              <w:rPr>
                <w:rFonts w:hint="eastAsia" w:ascii="宋体" w:hAnsi="宋体" w:cstheme="minorEastAsia"/>
                <w:b/>
                <w:bCs/>
                <w:color w:val="000000" w:themeColor="text1"/>
                <w:kern w:val="0"/>
                <w:sz w:val="24"/>
              </w:rPr>
              <w:t>、紫金文化广场、常遇春墓、仇成墓、何香凝墓等巡查，骑电动车每天巡查1次。负责管理流动摊贩、车辆违停、黄牛拉子、电动车揽客和黑车等，骑电动车每小时巡查1次。</w:t>
            </w:r>
          </w:p>
        </w:tc>
        <w:tc>
          <w:tcPr>
            <w:tcW w:w="1650" w:type="dxa"/>
            <w:vMerge w:val="restart"/>
            <w:tcBorders>
              <w:tl2br w:val="nil"/>
              <w:tr2bl w:val="nil"/>
            </w:tcBorders>
            <w:vAlign w:val="center"/>
          </w:tcPr>
          <w:p w14:paraId="70C1EE6A">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项目预估最低需要32人同步在岗保障，服务按岗位服务质量结算。本项目需要中标方提供项目经理现场组织管理，人员更换需提前和甲方协商。具体结算方式和相关要求以合同为准。</w:t>
            </w:r>
          </w:p>
        </w:tc>
        <w:tc>
          <w:tcPr>
            <w:tcW w:w="2588" w:type="dxa"/>
            <w:vMerge w:val="restart"/>
            <w:tcBorders>
              <w:tl2br w:val="nil"/>
              <w:tr2bl w:val="nil"/>
            </w:tcBorders>
            <w:vAlign w:val="center"/>
          </w:tcPr>
          <w:p w14:paraId="5AE459A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上岗安保人员须持有保安员证，无犯罪记录，身体健康，年龄符合安保从业规范；2.上岗统一着装、佩戴标识，配备必要的防暴装备（由中标人自行提供）；3.中标人须对所有安保人员岗前培训，熟悉景区管理规定、应急处置流程；4.中标人为全部安保人员缴纳社保，承担用工、工伤、人身损害全部法律责任；5.人员替换：如安保人员不合格，采购人有权提出更换，中标人须在规定时限内替换同等资质人员，不得影响服务。</w:t>
            </w:r>
          </w:p>
        </w:tc>
        <w:tc>
          <w:tcPr>
            <w:tcW w:w="2824" w:type="dxa"/>
            <w:vMerge w:val="restart"/>
            <w:tcBorders>
              <w:tl2br w:val="nil"/>
              <w:tr2bl w:val="nil"/>
            </w:tcBorders>
            <w:vAlign w:val="center"/>
          </w:tcPr>
          <w:p w14:paraId="05516E1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本项目属于购买安保服务成果，不属于人员招聘、劳务派遣、岗位外包。中标人派驻现场人员为中标人单位员工，与采购人不存在劳动关系、劳务关系；2.采购人仅提出服务任务目标，不直接对中标人员工进行人事管理、考勤、奖惩；现场工作指令仅针对服务事项，不直接管理人员；3.所有用工纠纷、劳动仲裁、工伤事故、人身损害赔偿全部由中标人独立承担，与采购人无关。</w:t>
            </w:r>
          </w:p>
        </w:tc>
      </w:tr>
      <w:tr w14:paraId="16725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52D339CA">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1200" w:type="dxa"/>
            <w:tcBorders>
              <w:tl2br w:val="nil"/>
              <w:tr2bl w:val="nil"/>
            </w:tcBorders>
            <w:vAlign w:val="center"/>
          </w:tcPr>
          <w:p w14:paraId="0C5CE51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钟灵街地铁站1号口</w:t>
            </w:r>
          </w:p>
        </w:tc>
        <w:tc>
          <w:tcPr>
            <w:tcW w:w="713" w:type="dxa"/>
            <w:tcBorders>
              <w:tl2br w:val="nil"/>
              <w:tr2bl w:val="nil"/>
            </w:tcBorders>
            <w:noWrap/>
            <w:vAlign w:val="center"/>
          </w:tcPr>
          <w:p w14:paraId="62CD234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537" w:type="dxa"/>
            <w:vMerge w:val="continue"/>
            <w:tcBorders>
              <w:tl2br w:val="nil"/>
              <w:tr2bl w:val="nil"/>
            </w:tcBorders>
            <w:vAlign w:val="center"/>
          </w:tcPr>
          <w:p w14:paraId="72CF5406">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16D76657">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607DCA55">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54C7F798">
            <w:pPr>
              <w:snapToGrid w:val="0"/>
              <w:jc w:val="center"/>
              <w:rPr>
                <w:rFonts w:hint="eastAsia" w:ascii="宋体" w:hAnsi="宋体" w:cstheme="minorEastAsia"/>
                <w:color w:val="000000" w:themeColor="text1"/>
                <w:sz w:val="24"/>
              </w:rPr>
            </w:pPr>
          </w:p>
        </w:tc>
      </w:tr>
      <w:tr w14:paraId="67770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3C9E78F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1200" w:type="dxa"/>
            <w:tcBorders>
              <w:tl2br w:val="nil"/>
              <w:tr2bl w:val="nil"/>
            </w:tcBorders>
            <w:vAlign w:val="center"/>
          </w:tcPr>
          <w:p w14:paraId="2694242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苜蓿园地铁站1号口</w:t>
            </w:r>
          </w:p>
        </w:tc>
        <w:tc>
          <w:tcPr>
            <w:tcW w:w="713" w:type="dxa"/>
            <w:tcBorders>
              <w:tl2br w:val="nil"/>
              <w:tr2bl w:val="nil"/>
            </w:tcBorders>
            <w:noWrap/>
            <w:vAlign w:val="center"/>
          </w:tcPr>
          <w:p w14:paraId="1C3BC66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537" w:type="dxa"/>
            <w:vMerge w:val="continue"/>
            <w:tcBorders>
              <w:tl2br w:val="nil"/>
              <w:tr2bl w:val="nil"/>
            </w:tcBorders>
            <w:vAlign w:val="center"/>
          </w:tcPr>
          <w:p w14:paraId="3C366BC1">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0ED08FE7">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722D3AA6">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4C2FF92D">
            <w:pPr>
              <w:snapToGrid w:val="0"/>
              <w:jc w:val="center"/>
              <w:rPr>
                <w:rFonts w:hint="eastAsia" w:ascii="宋体" w:hAnsi="宋体" w:cstheme="minorEastAsia"/>
                <w:color w:val="000000" w:themeColor="text1"/>
                <w:sz w:val="24"/>
              </w:rPr>
            </w:pPr>
          </w:p>
        </w:tc>
      </w:tr>
      <w:tr w14:paraId="1007E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5CFCBF3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1200" w:type="dxa"/>
            <w:tcBorders>
              <w:tl2br w:val="nil"/>
              <w:tr2bl w:val="nil"/>
            </w:tcBorders>
            <w:vAlign w:val="center"/>
          </w:tcPr>
          <w:p w14:paraId="67406A2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下马坊地铁站2口</w:t>
            </w:r>
          </w:p>
        </w:tc>
        <w:tc>
          <w:tcPr>
            <w:tcW w:w="713" w:type="dxa"/>
            <w:tcBorders>
              <w:tl2br w:val="nil"/>
              <w:tr2bl w:val="nil"/>
            </w:tcBorders>
            <w:noWrap/>
            <w:vAlign w:val="center"/>
          </w:tcPr>
          <w:p w14:paraId="2D3678A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537" w:type="dxa"/>
            <w:vMerge w:val="continue"/>
            <w:tcBorders>
              <w:tl2br w:val="nil"/>
              <w:tr2bl w:val="nil"/>
            </w:tcBorders>
            <w:vAlign w:val="center"/>
          </w:tcPr>
          <w:p w14:paraId="1DC03208">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714C24AF">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11284E3B">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524DDC43">
            <w:pPr>
              <w:snapToGrid w:val="0"/>
              <w:jc w:val="center"/>
              <w:rPr>
                <w:rFonts w:hint="eastAsia" w:ascii="宋体" w:hAnsi="宋体" w:cstheme="minorEastAsia"/>
                <w:color w:val="000000" w:themeColor="text1"/>
                <w:sz w:val="24"/>
              </w:rPr>
            </w:pPr>
          </w:p>
        </w:tc>
      </w:tr>
      <w:tr w14:paraId="2636F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19CF8399">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1200" w:type="dxa"/>
            <w:tcBorders>
              <w:tl2br w:val="nil"/>
              <w:tr2bl w:val="nil"/>
            </w:tcBorders>
            <w:vAlign w:val="center"/>
          </w:tcPr>
          <w:p w14:paraId="48F83B94">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4</w:t>
            </w:r>
          </w:p>
        </w:tc>
        <w:tc>
          <w:tcPr>
            <w:tcW w:w="713" w:type="dxa"/>
            <w:tcBorders>
              <w:tl2br w:val="nil"/>
              <w:tr2bl w:val="nil"/>
            </w:tcBorders>
            <w:noWrap/>
            <w:vAlign w:val="center"/>
          </w:tcPr>
          <w:p w14:paraId="7612830A">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5</w:t>
            </w:r>
          </w:p>
        </w:tc>
        <w:tc>
          <w:tcPr>
            <w:tcW w:w="4537" w:type="dxa"/>
            <w:vMerge w:val="continue"/>
            <w:tcBorders>
              <w:tl2br w:val="nil"/>
              <w:tr2bl w:val="nil"/>
            </w:tcBorders>
            <w:vAlign w:val="center"/>
          </w:tcPr>
          <w:p w14:paraId="3F3A1483">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3231C56D">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3A6FA64A">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684B277E">
            <w:pPr>
              <w:snapToGrid w:val="0"/>
              <w:jc w:val="center"/>
              <w:rPr>
                <w:rFonts w:hint="eastAsia" w:ascii="宋体" w:hAnsi="宋体" w:cstheme="minorEastAsia"/>
                <w:color w:val="000000" w:themeColor="text1"/>
                <w:sz w:val="24"/>
              </w:rPr>
            </w:pPr>
          </w:p>
        </w:tc>
      </w:tr>
      <w:tr w14:paraId="49A8F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25FA2706">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1200" w:type="dxa"/>
            <w:tcBorders>
              <w:tl2br w:val="nil"/>
              <w:tr2bl w:val="nil"/>
            </w:tcBorders>
            <w:noWrap/>
            <w:vAlign w:val="center"/>
          </w:tcPr>
          <w:p w14:paraId="08B7DE5C">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卡口岗</w:t>
            </w:r>
          </w:p>
        </w:tc>
        <w:tc>
          <w:tcPr>
            <w:tcW w:w="713" w:type="dxa"/>
            <w:tcBorders>
              <w:tl2br w:val="nil"/>
              <w:tr2bl w:val="nil"/>
            </w:tcBorders>
            <w:noWrap/>
            <w:vAlign w:val="center"/>
          </w:tcPr>
          <w:p w14:paraId="10DA2659">
            <w:pPr>
              <w:snapToGrid w:val="0"/>
              <w:jc w:val="center"/>
              <w:rPr>
                <w:rFonts w:hint="eastAsia" w:ascii="宋体" w:hAnsi="宋体" w:cstheme="minorEastAsia"/>
                <w:b/>
                <w:bCs/>
                <w:color w:val="000000" w:themeColor="text1"/>
                <w:sz w:val="24"/>
              </w:rPr>
            </w:pPr>
          </w:p>
        </w:tc>
        <w:tc>
          <w:tcPr>
            <w:tcW w:w="4537" w:type="dxa"/>
            <w:vMerge w:val="continue"/>
            <w:tcBorders>
              <w:tl2br w:val="nil"/>
              <w:tr2bl w:val="nil"/>
            </w:tcBorders>
            <w:vAlign w:val="center"/>
          </w:tcPr>
          <w:p w14:paraId="1BFDDD48">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751EC86D">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38FC036C">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371C0999">
            <w:pPr>
              <w:snapToGrid w:val="0"/>
              <w:jc w:val="center"/>
              <w:rPr>
                <w:rFonts w:hint="eastAsia" w:ascii="宋体" w:hAnsi="宋体" w:cstheme="minorEastAsia"/>
                <w:color w:val="000000" w:themeColor="text1"/>
                <w:sz w:val="24"/>
              </w:rPr>
            </w:pPr>
          </w:p>
        </w:tc>
      </w:tr>
      <w:tr w14:paraId="75010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7140AB9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1200" w:type="dxa"/>
            <w:tcBorders>
              <w:tl2br w:val="nil"/>
              <w:tr2bl w:val="nil"/>
            </w:tcBorders>
            <w:vAlign w:val="center"/>
          </w:tcPr>
          <w:p w14:paraId="5903B72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邮局东路（大栅门）、体育公园北门</w:t>
            </w:r>
          </w:p>
        </w:tc>
        <w:tc>
          <w:tcPr>
            <w:tcW w:w="713" w:type="dxa"/>
            <w:tcBorders>
              <w:tl2br w:val="nil"/>
              <w:tr2bl w:val="nil"/>
            </w:tcBorders>
            <w:noWrap/>
            <w:vAlign w:val="center"/>
          </w:tcPr>
          <w:p w14:paraId="7E95C08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4537" w:type="dxa"/>
            <w:vMerge w:val="continue"/>
            <w:tcBorders>
              <w:tl2br w:val="nil"/>
              <w:tr2bl w:val="nil"/>
            </w:tcBorders>
            <w:vAlign w:val="center"/>
          </w:tcPr>
          <w:p w14:paraId="520732A9">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792F6BE9">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2B4BC6C7">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151580F6">
            <w:pPr>
              <w:snapToGrid w:val="0"/>
              <w:jc w:val="center"/>
              <w:rPr>
                <w:rFonts w:hint="eastAsia" w:ascii="宋体" w:hAnsi="宋体" w:cstheme="minorEastAsia"/>
                <w:color w:val="000000" w:themeColor="text1"/>
                <w:sz w:val="24"/>
              </w:rPr>
            </w:pPr>
          </w:p>
        </w:tc>
      </w:tr>
      <w:tr w14:paraId="02C00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4388B04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1200" w:type="dxa"/>
            <w:tcBorders>
              <w:tl2br w:val="nil"/>
              <w:tr2bl w:val="nil"/>
            </w:tcBorders>
            <w:vAlign w:val="center"/>
          </w:tcPr>
          <w:p w14:paraId="6DE08A3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陵园路与中山门大街入口处</w:t>
            </w:r>
          </w:p>
        </w:tc>
        <w:tc>
          <w:tcPr>
            <w:tcW w:w="713" w:type="dxa"/>
            <w:tcBorders>
              <w:tl2br w:val="nil"/>
              <w:tr2bl w:val="nil"/>
            </w:tcBorders>
            <w:noWrap/>
            <w:vAlign w:val="center"/>
          </w:tcPr>
          <w:p w14:paraId="5A23065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4537" w:type="dxa"/>
            <w:vMerge w:val="continue"/>
            <w:tcBorders>
              <w:tl2br w:val="nil"/>
              <w:tr2bl w:val="nil"/>
            </w:tcBorders>
            <w:vAlign w:val="center"/>
          </w:tcPr>
          <w:p w14:paraId="0CB737D0">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6BE4D1DE">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44543167">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6CF80AB7">
            <w:pPr>
              <w:snapToGrid w:val="0"/>
              <w:jc w:val="center"/>
              <w:rPr>
                <w:rFonts w:hint="eastAsia" w:ascii="宋体" w:hAnsi="宋体" w:cstheme="minorEastAsia"/>
                <w:color w:val="000000" w:themeColor="text1"/>
                <w:sz w:val="24"/>
              </w:rPr>
            </w:pPr>
          </w:p>
        </w:tc>
      </w:tr>
      <w:tr w14:paraId="49379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1BEF0D89">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1200" w:type="dxa"/>
            <w:tcBorders>
              <w:tl2br w:val="nil"/>
              <w:tr2bl w:val="nil"/>
            </w:tcBorders>
            <w:vAlign w:val="center"/>
          </w:tcPr>
          <w:p w14:paraId="3CE6FBA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梅花谷停车场</w:t>
            </w:r>
          </w:p>
        </w:tc>
        <w:tc>
          <w:tcPr>
            <w:tcW w:w="713" w:type="dxa"/>
            <w:tcBorders>
              <w:tl2br w:val="nil"/>
              <w:tr2bl w:val="nil"/>
            </w:tcBorders>
            <w:vAlign w:val="center"/>
          </w:tcPr>
          <w:p w14:paraId="045190C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4537" w:type="dxa"/>
            <w:vMerge w:val="continue"/>
            <w:tcBorders>
              <w:tl2br w:val="nil"/>
              <w:tr2bl w:val="nil"/>
            </w:tcBorders>
            <w:vAlign w:val="center"/>
          </w:tcPr>
          <w:p w14:paraId="482B40D0">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3E623957">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593E86E9">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4ECA7D59">
            <w:pPr>
              <w:snapToGrid w:val="0"/>
              <w:jc w:val="center"/>
              <w:rPr>
                <w:rFonts w:hint="eastAsia" w:ascii="宋体" w:hAnsi="宋体" w:cstheme="minorEastAsia"/>
                <w:color w:val="000000" w:themeColor="text1"/>
                <w:sz w:val="24"/>
              </w:rPr>
            </w:pPr>
          </w:p>
        </w:tc>
      </w:tr>
      <w:tr w14:paraId="572AE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75B3F66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1200" w:type="dxa"/>
            <w:tcBorders>
              <w:tl2br w:val="nil"/>
              <w:tr2bl w:val="nil"/>
            </w:tcBorders>
            <w:vAlign w:val="center"/>
          </w:tcPr>
          <w:p w14:paraId="13FFC56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中山门大街与博爱路交汇口</w:t>
            </w:r>
          </w:p>
        </w:tc>
        <w:tc>
          <w:tcPr>
            <w:tcW w:w="713" w:type="dxa"/>
            <w:tcBorders>
              <w:tl2br w:val="nil"/>
              <w:tr2bl w:val="nil"/>
            </w:tcBorders>
            <w:vAlign w:val="center"/>
          </w:tcPr>
          <w:p w14:paraId="5645A68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13</w:t>
            </w:r>
          </w:p>
        </w:tc>
        <w:tc>
          <w:tcPr>
            <w:tcW w:w="4537" w:type="dxa"/>
            <w:vMerge w:val="continue"/>
            <w:tcBorders>
              <w:tl2br w:val="nil"/>
              <w:tr2bl w:val="nil"/>
            </w:tcBorders>
            <w:vAlign w:val="center"/>
          </w:tcPr>
          <w:p w14:paraId="4911C71B">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4A1036A4">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6B0D17A1">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70506476">
            <w:pPr>
              <w:snapToGrid w:val="0"/>
              <w:jc w:val="center"/>
              <w:rPr>
                <w:rFonts w:hint="eastAsia" w:ascii="宋体" w:hAnsi="宋体" w:cstheme="minorEastAsia"/>
                <w:color w:val="000000" w:themeColor="text1"/>
                <w:sz w:val="24"/>
              </w:rPr>
            </w:pPr>
          </w:p>
        </w:tc>
      </w:tr>
      <w:tr w14:paraId="4479C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2524FDB0">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1200" w:type="dxa"/>
            <w:tcBorders>
              <w:tl2br w:val="nil"/>
              <w:tr2bl w:val="nil"/>
            </w:tcBorders>
            <w:noWrap/>
            <w:vAlign w:val="center"/>
          </w:tcPr>
          <w:p w14:paraId="172518F7">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4</w:t>
            </w:r>
          </w:p>
        </w:tc>
        <w:tc>
          <w:tcPr>
            <w:tcW w:w="713" w:type="dxa"/>
            <w:tcBorders>
              <w:tl2br w:val="nil"/>
              <w:tr2bl w:val="nil"/>
            </w:tcBorders>
            <w:noWrap/>
            <w:vAlign w:val="center"/>
          </w:tcPr>
          <w:p w14:paraId="053B6EE9">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24</w:t>
            </w:r>
          </w:p>
        </w:tc>
        <w:tc>
          <w:tcPr>
            <w:tcW w:w="4537" w:type="dxa"/>
            <w:vMerge w:val="continue"/>
            <w:tcBorders>
              <w:tl2br w:val="nil"/>
              <w:tr2bl w:val="nil"/>
            </w:tcBorders>
            <w:vAlign w:val="center"/>
          </w:tcPr>
          <w:p w14:paraId="541A9671">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1B0A56ED">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76B58ED2">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2E350E7E">
            <w:pPr>
              <w:snapToGrid w:val="0"/>
              <w:jc w:val="center"/>
              <w:rPr>
                <w:rFonts w:hint="eastAsia" w:ascii="宋体" w:hAnsi="宋体" w:cstheme="minorEastAsia"/>
                <w:color w:val="000000" w:themeColor="text1"/>
                <w:sz w:val="24"/>
              </w:rPr>
            </w:pPr>
          </w:p>
        </w:tc>
      </w:tr>
      <w:tr w14:paraId="3F750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4" w:hRule="atLeast"/>
          <w:tblHeader/>
          <w:jc w:val="center"/>
        </w:trPr>
        <w:tc>
          <w:tcPr>
            <w:tcW w:w="708" w:type="dxa"/>
            <w:tcBorders>
              <w:tl2br w:val="nil"/>
              <w:tr2bl w:val="nil"/>
            </w:tcBorders>
            <w:vAlign w:val="center"/>
          </w:tcPr>
          <w:p w14:paraId="0F34D3AD">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1200" w:type="dxa"/>
            <w:tcBorders>
              <w:tl2br w:val="nil"/>
              <w:tr2bl w:val="nil"/>
            </w:tcBorders>
            <w:vAlign w:val="center"/>
          </w:tcPr>
          <w:p w14:paraId="78A95DF3">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巡逻岗</w:t>
            </w:r>
          </w:p>
        </w:tc>
        <w:tc>
          <w:tcPr>
            <w:tcW w:w="713" w:type="dxa"/>
            <w:tcBorders>
              <w:tl2br w:val="nil"/>
              <w:tr2bl w:val="nil"/>
            </w:tcBorders>
            <w:noWrap/>
            <w:vAlign w:val="center"/>
          </w:tcPr>
          <w:p w14:paraId="148625C5">
            <w:pPr>
              <w:snapToGrid w:val="0"/>
              <w:jc w:val="center"/>
              <w:rPr>
                <w:rFonts w:hint="eastAsia" w:ascii="宋体" w:hAnsi="宋体" w:cstheme="minorEastAsia"/>
                <w:b/>
                <w:bCs/>
                <w:color w:val="000000" w:themeColor="text1"/>
                <w:sz w:val="24"/>
              </w:rPr>
            </w:pPr>
          </w:p>
        </w:tc>
        <w:tc>
          <w:tcPr>
            <w:tcW w:w="4537" w:type="dxa"/>
            <w:vMerge w:val="continue"/>
            <w:tcBorders>
              <w:tl2br w:val="nil"/>
              <w:tr2bl w:val="nil"/>
            </w:tcBorders>
            <w:vAlign w:val="center"/>
          </w:tcPr>
          <w:p w14:paraId="7963BF05">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02A41576">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6BD8000B">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58869E55">
            <w:pPr>
              <w:snapToGrid w:val="0"/>
              <w:jc w:val="center"/>
              <w:rPr>
                <w:rFonts w:hint="eastAsia" w:ascii="宋体" w:hAnsi="宋体" w:cstheme="minorEastAsia"/>
                <w:color w:val="000000" w:themeColor="text1"/>
                <w:sz w:val="24"/>
              </w:rPr>
            </w:pPr>
          </w:p>
        </w:tc>
      </w:tr>
      <w:tr w14:paraId="2B285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07E19B9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1200" w:type="dxa"/>
            <w:tcBorders>
              <w:tl2br w:val="nil"/>
              <w:tr2bl w:val="nil"/>
            </w:tcBorders>
            <w:vAlign w:val="center"/>
          </w:tcPr>
          <w:p w14:paraId="7519D3A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体院公园-体育学院转盘</w:t>
            </w:r>
          </w:p>
        </w:tc>
        <w:tc>
          <w:tcPr>
            <w:tcW w:w="713" w:type="dxa"/>
            <w:tcBorders>
              <w:tl2br w:val="nil"/>
              <w:tr2bl w:val="nil"/>
            </w:tcBorders>
            <w:noWrap/>
            <w:vAlign w:val="center"/>
          </w:tcPr>
          <w:p w14:paraId="7AD8AC0A">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537" w:type="dxa"/>
            <w:vMerge w:val="continue"/>
            <w:tcBorders>
              <w:tl2br w:val="nil"/>
              <w:tr2bl w:val="nil"/>
            </w:tcBorders>
            <w:vAlign w:val="center"/>
          </w:tcPr>
          <w:p w14:paraId="654CF2D7">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540D2202">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16DE82E4">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71502856">
            <w:pPr>
              <w:snapToGrid w:val="0"/>
              <w:jc w:val="center"/>
              <w:rPr>
                <w:rFonts w:hint="eastAsia" w:ascii="宋体" w:hAnsi="宋体" w:cstheme="minorEastAsia"/>
                <w:color w:val="000000" w:themeColor="text1"/>
                <w:sz w:val="24"/>
              </w:rPr>
            </w:pPr>
          </w:p>
        </w:tc>
      </w:tr>
      <w:tr w14:paraId="1C88B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46B7BCB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1200" w:type="dxa"/>
            <w:tcBorders>
              <w:tl2br w:val="nil"/>
              <w:tr2bl w:val="nil"/>
            </w:tcBorders>
            <w:vAlign w:val="center"/>
          </w:tcPr>
          <w:p w14:paraId="11CFB08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森林摩尔-君临紫金中山门大街沿线</w:t>
            </w:r>
          </w:p>
        </w:tc>
        <w:tc>
          <w:tcPr>
            <w:tcW w:w="713" w:type="dxa"/>
            <w:tcBorders>
              <w:tl2br w:val="nil"/>
              <w:tr2bl w:val="nil"/>
            </w:tcBorders>
            <w:noWrap/>
            <w:vAlign w:val="center"/>
          </w:tcPr>
          <w:p w14:paraId="67B3915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537" w:type="dxa"/>
            <w:vMerge w:val="continue"/>
            <w:tcBorders>
              <w:tl2br w:val="nil"/>
              <w:tr2bl w:val="nil"/>
            </w:tcBorders>
            <w:vAlign w:val="center"/>
          </w:tcPr>
          <w:p w14:paraId="6EDBAB31">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7C4368EA">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411CCB6C">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08B4D62A">
            <w:pPr>
              <w:snapToGrid w:val="0"/>
              <w:jc w:val="center"/>
              <w:rPr>
                <w:rFonts w:hint="eastAsia" w:ascii="宋体" w:hAnsi="宋体" w:cstheme="minorEastAsia"/>
                <w:color w:val="000000" w:themeColor="text1"/>
                <w:sz w:val="24"/>
              </w:rPr>
            </w:pPr>
          </w:p>
        </w:tc>
      </w:tr>
      <w:tr w14:paraId="034B4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445E6E3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1200" w:type="dxa"/>
            <w:tcBorders>
              <w:tl2br w:val="nil"/>
              <w:tr2bl w:val="nil"/>
            </w:tcBorders>
            <w:vAlign w:val="center"/>
          </w:tcPr>
          <w:p w14:paraId="75B7E21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白马公园-前湖红绿灯口</w:t>
            </w:r>
          </w:p>
        </w:tc>
        <w:tc>
          <w:tcPr>
            <w:tcW w:w="713" w:type="dxa"/>
            <w:tcBorders>
              <w:tl2br w:val="nil"/>
              <w:tr2bl w:val="nil"/>
            </w:tcBorders>
            <w:noWrap/>
            <w:vAlign w:val="center"/>
          </w:tcPr>
          <w:p w14:paraId="2A69749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537" w:type="dxa"/>
            <w:vMerge w:val="continue"/>
            <w:tcBorders>
              <w:tl2br w:val="nil"/>
              <w:tr2bl w:val="nil"/>
            </w:tcBorders>
            <w:vAlign w:val="center"/>
          </w:tcPr>
          <w:p w14:paraId="2AAA4515">
            <w:pPr>
              <w:snapToGrid w:val="0"/>
              <w:jc w:val="center"/>
              <w:rPr>
                <w:rFonts w:hint="eastAsia" w:ascii="宋体" w:hAnsi="宋体" w:cstheme="minorEastAsia"/>
                <w:color w:val="000000" w:themeColor="text1"/>
                <w:sz w:val="24"/>
              </w:rPr>
            </w:pPr>
          </w:p>
        </w:tc>
        <w:tc>
          <w:tcPr>
            <w:tcW w:w="1650" w:type="dxa"/>
            <w:vMerge w:val="continue"/>
            <w:tcBorders>
              <w:tl2br w:val="nil"/>
              <w:tr2bl w:val="nil"/>
            </w:tcBorders>
            <w:vAlign w:val="center"/>
          </w:tcPr>
          <w:p w14:paraId="6128FF02">
            <w:pPr>
              <w:snapToGrid w:val="0"/>
              <w:jc w:val="center"/>
              <w:rPr>
                <w:rFonts w:hint="eastAsia" w:ascii="宋体" w:hAnsi="宋体" w:cstheme="minorEastAsia"/>
                <w:color w:val="000000" w:themeColor="text1"/>
                <w:sz w:val="24"/>
              </w:rPr>
            </w:pPr>
          </w:p>
        </w:tc>
        <w:tc>
          <w:tcPr>
            <w:tcW w:w="2588" w:type="dxa"/>
            <w:vMerge w:val="continue"/>
            <w:tcBorders>
              <w:tl2br w:val="nil"/>
              <w:tr2bl w:val="nil"/>
            </w:tcBorders>
            <w:vAlign w:val="center"/>
          </w:tcPr>
          <w:p w14:paraId="7CCBDB65">
            <w:pPr>
              <w:snapToGrid w:val="0"/>
              <w:jc w:val="center"/>
              <w:rPr>
                <w:rFonts w:hint="eastAsia" w:ascii="宋体" w:hAnsi="宋体" w:cstheme="minorEastAsia"/>
                <w:color w:val="000000" w:themeColor="text1"/>
                <w:sz w:val="24"/>
              </w:rPr>
            </w:pPr>
          </w:p>
        </w:tc>
        <w:tc>
          <w:tcPr>
            <w:tcW w:w="2824" w:type="dxa"/>
            <w:vMerge w:val="continue"/>
            <w:tcBorders>
              <w:tl2br w:val="nil"/>
              <w:tr2bl w:val="nil"/>
            </w:tcBorders>
            <w:vAlign w:val="center"/>
          </w:tcPr>
          <w:p w14:paraId="33ACB292">
            <w:pPr>
              <w:snapToGrid w:val="0"/>
              <w:jc w:val="center"/>
              <w:rPr>
                <w:rFonts w:hint="eastAsia" w:ascii="宋体" w:hAnsi="宋体" w:cstheme="minorEastAsia"/>
                <w:color w:val="000000" w:themeColor="text1"/>
                <w:sz w:val="24"/>
              </w:rPr>
            </w:pPr>
          </w:p>
        </w:tc>
      </w:tr>
      <w:tr w14:paraId="1604A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08" w:type="dxa"/>
            <w:tcBorders>
              <w:tl2br w:val="nil"/>
              <w:tr2bl w:val="nil"/>
            </w:tcBorders>
            <w:vAlign w:val="center"/>
          </w:tcPr>
          <w:p w14:paraId="7B1703B0">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小计</w:t>
            </w:r>
          </w:p>
        </w:tc>
        <w:tc>
          <w:tcPr>
            <w:tcW w:w="1200" w:type="dxa"/>
            <w:tcBorders>
              <w:tl2br w:val="nil"/>
              <w:tr2bl w:val="nil"/>
            </w:tcBorders>
            <w:noWrap/>
            <w:vAlign w:val="center"/>
          </w:tcPr>
          <w:p w14:paraId="3CF56EE7">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3</w:t>
            </w:r>
          </w:p>
        </w:tc>
        <w:tc>
          <w:tcPr>
            <w:tcW w:w="713" w:type="dxa"/>
            <w:tcBorders>
              <w:tl2br w:val="nil"/>
              <w:tr2bl w:val="nil"/>
            </w:tcBorders>
            <w:noWrap/>
            <w:vAlign w:val="center"/>
          </w:tcPr>
          <w:p w14:paraId="2EAC56FB">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3</w:t>
            </w:r>
          </w:p>
        </w:tc>
        <w:tc>
          <w:tcPr>
            <w:tcW w:w="4537" w:type="dxa"/>
            <w:vMerge w:val="continue"/>
            <w:tcBorders>
              <w:tl2br w:val="nil"/>
              <w:tr2bl w:val="nil"/>
            </w:tcBorders>
            <w:vAlign w:val="center"/>
          </w:tcPr>
          <w:p w14:paraId="2491A477">
            <w:pPr>
              <w:snapToGrid w:val="0"/>
              <w:jc w:val="center"/>
              <w:rPr>
                <w:rFonts w:hint="eastAsia" w:ascii="宋体" w:hAnsi="宋体" w:cs="微软雅黑"/>
                <w:color w:val="000000" w:themeColor="text1"/>
                <w:sz w:val="24"/>
              </w:rPr>
            </w:pPr>
          </w:p>
        </w:tc>
        <w:tc>
          <w:tcPr>
            <w:tcW w:w="1650" w:type="dxa"/>
            <w:vMerge w:val="continue"/>
            <w:tcBorders>
              <w:tl2br w:val="nil"/>
              <w:tr2bl w:val="nil"/>
            </w:tcBorders>
            <w:vAlign w:val="center"/>
          </w:tcPr>
          <w:p w14:paraId="025F3570">
            <w:pPr>
              <w:snapToGrid w:val="0"/>
              <w:jc w:val="center"/>
              <w:rPr>
                <w:rFonts w:hint="eastAsia" w:ascii="宋体" w:hAnsi="宋体" w:cs="微软雅黑"/>
                <w:color w:val="000000" w:themeColor="text1"/>
                <w:sz w:val="24"/>
              </w:rPr>
            </w:pPr>
          </w:p>
        </w:tc>
        <w:tc>
          <w:tcPr>
            <w:tcW w:w="2588" w:type="dxa"/>
            <w:vMerge w:val="continue"/>
            <w:tcBorders>
              <w:tl2br w:val="nil"/>
              <w:tr2bl w:val="nil"/>
            </w:tcBorders>
            <w:vAlign w:val="center"/>
          </w:tcPr>
          <w:p w14:paraId="1991B2C0">
            <w:pPr>
              <w:snapToGrid w:val="0"/>
              <w:jc w:val="center"/>
              <w:rPr>
                <w:rFonts w:hint="eastAsia" w:ascii="宋体" w:hAnsi="宋体" w:cs="微软雅黑"/>
                <w:color w:val="000000" w:themeColor="text1"/>
                <w:sz w:val="24"/>
              </w:rPr>
            </w:pPr>
          </w:p>
        </w:tc>
        <w:tc>
          <w:tcPr>
            <w:tcW w:w="2824" w:type="dxa"/>
            <w:vMerge w:val="continue"/>
            <w:tcBorders>
              <w:tl2br w:val="nil"/>
              <w:tr2bl w:val="nil"/>
            </w:tcBorders>
            <w:vAlign w:val="center"/>
          </w:tcPr>
          <w:p w14:paraId="058337EA">
            <w:pPr>
              <w:snapToGrid w:val="0"/>
              <w:jc w:val="center"/>
              <w:rPr>
                <w:rFonts w:hint="eastAsia" w:ascii="宋体" w:hAnsi="宋体" w:cs="微软雅黑"/>
                <w:color w:val="000000" w:themeColor="text1"/>
                <w:sz w:val="24"/>
              </w:rPr>
            </w:pPr>
          </w:p>
        </w:tc>
      </w:tr>
      <w:tr w14:paraId="4C69B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tcBorders>
              <w:tl2br w:val="nil"/>
              <w:tr2bl w:val="nil"/>
            </w:tcBorders>
            <w:vAlign w:val="center"/>
          </w:tcPr>
          <w:p w14:paraId="4C6FA988">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共计岗位</w:t>
            </w:r>
          </w:p>
        </w:tc>
        <w:tc>
          <w:tcPr>
            <w:tcW w:w="1200" w:type="dxa"/>
            <w:tcBorders>
              <w:tl2br w:val="nil"/>
              <w:tr2bl w:val="nil"/>
            </w:tcBorders>
            <w:noWrap/>
            <w:vAlign w:val="center"/>
          </w:tcPr>
          <w:p w14:paraId="72C7B021">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11</w:t>
            </w:r>
          </w:p>
        </w:tc>
        <w:tc>
          <w:tcPr>
            <w:tcW w:w="713" w:type="dxa"/>
            <w:tcBorders>
              <w:tl2br w:val="nil"/>
              <w:tr2bl w:val="nil"/>
            </w:tcBorders>
            <w:noWrap/>
            <w:vAlign w:val="center"/>
          </w:tcPr>
          <w:p w14:paraId="71BCC724">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32</w:t>
            </w:r>
          </w:p>
        </w:tc>
        <w:tc>
          <w:tcPr>
            <w:tcW w:w="11599" w:type="dxa"/>
            <w:gridSpan w:val="4"/>
            <w:tcBorders>
              <w:tl2br w:val="nil"/>
              <w:tr2bl w:val="nil"/>
            </w:tcBorders>
            <w:vAlign w:val="center"/>
          </w:tcPr>
          <w:p w14:paraId="7230924E">
            <w:pPr>
              <w:widowControl/>
              <w:snapToGrid w:val="0"/>
              <w:jc w:val="center"/>
              <w:textAlignment w:val="center"/>
              <w:rPr>
                <w:rFonts w:hint="eastAsia" w:ascii="宋体" w:hAnsi="宋体" w:cs="微软雅黑"/>
                <w:b/>
                <w:color w:val="000000" w:themeColor="text1"/>
                <w:sz w:val="24"/>
              </w:rPr>
            </w:pPr>
            <w:r>
              <w:rPr>
                <w:rFonts w:hint="eastAsia" w:ascii="宋体" w:hAnsi="宋体" w:cs="微软雅黑"/>
                <w:b/>
                <w:color w:val="000000" w:themeColor="text1"/>
                <w:kern w:val="0"/>
                <w:sz w:val="24"/>
              </w:rPr>
              <w:t>服务范围为景区出入口、停车场、游览步道等公共区域。服务内容由中标人全权承接，中标人自主负责人员招募、培训、管理、排班、装备配置、</w:t>
            </w:r>
            <w:r>
              <w:rPr>
                <w:rFonts w:ascii="宋体" w:hAnsi="宋体" w:cs="微软雅黑"/>
                <w:b/>
                <w:color w:val="000000" w:themeColor="text1"/>
                <w:kern w:val="0"/>
                <w:sz w:val="24"/>
              </w:rPr>
              <w:t>餐费自理</w:t>
            </w:r>
            <w:r>
              <w:rPr>
                <w:rFonts w:hint="eastAsia" w:ascii="宋体" w:hAnsi="宋体" w:cs="微软雅黑"/>
                <w:b/>
                <w:color w:val="000000" w:themeColor="text1"/>
                <w:kern w:val="0"/>
                <w:sz w:val="24"/>
              </w:rPr>
              <w:t>、人员劳动关系、薪酬社保、安全责任，采购人仅对安保服务成果进行验收，不直接管理中标人工作人员。</w:t>
            </w:r>
          </w:p>
        </w:tc>
      </w:tr>
      <w:tr w14:paraId="55D19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8" w:type="dxa"/>
            <w:tcBorders>
              <w:tl2br w:val="nil"/>
              <w:tr2bl w:val="nil"/>
            </w:tcBorders>
            <w:vAlign w:val="center"/>
          </w:tcPr>
          <w:p w14:paraId="0FE98917">
            <w:pPr>
              <w:widowControl/>
              <w:snapToGrid w:val="0"/>
              <w:jc w:val="center"/>
              <w:textAlignment w:val="center"/>
              <w:rPr>
                <w:rFonts w:hint="eastAsia" w:ascii="宋体" w:hAnsi="宋体" w:cs="宋体"/>
                <w:b/>
                <w:bCs/>
                <w:color w:val="000000" w:themeColor="text1"/>
                <w:kern w:val="0"/>
                <w:sz w:val="24"/>
              </w:rPr>
            </w:pPr>
          </w:p>
        </w:tc>
        <w:tc>
          <w:tcPr>
            <w:tcW w:w="1200" w:type="dxa"/>
            <w:tcBorders>
              <w:tl2br w:val="nil"/>
              <w:tr2bl w:val="nil"/>
            </w:tcBorders>
            <w:noWrap/>
            <w:vAlign w:val="center"/>
          </w:tcPr>
          <w:p w14:paraId="0D3CE5AA">
            <w:pPr>
              <w:widowControl/>
              <w:snapToGrid w:val="0"/>
              <w:jc w:val="center"/>
              <w:textAlignment w:val="center"/>
              <w:rPr>
                <w:rFonts w:hint="eastAsia" w:ascii="宋体" w:hAnsi="宋体" w:cs="宋体"/>
                <w:b/>
                <w:bCs/>
                <w:color w:val="000000" w:themeColor="text1"/>
                <w:kern w:val="0"/>
                <w:sz w:val="24"/>
              </w:rPr>
            </w:pPr>
          </w:p>
        </w:tc>
        <w:tc>
          <w:tcPr>
            <w:tcW w:w="713" w:type="dxa"/>
            <w:tcBorders>
              <w:tl2br w:val="nil"/>
              <w:tr2bl w:val="nil"/>
            </w:tcBorders>
            <w:noWrap/>
            <w:vAlign w:val="center"/>
          </w:tcPr>
          <w:p w14:paraId="744367F9">
            <w:pPr>
              <w:widowControl/>
              <w:snapToGrid w:val="0"/>
              <w:jc w:val="center"/>
              <w:textAlignment w:val="center"/>
              <w:rPr>
                <w:rFonts w:hint="eastAsia" w:ascii="宋体" w:hAnsi="宋体" w:cs="宋体"/>
                <w:b/>
                <w:bCs/>
                <w:color w:val="000000" w:themeColor="text1"/>
                <w:kern w:val="0"/>
                <w:sz w:val="24"/>
              </w:rPr>
            </w:pPr>
          </w:p>
        </w:tc>
        <w:tc>
          <w:tcPr>
            <w:tcW w:w="11599" w:type="dxa"/>
            <w:gridSpan w:val="4"/>
            <w:tcBorders>
              <w:tl2br w:val="nil"/>
              <w:tr2bl w:val="nil"/>
            </w:tcBorders>
            <w:vAlign w:val="center"/>
          </w:tcPr>
          <w:p w14:paraId="58F8A4A8">
            <w:pPr>
              <w:keepNext/>
              <w:widowControl/>
              <w:snapToGrid w:val="0"/>
              <w:jc w:val="center"/>
              <w:textAlignment w:val="center"/>
              <w:rPr>
                <w:rFonts w:hint="eastAsia" w:ascii="宋体" w:hAnsi="宋体" w:cs="微软雅黑"/>
                <w:b/>
                <w:color w:val="000000" w:themeColor="text1"/>
                <w:kern w:val="0"/>
                <w:sz w:val="24"/>
              </w:rPr>
            </w:pPr>
            <w:r>
              <w:rPr>
                <w:rFonts w:hint="eastAsia" w:ascii="宋体" w:hAnsi="宋体" w:cs="微软雅黑"/>
                <w:b/>
                <w:color w:val="000000" w:themeColor="text1"/>
                <w:kern w:val="0"/>
                <w:sz w:val="24"/>
              </w:rPr>
              <w:t>服务期为：2027.1.1-2027.11.30</w:t>
            </w:r>
          </w:p>
        </w:tc>
      </w:tr>
    </w:tbl>
    <w:p w14:paraId="6551AD21">
      <w:pPr>
        <w:rPr>
          <w:color w:val="000000" w:themeColor="text1"/>
        </w:rPr>
        <w:sectPr>
          <w:pgSz w:w="16838" w:h="11906" w:orient="landscape"/>
          <w:pgMar w:top="1417" w:right="1417" w:bottom="1417" w:left="1417" w:header="851" w:footer="992" w:gutter="0"/>
          <w:cols w:space="720" w:num="1"/>
          <w:titlePg/>
          <w:docGrid w:type="lines" w:linePitch="312" w:charSpace="0"/>
        </w:sectPr>
      </w:pPr>
    </w:p>
    <w:tbl>
      <w:tblPr>
        <w:tblStyle w:val="45"/>
        <w:tblW w:w="142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2"/>
        <w:gridCol w:w="881"/>
        <w:gridCol w:w="825"/>
        <w:gridCol w:w="3732"/>
        <w:gridCol w:w="2437"/>
        <w:gridCol w:w="2431"/>
        <w:gridCol w:w="3262"/>
      </w:tblGrid>
      <w:tr w14:paraId="05A43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220" w:type="dxa"/>
            <w:gridSpan w:val="7"/>
            <w:tcBorders>
              <w:tl2br w:val="nil"/>
              <w:tr2bl w:val="nil"/>
            </w:tcBorders>
            <w:noWrap/>
            <w:vAlign w:val="center"/>
          </w:tcPr>
          <w:p w14:paraId="096BBFA8">
            <w:pPr>
              <w:widowControl/>
              <w:snapToGrid w:val="0"/>
              <w:jc w:val="center"/>
              <w:textAlignment w:val="center"/>
              <w:rPr>
                <w:rFonts w:hint="eastAsia" w:ascii="宋体" w:hAnsi="宋体" w:cs="方正小标宋简体"/>
                <w:color w:val="000000" w:themeColor="text1"/>
                <w:sz w:val="24"/>
              </w:rPr>
            </w:pPr>
            <w:r>
              <w:rPr>
                <w:rFonts w:hint="eastAsia" w:ascii="宋体" w:hAnsi="宋体" w:cstheme="minorEastAsia"/>
                <w:color w:val="000000" w:themeColor="text1"/>
                <w:kern w:val="0"/>
                <w:sz w:val="24"/>
              </w:rPr>
              <w:t>包3：</w:t>
            </w:r>
            <w:r>
              <w:rPr>
                <w:rFonts w:ascii="宋体" w:hAnsi="宋体" w:cstheme="minorEastAsia"/>
                <w:color w:val="000000" w:themeColor="text1"/>
                <w:kern w:val="0"/>
                <w:sz w:val="24"/>
              </w:rPr>
              <w:t>中山陵夜巡及交通治理安保服务</w:t>
            </w:r>
          </w:p>
        </w:tc>
      </w:tr>
      <w:tr w14:paraId="3F07A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08AD9030">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881" w:type="dxa"/>
            <w:tcBorders>
              <w:tl2br w:val="nil"/>
              <w:tr2bl w:val="nil"/>
            </w:tcBorders>
            <w:vAlign w:val="center"/>
          </w:tcPr>
          <w:p w14:paraId="05813C56">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卡口岗</w:t>
            </w:r>
          </w:p>
        </w:tc>
        <w:tc>
          <w:tcPr>
            <w:tcW w:w="825" w:type="dxa"/>
            <w:tcBorders>
              <w:tl2br w:val="nil"/>
              <w:tr2bl w:val="nil"/>
            </w:tcBorders>
            <w:noWrap/>
            <w:vAlign w:val="center"/>
          </w:tcPr>
          <w:p w14:paraId="49F459E0">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人数</w:t>
            </w:r>
          </w:p>
        </w:tc>
        <w:tc>
          <w:tcPr>
            <w:tcW w:w="3732" w:type="dxa"/>
            <w:tcBorders>
              <w:tl2br w:val="nil"/>
              <w:tr2bl w:val="nil"/>
            </w:tcBorders>
            <w:vAlign w:val="center"/>
          </w:tcPr>
          <w:p w14:paraId="3E28CDC7">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服务内容</w:t>
            </w:r>
          </w:p>
        </w:tc>
        <w:tc>
          <w:tcPr>
            <w:tcW w:w="2437" w:type="dxa"/>
            <w:tcBorders>
              <w:tl2br w:val="nil"/>
              <w:tr2bl w:val="nil"/>
            </w:tcBorders>
            <w:noWrap/>
            <w:vAlign w:val="center"/>
          </w:tcPr>
          <w:p w14:paraId="3E6B183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预估服务规模</w:t>
            </w:r>
          </w:p>
        </w:tc>
        <w:tc>
          <w:tcPr>
            <w:tcW w:w="2431" w:type="dxa"/>
            <w:tcBorders>
              <w:tl2br w:val="nil"/>
              <w:tr2bl w:val="nil"/>
            </w:tcBorders>
            <w:noWrap/>
            <w:vAlign w:val="center"/>
          </w:tcPr>
          <w:p w14:paraId="2D8DF14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服务标准</w:t>
            </w:r>
          </w:p>
        </w:tc>
        <w:tc>
          <w:tcPr>
            <w:tcW w:w="3262" w:type="dxa"/>
            <w:tcBorders>
              <w:tl2br w:val="nil"/>
              <w:tr2bl w:val="nil"/>
            </w:tcBorders>
            <w:noWrap/>
            <w:vAlign w:val="center"/>
          </w:tcPr>
          <w:p w14:paraId="396DA96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权责边界</w:t>
            </w:r>
          </w:p>
        </w:tc>
      </w:tr>
      <w:tr w14:paraId="7D9DF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22ED99F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881" w:type="dxa"/>
            <w:tcBorders>
              <w:tl2br w:val="nil"/>
              <w:tr2bl w:val="nil"/>
            </w:tcBorders>
            <w:vAlign w:val="center"/>
          </w:tcPr>
          <w:p w14:paraId="1039599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明孝陵1号门</w:t>
            </w:r>
          </w:p>
        </w:tc>
        <w:tc>
          <w:tcPr>
            <w:tcW w:w="825" w:type="dxa"/>
            <w:tcBorders>
              <w:tl2br w:val="nil"/>
              <w:tr2bl w:val="nil"/>
            </w:tcBorders>
            <w:noWrap/>
            <w:vAlign w:val="center"/>
          </w:tcPr>
          <w:p w14:paraId="032E2E0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3732" w:type="dxa"/>
            <w:vMerge w:val="restart"/>
            <w:tcBorders>
              <w:tl2br w:val="nil"/>
              <w:tr2bl w:val="nil"/>
            </w:tcBorders>
            <w:vAlign w:val="center"/>
          </w:tcPr>
          <w:p w14:paraId="1DA7886C">
            <w:pPr>
              <w:widowControl/>
              <w:snapToGrid w:val="0"/>
              <w:jc w:val="left"/>
              <w:textAlignment w:val="center"/>
              <w:rPr>
                <w:rFonts w:hint="eastAsia" w:ascii="宋体" w:hAnsi="宋体" w:cstheme="minorEastAsia"/>
                <w:color w:val="000000" w:themeColor="text1"/>
                <w:sz w:val="24"/>
              </w:rPr>
            </w:pPr>
            <w:r>
              <w:rPr>
                <w:rStyle w:val="251"/>
                <w:rFonts w:hint="default" w:ascii="宋体" w:hAnsi="宋体" w:eastAsia="宋体" w:cstheme="minorEastAsia"/>
                <w:color w:val="000000" w:themeColor="text1"/>
                <w:sz w:val="24"/>
                <w:szCs w:val="24"/>
              </w:rPr>
              <w:t>1. 景区重点区域秩序维护，游客疏导、人流管控，防止拥堵、踩踏风险；</w:t>
            </w:r>
            <w:r>
              <w:rPr>
                <w:rStyle w:val="251"/>
                <w:rFonts w:hint="default" w:ascii="宋体" w:hAnsi="宋体" w:eastAsia="宋体" w:cstheme="minorEastAsia"/>
                <w:color w:val="000000" w:themeColor="text1"/>
                <w:sz w:val="24"/>
                <w:szCs w:val="24"/>
              </w:rPr>
              <w:br w:type="textWrapping"/>
            </w:r>
            <w:r>
              <w:rPr>
                <w:rStyle w:val="251"/>
                <w:rFonts w:hint="default" w:ascii="宋体" w:hAnsi="宋体" w:eastAsia="宋体" w:cstheme="minorEastAsia"/>
                <w:color w:val="000000" w:themeColor="text1"/>
                <w:sz w:val="24"/>
                <w:szCs w:val="24"/>
              </w:rPr>
              <w:t>2. 出入口、</w:t>
            </w:r>
            <w:r>
              <w:rPr>
                <w:rFonts w:hint="eastAsia" w:ascii="宋体" w:hAnsi="宋体" w:cstheme="minorEastAsia"/>
                <w:color w:val="000000" w:themeColor="text1"/>
                <w:kern w:val="0"/>
                <w:sz w:val="24"/>
              </w:rPr>
              <w:t>非机动车停车秩序管理</w:t>
            </w:r>
            <w:r>
              <w:rPr>
                <w:rStyle w:val="251"/>
                <w:rFonts w:hint="default" w:ascii="宋体" w:hAnsi="宋体" w:eastAsia="宋体" w:cstheme="minorEastAsia"/>
                <w:color w:val="000000" w:themeColor="text1"/>
                <w:sz w:val="24"/>
                <w:szCs w:val="24"/>
              </w:rPr>
              <w:t>、机动车通行引导，劝阻违规停放、翻越护栏、违规进入管控区域行为；</w:t>
            </w:r>
            <w:r>
              <w:rPr>
                <w:rStyle w:val="251"/>
                <w:rFonts w:hint="default" w:ascii="宋体" w:hAnsi="宋体" w:eastAsia="宋体" w:cstheme="minorEastAsia"/>
                <w:color w:val="000000" w:themeColor="text1"/>
                <w:sz w:val="24"/>
                <w:szCs w:val="24"/>
              </w:rPr>
              <w:br w:type="textWrapping"/>
            </w:r>
            <w:r>
              <w:rPr>
                <w:rStyle w:val="251"/>
                <w:rFonts w:hint="default" w:ascii="宋体" w:hAnsi="宋体" w:eastAsia="宋体" w:cstheme="minorEastAsia"/>
                <w:color w:val="000000" w:themeColor="text1"/>
                <w:sz w:val="24"/>
                <w:szCs w:val="24"/>
              </w:rPr>
              <w:t>3. 现场安全巡查，发现火情、设施损坏、游客纠纷、安全隐患第一时间上报并先期处置；</w:t>
            </w:r>
            <w:r>
              <w:rPr>
                <w:rStyle w:val="251"/>
                <w:rFonts w:hint="default" w:ascii="宋体" w:hAnsi="宋体" w:eastAsia="宋体" w:cstheme="minorEastAsia"/>
                <w:color w:val="000000" w:themeColor="text1"/>
                <w:sz w:val="24"/>
                <w:szCs w:val="24"/>
              </w:rPr>
              <w:br w:type="textWrapping"/>
            </w:r>
            <w:r>
              <w:rPr>
                <w:rStyle w:val="251"/>
                <w:rFonts w:hint="default" w:ascii="宋体" w:hAnsi="宋体" w:eastAsia="宋体" w:cstheme="minorEastAsia"/>
                <w:color w:val="000000" w:themeColor="text1"/>
                <w:sz w:val="24"/>
                <w:szCs w:val="24"/>
              </w:rPr>
              <w:t>4. 突发事件、游客冲突、紧急情况的现场先期处置，配合公安、消防开展联动保障；</w:t>
            </w:r>
            <w:r>
              <w:rPr>
                <w:rStyle w:val="251"/>
                <w:rFonts w:hint="default" w:ascii="宋体" w:hAnsi="宋体" w:eastAsia="宋体" w:cstheme="minorEastAsia"/>
                <w:color w:val="000000" w:themeColor="text1"/>
                <w:sz w:val="24"/>
                <w:szCs w:val="24"/>
              </w:rPr>
              <w:br w:type="textWrapping"/>
            </w:r>
            <w:r>
              <w:rPr>
                <w:rStyle w:val="251"/>
                <w:rFonts w:hint="default" w:ascii="宋体" w:hAnsi="宋体" w:eastAsia="宋体" w:cstheme="minorEastAsia"/>
                <w:color w:val="000000" w:themeColor="text1"/>
                <w:sz w:val="24"/>
                <w:szCs w:val="24"/>
              </w:rPr>
              <w:t xml:space="preserve">5. </w:t>
            </w:r>
            <w:r>
              <w:rPr>
                <w:rStyle w:val="252"/>
                <w:rFonts w:hint="default" w:ascii="宋体" w:hAnsi="宋体" w:eastAsia="宋体" w:cstheme="minorEastAsia"/>
                <w:color w:val="000000" w:themeColor="text1"/>
                <w:sz w:val="24"/>
                <w:szCs w:val="24"/>
              </w:rPr>
              <w:t>重大节假日、大型活动期间等，根据采购人指令，延长服务保障时间，费用含在本项目中不单独支付；</w:t>
            </w:r>
            <w:r>
              <w:rPr>
                <w:rStyle w:val="251"/>
                <w:rFonts w:hint="default" w:ascii="宋体" w:hAnsi="宋体" w:eastAsia="宋体" w:cstheme="minorEastAsia"/>
                <w:color w:val="000000" w:themeColor="text1"/>
                <w:sz w:val="24"/>
                <w:szCs w:val="24"/>
              </w:rPr>
              <w:br w:type="textWrapping"/>
            </w:r>
            <w:r>
              <w:rPr>
                <w:rStyle w:val="251"/>
                <w:rFonts w:hint="default" w:ascii="宋体" w:hAnsi="宋体" w:eastAsia="宋体" w:cstheme="minorEastAsia"/>
                <w:color w:val="000000" w:themeColor="text1"/>
                <w:sz w:val="24"/>
                <w:szCs w:val="24"/>
              </w:rPr>
              <w:t>6. 每日平均在园时间不低于10小时。</w:t>
            </w:r>
            <w:r>
              <w:rPr>
                <w:rStyle w:val="251"/>
                <w:rFonts w:hint="default" w:ascii="宋体" w:hAnsi="宋体" w:eastAsia="宋体" w:cstheme="minorEastAsia"/>
                <w:color w:val="000000" w:themeColor="text1"/>
                <w:sz w:val="24"/>
                <w:szCs w:val="24"/>
              </w:rPr>
              <w:br w:type="textWrapping"/>
            </w:r>
            <w:r>
              <w:rPr>
                <w:rStyle w:val="251"/>
                <w:rFonts w:hint="default" w:ascii="宋体" w:hAnsi="宋体" w:eastAsia="宋体" w:cstheme="minorEastAsia"/>
                <w:color w:val="000000" w:themeColor="text1"/>
                <w:sz w:val="24"/>
                <w:szCs w:val="24"/>
              </w:rPr>
              <w:t>7</w:t>
            </w:r>
            <w:r>
              <w:rPr>
                <w:rStyle w:val="252"/>
                <w:rFonts w:hint="default" w:ascii="宋体" w:hAnsi="宋体" w:eastAsia="宋体" w:cstheme="minorEastAsia"/>
                <w:color w:val="000000" w:themeColor="text1"/>
                <w:sz w:val="24"/>
                <w:szCs w:val="24"/>
              </w:rPr>
              <w:t>.巡查岗负责全景区巡查，骑电动车每天巡查1次。夜间巡查时间不低于12小时。</w:t>
            </w:r>
          </w:p>
        </w:tc>
        <w:tc>
          <w:tcPr>
            <w:tcW w:w="2437" w:type="dxa"/>
            <w:vMerge w:val="restart"/>
            <w:tcBorders>
              <w:tl2br w:val="nil"/>
              <w:tr2bl w:val="nil"/>
            </w:tcBorders>
            <w:vAlign w:val="center"/>
          </w:tcPr>
          <w:p w14:paraId="3F29699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项目预估最低需要25人同步在岗保障，服务按岗位服务质量结算。本项目需要中标方提供项目经理现场组织管理，人员更换需提前和甲方协商。具体结算方式和相关要求以合同为准。</w:t>
            </w:r>
          </w:p>
        </w:tc>
        <w:tc>
          <w:tcPr>
            <w:tcW w:w="2431" w:type="dxa"/>
            <w:vMerge w:val="restart"/>
            <w:tcBorders>
              <w:tl2br w:val="nil"/>
              <w:tr2bl w:val="nil"/>
            </w:tcBorders>
            <w:vAlign w:val="center"/>
          </w:tcPr>
          <w:p w14:paraId="32C45B83">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 上岗安保人员须持有保安员证，无犯罪记录，身体健康，年龄符合安保从业规范；</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2. 上岗统一着装、佩戴标识，配备必要的防暴装备（由中标人自行提供）；</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3. 中标人须对所有安保人员岗前培训，熟悉景区管理规定、应急处置流程；</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4. 中标人为全部安保人员缴纳社保，承担用工、工伤、人身损害全部法律责任；</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5. 人员替换：如安保人员不合格，采购人有权提出更换，中标人须在规定时限内替换同等资质人员，不得影响服务。</w:t>
            </w:r>
          </w:p>
        </w:tc>
        <w:tc>
          <w:tcPr>
            <w:tcW w:w="3262" w:type="dxa"/>
            <w:vMerge w:val="restart"/>
            <w:tcBorders>
              <w:tl2br w:val="nil"/>
              <w:tr2bl w:val="nil"/>
            </w:tcBorders>
            <w:vAlign w:val="center"/>
          </w:tcPr>
          <w:p w14:paraId="31F77706">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 本项目属于购买安保服务成果，不属于人员招聘、劳务派遣、岗位外包。中标人派驻现场人员为中标人单位员工，与采购人不存在劳动关系、劳务关系；</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2. 采购人仅提出服务任务目标，不直接对中标人员工进行人事管理、考勤、奖惩；现场工作指令仅针对服务事项，不直接管理人员；</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3. 所有用工纠纷、劳动仲裁、工伤事故、人身损害赔偿全部由中标人独立承担，与采购人无关。</w:t>
            </w:r>
          </w:p>
        </w:tc>
      </w:tr>
      <w:tr w14:paraId="140DC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2F38519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881" w:type="dxa"/>
            <w:tcBorders>
              <w:tl2br w:val="nil"/>
              <w:tr2bl w:val="nil"/>
            </w:tcBorders>
            <w:vAlign w:val="center"/>
          </w:tcPr>
          <w:p w14:paraId="1E9DBB62">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前湖</w:t>
            </w:r>
          </w:p>
          <w:p w14:paraId="242A6FA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路口</w:t>
            </w:r>
          </w:p>
        </w:tc>
        <w:tc>
          <w:tcPr>
            <w:tcW w:w="825" w:type="dxa"/>
            <w:tcBorders>
              <w:tl2br w:val="nil"/>
              <w:tr2bl w:val="nil"/>
            </w:tcBorders>
            <w:noWrap/>
            <w:vAlign w:val="center"/>
          </w:tcPr>
          <w:p w14:paraId="0B0B07D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3732" w:type="dxa"/>
            <w:vMerge w:val="continue"/>
            <w:tcBorders>
              <w:tl2br w:val="nil"/>
              <w:tr2bl w:val="nil"/>
            </w:tcBorders>
            <w:vAlign w:val="center"/>
          </w:tcPr>
          <w:p w14:paraId="41392564">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485C3615">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1493ABC8">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0031DD92">
            <w:pPr>
              <w:snapToGrid w:val="0"/>
              <w:jc w:val="left"/>
              <w:rPr>
                <w:rFonts w:hint="eastAsia" w:ascii="宋体" w:hAnsi="宋体" w:cstheme="minorEastAsia"/>
                <w:color w:val="000000" w:themeColor="text1"/>
                <w:sz w:val="24"/>
              </w:rPr>
            </w:pPr>
          </w:p>
        </w:tc>
      </w:tr>
      <w:tr w14:paraId="20B27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6FECE5A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881" w:type="dxa"/>
            <w:tcBorders>
              <w:tl2br w:val="nil"/>
              <w:tr2bl w:val="nil"/>
            </w:tcBorders>
            <w:vAlign w:val="center"/>
          </w:tcPr>
          <w:p w14:paraId="6E33E38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苜蓿园地铁1号口</w:t>
            </w:r>
          </w:p>
        </w:tc>
        <w:tc>
          <w:tcPr>
            <w:tcW w:w="825" w:type="dxa"/>
            <w:tcBorders>
              <w:tl2br w:val="nil"/>
              <w:tr2bl w:val="nil"/>
            </w:tcBorders>
            <w:vAlign w:val="center"/>
          </w:tcPr>
          <w:p w14:paraId="57ABF78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3732" w:type="dxa"/>
            <w:vMerge w:val="continue"/>
            <w:tcBorders>
              <w:tl2br w:val="nil"/>
              <w:tr2bl w:val="nil"/>
            </w:tcBorders>
            <w:vAlign w:val="center"/>
          </w:tcPr>
          <w:p w14:paraId="7B43AEE9">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6E9A1BAD">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29249F94">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7D0AC19C">
            <w:pPr>
              <w:snapToGrid w:val="0"/>
              <w:jc w:val="left"/>
              <w:rPr>
                <w:rFonts w:hint="eastAsia" w:ascii="宋体" w:hAnsi="宋体" w:cstheme="minorEastAsia"/>
                <w:color w:val="000000" w:themeColor="text1"/>
                <w:sz w:val="24"/>
              </w:rPr>
            </w:pPr>
          </w:p>
        </w:tc>
      </w:tr>
      <w:tr w14:paraId="32697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7A856CD7">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881" w:type="dxa"/>
            <w:tcBorders>
              <w:tl2br w:val="nil"/>
              <w:tr2bl w:val="nil"/>
            </w:tcBorders>
            <w:noWrap/>
            <w:vAlign w:val="center"/>
          </w:tcPr>
          <w:p w14:paraId="6BAD7009">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3</w:t>
            </w:r>
          </w:p>
        </w:tc>
        <w:tc>
          <w:tcPr>
            <w:tcW w:w="825" w:type="dxa"/>
            <w:tcBorders>
              <w:tl2br w:val="nil"/>
              <w:tr2bl w:val="nil"/>
            </w:tcBorders>
            <w:noWrap/>
            <w:vAlign w:val="center"/>
          </w:tcPr>
          <w:p w14:paraId="77AFF3E4">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8</w:t>
            </w:r>
          </w:p>
        </w:tc>
        <w:tc>
          <w:tcPr>
            <w:tcW w:w="3732" w:type="dxa"/>
            <w:vMerge w:val="continue"/>
            <w:tcBorders>
              <w:tl2br w:val="nil"/>
              <w:tr2bl w:val="nil"/>
            </w:tcBorders>
            <w:vAlign w:val="center"/>
          </w:tcPr>
          <w:p w14:paraId="342C5DF3">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251D1150">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672E0253">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6B1C294E">
            <w:pPr>
              <w:snapToGrid w:val="0"/>
              <w:jc w:val="left"/>
              <w:rPr>
                <w:rFonts w:hint="eastAsia" w:ascii="宋体" w:hAnsi="宋体" w:cstheme="minorEastAsia"/>
                <w:color w:val="000000" w:themeColor="text1"/>
                <w:sz w:val="24"/>
              </w:rPr>
            </w:pPr>
          </w:p>
        </w:tc>
      </w:tr>
      <w:tr w14:paraId="1DC9B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134232DB">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881" w:type="dxa"/>
            <w:tcBorders>
              <w:tl2br w:val="nil"/>
              <w:tr2bl w:val="nil"/>
            </w:tcBorders>
            <w:vAlign w:val="center"/>
          </w:tcPr>
          <w:p w14:paraId="6DA5C489">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巡逻岗</w:t>
            </w:r>
          </w:p>
        </w:tc>
        <w:tc>
          <w:tcPr>
            <w:tcW w:w="825" w:type="dxa"/>
            <w:tcBorders>
              <w:tl2br w:val="nil"/>
              <w:tr2bl w:val="nil"/>
            </w:tcBorders>
            <w:noWrap/>
            <w:vAlign w:val="center"/>
          </w:tcPr>
          <w:p w14:paraId="0B71B8D4">
            <w:pPr>
              <w:snapToGrid w:val="0"/>
              <w:jc w:val="center"/>
              <w:rPr>
                <w:rFonts w:hint="eastAsia" w:ascii="宋体" w:hAnsi="宋体" w:cstheme="minorEastAsia"/>
                <w:b/>
                <w:bCs/>
                <w:color w:val="000000" w:themeColor="text1"/>
                <w:sz w:val="24"/>
              </w:rPr>
            </w:pPr>
          </w:p>
        </w:tc>
        <w:tc>
          <w:tcPr>
            <w:tcW w:w="3732" w:type="dxa"/>
            <w:vMerge w:val="continue"/>
            <w:tcBorders>
              <w:tl2br w:val="nil"/>
              <w:tr2bl w:val="nil"/>
            </w:tcBorders>
            <w:vAlign w:val="center"/>
          </w:tcPr>
          <w:p w14:paraId="24CC56A3">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4E2478D7">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683CB0D6">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7B58EEAF">
            <w:pPr>
              <w:snapToGrid w:val="0"/>
              <w:jc w:val="left"/>
              <w:rPr>
                <w:rFonts w:hint="eastAsia" w:ascii="宋体" w:hAnsi="宋体" w:cstheme="minorEastAsia"/>
                <w:color w:val="000000" w:themeColor="text1"/>
                <w:sz w:val="24"/>
              </w:rPr>
            </w:pPr>
          </w:p>
        </w:tc>
      </w:tr>
      <w:tr w14:paraId="00AA3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5E04700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881" w:type="dxa"/>
            <w:tcBorders>
              <w:tl2br w:val="nil"/>
              <w:tr2bl w:val="nil"/>
            </w:tcBorders>
            <w:vAlign w:val="center"/>
          </w:tcPr>
          <w:p w14:paraId="6B4BB11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景区交通巡逻岗</w:t>
            </w:r>
          </w:p>
        </w:tc>
        <w:tc>
          <w:tcPr>
            <w:tcW w:w="825" w:type="dxa"/>
            <w:tcBorders>
              <w:tl2br w:val="nil"/>
              <w:tr2bl w:val="nil"/>
            </w:tcBorders>
            <w:noWrap/>
            <w:vAlign w:val="center"/>
          </w:tcPr>
          <w:p w14:paraId="51D5775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3732" w:type="dxa"/>
            <w:vMerge w:val="continue"/>
            <w:tcBorders>
              <w:tl2br w:val="nil"/>
              <w:tr2bl w:val="nil"/>
            </w:tcBorders>
            <w:vAlign w:val="center"/>
          </w:tcPr>
          <w:p w14:paraId="054F9F5F">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5AA1A86C">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06C717D2">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1EE98BF0">
            <w:pPr>
              <w:snapToGrid w:val="0"/>
              <w:jc w:val="left"/>
              <w:rPr>
                <w:rFonts w:hint="eastAsia" w:ascii="宋体" w:hAnsi="宋体" w:cstheme="minorEastAsia"/>
                <w:color w:val="000000" w:themeColor="text1"/>
                <w:sz w:val="24"/>
              </w:rPr>
            </w:pPr>
          </w:p>
        </w:tc>
      </w:tr>
      <w:tr w14:paraId="44CDC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1CE49B39">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881" w:type="dxa"/>
            <w:tcBorders>
              <w:tl2br w:val="nil"/>
              <w:tr2bl w:val="nil"/>
            </w:tcBorders>
            <w:vAlign w:val="center"/>
          </w:tcPr>
          <w:p w14:paraId="09239B6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蒋王庙周边</w:t>
            </w:r>
          </w:p>
        </w:tc>
        <w:tc>
          <w:tcPr>
            <w:tcW w:w="825" w:type="dxa"/>
            <w:tcBorders>
              <w:tl2br w:val="nil"/>
              <w:tr2bl w:val="nil"/>
            </w:tcBorders>
            <w:noWrap/>
            <w:vAlign w:val="center"/>
          </w:tcPr>
          <w:p w14:paraId="360E48A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3732" w:type="dxa"/>
            <w:vMerge w:val="continue"/>
            <w:tcBorders>
              <w:tl2br w:val="nil"/>
              <w:tr2bl w:val="nil"/>
            </w:tcBorders>
            <w:vAlign w:val="center"/>
          </w:tcPr>
          <w:p w14:paraId="5D06ED26">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6DC4BA4C">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2F2BDA3D">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40602DE7">
            <w:pPr>
              <w:snapToGrid w:val="0"/>
              <w:jc w:val="left"/>
              <w:rPr>
                <w:rFonts w:hint="eastAsia" w:ascii="宋体" w:hAnsi="宋体" w:cstheme="minorEastAsia"/>
                <w:color w:val="000000" w:themeColor="text1"/>
                <w:sz w:val="24"/>
              </w:rPr>
            </w:pPr>
          </w:p>
        </w:tc>
      </w:tr>
      <w:tr w14:paraId="642C3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2516A7F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881" w:type="dxa"/>
            <w:tcBorders>
              <w:tl2br w:val="nil"/>
              <w:tr2bl w:val="nil"/>
            </w:tcBorders>
            <w:vAlign w:val="center"/>
          </w:tcPr>
          <w:p w14:paraId="713565E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景区巡查</w:t>
            </w:r>
          </w:p>
        </w:tc>
        <w:tc>
          <w:tcPr>
            <w:tcW w:w="825" w:type="dxa"/>
            <w:tcBorders>
              <w:tl2br w:val="nil"/>
              <w:tr2bl w:val="nil"/>
            </w:tcBorders>
            <w:noWrap/>
            <w:vAlign w:val="center"/>
          </w:tcPr>
          <w:p w14:paraId="2893F05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6</w:t>
            </w:r>
          </w:p>
        </w:tc>
        <w:tc>
          <w:tcPr>
            <w:tcW w:w="3732" w:type="dxa"/>
            <w:vMerge w:val="continue"/>
            <w:tcBorders>
              <w:tl2br w:val="nil"/>
              <w:tr2bl w:val="nil"/>
            </w:tcBorders>
            <w:vAlign w:val="center"/>
          </w:tcPr>
          <w:p w14:paraId="4E7913B3">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15F593CB">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09339D74">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1C2C224A">
            <w:pPr>
              <w:snapToGrid w:val="0"/>
              <w:jc w:val="left"/>
              <w:rPr>
                <w:rFonts w:hint="eastAsia" w:ascii="宋体" w:hAnsi="宋体" w:cstheme="minorEastAsia"/>
                <w:color w:val="000000" w:themeColor="text1"/>
                <w:sz w:val="24"/>
              </w:rPr>
            </w:pPr>
          </w:p>
        </w:tc>
      </w:tr>
      <w:tr w14:paraId="74333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106F819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881" w:type="dxa"/>
            <w:tcBorders>
              <w:tl2br w:val="nil"/>
              <w:tr2bl w:val="nil"/>
            </w:tcBorders>
            <w:vAlign w:val="center"/>
          </w:tcPr>
          <w:p w14:paraId="20CA9EA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景区夜巡</w:t>
            </w:r>
          </w:p>
        </w:tc>
        <w:tc>
          <w:tcPr>
            <w:tcW w:w="825" w:type="dxa"/>
            <w:tcBorders>
              <w:tl2br w:val="nil"/>
              <w:tr2bl w:val="nil"/>
            </w:tcBorders>
            <w:noWrap/>
            <w:vAlign w:val="center"/>
          </w:tcPr>
          <w:p w14:paraId="183418C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6</w:t>
            </w:r>
          </w:p>
        </w:tc>
        <w:tc>
          <w:tcPr>
            <w:tcW w:w="3732" w:type="dxa"/>
            <w:vMerge w:val="continue"/>
            <w:tcBorders>
              <w:tl2br w:val="nil"/>
              <w:tr2bl w:val="nil"/>
            </w:tcBorders>
            <w:vAlign w:val="center"/>
          </w:tcPr>
          <w:p w14:paraId="21A723B2">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24112D3F">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42018B99">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505551E2">
            <w:pPr>
              <w:snapToGrid w:val="0"/>
              <w:jc w:val="left"/>
              <w:rPr>
                <w:rFonts w:hint="eastAsia" w:ascii="宋体" w:hAnsi="宋体" w:cstheme="minorEastAsia"/>
                <w:color w:val="000000" w:themeColor="text1"/>
                <w:sz w:val="24"/>
              </w:rPr>
            </w:pPr>
          </w:p>
        </w:tc>
      </w:tr>
      <w:tr w14:paraId="1A22C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6C6FDCF1">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881" w:type="dxa"/>
            <w:tcBorders>
              <w:tl2br w:val="nil"/>
              <w:tr2bl w:val="nil"/>
            </w:tcBorders>
            <w:noWrap/>
            <w:vAlign w:val="center"/>
          </w:tcPr>
          <w:p w14:paraId="1A7BEAE3">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4</w:t>
            </w:r>
          </w:p>
        </w:tc>
        <w:tc>
          <w:tcPr>
            <w:tcW w:w="825" w:type="dxa"/>
            <w:tcBorders>
              <w:tl2br w:val="nil"/>
              <w:tr2bl w:val="nil"/>
            </w:tcBorders>
            <w:noWrap/>
            <w:vAlign w:val="center"/>
          </w:tcPr>
          <w:p w14:paraId="1EEEB825">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17</w:t>
            </w:r>
          </w:p>
        </w:tc>
        <w:tc>
          <w:tcPr>
            <w:tcW w:w="3732" w:type="dxa"/>
            <w:vMerge w:val="continue"/>
            <w:tcBorders>
              <w:tl2br w:val="nil"/>
              <w:tr2bl w:val="nil"/>
            </w:tcBorders>
            <w:vAlign w:val="center"/>
          </w:tcPr>
          <w:p w14:paraId="471B2754">
            <w:pPr>
              <w:snapToGrid w:val="0"/>
              <w:jc w:val="left"/>
              <w:rPr>
                <w:rFonts w:hint="eastAsia" w:ascii="宋体" w:hAnsi="宋体" w:cstheme="minorEastAsia"/>
                <w:color w:val="000000" w:themeColor="text1"/>
                <w:sz w:val="24"/>
              </w:rPr>
            </w:pPr>
          </w:p>
        </w:tc>
        <w:tc>
          <w:tcPr>
            <w:tcW w:w="2437" w:type="dxa"/>
            <w:vMerge w:val="continue"/>
            <w:tcBorders>
              <w:tl2br w:val="nil"/>
              <w:tr2bl w:val="nil"/>
            </w:tcBorders>
            <w:vAlign w:val="center"/>
          </w:tcPr>
          <w:p w14:paraId="77C08AB8">
            <w:pPr>
              <w:snapToGrid w:val="0"/>
              <w:jc w:val="center"/>
              <w:rPr>
                <w:rFonts w:hint="eastAsia" w:ascii="宋体" w:hAnsi="宋体" w:cstheme="minorEastAsia"/>
                <w:color w:val="000000" w:themeColor="text1"/>
                <w:sz w:val="24"/>
              </w:rPr>
            </w:pPr>
          </w:p>
        </w:tc>
        <w:tc>
          <w:tcPr>
            <w:tcW w:w="2431" w:type="dxa"/>
            <w:vMerge w:val="continue"/>
            <w:tcBorders>
              <w:tl2br w:val="nil"/>
              <w:tr2bl w:val="nil"/>
            </w:tcBorders>
            <w:vAlign w:val="center"/>
          </w:tcPr>
          <w:p w14:paraId="3096A071">
            <w:pPr>
              <w:snapToGrid w:val="0"/>
              <w:jc w:val="left"/>
              <w:rPr>
                <w:rFonts w:hint="eastAsia" w:ascii="宋体" w:hAnsi="宋体" w:cstheme="minorEastAsia"/>
                <w:color w:val="000000" w:themeColor="text1"/>
                <w:sz w:val="24"/>
              </w:rPr>
            </w:pPr>
          </w:p>
        </w:tc>
        <w:tc>
          <w:tcPr>
            <w:tcW w:w="3262" w:type="dxa"/>
            <w:vMerge w:val="continue"/>
            <w:tcBorders>
              <w:tl2br w:val="nil"/>
              <w:tr2bl w:val="nil"/>
            </w:tcBorders>
            <w:vAlign w:val="center"/>
          </w:tcPr>
          <w:p w14:paraId="1D95E299">
            <w:pPr>
              <w:snapToGrid w:val="0"/>
              <w:jc w:val="left"/>
              <w:rPr>
                <w:rFonts w:hint="eastAsia" w:ascii="宋体" w:hAnsi="宋体" w:cstheme="minorEastAsia"/>
                <w:color w:val="000000" w:themeColor="text1"/>
                <w:sz w:val="24"/>
              </w:rPr>
            </w:pPr>
          </w:p>
        </w:tc>
      </w:tr>
      <w:tr w14:paraId="2854F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4479FD13">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共计岗位</w:t>
            </w:r>
          </w:p>
        </w:tc>
        <w:tc>
          <w:tcPr>
            <w:tcW w:w="881" w:type="dxa"/>
            <w:tcBorders>
              <w:tl2br w:val="nil"/>
              <w:tr2bl w:val="nil"/>
            </w:tcBorders>
            <w:noWrap/>
            <w:vAlign w:val="center"/>
          </w:tcPr>
          <w:p w14:paraId="16EE9706">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7</w:t>
            </w:r>
          </w:p>
        </w:tc>
        <w:tc>
          <w:tcPr>
            <w:tcW w:w="825" w:type="dxa"/>
            <w:tcBorders>
              <w:tl2br w:val="nil"/>
              <w:tr2bl w:val="nil"/>
            </w:tcBorders>
            <w:noWrap/>
            <w:vAlign w:val="center"/>
          </w:tcPr>
          <w:p w14:paraId="5A2481D7">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25</w:t>
            </w:r>
          </w:p>
        </w:tc>
        <w:tc>
          <w:tcPr>
            <w:tcW w:w="11862" w:type="dxa"/>
            <w:gridSpan w:val="4"/>
            <w:tcBorders>
              <w:tl2br w:val="nil"/>
              <w:tr2bl w:val="nil"/>
            </w:tcBorders>
            <w:vAlign w:val="center"/>
          </w:tcPr>
          <w:p w14:paraId="45960BF1">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服务范围为景区出入口、停车场、游览步道等公共区域。服务内容由中标人全权承接，中标人自主负责人员招募、培训、管理、排班、装备配置</w:t>
            </w:r>
            <w:r>
              <w:rPr>
                <w:rFonts w:ascii="宋体" w:hAnsi="宋体" w:cstheme="minorEastAsia"/>
                <w:color w:val="000000" w:themeColor="text1"/>
                <w:kern w:val="0"/>
                <w:sz w:val="24"/>
              </w:rPr>
              <w:t>、餐费自理</w:t>
            </w:r>
            <w:r>
              <w:rPr>
                <w:rFonts w:hint="eastAsia" w:ascii="宋体" w:hAnsi="宋体" w:cstheme="minorEastAsia"/>
                <w:color w:val="000000" w:themeColor="text1"/>
                <w:kern w:val="0"/>
                <w:sz w:val="24"/>
              </w:rPr>
              <w:t>、人员劳动关系、薪酬社保、安全责任，采购人仅对安保服务成果进行验收，不直接管理中标人工作人员。</w:t>
            </w:r>
          </w:p>
        </w:tc>
      </w:tr>
      <w:tr w14:paraId="55B47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52" w:type="dxa"/>
            <w:tcBorders>
              <w:tl2br w:val="nil"/>
              <w:tr2bl w:val="nil"/>
            </w:tcBorders>
            <w:vAlign w:val="center"/>
          </w:tcPr>
          <w:p w14:paraId="5EF5E691">
            <w:pPr>
              <w:widowControl/>
              <w:snapToGrid w:val="0"/>
              <w:jc w:val="center"/>
              <w:textAlignment w:val="center"/>
              <w:rPr>
                <w:rFonts w:hint="eastAsia" w:ascii="宋体" w:hAnsi="宋体" w:cstheme="minorEastAsia"/>
                <w:b/>
                <w:bCs/>
                <w:color w:val="000000" w:themeColor="text1"/>
                <w:kern w:val="0"/>
                <w:sz w:val="24"/>
              </w:rPr>
            </w:pPr>
          </w:p>
        </w:tc>
        <w:tc>
          <w:tcPr>
            <w:tcW w:w="881" w:type="dxa"/>
            <w:tcBorders>
              <w:tl2br w:val="nil"/>
              <w:tr2bl w:val="nil"/>
            </w:tcBorders>
            <w:noWrap/>
            <w:vAlign w:val="center"/>
          </w:tcPr>
          <w:p w14:paraId="1A9B34CD">
            <w:pPr>
              <w:widowControl/>
              <w:snapToGrid w:val="0"/>
              <w:jc w:val="center"/>
              <w:textAlignment w:val="center"/>
              <w:rPr>
                <w:rFonts w:hint="eastAsia" w:ascii="宋体" w:hAnsi="宋体" w:cstheme="minorEastAsia"/>
                <w:b/>
                <w:bCs/>
                <w:color w:val="000000" w:themeColor="text1"/>
                <w:kern w:val="0"/>
                <w:sz w:val="24"/>
              </w:rPr>
            </w:pPr>
          </w:p>
        </w:tc>
        <w:tc>
          <w:tcPr>
            <w:tcW w:w="825" w:type="dxa"/>
            <w:tcBorders>
              <w:tl2br w:val="nil"/>
              <w:tr2bl w:val="nil"/>
            </w:tcBorders>
            <w:noWrap/>
            <w:vAlign w:val="center"/>
          </w:tcPr>
          <w:p w14:paraId="4F455412">
            <w:pPr>
              <w:widowControl/>
              <w:snapToGrid w:val="0"/>
              <w:jc w:val="center"/>
              <w:textAlignment w:val="center"/>
              <w:rPr>
                <w:rFonts w:hint="eastAsia" w:ascii="宋体" w:hAnsi="宋体" w:cstheme="minorEastAsia"/>
                <w:b/>
                <w:bCs/>
                <w:color w:val="000000" w:themeColor="text1"/>
                <w:kern w:val="0"/>
                <w:sz w:val="24"/>
              </w:rPr>
            </w:pPr>
          </w:p>
        </w:tc>
        <w:tc>
          <w:tcPr>
            <w:tcW w:w="11862" w:type="dxa"/>
            <w:gridSpan w:val="4"/>
            <w:tcBorders>
              <w:tl2br w:val="nil"/>
              <w:tr2bl w:val="nil"/>
            </w:tcBorders>
            <w:vAlign w:val="center"/>
          </w:tcPr>
          <w:p w14:paraId="31B707D6">
            <w:pPr>
              <w:keepNext/>
              <w:widowControl/>
              <w:snapToGrid w:val="0"/>
              <w:jc w:val="center"/>
              <w:textAlignment w:val="center"/>
              <w:rPr>
                <w:rFonts w:hint="eastAsia" w:ascii="宋体" w:hAnsi="宋体" w:cs="微软雅黑"/>
                <w:b/>
                <w:color w:val="000000" w:themeColor="text1"/>
                <w:kern w:val="0"/>
                <w:sz w:val="24"/>
              </w:rPr>
            </w:pPr>
            <w:r>
              <w:rPr>
                <w:rFonts w:hint="eastAsia" w:ascii="宋体" w:hAnsi="宋体" w:cs="微软雅黑"/>
                <w:b/>
                <w:color w:val="000000" w:themeColor="text1"/>
                <w:kern w:val="0"/>
                <w:sz w:val="24"/>
              </w:rPr>
              <w:t>服务期为：2026-11.1-2027.11.30</w:t>
            </w:r>
          </w:p>
        </w:tc>
      </w:tr>
    </w:tbl>
    <w:p w14:paraId="07ABDE81">
      <w:pPr>
        <w:rPr>
          <w:rFonts w:hint="eastAsia" w:asciiTheme="minorEastAsia" w:hAnsiTheme="minorEastAsia" w:eastAsiaTheme="minorEastAsia" w:cstheme="minorEastAsia"/>
          <w:color w:val="000000" w:themeColor="text1"/>
          <w:szCs w:val="21"/>
        </w:rPr>
      </w:pPr>
    </w:p>
    <w:p w14:paraId="67839E61">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tbl>
      <w:tblPr>
        <w:tblStyle w:val="45"/>
        <w:tblW w:w="14220" w:type="dxa"/>
        <w:jc w:val="center"/>
        <w:tblLayout w:type="fixed"/>
        <w:tblCellMar>
          <w:top w:w="0" w:type="dxa"/>
          <w:left w:w="108" w:type="dxa"/>
          <w:bottom w:w="0" w:type="dxa"/>
          <w:right w:w="108" w:type="dxa"/>
        </w:tblCellMar>
      </w:tblPr>
      <w:tblGrid>
        <w:gridCol w:w="765"/>
        <w:gridCol w:w="1800"/>
        <w:gridCol w:w="862"/>
        <w:gridCol w:w="2813"/>
        <w:gridCol w:w="2268"/>
        <w:gridCol w:w="2438"/>
        <w:gridCol w:w="3274"/>
      </w:tblGrid>
      <w:tr w14:paraId="59418F78">
        <w:tblPrEx>
          <w:tblCellMar>
            <w:top w:w="0" w:type="dxa"/>
            <w:left w:w="108" w:type="dxa"/>
            <w:bottom w:w="0" w:type="dxa"/>
            <w:right w:w="108" w:type="dxa"/>
          </w:tblCellMar>
        </w:tblPrEx>
        <w:trPr>
          <w:tblHeader/>
          <w:jc w:val="center"/>
        </w:trPr>
        <w:tc>
          <w:tcPr>
            <w:tcW w:w="14220" w:type="dxa"/>
            <w:gridSpan w:val="7"/>
            <w:tcBorders>
              <w:top w:val="single" w:color="000000" w:sz="4" w:space="0"/>
              <w:left w:val="single" w:color="000000" w:sz="4" w:space="0"/>
              <w:bottom w:val="single" w:color="000000" w:sz="4" w:space="0"/>
              <w:right w:val="single" w:color="000000" w:sz="4" w:space="0"/>
            </w:tcBorders>
            <w:noWrap/>
            <w:vAlign w:val="center"/>
          </w:tcPr>
          <w:p w14:paraId="3F5FCCD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包4：</w:t>
            </w:r>
            <w:r>
              <w:rPr>
                <w:rFonts w:ascii="宋体" w:hAnsi="宋体" w:cstheme="minorEastAsia"/>
                <w:color w:val="000000" w:themeColor="text1"/>
                <w:kern w:val="0"/>
                <w:sz w:val="24"/>
              </w:rPr>
              <w:t>明孝陵区域安保服务</w:t>
            </w:r>
          </w:p>
        </w:tc>
      </w:tr>
      <w:tr w14:paraId="67115336">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329E01C">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1800" w:type="dxa"/>
            <w:tcBorders>
              <w:top w:val="single" w:color="000000" w:sz="4" w:space="0"/>
              <w:left w:val="single" w:color="000000" w:sz="4" w:space="0"/>
              <w:bottom w:val="single" w:color="000000" w:sz="4" w:space="0"/>
              <w:right w:val="single" w:color="000000" w:sz="4" w:space="0"/>
            </w:tcBorders>
            <w:vAlign w:val="center"/>
          </w:tcPr>
          <w:p w14:paraId="38877321">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3F58947A">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人数</w:t>
            </w:r>
          </w:p>
        </w:tc>
        <w:tc>
          <w:tcPr>
            <w:tcW w:w="2813" w:type="dxa"/>
            <w:tcBorders>
              <w:top w:val="single" w:color="000000" w:sz="4" w:space="0"/>
              <w:left w:val="single" w:color="000000" w:sz="4" w:space="0"/>
              <w:bottom w:val="single" w:color="000000" w:sz="4" w:space="0"/>
              <w:right w:val="single" w:color="000000" w:sz="4" w:space="0"/>
            </w:tcBorders>
            <w:vAlign w:val="center"/>
          </w:tcPr>
          <w:p w14:paraId="4444DDD8">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服务内容</w:t>
            </w:r>
          </w:p>
        </w:tc>
        <w:tc>
          <w:tcPr>
            <w:tcW w:w="2268" w:type="dxa"/>
            <w:tcBorders>
              <w:top w:val="single" w:color="000000" w:sz="4" w:space="0"/>
              <w:left w:val="single" w:color="000000" w:sz="4" w:space="0"/>
              <w:bottom w:val="single" w:color="000000" w:sz="4" w:space="0"/>
              <w:right w:val="single" w:color="000000" w:sz="4" w:space="0"/>
            </w:tcBorders>
            <w:noWrap/>
            <w:vAlign w:val="center"/>
          </w:tcPr>
          <w:p w14:paraId="20FF72E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预估服务规模</w:t>
            </w:r>
          </w:p>
        </w:tc>
        <w:tc>
          <w:tcPr>
            <w:tcW w:w="2438" w:type="dxa"/>
            <w:tcBorders>
              <w:top w:val="single" w:color="000000" w:sz="4" w:space="0"/>
              <w:left w:val="single" w:color="000000" w:sz="4" w:space="0"/>
              <w:bottom w:val="single" w:color="000000" w:sz="4" w:space="0"/>
              <w:right w:val="single" w:color="000000" w:sz="4" w:space="0"/>
            </w:tcBorders>
            <w:noWrap/>
            <w:vAlign w:val="center"/>
          </w:tcPr>
          <w:p w14:paraId="02E89E3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服务标准</w:t>
            </w:r>
          </w:p>
        </w:tc>
        <w:tc>
          <w:tcPr>
            <w:tcW w:w="3274" w:type="dxa"/>
            <w:tcBorders>
              <w:top w:val="single" w:color="000000" w:sz="4" w:space="0"/>
              <w:left w:val="single" w:color="000000" w:sz="4" w:space="0"/>
              <w:bottom w:val="single" w:color="000000" w:sz="4" w:space="0"/>
              <w:right w:val="single" w:color="000000" w:sz="4" w:space="0"/>
            </w:tcBorders>
            <w:noWrap/>
            <w:vAlign w:val="center"/>
          </w:tcPr>
          <w:p w14:paraId="3109FBE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权责边界</w:t>
            </w:r>
          </w:p>
        </w:tc>
      </w:tr>
      <w:tr w14:paraId="61F05924">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1EB2395A">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364EF967">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一号门</w:t>
            </w:r>
          </w:p>
          <w:p w14:paraId="0EC2B7B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5F0FA6E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restart"/>
            <w:tcBorders>
              <w:top w:val="single" w:color="000000" w:sz="4" w:space="0"/>
              <w:left w:val="single" w:color="000000" w:sz="4" w:space="0"/>
              <w:bottom w:val="single" w:color="000000" w:sz="4" w:space="0"/>
              <w:right w:val="single" w:color="000000" w:sz="4" w:space="0"/>
            </w:tcBorders>
            <w:vAlign w:val="center"/>
          </w:tcPr>
          <w:p w14:paraId="7682AC3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景区重点区域秩序维护，游客疏导、人流管控，防止拥堵、踩踏风险；2.出入口、非机动车停车秩序管理、机动车通行引导，劝阻违规停放、翻越护栏、违规进入管控区域行为；3.现场安全巡查，发现火情、设施损坏、游客纠纷、安全隐患第一时间上报并先期处置；4.突发事件、游客冲突、紧急情况的现场先期处置，配合公安、消防开展联动保障；5.</w:t>
            </w:r>
            <w:r>
              <w:rPr>
                <w:rFonts w:hint="eastAsia" w:ascii="宋体" w:hAnsi="宋体" w:cstheme="minorEastAsia"/>
                <w:b/>
                <w:bCs/>
                <w:color w:val="000000" w:themeColor="text1"/>
                <w:kern w:val="0"/>
                <w:sz w:val="24"/>
              </w:rPr>
              <w:t>重大节假日、大型活动期间等，根据采购人指令，延长服务保障时间，费用含在本项目中不单独支付；</w:t>
            </w:r>
            <w:r>
              <w:rPr>
                <w:rFonts w:hint="eastAsia" w:ascii="宋体" w:hAnsi="宋体" w:cstheme="minorEastAsia"/>
                <w:color w:val="000000" w:themeColor="text1"/>
                <w:kern w:val="0"/>
                <w:sz w:val="24"/>
              </w:rPr>
              <w:t>6.每日平均在园时间不低于10小时。7</w:t>
            </w:r>
            <w:r>
              <w:rPr>
                <w:rFonts w:hint="eastAsia" w:ascii="宋体" w:hAnsi="宋体" w:cstheme="minorEastAsia"/>
                <w:b/>
                <w:bCs/>
                <w:color w:val="000000" w:themeColor="text1"/>
                <w:kern w:val="0"/>
                <w:sz w:val="24"/>
              </w:rPr>
              <w:t>.清理违停车辆，驱赶揽拍、摊贩、租车、劝阻不文明行为等。</w:t>
            </w:r>
          </w:p>
        </w:tc>
        <w:tc>
          <w:tcPr>
            <w:tcW w:w="2268" w:type="dxa"/>
            <w:vMerge w:val="restart"/>
            <w:tcBorders>
              <w:top w:val="single" w:color="000000" w:sz="4" w:space="0"/>
              <w:left w:val="single" w:color="000000" w:sz="4" w:space="0"/>
              <w:bottom w:val="single" w:color="000000" w:sz="4" w:space="0"/>
              <w:right w:val="single" w:color="000000" w:sz="4" w:space="0"/>
            </w:tcBorders>
            <w:vAlign w:val="center"/>
          </w:tcPr>
          <w:p w14:paraId="0E15414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项目预估最低需要32人同步在岗保障，服务按岗位服务质量结算。本项目需要中标方提供项目经理现场组织管理，人员更换需提前和甲方协商。具体结算方式和相关要求以合同为准。</w:t>
            </w:r>
          </w:p>
        </w:tc>
        <w:tc>
          <w:tcPr>
            <w:tcW w:w="2438" w:type="dxa"/>
            <w:vMerge w:val="restart"/>
            <w:tcBorders>
              <w:top w:val="single" w:color="000000" w:sz="4" w:space="0"/>
              <w:left w:val="single" w:color="000000" w:sz="4" w:space="0"/>
              <w:bottom w:val="single" w:color="000000" w:sz="4" w:space="0"/>
              <w:right w:val="single" w:color="000000" w:sz="4" w:space="0"/>
            </w:tcBorders>
            <w:vAlign w:val="center"/>
          </w:tcPr>
          <w:p w14:paraId="6074FF8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上岗安保人员须持有保安员证，无犯罪记录，身体健康，年龄符合安保从业规范；2.上岗统一着装、佩戴标识，配备必要的防暴装备（由中标人自行提供）；3.中标人须对所有安保人员岗前培训，熟悉景区管理规定、应急处置流程；4.中标人为全部安保人员缴纳社保，承担用工、工伤、人身损害全部法律责任；5.人员替换：如安保人员不合格，采购人有权提出更换，中标人须在规定时限内替换同等资质人员，不得影响服务。</w:t>
            </w:r>
          </w:p>
        </w:tc>
        <w:tc>
          <w:tcPr>
            <w:tcW w:w="3274" w:type="dxa"/>
            <w:vMerge w:val="restart"/>
            <w:tcBorders>
              <w:top w:val="single" w:color="000000" w:sz="4" w:space="0"/>
              <w:left w:val="single" w:color="000000" w:sz="4" w:space="0"/>
              <w:bottom w:val="single" w:color="000000" w:sz="4" w:space="0"/>
              <w:right w:val="single" w:color="000000" w:sz="4" w:space="0"/>
            </w:tcBorders>
            <w:vAlign w:val="center"/>
          </w:tcPr>
          <w:p w14:paraId="037CB31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本项目属于购买安保服务成果，不属于人员招聘、劳务派遣、岗位外包。中标人派驻现场人员为中标人单位员工，与采购人不存在劳动关系、劳务关系；2.采购人仅提出服务任务目标，不直接对中标人员工进行人事管理、考勤、奖惩；现场工作指令仅针对服务事项，不直接管理人员；3.所有用工纠纷、劳动仲裁、工伤事故、人身损害赔偿全部由中标人独立承担，与采购人无关。</w:t>
            </w:r>
          </w:p>
        </w:tc>
      </w:tr>
      <w:tr w14:paraId="65A6021F">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5C98B2B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690CDAE3">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三号门</w:t>
            </w:r>
          </w:p>
          <w:p w14:paraId="2D36307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12ED7A8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3B826336">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1424E41D">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664FE9AD">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22C47415">
            <w:pPr>
              <w:snapToGrid w:val="0"/>
              <w:jc w:val="center"/>
              <w:rPr>
                <w:rFonts w:hint="eastAsia" w:ascii="宋体" w:hAnsi="宋体" w:cstheme="minorEastAsia"/>
                <w:color w:val="000000" w:themeColor="text1"/>
                <w:sz w:val="24"/>
              </w:rPr>
            </w:pPr>
          </w:p>
        </w:tc>
      </w:tr>
      <w:tr w14:paraId="1351B63B">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2CAC5DD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6B97ECB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梅花谷路口固定岗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3E6242B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5AA62C8A">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34077D9B">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1E6A6420">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728FD7AB">
            <w:pPr>
              <w:snapToGrid w:val="0"/>
              <w:jc w:val="center"/>
              <w:rPr>
                <w:rFonts w:hint="eastAsia" w:ascii="宋体" w:hAnsi="宋体" w:cstheme="minorEastAsia"/>
                <w:color w:val="000000" w:themeColor="text1"/>
                <w:sz w:val="24"/>
              </w:rPr>
            </w:pPr>
          </w:p>
        </w:tc>
      </w:tr>
      <w:tr w14:paraId="72BB3657">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0C8B9B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6F88A758">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医院路口</w:t>
            </w:r>
          </w:p>
          <w:p w14:paraId="6888D85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4DFBDA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767B4671">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24A65A4">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2B2A49E1">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060F59D">
            <w:pPr>
              <w:snapToGrid w:val="0"/>
              <w:jc w:val="center"/>
              <w:rPr>
                <w:rFonts w:hint="eastAsia" w:ascii="宋体" w:hAnsi="宋体" w:cstheme="minorEastAsia"/>
                <w:color w:val="000000" w:themeColor="text1"/>
                <w:sz w:val="24"/>
              </w:rPr>
            </w:pPr>
          </w:p>
        </w:tc>
      </w:tr>
      <w:tr w14:paraId="079789EB">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13208B3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5</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62887359">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五号门路口固定岗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7BDFF0A">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3EEDF714">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4A2C88F1">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298E54C0">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5456235D">
            <w:pPr>
              <w:snapToGrid w:val="0"/>
              <w:jc w:val="center"/>
              <w:rPr>
                <w:rFonts w:hint="eastAsia" w:ascii="宋体" w:hAnsi="宋体" w:cstheme="minorEastAsia"/>
                <w:color w:val="000000" w:themeColor="text1"/>
                <w:sz w:val="24"/>
              </w:rPr>
            </w:pPr>
          </w:p>
        </w:tc>
      </w:tr>
      <w:tr w14:paraId="5B71E511">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5B92BBC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6</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2739F4F1">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四方城</w:t>
            </w:r>
          </w:p>
          <w:p w14:paraId="757697D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1AD031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455BF19A">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3508AE4">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73ED46E2">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70C54841">
            <w:pPr>
              <w:snapToGrid w:val="0"/>
              <w:jc w:val="center"/>
              <w:rPr>
                <w:rFonts w:hint="eastAsia" w:ascii="宋体" w:hAnsi="宋体" w:cstheme="minorEastAsia"/>
                <w:color w:val="000000" w:themeColor="text1"/>
                <w:sz w:val="24"/>
              </w:rPr>
            </w:pPr>
          </w:p>
        </w:tc>
      </w:tr>
      <w:tr w14:paraId="3517CFC1">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3B6D95F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7</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761F07EF">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大金门</w:t>
            </w:r>
          </w:p>
          <w:p w14:paraId="1F80488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176BEBE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22464DAC">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E1E74E8">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7177D5AD">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D4D2F2F">
            <w:pPr>
              <w:snapToGrid w:val="0"/>
              <w:jc w:val="center"/>
              <w:rPr>
                <w:rFonts w:hint="eastAsia" w:ascii="宋体" w:hAnsi="宋体" w:cstheme="minorEastAsia"/>
                <w:color w:val="000000" w:themeColor="text1"/>
                <w:sz w:val="24"/>
              </w:rPr>
            </w:pPr>
          </w:p>
        </w:tc>
      </w:tr>
      <w:tr w14:paraId="578A3DDC">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6D89E2F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8</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5DD6403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11号围墙斑马线固定岗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7F69F68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1F24CCD4">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61D2A4AD">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69045B82">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6737822F">
            <w:pPr>
              <w:snapToGrid w:val="0"/>
              <w:jc w:val="center"/>
              <w:rPr>
                <w:rFonts w:hint="eastAsia" w:ascii="宋体" w:hAnsi="宋体" w:cstheme="minorEastAsia"/>
                <w:color w:val="000000" w:themeColor="text1"/>
                <w:sz w:val="24"/>
              </w:rPr>
            </w:pPr>
          </w:p>
        </w:tc>
      </w:tr>
      <w:tr w14:paraId="5C3ABD96">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6D73F34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9</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14486973">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金水桥</w:t>
            </w:r>
          </w:p>
          <w:p w14:paraId="39020A1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1E48E4E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6D812FC7">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1012CD4C">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3C5A9495">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7A02E5E7">
            <w:pPr>
              <w:snapToGrid w:val="0"/>
              <w:jc w:val="center"/>
              <w:rPr>
                <w:rFonts w:hint="eastAsia" w:ascii="宋体" w:hAnsi="宋体" w:cstheme="minorEastAsia"/>
                <w:color w:val="000000" w:themeColor="text1"/>
                <w:sz w:val="24"/>
              </w:rPr>
            </w:pPr>
          </w:p>
        </w:tc>
      </w:tr>
      <w:tr w14:paraId="79018D89">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5488084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10</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01B224AC">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七号门</w:t>
            </w:r>
          </w:p>
          <w:p w14:paraId="2A3599A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55453D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6F223EF7">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0FD68956">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345F689B">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4B3CDD45">
            <w:pPr>
              <w:snapToGrid w:val="0"/>
              <w:jc w:val="center"/>
              <w:rPr>
                <w:rFonts w:hint="eastAsia" w:ascii="宋体" w:hAnsi="宋体" w:cstheme="minorEastAsia"/>
                <w:color w:val="000000" w:themeColor="text1"/>
                <w:sz w:val="24"/>
              </w:rPr>
            </w:pPr>
          </w:p>
        </w:tc>
      </w:tr>
      <w:tr w14:paraId="2F8F5E5D">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B9FA91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11</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4725EB6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八号路停车场固定岗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14C3F24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3C3197C8">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5598AA46">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5CC9185E">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29B8BF4B">
            <w:pPr>
              <w:snapToGrid w:val="0"/>
              <w:jc w:val="center"/>
              <w:rPr>
                <w:rFonts w:hint="eastAsia" w:ascii="宋体" w:hAnsi="宋体" w:cstheme="minorEastAsia"/>
                <w:color w:val="000000" w:themeColor="text1"/>
                <w:sz w:val="24"/>
              </w:rPr>
            </w:pPr>
          </w:p>
        </w:tc>
      </w:tr>
      <w:tr w14:paraId="79743941">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2A23DF8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12</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3D429A9A">
            <w:pPr>
              <w:widowControl/>
              <w:snapToGrid w:val="0"/>
              <w:jc w:val="center"/>
              <w:textAlignment w:val="center"/>
              <w:rPr>
                <w:rFonts w:hint="eastAsia" w:ascii="宋体" w:hAnsi="宋体" w:cstheme="minorEastAsia"/>
                <w:color w:val="000000" w:themeColor="text1"/>
                <w:kern w:val="0"/>
                <w:sz w:val="24"/>
              </w:rPr>
            </w:pPr>
            <w:r>
              <w:rPr>
                <w:rFonts w:hint="eastAsia" w:ascii="宋体" w:hAnsi="宋体" w:cstheme="minorEastAsia"/>
                <w:color w:val="000000" w:themeColor="text1"/>
                <w:kern w:val="0"/>
                <w:sz w:val="24"/>
              </w:rPr>
              <w:t>五号门</w:t>
            </w:r>
          </w:p>
          <w:p w14:paraId="3F31E30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77DE8E2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2FFF6FFD">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5781B3E">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1BBA0DAA">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4BAAFB37">
            <w:pPr>
              <w:snapToGrid w:val="0"/>
              <w:jc w:val="center"/>
              <w:rPr>
                <w:rFonts w:hint="eastAsia" w:ascii="宋体" w:hAnsi="宋体" w:cstheme="minorEastAsia"/>
                <w:color w:val="000000" w:themeColor="text1"/>
                <w:sz w:val="24"/>
              </w:rPr>
            </w:pPr>
          </w:p>
        </w:tc>
      </w:tr>
      <w:tr w14:paraId="7A8B8699">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7AC56F5E">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1800" w:type="dxa"/>
            <w:tcBorders>
              <w:top w:val="single" w:color="000000" w:sz="4" w:space="0"/>
              <w:left w:val="single" w:color="000000" w:sz="4" w:space="0"/>
              <w:bottom w:val="single" w:color="000000" w:sz="4" w:space="0"/>
              <w:right w:val="single" w:color="000000" w:sz="4" w:space="0"/>
            </w:tcBorders>
            <w:vAlign w:val="center"/>
          </w:tcPr>
          <w:p w14:paraId="034E53A0">
            <w:pPr>
              <w:snapToGrid w:val="0"/>
              <w:jc w:val="center"/>
              <w:rPr>
                <w:rFonts w:hint="eastAsia" w:ascii="宋体" w:hAnsi="宋体" w:cstheme="minorEastAsia"/>
                <w:b/>
                <w:bCs/>
                <w:color w:val="000000" w:themeColor="text1"/>
                <w:sz w:val="24"/>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EEAD8F2">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12</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4291A21E">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68054086">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2C89368A">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26FE0827">
            <w:pPr>
              <w:snapToGrid w:val="0"/>
              <w:jc w:val="center"/>
              <w:rPr>
                <w:rFonts w:hint="eastAsia" w:ascii="宋体" w:hAnsi="宋体" w:cstheme="minorEastAsia"/>
                <w:color w:val="000000" w:themeColor="text1"/>
                <w:sz w:val="24"/>
              </w:rPr>
            </w:pPr>
          </w:p>
        </w:tc>
      </w:tr>
      <w:tr w14:paraId="7B93096F">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55B791E5">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7E64D0D5">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卡口岗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7CAC88FD">
            <w:pPr>
              <w:snapToGrid w:val="0"/>
              <w:jc w:val="center"/>
              <w:rPr>
                <w:rFonts w:hint="eastAsia" w:ascii="宋体" w:hAnsi="宋体" w:cstheme="minorEastAsia"/>
                <w:b/>
                <w:bCs/>
                <w:color w:val="000000" w:themeColor="text1"/>
                <w:sz w:val="24"/>
              </w:rPr>
            </w:pP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02105DCE">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48EB601B">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08D2D577">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B53DEB2">
            <w:pPr>
              <w:snapToGrid w:val="0"/>
              <w:jc w:val="center"/>
              <w:rPr>
                <w:rFonts w:hint="eastAsia" w:ascii="宋体" w:hAnsi="宋体" w:cstheme="minorEastAsia"/>
                <w:color w:val="000000" w:themeColor="text1"/>
                <w:sz w:val="24"/>
              </w:rPr>
            </w:pPr>
          </w:p>
        </w:tc>
      </w:tr>
      <w:tr w14:paraId="5AA150AE">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52DDDF0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24C3267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梅花谷人字路口固定岗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DA802F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6186A61B">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059F34B3">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47B5772A">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7A972AF">
            <w:pPr>
              <w:snapToGrid w:val="0"/>
              <w:jc w:val="center"/>
              <w:rPr>
                <w:rFonts w:hint="eastAsia" w:ascii="宋体" w:hAnsi="宋体" w:cstheme="minorEastAsia"/>
                <w:color w:val="000000" w:themeColor="text1"/>
                <w:sz w:val="24"/>
              </w:rPr>
            </w:pPr>
          </w:p>
        </w:tc>
      </w:tr>
      <w:tr w14:paraId="3CE898AD">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79A10A6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3218566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梅花谷路口斑马线固定岗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AB6759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74CB18F2">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2E88E0FE">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542C4B76">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4257C9E1">
            <w:pPr>
              <w:snapToGrid w:val="0"/>
              <w:jc w:val="center"/>
              <w:rPr>
                <w:rFonts w:hint="eastAsia" w:ascii="宋体" w:hAnsi="宋体" w:cstheme="minorEastAsia"/>
                <w:color w:val="000000" w:themeColor="text1"/>
                <w:sz w:val="24"/>
              </w:rPr>
            </w:pPr>
          </w:p>
        </w:tc>
      </w:tr>
      <w:tr w14:paraId="6AFB79D7">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235F9D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2BBDA00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医院固定岗</w:t>
            </w:r>
          </w:p>
        </w:tc>
        <w:tc>
          <w:tcPr>
            <w:tcW w:w="862" w:type="dxa"/>
            <w:tcBorders>
              <w:top w:val="single" w:color="000000" w:sz="4" w:space="0"/>
              <w:left w:val="single" w:color="000000" w:sz="4" w:space="0"/>
              <w:bottom w:val="single" w:color="000000" w:sz="4" w:space="0"/>
              <w:right w:val="single" w:color="000000" w:sz="4" w:space="0"/>
            </w:tcBorders>
            <w:vAlign w:val="center"/>
          </w:tcPr>
          <w:p w14:paraId="24B0922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24E457DC">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670B5D66">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3A0B0106">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53331D64">
            <w:pPr>
              <w:snapToGrid w:val="0"/>
              <w:jc w:val="center"/>
              <w:rPr>
                <w:rFonts w:hint="eastAsia" w:ascii="宋体" w:hAnsi="宋体" w:cstheme="minorEastAsia"/>
                <w:color w:val="000000" w:themeColor="text1"/>
                <w:sz w:val="24"/>
              </w:rPr>
            </w:pPr>
          </w:p>
        </w:tc>
      </w:tr>
      <w:tr w14:paraId="70B9F6CD">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C7E184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1C7545D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管理局路口固定岗</w:t>
            </w:r>
          </w:p>
        </w:tc>
        <w:tc>
          <w:tcPr>
            <w:tcW w:w="862" w:type="dxa"/>
            <w:tcBorders>
              <w:top w:val="single" w:color="000000" w:sz="4" w:space="0"/>
              <w:left w:val="single" w:color="000000" w:sz="4" w:space="0"/>
              <w:bottom w:val="single" w:color="000000" w:sz="4" w:space="0"/>
              <w:right w:val="single" w:color="000000" w:sz="4" w:space="0"/>
            </w:tcBorders>
            <w:vAlign w:val="center"/>
          </w:tcPr>
          <w:p w14:paraId="5A05F75D">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31EFA0F3">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50FE4EE9">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4726292B">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E063F60">
            <w:pPr>
              <w:snapToGrid w:val="0"/>
              <w:jc w:val="center"/>
              <w:rPr>
                <w:rFonts w:hint="eastAsia" w:ascii="宋体" w:hAnsi="宋体" w:cstheme="minorEastAsia"/>
                <w:color w:val="000000" w:themeColor="text1"/>
                <w:sz w:val="24"/>
              </w:rPr>
            </w:pPr>
          </w:p>
        </w:tc>
      </w:tr>
      <w:tr w14:paraId="175800E7">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293E07C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5</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4BBCB64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十朝五号门路口固定岗</w:t>
            </w:r>
          </w:p>
        </w:tc>
        <w:tc>
          <w:tcPr>
            <w:tcW w:w="862" w:type="dxa"/>
            <w:tcBorders>
              <w:top w:val="single" w:color="000000" w:sz="4" w:space="0"/>
              <w:left w:val="single" w:color="000000" w:sz="4" w:space="0"/>
              <w:bottom w:val="single" w:color="000000" w:sz="4" w:space="0"/>
              <w:right w:val="single" w:color="000000" w:sz="4" w:space="0"/>
            </w:tcBorders>
            <w:vAlign w:val="center"/>
          </w:tcPr>
          <w:p w14:paraId="21A8C37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625F7CA0">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043D0283">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3395FCC9">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C0F7068">
            <w:pPr>
              <w:snapToGrid w:val="0"/>
              <w:jc w:val="center"/>
              <w:rPr>
                <w:rFonts w:hint="eastAsia" w:ascii="宋体" w:hAnsi="宋体" w:cstheme="minorEastAsia"/>
                <w:color w:val="000000" w:themeColor="text1"/>
                <w:sz w:val="24"/>
              </w:rPr>
            </w:pPr>
          </w:p>
        </w:tc>
      </w:tr>
      <w:tr w14:paraId="31A3C650">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26275D7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6</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4F392C8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十朝养老院路口固定岗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5F6E9E92">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31C62B38">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1A74D791">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0F7E8F73">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0551E3FB">
            <w:pPr>
              <w:snapToGrid w:val="0"/>
              <w:jc w:val="center"/>
              <w:rPr>
                <w:rFonts w:hint="eastAsia" w:ascii="宋体" w:hAnsi="宋体" w:cstheme="minorEastAsia"/>
                <w:color w:val="000000" w:themeColor="text1"/>
                <w:sz w:val="24"/>
              </w:rPr>
            </w:pPr>
          </w:p>
        </w:tc>
      </w:tr>
      <w:tr w14:paraId="079204B1">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72FBB26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7</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3CF7A389">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美龄宫哈罗单车停车场固定岗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0349865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36B309E6">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0D8F9E0B">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59AEBC2C">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F75DC52">
            <w:pPr>
              <w:snapToGrid w:val="0"/>
              <w:jc w:val="center"/>
              <w:rPr>
                <w:rFonts w:hint="eastAsia" w:ascii="宋体" w:hAnsi="宋体" w:cstheme="minorEastAsia"/>
                <w:color w:val="000000" w:themeColor="text1"/>
                <w:sz w:val="24"/>
              </w:rPr>
            </w:pPr>
          </w:p>
        </w:tc>
      </w:tr>
      <w:tr w14:paraId="77146231">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07CAB80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8</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07034B40">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美龄宫斑马线固定岗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46A9425">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27C20445">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592A80B7">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4E98C86B">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564D85D7">
            <w:pPr>
              <w:snapToGrid w:val="0"/>
              <w:jc w:val="center"/>
              <w:rPr>
                <w:rFonts w:hint="eastAsia" w:ascii="宋体" w:hAnsi="宋体" w:cstheme="minorEastAsia"/>
                <w:color w:val="000000" w:themeColor="text1"/>
                <w:sz w:val="24"/>
              </w:rPr>
            </w:pPr>
          </w:p>
        </w:tc>
      </w:tr>
      <w:tr w14:paraId="45DD1483">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6407F0E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9</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1FB0C3FA">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美龄宫路口固定岗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5B5B184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50C00A94">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7262A9FA">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4E1FD055">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3588381A">
            <w:pPr>
              <w:snapToGrid w:val="0"/>
              <w:jc w:val="center"/>
              <w:rPr>
                <w:rFonts w:hint="eastAsia" w:ascii="宋体" w:hAnsi="宋体" w:cstheme="minorEastAsia"/>
                <w:color w:val="000000" w:themeColor="text1"/>
                <w:sz w:val="24"/>
              </w:rPr>
            </w:pPr>
          </w:p>
        </w:tc>
      </w:tr>
      <w:tr w14:paraId="53AFCAD0">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D68C1FA">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46E66C3C">
            <w:pPr>
              <w:snapToGrid w:val="0"/>
              <w:jc w:val="center"/>
              <w:rPr>
                <w:rFonts w:hint="eastAsia" w:ascii="宋体" w:hAnsi="宋体" w:cstheme="minorEastAsia"/>
                <w:b/>
                <w:bCs/>
                <w:color w:val="000000" w:themeColor="text1"/>
                <w:sz w:val="24"/>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10D32087">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15</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0E938FA5">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4DFA740C">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1C42D8A9">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4B7E9F3D">
            <w:pPr>
              <w:snapToGrid w:val="0"/>
              <w:jc w:val="center"/>
              <w:rPr>
                <w:rFonts w:hint="eastAsia" w:ascii="宋体" w:hAnsi="宋体" w:cstheme="minorEastAsia"/>
                <w:color w:val="000000" w:themeColor="text1"/>
                <w:sz w:val="24"/>
              </w:rPr>
            </w:pPr>
          </w:p>
        </w:tc>
      </w:tr>
      <w:tr w14:paraId="6AF4BCF0">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1A047DBC">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序号</w:t>
            </w:r>
          </w:p>
        </w:tc>
        <w:tc>
          <w:tcPr>
            <w:tcW w:w="1800" w:type="dxa"/>
            <w:tcBorders>
              <w:top w:val="single" w:color="000000" w:sz="4" w:space="0"/>
              <w:left w:val="single" w:color="000000" w:sz="4" w:space="0"/>
              <w:bottom w:val="single" w:color="000000" w:sz="4" w:space="0"/>
              <w:right w:val="single" w:color="000000" w:sz="4" w:space="0"/>
            </w:tcBorders>
            <w:vAlign w:val="center"/>
          </w:tcPr>
          <w:p w14:paraId="3958458D">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巡逻岗</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0A710B2B">
            <w:pPr>
              <w:snapToGrid w:val="0"/>
              <w:jc w:val="center"/>
              <w:rPr>
                <w:rFonts w:hint="eastAsia" w:ascii="宋体" w:hAnsi="宋体" w:cstheme="minorEastAsia"/>
                <w:b/>
                <w:bCs/>
                <w:color w:val="000000" w:themeColor="text1"/>
                <w:sz w:val="24"/>
              </w:rPr>
            </w:pP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2DC6150A">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2321DEC0">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656B357A">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5CEF7F55">
            <w:pPr>
              <w:snapToGrid w:val="0"/>
              <w:jc w:val="center"/>
              <w:rPr>
                <w:rFonts w:hint="eastAsia" w:ascii="宋体" w:hAnsi="宋体" w:cstheme="minorEastAsia"/>
                <w:color w:val="000000" w:themeColor="text1"/>
                <w:sz w:val="24"/>
              </w:rPr>
            </w:pPr>
          </w:p>
        </w:tc>
      </w:tr>
      <w:tr w14:paraId="1A4E2A9B">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A0133F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2B32FFB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一号门至五号门园内巡查</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5E88F4C8">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47238CAD">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39D89187">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4453C93A">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5D5B8019">
            <w:pPr>
              <w:snapToGrid w:val="0"/>
              <w:jc w:val="center"/>
              <w:rPr>
                <w:rFonts w:hint="eastAsia" w:ascii="宋体" w:hAnsi="宋体" w:cstheme="minorEastAsia"/>
                <w:color w:val="000000" w:themeColor="text1"/>
                <w:sz w:val="24"/>
              </w:rPr>
            </w:pPr>
          </w:p>
        </w:tc>
      </w:tr>
      <w:tr w14:paraId="09819E85">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3C548E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2</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0289F85F">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一号门至三号门巡查</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020A0811">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55E42674">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2CA41C69">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2EE2A609">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48088275">
            <w:pPr>
              <w:snapToGrid w:val="0"/>
              <w:jc w:val="center"/>
              <w:rPr>
                <w:rFonts w:hint="eastAsia" w:ascii="宋体" w:hAnsi="宋体" w:cstheme="minorEastAsia"/>
                <w:color w:val="000000" w:themeColor="text1"/>
                <w:sz w:val="24"/>
              </w:rPr>
            </w:pPr>
          </w:p>
        </w:tc>
      </w:tr>
      <w:tr w14:paraId="09965FE9">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4CAB09E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3</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58A744CC">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网红桥下至美龄宫巡查</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4071F33">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4044C03E">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288FE6C3">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33949152">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6597BF65">
            <w:pPr>
              <w:snapToGrid w:val="0"/>
              <w:jc w:val="center"/>
              <w:rPr>
                <w:rFonts w:hint="eastAsia" w:ascii="宋体" w:hAnsi="宋体" w:cstheme="minorEastAsia"/>
                <w:color w:val="000000" w:themeColor="text1"/>
                <w:sz w:val="24"/>
              </w:rPr>
            </w:pPr>
          </w:p>
        </w:tc>
      </w:tr>
      <w:tr w14:paraId="04F0ED51">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68EA156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4</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7745081B">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医院至网红桥下巡查</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E54EA46">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0AAC39A7">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0C2C7451">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20770731">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115BAC62">
            <w:pPr>
              <w:snapToGrid w:val="0"/>
              <w:jc w:val="center"/>
              <w:rPr>
                <w:rFonts w:hint="eastAsia" w:ascii="宋体" w:hAnsi="宋体" w:cstheme="minorEastAsia"/>
                <w:color w:val="000000" w:themeColor="text1"/>
                <w:sz w:val="24"/>
              </w:rPr>
            </w:pPr>
          </w:p>
        </w:tc>
      </w:tr>
      <w:tr w14:paraId="54A67D97">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noWrap/>
            <w:vAlign w:val="center"/>
          </w:tcPr>
          <w:p w14:paraId="29CCFB5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5</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37D40ECE">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美龄宫至11号巡查</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5D48BD84">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4A9B5223">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43AAD2BE">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0B63AE8D">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0A2BFD71">
            <w:pPr>
              <w:snapToGrid w:val="0"/>
              <w:jc w:val="center"/>
              <w:rPr>
                <w:rFonts w:hint="eastAsia" w:ascii="宋体" w:hAnsi="宋体" w:cstheme="minorEastAsia"/>
                <w:color w:val="000000" w:themeColor="text1"/>
                <w:sz w:val="24"/>
              </w:rPr>
            </w:pPr>
          </w:p>
        </w:tc>
      </w:tr>
      <w:tr w14:paraId="57F275EE">
        <w:tblPrEx>
          <w:tblCellMar>
            <w:top w:w="0" w:type="dxa"/>
            <w:left w:w="108" w:type="dxa"/>
            <w:bottom w:w="0" w:type="dxa"/>
            <w:right w:w="108" w:type="dxa"/>
          </w:tblCellMar>
        </w:tblPrEx>
        <w:trPr>
          <w:tblHeade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122CE3C6">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小计</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5F2AD534">
            <w:pPr>
              <w:snapToGrid w:val="0"/>
              <w:jc w:val="center"/>
              <w:rPr>
                <w:rFonts w:hint="eastAsia" w:ascii="宋体" w:hAnsi="宋体" w:cstheme="minorEastAsia"/>
                <w:b/>
                <w:bCs/>
                <w:color w:val="000000" w:themeColor="text1"/>
                <w:sz w:val="24"/>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09422787">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5</w:t>
            </w:r>
          </w:p>
        </w:tc>
        <w:tc>
          <w:tcPr>
            <w:tcW w:w="2813" w:type="dxa"/>
            <w:vMerge w:val="continue"/>
            <w:tcBorders>
              <w:top w:val="single" w:color="000000" w:sz="4" w:space="0"/>
              <w:left w:val="single" w:color="000000" w:sz="4" w:space="0"/>
              <w:bottom w:val="single" w:color="000000" w:sz="4" w:space="0"/>
              <w:right w:val="single" w:color="000000" w:sz="4" w:space="0"/>
            </w:tcBorders>
            <w:vAlign w:val="center"/>
          </w:tcPr>
          <w:p w14:paraId="49F30E47">
            <w:pPr>
              <w:snapToGrid w:val="0"/>
              <w:jc w:val="center"/>
              <w:rPr>
                <w:rFonts w:hint="eastAsia" w:ascii="宋体" w:hAnsi="宋体" w:cstheme="minorEastAsia"/>
                <w:color w:val="000000" w:themeColor="text1"/>
                <w:sz w:val="24"/>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14:paraId="0C77A864">
            <w:pPr>
              <w:snapToGrid w:val="0"/>
              <w:jc w:val="center"/>
              <w:rPr>
                <w:rFonts w:hint="eastAsia" w:ascii="宋体" w:hAnsi="宋体" w:cstheme="minorEastAsia"/>
                <w:color w:val="000000" w:themeColor="text1"/>
                <w:sz w:val="24"/>
              </w:rPr>
            </w:pPr>
          </w:p>
        </w:tc>
        <w:tc>
          <w:tcPr>
            <w:tcW w:w="2438" w:type="dxa"/>
            <w:vMerge w:val="continue"/>
            <w:tcBorders>
              <w:top w:val="single" w:color="000000" w:sz="4" w:space="0"/>
              <w:left w:val="single" w:color="000000" w:sz="4" w:space="0"/>
              <w:bottom w:val="single" w:color="000000" w:sz="4" w:space="0"/>
              <w:right w:val="single" w:color="000000" w:sz="4" w:space="0"/>
            </w:tcBorders>
            <w:vAlign w:val="center"/>
          </w:tcPr>
          <w:p w14:paraId="6583BBB3">
            <w:pPr>
              <w:snapToGrid w:val="0"/>
              <w:jc w:val="center"/>
              <w:rPr>
                <w:rFonts w:hint="eastAsia" w:ascii="宋体" w:hAnsi="宋体" w:cstheme="minorEastAsia"/>
                <w:color w:val="000000" w:themeColor="text1"/>
                <w:sz w:val="24"/>
              </w:rPr>
            </w:pPr>
          </w:p>
        </w:tc>
        <w:tc>
          <w:tcPr>
            <w:tcW w:w="3274" w:type="dxa"/>
            <w:vMerge w:val="continue"/>
            <w:tcBorders>
              <w:top w:val="single" w:color="000000" w:sz="4" w:space="0"/>
              <w:left w:val="single" w:color="000000" w:sz="4" w:space="0"/>
              <w:bottom w:val="single" w:color="000000" w:sz="4" w:space="0"/>
              <w:right w:val="single" w:color="000000" w:sz="4" w:space="0"/>
            </w:tcBorders>
            <w:vAlign w:val="center"/>
          </w:tcPr>
          <w:p w14:paraId="09C4A4C9">
            <w:pPr>
              <w:snapToGrid w:val="0"/>
              <w:jc w:val="center"/>
              <w:rPr>
                <w:rFonts w:hint="eastAsia" w:ascii="宋体" w:hAnsi="宋体" w:cstheme="minorEastAsia"/>
                <w:color w:val="000000" w:themeColor="text1"/>
                <w:sz w:val="24"/>
              </w:rPr>
            </w:pPr>
          </w:p>
        </w:tc>
      </w:tr>
      <w:tr w14:paraId="77A5F34D">
        <w:tblPrEx>
          <w:tblCellMar>
            <w:top w:w="0" w:type="dxa"/>
            <w:left w:w="108" w:type="dxa"/>
            <w:bottom w:w="0" w:type="dxa"/>
            <w:right w:w="108" w:type="dxa"/>
          </w:tblCellMar>
        </w:tblPrEx>
        <w:trPr>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0BA30D2C">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共计岗位</w:t>
            </w: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093CFF12">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26</w:t>
            </w: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0411FDDB">
            <w:pPr>
              <w:widowControl/>
              <w:snapToGrid w:val="0"/>
              <w:jc w:val="center"/>
              <w:textAlignment w:val="center"/>
              <w:rPr>
                <w:rFonts w:hint="eastAsia" w:ascii="宋体" w:hAnsi="宋体" w:cstheme="minorEastAsia"/>
                <w:b/>
                <w:bCs/>
                <w:color w:val="000000" w:themeColor="text1"/>
                <w:sz w:val="24"/>
              </w:rPr>
            </w:pPr>
            <w:r>
              <w:rPr>
                <w:rFonts w:hint="eastAsia" w:ascii="宋体" w:hAnsi="宋体" w:cstheme="minorEastAsia"/>
                <w:b/>
                <w:bCs/>
                <w:color w:val="000000" w:themeColor="text1"/>
                <w:kern w:val="0"/>
                <w:sz w:val="24"/>
              </w:rPr>
              <w:t>32</w:t>
            </w:r>
          </w:p>
        </w:tc>
        <w:tc>
          <w:tcPr>
            <w:tcW w:w="10793" w:type="dxa"/>
            <w:gridSpan w:val="4"/>
            <w:tcBorders>
              <w:top w:val="single" w:color="000000" w:sz="4" w:space="0"/>
              <w:left w:val="single" w:color="000000" w:sz="4" w:space="0"/>
              <w:bottom w:val="single" w:color="000000" w:sz="4" w:space="0"/>
              <w:right w:val="single" w:color="000000" w:sz="4" w:space="0"/>
            </w:tcBorders>
            <w:vAlign w:val="center"/>
          </w:tcPr>
          <w:p w14:paraId="41446365">
            <w:pPr>
              <w:widowControl/>
              <w:snapToGrid w:val="0"/>
              <w:jc w:val="center"/>
              <w:textAlignment w:val="center"/>
              <w:rPr>
                <w:rFonts w:hint="eastAsia" w:ascii="宋体" w:hAnsi="宋体" w:cstheme="minorEastAsia"/>
                <w:b/>
                <w:color w:val="000000" w:themeColor="text1"/>
                <w:sz w:val="24"/>
              </w:rPr>
            </w:pPr>
            <w:r>
              <w:rPr>
                <w:rFonts w:hint="eastAsia" w:ascii="宋体" w:hAnsi="宋体" w:cstheme="minorEastAsia"/>
                <w:b/>
                <w:color w:val="000000" w:themeColor="text1"/>
                <w:kern w:val="0"/>
                <w:sz w:val="24"/>
              </w:rPr>
              <w:t>服务范围为景区出入口、停车场、游览步道等公共区域。服务内容由中标人全权承接，中标人自主负责人员招募、培训、管理、排班、装备配置</w:t>
            </w:r>
            <w:r>
              <w:rPr>
                <w:rFonts w:hint="eastAsia" w:ascii="宋体" w:hAnsi="宋体" w:cs="微软雅黑"/>
                <w:b/>
                <w:color w:val="000000" w:themeColor="text1"/>
                <w:kern w:val="0"/>
                <w:sz w:val="24"/>
              </w:rPr>
              <w:t>、</w:t>
            </w:r>
            <w:r>
              <w:rPr>
                <w:rFonts w:ascii="宋体" w:hAnsi="宋体" w:cs="微软雅黑"/>
                <w:b/>
                <w:color w:val="000000" w:themeColor="text1"/>
                <w:kern w:val="0"/>
                <w:sz w:val="24"/>
              </w:rPr>
              <w:t>餐费自理</w:t>
            </w:r>
            <w:r>
              <w:rPr>
                <w:rFonts w:hint="eastAsia" w:ascii="宋体" w:hAnsi="宋体" w:cstheme="minorEastAsia"/>
                <w:b/>
                <w:color w:val="000000" w:themeColor="text1"/>
                <w:kern w:val="0"/>
                <w:sz w:val="24"/>
              </w:rPr>
              <w:t>、人员劳动关系、薪酬社保、安全责任，采购人仅对安保服务成果进行验收，不直接管理中标人工作人员。</w:t>
            </w:r>
          </w:p>
        </w:tc>
      </w:tr>
      <w:tr w14:paraId="395FD165">
        <w:tblPrEx>
          <w:tblCellMar>
            <w:top w:w="0" w:type="dxa"/>
            <w:left w:w="108" w:type="dxa"/>
            <w:bottom w:w="0" w:type="dxa"/>
            <w:right w:w="108" w:type="dxa"/>
          </w:tblCellMar>
        </w:tblPrEx>
        <w:trPr>
          <w:trHeight w:val="156" w:hRule="atLeast"/>
          <w:jc w:val="center"/>
        </w:trPr>
        <w:tc>
          <w:tcPr>
            <w:tcW w:w="765" w:type="dxa"/>
            <w:tcBorders>
              <w:top w:val="single" w:color="000000" w:sz="4" w:space="0"/>
              <w:left w:val="single" w:color="000000" w:sz="4" w:space="0"/>
              <w:bottom w:val="single" w:color="000000" w:sz="4" w:space="0"/>
              <w:right w:val="single" w:color="000000" w:sz="4" w:space="0"/>
            </w:tcBorders>
            <w:vAlign w:val="center"/>
          </w:tcPr>
          <w:p w14:paraId="3473DA78">
            <w:pPr>
              <w:widowControl/>
              <w:snapToGrid w:val="0"/>
              <w:jc w:val="center"/>
              <w:textAlignment w:val="center"/>
              <w:rPr>
                <w:rFonts w:hint="eastAsia" w:ascii="宋体" w:hAnsi="宋体" w:cs="宋体"/>
                <w:b/>
                <w:bCs/>
                <w:color w:val="000000" w:themeColor="text1"/>
                <w:kern w:val="0"/>
                <w:sz w:val="24"/>
              </w:rPr>
            </w:pP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5B90ED0F">
            <w:pPr>
              <w:widowControl/>
              <w:snapToGrid w:val="0"/>
              <w:jc w:val="center"/>
              <w:textAlignment w:val="center"/>
              <w:rPr>
                <w:rFonts w:hint="eastAsia" w:ascii="宋体" w:hAnsi="宋体" w:cs="宋体"/>
                <w:b/>
                <w:bCs/>
                <w:color w:val="000000" w:themeColor="text1"/>
                <w:kern w:val="0"/>
                <w:sz w:val="24"/>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61E32C84">
            <w:pPr>
              <w:widowControl/>
              <w:snapToGrid w:val="0"/>
              <w:jc w:val="center"/>
              <w:textAlignment w:val="center"/>
              <w:rPr>
                <w:rFonts w:hint="eastAsia" w:ascii="宋体" w:hAnsi="宋体" w:cs="宋体"/>
                <w:b/>
                <w:bCs/>
                <w:color w:val="000000" w:themeColor="text1"/>
                <w:kern w:val="0"/>
                <w:sz w:val="24"/>
              </w:rPr>
            </w:pPr>
          </w:p>
        </w:tc>
        <w:tc>
          <w:tcPr>
            <w:tcW w:w="10793" w:type="dxa"/>
            <w:gridSpan w:val="4"/>
            <w:tcBorders>
              <w:top w:val="single" w:color="000000" w:sz="4" w:space="0"/>
              <w:left w:val="single" w:color="000000" w:sz="4" w:space="0"/>
              <w:bottom w:val="single" w:color="000000" w:sz="4" w:space="0"/>
              <w:right w:val="single" w:color="000000" w:sz="4" w:space="0"/>
            </w:tcBorders>
            <w:vAlign w:val="center"/>
          </w:tcPr>
          <w:p w14:paraId="632FBC83">
            <w:pPr>
              <w:widowControl/>
              <w:snapToGrid w:val="0"/>
              <w:jc w:val="center"/>
              <w:textAlignment w:val="center"/>
              <w:rPr>
                <w:rFonts w:hint="eastAsia" w:ascii="宋体" w:hAnsi="宋体" w:cs="微软雅黑"/>
                <w:b/>
                <w:color w:val="000000" w:themeColor="text1"/>
                <w:kern w:val="0"/>
                <w:sz w:val="24"/>
              </w:rPr>
            </w:pPr>
            <w:r>
              <w:rPr>
                <w:rFonts w:hint="eastAsia" w:ascii="宋体" w:hAnsi="宋体" w:cs="微软雅黑"/>
                <w:b/>
                <w:color w:val="000000" w:themeColor="text1"/>
                <w:kern w:val="0"/>
                <w:sz w:val="24"/>
              </w:rPr>
              <w:t>服务期为：2027.1.1-2027.11.30</w:t>
            </w:r>
          </w:p>
        </w:tc>
      </w:tr>
    </w:tbl>
    <w:p w14:paraId="2BF0E76F">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tbl>
      <w:tblPr>
        <w:tblStyle w:val="45"/>
        <w:tblW w:w="14753" w:type="dxa"/>
        <w:jc w:val="center"/>
        <w:tblLayout w:type="fixed"/>
        <w:tblCellMar>
          <w:top w:w="0" w:type="dxa"/>
          <w:left w:w="108" w:type="dxa"/>
          <w:bottom w:w="0" w:type="dxa"/>
          <w:right w:w="108" w:type="dxa"/>
        </w:tblCellMar>
      </w:tblPr>
      <w:tblGrid>
        <w:gridCol w:w="638"/>
        <w:gridCol w:w="1594"/>
        <w:gridCol w:w="1556"/>
        <w:gridCol w:w="712"/>
        <w:gridCol w:w="825"/>
        <w:gridCol w:w="2569"/>
        <w:gridCol w:w="2522"/>
        <w:gridCol w:w="2411"/>
        <w:gridCol w:w="1926"/>
      </w:tblGrid>
      <w:tr w14:paraId="0729BBB8">
        <w:tblPrEx>
          <w:tblCellMar>
            <w:top w:w="0" w:type="dxa"/>
            <w:left w:w="108" w:type="dxa"/>
            <w:bottom w:w="0" w:type="dxa"/>
            <w:right w:w="108" w:type="dxa"/>
          </w:tblCellMar>
        </w:tblPrEx>
        <w:trPr>
          <w:tblHeader/>
          <w:jc w:val="center"/>
        </w:trPr>
        <w:tc>
          <w:tcPr>
            <w:tcW w:w="14753" w:type="dxa"/>
            <w:gridSpan w:val="9"/>
            <w:tcBorders>
              <w:top w:val="single" w:color="000000" w:sz="4" w:space="0"/>
              <w:left w:val="single" w:color="000000" w:sz="4" w:space="0"/>
              <w:bottom w:val="single" w:color="000000" w:sz="4" w:space="0"/>
              <w:right w:val="single" w:color="000000" w:sz="4" w:space="0"/>
            </w:tcBorders>
            <w:noWrap/>
            <w:vAlign w:val="center"/>
          </w:tcPr>
          <w:p w14:paraId="53EB5BB3">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包5：</w:t>
            </w:r>
            <w:r>
              <w:rPr>
                <w:rFonts w:ascii="宋体" w:hAnsi="宋体" w:cs="宋体"/>
                <w:b/>
                <w:bCs/>
                <w:color w:val="000000" w:themeColor="text1"/>
                <w:kern w:val="0"/>
                <w:sz w:val="24"/>
              </w:rPr>
              <w:t>节假日及重大活动安保服务(陵园路以西）</w:t>
            </w:r>
          </w:p>
        </w:tc>
      </w:tr>
      <w:tr w14:paraId="597E60E1">
        <w:tblPrEx>
          <w:tblCellMar>
            <w:top w:w="0" w:type="dxa"/>
            <w:left w:w="108" w:type="dxa"/>
            <w:bottom w:w="0" w:type="dxa"/>
            <w:right w:w="108" w:type="dxa"/>
          </w:tblCellMar>
        </w:tblPrEx>
        <w:trPr>
          <w:tblHeade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7134594">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序号</w:t>
            </w:r>
          </w:p>
        </w:tc>
        <w:tc>
          <w:tcPr>
            <w:tcW w:w="1594" w:type="dxa"/>
            <w:tcBorders>
              <w:top w:val="single" w:color="000000" w:sz="4" w:space="0"/>
              <w:left w:val="single" w:color="000000" w:sz="4" w:space="0"/>
              <w:bottom w:val="single" w:color="000000" w:sz="4" w:space="0"/>
              <w:right w:val="single" w:color="000000" w:sz="4" w:space="0"/>
            </w:tcBorders>
            <w:vAlign w:val="center"/>
          </w:tcPr>
          <w:p w14:paraId="69612065">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项目名称</w:t>
            </w:r>
          </w:p>
        </w:tc>
        <w:tc>
          <w:tcPr>
            <w:tcW w:w="1556" w:type="dxa"/>
            <w:tcBorders>
              <w:top w:val="single" w:color="000000" w:sz="4" w:space="0"/>
              <w:left w:val="single" w:color="000000" w:sz="4" w:space="0"/>
              <w:bottom w:val="single" w:color="000000" w:sz="4" w:space="0"/>
              <w:right w:val="single" w:color="000000" w:sz="4" w:space="0"/>
            </w:tcBorders>
            <w:noWrap/>
            <w:vAlign w:val="center"/>
          </w:tcPr>
          <w:p w14:paraId="4E24B688">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计划拟每日服务投入人力</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717B5233">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预计天数</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30D63B8">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合计</w:t>
            </w:r>
          </w:p>
        </w:tc>
        <w:tc>
          <w:tcPr>
            <w:tcW w:w="2569" w:type="dxa"/>
            <w:tcBorders>
              <w:top w:val="single" w:color="000000" w:sz="4" w:space="0"/>
              <w:left w:val="single" w:color="000000" w:sz="4" w:space="0"/>
              <w:bottom w:val="single" w:color="000000" w:sz="4" w:space="0"/>
              <w:right w:val="single" w:color="000000" w:sz="4" w:space="0"/>
            </w:tcBorders>
            <w:vAlign w:val="center"/>
          </w:tcPr>
          <w:p w14:paraId="53B7409E">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服务内容</w:t>
            </w:r>
          </w:p>
        </w:tc>
        <w:tc>
          <w:tcPr>
            <w:tcW w:w="2522" w:type="dxa"/>
            <w:tcBorders>
              <w:top w:val="single" w:color="000000" w:sz="4" w:space="0"/>
              <w:left w:val="single" w:color="000000" w:sz="4" w:space="0"/>
              <w:bottom w:val="single" w:color="000000" w:sz="4" w:space="0"/>
              <w:right w:val="single" w:color="000000" w:sz="4" w:space="0"/>
            </w:tcBorders>
            <w:noWrap/>
            <w:vAlign w:val="center"/>
          </w:tcPr>
          <w:p w14:paraId="3836BEC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预估服务规模</w:t>
            </w:r>
          </w:p>
        </w:tc>
        <w:tc>
          <w:tcPr>
            <w:tcW w:w="2411" w:type="dxa"/>
            <w:tcBorders>
              <w:top w:val="single" w:color="000000" w:sz="4" w:space="0"/>
              <w:left w:val="single" w:color="000000" w:sz="4" w:space="0"/>
              <w:bottom w:val="single" w:color="000000" w:sz="4" w:space="0"/>
              <w:right w:val="single" w:color="000000" w:sz="4" w:space="0"/>
            </w:tcBorders>
            <w:noWrap/>
            <w:vAlign w:val="center"/>
          </w:tcPr>
          <w:p w14:paraId="27416F7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服务标准</w:t>
            </w:r>
          </w:p>
        </w:tc>
        <w:tc>
          <w:tcPr>
            <w:tcW w:w="1926" w:type="dxa"/>
            <w:tcBorders>
              <w:top w:val="single" w:color="000000" w:sz="4" w:space="0"/>
              <w:left w:val="single" w:color="000000" w:sz="4" w:space="0"/>
              <w:bottom w:val="single" w:color="000000" w:sz="4" w:space="0"/>
              <w:right w:val="single" w:color="000000" w:sz="4" w:space="0"/>
            </w:tcBorders>
            <w:noWrap/>
            <w:vAlign w:val="center"/>
          </w:tcPr>
          <w:p w14:paraId="145D472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权责边界</w:t>
            </w:r>
          </w:p>
        </w:tc>
      </w:tr>
      <w:tr w14:paraId="5C965246">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05771CD">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1594" w:type="dxa"/>
            <w:tcBorders>
              <w:top w:val="single" w:color="000000" w:sz="4" w:space="0"/>
              <w:left w:val="single" w:color="000000" w:sz="4" w:space="0"/>
              <w:bottom w:val="single" w:color="000000" w:sz="4" w:space="0"/>
              <w:right w:val="single" w:color="000000" w:sz="4" w:space="0"/>
            </w:tcBorders>
            <w:vAlign w:val="center"/>
          </w:tcPr>
          <w:p w14:paraId="15B5AC0D">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元旦</w:t>
            </w:r>
          </w:p>
        </w:tc>
        <w:tc>
          <w:tcPr>
            <w:tcW w:w="1556" w:type="dxa"/>
            <w:tcBorders>
              <w:top w:val="single" w:color="000000" w:sz="4" w:space="0"/>
              <w:left w:val="single" w:color="000000" w:sz="4" w:space="0"/>
              <w:bottom w:val="single" w:color="000000" w:sz="4" w:space="0"/>
              <w:right w:val="single" w:color="000000" w:sz="4" w:space="0"/>
            </w:tcBorders>
            <w:vAlign w:val="center"/>
          </w:tcPr>
          <w:p w14:paraId="75963BB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17</w:t>
            </w:r>
          </w:p>
        </w:tc>
        <w:tc>
          <w:tcPr>
            <w:tcW w:w="712" w:type="dxa"/>
            <w:tcBorders>
              <w:top w:val="single" w:color="000000" w:sz="4" w:space="0"/>
              <w:left w:val="single" w:color="000000" w:sz="4" w:space="0"/>
              <w:bottom w:val="single" w:color="000000" w:sz="4" w:space="0"/>
              <w:right w:val="single" w:color="000000" w:sz="4" w:space="0"/>
            </w:tcBorders>
            <w:vAlign w:val="center"/>
          </w:tcPr>
          <w:p w14:paraId="1F7F041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25" w:type="dxa"/>
            <w:tcBorders>
              <w:top w:val="single" w:color="000000" w:sz="4" w:space="0"/>
              <w:left w:val="single" w:color="000000" w:sz="4" w:space="0"/>
              <w:bottom w:val="single" w:color="000000" w:sz="4" w:space="0"/>
              <w:right w:val="single" w:color="000000" w:sz="4" w:space="0"/>
            </w:tcBorders>
            <w:vAlign w:val="center"/>
          </w:tcPr>
          <w:p w14:paraId="66CD1AB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51</w:t>
            </w:r>
          </w:p>
        </w:tc>
        <w:tc>
          <w:tcPr>
            <w:tcW w:w="2569" w:type="dxa"/>
            <w:vMerge w:val="restart"/>
            <w:tcBorders>
              <w:top w:val="single" w:color="000000" w:sz="4" w:space="0"/>
              <w:left w:val="single" w:color="000000" w:sz="4" w:space="0"/>
              <w:bottom w:val="single" w:color="000000" w:sz="4" w:space="0"/>
              <w:right w:val="single" w:color="000000" w:sz="4" w:space="0"/>
            </w:tcBorders>
            <w:vAlign w:val="center"/>
          </w:tcPr>
          <w:p w14:paraId="6586739C">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1. 景区重点区域秩序维护，游客疏导、人流管控，防止拥堵、踩踏风险；</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2. 出入口、</w:t>
            </w:r>
            <w:r>
              <w:rPr>
                <w:rFonts w:hint="eastAsia" w:ascii="宋体" w:hAnsi="宋体" w:cstheme="minorEastAsia"/>
                <w:color w:val="000000" w:themeColor="text1"/>
                <w:kern w:val="0"/>
                <w:sz w:val="24"/>
              </w:rPr>
              <w:t>非机动车停车秩序管理</w:t>
            </w:r>
            <w:r>
              <w:rPr>
                <w:rFonts w:hint="eastAsia" w:ascii="宋体" w:hAnsi="宋体" w:cs="宋体"/>
                <w:color w:val="000000" w:themeColor="text1"/>
                <w:kern w:val="0"/>
                <w:sz w:val="24"/>
              </w:rPr>
              <w:t>、机动车通行引导，劝阻违规停放、翻越护栏、违规进入管控区域行为；</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3. 现场安全巡查，发现火情、设施损坏、游客纠纷、安全隐患第一时间上报并先期处置；</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4. 突发事件、游客冲突、紧急情况的现场先期处置，配合公安、消防开展联动保障；</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5. 重大节假日、大型活动期间，根据采购人指令，机动增配安保力量，提供临时值守保障；</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6. 每日在园时间不低于12小时。</w:t>
            </w:r>
          </w:p>
        </w:tc>
        <w:tc>
          <w:tcPr>
            <w:tcW w:w="2522" w:type="dxa"/>
            <w:vMerge w:val="restart"/>
            <w:tcBorders>
              <w:top w:val="single" w:color="000000" w:sz="4" w:space="0"/>
              <w:left w:val="single" w:color="000000" w:sz="4" w:space="0"/>
              <w:bottom w:val="single" w:color="000000" w:sz="4" w:space="0"/>
              <w:right w:val="single" w:color="000000" w:sz="4" w:space="0"/>
            </w:tcBorders>
            <w:vAlign w:val="center"/>
          </w:tcPr>
          <w:p w14:paraId="720E0A0D">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项目预估最高需要40人同步在岗保障，服务按人·天计量。采购人根据客流、活动计划提前通知中标人上岗人数与执勤时段；最终结算以采购人验收合格的实际服务人·天为准。中标人必须具备在短时间内足额调集符合条件安保人员的能力。</w:t>
            </w:r>
          </w:p>
        </w:tc>
        <w:tc>
          <w:tcPr>
            <w:tcW w:w="2411" w:type="dxa"/>
            <w:vMerge w:val="restart"/>
            <w:tcBorders>
              <w:top w:val="single" w:color="000000" w:sz="4" w:space="0"/>
              <w:left w:val="single" w:color="000000" w:sz="4" w:space="0"/>
              <w:bottom w:val="single" w:color="000000" w:sz="4" w:space="0"/>
              <w:right w:val="single" w:color="000000" w:sz="4" w:space="0"/>
            </w:tcBorders>
            <w:vAlign w:val="center"/>
          </w:tcPr>
          <w:p w14:paraId="1FA48185">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1. 上岗安保人员须持有保安员证，无犯罪记录，身体健康，年龄符合安保从业规范；</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2. 上岗统一着装、佩戴标识，配备必要的防暴装备（由中标人自行提供）；</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3. 中标人须对所有安保人员岗前培训，熟悉景区管理规定、应急处置流程；</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4. 中标人为全部安保人员缴纳社保，承担用工、工伤、人身损害全部法律责任；</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5. 人员替换：如安保人员不合格，采购人有权提出更换，中标人须在规定时限内替换同等资质人员，不得影响服务。</w:t>
            </w:r>
          </w:p>
        </w:tc>
        <w:tc>
          <w:tcPr>
            <w:tcW w:w="1926" w:type="dxa"/>
            <w:vMerge w:val="restart"/>
            <w:tcBorders>
              <w:top w:val="single" w:color="000000" w:sz="4" w:space="0"/>
              <w:left w:val="single" w:color="000000" w:sz="4" w:space="0"/>
              <w:bottom w:val="single" w:color="000000" w:sz="4" w:space="0"/>
              <w:right w:val="single" w:color="000000" w:sz="4" w:space="0"/>
            </w:tcBorders>
            <w:vAlign w:val="center"/>
          </w:tcPr>
          <w:p w14:paraId="05099B45">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1. 本项目属于购买安保服务成果，不属于人员招聘、劳务派遣、岗位外包。中标人派驻现场人员为中标人单位员工，与采购人不存在劳动关系、劳务关系；</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2. 采购人仅提出服务任务目标，不直接对中标人员工进行人事管理、考勤、奖惩；现场工作指令仅针对服务事项，不直接管理人员；</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3. 所有用工纠纷、劳动仲裁、工伤事故、人身损害赔偿全部由中标人独立承担，与采购人无关。</w:t>
            </w:r>
          </w:p>
        </w:tc>
      </w:tr>
      <w:tr w14:paraId="3A65FBFF">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0DDF27B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1594" w:type="dxa"/>
            <w:tcBorders>
              <w:top w:val="single" w:color="000000" w:sz="4" w:space="0"/>
              <w:left w:val="single" w:color="000000" w:sz="4" w:space="0"/>
              <w:bottom w:val="single" w:color="000000" w:sz="4" w:space="0"/>
              <w:right w:val="single" w:color="000000" w:sz="4" w:space="0"/>
            </w:tcBorders>
            <w:vAlign w:val="center"/>
          </w:tcPr>
          <w:p w14:paraId="45035A9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春节</w:t>
            </w:r>
          </w:p>
        </w:tc>
        <w:tc>
          <w:tcPr>
            <w:tcW w:w="1556" w:type="dxa"/>
            <w:tcBorders>
              <w:top w:val="single" w:color="000000" w:sz="4" w:space="0"/>
              <w:left w:val="single" w:color="000000" w:sz="4" w:space="0"/>
              <w:bottom w:val="single" w:color="000000" w:sz="4" w:space="0"/>
              <w:right w:val="single" w:color="000000" w:sz="4" w:space="0"/>
            </w:tcBorders>
            <w:vAlign w:val="center"/>
          </w:tcPr>
          <w:p w14:paraId="2CB82FA6">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25</w:t>
            </w:r>
          </w:p>
        </w:tc>
        <w:tc>
          <w:tcPr>
            <w:tcW w:w="712" w:type="dxa"/>
            <w:tcBorders>
              <w:top w:val="single" w:color="000000" w:sz="4" w:space="0"/>
              <w:left w:val="single" w:color="000000" w:sz="4" w:space="0"/>
              <w:bottom w:val="single" w:color="000000" w:sz="4" w:space="0"/>
              <w:right w:val="single" w:color="000000" w:sz="4" w:space="0"/>
            </w:tcBorders>
            <w:vAlign w:val="center"/>
          </w:tcPr>
          <w:p w14:paraId="3108BB6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825" w:type="dxa"/>
            <w:tcBorders>
              <w:top w:val="single" w:color="000000" w:sz="4" w:space="0"/>
              <w:left w:val="single" w:color="000000" w:sz="4" w:space="0"/>
              <w:bottom w:val="single" w:color="000000" w:sz="4" w:space="0"/>
              <w:right w:val="single" w:color="000000" w:sz="4" w:space="0"/>
            </w:tcBorders>
            <w:vAlign w:val="center"/>
          </w:tcPr>
          <w:p w14:paraId="370994C4">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175</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059CE7D7">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6F76E544">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3F464A74">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06A31B96">
            <w:pPr>
              <w:snapToGrid w:val="0"/>
              <w:jc w:val="left"/>
              <w:rPr>
                <w:rFonts w:hint="eastAsia" w:ascii="宋体" w:hAnsi="宋体" w:cs="宋体"/>
                <w:color w:val="000000" w:themeColor="text1"/>
                <w:sz w:val="24"/>
              </w:rPr>
            </w:pPr>
          </w:p>
        </w:tc>
      </w:tr>
      <w:tr w14:paraId="1850AFC8">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75812972">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1594" w:type="dxa"/>
            <w:tcBorders>
              <w:top w:val="single" w:color="000000" w:sz="4" w:space="0"/>
              <w:left w:val="single" w:color="000000" w:sz="4" w:space="0"/>
              <w:bottom w:val="single" w:color="000000" w:sz="4" w:space="0"/>
              <w:right w:val="single" w:color="000000" w:sz="4" w:space="0"/>
            </w:tcBorders>
            <w:vAlign w:val="center"/>
          </w:tcPr>
          <w:p w14:paraId="771FE30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清明</w:t>
            </w:r>
          </w:p>
        </w:tc>
        <w:tc>
          <w:tcPr>
            <w:tcW w:w="1556" w:type="dxa"/>
            <w:tcBorders>
              <w:top w:val="single" w:color="000000" w:sz="4" w:space="0"/>
              <w:left w:val="single" w:color="000000" w:sz="4" w:space="0"/>
              <w:bottom w:val="single" w:color="000000" w:sz="4" w:space="0"/>
              <w:right w:val="single" w:color="000000" w:sz="4" w:space="0"/>
            </w:tcBorders>
            <w:vAlign w:val="center"/>
          </w:tcPr>
          <w:p w14:paraId="1D54D9C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17</w:t>
            </w:r>
          </w:p>
        </w:tc>
        <w:tc>
          <w:tcPr>
            <w:tcW w:w="712" w:type="dxa"/>
            <w:tcBorders>
              <w:top w:val="single" w:color="000000" w:sz="4" w:space="0"/>
              <w:left w:val="single" w:color="000000" w:sz="4" w:space="0"/>
              <w:bottom w:val="single" w:color="000000" w:sz="4" w:space="0"/>
              <w:right w:val="single" w:color="000000" w:sz="4" w:space="0"/>
            </w:tcBorders>
            <w:vAlign w:val="center"/>
          </w:tcPr>
          <w:p w14:paraId="5B34AD7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25" w:type="dxa"/>
            <w:tcBorders>
              <w:top w:val="single" w:color="000000" w:sz="4" w:space="0"/>
              <w:left w:val="single" w:color="000000" w:sz="4" w:space="0"/>
              <w:bottom w:val="single" w:color="000000" w:sz="4" w:space="0"/>
              <w:right w:val="single" w:color="000000" w:sz="4" w:space="0"/>
            </w:tcBorders>
            <w:vAlign w:val="center"/>
          </w:tcPr>
          <w:p w14:paraId="0EEEC0B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51</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7862E458">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04DEFDF5">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79C14863">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0702FA80">
            <w:pPr>
              <w:snapToGrid w:val="0"/>
              <w:jc w:val="left"/>
              <w:rPr>
                <w:rFonts w:hint="eastAsia" w:ascii="宋体" w:hAnsi="宋体" w:cs="宋体"/>
                <w:color w:val="000000" w:themeColor="text1"/>
                <w:sz w:val="24"/>
              </w:rPr>
            </w:pPr>
          </w:p>
        </w:tc>
      </w:tr>
      <w:tr w14:paraId="7D09A0C4">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A7456B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1594" w:type="dxa"/>
            <w:tcBorders>
              <w:top w:val="single" w:color="000000" w:sz="4" w:space="0"/>
              <w:left w:val="single" w:color="000000" w:sz="4" w:space="0"/>
              <w:bottom w:val="single" w:color="000000" w:sz="4" w:space="0"/>
              <w:right w:val="single" w:color="000000" w:sz="4" w:space="0"/>
            </w:tcBorders>
            <w:vAlign w:val="center"/>
          </w:tcPr>
          <w:p w14:paraId="0C30444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五一</w:t>
            </w:r>
          </w:p>
        </w:tc>
        <w:tc>
          <w:tcPr>
            <w:tcW w:w="1556" w:type="dxa"/>
            <w:tcBorders>
              <w:top w:val="single" w:color="000000" w:sz="4" w:space="0"/>
              <w:left w:val="single" w:color="000000" w:sz="4" w:space="0"/>
              <w:bottom w:val="single" w:color="000000" w:sz="4" w:space="0"/>
              <w:right w:val="single" w:color="000000" w:sz="4" w:space="0"/>
            </w:tcBorders>
            <w:vAlign w:val="center"/>
          </w:tcPr>
          <w:p w14:paraId="32B8842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22</w:t>
            </w:r>
          </w:p>
        </w:tc>
        <w:tc>
          <w:tcPr>
            <w:tcW w:w="712" w:type="dxa"/>
            <w:tcBorders>
              <w:top w:val="single" w:color="000000" w:sz="4" w:space="0"/>
              <w:left w:val="single" w:color="000000" w:sz="4" w:space="0"/>
              <w:bottom w:val="single" w:color="000000" w:sz="4" w:space="0"/>
              <w:right w:val="single" w:color="000000" w:sz="4" w:space="0"/>
            </w:tcBorders>
            <w:vAlign w:val="center"/>
          </w:tcPr>
          <w:p w14:paraId="6BB1B722">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825" w:type="dxa"/>
            <w:tcBorders>
              <w:top w:val="single" w:color="000000" w:sz="4" w:space="0"/>
              <w:left w:val="single" w:color="000000" w:sz="4" w:space="0"/>
              <w:bottom w:val="single" w:color="000000" w:sz="4" w:space="0"/>
              <w:right w:val="single" w:color="000000" w:sz="4" w:space="0"/>
            </w:tcBorders>
            <w:vAlign w:val="center"/>
          </w:tcPr>
          <w:p w14:paraId="1BCB88B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110</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6A47B328">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5BB102F6">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30CB73C1">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08248B88">
            <w:pPr>
              <w:snapToGrid w:val="0"/>
              <w:jc w:val="left"/>
              <w:rPr>
                <w:rFonts w:hint="eastAsia" w:ascii="宋体" w:hAnsi="宋体" w:cs="宋体"/>
                <w:color w:val="000000" w:themeColor="text1"/>
                <w:sz w:val="24"/>
              </w:rPr>
            </w:pPr>
          </w:p>
        </w:tc>
      </w:tr>
      <w:tr w14:paraId="3585988A">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7569808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1594" w:type="dxa"/>
            <w:tcBorders>
              <w:top w:val="single" w:color="000000" w:sz="4" w:space="0"/>
              <w:left w:val="single" w:color="000000" w:sz="4" w:space="0"/>
              <w:bottom w:val="single" w:color="000000" w:sz="4" w:space="0"/>
              <w:right w:val="single" w:color="000000" w:sz="4" w:space="0"/>
            </w:tcBorders>
            <w:vAlign w:val="center"/>
          </w:tcPr>
          <w:p w14:paraId="6B74A8A9">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端午</w:t>
            </w:r>
          </w:p>
        </w:tc>
        <w:tc>
          <w:tcPr>
            <w:tcW w:w="1556" w:type="dxa"/>
            <w:tcBorders>
              <w:top w:val="single" w:color="000000" w:sz="4" w:space="0"/>
              <w:left w:val="single" w:color="000000" w:sz="4" w:space="0"/>
              <w:bottom w:val="single" w:color="000000" w:sz="4" w:space="0"/>
              <w:right w:val="single" w:color="000000" w:sz="4" w:space="0"/>
            </w:tcBorders>
            <w:vAlign w:val="center"/>
          </w:tcPr>
          <w:p w14:paraId="757751B4">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17</w:t>
            </w:r>
          </w:p>
        </w:tc>
        <w:tc>
          <w:tcPr>
            <w:tcW w:w="712" w:type="dxa"/>
            <w:tcBorders>
              <w:top w:val="single" w:color="000000" w:sz="4" w:space="0"/>
              <w:left w:val="single" w:color="000000" w:sz="4" w:space="0"/>
              <w:bottom w:val="single" w:color="000000" w:sz="4" w:space="0"/>
              <w:right w:val="single" w:color="000000" w:sz="4" w:space="0"/>
            </w:tcBorders>
            <w:vAlign w:val="center"/>
          </w:tcPr>
          <w:p w14:paraId="7D865F6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25" w:type="dxa"/>
            <w:tcBorders>
              <w:top w:val="single" w:color="000000" w:sz="4" w:space="0"/>
              <w:left w:val="single" w:color="000000" w:sz="4" w:space="0"/>
              <w:bottom w:val="single" w:color="000000" w:sz="4" w:space="0"/>
              <w:right w:val="single" w:color="000000" w:sz="4" w:space="0"/>
            </w:tcBorders>
            <w:vAlign w:val="center"/>
          </w:tcPr>
          <w:p w14:paraId="2706B362">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51</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471C7CA9">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2AE732DE">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02972F77">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7D04A046">
            <w:pPr>
              <w:snapToGrid w:val="0"/>
              <w:jc w:val="left"/>
              <w:rPr>
                <w:rFonts w:hint="eastAsia" w:ascii="宋体" w:hAnsi="宋体" w:cs="宋体"/>
                <w:color w:val="000000" w:themeColor="text1"/>
                <w:sz w:val="24"/>
              </w:rPr>
            </w:pPr>
          </w:p>
        </w:tc>
      </w:tr>
      <w:tr w14:paraId="2DFD3102">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139C152">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6</w:t>
            </w:r>
          </w:p>
        </w:tc>
        <w:tc>
          <w:tcPr>
            <w:tcW w:w="1594" w:type="dxa"/>
            <w:tcBorders>
              <w:top w:val="single" w:color="000000" w:sz="4" w:space="0"/>
              <w:left w:val="single" w:color="000000" w:sz="4" w:space="0"/>
              <w:bottom w:val="single" w:color="000000" w:sz="4" w:space="0"/>
              <w:right w:val="single" w:color="000000" w:sz="4" w:space="0"/>
            </w:tcBorders>
            <w:vAlign w:val="center"/>
          </w:tcPr>
          <w:p w14:paraId="7FBA42C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中秋</w:t>
            </w:r>
          </w:p>
        </w:tc>
        <w:tc>
          <w:tcPr>
            <w:tcW w:w="1556" w:type="dxa"/>
            <w:tcBorders>
              <w:top w:val="single" w:color="000000" w:sz="4" w:space="0"/>
              <w:left w:val="single" w:color="000000" w:sz="4" w:space="0"/>
              <w:bottom w:val="single" w:color="000000" w:sz="4" w:space="0"/>
              <w:right w:val="single" w:color="000000" w:sz="4" w:space="0"/>
            </w:tcBorders>
            <w:vAlign w:val="center"/>
          </w:tcPr>
          <w:p w14:paraId="27A18E69">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17</w:t>
            </w:r>
          </w:p>
        </w:tc>
        <w:tc>
          <w:tcPr>
            <w:tcW w:w="712" w:type="dxa"/>
            <w:tcBorders>
              <w:top w:val="single" w:color="000000" w:sz="4" w:space="0"/>
              <w:left w:val="single" w:color="000000" w:sz="4" w:space="0"/>
              <w:bottom w:val="single" w:color="000000" w:sz="4" w:space="0"/>
              <w:right w:val="single" w:color="000000" w:sz="4" w:space="0"/>
            </w:tcBorders>
            <w:vAlign w:val="center"/>
          </w:tcPr>
          <w:p w14:paraId="7BE1272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25" w:type="dxa"/>
            <w:tcBorders>
              <w:top w:val="single" w:color="000000" w:sz="4" w:space="0"/>
              <w:left w:val="single" w:color="000000" w:sz="4" w:space="0"/>
              <w:bottom w:val="single" w:color="000000" w:sz="4" w:space="0"/>
              <w:right w:val="single" w:color="000000" w:sz="4" w:space="0"/>
            </w:tcBorders>
            <w:vAlign w:val="center"/>
          </w:tcPr>
          <w:p w14:paraId="07A93C8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51</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0282A8E2">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6995AA49">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2DB2979A">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376EBAB3">
            <w:pPr>
              <w:snapToGrid w:val="0"/>
              <w:jc w:val="left"/>
              <w:rPr>
                <w:rFonts w:hint="eastAsia" w:ascii="宋体" w:hAnsi="宋体" w:cs="宋体"/>
                <w:color w:val="000000" w:themeColor="text1"/>
                <w:sz w:val="24"/>
              </w:rPr>
            </w:pPr>
          </w:p>
        </w:tc>
      </w:tr>
      <w:tr w14:paraId="7FA7C893">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54DD43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1594" w:type="dxa"/>
            <w:tcBorders>
              <w:top w:val="single" w:color="000000" w:sz="4" w:space="0"/>
              <w:left w:val="single" w:color="000000" w:sz="4" w:space="0"/>
              <w:bottom w:val="single" w:color="000000" w:sz="4" w:space="0"/>
              <w:right w:val="single" w:color="000000" w:sz="4" w:space="0"/>
            </w:tcBorders>
            <w:vAlign w:val="center"/>
          </w:tcPr>
          <w:p w14:paraId="75D4496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国庆</w:t>
            </w:r>
          </w:p>
        </w:tc>
        <w:tc>
          <w:tcPr>
            <w:tcW w:w="1556" w:type="dxa"/>
            <w:tcBorders>
              <w:top w:val="single" w:color="000000" w:sz="4" w:space="0"/>
              <w:left w:val="single" w:color="000000" w:sz="4" w:space="0"/>
              <w:bottom w:val="single" w:color="000000" w:sz="4" w:space="0"/>
              <w:right w:val="single" w:color="000000" w:sz="4" w:space="0"/>
            </w:tcBorders>
            <w:vAlign w:val="center"/>
          </w:tcPr>
          <w:p w14:paraId="6C10F06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25</w:t>
            </w:r>
          </w:p>
        </w:tc>
        <w:tc>
          <w:tcPr>
            <w:tcW w:w="712" w:type="dxa"/>
            <w:tcBorders>
              <w:top w:val="single" w:color="000000" w:sz="4" w:space="0"/>
              <w:left w:val="single" w:color="000000" w:sz="4" w:space="0"/>
              <w:bottom w:val="single" w:color="000000" w:sz="4" w:space="0"/>
              <w:right w:val="single" w:color="000000" w:sz="4" w:space="0"/>
            </w:tcBorders>
            <w:vAlign w:val="center"/>
          </w:tcPr>
          <w:p w14:paraId="60E450C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825" w:type="dxa"/>
            <w:tcBorders>
              <w:top w:val="single" w:color="000000" w:sz="4" w:space="0"/>
              <w:left w:val="single" w:color="000000" w:sz="4" w:space="0"/>
              <w:bottom w:val="single" w:color="000000" w:sz="4" w:space="0"/>
              <w:right w:val="single" w:color="000000" w:sz="4" w:space="0"/>
            </w:tcBorders>
            <w:vAlign w:val="center"/>
          </w:tcPr>
          <w:p w14:paraId="31FAB6C9">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175</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7A42F91C">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765B9AEF">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3353B517">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2D570D59">
            <w:pPr>
              <w:snapToGrid w:val="0"/>
              <w:jc w:val="left"/>
              <w:rPr>
                <w:rFonts w:hint="eastAsia" w:ascii="宋体" w:hAnsi="宋体" w:cs="宋体"/>
                <w:color w:val="000000" w:themeColor="text1"/>
                <w:sz w:val="24"/>
              </w:rPr>
            </w:pPr>
          </w:p>
        </w:tc>
      </w:tr>
      <w:tr w14:paraId="18D2CEAB">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2C6A6E9">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8</w:t>
            </w:r>
          </w:p>
        </w:tc>
        <w:tc>
          <w:tcPr>
            <w:tcW w:w="1594" w:type="dxa"/>
            <w:tcBorders>
              <w:top w:val="single" w:color="000000" w:sz="4" w:space="0"/>
              <w:left w:val="single" w:color="000000" w:sz="4" w:space="0"/>
              <w:bottom w:val="single" w:color="000000" w:sz="4" w:space="0"/>
              <w:right w:val="single" w:color="000000" w:sz="4" w:space="0"/>
            </w:tcBorders>
            <w:vAlign w:val="center"/>
          </w:tcPr>
          <w:p w14:paraId="79FE2E0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秋景</w:t>
            </w:r>
          </w:p>
        </w:tc>
        <w:tc>
          <w:tcPr>
            <w:tcW w:w="1556" w:type="dxa"/>
            <w:tcBorders>
              <w:top w:val="single" w:color="000000" w:sz="4" w:space="0"/>
              <w:left w:val="single" w:color="000000" w:sz="4" w:space="0"/>
              <w:bottom w:val="single" w:color="000000" w:sz="4" w:space="0"/>
              <w:right w:val="single" w:color="000000" w:sz="4" w:space="0"/>
            </w:tcBorders>
            <w:noWrap/>
            <w:vAlign w:val="center"/>
          </w:tcPr>
          <w:p w14:paraId="2739C12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6DB2D42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30</w:t>
            </w:r>
          </w:p>
        </w:tc>
        <w:tc>
          <w:tcPr>
            <w:tcW w:w="825" w:type="dxa"/>
            <w:tcBorders>
              <w:top w:val="single" w:color="000000" w:sz="4" w:space="0"/>
              <w:left w:val="single" w:color="000000" w:sz="4" w:space="0"/>
              <w:bottom w:val="single" w:color="000000" w:sz="4" w:space="0"/>
              <w:right w:val="single" w:color="000000" w:sz="4" w:space="0"/>
            </w:tcBorders>
            <w:vAlign w:val="center"/>
          </w:tcPr>
          <w:p w14:paraId="0081826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150</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0373B5A8">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090CAF86">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46B65D36">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5D22BDA8">
            <w:pPr>
              <w:snapToGrid w:val="0"/>
              <w:jc w:val="left"/>
              <w:rPr>
                <w:rFonts w:hint="eastAsia" w:ascii="宋体" w:hAnsi="宋体" w:cs="宋体"/>
                <w:color w:val="000000" w:themeColor="text1"/>
                <w:sz w:val="24"/>
              </w:rPr>
            </w:pPr>
          </w:p>
        </w:tc>
      </w:tr>
      <w:tr w14:paraId="4B37102F">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A4F3A8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w:t>
            </w: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7C854706">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春季梅花值守</w:t>
            </w:r>
          </w:p>
        </w:tc>
        <w:tc>
          <w:tcPr>
            <w:tcW w:w="1556" w:type="dxa"/>
            <w:tcBorders>
              <w:top w:val="single" w:color="000000" w:sz="4" w:space="0"/>
              <w:left w:val="single" w:color="000000" w:sz="4" w:space="0"/>
              <w:bottom w:val="single" w:color="000000" w:sz="4" w:space="0"/>
              <w:right w:val="single" w:color="000000" w:sz="4" w:space="0"/>
            </w:tcBorders>
            <w:noWrap/>
            <w:vAlign w:val="center"/>
          </w:tcPr>
          <w:p w14:paraId="2002A64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15</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20B2617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30</w:t>
            </w:r>
          </w:p>
        </w:tc>
        <w:tc>
          <w:tcPr>
            <w:tcW w:w="825" w:type="dxa"/>
            <w:tcBorders>
              <w:top w:val="single" w:color="000000" w:sz="4" w:space="0"/>
              <w:left w:val="single" w:color="000000" w:sz="4" w:space="0"/>
              <w:bottom w:val="single" w:color="000000" w:sz="4" w:space="0"/>
              <w:right w:val="single" w:color="000000" w:sz="4" w:space="0"/>
            </w:tcBorders>
            <w:vAlign w:val="center"/>
          </w:tcPr>
          <w:p w14:paraId="7652D4D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450</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62BD4E65">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13755B60">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183F2DD2">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4ACD90C1">
            <w:pPr>
              <w:snapToGrid w:val="0"/>
              <w:jc w:val="left"/>
              <w:rPr>
                <w:rFonts w:hint="eastAsia" w:ascii="宋体" w:hAnsi="宋体" w:cs="宋体"/>
                <w:color w:val="000000" w:themeColor="text1"/>
                <w:sz w:val="24"/>
              </w:rPr>
            </w:pPr>
          </w:p>
        </w:tc>
      </w:tr>
      <w:tr w14:paraId="2A85E22F">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1A74AD46">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10</w:t>
            </w: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092813E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重大活动</w:t>
            </w:r>
          </w:p>
        </w:tc>
        <w:tc>
          <w:tcPr>
            <w:tcW w:w="1556" w:type="dxa"/>
            <w:tcBorders>
              <w:top w:val="single" w:color="000000" w:sz="4" w:space="0"/>
              <w:left w:val="single" w:color="000000" w:sz="4" w:space="0"/>
              <w:bottom w:val="single" w:color="000000" w:sz="4" w:space="0"/>
              <w:right w:val="single" w:color="000000" w:sz="4" w:space="0"/>
            </w:tcBorders>
            <w:noWrap/>
            <w:vAlign w:val="center"/>
          </w:tcPr>
          <w:p w14:paraId="618F29C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4C419F7D">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23</w:t>
            </w:r>
          </w:p>
        </w:tc>
        <w:tc>
          <w:tcPr>
            <w:tcW w:w="825" w:type="dxa"/>
            <w:tcBorders>
              <w:top w:val="single" w:color="000000" w:sz="4" w:space="0"/>
              <w:left w:val="single" w:color="000000" w:sz="4" w:space="0"/>
              <w:bottom w:val="single" w:color="000000" w:sz="4" w:space="0"/>
              <w:right w:val="single" w:color="000000" w:sz="4" w:space="0"/>
            </w:tcBorders>
            <w:vAlign w:val="center"/>
          </w:tcPr>
          <w:p w14:paraId="0C90581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69</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1890A12F">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7F844357">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10185473">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106C6C5D">
            <w:pPr>
              <w:snapToGrid w:val="0"/>
              <w:jc w:val="left"/>
              <w:rPr>
                <w:rFonts w:hint="eastAsia" w:ascii="宋体" w:hAnsi="宋体" w:cs="宋体"/>
                <w:color w:val="000000" w:themeColor="text1"/>
                <w:sz w:val="24"/>
              </w:rPr>
            </w:pPr>
          </w:p>
        </w:tc>
      </w:tr>
      <w:tr w14:paraId="4E18C54C">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vAlign w:val="center"/>
          </w:tcPr>
          <w:p w14:paraId="6D42F9F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11</w:t>
            </w:r>
          </w:p>
        </w:tc>
        <w:tc>
          <w:tcPr>
            <w:tcW w:w="1594" w:type="dxa"/>
            <w:tcBorders>
              <w:top w:val="single" w:color="000000" w:sz="4" w:space="0"/>
              <w:left w:val="single" w:color="000000" w:sz="4" w:space="0"/>
              <w:bottom w:val="single" w:color="000000" w:sz="4" w:space="0"/>
              <w:right w:val="single" w:color="000000" w:sz="4" w:space="0"/>
            </w:tcBorders>
            <w:noWrap/>
            <w:vAlign w:val="center"/>
          </w:tcPr>
          <w:p w14:paraId="3D7C713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节假日机动岗位</w:t>
            </w:r>
          </w:p>
        </w:tc>
        <w:tc>
          <w:tcPr>
            <w:tcW w:w="1556" w:type="dxa"/>
            <w:tcBorders>
              <w:top w:val="single" w:color="000000" w:sz="4" w:space="0"/>
              <w:left w:val="single" w:color="000000" w:sz="4" w:space="0"/>
              <w:bottom w:val="single" w:color="000000" w:sz="4" w:space="0"/>
              <w:right w:val="single" w:color="000000" w:sz="4" w:space="0"/>
            </w:tcBorders>
            <w:noWrap/>
            <w:vAlign w:val="center"/>
          </w:tcPr>
          <w:p w14:paraId="6A1027D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08D458C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31</w:t>
            </w:r>
          </w:p>
        </w:tc>
        <w:tc>
          <w:tcPr>
            <w:tcW w:w="825" w:type="dxa"/>
            <w:tcBorders>
              <w:top w:val="single" w:color="000000" w:sz="4" w:space="0"/>
              <w:left w:val="single" w:color="000000" w:sz="4" w:space="0"/>
              <w:bottom w:val="single" w:color="000000" w:sz="4" w:space="0"/>
              <w:right w:val="single" w:color="000000" w:sz="4" w:space="0"/>
            </w:tcBorders>
            <w:vAlign w:val="center"/>
          </w:tcPr>
          <w:p w14:paraId="555F0B62">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217</w:t>
            </w:r>
          </w:p>
        </w:tc>
        <w:tc>
          <w:tcPr>
            <w:tcW w:w="2569" w:type="dxa"/>
            <w:vMerge w:val="continue"/>
            <w:tcBorders>
              <w:top w:val="single" w:color="000000" w:sz="4" w:space="0"/>
              <w:left w:val="single" w:color="000000" w:sz="4" w:space="0"/>
              <w:bottom w:val="single" w:color="000000" w:sz="4" w:space="0"/>
              <w:right w:val="single" w:color="000000" w:sz="4" w:space="0"/>
            </w:tcBorders>
            <w:vAlign w:val="center"/>
          </w:tcPr>
          <w:p w14:paraId="3A448BD0">
            <w:pPr>
              <w:snapToGrid w:val="0"/>
              <w:jc w:val="left"/>
              <w:rPr>
                <w:rFonts w:hint="eastAsia" w:ascii="宋体" w:hAnsi="宋体" w:cs="宋体"/>
                <w:color w:val="000000" w:themeColor="text1"/>
                <w:sz w:val="24"/>
              </w:rPr>
            </w:pPr>
          </w:p>
        </w:tc>
        <w:tc>
          <w:tcPr>
            <w:tcW w:w="2522" w:type="dxa"/>
            <w:vMerge w:val="continue"/>
            <w:tcBorders>
              <w:top w:val="single" w:color="000000" w:sz="4" w:space="0"/>
              <w:left w:val="single" w:color="000000" w:sz="4" w:space="0"/>
              <w:bottom w:val="single" w:color="000000" w:sz="4" w:space="0"/>
              <w:right w:val="single" w:color="000000" w:sz="4" w:space="0"/>
            </w:tcBorders>
            <w:vAlign w:val="center"/>
          </w:tcPr>
          <w:p w14:paraId="72B482E6">
            <w:pPr>
              <w:snapToGrid w:val="0"/>
              <w:jc w:val="left"/>
              <w:rPr>
                <w:rFonts w:hint="eastAsia" w:ascii="宋体" w:hAnsi="宋体" w:cs="宋体"/>
                <w:color w:val="000000" w:themeColor="text1"/>
                <w:sz w:val="24"/>
              </w:rPr>
            </w:pPr>
          </w:p>
        </w:tc>
        <w:tc>
          <w:tcPr>
            <w:tcW w:w="2411" w:type="dxa"/>
            <w:vMerge w:val="continue"/>
            <w:tcBorders>
              <w:top w:val="single" w:color="000000" w:sz="4" w:space="0"/>
              <w:left w:val="single" w:color="000000" w:sz="4" w:space="0"/>
              <w:bottom w:val="single" w:color="000000" w:sz="4" w:space="0"/>
              <w:right w:val="single" w:color="000000" w:sz="4" w:space="0"/>
            </w:tcBorders>
            <w:vAlign w:val="center"/>
          </w:tcPr>
          <w:p w14:paraId="120EB7AE">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59A94715">
            <w:pPr>
              <w:snapToGrid w:val="0"/>
              <w:jc w:val="left"/>
              <w:rPr>
                <w:rFonts w:hint="eastAsia" w:ascii="宋体" w:hAnsi="宋体" w:cs="宋体"/>
                <w:color w:val="000000" w:themeColor="text1"/>
                <w:sz w:val="24"/>
              </w:rPr>
            </w:pPr>
          </w:p>
        </w:tc>
      </w:tr>
      <w:tr w14:paraId="1480834F">
        <w:tblPrEx>
          <w:tblCellMar>
            <w:top w:w="0" w:type="dxa"/>
            <w:left w:w="108" w:type="dxa"/>
            <w:bottom w:w="0" w:type="dxa"/>
            <w:right w:w="108" w:type="dxa"/>
          </w:tblCellMar>
        </w:tblPrEx>
        <w:trPr>
          <w:jc w:val="center"/>
        </w:trPr>
        <w:tc>
          <w:tcPr>
            <w:tcW w:w="2232" w:type="dxa"/>
            <w:gridSpan w:val="2"/>
            <w:tcBorders>
              <w:top w:val="single" w:color="000000" w:sz="4" w:space="0"/>
              <w:left w:val="single" w:color="000000" w:sz="4" w:space="0"/>
              <w:bottom w:val="single" w:color="000000" w:sz="4" w:space="0"/>
              <w:right w:val="single" w:color="000000" w:sz="4" w:space="0"/>
            </w:tcBorders>
            <w:vAlign w:val="center"/>
          </w:tcPr>
          <w:p w14:paraId="2755D831">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合计</w:t>
            </w:r>
          </w:p>
        </w:tc>
        <w:tc>
          <w:tcPr>
            <w:tcW w:w="1556" w:type="dxa"/>
            <w:tcBorders>
              <w:top w:val="single" w:color="000000" w:sz="4" w:space="0"/>
              <w:left w:val="single" w:color="000000" w:sz="4" w:space="0"/>
              <w:bottom w:val="single" w:color="000000" w:sz="4" w:space="0"/>
              <w:right w:val="single" w:color="000000" w:sz="4" w:space="0"/>
            </w:tcBorders>
            <w:noWrap/>
            <w:vAlign w:val="center"/>
          </w:tcPr>
          <w:p w14:paraId="235392A4">
            <w:pPr>
              <w:snapToGrid w:val="0"/>
              <w:jc w:val="center"/>
              <w:rPr>
                <w:rFonts w:hint="eastAsia" w:ascii="宋体" w:hAnsi="宋体" w:cs="宋体"/>
                <w:b/>
                <w:color w:val="000000" w:themeColor="text1"/>
                <w:sz w:val="24"/>
              </w:rPr>
            </w:pP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582D51F4">
            <w:pPr>
              <w:snapToGrid w:val="0"/>
              <w:jc w:val="center"/>
              <w:rPr>
                <w:rFonts w:hint="eastAsia" w:ascii="宋体" w:hAnsi="宋体" w:cs="宋体"/>
                <w:b/>
                <w:color w:val="000000" w:themeColor="text1"/>
                <w:sz w:val="24"/>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5DADD634">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1550</w:t>
            </w:r>
          </w:p>
        </w:tc>
        <w:tc>
          <w:tcPr>
            <w:tcW w:w="9428" w:type="dxa"/>
            <w:gridSpan w:val="4"/>
            <w:tcBorders>
              <w:top w:val="single" w:color="000000" w:sz="4" w:space="0"/>
              <w:left w:val="single" w:color="000000" w:sz="4" w:space="0"/>
              <w:bottom w:val="single" w:color="000000" w:sz="4" w:space="0"/>
              <w:right w:val="single" w:color="000000" w:sz="4" w:space="0"/>
            </w:tcBorders>
            <w:vAlign w:val="center"/>
          </w:tcPr>
          <w:p w14:paraId="70FF7D8D">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服务范围为景区出入口、停车场、游览步道等公共区域。服务内容由中标人全权承接，中标人自主负责人员招募、培训、管理、排班、装备配置</w:t>
            </w:r>
            <w:r>
              <w:rPr>
                <w:rFonts w:hint="eastAsia" w:ascii="宋体" w:hAnsi="宋体" w:cs="微软雅黑"/>
                <w:b/>
                <w:color w:val="000000" w:themeColor="text1"/>
                <w:kern w:val="0"/>
                <w:sz w:val="24"/>
              </w:rPr>
              <w:t>、</w:t>
            </w:r>
            <w:r>
              <w:rPr>
                <w:rFonts w:ascii="宋体" w:hAnsi="宋体" w:cs="微软雅黑"/>
                <w:b/>
                <w:color w:val="000000" w:themeColor="text1"/>
                <w:kern w:val="0"/>
                <w:sz w:val="24"/>
              </w:rPr>
              <w:t>餐费自理</w:t>
            </w:r>
            <w:r>
              <w:rPr>
                <w:rFonts w:hint="eastAsia" w:ascii="宋体" w:hAnsi="宋体" w:cs="宋体"/>
                <w:b/>
                <w:color w:val="000000" w:themeColor="text1"/>
                <w:kern w:val="0"/>
                <w:sz w:val="24"/>
              </w:rPr>
              <w:t>、人员劳动关系、薪酬社保、安全责任，采购人仅对安保服务成果进行验收，不直接管理中标人工作人员。</w:t>
            </w:r>
          </w:p>
        </w:tc>
      </w:tr>
      <w:tr w14:paraId="512569D8">
        <w:tblPrEx>
          <w:tblCellMar>
            <w:top w:w="0" w:type="dxa"/>
            <w:left w:w="108" w:type="dxa"/>
            <w:bottom w:w="0" w:type="dxa"/>
            <w:right w:w="108" w:type="dxa"/>
          </w:tblCellMar>
        </w:tblPrEx>
        <w:trPr>
          <w:jc w:val="center"/>
        </w:trPr>
        <w:tc>
          <w:tcPr>
            <w:tcW w:w="14753" w:type="dxa"/>
            <w:gridSpan w:val="9"/>
            <w:tcBorders>
              <w:top w:val="single" w:color="000000" w:sz="4" w:space="0"/>
              <w:left w:val="single" w:color="000000" w:sz="4" w:space="0"/>
              <w:bottom w:val="single" w:color="000000" w:sz="4" w:space="0"/>
              <w:right w:val="single" w:color="000000" w:sz="4" w:space="0"/>
            </w:tcBorders>
            <w:vAlign w:val="center"/>
          </w:tcPr>
          <w:p w14:paraId="213A358F">
            <w:pPr>
              <w:widowControl/>
              <w:snapToGrid w:val="0"/>
              <w:jc w:val="center"/>
              <w:textAlignment w:val="center"/>
              <w:rPr>
                <w:rFonts w:hint="eastAsia" w:ascii="宋体" w:hAnsi="宋体" w:cs="宋体"/>
                <w:b/>
                <w:color w:val="000000" w:themeColor="text1"/>
                <w:kern w:val="0"/>
                <w:sz w:val="24"/>
              </w:rPr>
            </w:pPr>
            <w:r>
              <w:rPr>
                <w:rFonts w:hint="eastAsia" w:ascii="宋体" w:hAnsi="宋体" w:cs="微软雅黑"/>
                <w:b/>
                <w:color w:val="000000" w:themeColor="text1"/>
                <w:kern w:val="0"/>
                <w:sz w:val="24"/>
              </w:rPr>
              <w:t>服务期：2027.1.1-2027.11.30</w:t>
            </w:r>
          </w:p>
        </w:tc>
      </w:tr>
    </w:tbl>
    <w:p w14:paraId="235A5478">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tbl>
      <w:tblPr>
        <w:tblStyle w:val="45"/>
        <w:tblW w:w="14752" w:type="dxa"/>
        <w:jc w:val="center"/>
        <w:tblLayout w:type="fixed"/>
        <w:tblCellMar>
          <w:top w:w="0" w:type="dxa"/>
          <w:left w:w="108" w:type="dxa"/>
          <w:bottom w:w="0" w:type="dxa"/>
          <w:right w:w="108" w:type="dxa"/>
        </w:tblCellMar>
      </w:tblPr>
      <w:tblGrid>
        <w:gridCol w:w="656"/>
        <w:gridCol w:w="1478"/>
        <w:gridCol w:w="1653"/>
        <w:gridCol w:w="712"/>
        <w:gridCol w:w="807"/>
        <w:gridCol w:w="2568"/>
        <w:gridCol w:w="2377"/>
        <w:gridCol w:w="2575"/>
        <w:gridCol w:w="1926"/>
      </w:tblGrid>
      <w:tr w14:paraId="232753CE">
        <w:tblPrEx>
          <w:tblCellMar>
            <w:top w:w="0" w:type="dxa"/>
            <w:left w:w="108" w:type="dxa"/>
            <w:bottom w:w="0" w:type="dxa"/>
            <w:right w:w="108" w:type="dxa"/>
          </w:tblCellMar>
        </w:tblPrEx>
        <w:trPr>
          <w:tblHeader/>
          <w:jc w:val="center"/>
        </w:trPr>
        <w:tc>
          <w:tcPr>
            <w:tcW w:w="14752" w:type="dxa"/>
            <w:gridSpan w:val="9"/>
            <w:tcBorders>
              <w:top w:val="single" w:color="000000" w:sz="4" w:space="0"/>
              <w:left w:val="single" w:color="000000" w:sz="4" w:space="0"/>
              <w:bottom w:val="single" w:color="000000" w:sz="4" w:space="0"/>
              <w:right w:val="single" w:color="000000" w:sz="4" w:space="0"/>
            </w:tcBorders>
            <w:noWrap/>
            <w:vAlign w:val="center"/>
          </w:tcPr>
          <w:p w14:paraId="5B6740A1">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包6：</w:t>
            </w:r>
            <w:r>
              <w:rPr>
                <w:rFonts w:ascii="宋体" w:hAnsi="宋体" w:cs="宋体"/>
                <w:b/>
                <w:bCs/>
                <w:color w:val="000000" w:themeColor="text1"/>
                <w:kern w:val="0"/>
                <w:sz w:val="24"/>
              </w:rPr>
              <w:t>节假日及重大活动安保服务(陵园路以东）</w:t>
            </w:r>
          </w:p>
        </w:tc>
      </w:tr>
      <w:tr w14:paraId="422A2987">
        <w:tblPrEx>
          <w:tblCellMar>
            <w:top w:w="0" w:type="dxa"/>
            <w:left w:w="108" w:type="dxa"/>
            <w:bottom w:w="0" w:type="dxa"/>
            <w:right w:w="108" w:type="dxa"/>
          </w:tblCellMar>
        </w:tblPrEx>
        <w:trPr>
          <w:tblHeade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36C6CE38">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序号</w:t>
            </w:r>
          </w:p>
        </w:tc>
        <w:tc>
          <w:tcPr>
            <w:tcW w:w="1478" w:type="dxa"/>
            <w:tcBorders>
              <w:top w:val="single" w:color="000000" w:sz="4" w:space="0"/>
              <w:left w:val="single" w:color="000000" w:sz="4" w:space="0"/>
              <w:bottom w:val="single" w:color="000000" w:sz="4" w:space="0"/>
              <w:right w:val="single" w:color="000000" w:sz="4" w:space="0"/>
            </w:tcBorders>
            <w:vAlign w:val="center"/>
          </w:tcPr>
          <w:p w14:paraId="03E1FFA8">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项目名称</w:t>
            </w:r>
          </w:p>
        </w:tc>
        <w:tc>
          <w:tcPr>
            <w:tcW w:w="1653" w:type="dxa"/>
            <w:tcBorders>
              <w:top w:val="single" w:color="000000" w:sz="4" w:space="0"/>
              <w:left w:val="single" w:color="000000" w:sz="4" w:space="0"/>
              <w:bottom w:val="single" w:color="000000" w:sz="4" w:space="0"/>
              <w:right w:val="single" w:color="000000" w:sz="4" w:space="0"/>
            </w:tcBorders>
            <w:noWrap/>
            <w:vAlign w:val="center"/>
          </w:tcPr>
          <w:p w14:paraId="1019842F">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计划拟每日服务投入人力</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3DF0C2BC">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预计天数</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586B80F5">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合计</w:t>
            </w:r>
          </w:p>
        </w:tc>
        <w:tc>
          <w:tcPr>
            <w:tcW w:w="2568" w:type="dxa"/>
            <w:tcBorders>
              <w:top w:val="single" w:color="000000" w:sz="4" w:space="0"/>
              <w:left w:val="single" w:color="000000" w:sz="4" w:space="0"/>
              <w:bottom w:val="single" w:color="000000" w:sz="4" w:space="0"/>
              <w:right w:val="single" w:color="000000" w:sz="4" w:space="0"/>
            </w:tcBorders>
            <w:vAlign w:val="center"/>
          </w:tcPr>
          <w:p w14:paraId="2F3F2EF7">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服务内容</w:t>
            </w:r>
          </w:p>
        </w:tc>
        <w:tc>
          <w:tcPr>
            <w:tcW w:w="2377" w:type="dxa"/>
            <w:tcBorders>
              <w:top w:val="single" w:color="000000" w:sz="4" w:space="0"/>
              <w:left w:val="single" w:color="000000" w:sz="4" w:space="0"/>
              <w:bottom w:val="single" w:color="000000" w:sz="4" w:space="0"/>
              <w:right w:val="single" w:color="000000" w:sz="4" w:space="0"/>
            </w:tcBorders>
            <w:noWrap/>
            <w:vAlign w:val="center"/>
          </w:tcPr>
          <w:p w14:paraId="25F98C2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预估服务规模</w:t>
            </w:r>
          </w:p>
        </w:tc>
        <w:tc>
          <w:tcPr>
            <w:tcW w:w="2575" w:type="dxa"/>
            <w:tcBorders>
              <w:top w:val="single" w:color="000000" w:sz="4" w:space="0"/>
              <w:left w:val="single" w:color="000000" w:sz="4" w:space="0"/>
              <w:bottom w:val="single" w:color="000000" w:sz="4" w:space="0"/>
              <w:right w:val="single" w:color="000000" w:sz="4" w:space="0"/>
            </w:tcBorders>
            <w:noWrap/>
            <w:vAlign w:val="center"/>
          </w:tcPr>
          <w:p w14:paraId="7182868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服务标准</w:t>
            </w:r>
          </w:p>
        </w:tc>
        <w:tc>
          <w:tcPr>
            <w:tcW w:w="1926" w:type="dxa"/>
            <w:tcBorders>
              <w:top w:val="single" w:color="000000" w:sz="4" w:space="0"/>
              <w:left w:val="single" w:color="000000" w:sz="4" w:space="0"/>
              <w:bottom w:val="single" w:color="000000" w:sz="4" w:space="0"/>
              <w:right w:val="single" w:color="000000" w:sz="4" w:space="0"/>
            </w:tcBorders>
            <w:noWrap/>
            <w:vAlign w:val="center"/>
          </w:tcPr>
          <w:p w14:paraId="376F415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权责边界</w:t>
            </w:r>
          </w:p>
        </w:tc>
      </w:tr>
      <w:tr w14:paraId="7902E09E">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6687FD1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1478" w:type="dxa"/>
            <w:tcBorders>
              <w:top w:val="single" w:color="000000" w:sz="4" w:space="0"/>
              <w:left w:val="single" w:color="000000" w:sz="4" w:space="0"/>
              <w:bottom w:val="single" w:color="000000" w:sz="4" w:space="0"/>
              <w:right w:val="single" w:color="000000" w:sz="4" w:space="0"/>
            </w:tcBorders>
            <w:vAlign w:val="center"/>
          </w:tcPr>
          <w:p w14:paraId="0A05BF37">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元旦</w:t>
            </w:r>
          </w:p>
        </w:tc>
        <w:tc>
          <w:tcPr>
            <w:tcW w:w="1653" w:type="dxa"/>
            <w:tcBorders>
              <w:top w:val="single" w:color="000000" w:sz="4" w:space="0"/>
              <w:left w:val="single" w:color="000000" w:sz="4" w:space="0"/>
              <w:bottom w:val="single" w:color="000000" w:sz="4" w:space="0"/>
              <w:right w:val="single" w:color="000000" w:sz="4" w:space="0"/>
            </w:tcBorders>
            <w:vAlign w:val="center"/>
          </w:tcPr>
          <w:p w14:paraId="1985629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30</w:t>
            </w:r>
          </w:p>
        </w:tc>
        <w:tc>
          <w:tcPr>
            <w:tcW w:w="712" w:type="dxa"/>
            <w:tcBorders>
              <w:top w:val="single" w:color="000000" w:sz="4" w:space="0"/>
              <w:left w:val="single" w:color="000000" w:sz="4" w:space="0"/>
              <w:bottom w:val="single" w:color="000000" w:sz="4" w:space="0"/>
              <w:right w:val="single" w:color="000000" w:sz="4" w:space="0"/>
            </w:tcBorders>
            <w:vAlign w:val="center"/>
          </w:tcPr>
          <w:p w14:paraId="2D2525B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14:paraId="05256B14">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90</w:t>
            </w:r>
          </w:p>
        </w:tc>
        <w:tc>
          <w:tcPr>
            <w:tcW w:w="2568" w:type="dxa"/>
            <w:vMerge w:val="restart"/>
            <w:tcBorders>
              <w:top w:val="single" w:color="000000" w:sz="4" w:space="0"/>
              <w:left w:val="single" w:color="000000" w:sz="4" w:space="0"/>
              <w:bottom w:val="single" w:color="000000" w:sz="4" w:space="0"/>
              <w:right w:val="single" w:color="000000" w:sz="4" w:space="0"/>
            </w:tcBorders>
            <w:vAlign w:val="center"/>
          </w:tcPr>
          <w:p w14:paraId="07898036">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1. 景区重点区域秩序维护，游客疏导、人流管控，防止拥堵、踩踏风险；</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2. 出入口、</w:t>
            </w:r>
            <w:r>
              <w:rPr>
                <w:rFonts w:hint="eastAsia" w:ascii="宋体" w:hAnsi="宋体" w:cstheme="minorEastAsia"/>
                <w:color w:val="000000" w:themeColor="text1"/>
                <w:kern w:val="0"/>
                <w:sz w:val="24"/>
              </w:rPr>
              <w:t>非机动车停车秩序管理</w:t>
            </w:r>
            <w:r>
              <w:rPr>
                <w:rFonts w:hint="eastAsia" w:ascii="宋体" w:hAnsi="宋体" w:cs="宋体"/>
                <w:color w:val="000000" w:themeColor="text1"/>
                <w:kern w:val="0"/>
                <w:sz w:val="24"/>
              </w:rPr>
              <w:t>、机动车通行引导，劝阻违规停放、翻越护栏、违规进入管控区域行为；</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3. 现场安全巡查，发现火情、设施损坏、游客纠纷、安全隐患第一时间上报并先期处置；</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4. 突发事件、游客冲突、紧急情况的现场先期处置，配合公安、消防开展联动保障；</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5. 重大节假日、大型活动期间，根据采购人指令，机动增配安保力量，提供临时值守保障；</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6. 每日在园时间不低于12小时。</w:t>
            </w:r>
          </w:p>
        </w:tc>
        <w:tc>
          <w:tcPr>
            <w:tcW w:w="2377" w:type="dxa"/>
            <w:vMerge w:val="restart"/>
            <w:tcBorders>
              <w:top w:val="single" w:color="000000" w:sz="4" w:space="0"/>
              <w:left w:val="single" w:color="000000" w:sz="4" w:space="0"/>
              <w:bottom w:val="single" w:color="000000" w:sz="4" w:space="0"/>
              <w:right w:val="single" w:color="000000" w:sz="4" w:space="0"/>
            </w:tcBorders>
            <w:vAlign w:val="center"/>
          </w:tcPr>
          <w:p w14:paraId="410855F5">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项目预估最高需要40人同步在岗保障，服务按人·天计量。采购人根据客流、活动计划提前通知中标人上岗人数与执勤时段；最终结算以采购人验收合格的实际服务人·天为准。中标人必须具备在短时间内足额调集符合条件安保人员的能力。</w:t>
            </w:r>
          </w:p>
        </w:tc>
        <w:tc>
          <w:tcPr>
            <w:tcW w:w="2575" w:type="dxa"/>
            <w:vMerge w:val="restart"/>
            <w:tcBorders>
              <w:top w:val="single" w:color="000000" w:sz="4" w:space="0"/>
              <w:left w:val="single" w:color="000000" w:sz="4" w:space="0"/>
              <w:bottom w:val="single" w:color="000000" w:sz="4" w:space="0"/>
              <w:right w:val="single" w:color="000000" w:sz="4" w:space="0"/>
            </w:tcBorders>
            <w:vAlign w:val="center"/>
          </w:tcPr>
          <w:p w14:paraId="77D676A3">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1. 上岗安保人员须持有保安员证，无犯罪记录，身体健康，年龄符合安保从业规范；</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2. 上岗统一着装、佩戴标识，配备必要的防暴装备（由中标人自行提供）；</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3. 中标人须对所有安保人员岗前培训，熟悉景区管理规定、应急处置流程；</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4. 中标人为全部安保人员缴纳社保，承担用工、工伤、人身损害全部法律责任；</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5. 人员替换：如安保人员不合格，采购人有权提出更换，中标人须在规定时限内替换同等资质人员，不得影响服务。</w:t>
            </w:r>
          </w:p>
        </w:tc>
        <w:tc>
          <w:tcPr>
            <w:tcW w:w="1926" w:type="dxa"/>
            <w:vMerge w:val="restart"/>
            <w:tcBorders>
              <w:top w:val="single" w:color="000000" w:sz="4" w:space="0"/>
              <w:left w:val="single" w:color="000000" w:sz="4" w:space="0"/>
              <w:bottom w:val="single" w:color="000000" w:sz="4" w:space="0"/>
              <w:right w:val="single" w:color="000000" w:sz="4" w:space="0"/>
            </w:tcBorders>
            <w:vAlign w:val="center"/>
          </w:tcPr>
          <w:p w14:paraId="799234DC">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1. 本项目属于购买安保服务成果，不属于人员招聘、劳务派遣、岗位外包。中标人派驻现场人员为中标人单位员工，与采购人不存在劳动关系、劳务关系；</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2. 采购人仅提出服务任务目标，不直接对中标人员工进行人事管理、考勤、奖惩；现场工作指令仅针对服务事项，不直接管理人员；</w:t>
            </w:r>
            <w:r>
              <w:rPr>
                <w:rFonts w:hint="eastAsia" w:ascii="宋体" w:hAnsi="宋体" w:cs="宋体"/>
                <w:color w:val="000000" w:themeColor="text1"/>
                <w:kern w:val="0"/>
                <w:sz w:val="24"/>
              </w:rPr>
              <w:br w:type="textWrapping"/>
            </w:r>
            <w:r>
              <w:rPr>
                <w:rFonts w:hint="eastAsia" w:ascii="宋体" w:hAnsi="宋体" w:cs="宋体"/>
                <w:color w:val="000000" w:themeColor="text1"/>
                <w:kern w:val="0"/>
                <w:sz w:val="24"/>
              </w:rPr>
              <w:t>3. 所有用工纠纷、劳动仲裁、工伤事故、人身损害赔偿全部由中标人独立承担，与采购人无关。</w:t>
            </w:r>
          </w:p>
        </w:tc>
      </w:tr>
      <w:tr w14:paraId="00132F88">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7E70019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1478" w:type="dxa"/>
            <w:tcBorders>
              <w:top w:val="single" w:color="000000" w:sz="4" w:space="0"/>
              <w:left w:val="single" w:color="000000" w:sz="4" w:space="0"/>
              <w:bottom w:val="single" w:color="000000" w:sz="4" w:space="0"/>
              <w:right w:val="single" w:color="000000" w:sz="4" w:space="0"/>
            </w:tcBorders>
            <w:vAlign w:val="center"/>
          </w:tcPr>
          <w:p w14:paraId="29FAB363">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春节</w:t>
            </w:r>
          </w:p>
        </w:tc>
        <w:tc>
          <w:tcPr>
            <w:tcW w:w="1653" w:type="dxa"/>
            <w:tcBorders>
              <w:top w:val="single" w:color="000000" w:sz="4" w:space="0"/>
              <w:left w:val="single" w:color="000000" w:sz="4" w:space="0"/>
              <w:bottom w:val="single" w:color="000000" w:sz="4" w:space="0"/>
              <w:right w:val="single" w:color="000000" w:sz="4" w:space="0"/>
            </w:tcBorders>
            <w:vAlign w:val="center"/>
          </w:tcPr>
          <w:p w14:paraId="11C09E3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38</w:t>
            </w:r>
          </w:p>
        </w:tc>
        <w:tc>
          <w:tcPr>
            <w:tcW w:w="712" w:type="dxa"/>
            <w:tcBorders>
              <w:top w:val="single" w:color="000000" w:sz="4" w:space="0"/>
              <w:left w:val="single" w:color="000000" w:sz="4" w:space="0"/>
              <w:bottom w:val="single" w:color="000000" w:sz="4" w:space="0"/>
              <w:right w:val="single" w:color="000000" w:sz="4" w:space="0"/>
            </w:tcBorders>
            <w:vAlign w:val="center"/>
          </w:tcPr>
          <w:p w14:paraId="2582F8E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807" w:type="dxa"/>
            <w:tcBorders>
              <w:top w:val="single" w:color="000000" w:sz="4" w:space="0"/>
              <w:left w:val="single" w:color="000000" w:sz="4" w:space="0"/>
              <w:bottom w:val="single" w:color="000000" w:sz="4" w:space="0"/>
              <w:right w:val="single" w:color="000000" w:sz="4" w:space="0"/>
            </w:tcBorders>
            <w:vAlign w:val="center"/>
          </w:tcPr>
          <w:p w14:paraId="2C947E7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266</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57C4FB1D">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3AE27DD9">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1E02C068">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6A9C0FB3">
            <w:pPr>
              <w:snapToGrid w:val="0"/>
              <w:jc w:val="left"/>
              <w:rPr>
                <w:rFonts w:hint="eastAsia" w:ascii="宋体" w:hAnsi="宋体" w:cs="宋体"/>
                <w:color w:val="000000" w:themeColor="text1"/>
                <w:sz w:val="24"/>
              </w:rPr>
            </w:pPr>
          </w:p>
        </w:tc>
      </w:tr>
      <w:tr w14:paraId="1DBB0B08">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7B131E4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1478" w:type="dxa"/>
            <w:tcBorders>
              <w:top w:val="single" w:color="000000" w:sz="4" w:space="0"/>
              <w:left w:val="single" w:color="000000" w:sz="4" w:space="0"/>
              <w:bottom w:val="single" w:color="000000" w:sz="4" w:space="0"/>
              <w:right w:val="single" w:color="000000" w:sz="4" w:space="0"/>
            </w:tcBorders>
            <w:vAlign w:val="center"/>
          </w:tcPr>
          <w:p w14:paraId="277DEB55">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清明</w:t>
            </w:r>
          </w:p>
        </w:tc>
        <w:tc>
          <w:tcPr>
            <w:tcW w:w="1653" w:type="dxa"/>
            <w:tcBorders>
              <w:top w:val="single" w:color="000000" w:sz="4" w:space="0"/>
              <w:left w:val="single" w:color="000000" w:sz="4" w:space="0"/>
              <w:bottom w:val="single" w:color="000000" w:sz="4" w:space="0"/>
              <w:right w:val="single" w:color="000000" w:sz="4" w:space="0"/>
            </w:tcBorders>
            <w:vAlign w:val="center"/>
          </w:tcPr>
          <w:p w14:paraId="24B9D31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30</w:t>
            </w:r>
          </w:p>
        </w:tc>
        <w:tc>
          <w:tcPr>
            <w:tcW w:w="712" w:type="dxa"/>
            <w:tcBorders>
              <w:top w:val="single" w:color="000000" w:sz="4" w:space="0"/>
              <w:left w:val="single" w:color="000000" w:sz="4" w:space="0"/>
              <w:bottom w:val="single" w:color="000000" w:sz="4" w:space="0"/>
              <w:right w:val="single" w:color="000000" w:sz="4" w:space="0"/>
            </w:tcBorders>
            <w:vAlign w:val="center"/>
          </w:tcPr>
          <w:p w14:paraId="07E4614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14:paraId="5F7438D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90</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08B60A85">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4ABE4571">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007AD194">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02C6BFDC">
            <w:pPr>
              <w:snapToGrid w:val="0"/>
              <w:jc w:val="left"/>
              <w:rPr>
                <w:rFonts w:hint="eastAsia" w:ascii="宋体" w:hAnsi="宋体" w:cs="宋体"/>
                <w:color w:val="000000" w:themeColor="text1"/>
                <w:sz w:val="24"/>
              </w:rPr>
            </w:pPr>
          </w:p>
        </w:tc>
      </w:tr>
      <w:tr w14:paraId="5CA707E4">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2BA2E20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1478" w:type="dxa"/>
            <w:tcBorders>
              <w:top w:val="single" w:color="000000" w:sz="4" w:space="0"/>
              <w:left w:val="single" w:color="000000" w:sz="4" w:space="0"/>
              <w:bottom w:val="single" w:color="000000" w:sz="4" w:space="0"/>
              <w:right w:val="single" w:color="000000" w:sz="4" w:space="0"/>
            </w:tcBorders>
            <w:vAlign w:val="center"/>
          </w:tcPr>
          <w:p w14:paraId="22C6B107">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五一</w:t>
            </w:r>
          </w:p>
        </w:tc>
        <w:tc>
          <w:tcPr>
            <w:tcW w:w="1653" w:type="dxa"/>
            <w:tcBorders>
              <w:top w:val="single" w:color="000000" w:sz="4" w:space="0"/>
              <w:left w:val="single" w:color="000000" w:sz="4" w:space="0"/>
              <w:bottom w:val="single" w:color="000000" w:sz="4" w:space="0"/>
              <w:right w:val="single" w:color="000000" w:sz="4" w:space="0"/>
            </w:tcBorders>
            <w:vAlign w:val="center"/>
          </w:tcPr>
          <w:p w14:paraId="3B82206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33</w:t>
            </w:r>
          </w:p>
        </w:tc>
        <w:tc>
          <w:tcPr>
            <w:tcW w:w="712" w:type="dxa"/>
            <w:tcBorders>
              <w:top w:val="single" w:color="000000" w:sz="4" w:space="0"/>
              <w:left w:val="single" w:color="000000" w:sz="4" w:space="0"/>
              <w:bottom w:val="single" w:color="000000" w:sz="4" w:space="0"/>
              <w:right w:val="single" w:color="000000" w:sz="4" w:space="0"/>
            </w:tcBorders>
            <w:vAlign w:val="center"/>
          </w:tcPr>
          <w:p w14:paraId="0A21591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807" w:type="dxa"/>
            <w:tcBorders>
              <w:top w:val="single" w:color="000000" w:sz="4" w:space="0"/>
              <w:left w:val="single" w:color="000000" w:sz="4" w:space="0"/>
              <w:bottom w:val="single" w:color="000000" w:sz="4" w:space="0"/>
              <w:right w:val="single" w:color="000000" w:sz="4" w:space="0"/>
            </w:tcBorders>
            <w:vAlign w:val="center"/>
          </w:tcPr>
          <w:p w14:paraId="3C62639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165</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2592D10D">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0C6AA09D">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71A0660C">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3177D159">
            <w:pPr>
              <w:snapToGrid w:val="0"/>
              <w:jc w:val="left"/>
              <w:rPr>
                <w:rFonts w:hint="eastAsia" w:ascii="宋体" w:hAnsi="宋体" w:cs="宋体"/>
                <w:color w:val="000000" w:themeColor="text1"/>
                <w:sz w:val="24"/>
              </w:rPr>
            </w:pPr>
          </w:p>
        </w:tc>
      </w:tr>
      <w:tr w14:paraId="78ED2988">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0EE6976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1478" w:type="dxa"/>
            <w:tcBorders>
              <w:top w:val="single" w:color="000000" w:sz="4" w:space="0"/>
              <w:left w:val="single" w:color="000000" w:sz="4" w:space="0"/>
              <w:bottom w:val="single" w:color="000000" w:sz="4" w:space="0"/>
              <w:right w:val="single" w:color="000000" w:sz="4" w:space="0"/>
            </w:tcBorders>
            <w:vAlign w:val="center"/>
          </w:tcPr>
          <w:p w14:paraId="3F4A7779">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端午</w:t>
            </w:r>
          </w:p>
        </w:tc>
        <w:tc>
          <w:tcPr>
            <w:tcW w:w="1653" w:type="dxa"/>
            <w:tcBorders>
              <w:top w:val="single" w:color="000000" w:sz="4" w:space="0"/>
              <w:left w:val="single" w:color="000000" w:sz="4" w:space="0"/>
              <w:bottom w:val="single" w:color="000000" w:sz="4" w:space="0"/>
              <w:right w:val="single" w:color="000000" w:sz="4" w:space="0"/>
            </w:tcBorders>
            <w:vAlign w:val="center"/>
          </w:tcPr>
          <w:p w14:paraId="26D633E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30</w:t>
            </w:r>
          </w:p>
        </w:tc>
        <w:tc>
          <w:tcPr>
            <w:tcW w:w="712" w:type="dxa"/>
            <w:tcBorders>
              <w:top w:val="single" w:color="000000" w:sz="4" w:space="0"/>
              <w:left w:val="single" w:color="000000" w:sz="4" w:space="0"/>
              <w:bottom w:val="single" w:color="000000" w:sz="4" w:space="0"/>
              <w:right w:val="single" w:color="000000" w:sz="4" w:space="0"/>
            </w:tcBorders>
            <w:vAlign w:val="center"/>
          </w:tcPr>
          <w:p w14:paraId="0290E6D4">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14:paraId="0BF40D50">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90</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2CAF75AE">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624266D9">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28706AD6">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7BBF675C">
            <w:pPr>
              <w:snapToGrid w:val="0"/>
              <w:jc w:val="left"/>
              <w:rPr>
                <w:rFonts w:hint="eastAsia" w:ascii="宋体" w:hAnsi="宋体" w:cs="宋体"/>
                <w:color w:val="000000" w:themeColor="text1"/>
                <w:sz w:val="24"/>
              </w:rPr>
            </w:pPr>
          </w:p>
        </w:tc>
      </w:tr>
      <w:tr w14:paraId="506AFDD3">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3D5F430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6</w:t>
            </w:r>
          </w:p>
        </w:tc>
        <w:tc>
          <w:tcPr>
            <w:tcW w:w="1478" w:type="dxa"/>
            <w:tcBorders>
              <w:top w:val="single" w:color="000000" w:sz="4" w:space="0"/>
              <w:left w:val="single" w:color="000000" w:sz="4" w:space="0"/>
              <w:bottom w:val="single" w:color="000000" w:sz="4" w:space="0"/>
              <w:right w:val="single" w:color="000000" w:sz="4" w:space="0"/>
            </w:tcBorders>
            <w:vAlign w:val="center"/>
          </w:tcPr>
          <w:p w14:paraId="0A9AA6A1">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中秋</w:t>
            </w:r>
          </w:p>
        </w:tc>
        <w:tc>
          <w:tcPr>
            <w:tcW w:w="1653" w:type="dxa"/>
            <w:tcBorders>
              <w:top w:val="single" w:color="000000" w:sz="4" w:space="0"/>
              <w:left w:val="single" w:color="000000" w:sz="4" w:space="0"/>
              <w:bottom w:val="single" w:color="000000" w:sz="4" w:space="0"/>
              <w:right w:val="single" w:color="000000" w:sz="4" w:space="0"/>
            </w:tcBorders>
            <w:vAlign w:val="center"/>
          </w:tcPr>
          <w:p w14:paraId="69F72E7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30</w:t>
            </w:r>
          </w:p>
        </w:tc>
        <w:tc>
          <w:tcPr>
            <w:tcW w:w="712" w:type="dxa"/>
            <w:tcBorders>
              <w:top w:val="single" w:color="000000" w:sz="4" w:space="0"/>
              <w:left w:val="single" w:color="000000" w:sz="4" w:space="0"/>
              <w:bottom w:val="single" w:color="000000" w:sz="4" w:space="0"/>
              <w:right w:val="single" w:color="000000" w:sz="4" w:space="0"/>
            </w:tcBorders>
            <w:vAlign w:val="center"/>
          </w:tcPr>
          <w:p w14:paraId="4ABEDCC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807" w:type="dxa"/>
            <w:tcBorders>
              <w:top w:val="single" w:color="000000" w:sz="4" w:space="0"/>
              <w:left w:val="single" w:color="000000" w:sz="4" w:space="0"/>
              <w:bottom w:val="single" w:color="000000" w:sz="4" w:space="0"/>
              <w:right w:val="single" w:color="000000" w:sz="4" w:space="0"/>
            </w:tcBorders>
            <w:vAlign w:val="center"/>
          </w:tcPr>
          <w:p w14:paraId="1729A68D">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90</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33E72F4A">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470DE8F9">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7BAF700B">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146A632A">
            <w:pPr>
              <w:snapToGrid w:val="0"/>
              <w:jc w:val="left"/>
              <w:rPr>
                <w:rFonts w:hint="eastAsia" w:ascii="宋体" w:hAnsi="宋体" w:cs="宋体"/>
                <w:color w:val="000000" w:themeColor="text1"/>
                <w:sz w:val="24"/>
              </w:rPr>
            </w:pPr>
          </w:p>
        </w:tc>
      </w:tr>
      <w:tr w14:paraId="350D159C">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3398710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1478" w:type="dxa"/>
            <w:tcBorders>
              <w:top w:val="single" w:color="000000" w:sz="4" w:space="0"/>
              <w:left w:val="single" w:color="000000" w:sz="4" w:space="0"/>
              <w:bottom w:val="single" w:color="000000" w:sz="4" w:space="0"/>
              <w:right w:val="single" w:color="000000" w:sz="4" w:space="0"/>
            </w:tcBorders>
            <w:vAlign w:val="center"/>
          </w:tcPr>
          <w:p w14:paraId="7A33F5AC">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国庆</w:t>
            </w:r>
          </w:p>
        </w:tc>
        <w:tc>
          <w:tcPr>
            <w:tcW w:w="1653" w:type="dxa"/>
            <w:tcBorders>
              <w:top w:val="single" w:color="000000" w:sz="4" w:space="0"/>
              <w:left w:val="single" w:color="000000" w:sz="4" w:space="0"/>
              <w:bottom w:val="single" w:color="000000" w:sz="4" w:space="0"/>
              <w:right w:val="single" w:color="000000" w:sz="4" w:space="0"/>
            </w:tcBorders>
            <w:vAlign w:val="center"/>
          </w:tcPr>
          <w:p w14:paraId="3664BE2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39</w:t>
            </w:r>
          </w:p>
        </w:tc>
        <w:tc>
          <w:tcPr>
            <w:tcW w:w="712" w:type="dxa"/>
            <w:tcBorders>
              <w:top w:val="single" w:color="000000" w:sz="4" w:space="0"/>
              <w:left w:val="single" w:color="000000" w:sz="4" w:space="0"/>
              <w:bottom w:val="single" w:color="000000" w:sz="4" w:space="0"/>
              <w:right w:val="single" w:color="000000" w:sz="4" w:space="0"/>
            </w:tcBorders>
            <w:vAlign w:val="center"/>
          </w:tcPr>
          <w:p w14:paraId="51E06D08">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807" w:type="dxa"/>
            <w:tcBorders>
              <w:top w:val="single" w:color="000000" w:sz="4" w:space="0"/>
              <w:left w:val="single" w:color="000000" w:sz="4" w:space="0"/>
              <w:bottom w:val="single" w:color="000000" w:sz="4" w:space="0"/>
              <w:right w:val="single" w:color="000000" w:sz="4" w:space="0"/>
            </w:tcBorders>
            <w:vAlign w:val="center"/>
          </w:tcPr>
          <w:p w14:paraId="29C3BDF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273</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555AD849">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19284D87">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3A32E1D3">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4D0E34D1">
            <w:pPr>
              <w:snapToGrid w:val="0"/>
              <w:jc w:val="left"/>
              <w:rPr>
                <w:rFonts w:hint="eastAsia" w:ascii="宋体" w:hAnsi="宋体" w:cs="宋体"/>
                <w:color w:val="000000" w:themeColor="text1"/>
                <w:sz w:val="24"/>
              </w:rPr>
            </w:pPr>
          </w:p>
        </w:tc>
      </w:tr>
      <w:tr w14:paraId="6EFAECB4">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5202D9C9">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8</w:t>
            </w:r>
          </w:p>
        </w:tc>
        <w:tc>
          <w:tcPr>
            <w:tcW w:w="1478" w:type="dxa"/>
            <w:tcBorders>
              <w:top w:val="single" w:color="000000" w:sz="4" w:space="0"/>
              <w:left w:val="single" w:color="000000" w:sz="4" w:space="0"/>
              <w:bottom w:val="single" w:color="000000" w:sz="4" w:space="0"/>
              <w:right w:val="single" w:color="000000" w:sz="4" w:space="0"/>
            </w:tcBorders>
            <w:vAlign w:val="center"/>
          </w:tcPr>
          <w:p w14:paraId="5269E53C">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森林音乐会</w:t>
            </w:r>
          </w:p>
        </w:tc>
        <w:tc>
          <w:tcPr>
            <w:tcW w:w="1653" w:type="dxa"/>
            <w:tcBorders>
              <w:top w:val="single" w:color="000000" w:sz="4" w:space="0"/>
              <w:left w:val="single" w:color="000000" w:sz="4" w:space="0"/>
              <w:bottom w:val="single" w:color="000000" w:sz="4" w:space="0"/>
              <w:right w:val="single" w:color="000000" w:sz="4" w:space="0"/>
            </w:tcBorders>
            <w:noWrap/>
            <w:vAlign w:val="center"/>
          </w:tcPr>
          <w:p w14:paraId="438C1A3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20</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70D7A87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807" w:type="dxa"/>
            <w:tcBorders>
              <w:top w:val="single" w:color="000000" w:sz="4" w:space="0"/>
              <w:left w:val="single" w:color="000000" w:sz="4" w:space="0"/>
              <w:bottom w:val="single" w:color="000000" w:sz="4" w:space="0"/>
              <w:right w:val="single" w:color="000000" w:sz="4" w:space="0"/>
            </w:tcBorders>
            <w:vAlign w:val="center"/>
          </w:tcPr>
          <w:p w14:paraId="1C67E02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100</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580F5E6F">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60A6A47C">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740112EB">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683FB475">
            <w:pPr>
              <w:snapToGrid w:val="0"/>
              <w:jc w:val="left"/>
              <w:rPr>
                <w:rFonts w:hint="eastAsia" w:ascii="宋体" w:hAnsi="宋体" w:cs="宋体"/>
                <w:color w:val="000000" w:themeColor="text1"/>
                <w:sz w:val="24"/>
              </w:rPr>
            </w:pPr>
          </w:p>
        </w:tc>
      </w:tr>
      <w:tr w14:paraId="2F6FFBAC">
        <w:tblPrEx>
          <w:tblCellMar>
            <w:top w:w="0" w:type="dxa"/>
            <w:left w:w="108" w:type="dxa"/>
            <w:bottom w:w="0" w:type="dxa"/>
            <w:right w:w="108" w:type="dxa"/>
          </w:tblCellMar>
        </w:tblPrEx>
        <w:trPr>
          <w:jc w:val="center"/>
        </w:trPr>
        <w:tc>
          <w:tcPr>
            <w:tcW w:w="656" w:type="dxa"/>
            <w:tcBorders>
              <w:top w:val="single" w:color="000000" w:sz="4" w:space="0"/>
              <w:left w:val="single" w:color="000000" w:sz="4" w:space="0"/>
              <w:bottom w:val="single" w:color="000000" w:sz="4" w:space="0"/>
              <w:right w:val="single" w:color="000000" w:sz="4" w:space="0"/>
            </w:tcBorders>
            <w:vAlign w:val="center"/>
          </w:tcPr>
          <w:p w14:paraId="2B57AD6D">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9</w:t>
            </w:r>
          </w:p>
        </w:tc>
        <w:tc>
          <w:tcPr>
            <w:tcW w:w="1478" w:type="dxa"/>
            <w:tcBorders>
              <w:top w:val="single" w:color="000000" w:sz="4" w:space="0"/>
              <w:left w:val="single" w:color="000000" w:sz="4" w:space="0"/>
              <w:bottom w:val="single" w:color="000000" w:sz="4" w:space="0"/>
              <w:right w:val="single" w:color="000000" w:sz="4" w:space="0"/>
            </w:tcBorders>
            <w:noWrap/>
            <w:vAlign w:val="center"/>
          </w:tcPr>
          <w:p w14:paraId="5DA50823">
            <w:pPr>
              <w:widowControl/>
              <w:snapToGrid w:val="0"/>
              <w:jc w:val="left"/>
              <w:textAlignment w:val="center"/>
              <w:rPr>
                <w:rFonts w:hint="eastAsia" w:ascii="宋体" w:hAnsi="宋体" w:cs="宋体"/>
                <w:color w:val="000000" w:themeColor="text1"/>
                <w:sz w:val="24"/>
              </w:rPr>
            </w:pPr>
            <w:r>
              <w:rPr>
                <w:rFonts w:hint="eastAsia" w:ascii="宋体" w:hAnsi="宋体" w:cs="宋体"/>
                <w:color w:val="000000" w:themeColor="text1"/>
                <w:kern w:val="0"/>
                <w:sz w:val="24"/>
              </w:rPr>
              <w:t>节假日机动岗位</w:t>
            </w:r>
          </w:p>
        </w:tc>
        <w:tc>
          <w:tcPr>
            <w:tcW w:w="1653" w:type="dxa"/>
            <w:tcBorders>
              <w:top w:val="single" w:color="000000" w:sz="4" w:space="0"/>
              <w:left w:val="single" w:color="000000" w:sz="4" w:space="0"/>
              <w:bottom w:val="single" w:color="000000" w:sz="4" w:space="0"/>
              <w:right w:val="single" w:color="000000" w:sz="4" w:space="0"/>
            </w:tcBorders>
            <w:noWrap/>
            <w:vAlign w:val="center"/>
          </w:tcPr>
          <w:p w14:paraId="1F3602E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6</w:t>
            </w: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7619353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31</w:t>
            </w:r>
          </w:p>
        </w:tc>
        <w:tc>
          <w:tcPr>
            <w:tcW w:w="807" w:type="dxa"/>
            <w:tcBorders>
              <w:top w:val="single" w:color="000000" w:sz="4" w:space="0"/>
              <w:left w:val="single" w:color="000000" w:sz="4" w:space="0"/>
              <w:bottom w:val="single" w:color="000000" w:sz="4" w:space="0"/>
              <w:right w:val="single" w:color="000000" w:sz="4" w:space="0"/>
            </w:tcBorders>
            <w:vAlign w:val="center"/>
          </w:tcPr>
          <w:p w14:paraId="401CA4F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186</w:t>
            </w:r>
          </w:p>
        </w:tc>
        <w:tc>
          <w:tcPr>
            <w:tcW w:w="2568" w:type="dxa"/>
            <w:vMerge w:val="continue"/>
            <w:tcBorders>
              <w:top w:val="single" w:color="000000" w:sz="4" w:space="0"/>
              <w:left w:val="single" w:color="000000" w:sz="4" w:space="0"/>
              <w:bottom w:val="single" w:color="000000" w:sz="4" w:space="0"/>
              <w:right w:val="single" w:color="000000" w:sz="4" w:space="0"/>
            </w:tcBorders>
            <w:vAlign w:val="center"/>
          </w:tcPr>
          <w:p w14:paraId="25F1E4A9">
            <w:pPr>
              <w:snapToGrid w:val="0"/>
              <w:jc w:val="left"/>
              <w:rPr>
                <w:rFonts w:hint="eastAsia" w:ascii="宋体" w:hAnsi="宋体" w:cs="宋体"/>
                <w:color w:val="000000" w:themeColor="text1"/>
                <w:sz w:val="24"/>
              </w:rPr>
            </w:pPr>
          </w:p>
        </w:tc>
        <w:tc>
          <w:tcPr>
            <w:tcW w:w="2377" w:type="dxa"/>
            <w:vMerge w:val="continue"/>
            <w:tcBorders>
              <w:top w:val="single" w:color="000000" w:sz="4" w:space="0"/>
              <w:left w:val="single" w:color="000000" w:sz="4" w:space="0"/>
              <w:bottom w:val="single" w:color="000000" w:sz="4" w:space="0"/>
              <w:right w:val="single" w:color="000000" w:sz="4" w:space="0"/>
            </w:tcBorders>
            <w:vAlign w:val="center"/>
          </w:tcPr>
          <w:p w14:paraId="4BDDF911">
            <w:pPr>
              <w:snapToGrid w:val="0"/>
              <w:jc w:val="left"/>
              <w:rPr>
                <w:rFonts w:hint="eastAsia" w:ascii="宋体" w:hAnsi="宋体" w:cs="宋体"/>
                <w:color w:val="000000" w:themeColor="text1"/>
                <w:sz w:val="24"/>
              </w:rPr>
            </w:pPr>
          </w:p>
        </w:tc>
        <w:tc>
          <w:tcPr>
            <w:tcW w:w="2575" w:type="dxa"/>
            <w:vMerge w:val="continue"/>
            <w:tcBorders>
              <w:top w:val="single" w:color="000000" w:sz="4" w:space="0"/>
              <w:left w:val="single" w:color="000000" w:sz="4" w:space="0"/>
              <w:bottom w:val="single" w:color="000000" w:sz="4" w:space="0"/>
              <w:right w:val="single" w:color="000000" w:sz="4" w:space="0"/>
            </w:tcBorders>
            <w:vAlign w:val="center"/>
          </w:tcPr>
          <w:p w14:paraId="1DA8DA91">
            <w:pPr>
              <w:snapToGrid w:val="0"/>
              <w:jc w:val="left"/>
              <w:rPr>
                <w:rFonts w:hint="eastAsia" w:ascii="宋体" w:hAnsi="宋体" w:cs="宋体"/>
                <w:color w:val="000000" w:themeColor="text1"/>
                <w:sz w:val="24"/>
              </w:rPr>
            </w:pPr>
          </w:p>
        </w:tc>
        <w:tc>
          <w:tcPr>
            <w:tcW w:w="1926" w:type="dxa"/>
            <w:vMerge w:val="continue"/>
            <w:tcBorders>
              <w:top w:val="single" w:color="000000" w:sz="4" w:space="0"/>
              <w:left w:val="single" w:color="000000" w:sz="4" w:space="0"/>
              <w:bottom w:val="single" w:color="000000" w:sz="4" w:space="0"/>
              <w:right w:val="single" w:color="000000" w:sz="4" w:space="0"/>
            </w:tcBorders>
            <w:vAlign w:val="center"/>
          </w:tcPr>
          <w:p w14:paraId="71D5BAE6">
            <w:pPr>
              <w:snapToGrid w:val="0"/>
              <w:jc w:val="left"/>
              <w:rPr>
                <w:rFonts w:hint="eastAsia" w:ascii="宋体" w:hAnsi="宋体" w:cs="宋体"/>
                <w:color w:val="000000" w:themeColor="text1"/>
                <w:sz w:val="24"/>
              </w:rPr>
            </w:pPr>
          </w:p>
        </w:tc>
      </w:tr>
      <w:tr w14:paraId="6B432234">
        <w:tblPrEx>
          <w:tblCellMar>
            <w:top w:w="0" w:type="dxa"/>
            <w:left w:w="108" w:type="dxa"/>
            <w:bottom w:w="0" w:type="dxa"/>
            <w:right w:w="108" w:type="dxa"/>
          </w:tblCellMar>
        </w:tblPrEx>
        <w:trPr>
          <w:jc w:val="center"/>
        </w:trPr>
        <w:tc>
          <w:tcPr>
            <w:tcW w:w="2134" w:type="dxa"/>
            <w:gridSpan w:val="2"/>
            <w:tcBorders>
              <w:top w:val="single" w:color="000000" w:sz="4" w:space="0"/>
              <w:left w:val="single" w:color="000000" w:sz="4" w:space="0"/>
              <w:bottom w:val="single" w:color="000000" w:sz="4" w:space="0"/>
              <w:right w:val="single" w:color="000000" w:sz="4" w:space="0"/>
            </w:tcBorders>
            <w:vAlign w:val="center"/>
          </w:tcPr>
          <w:p w14:paraId="7616C189">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合计</w:t>
            </w:r>
          </w:p>
        </w:tc>
        <w:tc>
          <w:tcPr>
            <w:tcW w:w="1653" w:type="dxa"/>
            <w:tcBorders>
              <w:top w:val="single" w:color="000000" w:sz="4" w:space="0"/>
              <w:left w:val="single" w:color="000000" w:sz="4" w:space="0"/>
              <w:bottom w:val="single" w:color="000000" w:sz="4" w:space="0"/>
              <w:right w:val="single" w:color="000000" w:sz="4" w:space="0"/>
            </w:tcBorders>
            <w:noWrap/>
            <w:vAlign w:val="center"/>
          </w:tcPr>
          <w:p w14:paraId="620B8C9E">
            <w:pPr>
              <w:snapToGrid w:val="0"/>
              <w:jc w:val="left"/>
              <w:rPr>
                <w:rFonts w:hint="eastAsia" w:ascii="宋体" w:hAnsi="宋体" w:cs="宋体"/>
                <w:b/>
                <w:color w:val="000000" w:themeColor="text1"/>
                <w:sz w:val="24"/>
              </w:rPr>
            </w:pPr>
          </w:p>
        </w:tc>
        <w:tc>
          <w:tcPr>
            <w:tcW w:w="712" w:type="dxa"/>
            <w:tcBorders>
              <w:top w:val="single" w:color="000000" w:sz="4" w:space="0"/>
              <w:left w:val="single" w:color="000000" w:sz="4" w:space="0"/>
              <w:bottom w:val="single" w:color="000000" w:sz="4" w:space="0"/>
              <w:right w:val="single" w:color="000000" w:sz="4" w:space="0"/>
            </w:tcBorders>
            <w:noWrap/>
            <w:vAlign w:val="center"/>
          </w:tcPr>
          <w:p w14:paraId="701E804F">
            <w:pPr>
              <w:snapToGrid w:val="0"/>
              <w:jc w:val="center"/>
              <w:rPr>
                <w:rFonts w:hint="eastAsia" w:ascii="宋体" w:hAnsi="宋体" w:cs="宋体"/>
                <w:b/>
                <w:color w:val="000000" w:themeColor="text1"/>
                <w:sz w:val="24"/>
              </w:rPr>
            </w:pPr>
          </w:p>
        </w:tc>
        <w:tc>
          <w:tcPr>
            <w:tcW w:w="807" w:type="dxa"/>
            <w:tcBorders>
              <w:top w:val="single" w:color="000000" w:sz="4" w:space="0"/>
              <w:left w:val="single" w:color="000000" w:sz="4" w:space="0"/>
              <w:bottom w:val="single" w:color="000000" w:sz="4" w:space="0"/>
              <w:right w:val="single" w:color="000000" w:sz="4" w:space="0"/>
            </w:tcBorders>
            <w:vAlign w:val="center"/>
          </w:tcPr>
          <w:p w14:paraId="5D2D3AA7">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1350</w:t>
            </w:r>
          </w:p>
        </w:tc>
        <w:tc>
          <w:tcPr>
            <w:tcW w:w="9446" w:type="dxa"/>
            <w:gridSpan w:val="4"/>
            <w:tcBorders>
              <w:top w:val="single" w:color="000000" w:sz="4" w:space="0"/>
              <w:left w:val="single" w:color="000000" w:sz="4" w:space="0"/>
              <w:bottom w:val="single" w:color="000000" w:sz="4" w:space="0"/>
              <w:right w:val="single" w:color="000000" w:sz="4" w:space="0"/>
            </w:tcBorders>
            <w:vAlign w:val="center"/>
          </w:tcPr>
          <w:p w14:paraId="2B2FFE7F">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服务范围为景区出入口、停车场、游览步道等公共区域。服务内容由中标人全权承接，中标人自主负责人员招募、培训、管理、排班、装备配置</w:t>
            </w:r>
            <w:r>
              <w:rPr>
                <w:rFonts w:hint="eastAsia" w:ascii="宋体" w:hAnsi="宋体" w:cs="微软雅黑"/>
                <w:b/>
                <w:color w:val="000000" w:themeColor="text1"/>
                <w:kern w:val="0"/>
                <w:sz w:val="24"/>
              </w:rPr>
              <w:t>、</w:t>
            </w:r>
            <w:r>
              <w:rPr>
                <w:rFonts w:ascii="宋体" w:hAnsi="宋体" w:cs="微软雅黑"/>
                <w:b/>
                <w:color w:val="000000" w:themeColor="text1"/>
                <w:kern w:val="0"/>
                <w:sz w:val="24"/>
              </w:rPr>
              <w:t>餐费自理</w:t>
            </w:r>
            <w:r>
              <w:rPr>
                <w:rFonts w:hint="eastAsia" w:ascii="宋体" w:hAnsi="宋体" w:cs="宋体"/>
                <w:b/>
                <w:color w:val="000000" w:themeColor="text1"/>
                <w:kern w:val="0"/>
                <w:sz w:val="24"/>
              </w:rPr>
              <w:t>、人员劳动关系、薪酬社保、安全责任，采购人仅对安保服务成果进行验收，不直接管理中标人工作人员。</w:t>
            </w:r>
          </w:p>
        </w:tc>
      </w:tr>
      <w:tr w14:paraId="2C6AA8A9">
        <w:tblPrEx>
          <w:tblCellMar>
            <w:top w:w="0" w:type="dxa"/>
            <w:left w:w="108" w:type="dxa"/>
            <w:bottom w:w="0" w:type="dxa"/>
            <w:right w:w="108" w:type="dxa"/>
          </w:tblCellMar>
        </w:tblPrEx>
        <w:trPr>
          <w:jc w:val="center"/>
        </w:trPr>
        <w:tc>
          <w:tcPr>
            <w:tcW w:w="14752" w:type="dxa"/>
            <w:gridSpan w:val="9"/>
            <w:tcBorders>
              <w:top w:val="single" w:color="000000" w:sz="4" w:space="0"/>
              <w:left w:val="single" w:color="000000" w:sz="4" w:space="0"/>
              <w:bottom w:val="single" w:color="000000" w:sz="4" w:space="0"/>
              <w:right w:val="single" w:color="000000" w:sz="4" w:space="0"/>
            </w:tcBorders>
            <w:vAlign w:val="center"/>
          </w:tcPr>
          <w:p w14:paraId="09841D74">
            <w:pPr>
              <w:widowControl/>
              <w:snapToGrid w:val="0"/>
              <w:jc w:val="center"/>
              <w:textAlignment w:val="center"/>
              <w:rPr>
                <w:rFonts w:hint="eastAsia" w:ascii="宋体" w:hAnsi="宋体" w:cs="宋体"/>
                <w:b/>
                <w:color w:val="000000" w:themeColor="text1"/>
                <w:kern w:val="0"/>
                <w:sz w:val="24"/>
              </w:rPr>
            </w:pPr>
            <w:r>
              <w:rPr>
                <w:rFonts w:hint="eastAsia" w:ascii="宋体" w:hAnsi="宋体" w:cs="微软雅黑"/>
                <w:b/>
                <w:color w:val="000000" w:themeColor="text1"/>
                <w:kern w:val="0"/>
                <w:sz w:val="24"/>
              </w:rPr>
              <w:t>服务期为：2027.1.1-2027.11.30</w:t>
            </w:r>
          </w:p>
        </w:tc>
      </w:tr>
    </w:tbl>
    <w:p w14:paraId="12D513BE">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tbl>
      <w:tblPr>
        <w:tblStyle w:val="45"/>
        <w:tblW w:w="14585" w:type="dxa"/>
        <w:jc w:val="center"/>
        <w:tblLayout w:type="fixed"/>
        <w:tblCellMar>
          <w:top w:w="0" w:type="dxa"/>
          <w:left w:w="108" w:type="dxa"/>
          <w:bottom w:w="0" w:type="dxa"/>
          <w:right w:w="108" w:type="dxa"/>
        </w:tblCellMar>
      </w:tblPr>
      <w:tblGrid>
        <w:gridCol w:w="591"/>
        <w:gridCol w:w="1632"/>
        <w:gridCol w:w="1481"/>
        <w:gridCol w:w="3337"/>
        <w:gridCol w:w="2307"/>
        <w:gridCol w:w="2718"/>
        <w:gridCol w:w="2519"/>
      </w:tblGrid>
      <w:tr w14:paraId="5E59BFDB">
        <w:tblPrEx>
          <w:tblCellMar>
            <w:top w:w="0" w:type="dxa"/>
            <w:left w:w="108" w:type="dxa"/>
            <w:bottom w:w="0" w:type="dxa"/>
            <w:right w:w="108" w:type="dxa"/>
          </w:tblCellMar>
        </w:tblPrEx>
        <w:trPr>
          <w:tblHeader/>
          <w:jc w:val="center"/>
        </w:trPr>
        <w:tc>
          <w:tcPr>
            <w:tcW w:w="14585" w:type="dxa"/>
            <w:gridSpan w:val="7"/>
            <w:tcBorders>
              <w:top w:val="nil"/>
              <w:left w:val="nil"/>
              <w:bottom w:val="nil"/>
              <w:right w:val="nil"/>
            </w:tcBorders>
            <w:noWrap/>
            <w:vAlign w:val="center"/>
          </w:tcPr>
          <w:p w14:paraId="13632A48">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包7：</w:t>
            </w:r>
            <w:r>
              <w:rPr>
                <w:rFonts w:ascii="宋体" w:hAnsi="宋体" w:cs="宋体"/>
                <w:b/>
                <w:bCs/>
                <w:color w:val="000000" w:themeColor="text1"/>
                <w:kern w:val="0"/>
                <w:sz w:val="24"/>
              </w:rPr>
              <w:t>全年配合交警车辆管控安保服务</w:t>
            </w:r>
          </w:p>
        </w:tc>
      </w:tr>
      <w:tr w14:paraId="0495AAB4">
        <w:tblPrEx>
          <w:tblCellMar>
            <w:top w:w="0" w:type="dxa"/>
            <w:left w:w="108" w:type="dxa"/>
            <w:bottom w:w="0" w:type="dxa"/>
            <w:right w:w="108" w:type="dxa"/>
          </w:tblCellMar>
        </w:tblPrEx>
        <w:trPr>
          <w:tblHeade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34221B23">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序号</w:t>
            </w:r>
          </w:p>
        </w:tc>
        <w:tc>
          <w:tcPr>
            <w:tcW w:w="1632" w:type="dxa"/>
            <w:tcBorders>
              <w:top w:val="single" w:color="000000" w:sz="4" w:space="0"/>
              <w:left w:val="single" w:color="000000" w:sz="4" w:space="0"/>
              <w:bottom w:val="single" w:color="000000" w:sz="4" w:space="0"/>
              <w:right w:val="single" w:color="000000" w:sz="4" w:space="0"/>
            </w:tcBorders>
            <w:vAlign w:val="center"/>
          </w:tcPr>
          <w:p w14:paraId="1B77DABE">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节假日固定岗</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600F7A5F">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每日服务投入人力</w:t>
            </w:r>
          </w:p>
        </w:tc>
        <w:tc>
          <w:tcPr>
            <w:tcW w:w="3337" w:type="dxa"/>
            <w:tcBorders>
              <w:top w:val="single" w:color="000000" w:sz="4" w:space="0"/>
              <w:left w:val="single" w:color="000000" w:sz="4" w:space="0"/>
              <w:bottom w:val="single" w:color="000000" w:sz="4" w:space="0"/>
              <w:right w:val="single" w:color="000000" w:sz="4" w:space="0"/>
            </w:tcBorders>
            <w:vAlign w:val="center"/>
          </w:tcPr>
          <w:p w14:paraId="4CD67610">
            <w:pPr>
              <w:widowControl/>
              <w:snapToGrid w:val="0"/>
              <w:jc w:val="center"/>
              <w:textAlignment w:val="center"/>
              <w:rPr>
                <w:rFonts w:hint="eastAsia" w:ascii="宋体" w:hAnsi="宋体" w:cs="黑体"/>
                <w:b/>
                <w:bCs/>
                <w:color w:val="000000" w:themeColor="text1"/>
                <w:sz w:val="24"/>
              </w:rPr>
            </w:pPr>
            <w:r>
              <w:rPr>
                <w:rFonts w:hint="eastAsia" w:ascii="宋体" w:hAnsi="宋体" w:cs="黑体"/>
                <w:b/>
                <w:bCs/>
                <w:color w:val="000000" w:themeColor="text1"/>
                <w:kern w:val="0"/>
                <w:sz w:val="24"/>
              </w:rPr>
              <w:t>服务内容</w:t>
            </w:r>
          </w:p>
        </w:tc>
        <w:tc>
          <w:tcPr>
            <w:tcW w:w="2307" w:type="dxa"/>
            <w:tcBorders>
              <w:top w:val="single" w:color="000000" w:sz="4" w:space="0"/>
              <w:left w:val="single" w:color="000000" w:sz="4" w:space="0"/>
              <w:bottom w:val="single" w:color="000000" w:sz="4" w:space="0"/>
              <w:right w:val="single" w:color="000000" w:sz="4" w:space="0"/>
            </w:tcBorders>
            <w:noWrap/>
            <w:vAlign w:val="center"/>
          </w:tcPr>
          <w:p w14:paraId="5A7C1EB3">
            <w:pPr>
              <w:widowControl/>
              <w:snapToGrid w:val="0"/>
              <w:jc w:val="center"/>
              <w:textAlignment w:val="center"/>
              <w:rPr>
                <w:rFonts w:hint="eastAsia" w:ascii="宋体" w:hAnsi="宋体" w:cs="黑体"/>
                <w:color w:val="000000" w:themeColor="text1"/>
                <w:sz w:val="24"/>
              </w:rPr>
            </w:pPr>
            <w:r>
              <w:rPr>
                <w:rFonts w:hint="eastAsia" w:ascii="宋体" w:hAnsi="宋体" w:cs="黑体"/>
                <w:color w:val="000000" w:themeColor="text1"/>
                <w:kern w:val="0"/>
                <w:sz w:val="24"/>
              </w:rPr>
              <w:t>预估服务规模</w:t>
            </w:r>
          </w:p>
        </w:tc>
        <w:tc>
          <w:tcPr>
            <w:tcW w:w="2718" w:type="dxa"/>
            <w:tcBorders>
              <w:top w:val="single" w:color="000000" w:sz="4" w:space="0"/>
              <w:left w:val="single" w:color="000000" w:sz="4" w:space="0"/>
              <w:bottom w:val="single" w:color="000000" w:sz="4" w:space="0"/>
              <w:right w:val="single" w:color="000000" w:sz="4" w:space="0"/>
            </w:tcBorders>
            <w:noWrap/>
            <w:vAlign w:val="center"/>
          </w:tcPr>
          <w:p w14:paraId="66B29F87">
            <w:pPr>
              <w:widowControl/>
              <w:snapToGrid w:val="0"/>
              <w:jc w:val="center"/>
              <w:textAlignment w:val="center"/>
              <w:rPr>
                <w:rFonts w:hint="eastAsia" w:ascii="宋体" w:hAnsi="宋体" w:cs="黑体"/>
                <w:color w:val="000000" w:themeColor="text1"/>
                <w:sz w:val="24"/>
              </w:rPr>
            </w:pPr>
            <w:r>
              <w:rPr>
                <w:rFonts w:hint="eastAsia" w:ascii="宋体" w:hAnsi="宋体" w:cs="黑体"/>
                <w:color w:val="000000" w:themeColor="text1"/>
                <w:kern w:val="0"/>
                <w:sz w:val="24"/>
              </w:rPr>
              <w:t>服务标准</w:t>
            </w:r>
          </w:p>
        </w:tc>
        <w:tc>
          <w:tcPr>
            <w:tcW w:w="2519" w:type="dxa"/>
            <w:tcBorders>
              <w:top w:val="single" w:color="000000" w:sz="4" w:space="0"/>
              <w:left w:val="single" w:color="000000" w:sz="4" w:space="0"/>
              <w:bottom w:val="single" w:color="000000" w:sz="4" w:space="0"/>
              <w:right w:val="single" w:color="000000" w:sz="4" w:space="0"/>
            </w:tcBorders>
            <w:noWrap/>
            <w:vAlign w:val="center"/>
          </w:tcPr>
          <w:p w14:paraId="6D9EEA76">
            <w:pPr>
              <w:widowControl/>
              <w:snapToGrid w:val="0"/>
              <w:jc w:val="center"/>
              <w:textAlignment w:val="center"/>
              <w:rPr>
                <w:rFonts w:hint="eastAsia" w:ascii="宋体" w:hAnsi="宋体" w:cs="黑体"/>
                <w:color w:val="000000" w:themeColor="text1"/>
                <w:sz w:val="24"/>
              </w:rPr>
            </w:pPr>
            <w:r>
              <w:rPr>
                <w:rFonts w:hint="eastAsia" w:ascii="宋体" w:hAnsi="宋体" w:cs="黑体"/>
                <w:color w:val="000000" w:themeColor="text1"/>
                <w:kern w:val="0"/>
                <w:sz w:val="24"/>
              </w:rPr>
              <w:t>权责边界</w:t>
            </w:r>
          </w:p>
        </w:tc>
      </w:tr>
      <w:tr w14:paraId="718483FE">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7CC27C5A">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1</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C29750B">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太平门白马公园掉头段</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6D7BF3A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3337" w:type="dxa"/>
            <w:vMerge w:val="restart"/>
            <w:tcBorders>
              <w:top w:val="single" w:color="000000" w:sz="4" w:space="0"/>
              <w:left w:val="single" w:color="000000" w:sz="4" w:space="0"/>
              <w:bottom w:val="single" w:color="000000" w:sz="4" w:space="0"/>
              <w:right w:val="single" w:color="000000" w:sz="4" w:space="0"/>
            </w:tcBorders>
            <w:vAlign w:val="center"/>
          </w:tcPr>
          <w:p w14:paraId="473EFA2D">
            <w:pPr>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1. 景区重点区域秩序维护，游客疏导、人流管控，防止拥堵、踩踏风险；</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2. 出入口、</w:t>
            </w:r>
            <w:r>
              <w:rPr>
                <w:rFonts w:hint="eastAsia" w:ascii="宋体" w:hAnsi="宋体" w:cstheme="minorEastAsia"/>
                <w:color w:val="000000" w:themeColor="text1"/>
                <w:kern w:val="0"/>
                <w:sz w:val="24"/>
              </w:rPr>
              <w:t>非机动车停车秩序管理</w:t>
            </w:r>
            <w:r>
              <w:rPr>
                <w:rFonts w:hint="eastAsia" w:ascii="宋体" w:hAnsi="宋体" w:cs="微软雅黑"/>
                <w:color w:val="000000" w:themeColor="text1"/>
                <w:kern w:val="0"/>
                <w:sz w:val="24"/>
              </w:rPr>
              <w:t>、机动车通行引导，劝阻违规停放、翻越护栏、违规进入管控区域行为；</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3. 现场安全巡查，发现火情、设施损坏、游客纠纷、安全隐患第一时间上报并先期处置；</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4. 突发事件、游客冲突、紧急情况的现场先期处置，配合公安、消防开展联动保障；</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5. 重大节假日、大型活动期间，根据采购人指令，机动增配安保力量，提供临时值守保障；</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6. 每日在园时间不低于12小时。</w:t>
            </w:r>
          </w:p>
        </w:tc>
        <w:tc>
          <w:tcPr>
            <w:tcW w:w="2307" w:type="dxa"/>
            <w:vMerge w:val="restart"/>
            <w:tcBorders>
              <w:top w:val="single" w:color="000000" w:sz="4" w:space="0"/>
              <w:left w:val="single" w:color="000000" w:sz="4" w:space="0"/>
              <w:bottom w:val="single" w:color="000000" w:sz="4" w:space="0"/>
              <w:right w:val="single" w:color="000000" w:sz="4" w:space="0"/>
            </w:tcBorders>
            <w:vAlign w:val="center"/>
          </w:tcPr>
          <w:p w14:paraId="5610664A">
            <w:pPr>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项目预估最高需要30人同步在岗保障，服务按人·天计量。采购人根据客流、活动计划提前通知中标人上岗人数与执勤时段；最终结算以采购人验收合格的实际服务人·天为准。中标人必须具备在短时间内足额调集符合条件安保人员的能力。</w:t>
            </w:r>
          </w:p>
        </w:tc>
        <w:tc>
          <w:tcPr>
            <w:tcW w:w="2718" w:type="dxa"/>
            <w:vMerge w:val="restart"/>
            <w:tcBorders>
              <w:top w:val="single" w:color="000000" w:sz="4" w:space="0"/>
              <w:left w:val="single" w:color="000000" w:sz="4" w:space="0"/>
              <w:bottom w:val="single" w:color="000000" w:sz="4" w:space="0"/>
              <w:right w:val="single" w:color="000000" w:sz="4" w:space="0"/>
            </w:tcBorders>
            <w:vAlign w:val="center"/>
          </w:tcPr>
          <w:p w14:paraId="4E310BD5">
            <w:pPr>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1. 上岗安保人员须持有保安员证，无犯罪记录，身体健康，年龄符合安保从业规范；</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2. 上岗统一着装、佩戴标识，配备必要的防暴装备（由中标人自行提供）；</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3. 中标人须对所有安保人员岗前培训，熟悉景区管理规定、应急处置流程；</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4. 中标人为全部安保人员缴纳社保，承担用工、工伤、人身损害全部法律责任；</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5. 人员替换：如安保人员不合格，采购人有权提出更换，中标人须在规定时限内替换同等资质人员，不得影响服务。</w:t>
            </w:r>
          </w:p>
        </w:tc>
        <w:tc>
          <w:tcPr>
            <w:tcW w:w="2519" w:type="dxa"/>
            <w:vMerge w:val="restart"/>
            <w:tcBorders>
              <w:top w:val="single" w:color="000000" w:sz="4" w:space="0"/>
              <w:left w:val="single" w:color="000000" w:sz="4" w:space="0"/>
              <w:bottom w:val="single" w:color="000000" w:sz="4" w:space="0"/>
              <w:right w:val="single" w:color="000000" w:sz="4" w:space="0"/>
            </w:tcBorders>
            <w:vAlign w:val="center"/>
          </w:tcPr>
          <w:p w14:paraId="4A9FDA3F">
            <w:pPr>
              <w:widowControl/>
              <w:snapToGrid w:val="0"/>
              <w:jc w:val="left"/>
              <w:textAlignment w:val="center"/>
              <w:rPr>
                <w:rFonts w:hint="eastAsia" w:ascii="宋体" w:hAnsi="宋体" w:cs="微软雅黑"/>
                <w:color w:val="000000" w:themeColor="text1"/>
                <w:sz w:val="24"/>
              </w:rPr>
            </w:pPr>
            <w:r>
              <w:rPr>
                <w:rFonts w:hint="eastAsia" w:ascii="宋体" w:hAnsi="宋体" w:cs="微软雅黑"/>
                <w:color w:val="000000" w:themeColor="text1"/>
                <w:kern w:val="0"/>
                <w:sz w:val="24"/>
              </w:rPr>
              <w:t>1. 本项目属于购买安保服务成果，不属于人员招聘、劳务派遣、岗位外包。中标人派驻现场人员为中标人单位员工，与采购人不存在劳动关系、劳务关系；</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2. 采购人仅提出服务任务目标，不直接对中标人员工进行人事管理、考勤、奖惩；现场工作指令仅针对服务事项，不直接管理人员；</w:t>
            </w:r>
            <w:r>
              <w:rPr>
                <w:rFonts w:hint="eastAsia" w:ascii="宋体" w:hAnsi="宋体" w:cs="微软雅黑"/>
                <w:color w:val="000000" w:themeColor="text1"/>
                <w:kern w:val="0"/>
                <w:sz w:val="24"/>
              </w:rPr>
              <w:br w:type="textWrapping"/>
            </w:r>
            <w:r>
              <w:rPr>
                <w:rFonts w:hint="eastAsia" w:ascii="宋体" w:hAnsi="宋体" w:cs="微软雅黑"/>
                <w:color w:val="000000" w:themeColor="text1"/>
                <w:kern w:val="0"/>
                <w:sz w:val="24"/>
              </w:rPr>
              <w:t>3. 所有用工纠纷、劳动仲裁、工伤事故、人身损害赔偿全部由中标人独立承担，与采购人无关。</w:t>
            </w:r>
          </w:p>
        </w:tc>
      </w:tr>
      <w:tr w14:paraId="348BF7F2">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03C890B4">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063EC62">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一号门</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54703EC5">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7124FD3B">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3313AF54">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1539FCC4">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6CA2971C">
            <w:pPr>
              <w:snapToGrid w:val="0"/>
              <w:jc w:val="left"/>
              <w:rPr>
                <w:rFonts w:hint="eastAsia" w:ascii="宋体" w:hAnsi="宋体" w:cs="微软雅黑"/>
                <w:color w:val="000000" w:themeColor="text1"/>
                <w:sz w:val="24"/>
              </w:rPr>
            </w:pPr>
          </w:p>
        </w:tc>
      </w:tr>
      <w:tr w14:paraId="7F0F208A">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78B3D29B">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3</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5A38064">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明陵路中山门大街口</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0C814E61">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57A88EBE">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7878EF01">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5275ED5A">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111F766E">
            <w:pPr>
              <w:snapToGrid w:val="0"/>
              <w:jc w:val="left"/>
              <w:rPr>
                <w:rFonts w:hint="eastAsia" w:ascii="宋体" w:hAnsi="宋体" w:cs="微软雅黑"/>
                <w:color w:val="000000" w:themeColor="text1"/>
                <w:sz w:val="24"/>
              </w:rPr>
            </w:pPr>
          </w:p>
        </w:tc>
      </w:tr>
      <w:tr w14:paraId="7848A4BE">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02605263">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1632" w:type="dxa"/>
            <w:tcBorders>
              <w:top w:val="single" w:color="000000" w:sz="4" w:space="0"/>
              <w:left w:val="single" w:color="000000" w:sz="4" w:space="0"/>
              <w:bottom w:val="single" w:color="000000" w:sz="4" w:space="0"/>
              <w:right w:val="single" w:color="000000" w:sz="4" w:space="0"/>
            </w:tcBorders>
            <w:vAlign w:val="center"/>
          </w:tcPr>
          <w:p w14:paraId="44454401">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苜蓿园大街与中山门大街交叉口</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304EC25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58835F1F">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42E51356">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6923935F">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14D98825">
            <w:pPr>
              <w:snapToGrid w:val="0"/>
              <w:jc w:val="left"/>
              <w:rPr>
                <w:rFonts w:hint="eastAsia" w:ascii="宋体" w:hAnsi="宋体" w:cs="微软雅黑"/>
                <w:color w:val="000000" w:themeColor="text1"/>
                <w:sz w:val="24"/>
              </w:rPr>
            </w:pPr>
          </w:p>
        </w:tc>
      </w:tr>
      <w:tr w14:paraId="15D3C9BC">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15E4FACC">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5</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C761BA2">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苜蓿园地铁站管控出租车</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2A0EE02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17BB25BF">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01A3CC7C">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03E85817">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03880FD3">
            <w:pPr>
              <w:snapToGrid w:val="0"/>
              <w:jc w:val="left"/>
              <w:rPr>
                <w:rFonts w:hint="eastAsia" w:ascii="宋体" w:hAnsi="宋体" w:cs="微软雅黑"/>
                <w:color w:val="000000" w:themeColor="text1"/>
                <w:sz w:val="24"/>
              </w:rPr>
            </w:pPr>
          </w:p>
        </w:tc>
      </w:tr>
      <w:tr w14:paraId="17EBBD3B">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78EEEEB6">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6</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148BA73">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下马坊龙宫路口</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5E258AD8">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614C5BBB">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49680361">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3656700A">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2D14F445">
            <w:pPr>
              <w:snapToGrid w:val="0"/>
              <w:jc w:val="left"/>
              <w:rPr>
                <w:rFonts w:hint="eastAsia" w:ascii="宋体" w:hAnsi="宋体" w:cs="微软雅黑"/>
                <w:color w:val="000000" w:themeColor="text1"/>
                <w:sz w:val="24"/>
              </w:rPr>
            </w:pPr>
          </w:p>
        </w:tc>
      </w:tr>
      <w:tr w14:paraId="7EFEA215">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49C742D2">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7</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C5B4994">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灵谷寺路中山门大街</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5522A40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4</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2CFC9F81">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727FD959">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2DC22218">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0BA2C8D1">
            <w:pPr>
              <w:snapToGrid w:val="0"/>
              <w:jc w:val="left"/>
              <w:rPr>
                <w:rFonts w:hint="eastAsia" w:ascii="宋体" w:hAnsi="宋体" w:cs="微软雅黑"/>
                <w:color w:val="000000" w:themeColor="text1"/>
                <w:sz w:val="24"/>
              </w:rPr>
            </w:pPr>
          </w:p>
        </w:tc>
      </w:tr>
      <w:tr w14:paraId="0C9CEEE3">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099D0D9F">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8</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9204854">
            <w:pPr>
              <w:widowControl/>
              <w:snapToGrid w:val="0"/>
              <w:jc w:val="left"/>
              <w:textAlignment w:val="center"/>
              <w:rPr>
                <w:rFonts w:hint="eastAsia" w:ascii="宋体" w:hAnsi="宋体" w:cs="仿宋_GB2312"/>
                <w:color w:val="000000" w:themeColor="text1"/>
                <w:sz w:val="24"/>
              </w:rPr>
            </w:pPr>
            <w:r>
              <w:rPr>
                <w:rFonts w:ascii="宋体" w:hAnsi="宋体" w:cs="仿宋_GB2312"/>
                <w:color w:val="000000" w:themeColor="text1"/>
                <w:kern w:val="0"/>
                <w:sz w:val="24"/>
              </w:rPr>
              <w:t>景区东入口</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1683A7D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2</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53CBB1F6">
            <w:pPr>
              <w:snapToGrid w:val="0"/>
              <w:jc w:val="left"/>
              <w:rPr>
                <w:rFonts w:hint="eastAsia" w:ascii="宋体" w:hAnsi="宋体" w:cs="微软雅黑"/>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4876FAB1">
            <w:pPr>
              <w:snapToGrid w:val="0"/>
              <w:jc w:val="left"/>
              <w:rPr>
                <w:rFonts w:hint="eastAsia" w:ascii="宋体" w:hAnsi="宋体" w:cs="微软雅黑"/>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177C275A">
            <w:pPr>
              <w:snapToGrid w:val="0"/>
              <w:jc w:val="left"/>
              <w:rPr>
                <w:rFonts w:hint="eastAsia" w:ascii="宋体" w:hAnsi="宋体" w:cs="微软雅黑"/>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10FE7360">
            <w:pPr>
              <w:snapToGrid w:val="0"/>
              <w:jc w:val="left"/>
              <w:rPr>
                <w:rFonts w:hint="eastAsia" w:ascii="宋体" w:hAnsi="宋体" w:cs="微软雅黑"/>
                <w:color w:val="000000" w:themeColor="text1"/>
                <w:sz w:val="24"/>
              </w:rPr>
            </w:pPr>
          </w:p>
        </w:tc>
      </w:tr>
      <w:tr w14:paraId="0512032B">
        <w:tblPrEx>
          <w:tblCellMar>
            <w:top w:w="0" w:type="dxa"/>
            <w:left w:w="108" w:type="dxa"/>
            <w:bottom w:w="0" w:type="dxa"/>
            <w:right w:w="108" w:type="dxa"/>
          </w:tblCellMar>
        </w:tblPrEx>
        <w:trPr>
          <w:jc w:val="center"/>
        </w:trPr>
        <w:tc>
          <w:tcPr>
            <w:tcW w:w="2223" w:type="dxa"/>
            <w:gridSpan w:val="2"/>
            <w:tcBorders>
              <w:top w:val="single" w:color="000000" w:sz="4" w:space="0"/>
              <w:left w:val="single" w:color="000000" w:sz="4" w:space="0"/>
              <w:bottom w:val="single" w:color="000000" w:sz="4" w:space="0"/>
              <w:right w:val="single" w:color="000000" w:sz="4" w:space="0"/>
            </w:tcBorders>
            <w:vAlign w:val="center"/>
          </w:tcPr>
          <w:p w14:paraId="7B85391A">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小计</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40EC94F4">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26</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4F1B2DE1">
            <w:pPr>
              <w:snapToGrid w:val="0"/>
              <w:jc w:val="center"/>
              <w:rPr>
                <w:rFonts w:hint="eastAsia" w:ascii="宋体" w:hAnsi="宋体" w:cs="微软雅黑"/>
                <w:b/>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60BBF763">
            <w:pPr>
              <w:snapToGrid w:val="0"/>
              <w:jc w:val="left"/>
              <w:rPr>
                <w:rFonts w:hint="eastAsia" w:ascii="宋体" w:hAnsi="宋体" w:cs="微软雅黑"/>
                <w:b/>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260E8B53">
            <w:pPr>
              <w:snapToGrid w:val="0"/>
              <w:jc w:val="left"/>
              <w:rPr>
                <w:rFonts w:hint="eastAsia" w:ascii="宋体" w:hAnsi="宋体" w:cs="微软雅黑"/>
                <w:b/>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1703BA62">
            <w:pPr>
              <w:snapToGrid w:val="0"/>
              <w:jc w:val="left"/>
              <w:rPr>
                <w:rFonts w:hint="eastAsia" w:ascii="宋体" w:hAnsi="宋体" w:cs="微软雅黑"/>
                <w:b/>
                <w:color w:val="000000" w:themeColor="text1"/>
                <w:sz w:val="24"/>
              </w:rPr>
            </w:pPr>
          </w:p>
        </w:tc>
      </w:tr>
      <w:tr w14:paraId="2C8D7197">
        <w:tblPrEx>
          <w:tblCellMar>
            <w:top w:w="0" w:type="dxa"/>
            <w:left w:w="108" w:type="dxa"/>
            <w:bottom w:w="0" w:type="dxa"/>
            <w:right w:w="108" w:type="dxa"/>
          </w:tblCellMar>
        </w:tblPrEx>
        <w:trPr>
          <w:jc w:val="center"/>
        </w:trPr>
        <w:tc>
          <w:tcPr>
            <w:tcW w:w="2223" w:type="dxa"/>
            <w:gridSpan w:val="2"/>
            <w:tcBorders>
              <w:top w:val="single" w:color="000000" w:sz="4" w:space="0"/>
              <w:left w:val="single" w:color="000000" w:sz="4" w:space="0"/>
              <w:bottom w:val="single" w:color="000000" w:sz="4" w:space="0"/>
              <w:right w:val="single" w:color="000000" w:sz="4" w:space="0"/>
            </w:tcBorders>
            <w:vAlign w:val="center"/>
          </w:tcPr>
          <w:p w14:paraId="1F1039A0">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节假日21天合计</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4C7F8105">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546</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52858B1C">
            <w:pPr>
              <w:snapToGrid w:val="0"/>
              <w:jc w:val="center"/>
              <w:rPr>
                <w:rFonts w:hint="eastAsia" w:ascii="宋体" w:hAnsi="宋体" w:cs="微软雅黑"/>
                <w:b/>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68369965">
            <w:pPr>
              <w:snapToGrid w:val="0"/>
              <w:jc w:val="left"/>
              <w:rPr>
                <w:rFonts w:hint="eastAsia" w:ascii="宋体" w:hAnsi="宋体" w:cs="微软雅黑"/>
                <w:b/>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11A7AAEF">
            <w:pPr>
              <w:snapToGrid w:val="0"/>
              <w:jc w:val="left"/>
              <w:rPr>
                <w:rFonts w:hint="eastAsia" w:ascii="宋体" w:hAnsi="宋体" w:cs="微软雅黑"/>
                <w:b/>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6855543C">
            <w:pPr>
              <w:snapToGrid w:val="0"/>
              <w:jc w:val="left"/>
              <w:rPr>
                <w:rFonts w:hint="eastAsia" w:ascii="宋体" w:hAnsi="宋体" w:cs="微软雅黑"/>
                <w:b/>
                <w:color w:val="000000" w:themeColor="text1"/>
                <w:sz w:val="24"/>
              </w:rPr>
            </w:pPr>
          </w:p>
        </w:tc>
      </w:tr>
      <w:tr w14:paraId="39E4A7F1">
        <w:tblPrEx>
          <w:tblCellMar>
            <w:top w:w="0" w:type="dxa"/>
            <w:left w:w="108" w:type="dxa"/>
            <w:bottom w:w="0" w:type="dxa"/>
            <w:right w:w="108" w:type="dxa"/>
          </w:tblCellMar>
        </w:tblPrEx>
        <w:trPr>
          <w:jc w:val="center"/>
        </w:trPr>
        <w:tc>
          <w:tcPr>
            <w:tcW w:w="591" w:type="dxa"/>
            <w:tcBorders>
              <w:top w:val="single" w:color="000000" w:sz="4" w:space="0"/>
              <w:left w:val="single" w:color="000000" w:sz="4" w:space="0"/>
              <w:bottom w:val="single" w:color="000000" w:sz="4" w:space="0"/>
              <w:right w:val="single" w:color="000000" w:sz="4" w:space="0"/>
            </w:tcBorders>
            <w:vAlign w:val="center"/>
          </w:tcPr>
          <w:p w14:paraId="494B87FE">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9</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1AD08D1">
            <w:pPr>
              <w:widowControl/>
              <w:snapToGrid w:val="0"/>
              <w:jc w:val="left"/>
              <w:textAlignment w:val="center"/>
              <w:rPr>
                <w:rFonts w:hint="eastAsia" w:ascii="宋体" w:hAnsi="宋体" w:cs="仿宋_GB2312"/>
                <w:b/>
                <w:color w:val="000000" w:themeColor="text1"/>
                <w:sz w:val="24"/>
              </w:rPr>
            </w:pPr>
            <w:r>
              <w:rPr>
                <w:rFonts w:ascii="宋体" w:hAnsi="宋体" w:cs="仿宋_GB2312"/>
                <w:b/>
                <w:color w:val="000000" w:themeColor="text1"/>
                <w:kern w:val="0"/>
                <w:sz w:val="24"/>
              </w:rPr>
              <w:t>日常临时任务</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16382932">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532</w:t>
            </w:r>
          </w:p>
        </w:tc>
        <w:tc>
          <w:tcPr>
            <w:tcW w:w="3337" w:type="dxa"/>
            <w:vMerge w:val="continue"/>
            <w:tcBorders>
              <w:top w:val="single" w:color="000000" w:sz="4" w:space="0"/>
              <w:left w:val="single" w:color="000000" w:sz="4" w:space="0"/>
              <w:bottom w:val="single" w:color="000000" w:sz="4" w:space="0"/>
              <w:right w:val="single" w:color="000000" w:sz="4" w:space="0"/>
            </w:tcBorders>
            <w:vAlign w:val="center"/>
          </w:tcPr>
          <w:p w14:paraId="039132F7">
            <w:pPr>
              <w:snapToGrid w:val="0"/>
              <w:jc w:val="left"/>
              <w:rPr>
                <w:rFonts w:hint="eastAsia" w:ascii="宋体" w:hAnsi="宋体" w:cs="微软雅黑"/>
                <w:b/>
                <w:color w:val="000000" w:themeColor="text1"/>
                <w:sz w:val="24"/>
              </w:rPr>
            </w:pPr>
          </w:p>
        </w:tc>
        <w:tc>
          <w:tcPr>
            <w:tcW w:w="2307" w:type="dxa"/>
            <w:vMerge w:val="continue"/>
            <w:tcBorders>
              <w:top w:val="single" w:color="000000" w:sz="4" w:space="0"/>
              <w:left w:val="single" w:color="000000" w:sz="4" w:space="0"/>
              <w:bottom w:val="single" w:color="000000" w:sz="4" w:space="0"/>
              <w:right w:val="single" w:color="000000" w:sz="4" w:space="0"/>
            </w:tcBorders>
            <w:vAlign w:val="center"/>
          </w:tcPr>
          <w:p w14:paraId="745CF25D">
            <w:pPr>
              <w:snapToGrid w:val="0"/>
              <w:jc w:val="left"/>
              <w:rPr>
                <w:rFonts w:hint="eastAsia" w:ascii="宋体" w:hAnsi="宋体" w:cs="微软雅黑"/>
                <w:b/>
                <w:color w:val="000000" w:themeColor="text1"/>
                <w:sz w:val="24"/>
              </w:rPr>
            </w:pPr>
          </w:p>
        </w:tc>
        <w:tc>
          <w:tcPr>
            <w:tcW w:w="2718" w:type="dxa"/>
            <w:vMerge w:val="continue"/>
            <w:tcBorders>
              <w:top w:val="single" w:color="000000" w:sz="4" w:space="0"/>
              <w:left w:val="single" w:color="000000" w:sz="4" w:space="0"/>
              <w:bottom w:val="single" w:color="000000" w:sz="4" w:space="0"/>
              <w:right w:val="single" w:color="000000" w:sz="4" w:space="0"/>
            </w:tcBorders>
            <w:vAlign w:val="center"/>
          </w:tcPr>
          <w:p w14:paraId="2CCAC250">
            <w:pPr>
              <w:snapToGrid w:val="0"/>
              <w:jc w:val="left"/>
              <w:rPr>
                <w:rFonts w:hint="eastAsia" w:ascii="宋体" w:hAnsi="宋体" w:cs="微软雅黑"/>
                <w:b/>
                <w:color w:val="000000" w:themeColor="text1"/>
                <w:sz w:val="24"/>
              </w:rPr>
            </w:pPr>
          </w:p>
        </w:tc>
        <w:tc>
          <w:tcPr>
            <w:tcW w:w="2519" w:type="dxa"/>
            <w:vMerge w:val="continue"/>
            <w:tcBorders>
              <w:top w:val="single" w:color="000000" w:sz="4" w:space="0"/>
              <w:left w:val="single" w:color="000000" w:sz="4" w:space="0"/>
              <w:bottom w:val="single" w:color="000000" w:sz="4" w:space="0"/>
              <w:right w:val="single" w:color="000000" w:sz="4" w:space="0"/>
            </w:tcBorders>
            <w:vAlign w:val="center"/>
          </w:tcPr>
          <w:p w14:paraId="798D3985">
            <w:pPr>
              <w:snapToGrid w:val="0"/>
              <w:jc w:val="left"/>
              <w:rPr>
                <w:rFonts w:hint="eastAsia" w:ascii="宋体" w:hAnsi="宋体" w:cs="微软雅黑"/>
                <w:b/>
                <w:color w:val="000000" w:themeColor="text1"/>
                <w:sz w:val="24"/>
              </w:rPr>
            </w:pPr>
          </w:p>
        </w:tc>
      </w:tr>
      <w:tr w14:paraId="1A929475">
        <w:tblPrEx>
          <w:tblCellMar>
            <w:top w:w="0" w:type="dxa"/>
            <w:left w:w="108" w:type="dxa"/>
            <w:bottom w:w="0" w:type="dxa"/>
            <w:right w:w="108" w:type="dxa"/>
          </w:tblCellMar>
        </w:tblPrEx>
        <w:trPr>
          <w:jc w:val="center"/>
        </w:trPr>
        <w:tc>
          <w:tcPr>
            <w:tcW w:w="2223" w:type="dxa"/>
            <w:gridSpan w:val="2"/>
            <w:tcBorders>
              <w:top w:val="single" w:color="000000" w:sz="4" w:space="0"/>
              <w:left w:val="single" w:color="000000" w:sz="4" w:space="0"/>
              <w:bottom w:val="single" w:color="000000" w:sz="4" w:space="0"/>
              <w:right w:val="single" w:color="000000" w:sz="4" w:space="0"/>
            </w:tcBorders>
            <w:vAlign w:val="center"/>
          </w:tcPr>
          <w:p w14:paraId="140B8F83">
            <w:pPr>
              <w:widowControl/>
              <w:snapToGrid w:val="0"/>
              <w:jc w:val="center"/>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合计</w:t>
            </w:r>
          </w:p>
        </w:tc>
        <w:tc>
          <w:tcPr>
            <w:tcW w:w="1481" w:type="dxa"/>
            <w:tcBorders>
              <w:top w:val="single" w:color="000000" w:sz="4" w:space="0"/>
              <w:left w:val="single" w:color="000000" w:sz="4" w:space="0"/>
              <w:bottom w:val="single" w:color="000000" w:sz="4" w:space="0"/>
              <w:right w:val="single" w:color="000000" w:sz="4" w:space="0"/>
            </w:tcBorders>
            <w:noWrap/>
            <w:vAlign w:val="center"/>
          </w:tcPr>
          <w:p w14:paraId="1A8D4898">
            <w:pPr>
              <w:widowControl/>
              <w:snapToGrid w:val="0"/>
              <w:jc w:val="left"/>
              <w:textAlignment w:val="center"/>
              <w:rPr>
                <w:rFonts w:hint="eastAsia" w:ascii="宋体" w:hAnsi="宋体" w:cs="宋体"/>
                <w:b/>
                <w:color w:val="000000" w:themeColor="text1"/>
                <w:sz w:val="24"/>
              </w:rPr>
            </w:pPr>
            <w:r>
              <w:rPr>
                <w:rFonts w:hint="eastAsia" w:ascii="宋体" w:hAnsi="宋体" w:cs="宋体"/>
                <w:b/>
                <w:color w:val="000000" w:themeColor="text1"/>
                <w:kern w:val="0"/>
                <w:sz w:val="24"/>
              </w:rPr>
              <w:t>1078</w:t>
            </w:r>
          </w:p>
        </w:tc>
        <w:tc>
          <w:tcPr>
            <w:tcW w:w="10881" w:type="dxa"/>
            <w:gridSpan w:val="4"/>
            <w:tcBorders>
              <w:top w:val="single" w:color="000000" w:sz="4" w:space="0"/>
              <w:left w:val="single" w:color="000000" w:sz="4" w:space="0"/>
              <w:bottom w:val="single" w:color="000000" w:sz="4" w:space="0"/>
              <w:right w:val="single" w:color="000000" w:sz="4" w:space="0"/>
            </w:tcBorders>
            <w:vAlign w:val="center"/>
          </w:tcPr>
          <w:p w14:paraId="3926A4F1">
            <w:pPr>
              <w:widowControl/>
              <w:snapToGrid w:val="0"/>
              <w:jc w:val="center"/>
              <w:textAlignment w:val="center"/>
              <w:rPr>
                <w:rFonts w:hint="eastAsia" w:ascii="宋体" w:hAnsi="宋体" w:cs="微软雅黑"/>
                <w:b/>
                <w:color w:val="000000" w:themeColor="text1"/>
                <w:sz w:val="24"/>
              </w:rPr>
            </w:pPr>
            <w:r>
              <w:rPr>
                <w:rFonts w:hint="eastAsia" w:ascii="宋体" w:hAnsi="宋体" w:cs="微软雅黑"/>
                <w:b/>
                <w:color w:val="000000" w:themeColor="text1"/>
                <w:kern w:val="0"/>
                <w:sz w:val="24"/>
              </w:rPr>
              <w:t>服务范围为景区出入口、停车场、游览步道等公共区域。服务内容由中标人全权承接，中标人自主负责人员招募、培训、管理、排班、装备配置、</w:t>
            </w:r>
            <w:r>
              <w:rPr>
                <w:rFonts w:ascii="宋体" w:hAnsi="宋体" w:cs="微软雅黑"/>
                <w:b/>
                <w:color w:val="000000" w:themeColor="text1"/>
                <w:kern w:val="0"/>
                <w:sz w:val="24"/>
              </w:rPr>
              <w:t>餐费自理</w:t>
            </w:r>
            <w:r>
              <w:rPr>
                <w:rFonts w:hint="eastAsia" w:ascii="宋体" w:hAnsi="宋体" w:cs="微软雅黑"/>
                <w:b/>
                <w:color w:val="000000" w:themeColor="text1"/>
                <w:kern w:val="0"/>
                <w:sz w:val="24"/>
              </w:rPr>
              <w:t>、人员劳动关系、薪酬社保、安全责任，采购人仅对安保服务成果进行验收，不直接管理中标人工作人员。</w:t>
            </w:r>
          </w:p>
        </w:tc>
      </w:tr>
      <w:tr w14:paraId="6893230F">
        <w:tblPrEx>
          <w:tblCellMar>
            <w:top w:w="0" w:type="dxa"/>
            <w:left w:w="108" w:type="dxa"/>
            <w:bottom w:w="0" w:type="dxa"/>
            <w:right w:w="108" w:type="dxa"/>
          </w:tblCellMar>
        </w:tblPrEx>
        <w:trPr>
          <w:jc w:val="center"/>
        </w:trPr>
        <w:tc>
          <w:tcPr>
            <w:tcW w:w="14585" w:type="dxa"/>
            <w:gridSpan w:val="7"/>
            <w:tcBorders>
              <w:top w:val="single" w:color="000000" w:sz="4" w:space="0"/>
              <w:left w:val="single" w:color="000000" w:sz="4" w:space="0"/>
              <w:bottom w:val="single" w:color="000000" w:sz="4" w:space="0"/>
              <w:right w:val="single" w:color="000000" w:sz="4" w:space="0"/>
            </w:tcBorders>
            <w:vAlign w:val="center"/>
          </w:tcPr>
          <w:p w14:paraId="7A6DFD16">
            <w:pPr>
              <w:widowControl/>
              <w:snapToGrid w:val="0"/>
              <w:jc w:val="center"/>
              <w:textAlignment w:val="center"/>
              <w:rPr>
                <w:rFonts w:hint="eastAsia" w:ascii="宋体" w:hAnsi="宋体" w:cs="宋体"/>
                <w:b/>
                <w:color w:val="000000" w:themeColor="text1"/>
                <w:kern w:val="0"/>
                <w:sz w:val="24"/>
              </w:rPr>
            </w:pPr>
            <w:r>
              <w:rPr>
                <w:rFonts w:hint="eastAsia" w:ascii="宋体" w:hAnsi="宋体" w:cs="微软雅黑"/>
                <w:b/>
                <w:color w:val="000000" w:themeColor="text1"/>
                <w:kern w:val="0"/>
                <w:sz w:val="24"/>
              </w:rPr>
              <w:t>服务期为：2027.1.1-2027.11.30</w:t>
            </w:r>
          </w:p>
        </w:tc>
      </w:tr>
    </w:tbl>
    <w:p w14:paraId="6FB4F035">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tbl>
      <w:tblPr>
        <w:tblStyle w:val="45"/>
        <w:tblW w:w="0" w:type="auto"/>
        <w:tblInd w:w="113" w:type="dxa"/>
        <w:tblLayout w:type="autofit"/>
        <w:tblCellMar>
          <w:top w:w="0" w:type="dxa"/>
          <w:left w:w="108" w:type="dxa"/>
          <w:bottom w:w="0" w:type="dxa"/>
          <w:right w:w="108" w:type="dxa"/>
        </w:tblCellMar>
      </w:tblPr>
      <w:tblGrid>
        <w:gridCol w:w="480"/>
        <w:gridCol w:w="1727"/>
        <w:gridCol w:w="939"/>
        <w:gridCol w:w="1983"/>
        <w:gridCol w:w="3995"/>
        <w:gridCol w:w="2293"/>
        <w:gridCol w:w="2690"/>
      </w:tblGrid>
      <w:tr w14:paraId="62F4EE65">
        <w:tblPrEx>
          <w:tblCellMar>
            <w:top w:w="0" w:type="dxa"/>
            <w:left w:w="108" w:type="dxa"/>
            <w:bottom w:w="0" w:type="dxa"/>
            <w:right w:w="108" w:type="dxa"/>
          </w:tblCellMar>
        </w:tblPrEx>
        <w:trPr>
          <w:trHeight w:val="700" w:hRule="atLeast"/>
        </w:trPr>
        <w:tc>
          <w:tcPr>
            <w:tcW w:w="0" w:type="auto"/>
            <w:gridSpan w:val="7"/>
            <w:tcBorders>
              <w:top w:val="single" w:color="auto" w:sz="4" w:space="0"/>
              <w:left w:val="single" w:color="auto" w:sz="4" w:space="0"/>
              <w:bottom w:val="single" w:color="auto" w:sz="4" w:space="0"/>
              <w:right w:val="single" w:color="auto" w:sz="4" w:space="0"/>
            </w:tcBorders>
            <w:vAlign w:val="center"/>
          </w:tcPr>
          <w:p w14:paraId="0B700177">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包8：临时突击任务安保服务</w:t>
            </w:r>
          </w:p>
        </w:tc>
      </w:tr>
      <w:tr w14:paraId="7971E795">
        <w:tblPrEx>
          <w:tblCellMar>
            <w:top w:w="0" w:type="dxa"/>
            <w:left w:w="108" w:type="dxa"/>
            <w:bottom w:w="0" w:type="dxa"/>
            <w:right w:w="108" w:type="dxa"/>
          </w:tblCellMar>
        </w:tblPrEx>
        <w:trPr>
          <w:trHeight w:val="700" w:hRule="atLeast"/>
        </w:trPr>
        <w:tc>
          <w:tcPr>
            <w:tcW w:w="0" w:type="auto"/>
            <w:tcBorders>
              <w:top w:val="single" w:color="auto" w:sz="4" w:space="0"/>
              <w:left w:val="single" w:color="auto" w:sz="4" w:space="0"/>
              <w:bottom w:val="single" w:color="auto" w:sz="4" w:space="0"/>
              <w:right w:val="single" w:color="auto" w:sz="4" w:space="0"/>
            </w:tcBorders>
            <w:vAlign w:val="center"/>
          </w:tcPr>
          <w:p w14:paraId="696A936C">
            <w:pPr>
              <w:widowControl/>
              <w:jc w:val="center"/>
              <w:rPr>
                <w:rFonts w:hint="eastAsia" w:ascii="宋体" w:hAnsi="宋体" w:cs="宋体"/>
                <w:b/>
                <w:bCs/>
                <w:color w:val="000000" w:themeColor="text1"/>
                <w:kern w:val="0"/>
                <w:sz w:val="24"/>
              </w:rPr>
            </w:pPr>
            <w:bookmarkStart w:id="31" w:name="RANGE!B3:E5"/>
            <w:r>
              <w:rPr>
                <w:rFonts w:ascii="宋体" w:hAnsi="宋体" w:cs="宋体"/>
                <w:b/>
                <w:bCs/>
                <w:color w:val="000000" w:themeColor="text1"/>
                <w:kern w:val="0"/>
                <w:sz w:val="24"/>
              </w:rPr>
              <w:t>序号</w:t>
            </w:r>
            <w:bookmarkEnd w:id="31"/>
          </w:p>
        </w:tc>
        <w:tc>
          <w:tcPr>
            <w:tcW w:w="0" w:type="auto"/>
            <w:tcBorders>
              <w:top w:val="single" w:color="auto" w:sz="4" w:space="0"/>
              <w:left w:val="nil"/>
              <w:bottom w:val="single" w:color="auto" w:sz="4" w:space="0"/>
              <w:right w:val="single" w:color="auto" w:sz="4" w:space="0"/>
            </w:tcBorders>
            <w:vAlign w:val="center"/>
          </w:tcPr>
          <w:p w14:paraId="38A6844E">
            <w:pPr>
              <w:widowControl/>
              <w:jc w:val="center"/>
              <w:rPr>
                <w:rFonts w:hint="eastAsia" w:ascii="宋体" w:hAnsi="宋体" w:cs="宋体"/>
                <w:b/>
                <w:bCs/>
                <w:color w:val="000000" w:themeColor="text1"/>
                <w:kern w:val="0"/>
                <w:sz w:val="24"/>
              </w:rPr>
            </w:pPr>
            <w:r>
              <w:rPr>
                <w:rFonts w:ascii="宋体" w:hAnsi="宋体" w:cs="宋体"/>
                <w:b/>
                <w:bCs/>
                <w:color w:val="000000" w:themeColor="text1"/>
                <w:kern w:val="0"/>
                <w:sz w:val="24"/>
              </w:rPr>
              <w:t>临时突击任务固定岗</w:t>
            </w:r>
          </w:p>
        </w:tc>
        <w:tc>
          <w:tcPr>
            <w:tcW w:w="0" w:type="auto"/>
            <w:tcBorders>
              <w:top w:val="single" w:color="auto" w:sz="4" w:space="0"/>
              <w:left w:val="nil"/>
              <w:bottom w:val="single" w:color="auto" w:sz="4" w:space="0"/>
              <w:right w:val="single" w:color="auto" w:sz="4" w:space="0"/>
            </w:tcBorders>
            <w:noWrap/>
            <w:vAlign w:val="center"/>
          </w:tcPr>
          <w:p w14:paraId="672E77A7">
            <w:pPr>
              <w:widowControl/>
              <w:jc w:val="center"/>
              <w:rPr>
                <w:rFonts w:hint="eastAsia" w:ascii="宋体" w:hAnsi="宋体" w:cs="宋体"/>
                <w:b/>
                <w:bCs/>
                <w:color w:val="000000" w:themeColor="text1"/>
                <w:kern w:val="0"/>
                <w:sz w:val="24"/>
              </w:rPr>
            </w:pPr>
            <w:r>
              <w:rPr>
                <w:rFonts w:ascii="宋体" w:hAnsi="宋体" w:cs="宋体"/>
                <w:b/>
                <w:bCs/>
                <w:color w:val="000000" w:themeColor="text1"/>
                <w:kern w:val="0"/>
                <w:sz w:val="24"/>
              </w:rPr>
              <w:t>人·天</w:t>
            </w:r>
          </w:p>
        </w:tc>
        <w:tc>
          <w:tcPr>
            <w:tcW w:w="0" w:type="auto"/>
            <w:tcBorders>
              <w:top w:val="single" w:color="auto" w:sz="4" w:space="0"/>
              <w:left w:val="nil"/>
              <w:bottom w:val="single" w:color="auto" w:sz="4" w:space="0"/>
              <w:right w:val="single" w:color="auto" w:sz="4" w:space="0"/>
            </w:tcBorders>
            <w:vAlign w:val="center"/>
          </w:tcPr>
          <w:p w14:paraId="7CB14144">
            <w:pPr>
              <w:widowControl/>
              <w:jc w:val="center"/>
              <w:rPr>
                <w:rFonts w:hint="eastAsia" w:ascii="宋体" w:hAnsi="宋体" w:cs="宋体"/>
                <w:b/>
                <w:bCs/>
                <w:color w:val="000000" w:themeColor="text1"/>
                <w:kern w:val="0"/>
                <w:sz w:val="24"/>
              </w:rPr>
            </w:pPr>
            <w:r>
              <w:rPr>
                <w:rFonts w:ascii="宋体" w:hAnsi="宋体" w:cs="宋体"/>
                <w:b/>
                <w:bCs/>
                <w:color w:val="000000" w:themeColor="text1"/>
                <w:kern w:val="0"/>
                <w:sz w:val="24"/>
              </w:rPr>
              <w:t>服务内容</w:t>
            </w:r>
          </w:p>
        </w:tc>
        <w:tc>
          <w:tcPr>
            <w:tcW w:w="0" w:type="auto"/>
            <w:tcBorders>
              <w:top w:val="single" w:color="auto" w:sz="4" w:space="0"/>
              <w:left w:val="nil"/>
              <w:bottom w:val="single" w:color="auto" w:sz="4" w:space="0"/>
              <w:right w:val="single" w:color="auto" w:sz="4" w:space="0"/>
            </w:tcBorders>
            <w:noWrap/>
            <w:vAlign w:val="center"/>
          </w:tcPr>
          <w:p w14:paraId="3721DAB8">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预估服务规模</w:t>
            </w:r>
          </w:p>
        </w:tc>
        <w:tc>
          <w:tcPr>
            <w:tcW w:w="0" w:type="auto"/>
            <w:tcBorders>
              <w:top w:val="single" w:color="auto" w:sz="4" w:space="0"/>
              <w:left w:val="nil"/>
              <w:bottom w:val="single" w:color="auto" w:sz="4" w:space="0"/>
              <w:right w:val="single" w:color="auto" w:sz="4" w:space="0"/>
            </w:tcBorders>
            <w:noWrap/>
            <w:vAlign w:val="center"/>
          </w:tcPr>
          <w:p w14:paraId="28D098FD">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服务标准</w:t>
            </w:r>
          </w:p>
        </w:tc>
        <w:tc>
          <w:tcPr>
            <w:tcW w:w="0" w:type="auto"/>
            <w:tcBorders>
              <w:top w:val="single" w:color="auto" w:sz="4" w:space="0"/>
              <w:left w:val="nil"/>
              <w:bottom w:val="single" w:color="auto" w:sz="4" w:space="0"/>
              <w:right w:val="single" w:color="auto" w:sz="4" w:space="0"/>
            </w:tcBorders>
            <w:noWrap/>
            <w:vAlign w:val="center"/>
          </w:tcPr>
          <w:p w14:paraId="6589FB13">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权责边界</w:t>
            </w:r>
          </w:p>
        </w:tc>
      </w:tr>
      <w:tr w14:paraId="47BA3814">
        <w:tblPrEx>
          <w:tblCellMar>
            <w:top w:w="0" w:type="dxa"/>
            <w:left w:w="108" w:type="dxa"/>
            <w:bottom w:w="0" w:type="dxa"/>
            <w:right w:w="108" w:type="dxa"/>
          </w:tblCellMar>
        </w:tblPrEx>
        <w:trPr>
          <w:trHeight w:val="4560" w:hRule="atLeast"/>
        </w:trPr>
        <w:tc>
          <w:tcPr>
            <w:tcW w:w="0" w:type="auto"/>
            <w:tcBorders>
              <w:top w:val="nil"/>
              <w:left w:val="single" w:color="auto" w:sz="4" w:space="0"/>
              <w:bottom w:val="single" w:color="auto" w:sz="4" w:space="0"/>
              <w:right w:val="single" w:color="auto" w:sz="4" w:space="0"/>
            </w:tcBorders>
            <w:vAlign w:val="center"/>
          </w:tcPr>
          <w:p w14:paraId="21CE3D9C">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1</w:t>
            </w:r>
          </w:p>
        </w:tc>
        <w:tc>
          <w:tcPr>
            <w:tcW w:w="0" w:type="auto"/>
            <w:tcBorders>
              <w:top w:val="nil"/>
              <w:left w:val="nil"/>
              <w:bottom w:val="single" w:color="auto" w:sz="4" w:space="0"/>
              <w:right w:val="single" w:color="auto" w:sz="4" w:space="0"/>
            </w:tcBorders>
            <w:noWrap/>
            <w:vAlign w:val="center"/>
          </w:tcPr>
          <w:p w14:paraId="001E5488">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临时</w:t>
            </w:r>
            <w:r>
              <w:rPr>
                <w:rFonts w:hint="eastAsia" w:ascii="宋体" w:hAnsi="宋体" w:cs="宋体"/>
                <w:color w:val="000000" w:themeColor="text1"/>
                <w:kern w:val="0"/>
                <w:sz w:val="24"/>
              </w:rPr>
              <w:t>突击</w:t>
            </w:r>
            <w:r>
              <w:rPr>
                <w:rFonts w:hint="eastAsia" w:ascii="宋体" w:hAnsi="宋体" w:cs="___WRD_EMBED_SUB_50"/>
                <w:color w:val="000000" w:themeColor="text1"/>
                <w:kern w:val="0"/>
                <w:sz w:val="24"/>
              </w:rPr>
              <w:t>任务</w:t>
            </w:r>
          </w:p>
        </w:tc>
        <w:tc>
          <w:tcPr>
            <w:tcW w:w="0" w:type="auto"/>
            <w:tcBorders>
              <w:top w:val="nil"/>
              <w:left w:val="nil"/>
              <w:bottom w:val="single" w:color="auto" w:sz="4" w:space="0"/>
              <w:right w:val="single" w:color="auto" w:sz="4" w:space="0"/>
            </w:tcBorders>
            <w:noWrap/>
            <w:vAlign w:val="center"/>
          </w:tcPr>
          <w:p w14:paraId="269D8421">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1000</w:t>
            </w:r>
          </w:p>
        </w:tc>
        <w:tc>
          <w:tcPr>
            <w:tcW w:w="0" w:type="auto"/>
            <w:tcBorders>
              <w:top w:val="nil"/>
              <w:left w:val="nil"/>
              <w:bottom w:val="single" w:color="auto" w:sz="4" w:space="0"/>
              <w:right w:val="single" w:color="auto" w:sz="4" w:space="0"/>
            </w:tcBorders>
            <w:vAlign w:val="center"/>
          </w:tcPr>
          <w:p w14:paraId="03E2AB9A">
            <w:pPr>
              <w:widowControl/>
              <w:jc w:val="left"/>
              <w:rPr>
                <w:rFonts w:hint="eastAsia" w:ascii="宋体" w:hAnsi="宋体" w:cs="宋体"/>
                <w:color w:val="000000" w:themeColor="text1"/>
                <w:kern w:val="0"/>
                <w:sz w:val="24"/>
              </w:rPr>
            </w:pPr>
            <w:r>
              <w:rPr>
                <w:rFonts w:ascii="宋体" w:hAnsi="宋体" w:cs="宋体"/>
                <w:color w:val="000000" w:themeColor="text1"/>
                <w:kern w:val="0"/>
                <w:sz w:val="24"/>
              </w:rPr>
              <w:t>1. 景区重点区域秩序维护，游客疏导、人流管控，防止拥堵、踩踏风险；</w:t>
            </w:r>
            <w:r>
              <w:rPr>
                <w:rFonts w:ascii="宋体" w:hAnsi="宋体" w:cs="宋体"/>
                <w:color w:val="000000" w:themeColor="text1"/>
                <w:kern w:val="0"/>
                <w:sz w:val="24"/>
              </w:rPr>
              <w:br w:type="textWrapping"/>
            </w:r>
            <w:r>
              <w:rPr>
                <w:rFonts w:ascii="宋体" w:hAnsi="宋体" w:cs="宋体"/>
                <w:color w:val="000000" w:themeColor="text1"/>
                <w:kern w:val="0"/>
                <w:sz w:val="24"/>
              </w:rPr>
              <w:t>2. 出入口、</w:t>
            </w:r>
            <w:r>
              <w:rPr>
                <w:rFonts w:hint="eastAsia" w:ascii="宋体" w:hAnsi="宋体" w:cstheme="minorEastAsia"/>
                <w:color w:val="000000" w:themeColor="text1"/>
                <w:kern w:val="0"/>
                <w:sz w:val="24"/>
              </w:rPr>
              <w:t>非机动车停车秩序管理</w:t>
            </w:r>
            <w:r>
              <w:rPr>
                <w:rFonts w:ascii="宋体" w:hAnsi="宋体" w:cs="宋体"/>
                <w:color w:val="000000" w:themeColor="text1"/>
                <w:kern w:val="0"/>
                <w:sz w:val="24"/>
              </w:rPr>
              <w:t>、机动车通行引导，劝阻违规停放、翻越护栏、违规进入管控区域行为；</w:t>
            </w:r>
            <w:r>
              <w:rPr>
                <w:rFonts w:ascii="宋体" w:hAnsi="宋体" w:cs="宋体"/>
                <w:color w:val="000000" w:themeColor="text1"/>
                <w:kern w:val="0"/>
                <w:sz w:val="24"/>
              </w:rPr>
              <w:br w:type="textWrapping"/>
            </w:r>
            <w:r>
              <w:rPr>
                <w:rFonts w:ascii="宋体" w:hAnsi="宋体" w:cs="宋体"/>
                <w:color w:val="000000" w:themeColor="text1"/>
                <w:kern w:val="0"/>
                <w:sz w:val="24"/>
              </w:rPr>
              <w:t>3. 现场安全巡查，发现火情、设施损坏、游客纠纷、安全隐患第一时间上报并先期处置；</w:t>
            </w:r>
            <w:r>
              <w:rPr>
                <w:rFonts w:ascii="宋体" w:hAnsi="宋体" w:cs="宋体"/>
                <w:color w:val="000000" w:themeColor="text1"/>
                <w:kern w:val="0"/>
                <w:sz w:val="24"/>
              </w:rPr>
              <w:br w:type="textWrapping"/>
            </w:r>
            <w:r>
              <w:rPr>
                <w:rFonts w:ascii="宋体" w:hAnsi="宋体" w:cs="宋体"/>
                <w:color w:val="000000" w:themeColor="text1"/>
                <w:kern w:val="0"/>
                <w:sz w:val="24"/>
              </w:rPr>
              <w:t>4. 突发事件、游客冲突、紧急情况的现场先期处置，配合公安、消防开展联动保障；</w:t>
            </w:r>
            <w:r>
              <w:rPr>
                <w:rFonts w:ascii="宋体" w:hAnsi="宋体" w:cs="宋体"/>
                <w:color w:val="000000" w:themeColor="text1"/>
                <w:kern w:val="0"/>
                <w:sz w:val="24"/>
              </w:rPr>
              <w:br w:type="textWrapping"/>
            </w:r>
            <w:r>
              <w:rPr>
                <w:rFonts w:ascii="宋体" w:hAnsi="宋体" w:cs="宋体"/>
                <w:color w:val="000000" w:themeColor="text1"/>
                <w:kern w:val="0"/>
                <w:sz w:val="24"/>
              </w:rPr>
              <w:t>5. 重大节假日、大型活动期间，根据采购人指令，机动增配安保力量，提供临时值守保障；</w:t>
            </w:r>
            <w:r>
              <w:rPr>
                <w:rFonts w:ascii="宋体" w:hAnsi="宋体" w:cs="宋体"/>
                <w:color w:val="000000" w:themeColor="text1"/>
                <w:kern w:val="0"/>
                <w:sz w:val="24"/>
              </w:rPr>
              <w:br w:type="textWrapping"/>
            </w:r>
            <w:r>
              <w:rPr>
                <w:rFonts w:ascii="宋体" w:hAnsi="宋体" w:cs="宋体"/>
                <w:color w:val="000000" w:themeColor="text1"/>
                <w:kern w:val="0"/>
                <w:sz w:val="24"/>
              </w:rPr>
              <w:t>6. 每日在园时间不低于12小时。</w:t>
            </w:r>
          </w:p>
        </w:tc>
        <w:tc>
          <w:tcPr>
            <w:tcW w:w="0" w:type="auto"/>
            <w:tcBorders>
              <w:top w:val="nil"/>
              <w:left w:val="nil"/>
              <w:bottom w:val="single" w:color="auto" w:sz="4" w:space="0"/>
              <w:right w:val="single" w:color="auto" w:sz="4" w:space="0"/>
            </w:tcBorders>
            <w:vAlign w:val="center"/>
          </w:tcPr>
          <w:p w14:paraId="29DDEAFE">
            <w:pPr>
              <w:widowControl/>
              <w:jc w:val="left"/>
              <w:rPr>
                <w:rFonts w:hint="eastAsia" w:ascii="宋体" w:hAnsi="宋体" w:cs="宋体"/>
                <w:color w:val="000000" w:themeColor="text1"/>
                <w:kern w:val="0"/>
                <w:sz w:val="24"/>
              </w:rPr>
            </w:pPr>
            <w:r>
              <w:rPr>
                <w:rFonts w:ascii="宋体" w:hAnsi="宋体" w:cs="宋体"/>
                <w:color w:val="000000" w:themeColor="text1"/>
                <w:kern w:val="0"/>
                <w:sz w:val="24"/>
              </w:rPr>
              <w:t>项目预估最高需要40人同步在岗保障，服务按人·天计量。采购人根据客流、活动计划提前通知中标人上岗人数与执勤时段；最终结算以采购人验收合格的实际服务人·天为准。中标人必须具备在短时间内足额调集符合条件安保人员的能力。</w:t>
            </w:r>
          </w:p>
        </w:tc>
        <w:tc>
          <w:tcPr>
            <w:tcW w:w="0" w:type="auto"/>
            <w:tcBorders>
              <w:top w:val="nil"/>
              <w:left w:val="nil"/>
              <w:bottom w:val="single" w:color="auto" w:sz="4" w:space="0"/>
              <w:right w:val="single" w:color="auto" w:sz="4" w:space="0"/>
            </w:tcBorders>
            <w:vAlign w:val="center"/>
          </w:tcPr>
          <w:p w14:paraId="418CE704">
            <w:pPr>
              <w:widowControl/>
              <w:jc w:val="left"/>
              <w:rPr>
                <w:rFonts w:hint="eastAsia" w:ascii="宋体" w:hAnsi="宋体" w:cs="宋体"/>
                <w:color w:val="000000" w:themeColor="text1"/>
                <w:kern w:val="0"/>
                <w:sz w:val="24"/>
              </w:rPr>
            </w:pPr>
            <w:r>
              <w:rPr>
                <w:rFonts w:ascii="宋体" w:hAnsi="宋体" w:cs="宋体"/>
                <w:color w:val="000000" w:themeColor="text1"/>
                <w:kern w:val="0"/>
                <w:sz w:val="24"/>
              </w:rPr>
              <w:t>1. 上岗安保人员须持有保安员证，无犯罪记录，身体健康，年龄符合安保从业规范；</w:t>
            </w:r>
            <w:r>
              <w:rPr>
                <w:rFonts w:ascii="宋体" w:hAnsi="宋体" w:cs="宋体"/>
                <w:color w:val="000000" w:themeColor="text1"/>
                <w:kern w:val="0"/>
                <w:sz w:val="24"/>
              </w:rPr>
              <w:br w:type="textWrapping"/>
            </w:r>
            <w:r>
              <w:rPr>
                <w:rFonts w:ascii="宋体" w:hAnsi="宋体" w:cs="宋体"/>
                <w:color w:val="000000" w:themeColor="text1"/>
                <w:kern w:val="0"/>
                <w:sz w:val="24"/>
              </w:rPr>
              <w:t>2. 上岗统一着装、佩戴标识，配备必要的防暴装备（由中标人自行提供）；</w:t>
            </w:r>
            <w:r>
              <w:rPr>
                <w:rFonts w:ascii="宋体" w:hAnsi="宋体" w:cs="宋体"/>
                <w:color w:val="000000" w:themeColor="text1"/>
                <w:kern w:val="0"/>
                <w:sz w:val="24"/>
              </w:rPr>
              <w:br w:type="textWrapping"/>
            </w:r>
            <w:r>
              <w:rPr>
                <w:rFonts w:ascii="宋体" w:hAnsi="宋体" w:cs="宋体"/>
                <w:color w:val="000000" w:themeColor="text1"/>
                <w:kern w:val="0"/>
                <w:sz w:val="24"/>
              </w:rPr>
              <w:t>3. 中标人须对所有安保人员岗前培训，熟悉景区管理规定、应急处置流程；</w:t>
            </w:r>
            <w:r>
              <w:rPr>
                <w:rFonts w:ascii="宋体" w:hAnsi="宋体" w:cs="宋体"/>
                <w:color w:val="000000" w:themeColor="text1"/>
                <w:kern w:val="0"/>
                <w:sz w:val="24"/>
              </w:rPr>
              <w:br w:type="textWrapping"/>
            </w:r>
            <w:r>
              <w:rPr>
                <w:rFonts w:ascii="宋体" w:hAnsi="宋体" w:cs="宋体"/>
                <w:color w:val="000000" w:themeColor="text1"/>
                <w:kern w:val="0"/>
                <w:sz w:val="24"/>
              </w:rPr>
              <w:t>4. 中标人为全部安保人员缴纳社保，承担用工、工伤、人身损害全部法律责任；</w:t>
            </w:r>
            <w:r>
              <w:rPr>
                <w:rFonts w:ascii="宋体" w:hAnsi="宋体" w:cs="宋体"/>
                <w:color w:val="000000" w:themeColor="text1"/>
                <w:kern w:val="0"/>
                <w:sz w:val="24"/>
              </w:rPr>
              <w:br w:type="textWrapping"/>
            </w:r>
            <w:r>
              <w:rPr>
                <w:rFonts w:ascii="宋体" w:hAnsi="宋体" w:cs="宋体"/>
                <w:color w:val="000000" w:themeColor="text1"/>
                <w:kern w:val="0"/>
                <w:sz w:val="24"/>
              </w:rPr>
              <w:t>5. 人员替换：如安保人员不合格，采购人有权提出更换，中标人须在规定时限内替换同等资质人员，不得影响服务。</w:t>
            </w:r>
          </w:p>
        </w:tc>
        <w:tc>
          <w:tcPr>
            <w:tcW w:w="0" w:type="auto"/>
            <w:tcBorders>
              <w:top w:val="nil"/>
              <w:left w:val="nil"/>
              <w:bottom w:val="single" w:color="auto" w:sz="4" w:space="0"/>
              <w:right w:val="single" w:color="auto" w:sz="4" w:space="0"/>
            </w:tcBorders>
            <w:vAlign w:val="center"/>
          </w:tcPr>
          <w:p w14:paraId="55876F00">
            <w:pPr>
              <w:widowControl/>
              <w:jc w:val="left"/>
              <w:rPr>
                <w:rFonts w:hint="eastAsia" w:ascii="宋体" w:hAnsi="宋体" w:cs="宋体"/>
                <w:color w:val="000000" w:themeColor="text1"/>
                <w:kern w:val="0"/>
                <w:sz w:val="24"/>
              </w:rPr>
            </w:pPr>
            <w:r>
              <w:rPr>
                <w:rFonts w:ascii="宋体" w:hAnsi="宋体" w:cs="宋体"/>
                <w:color w:val="000000" w:themeColor="text1"/>
                <w:kern w:val="0"/>
                <w:sz w:val="24"/>
              </w:rPr>
              <w:t>1. 本项目属于购买安保服务成果，不属于人员招聘、劳务派遣、岗位外包。中标人派驻现场人员为中标人单位员工，与采购人不存在劳动关系、劳务关系；</w:t>
            </w:r>
            <w:r>
              <w:rPr>
                <w:rFonts w:ascii="宋体" w:hAnsi="宋体" w:cs="宋体"/>
                <w:color w:val="000000" w:themeColor="text1"/>
                <w:kern w:val="0"/>
                <w:sz w:val="24"/>
              </w:rPr>
              <w:br w:type="textWrapping"/>
            </w:r>
            <w:r>
              <w:rPr>
                <w:rFonts w:ascii="宋体" w:hAnsi="宋体" w:cs="宋体"/>
                <w:color w:val="000000" w:themeColor="text1"/>
                <w:kern w:val="0"/>
                <w:sz w:val="24"/>
              </w:rPr>
              <w:t>2. 采购人仅提出服务任务目标，不直接对中标人员工进行人事管理、考勤、奖惩；现场工作指令仅针对服务事项，不直接管理人员；</w:t>
            </w:r>
            <w:r>
              <w:rPr>
                <w:rFonts w:ascii="宋体" w:hAnsi="宋体" w:cs="宋体"/>
                <w:color w:val="000000" w:themeColor="text1"/>
                <w:kern w:val="0"/>
                <w:sz w:val="24"/>
              </w:rPr>
              <w:br w:type="textWrapping"/>
            </w:r>
            <w:r>
              <w:rPr>
                <w:rFonts w:ascii="宋体" w:hAnsi="宋体" w:cs="宋体"/>
                <w:color w:val="000000" w:themeColor="text1"/>
                <w:kern w:val="0"/>
                <w:sz w:val="24"/>
              </w:rPr>
              <w:t>3. 所有用工纠纷、劳动仲裁、工伤事故、人身损害赔偿全部由中标人独立承担，与采购人无关。</w:t>
            </w:r>
          </w:p>
        </w:tc>
      </w:tr>
      <w:tr w14:paraId="27FB9C94">
        <w:tblPrEx>
          <w:tblCellMar>
            <w:top w:w="0" w:type="dxa"/>
            <w:left w:w="108" w:type="dxa"/>
            <w:bottom w:w="0" w:type="dxa"/>
            <w:right w:w="108" w:type="dxa"/>
          </w:tblCellMar>
        </w:tblPrEx>
        <w:trPr>
          <w:trHeight w:val="1100" w:hRule="atLeast"/>
        </w:trPr>
        <w:tc>
          <w:tcPr>
            <w:tcW w:w="0" w:type="auto"/>
            <w:gridSpan w:val="2"/>
            <w:tcBorders>
              <w:top w:val="single" w:color="auto" w:sz="4" w:space="0"/>
              <w:left w:val="single" w:color="auto" w:sz="4" w:space="0"/>
              <w:bottom w:val="single" w:color="auto" w:sz="4" w:space="0"/>
              <w:right w:val="single" w:color="auto" w:sz="4" w:space="0"/>
            </w:tcBorders>
            <w:vAlign w:val="center"/>
          </w:tcPr>
          <w:p w14:paraId="4E063261">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小计</w:t>
            </w:r>
          </w:p>
        </w:tc>
        <w:tc>
          <w:tcPr>
            <w:tcW w:w="0" w:type="auto"/>
            <w:tcBorders>
              <w:top w:val="nil"/>
              <w:left w:val="nil"/>
              <w:bottom w:val="nil"/>
              <w:right w:val="single" w:color="auto" w:sz="4" w:space="0"/>
            </w:tcBorders>
            <w:noWrap/>
            <w:vAlign w:val="center"/>
          </w:tcPr>
          <w:p w14:paraId="5EC78848">
            <w:pPr>
              <w:widowControl/>
              <w:jc w:val="center"/>
              <w:rPr>
                <w:rFonts w:hint="eastAsia" w:ascii="宋体" w:hAnsi="宋体" w:cs="宋体"/>
                <w:color w:val="000000" w:themeColor="text1"/>
                <w:kern w:val="0"/>
                <w:sz w:val="24"/>
              </w:rPr>
            </w:pPr>
            <w:r>
              <w:rPr>
                <w:rFonts w:ascii="宋体" w:hAnsi="宋体" w:cs="宋体"/>
                <w:color w:val="000000" w:themeColor="text1"/>
                <w:kern w:val="0"/>
                <w:sz w:val="24"/>
              </w:rPr>
              <w:t>1000</w:t>
            </w:r>
          </w:p>
        </w:tc>
        <w:tc>
          <w:tcPr>
            <w:tcW w:w="0" w:type="auto"/>
            <w:gridSpan w:val="4"/>
            <w:tcBorders>
              <w:top w:val="single" w:color="auto" w:sz="4" w:space="0"/>
              <w:left w:val="nil"/>
              <w:bottom w:val="single" w:color="auto" w:sz="4" w:space="0"/>
              <w:right w:val="single" w:color="auto" w:sz="4" w:space="0"/>
            </w:tcBorders>
            <w:vAlign w:val="center"/>
          </w:tcPr>
          <w:p w14:paraId="27C41237">
            <w:pPr>
              <w:widowControl/>
              <w:jc w:val="left"/>
              <w:rPr>
                <w:rFonts w:hint="eastAsia" w:ascii="宋体" w:hAnsi="宋体" w:cs="宋体"/>
                <w:color w:val="000000" w:themeColor="text1"/>
                <w:kern w:val="0"/>
                <w:sz w:val="24"/>
              </w:rPr>
            </w:pPr>
            <w:r>
              <w:rPr>
                <w:rFonts w:ascii="宋体" w:hAnsi="宋体" w:cs="宋体"/>
                <w:color w:val="000000" w:themeColor="text1"/>
                <w:kern w:val="0"/>
                <w:sz w:val="24"/>
              </w:rPr>
              <w:t>服务范围为景区出入口、停车场、游览步道等公共区域。服务内容由中标人全权承接，中标人自主负责人员招募、培训、管理、排班、装备配置、餐费自理、人员劳动关系、薪酬社保、安全责任，采购人仅对安保服务成果进行验收，不直接管理中标人工作人员。</w:t>
            </w:r>
          </w:p>
        </w:tc>
      </w:tr>
      <w:tr w14:paraId="687369D0">
        <w:tblPrEx>
          <w:tblCellMar>
            <w:top w:w="0" w:type="dxa"/>
            <w:left w:w="108" w:type="dxa"/>
            <w:bottom w:w="0" w:type="dxa"/>
            <w:right w:w="108" w:type="dxa"/>
          </w:tblCellMar>
        </w:tblPrEx>
        <w:trPr>
          <w:trHeight w:val="1100" w:hRule="atLeast"/>
        </w:trPr>
        <w:tc>
          <w:tcPr>
            <w:tcW w:w="0" w:type="auto"/>
            <w:gridSpan w:val="7"/>
            <w:tcBorders>
              <w:top w:val="single" w:color="auto" w:sz="4" w:space="0"/>
              <w:left w:val="single" w:color="auto" w:sz="4" w:space="0"/>
              <w:bottom w:val="single" w:color="auto" w:sz="4" w:space="0"/>
              <w:right w:val="single" w:color="auto" w:sz="4" w:space="0"/>
            </w:tcBorders>
            <w:vAlign w:val="center"/>
          </w:tcPr>
          <w:p w14:paraId="03A4E860">
            <w:pPr>
              <w:widowControl/>
              <w:jc w:val="center"/>
              <w:rPr>
                <w:rFonts w:hint="eastAsia" w:ascii="宋体" w:hAnsi="宋体" w:cs="宋体"/>
                <w:color w:val="000000" w:themeColor="text1"/>
                <w:kern w:val="0"/>
                <w:sz w:val="24"/>
              </w:rPr>
            </w:pPr>
            <w:r>
              <w:rPr>
                <w:rFonts w:hint="eastAsia" w:ascii="宋体" w:hAnsi="宋体" w:cs="微软雅黑"/>
                <w:b/>
                <w:color w:val="000000" w:themeColor="text1"/>
                <w:kern w:val="0"/>
                <w:sz w:val="24"/>
              </w:rPr>
              <w:t>服务期为：2027.1.1-2027.11.30</w:t>
            </w:r>
          </w:p>
        </w:tc>
      </w:tr>
    </w:tbl>
    <w:p w14:paraId="7AB29003">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tbl>
      <w:tblPr>
        <w:tblStyle w:val="45"/>
        <w:tblW w:w="4999" w:type="pct"/>
        <w:jc w:val="center"/>
        <w:tblLayout w:type="autofit"/>
        <w:tblCellMar>
          <w:top w:w="0" w:type="dxa"/>
          <w:left w:w="108" w:type="dxa"/>
          <w:bottom w:w="0" w:type="dxa"/>
          <w:right w:w="108" w:type="dxa"/>
        </w:tblCellMar>
      </w:tblPr>
      <w:tblGrid>
        <w:gridCol w:w="478"/>
        <w:gridCol w:w="1137"/>
        <w:gridCol w:w="557"/>
        <w:gridCol w:w="2647"/>
        <w:gridCol w:w="3577"/>
        <w:gridCol w:w="2613"/>
        <w:gridCol w:w="3208"/>
      </w:tblGrid>
      <w:tr w14:paraId="05BB8696">
        <w:tblPrEx>
          <w:tblCellMar>
            <w:top w:w="0" w:type="dxa"/>
            <w:left w:w="108" w:type="dxa"/>
            <w:bottom w:w="0" w:type="dxa"/>
            <w:right w:w="108" w:type="dxa"/>
          </w:tblCellMar>
        </w:tblPrEx>
        <w:trPr>
          <w:tblHeader/>
          <w:jc w:val="center"/>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2F4BB069">
            <w:pPr>
              <w:widowControl/>
              <w:snapToGrid w:val="0"/>
              <w:jc w:val="center"/>
              <w:rPr>
                <w:rFonts w:hint="eastAsia" w:ascii="宋体" w:hAnsi="宋体" w:cs="宋体"/>
                <w:b/>
                <w:bCs/>
                <w:color w:val="000000" w:themeColor="text1"/>
                <w:sz w:val="24"/>
              </w:rPr>
            </w:pPr>
            <w:r>
              <w:rPr>
                <w:rFonts w:hint="eastAsia" w:ascii="宋体" w:hAnsi="宋体" w:cs="宋体"/>
                <w:b/>
                <w:bCs/>
                <w:color w:val="000000" w:themeColor="text1"/>
                <w:kern w:val="0"/>
                <w:sz w:val="24"/>
              </w:rPr>
              <w:t>包9：</w:t>
            </w:r>
            <w:r>
              <w:rPr>
                <w:rFonts w:ascii="宋体" w:hAnsi="宋体" w:cs="宋体"/>
                <w:b/>
                <w:bCs/>
                <w:color w:val="000000" w:themeColor="text1"/>
                <w:kern w:val="0"/>
                <w:sz w:val="24"/>
              </w:rPr>
              <w:t>消防安全服务</w:t>
            </w:r>
          </w:p>
        </w:tc>
      </w:tr>
      <w:tr w14:paraId="1D89D64B">
        <w:tblPrEx>
          <w:tblCellMar>
            <w:top w:w="0" w:type="dxa"/>
            <w:left w:w="108" w:type="dxa"/>
            <w:bottom w:w="0" w:type="dxa"/>
            <w:right w:w="108" w:type="dxa"/>
          </w:tblCellMar>
        </w:tblPrEx>
        <w:trPr>
          <w:tblHeader/>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0626E530">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序号</w:t>
            </w:r>
          </w:p>
        </w:tc>
        <w:tc>
          <w:tcPr>
            <w:tcW w:w="400" w:type="pct"/>
            <w:tcBorders>
              <w:top w:val="single" w:color="000000" w:sz="4" w:space="0"/>
              <w:left w:val="single" w:color="000000" w:sz="4" w:space="0"/>
              <w:bottom w:val="single" w:color="000000" w:sz="4" w:space="0"/>
              <w:right w:val="single" w:color="000000" w:sz="4" w:space="0"/>
            </w:tcBorders>
            <w:vAlign w:val="center"/>
          </w:tcPr>
          <w:p w14:paraId="1D331ADC">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项目名称</w:t>
            </w:r>
          </w:p>
        </w:tc>
        <w:tc>
          <w:tcPr>
            <w:tcW w:w="196" w:type="pct"/>
            <w:tcBorders>
              <w:top w:val="single" w:color="000000" w:sz="4" w:space="0"/>
              <w:left w:val="single" w:color="000000" w:sz="4" w:space="0"/>
              <w:bottom w:val="single" w:color="000000" w:sz="4" w:space="0"/>
              <w:right w:val="single" w:color="auto" w:sz="4" w:space="0"/>
            </w:tcBorders>
            <w:vAlign w:val="center"/>
          </w:tcPr>
          <w:p w14:paraId="4C9A3B25">
            <w:pPr>
              <w:widowControl/>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sz w:val="24"/>
              </w:rPr>
              <w:t>岗位人数</w:t>
            </w:r>
          </w:p>
        </w:tc>
        <w:tc>
          <w:tcPr>
            <w:tcW w:w="931" w:type="pct"/>
            <w:tcBorders>
              <w:top w:val="single" w:color="000000" w:sz="4" w:space="0"/>
              <w:left w:val="single" w:color="auto" w:sz="4" w:space="0"/>
              <w:bottom w:val="single" w:color="000000" w:sz="4" w:space="0"/>
              <w:right w:val="single" w:color="000000" w:sz="4" w:space="0"/>
            </w:tcBorders>
            <w:vAlign w:val="center"/>
          </w:tcPr>
          <w:p w14:paraId="53DBD062">
            <w:pPr>
              <w:snapToGrid w:val="0"/>
              <w:jc w:val="center"/>
              <w:textAlignment w:val="center"/>
              <w:rPr>
                <w:rFonts w:hint="eastAsia" w:ascii="宋体" w:hAnsi="宋体" w:cs="宋体"/>
                <w:b/>
                <w:bCs/>
                <w:color w:val="000000" w:themeColor="text1"/>
                <w:sz w:val="24"/>
              </w:rPr>
            </w:pPr>
            <w:r>
              <w:rPr>
                <w:rFonts w:hint="eastAsia" w:ascii="宋体" w:hAnsi="宋体" w:cs="宋体"/>
                <w:b/>
                <w:bCs/>
                <w:color w:val="000000" w:themeColor="text1"/>
                <w:kern w:val="0"/>
                <w:sz w:val="24"/>
              </w:rPr>
              <w:t>服务内容</w:t>
            </w:r>
          </w:p>
        </w:tc>
        <w:tc>
          <w:tcPr>
            <w:tcW w:w="1258" w:type="pct"/>
            <w:tcBorders>
              <w:top w:val="single" w:color="000000" w:sz="4" w:space="0"/>
              <w:left w:val="single" w:color="000000" w:sz="4" w:space="0"/>
              <w:bottom w:val="single" w:color="000000" w:sz="4" w:space="0"/>
              <w:right w:val="single" w:color="000000" w:sz="4" w:space="0"/>
            </w:tcBorders>
            <w:noWrap/>
            <w:vAlign w:val="center"/>
          </w:tcPr>
          <w:p w14:paraId="32D6268E">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预估服务规模</w:t>
            </w:r>
          </w:p>
        </w:tc>
        <w:tc>
          <w:tcPr>
            <w:tcW w:w="919" w:type="pct"/>
            <w:tcBorders>
              <w:top w:val="single" w:color="000000" w:sz="4" w:space="0"/>
              <w:left w:val="single" w:color="000000" w:sz="4" w:space="0"/>
              <w:bottom w:val="single" w:color="000000" w:sz="4" w:space="0"/>
              <w:right w:val="single" w:color="000000" w:sz="4" w:space="0"/>
            </w:tcBorders>
            <w:noWrap/>
            <w:vAlign w:val="center"/>
          </w:tcPr>
          <w:p w14:paraId="5C91DF17">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服务标准</w:t>
            </w:r>
          </w:p>
        </w:tc>
        <w:tc>
          <w:tcPr>
            <w:tcW w:w="1128" w:type="pct"/>
            <w:tcBorders>
              <w:top w:val="single" w:color="000000" w:sz="4" w:space="0"/>
              <w:left w:val="single" w:color="000000" w:sz="4" w:space="0"/>
              <w:bottom w:val="single" w:color="000000" w:sz="4" w:space="0"/>
              <w:right w:val="single" w:color="000000" w:sz="4" w:space="0"/>
            </w:tcBorders>
            <w:noWrap/>
            <w:vAlign w:val="center"/>
          </w:tcPr>
          <w:p w14:paraId="63285676">
            <w:pPr>
              <w:widowControl/>
              <w:snapToGrid w:val="0"/>
              <w:jc w:val="center"/>
              <w:textAlignment w:val="center"/>
              <w:rPr>
                <w:rFonts w:hint="eastAsia" w:ascii="宋体" w:hAnsi="宋体" w:cs="宋体"/>
                <w:color w:val="000000" w:themeColor="text1"/>
                <w:sz w:val="24"/>
              </w:rPr>
            </w:pPr>
            <w:r>
              <w:rPr>
                <w:rFonts w:hint="eastAsia" w:ascii="宋体" w:hAnsi="宋体" w:cs="宋体"/>
                <w:color w:val="000000" w:themeColor="text1"/>
                <w:kern w:val="0"/>
                <w:sz w:val="24"/>
              </w:rPr>
              <w:t>权责边界</w:t>
            </w:r>
          </w:p>
        </w:tc>
      </w:tr>
      <w:tr w14:paraId="4D9644DE">
        <w:tblPrEx>
          <w:tblCellMar>
            <w:top w:w="0" w:type="dxa"/>
            <w:left w:w="108" w:type="dxa"/>
            <w:bottom w:w="0" w:type="dxa"/>
            <w:right w:w="108" w:type="dxa"/>
          </w:tblCellMar>
        </w:tblPrEx>
        <w:trPr>
          <w:jc w:val="center"/>
        </w:trPr>
        <w:tc>
          <w:tcPr>
            <w:tcW w:w="168" w:type="pct"/>
            <w:tcBorders>
              <w:top w:val="single" w:color="000000" w:sz="4" w:space="0"/>
              <w:left w:val="single" w:color="000000" w:sz="4" w:space="0"/>
              <w:bottom w:val="single" w:color="000000" w:sz="4" w:space="0"/>
              <w:right w:val="single" w:color="000000" w:sz="4" w:space="0"/>
            </w:tcBorders>
            <w:vAlign w:val="center"/>
          </w:tcPr>
          <w:p w14:paraId="4BEEC487">
            <w:pPr>
              <w:widowControl/>
              <w:snapToGrid w:val="0"/>
              <w:jc w:val="center"/>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w:t>
            </w:r>
          </w:p>
        </w:tc>
        <w:tc>
          <w:tcPr>
            <w:tcW w:w="400" w:type="pct"/>
            <w:tcBorders>
              <w:top w:val="single" w:color="000000" w:sz="4" w:space="0"/>
              <w:left w:val="single" w:color="000000" w:sz="4" w:space="0"/>
              <w:bottom w:val="single" w:color="000000" w:sz="4" w:space="0"/>
              <w:right w:val="single" w:color="000000" w:sz="4" w:space="0"/>
            </w:tcBorders>
            <w:vAlign w:val="center"/>
          </w:tcPr>
          <w:p w14:paraId="21F63B3F">
            <w:pPr>
              <w:widowControl/>
              <w:snapToGrid w:val="0"/>
              <w:jc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消防安全服务</w:t>
            </w:r>
          </w:p>
          <w:p w14:paraId="7E4BAF4F">
            <w:pPr>
              <w:widowControl/>
              <w:snapToGrid w:val="0"/>
              <w:jc w:val="center"/>
              <w:textAlignment w:val="center"/>
              <w:rPr>
                <w:rFonts w:hint="eastAsia" w:ascii="宋体" w:hAnsi="宋体" w:cstheme="minorEastAsia"/>
                <w:color w:val="000000" w:themeColor="text1"/>
                <w:sz w:val="24"/>
              </w:rPr>
            </w:pPr>
          </w:p>
        </w:tc>
        <w:tc>
          <w:tcPr>
            <w:tcW w:w="196" w:type="pct"/>
            <w:tcBorders>
              <w:top w:val="single" w:color="000000" w:sz="4" w:space="0"/>
              <w:left w:val="single" w:color="000000" w:sz="4" w:space="0"/>
              <w:bottom w:val="single" w:color="000000" w:sz="4" w:space="0"/>
              <w:right w:val="single" w:color="auto" w:sz="4" w:space="0"/>
            </w:tcBorders>
            <w:vAlign w:val="center"/>
          </w:tcPr>
          <w:p w14:paraId="38915838">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10</w:t>
            </w:r>
          </w:p>
        </w:tc>
        <w:tc>
          <w:tcPr>
            <w:tcW w:w="931" w:type="pct"/>
            <w:tcBorders>
              <w:top w:val="single" w:color="000000" w:sz="4" w:space="0"/>
              <w:left w:val="single" w:color="auto" w:sz="4" w:space="0"/>
              <w:bottom w:val="single" w:color="000000" w:sz="4" w:space="0"/>
              <w:right w:val="single" w:color="000000" w:sz="4" w:space="0"/>
            </w:tcBorders>
            <w:vAlign w:val="center"/>
          </w:tcPr>
          <w:p w14:paraId="3AF23330">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包含景区防火巡查、消防设施巡检、初起火灾扑救、人员疏散引导、消防宣传、应急演练值守等消防安全保障服务。为保障服务落地，供应商须配置具备相应消防资质的服务人员作为服务保障力量。</w:t>
            </w:r>
          </w:p>
        </w:tc>
        <w:tc>
          <w:tcPr>
            <w:tcW w:w="1258" w:type="pct"/>
            <w:tcBorders>
              <w:top w:val="single" w:color="000000" w:sz="4" w:space="0"/>
              <w:left w:val="single" w:color="000000" w:sz="4" w:space="0"/>
              <w:bottom w:val="single" w:color="000000" w:sz="4" w:space="0"/>
              <w:right w:val="single" w:color="000000" w:sz="4" w:space="0"/>
            </w:tcBorders>
            <w:vAlign w:val="center"/>
          </w:tcPr>
          <w:p w14:paraId="78A27FEA">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*具体到人数及服务要求详见“</w:t>
            </w:r>
            <w:r>
              <w:rPr>
                <w:rFonts w:ascii="宋体" w:hAnsi="宋体" w:cstheme="minorEastAsia"/>
                <w:color w:val="000000" w:themeColor="text1"/>
                <w:kern w:val="0"/>
                <w:sz w:val="24"/>
              </w:rPr>
              <w:t>消防安全服务排班参考表</w:t>
            </w:r>
            <w:r>
              <w:rPr>
                <w:rFonts w:hint="eastAsia" w:ascii="宋体" w:hAnsi="宋体" w:cstheme="minorEastAsia"/>
                <w:color w:val="000000" w:themeColor="text1"/>
                <w:kern w:val="0"/>
                <w:sz w:val="24"/>
              </w:rPr>
              <w:t>”。工作时间为24小时。</w:t>
            </w:r>
            <w:r>
              <w:rPr>
                <w:rFonts w:ascii="宋体" w:hAnsi="宋体" w:cstheme="minorEastAsia"/>
                <w:color w:val="000000" w:themeColor="text1"/>
                <w:kern w:val="0"/>
                <w:sz w:val="24"/>
              </w:rPr>
              <w:t>人员就餐由甲方负责</w:t>
            </w:r>
            <w:r>
              <w:rPr>
                <w:rFonts w:hint="eastAsia" w:ascii="宋体" w:hAnsi="宋体" w:cstheme="minorEastAsia"/>
                <w:color w:val="000000" w:themeColor="text1"/>
                <w:kern w:val="0"/>
                <w:sz w:val="24"/>
              </w:rPr>
              <w:t>保障。</w:t>
            </w:r>
          </w:p>
        </w:tc>
        <w:tc>
          <w:tcPr>
            <w:tcW w:w="919" w:type="pct"/>
            <w:tcBorders>
              <w:top w:val="single" w:color="000000" w:sz="4" w:space="0"/>
              <w:left w:val="single" w:color="000000" w:sz="4" w:space="0"/>
              <w:bottom w:val="single" w:color="000000" w:sz="4" w:space="0"/>
              <w:right w:val="single" w:color="000000" w:sz="4" w:space="0"/>
            </w:tcBorders>
            <w:vAlign w:val="center"/>
          </w:tcPr>
          <w:p w14:paraId="0D123F27">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1. 上岗安保人员无犯罪记录，身体健康，年龄35岁以下；</w:t>
            </w:r>
          </w:p>
          <w:p w14:paraId="100D7A7C">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2. 上岗统一着装、佩戴标识，配备必要的防暴及消防应急装备（由中标人自行提供）；</w:t>
            </w:r>
          </w:p>
          <w:p w14:paraId="7020AD2D">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3. 中标人须对所有安保人员岗前培训，熟悉景区管理规定、消防设施分布、应急处置流程；</w:t>
            </w:r>
          </w:p>
          <w:p w14:paraId="30A09827">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4. 中标人为全部安保人员缴纳社保，承担用工、工伤、人身损害全部法律责任；</w:t>
            </w:r>
          </w:p>
          <w:p w14:paraId="1BF9CCF0">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sz w:val="24"/>
              </w:rPr>
              <w:t>5. 人员替换：如安保人员不合格，采购人有权提出更换，中标人须在规定时限内替换同等资质人员，不得影响服务。</w:t>
            </w:r>
          </w:p>
        </w:tc>
        <w:tc>
          <w:tcPr>
            <w:tcW w:w="1128" w:type="pct"/>
            <w:tcBorders>
              <w:top w:val="single" w:color="000000" w:sz="4" w:space="0"/>
              <w:left w:val="single" w:color="000000" w:sz="4" w:space="0"/>
              <w:bottom w:val="single" w:color="000000" w:sz="4" w:space="0"/>
              <w:right w:val="single" w:color="000000" w:sz="4" w:space="0"/>
            </w:tcBorders>
            <w:vAlign w:val="center"/>
          </w:tcPr>
          <w:p w14:paraId="5937D293">
            <w:pPr>
              <w:widowControl/>
              <w:snapToGrid w:val="0"/>
              <w:jc w:val="left"/>
              <w:textAlignment w:val="center"/>
              <w:rPr>
                <w:rFonts w:hint="eastAsia" w:ascii="宋体" w:hAnsi="宋体" w:cstheme="minorEastAsia"/>
                <w:color w:val="000000" w:themeColor="text1"/>
                <w:sz w:val="24"/>
              </w:rPr>
            </w:pPr>
            <w:r>
              <w:rPr>
                <w:rFonts w:hint="eastAsia" w:ascii="宋体" w:hAnsi="宋体" w:cstheme="minorEastAsia"/>
                <w:color w:val="000000" w:themeColor="text1"/>
                <w:kern w:val="0"/>
                <w:sz w:val="24"/>
              </w:rPr>
              <w:t>1. 本项目属于购买消防安全服务成果，不属于人员招聘、劳务派遣、岗位外包。中标人派驻现场人员为中标人单位员工，与采购人不存在劳动关系、劳务关系；</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2. 采购人仅提出服务任务目标，不直接对中标人员工进行人事管理、考勤、奖惩；现场工作指令仅针对服务事项，不直接管理人员；</w:t>
            </w:r>
            <w:r>
              <w:rPr>
                <w:rFonts w:hint="eastAsia" w:ascii="宋体" w:hAnsi="宋体" w:cstheme="minorEastAsia"/>
                <w:color w:val="000000" w:themeColor="text1"/>
                <w:kern w:val="0"/>
                <w:sz w:val="24"/>
              </w:rPr>
              <w:br w:type="textWrapping"/>
            </w:r>
            <w:r>
              <w:rPr>
                <w:rFonts w:hint="eastAsia" w:ascii="宋体" w:hAnsi="宋体" w:cstheme="minorEastAsia"/>
                <w:color w:val="000000" w:themeColor="text1"/>
                <w:kern w:val="0"/>
                <w:sz w:val="24"/>
              </w:rPr>
              <w:t>3. 所有用工纠纷、劳动仲裁、工伤事故、人身损害赔偿全部由中标人独立承担，与采购人无关。</w:t>
            </w:r>
          </w:p>
        </w:tc>
      </w:tr>
      <w:tr w14:paraId="69FCBD28">
        <w:tblPrEx>
          <w:tblCellMar>
            <w:top w:w="0" w:type="dxa"/>
            <w:left w:w="108" w:type="dxa"/>
            <w:bottom w:w="0" w:type="dxa"/>
            <w:right w:w="108" w:type="dxa"/>
          </w:tblCellMar>
        </w:tblPrEx>
        <w:trPr>
          <w:jc w:val="center"/>
        </w:trPr>
        <w:tc>
          <w:tcPr>
            <w:tcW w:w="5000" w:type="pct"/>
            <w:gridSpan w:val="7"/>
            <w:tcBorders>
              <w:top w:val="single" w:color="000000" w:sz="4" w:space="0"/>
              <w:left w:val="single" w:color="000000" w:sz="4" w:space="0"/>
              <w:bottom w:val="single" w:color="000000" w:sz="4" w:space="0"/>
              <w:right w:val="single" w:color="000000" w:sz="4" w:space="0"/>
            </w:tcBorders>
            <w:vAlign w:val="center"/>
          </w:tcPr>
          <w:p w14:paraId="18DCCEF8">
            <w:pPr>
              <w:widowControl/>
              <w:snapToGrid w:val="0"/>
              <w:jc w:val="center"/>
              <w:textAlignment w:val="center"/>
              <w:rPr>
                <w:rFonts w:hint="eastAsia" w:ascii="宋体" w:hAnsi="宋体" w:cs="宋体"/>
                <w:b/>
                <w:color w:val="000000" w:themeColor="text1"/>
                <w:kern w:val="0"/>
                <w:sz w:val="24"/>
              </w:rPr>
            </w:pPr>
            <w:r>
              <w:rPr>
                <w:rFonts w:hint="eastAsia" w:ascii="宋体" w:hAnsi="宋体" w:cs="微软雅黑"/>
                <w:b/>
                <w:color w:val="000000" w:themeColor="text1"/>
                <w:kern w:val="0"/>
                <w:sz w:val="24"/>
              </w:rPr>
              <w:t>服务期为：2026.11.1-2027.11.30</w:t>
            </w:r>
          </w:p>
        </w:tc>
      </w:tr>
    </w:tbl>
    <w:p w14:paraId="1FF1A929">
      <w:pPr>
        <w:spacing w:after="120" w:line="360" w:lineRule="auto"/>
        <w:outlineLvl w:val="1"/>
        <w:rPr>
          <w:rFonts w:hint="eastAsia" w:ascii="宋体" w:hAnsi="宋体"/>
          <w:b/>
          <w:color w:val="000000" w:themeColor="text1"/>
          <w:sz w:val="24"/>
        </w:rPr>
        <w:sectPr>
          <w:pgSz w:w="16838" w:h="11906" w:orient="landscape"/>
          <w:pgMar w:top="1417" w:right="1417" w:bottom="1417" w:left="1417" w:header="851" w:footer="992" w:gutter="0"/>
          <w:cols w:space="720" w:num="1"/>
          <w:titlePg/>
          <w:docGrid w:type="lines" w:linePitch="312" w:charSpace="0"/>
        </w:sectPr>
      </w:pPr>
    </w:p>
    <w:bookmarkEnd w:id="28"/>
    <w:p w14:paraId="22DFDB7A">
      <w:pPr>
        <w:spacing w:after="120" w:line="360" w:lineRule="auto"/>
        <w:outlineLvl w:val="1"/>
        <w:rPr>
          <w:rFonts w:hint="eastAsia" w:asciiTheme="minorEastAsia" w:hAnsiTheme="minorEastAsia" w:eastAsiaTheme="minorEastAsia" w:cstheme="minorEastAsia"/>
          <w:b/>
          <w:color w:val="000000" w:themeColor="text1"/>
          <w:sz w:val="24"/>
        </w:rPr>
      </w:pPr>
      <w:bookmarkStart w:id="32" w:name="_Toc19325"/>
      <w:r>
        <w:rPr>
          <w:rFonts w:hint="eastAsia" w:asciiTheme="minorEastAsia" w:hAnsiTheme="minorEastAsia" w:eastAsiaTheme="minorEastAsia" w:cstheme="minorEastAsia"/>
          <w:b/>
          <w:color w:val="000000" w:themeColor="text1"/>
          <w:sz w:val="24"/>
        </w:rPr>
        <w:t>三、相关服务要求</w:t>
      </w:r>
      <w:bookmarkEnd w:id="32"/>
    </w:p>
    <w:p w14:paraId="00F3AE04">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严格按照行业相关规范和省、市有关规范及政策文件，自觉接受采购人的指导和行政监督部门的监督。</w:t>
      </w:r>
    </w:p>
    <w:p w14:paraId="1F678900">
      <w:pPr>
        <w:spacing w:line="360" w:lineRule="auto"/>
        <w:ind w:firstLine="480"/>
        <w:rPr>
          <w:color w:val="000000" w:themeColor="text1"/>
        </w:rPr>
      </w:pPr>
      <w:r>
        <w:rPr>
          <w:rFonts w:hint="eastAsia" w:asciiTheme="minorEastAsia" w:hAnsiTheme="minorEastAsia" w:eastAsiaTheme="minorEastAsia" w:cstheme="minorEastAsia"/>
          <w:color w:val="000000" w:themeColor="text1"/>
          <w:sz w:val="24"/>
        </w:rPr>
        <w:t>（1）人员年龄符合劳动法和《保安服务管理条例》要求，统一着装。</w:t>
      </w:r>
    </w:p>
    <w:p w14:paraId="61FF8BA8">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（2）所有人员必须遵守国家的法律、法规，无违法、犯罪行为及记录，上岗需经过相关培训及考核，明确工作职责，遵守劳动纪律。</w:t>
      </w:r>
    </w:p>
    <w:p w14:paraId="239D9C63">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3）所有安保人员工作期间必须遵守“五不”，即不喝酒、不抽烟、不擅离工作岗位，不迟到早退，不做与工作无关的事。有责任心，有处理突发事件的经验，能够较快熟悉工作环境。使用礼貌用语、文明服务，在岗时保持仪表端庄、着装整洁、精神饱满。不得坐、卧、靠、躺；不得在服务区内争吵打闹、扎堆或闲聊。</w:t>
      </w:r>
    </w:p>
    <w:p w14:paraId="708556C8">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（4）</w:t>
      </w:r>
      <w:r>
        <w:rPr>
          <w:rFonts w:hint="eastAsia" w:asciiTheme="minorEastAsia" w:hAnsiTheme="minorEastAsia" w:eastAsiaTheme="minorEastAsia" w:cstheme="minorEastAsia"/>
          <w:b/>
          <w:color w:val="000000" w:themeColor="text1"/>
          <w:sz w:val="24"/>
        </w:rPr>
        <w:t>供应商提供的安保人员必须具有公安机关颁发的保安员证书，不允许有兼职人员（如大学生兼职、临时工等类似人员）的情况。</w:t>
      </w:r>
    </w:p>
    <w:p w14:paraId="465F282C">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5）供应商须对提供的安保人员进行岗位技能、意识形态及突发事件处置进行培训，避免发生冲突事件。如造成的经济、舆情及其他不良后果，供应商须承担相应的法律责任和经济赔偿。必要时采购人可随时终止合同。</w:t>
      </w:r>
    </w:p>
    <w:p w14:paraId="4B950104">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（6）</w:t>
      </w:r>
      <w:bookmarkStart w:id="33" w:name="OLE_LINK31"/>
      <w:bookmarkStart w:id="34" w:name="OLE_LINK32"/>
      <w:r>
        <w:rPr>
          <w:rFonts w:hint="eastAsia" w:asciiTheme="minorEastAsia" w:hAnsiTheme="minorEastAsia" w:eastAsiaTheme="minorEastAsia" w:cstheme="minorEastAsia"/>
          <w:color w:val="000000" w:themeColor="text1"/>
          <w:sz w:val="24"/>
        </w:rPr>
        <w:t>中标人应针对风景区的安全工作内容、管理特点等，制定切实有效的安保服务整体设想及策划规划（至少包括现场管理方案、安全检查规范与标准、进退场交接方案、监督检查与过程风险控制及质量保障体系监督检查等内容）；制定与景区安保服务特点相适应的配套流程和规章制度（至少包含岗位职责、岗位执行规范、工作程序、管理制度等内容）；对可能发生的各种突发应急事件，制定有效的应急管理与突发事件处置预案（至少包含突发事件的原则、方法和流程，人流拥堵疏导、纠纷事件处理、重大活动或节假日、打架斗殴事件处理、群体性事件处置等内容），并加强常态化的演练；科学合理制定人员配备方案（至少包含人员配备数量、培训计划、培训措施、培训管理等内容）；充分调动员工积极性，制定完善可行的考核与激励方案（至少包含人员考核措施、奖罚淘汰机制、奖惩制度、提高人员工作积极性措施等内容）：合法合规用工，制定劳务纠纷解决方案（至少包含劳务纠纷解决策略、处理流程等内容）；</w:t>
      </w:r>
      <w:r>
        <w:rPr>
          <w:rFonts w:asciiTheme="minorEastAsia" w:hAnsiTheme="minorEastAsia" w:eastAsiaTheme="minorEastAsia" w:cstheme="minorEastAsia"/>
          <w:color w:val="000000" w:themeColor="text1"/>
          <w:sz w:val="24"/>
        </w:rPr>
        <w:t>智慧化创新管理实施方案（包括安保、景区巡查服务，提供智慧化创新管理）</w:t>
      </w:r>
      <w:r>
        <w:rPr>
          <w:rFonts w:hint="eastAsia" w:asciiTheme="minorEastAsia" w:hAnsiTheme="minorEastAsia" w:eastAsiaTheme="minorEastAsia" w:cstheme="minorEastAsia"/>
          <w:color w:val="000000" w:themeColor="text1"/>
          <w:sz w:val="24"/>
        </w:rPr>
        <w:t>。</w:t>
      </w:r>
      <w:bookmarkEnd w:id="33"/>
      <w:bookmarkEnd w:id="34"/>
    </w:p>
    <w:p w14:paraId="2E54D8E9">
      <w:pPr>
        <w:spacing w:after="120" w:line="360" w:lineRule="auto"/>
        <w:ind w:firstLine="482"/>
        <w:outlineLvl w:val="1"/>
        <w:rPr>
          <w:rFonts w:hint="eastAsia" w:asciiTheme="minorEastAsia" w:hAnsiTheme="minorEastAsia" w:eastAsiaTheme="minorEastAsia" w:cstheme="minorEastAsia"/>
          <w:b/>
          <w:color w:val="000000" w:themeColor="text1"/>
          <w:sz w:val="24"/>
        </w:rPr>
      </w:pPr>
      <w:bookmarkStart w:id="35" w:name="_Toc27603"/>
      <w:r>
        <w:rPr>
          <w:rFonts w:hint="eastAsia" w:asciiTheme="minorEastAsia" w:hAnsiTheme="minorEastAsia" w:eastAsiaTheme="minorEastAsia" w:cstheme="minorEastAsia"/>
          <w:b/>
          <w:color w:val="000000" w:themeColor="text1"/>
          <w:sz w:val="24"/>
        </w:rPr>
        <w:t>四、报价说明</w:t>
      </w:r>
      <w:bookmarkEnd w:id="35"/>
    </w:p>
    <w:p w14:paraId="0812300D">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4.1报价取费依据</w:t>
      </w:r>
    </w:p>
    <w:p w14:paraId="3CCA0830">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4.2供应商投标报价至少应包含人员工资、社保、公积金、法定节假日工资、超时加班工资、高温费、津贴、补贴、奖励、福利费、服装费、培训费、体检费、人身意外伤害商业险、餐费（采购包9除外）、</w:t>
      </w:r>
      <w:r>
        <w:rPr>
          <w:rFonts w:asciiTheme="minorEastAsia" w:hAnsiTheme="minorEastAsia" w:eastAsiaTheme="minorEastAsia" w:cstheme="minorEastAsia"/>
          <w:color w:val="000000" w:themeColor="text1"/>
          <w:sz w:val="24"/>
        </w:rPr>
        <w:t>设备费用（对讲机、执法记录仪和衣服等）</w:t>
      </w:r>
      <w:r>
        <w:rPr>
          <w:rFonts w:hint="eastAsia" w:asciiTheme="minorEastAsia" w:hAnsiTheme="minorEastAsia" w:eastAsiaTheme="minorEastAsia" w:cstheme="minorEastAsia"/>
          <w:color w:val="000000" w:themeColor="text1"/>
          <w:sz w:val="24"/>
        </w:rPr>
        <w:t>、管理费以及税金等所有费用。供应商的报价必须符合国家、江苏省及南京市关于人员薪资、加班费等以上所有费用发放的相关规定，不得低于相关规定的最低下限标准。</w:t>
      </w:r>
      <w:bookmarkStart w:id="36" w:name="OLE_LINK19"/>
      <w:r>
        <w:rPr>
          <w:rFonts w:hint="eastAsia" w:asciiTheme="minorEastAsia" w:hAnsiTheme="minorEastAsia" w:eastAsiaTheme="minorEastAsia" w:cstheme="minorEastAsia"/>
          <w:b/>
          <w:bCs/>
          <w:color w:val="000000" w:themeColor="text1"/>
          <w:sz w:val="24"/>
        </w:rPr>
        <w:t>国家、江苏省及南京市因政策性调整的费用均含在报价中，后期招标人不予承担政策变化增加的费用</w:t>
      </w:r>
      <w:r>
        <w:rPr>
          <w:rFonts w:hint="eastAsia" w:asciiTheme="minorEastAsia" w:hAnsiTheme="minorEastAsia" w:eastAsiaTheme="minorEastAsia" w:cstheme="minorEastAsia"/>
          <w:color w:val="000000" w:themeColor="text1"/>
          <w:sz w:val="24"/>
        </w:rPr>
        <w:t>。</w:t>
      </w:r>
    </w:p>
    <w:bookmarkEnd w:id="36"/>
    <w:p w14:paraId="2DA8EC62">
      <w:pPr>
        <w:spacing w:line="360" w:lineRule="auto"/>
        <w:ind w:firstLine="480"/>
        <w:rPr>
          <w:rFonts w:hint="eastAsia"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4.3供应商的任何错漏、优惠、竞争性报价不得作为减轻责任、减少服务、增加收费、降低质量的理由。</w:t>
      </w:r>
    </w:p>
    <w:p w14:paraId="3CA8C528">
      <w:pPr>
        <w:widowControl/>
        <w:jc w:val="left"/>
        <w:rPr>
          <w:rFonts w:hint="eastAsia" w:asciiTheme="minorEastAsia" w:hAnsiTheme="minorEastAsia" w:eastAsiaTheme="minorEastAsia" w:cstheme="minorEastAsia"/>
          <w:b/>
          <w:color w:val="000000" w:themeColor="text1"/>
          <w:sz w:val="24"/>
        </w:rPr>
      </w:pPr>
      <w:r>
        <w:rPr>
          <w:rFonts w:hint="eastAsia" w:asciiTheme="minorEastAsia" w:hAnsiTheme="minorEastAsia" w:eastAsiaTheme="minorEastAsia" w:cstheme="minorEastAsia"/>
          <w:b/>
          <w:color w:val="000000" w:themeColor="text1"/>
          <w:sz w:val="24"/>
        </w:rPr>
        <w:br w:type="page"/>
      </w:r>
    </w:p>
    <w:p w14:paraId="65333693">
      <w:pPr>
        <w:pStyle w:val="3"/>
        <w:numPr>
          <w:ilvl w:val="0"/>
          <w:numId w:val="7"/>
        </w:numPr>
        <w:rPr>
          <w:rFonts w:hint="eastAsia" w:ascii="宋体" w:hAnsi="宋体" w:cs="宋体"/>
          <w:color w:val="000000" w:themeColor="text1"/>
          <w:lang w:val="zh-CN"/>
        </w:rPr>
      </w:pPr>
      <w:bookmarkStart w:id="37" w:name="_Toc242444308"/>
      <w:bookmarkStart w:id="38" w:name="_Toc24406"/>
      <w:r>
        <w:rPr>
          <w:rFonts w:hint="eastAsia" w:ascii="宋体" w:hAnsi="宋体" w:cs="宋体"/>
          <w:color w:val="000000" w:themeColor="text1"/>
        </w:rPr>
        <w:t>合同主要条款及格式</w:t>
      </w:r>
      <w:bookmarkEnd w:id="37"/>
    </w:p>
    <w:p w14:paraId="78C17F8A">
      <w:pPr>
        <w:pStyle w:val="3"/>
        <w:numPr>
          <w:ilvl w:val="0"/>
          <w:numId w:val="0"/>
        </w:numPr>
        <w:rPr>
          <w:rFonts w:hint="eastAsia" w:ascii="宋体" w:hAnsi="宋体" w:cs="宋体"/>
          <w:color w:val="000000" w:themeColor="text1"/>
          <w:lang w:val="zh-CN"/>
        </w:rPr>
      </w:pPr>
      <w:bookmarkStart w:id="39" w:name="_Toc242444309"/>
      <w:r>
        <w:rPr>
          <w:rFonts w:ascii="宋体" w:hAnsi="宋体" w:cs="宋体"/>
          <w:color w:val="000000" w:themeColor="text1"/>
        </w:rPr>
        <w:t>2026-2027年度钟山风景区安保服务采购</w:t>
      </w:r>
      <w:r>
        <w:rPr>
          <w:rFonts w:hint="eastAsia" w:ascii="宋体" w:hAnsi="宋体" w:cs="宋体"/>
          <w:color w:val="000000" w:themeColor="text1"/>
          <w:lang w:val="zh-CN"/>
        </w:rPr>
        <w:t>合同</w:t>
      </w:r>
      <w:bookmarkEnd w:id="38"/>
      <w:bookmarkEnd w:id="39"/>
    </w:p>
    <w:p w14:paraId="3246BEAE">
      <w:pPr>
        <w:pStyle w:val="3"/>
        <w:numPr>
          <w:ilvl w:val="0"/>
          <w:numId w:val="0"/>
        </w:numPr>
        <w:rPr>
          <w:rFonts w:hint="eastAsia" w:ascii="宋体" w:hAnsi="宋体" w:cs="宋体"/>
          <w:color w:val="000000" w:themeColor="text1"/>
          <w:lang w:val="zh-CN"/>
        </w:rPr>
      </w:pPr>
      <w:bookmarkStart w:id="40" w:name="_Toc242444310"/>
      <w:r>
        <w:rPr>
          <w:rFonts w:hint="eastAsia" w:ascii="宋体" w:hAnsi="宋体" w:cs="宋体"/>
          <w:color w:val="000000" w:themeColor="text1"/>
          <w:lang w:val="zh-CN"/>
        </w:rPr>
        <w:t>（</w:t>
      </w:r>
      <w:r>
        <w:rPr>
          <w:rFonts w:ascii="宋体" w:hAnsi="宋体" w:cs="宋体"/>
          <w:color w:val="000000" w:themeColor="text1"/>
          <w:lang w:val="zh-CN"/>
        </w:rPr>
        <w:t>采购包1、采购包2、采购包3、采购包4、采购包9</w:t>
      </w:r>
      <w:r>
        <w:rPr>
          <w:rFonts w:hint="eastAsia" w:ascii="宋体" w:hAnsi="宋体" w:cs="宋体"/>
          <w:color w:val="000000" w:themeColor="text1"/>
          <w:lang w:val="zh-CN"/>
        </w:rPr>
        <w:t>）</w:t>
      </w:r>
      <w:bookmarkEnd w:id="40"/>
    </w:p>
    <w:tbl>
      <w:tblPr>
        <w:tblStyle w:val="246"/>
        <w:tblW w:w="5000" w:type="pct"/>
        <w:jc w:val="center"/>
        <w:tblLayout w:type="fixed"/>
        <w:tblCellMar>
          <w:top w:w="0" w:type="dxa"/>
          <w:left w:w="0" w:type="dxa"/>
          <w:bottom w:w="0" w:type="dxa"/>
          <w:right w:w="0" w:type="dxa"/>
        </w:tblCellMar>
      </w:tblPr>
      <w:tblGrid>
        <w:gridCol w:w="5493"/>
        <w:gridCol w:w="3579"/>
      </w:tblGrid>
      <w:tr w14:paraId="5E4F5392">
        <w:tblPrEx>
          <w:tblCellMar>
            <w:top w:w="0" w:type="dxa"/>
            <w:left w:w="0" w:type="dxa"/>
            <w:bottom w:w="0" w:type="dxa"/>
            <w:right w:w="0" w:type="dxa"/>
          </w:tblCellMar>
        </w:tblPrEx>
        <w:trPr>
          <w:trHeight w:val="375" w:hRule="atLeast"/>
          <w:jc w:val="center"/>
        </w:trPr>
        <w:tc>
          <w:tcPr>
            <w:tcW w:w="5493" w:type="dxa"/>
          </w:tcPr>
          <w:p w14:paraId="5F0DE244">
            <w:pPr>
              <w:autoSpaceDE w:val="0"/>
              <w:autoSpaceDN w:val="0"/>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 xml:space="preserve">合同编号： </w:t>
            </w:r>
          </w:p>
        </w:tc>
        <w:tc>
          <w:tcPr>
            <w:tcW w:w="3579" w:type="dxa"/>
          </w:tcPr>
          <w:p w14:paraId="32AE285D">
            <w:pPr>
              <w:autoSpaceDE w:val="0"/>
              <w:autoSpaceDN w:val="0"/>
              <w:rPr>
                <w:rFonts w:hint="eastAsia" w:ascii="宋体" w:hAnsi="宋体" w:cs="仿宋"/>
                <w:color w:val="000000" w:themeColor="text1"/>
                <w:kern w:val="0"/>
                <w:sz w:val="24"/>
                <w:lang w:val="zh-CN" w:eastAsia="en-US" w:bidi="zh-CN"/>
              </w:rPr>
            </w:pPr>
          </w:p>
        </w:tc>
      </w:tr>
      <w:tr w14:paraId="421EF8FF">
        <w:tblPrEx>
          <w:tblCellMar>
            <w:top w:w="0" w:type="dxa"/>
            <w:left w:w="0" w:type="dxa"/>
            <w:bottom w:w="0" w:type="dxa"/>
            <w:right w:w="0" w:type="dxa"/>
          </w:tblCellMar>
        </w:tblPrEx>
        <w:trPr>
          <w:trHeight w:val="245" w:hRule="atLeast"/>
          <w:jc w:val="center"/>
        </w:trPr>
        <w:tc>
          <w:tcPr>
            <w:tcW w:w="5493" w:type="dxa"/>
          </w:tcPr>
          <w:p w14:paraId="2445F570">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政府采购计划号：</w:t>
            </w:r>
          </w:p>
        </w:tc>
        <w:tc>
          <w:tcPr>
            <w:tcW w:w="3579" w:type="dxa"/>
          </w:tcPr>
          <w:p w14:paraId="2AE584A8">
            <w:pPr>
              <w:autoSpaceDE w:val="0"/>
              <w:autoSpaceDN w:val="0"/>
              <w:rPr>
                <w:rFonts w:hint="eastAsia" w:ascii="宋体" w:hAnsi="宋体" w:cs="仿宋"/>
                <w:color w:val="000000" w:themeColor="text1"/>
                <w:kern w:val="0"/>
                <w:sz w:val="24"/>
                <w:lang w:val="zh-CN" w:eastAsia="en-US" w:bidi="zh-CN"/>
              </w:rPr>
            </w:pPr>
          </w:p>
        </w:tc>
      </w:tr>
      <w:tr w14:paraId="64DB70CA">
        <w:tblPrEx>
          <w:tblCellMar>
            <w:top w:w="0" w:type="dxa"/>
            <w:left w:w="0" w:type="dxa"/>
            <w:bottom w:w="0" w:type="dxa"/>
            <w:right w:w="0" w:type="dxa"/>
          </w:tblCellMar>
        </w:tblPrEx>
        <w:trPr>
          <w:trHeight w:val="693" w:hRule="atLeast"/>
          <w:jc w:val="center"/>
        </w:trPr>
        <w:tc>
          <w:tcPr>
            <w:tcW w:w="5493" w:type="dxa"/>
          </w:tcPr>
          <w:p w14:paraId="394331EB">
            <w:pPr>
              <w:autoSpaceDE w:val="0"/>
              <w:autoSpaceDN w:val="0"/>
              <w:spacing w:before="16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采购人：（以下简称甲方）</w:t>
            </w:r>
          </w:p>
          <w:p w14:paraId="61DED1B2">
            <w:pPr>
              <w:autoSpaceDE w:val="0"/>
              <w:autoSpaceDN w:val="0"/>
              <w:spacing w:before="8"/>
              <w:ind w:left="200"/>
              <w:rPr>
                <w:rFonts w:hint="eastAsia" w:ascii="宋体" w:hAnsi="宋体" w:cs="仿宋"/>
                <w:color w:val="000000" w:themeColor="text1"/>
                <w:kern w:val="0"/>
                <w:sz w:val="24"/>
                <w:lang w:eastAsia="zh-CN" w:bidi="zh-CN"/>
              </w:rPr>
            </w:pPr>
            <w:r>
              <w:rPr>
                <w:rFonts w:hint="eastAsia" w:ascii="宋体" w:hAnsi="宋体" w:cs="仿宋"/>
                <w:color w:val="000000" w:themeColor="text1"/>
                <w:kern w:val="0"/>
                <w:sz w:val="24"/>
                <w:lang w:val="zh-CN" w:eastAsia="zh-CN" w:bidi="zh-CN"/>
              </w:rPr>
              <w:t>中山陵园管理局</w:t>
            </w:r>
          </w:p>
        </w:tc>
        <w:tc>
          <w:tcPr>
            <w:tcW w:w="3579" w:type="dxa"/>
          </w:tcPr>
          <w:p w14:paraId="3C1F84E3">
            <w:pPr>
              <w:autoSpaceDE w:val="0"/>
              <w:autoSpaceDN w:val="0"/>
              <w:rPr>
                <w:rFonts w:hint="eastAsia" w:ascii="宋体" w:hAnsi="宋体" w:cs="仿宋"/>
                <w:b/>
                <w:color w:val="000000" w:themeColor="text1"/>
                <w:kern w:val="0"/>
                <w:sz w:val="24"/>
                <w:lang w:val="zh-CN" w:eastAsia="zh-CN" w:bidi="zh-CN"/>
              </w:rPr>
            </w:pPr>
          </w:p>
          <w:p w14:paraId="2039CF89">
            <w:pPr>
              <w:autoSpaceDE w:val="0"/>
              <w:autoSpaceDN w:val="0"/>
              <w:spacing w:before="1"/>
              <w:ind w:left="66"/>
              <w:rPr>
                <w:rFonts w:hint="eastAsia" w:ascii="宋体" w:hAnsi="宋体" w:cs="仿宋"/>
                <w:color w:val="000000" w:themeColor="text1"/>
                <w:kern w:val="0"/>
                <w:sz w:val="24"/>
                <w:lang w:val="zh-CN" w:eastAsia="zh-CN" w:bidi="zh-CN"/>
              </w:rPr>
            </w:pPr>
            <w:r>
              <w:rPr>
                <w:rFonts w:hint="eastAsia" w:ascii="宋体" w:hAnsi="宋体" w:cs="仿宋"/>
                <w:color w:val="000000" w:themeColor="text1"/>
                <w:kern w:val="0"/>
                <w:sz w:val="24"/>
                <w:lang w:val="zh-CN" w:eastAsia="zh-CN" w:bidi="zh-CN"/>
              </w:rPr>
              <w:t>供应商：（以下简称乙方、</w:t>
            </w:r>
            <w:r>
              <w:rPr>
                <w:rFonts w:hint="eastAsia" w:ascii="宋体" w:hAnsi="宋体" w:cs="仿宋"/>
                <w:color w:val="000000" w:themeColor="text1"/>
                <w:kern w:val="0"/>
                <w:sz w:val="24"/>
                <w:lang w:eastAsia="zh-CN" w:bidi="zh-CN"/>
              </w:rPr>
              <w:t>中标人</w:t>
            </w:r>
            <w:r>
              <w:rPr>
                <w:rFonts w:hint="eastAsia" w:ascii="宋体" w:hAnsi="宋体" w:cs="仿宋"/>
                <w:color w:val="000000" w:themeColor="text1"/>
                <w:kern w:val="0"/>
                <w:sz w:val="24"/>
                <w:lang w:val="zh-CN" w:eastAsia="zh-CN" w:bidi="zh-CN"/>
              </w:rPr>
              <w:t>）</w:t>
            </w:r>
          </w:p>
        </w:tc>
      </w:tr>
      <w:tr w14:paraId="719143AD">
        <w:tblPrEx>
          <w:tblCellMar>
            <w:top w:w="0" w:type="dxa"/>
            <w:left w:w="0" w:type="dxa"/>
            <w:bottom w:w="0" w:type="dxa"/>
            <w:right w:w="0" w:type="dxa"/>
          </w:tblCellMar>
        </w:tblPrEx>
        <w:trPr>
          <w:trHeight w:val="592" w:hRule="atLeast"/>
          <w:jc w:val="center"/>
        </w:trPr>
        <w:tc>
          <w:tcPr>
            <w:tcW w:w="5493" w:type="dxa"/>
          </w:tcPr>
          <w:p w14:paraId="5182F429">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住所地：</w:t>
            </w:r>
          </w:p>
          <w:p w14:paraId="27DDAF9F">
            <w:pPr>
              <w:autoSpaceDE w:val="0"/>
              <w:autoSpaceDN w:val="0"/>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 xml:space="preserve">南京市玄武区石象路7号 </w:t>
            </w:r>
          </w:p>
        </w:tc>
        <w:tc>
          <w:tcPr>
            <w:tcW w:w="3579" w:type="dxa"/>
          </w:tcPr>
          <w:p w14:paraId="7EA741B9">
            <w:pPr>
              <w:autoSpaceDE w:val="0"/>
              <w:autoSpaceDN w:val="0"/>
              <w:spacing w:before="19"/>
              <w:ind w:left="66"/>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住所地：</w:t>
            </w:r>
          </w:p>
        </w:tc>
      </w:tr>
    </w:tbl>
    <w:p w14:paraId="6CDE2C38">
      <w:pPr>
        <w:autoSpaceDE w:val="0"/>
        <w:autoSpaceDN w:val="0"/>
        <w:ind w:firstLine="480" w:firstLineChars="200"/>
        <w:rPr>
          <w:rFonts w:hint="eastAsia" w:ascii="宋体" w:hAnsi="宋体" w:cs="仿宋"/>
          <w:color w:val="000000" w:themeColor="text1"/>
          <w:kern w:val="0"/>
          <w:sz w:val="24"/>
          <w:lang w:val="zh-CN" w:bidi="zh-CN"/>
        </w:rPr>
      </w:pPr>
    </w:p>
    <w:p w14:paraId="22536199">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根据《中华人民共和国政府采购法》《中华人民共和国民法典》等法律法规规定，甲乙双方经协商签订本合同。</w:t>
      </w:r>
    </w:p>
    <w:p w14:paraId="73D3EACB">
      <w:pPr>
        <w:autoSpaceDE w:val="0"/>
        <w:autoSpaceDN w:val="0"/>
        <w:spacing w:line="360" w:lineRule="auto"/>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第一条 合同标的</w:t>
      </w:r>
    </w:p>
    <w:p w14:paraId="23E36123">
      <w:pPr>
        <w:autoSpaceDE w:val="0"/>
        <w:autoSpaceDN w:val="0"/>
        <w:spacing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3"/>
          <w:kern w:val="0"/>
          <w:sz w:val="24"/>
          <w:lang w:val="zh-CN" w:bidi="zh-CN"/>
        </w:rPr>
        <w:t>乙方提供下列服务：</w:t>
      </w:r>
    </w:p>
    <w:tbl>
      <w:tblPr>
        <w:tblStyle w:val="246"/>
        <w:tblW w:w="7930" w:type="dxa"/>
        <w:jc w:val="center"/>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Layout w:type="fixed"/>
        <w:tblCellMar>
          <w:top w:w="0" w:type="dxa"/>
          <w:left w:w="0" w:type="dxa"/>
          <w:bottom w:w="0" w:type="dxa"/>
          <w:right w:w="0" w:type="dxa"/>
        </w:tblCellMar>
      </w:tblPr>
      <w:tblGrid>
        <w:gridCol w:w="1251"/>
        <w:gridCol w:w="3619"/>
        <w:gridCol w:w="1936"/>
        <w:gridCol w:w="1124"/>
      </w:tblGrid>
      <w:tr w14:paraId="2D8281F8">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trHeight w:val="345" w:hRule="atLeast"/>
          <w:jc w:val="center"/>
        </w:trPr>
        <w:tc>
          <w:tcPr>
            <w:tcW w:w="1251" w:type="dxa"/>
            <w:tcBorders>
              <w:tl2br w:val="nil"/>
              <w:tr2bl w:val="nil"/>
            </w:tcBorders>
          </w:tcPr>
          <w:p w14:paraId="65124B10">
            <w:pPr>
              <w:autoSpaceDE w:val="0"/>
              <w:autoSpaceDN w:val="0"/>
              <w:spacing w:before="7"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序号</w:t>
            </w:r>
          </w:p>
        </w:tc>
        <w:tc>
          <w:tcPr>
            <w:tcW w:w="3619" w:type="dxa"/>
            <w:tcBorders>
              <w:tl2br w:val="nil"/>
              <w:tr2bl w:val="nil"/>
            </w:tcBorders>
          </w:tcPr>
          <w:p w14:paraId="09D68C5E">
            <w:pPr>
              <w:autoSpaceDE w:val="0"/>
              <w:autoSpaceDN w:val="0"/>
              <w:spacing w:before="7"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名称</w:t>
            </w:r>
          </w:p>
        </w:tc>
        <w:tc>
          <w:tcPr>
            <w:tcW w:w="1936" w:type="dxa"/>
            <w:tcBorders>
              <w:tl2br w:val="nil"/>
              <w:tr2bl w:val="nil"/>
            </w:tcBorders>
          </w:tcPr>
          <w:p w14:paraId="06D3A6AD">
            <w:pPr>
              <w:autoSpaceDE w:val="0"/>
              <w:autoSpaceDN w:val="0"/>
              <w:spacing w:before="7"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数量</w:t>
            </w:r>
          </w:p>
        </w:tc>
        <w:tc>
          <w:tcPr>
            <w:tcW w:w="1124" w:type="dxa"/>
            <w:tcBorders>
              <w:tl2br w:val="nil"/>
              <w:tr2bl w:val="nil"/>
            </w:tcBorders>
          </w:tcPr>
          <w:p w14:paraId="00ADFAFE">
            <w:pPr>
              <w:autoSpaceDE w:val="0"/>
              <w:autoSpaceDN w:val="0"/>
              <w:spacing w:before="7" w:line="360" w:lineRule="auto"/>
              <w:ind w:left="25"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单位</w:t>
            </w:r>
          </w:p>
        </w:tc>
      </w:tr>
      <w:tr w14:paraId="01F7B7F2">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trHeight w:val="345" w:hRule="atLeast"/>
          <w:jc w:val="center"/>
        </w:trPr>
        <w:tc>
          <w:tcPr>
            <w:tcW w:w="1251" w:type="dxa"/>
            <w:tcBorders>
              <w:tl2br w:val="nil"/>
              <w:tr2bl w:val="nil"/>
            </w:tcBorders>
          </w:tcPr>
          <w:p w14:paraId="02C0DA92">
            <w:pPr>
              <w:autoSpaceDE w:val="0"/>
              <w:autoSpaceDN w:val="0"/>
              <w:spacing w:before="22"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1</w:t>
            </w:r>
          </w:p>
        </w:tc>
        <w:tc>
          <w:tcPr>
            <w:tcW w:w="3619" w:type="dxa"/>
            <w:tcBorders>
              <w:tl2br w:val="nil"/>
              <w:tr2bl w:val="nil"/>
            </w:tcBorders>
          </w:tcPr>
          <w:p w14:paraId="3B8DB8FE">
            <w:pPr>
              <w:autoSpaceDE w:val="0"/>
              <w:autoSpaceDN w:val="0"/>
              <w:spacing w:before="22"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安保服务</w:t>
            </w:r>
          </w:p>
        </w:tc>
        <w:tc>
          <w:tcPr>
            <w:tcW w:w="1936" w:type="dxa"/>
            <w:tcBorders>
              <w:tl2br w:val="nil"/>
              <w:tr2bl w:val="nil"/>
            </w:tcBorders>
          </w:tcPr>
          <w:p w14:paraId="46FEAEF8">
            <w:pPr>
              <w:autoSpaceDE w:val="0"/>
              <w:autoSpaceDN w:val="0"/>
              <w:spacing w:before="22" w:line="360" w:lineRule="auto"/>
              <w:ind w:left="30" w:firstLine="480" w:firstLineChars="200"/>
              <w:rPr>
                <w:rFonts w:hint="eastAsia" w:ascii="宋体" w:hAnsi="宋体" w:cs="仿宋"/>
                <w:color w:val="000000" w:themeColor="text1"/>
                <w:kern w:val="0"/>
                <w:sz w:val="24"/>
                <w:lang w:val="zh-CN" w:eastAsia="en-US" w:bidi="zh-CN"/>
              </w:rPr>
            </w:pPr>
          </w:p>
        </w:tc>
        <w:tc>
          <w:tcPr>
            <w:tcW w:w="1124" w:type="dxa"/>
            <w:tcBorders>
              <w:tl2br w:val="nil"/>
              <w:tr2bl w:val="nil"/>
            </w:tcBorders>
          </w:tcPr>
          <w:p w14:paraId="338B4C37">
            <w:pPr>
              <w:autoSpaceDE w:val="0"/>
              <w:autoSpaceDN w:val="0"/>
              <w:spacing w:before="22" w:line="360" w:lineRule="auto"/>
              <w:ind w:left="25"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月</w:t>
            </w:r>
          </w:p>
        </w:tc>
      </w:tr>
    </w:tbl>
    <w:p w14:paraId="175869DA">
      <w:pPr>
        <w:autoSpaceDE w:val="0"/>
        <w:autoSpaceDN w:val="0"/>
        <w:spacing w:before="67" w:line="360" w:lineRule="auto"/>
        <w:ind w:left="340"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服务内容详见乙方投标（响应）文件。</w:t>
      </w:r>
    </w:p>
    <w:p w14:paraId="35E186BF">
      <w:pPr>
        <w:autoSpaceDE w:val="0"/>
        <w:autoSpaceDN w:val="0"/>
        <w:spacing w:line="360" w:lineRule="auto"/>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第二条 合同总价款</w:t>
      </w:r>
    </w:p>
    <w:p w14:paraId="27FB20DC">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val="zh-CN" w:bidi="zh-CN"/>
        </w:rPr>
        <w:t>本合同项下为</w:t>
      </w:r>
      <w:r>
        <w:rPr>
          <w:rFonts w:hint="eastAsia" w:ascii="宋体" w:hAnsi="宋体" w:cs="仿宋"/>
          <w:color w:val="000000" w:themeColor="text1"/>
          <w:kern w:val="0"/>
          <w:sz w:val="24"/>
          <w:u w:val="single"/>
          <w:lang w:bidi="zh-CN"/>
        </w:rPr>
        <w:t xml:space="preserve">           万元</w:t>
      </w:r>
      <w:r>
        <w:rPr>
          <w:rFonts w:hint="eastAsia" w:ascii="宋体" w:hAnsi="宋体" w:cs="仿宋"/>
          <w:color w:val="000000" w:themeColor="text1"/>
          <w:kern w:val="0"/>
          <w:sz w:val="24"/>
          <w:lang w:val="zh-CN" w:bidi="zh-CN"/>
        </w:rPr>
        <w:t>（大写）人民币</w:t>
      </w:r>
      <w:r>
        <w:rPr>
          <w:rFonts w:hint="eastAsia" w:ascii="宋体" w:hAnsi="宋体" w:cs="仿宋"/>
          <w:color w:val="000000" w:themeColor="text1"/>
          <w:kern w:val="0"/>
          <w:sz w:val="24"/>
          <w:lang w:bidi="zh-CN"/>
        </w:rPr>
        <w:t>。</w:t>
      </w:r>
    </w:p>
    <w:p w14:paraId="343DF588">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1、拨付方式：按月开展考核、拨付服务费用。</w:t>
      </w:r>
    </w:p>
    <w:p w14:paraId="48013234">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2、月度应付服务费计算</w:t>
      </w:r>
    </w:p>
    <w:p w14:paraId="682858BC">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（1）综合得分 80 分（含）以上： 当月应付费用 = 合同约定当月费用（投标报价/服务总月份）</w:t>
      </w:r>
    </w:p>
    <w:p w14:paraId="6EE102B4">
      <w:pPr>
        <w:autoSpaceDE w:val="0"/>
        <w:autoSpaceDN w:val="0"/>
        <w:spacing w:line="360" w:lineRule="auto"/>
        <w:ind w:firstLine="480" w:firstLineChars="200"/>
        <w:rPr>
          <w:rFonts w:ascii="宋体" w:hAnsi="宋体" w:cs="仿宋"/>
          <w:color w:val="000000" w:themeColor="text1"/>
          <w:kern w:val="0"/>
          <w:sz w:val="24"/>
          <w:lang w:bidi="zh-CN"/>
        </w:rPr>
      </w:pPr>
      <w:r>
        <w:rPr>
          <w:rFonts w:hint="eastAsia" w:ascii="宋体" w:hAnsi="宋体" w:cs="仿宋"/>
          <w:color w:val="000000" w:themeColor="text1"/>
          <w:kern w:val="0"/>
          <w:sz w:val="24"/>
          <w:lang w:bidi="zh-CN"/>
        </w:rPr>
        <w:t>（2）综合得分 80 分（不含）以下（不合格）： 当月应付费用＝（实际综合得分＋20）÷100 × 合同约定当月费用（投标报价/服务总月份）</w:t>
      </w:r>
    </w:p>
    <w:p w14:paraId="13860E85">
      <w:pPr>
        <w:pStyle w:val="2"/>
        <w:ind w:firstLine="480"/>
        <w:rPr>
          <w:rFonts w:ascii="宋体" w:hAnsi="宋体" w:cs="仿宋"/>
          <w:color w:val="000000" w:themeColor="text1"/>
          <w:kern w:val="0"/>
          <w:sz w:val="24"/>
          <w:lang w:bidi="zh-CN"/>
        </w:rPr>
      </w:pPr>
      <w:r>
        <w:rPr>
          <w:rFonts w:hint="eastAsia" w:ascii="宋体" w:hAnsi="宋体" w:cs="仿宋"/>
          <w:color w:val="000000" w:themeColor="text1"/>
          <w:kern w:val="0"/>
          <w:sz w:val="24"/>
          <w:lang w:bidi="zh-CN"/>
        </w:rPr>
        <w:t>3、</w:t>
      </w:r>
      <w:r>
        <w:rPr>
          <w:rFonts w:ascii="宋体" w:hAnsi="宋体" w:cs="仿宋"/>
          <w:color w:val="000000" w:themeColor="text1"/>
          <w:kern w:val="0"/>
          <w:sz w:val="24"/>
          <w:lang w:bidi="zh-CN"/>
        </w:rPr>
        <w:t>说明：本公式为得分折算基数，不包含</w:t>
      </w:r>
      <w:r>
        <w:rPr>
          <w:rFonts w:hint="eastAsia" w:ascii="宋体" w:hAnsi="宋体" w:cs="仿宋"/>
          <w:color w:val="000000" w:themeColor="text1"/>
          <w:kern w:val="0"/>
          <w:sz w:val="24"/>
          <w:lang w:bidi="zh-CN"/>
        </w:rPr>
        <w:t>中山陵园风景区服务考核管理办法</w:t>
      </w:r>
      <w:r>
        <w:rPr>
          <w:rFonts w:ascii="宋体" w:hAnsi="宋体" w:cs="仿宋"/>
          <w:color w:val="000000" w:themeColor="text1"/>
          <w:kern w:val="0"/>
          <w:sz w:val="24"/>
          <w:lang w:bidi="zh-CN"/>
        </w:rPr>
        <w:t>第十三条的排名比例扣款、附件 1 内专项经济扣罚；所有排名扣款、违规经济扣罚，统一在当月一次性合并扣除，不再另行单独通知服务商。</w:t>
      </w:r>
    </w:p>
    <w:p w14:paraId="0408E868">
      <w:pPr>
        <w:pStyle w:val="2"/>
        <w:rPr>
          <w:rFonts w:hint="eastAsia"/>
          <w:color w:val="000000" w:themeColor="text1"/>
          <w:lang w:bidi="zh-CN"/>
        </w:rPr>
      </w:pPr>
    </w:p>
    <w:p w14:paraId="4931AE7F">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本合同总价款</w:t>
      </w:r>
      <w:r>
        <w:rPr>
          <w:rFonts w:hint="eastAsia" w:ascii="宋体" w:hAnsi="宋体" w:cs="仿宋"/>
          <w:color w:val="000000" w:themeColor="text1"/>
          <w:kern w:val="0"/>
          <w:sz w:val="24"/>
          <w:lang w:bidi="zh-CN"/>
        </w:rPr>
        <w:t>已</w:t>
      </w:r>
      <w:r>
        <w:rPr>
          <w:rFonts w:hint="eastAsia" w:ascii="宋体" w:hAnsi="宋体" w:cs="仿宋"/>
          <w:color w:val="000000" w:themeColor="text1"/>
          <w:kern w:val="0"/>
          <w:sz w:val="24"/>
          <w:lang w:val="zh-CN" w:bidi="zh-CN"/>
        </w:rPr>
        <w:t>包含以下</w:t>
      </w:r>
      <w:r>
        <w:rPr>
          <w:rFonts w:hint="eastAsia" w:ascii="宋体" w:hAnsi="宋体" w:cs="仿宋"/>
          <w:color w:val="000000" w:themeColor="text1"/>
          <w:kern w:val="0"/>
          <w:sz w:val="24"/>
          <w:lang w:bidi="zh-CN"/>
        </w:rPr>
        <w:t>全部</w:t>
      </w:r>
      <w:r>
        <w:rPr>
          <w:rFonts w:hint="eastAsia" w:ascii="宋体" w:hAnsi="宋体" w:cs="仿宋"/>
          <w:color w:val="000000" w:themeColor="text1"/>
          <w:kern w:val="0"/>
          <w:sz w:val="24"/>
          <w:lang w:val="zh-CN" w:bidi="zh-CN"/>
        </w:rPr>
        <w:t>内容：</w:t>
      </w:r>
    </w:p>
    <w:p w14:paraId="120028C3">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1、</w:t>
      </w:r>
      <w:r>
        <w:rPr>
          <w:rFonts w:hint="eastAsia" w:ascii="宋体" w:hAnsi="宋体" w:cs="仿宋"/>
          <w:color w:val="000000" w:themeColor="text1"/>
          <w:kern w:val="0"/>
          <w:sz w:val="24"/>
          <w:lang w:val="zh-CN" w:bidi="zh-CN"/>
        </w:rPr>
        <w:t>完成本服务项目发生的所有含税费用；</w:t>
      </w:r>
    </w:p>
    <w:p w14:paraId="2B288686">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2、乙方履行合同所需的全部运营成本和费用</w:t>
      </w:r>
      <w:r>
        <w:rPr>
          <w:rFonts w:hint="eastAsia" w:ascii="宋体" w:hAnsi="宋体" w:cs="仿宋"/>
          <w:color w:val="000000" w:themeColor="text1"/>
          <w:kern w:val="0"/>
          <w:sz w:val="24"/>
          <w:lang w:val="zh-CN" w:bidi="zh-CN"/>
        </w:rPr>
        <w:t>；</w:t>
      </w:r>
    </w:p>
    <w:p w14:paraId="4CBD99AC">
      <w:pPr>
        <w:tabs>
          <w:tab w:val="left" w:pos="943"/>
        </w:tabs>
        <w:autoSpaceDE w:val="0"/>
        <w:autoSpaceDN w:val="0"/>
        <w:spacing w:line="360" w:lineRule="auto"/>
        <w:ind w:firstLine="476"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1"/>
          <w:kern w:val="0"/>
          <w:sz w:val="24"/>
          <w:lang w:bidi="zh-CN"/>
        </w:rPr>
        <w:t>3、</w:t>
      </w:r>
      <w:r>
        <w:rPr>
          <w:rFonts w:hint="eastAsia" w:ascii="宋体" w:hAnsi="宋体" w:cs="仿宋"/>
          <w:color w:val="000000" w:themeColor="text1"/>
          <w:spacing w:val="-1"/>
          <w:kern w:val="0"/>
          <w:sz w:val="24"/>
          <w:lang w:val="zh-CN" w:bidi="zh-CN"/>
        </w:rPr>
        <w:t>乙方应当提供的伴随服务</w:t>
      </w:r>
      <w:r>
        <w:rPr>
          <w:rFonts w:hint="eastAsia" w:ascii="宋体" w:hAnsi="宋体" w:cs="仿宋"/>
          <w:color w:val="000000" w:themeColor="text1"/>
          <w:kern w:val="0"/>
          <w:sz w:val="24"/>
          <w:lang w:val="zh-CN" w:bidi="zh-CN"/>
        </w:rPr>
        <w:t>/售后服务费用；</w:t>
      </w:r>
    </w:p>
    <w:p w14:paraId="20BD30E8">
      <w:pPr>
        <w:tabs>
          <w:tab w:val="left" w:pos="943"/>
        </w:tabs>
        <w:autoSpaceDE w:val="0"/>
        <w:autoSpaceDN w:val="0"/>
        <w:spacing w:before="41"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4、</w:t>
      </w:r>
      <w:r>
        <w:rPr>
          <w:rFonts w:hint="eastAsia" w:ascii="宋体" w:hAnsi="宋体" w:cs="仿宋"/>
          <w:color w:val="000000" w:themeColor="text1"/>
          <w:kern w:val="0"/>
          <w:sz w:val="24"/>
          <w:lang w:val="zh-CN" w:bidi="zh-CN"/>
        </w:rPr>
        <w:t>供应商认为需要的其他</w:t>
      </w:r>
      <w:r>
        <w:rPr>
          <w:rFonts w:hint="eastAsia" w:ascii="宋体" w:hAnsi="宋体" w:cs="仿宋"/>
          <w:color w:val="000000" w:themeColor="text1"/>
          <w:kern w:val="0"/>
          <w:sz w:val="24"/>
          <w:lang w:bidi="zh-CN"/>
        </w:rPr>
        <w:t>各项</w:t>
      </w:r>
      <w:r>
        <w:rPr>
          <w:rFonts w:hint="eastAsia" w:ascii="宋体" w:hAnsi="宋体" w:cs="仿宋"/>
          <w:color w:val="000000" w:themeColor="text1"/>
          <w:kern w:val="0"/>
          <w:sz w:val="24"/>
          <w:lang w:val="zh-CN" w:bidi="zh-CN"/>
        </w:rPr>
        <w:t>费用。</w:t>
      </w:r>
    </w:p>
    <w:p w14:paraId="1509EA75">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第三条 合同期限</w:t>
      </w:r>
    </w:p>
    <w:p w14:paraId="38744A7E">
      <w:pPr>
        <w:pStyle w:val="19"/>
        <w:spacing w:line="360" w:lineRule="auto"/>
        <w:ind w:firstLine="456" w:firstLineChars="200"/>
        <w:jc w:val="both"/>
        <w:rPr>
          <w:rFonts w:hint="eastAsia" w:ascii="宋体" w:hAnsi="宋体" w:eastAsia="宋体" w:cs="仿宋"/>
          <w:b w:val="0"/>
          <w:bCs w:val="0"/>
          <w:color w:val="000000" w:themeColor="text1"/>
          <w:spacing w:val="-6"/>
          <w:kern w:val="0"/>
          <w:sz w:val="24"/>
          <w:u w:val="single"/>
          <w:lang w:bidi="zh-CN"/>
        </w:rPr>
      </w:pPr>
      <w:r>
        <w:rPr>
          <w:rFonts w:hint="eastAsia" w:ascii="宋体" w:hAnsi="宋体" w:eastAsia="宋体" w:cs="仿宋"/>
          <w:b w:val="0"/>
          <w:bCs w:val="0"/>
          <w:color w:val="000000" w:themeColor="text1"/>
          <w:spacing w:val="-6"/>
          <w:kern w:val="0"/>
          <w:sz w:val="24"/>
          <w:u w:val="single"/>
          <w:lang w:bidi="zh-CN"/>
        </w:rPr>
        <w:t>服务期:</w:t>
      </w:r>
    </w:p>
    <w:p w14:paraId="605AA242">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第四条 组成本合同的有关文件</w:t>
      </w:r>
    </w:p>
    <w:p w14:paraId="100F99B1">
      <w:pPr>
        <w:autoSpaceDE w:val="0"/>
        <w:autoSpaceDN w:val="0"/>
        <w:spacing w:before="1" w:line="360" w:lineRule="auto"/>
        <w:ind w:firstLine="456"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6"/>
          <w:kern w:val="0"/>
          <w:sz w:val="24"/>
          <w:lang w:val="zh-CN" w:bidi="zh-CN"/>
        </w:rPr>
        <w:t>下列关于</w:t>
      </w:r>
      <w:r>
        <w:rPr>
          <w:rFonts w:ascii="宋体" w:hAnsi="宋体" w:cs="仿宋"/>
          <w:color w:val="000000" w:themeColor="text1"/>
          <w:spacing w:val="-6"/>
          <w:kern w:val="0"/>
          <w:sz w:val="24"/>
          <w:u w:val="single"/>
          <w:lang w:val="zh-CN" w:bidi="zh-CN"/>
        </w:rPr>
        <w:t>2026-2027年度钟山风景区安保服务采购</w:t>
      </w:r>
      <w:r>
        <w:rPr>
          <w:rFonts w:hint="eastAsia" w:ascii="宋体" w:hAnsi="宋体" w:cs="仿宋"/>
          <w:color w:val="000000" w:themeColor="text1"/>
          <w:spacing w:val="-12"/>
          <w:kern w:val="0"/>
          <w:sz w:val="24"/>
          <w:lang w:val="zh-CN" w:bidi="zh-CN"/>
        </w:rPr>
        <w:t>的招标</w:t>
      </w:r>
      <w:r>
        <w:rPr>
          <w:rFonts w:hint="eastAsia" w:ascii="宋体" w:hAnsi="宋体" w:cs="仿宋"/>
          <w:color w:val="000000" w:themeColor="text1"/>
          <w:kern w:val="0"/>
          <w:sz w:val="24"/>
          <w:lang w:val="zh-CN" w:bidi="zh-CN"/>
        </w:rPr>
        <w:t>（采购）文件、投标（响应）文件， 以及与本次采购活动相关的文件及有关附件是本合同不可分割的组成部分，与本合同具有同等法律效力，这些文件包括但不限于：</w:t>
      </w:r>
    </w:p>
    <w:p w14:paraId="4187DB5D">
      <w:pPr>
        <w:tabs>
          <w:tab w:val="left" w:pos="5747"/>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（1）投标（响应）文件和报价表；（2）服务一览表；</w:t>
      </w:r>
    </w:p>
    <w:p w14:paraId="13F7643E">
      <w:pPr>
        <w:tabs>
          <w:tab w:val="left" w:pos="5747"/>
        </w:tabs>
        <w:autoSpaceDE w:val="0"/>
        <w:autoSpaceDN w:val="0"/>
        <w:spacing w:before="1"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（3）交付一览表；（4）采购需求偏离表；</w:t>
      </w:r>
    </w:p>
    <w:p w14:paraId="14CD4FC1">
      <w:pPr>
        <w:tabs>
          <w:tab w:val="left" w:pos="5747"/>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（5）投标（响应）承诺；（6）服务承诺；</w:t>
      </w:r>
    </w:p>
    <w:p w14:paraId="23795F8E">
      <w:pPr>
        <w:tabs>
          <w:tab w:val="left" w:pos="5747"/>
        </w:tabs>
        <w:autoSpaceDE w:val="0"/>
        <w:autoSpaceDN w:val="0"/>
        <w:spacing w:before="1" w:line="360" w:lineRule="auto"/>
        <w:ind w:right="703"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（7）中标（成交）通知书；（8）甲乙双方商定的其它文件。</w:t>
      </w:r>
    </w:p>
    <w:p w14:paraId="02538628">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第五条 权利保证</w:t>
      </w:r>
    </w:p>
    <w:p w14:paraId="594E6F84">
      <w:pPr>
        <w:autoSpaceDE w:val="0"/>
        <w:autoSpaceDN w:val="0"/>
        <w:spacing w:line="360" w:lineRule="auto"/>
        <w:ind w:firstLine="480" w:firstLineChars="200"/>
        <w:rPr>
          <w:rFonts w:hint="eastAsia" w:ascii="宋体" w:hAnsi="宋体"/>
          <w:color w:val="000000" w:themeColor="text1"/>
          <w:sz w:val="24"/>
        </w:rPr>
      </w:pPr>
      <w:r>
        <w:rPr>
          <w:rFonts w:hint="eastAsia" w:ascii="宋体" w:hAnsi="宋体" w:cs="仿宋"/>
          <w:color w:val="000000" w:themeColor="text1"/>
          <w:kern w:val="0"/>
          <w:sz w:val="24"/>
          <w:lang w:val="zh-CN" w:bidi="zh-CN"/>
        </w:rPr>
        <w:t>乙方应保证甲方在使用该服务或其任何一部分时不受第三方提出侵犯其专利权、版权、商标权或其他权利的起诉。一旦出现侵权，乙方应承担全部责任。</w:t>
      </w:r>
    </w:p>
    <w:p w14:paraId="311903A2">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第六条 质量保证</w:t>
      </w:r>
    </w:p>
    <w:p w14:paraId="27AD1ED1">
      <w:pPr>
        <w:autoSpaceDE w:val="0"/>
        <w:autoSpaceDN w:val="0"/>
        <w:spacing w:line="360" w:lineRule="auto"/>
        <w:ind w:firstLine="480" w:firstLineChars="200"/>
        <w:rPr>
          <w:rFonts w:hint="eastAsia" w:ascii="宋体" w:hAnsi="宋体"/>
          <w:color w:val="000000" w:themeColor="text1"/>
          <w:sz w:val="24"/>
          <w:lang w:val="zh-CN"/>
        </w:rPr>
      </w:pPr>
      <w:r>
        <w:rPr>
          <w:rFonts w:hint="eastAsia" w:ascii="宋体" w:hAnsi="宋体" w:cs="仿宋"/>
          <w:color w:val="000000" w:themeColor="text1"/>
          <w:kern w:val="0"/>
          <w:sz w:val="24"/>
          <w:lang w:val="zh-CN" w:bidi="zh-CN"/>
        </w:rPr>
        <w:t>乙方所提供的服务的技术规格应与招标（采购）文件规定的</w:t>
      </w:r>
      <w:r>
        <w:rPr>
          <w:rFonts w:hint="eastAsia" w:ascii="宋体" w:hAnsi="宋体" w:cs="仿宋"/>
          <w:color w:val="000000" w:themeColor="text1"/>
          <w:kern w:val="0"/>
          <w:sz w:val="24"/>
          <w:lang w:bidi="zh-CN"/>
        </w:rPr>
        <w:t>采购需求</w:t>
      </w:r>
      <w:r>
        <w:rPr>
          <w:rFonts w:hint="eastAsia" w:ascii="宋体" w:hAnsi="宋体" w:cs="仿宋"/>
          <w:color w:val="000000" w:themeColor="text1"/>
          <w:kern w:val="0"/>
          <w:sz w:val="24"/>
          <w:lang w:val="zh-CN" w:bidi="zh-CN"/>
        </w:rPr>
        <w:t>及所附的“采购需求偏离表”相一致，</w:t>
      </w:r>
      <w:r>
        <w:rPr>
          <w:rFonts w:hint="eastAsia" w:ascii="宋体" w:hAnsi="宋体" w:cs="仿宋"/>
          <w:color w:val="000000" w:themeColor="text1"/>
          <w:kern w:val="0"/>
          <w:sz w:val="24"/>
          <w:lang w:bidi="zh-CN"/>
        </w:rPr>
        <w:t>并认真落实《</w:t>
      </w:r>
      <w:r>
        <w:rPr>
          <w:rFonts w:ascii="宋体" w:hAnsi="宋体" w:cs="仿宋"/>
          <w:color w:val="000000" w:themeColor="text1"/>
          <w:kern w:val="0"/>
          <w:sz w:val="24"/>
          <w:lang w:bidi="zh-CN"/>
        </w:rPr>
        <w:t>中山陵园风景区服务考核管理办法</w:t>
      </w:r>
      <w:r>
        <w:rPr>
          <w:rFonts w:hint="eastAsia" w:ascii="宋体" w:hAnsi="宋体" w:cs="仿宋"/>
          <w:color w:val="000000" w:themeColor="text1"/>
          <w:kern w:val="0"/>
          <w:sz w:val="24"/>
          <w:lang w:bidi="zh-CN"/>
        </w:rPr>
        <w:t>》中列明的各项要求</w:t>
      </w:r>
      <w:r>
        <w:rPr>
          <w:rFonts w:hint="eastAsia" w:ascii="宋体" w:hAnsi="宋体" w:cs="仿宋"/>
          <w:color w:val="000000" w:themeColor="text1"/>
          <w:kern w:val="0"/>
          <w:sz w:val="24"/>
          <w:lang w:val="zh-CN" w:bidi="zh-CN"/>
        </w:rPr>
        <w:t>；若技术性能无特殊说明，则按国家有关部门最新颁布的标准及规范为准。</w:t>
      </w:r>
    </w:p>
    <w:p w14:paraId="3783FDE9">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第七条 交付和验收</w:t>
      </w:r>
    </w:p>
    <w:p w14:paraId="5DB0A025">
      <w:pPr>
        <w:tabs>
          <w:tab w:val="left" w:pos="583"/>
        </w:tabs>
        <w:autoSpaceDE w:val="0"/>
        <w:autoSpaceDN w:val="0"/>
        <w:spacing w:line="360" w:lineRule="auto"/>
        <w:ind w:firstLine="456"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6"/>
          <w:kern w:val="0"/>
          <w:sz w:val="24"/>
          <w:lang w:bidi="zh-CN"/>
        </w:rPr>
        <w:t>1、</w:t>
      </w:r>
      <w:r>
        <w:rPr>
          <w:rFonts w:hint="eastAsia" w:ascii="宋体" w:hAnsi="宋体" w:cs="仿宋"/>
          <w:color w:val="000000" w:themeColor="text1"/>
          <w:spacing w:val="-6"/>
          <w:kern w:val="0"/>
          <w:sz w:val="24"/>
          <w:lang w:val="zh-CN" w:bidi="zh-CN"/>
        </w:rPr>
        <w:t>乙方应当在合同签订后</w:t>
      </w:r>
      <w:r>
        <w:rPr>
          <w:rFonts w:hint="eastAsia" w:ascii="宋体" w:hAnsi="宋体" w:cs="仿宋"/>
          <w:color w:val="000000" w:themeColor="text1"/>
          <w:spacing w:val="-8"/>
          <w:kern w:val="0"/>
          <w:sz w:val="24"/>
          <w:lang w:val="zh-CN" w:bidi="zh-CN"/>
        </w:rPr>
        <w:t>内完成服务事项。</w:t>
      </w:r>
    </w:p>
    <w:p w14:paraId="5BFC96BD">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2、</w:t>
      </w:r>
      <w:r>
        <w:rPr>
          <w:rFonts w:hint="eastAsia" w:ascii="宋体" w:hAnsi="宋体" w:cs="仿宋"/>
          <w:color w:val="000000" w:themeColor="text1"/>
          <w:kern w:val="0"/>
          <w:sz w:val="24"/>
          <w:lang w:val="zh-CN" w:bidi="zh-CN"/>
        </w:rPr>
        <w:t>验收标准：按行业通行标准和乙方投标（响应）文件的承诺、</w:t>
      </w:r>
      <w:r>
        <w:rPr>
          <w:rFonts w:hint="eastAsia" w:ascii="宋体" w:hAnsi="宋体" w:cs="仿宋"/>
          <w:color w:val="000000" w:themeColor="text1"/>
          <w:kern w:val="0"/>
          <w:sz w:val="24"/>
          <w:lang w:bidi="zh-CN"/>
        </w:rPr>
        <w:t>《</w:t>
      </w:r>
      <w:r>
        <w:rPr>
          <w:rFonts w:ascii="宋体" w:hAnsi="宋体" w:cs="仿宋"/>
          <w:color w:val="000000" w:themeColor="text1"/>
          <w:kern w:val="0"/>
          <w:sz w:val="24"/>
          <w:lang w:bidi="zh-CN"/>
        </w:rPr>
        <w:t>中山陵园风景区服务考核管理办法</w:t>
      </w:r>
      <w:r>
        <w:rPr>
          <w:rFonts w:hint="eastAsia" w:ascii="宋体" w:hAnsi="宋体" w:cs="仿宋"/>
          <w:color w:val="000000" w:themeColor="text1"/>
          <w:kern w:val="0"/>
          <w:sz w:val="24"/>
          <w:lang w:bidi="zh-CN"/>
        </w:rPr>
        <w:t>》等文件执行</w:t>
      </w:r>
      <w:r>
        <w:rPr>
          <w:rFonts w:hint="eastAsia" w:ascii="宋体" w:hAnsi="宋体" w:cs="仿宋"/>
          <w:color w:val="000000" w:themeColor="text1"/>
          <w:kern w:val="0"/>
          <w:sz w:val="24"/>
          <w:lang w:val="zh-CN" w:bidi="zh-CN"/>
        </w:rPr>
        <w:t>（详见合同附件载明的标准，并不低于国家相关标准）。</w:t>
      </w:r>
    </w:p>
    <w:p w14:paraId="042FAEB3">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第八条 履约保证金</w:t>
      </w:r>
    </w:p>
    <w:p w14:paraId="344DBAEE">
      <w:pPr>
        <w:tabs>
          <w:tab w:val="left" w:pos="583"/>
        </w:tabs>
        <w:autoSpaceDE w:val="0"/>
        <w:autoSpaceDN w:val="0"/>
        <w:spacing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bCs/>
          <w:color w:val="000000" w:themeColor="text1"/>
          <w:spacing w:val="-3"/>
          <w:kern w:val="0"/>
          <w:sz w:val="24"/>
          <w:lang w:val="zh-CN" w:bidi="zh-CN"/>
        </w:rPr>
        <w:t>1、</w:t>
      </w:r>
      <w:r>
        <w:rPr>
          <w:rFonts w:hint="eastAsia" w:ascii="宋体" w:hAnsi="宋体" w:cs="仿宋"/>
          <w:color w:val="000000" w:themeColor="text1"/>
          <w:kern w:val="0"/>
          <w:sz w:val="24"/>
          <w:lang w:val="zh-CN" w:bidi="zh-CN"/>
        </w:rPr>
        <w:t>中标（成交）供应商应按以下第</w:t>
      </w:r>
      <w:r>
        <w:rPr>
          <w:rFonts w:hint="eastAsia" w:ascii="宋体" w:hAnsi="宋体" w:cs="仿宋"/>
          <w:color w:val="000000" w:themeColor="text1"/>
          <w:kern w:val="0"/>
          <w:sz w:val="24"/>
          <w:u w:val="single"/>
          <w:lang w:val="zh-CN" w:bidi="zh-CN"/>
        </w:rPr>
        <w:t>（1）</w:t>
      </w:r>
      <w:r>
        <w:rPr>
          <w:rFonts w:hint="eastAsia" w:ascii="宋体" w:hAnsi="宋体" w:cs="仿宋"/>
          <w:color w:val="000000" w:themeColor="text1"/>
          <w:kern w:val="0"/>
          <w:sz w:val="24"/>
          <w:lang w:val="zh-CN" w:bidi="zh-CN"/>
        </w:rPr>
        <w:t>方式向采购人缴纳履约保证金：</w:t>
      </w:r>
    </w:p>
    <w:p w14:paraId="25091541">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（1）无需缴纳履约保证金；</w:t>
      </w:r>
    </w:p>
    <w:p w14:paraId="68811B74">
      <w:pPr>
        <w:tabs>
          <w:tab w:val="left" w:pos="943"/>
        </w:tabs>
        <w:autoSpaceDE w:val="0"/>
        <w:autoSpaceDN w:val="0"/>
        <w:spacing w:before="41"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（2）投标保证金转为履约保证金；</w:t>
      </w:r>
    </w:p>
    <w:p w14:paraId="3C071DDD">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（3）以支票、汇票、本票或者金融机构、担保机构出具的保函等非现金形式缴纳履约保</w:t>
      </w:r>
      <w:r>
        <w:rPr>
          <w:rFonts w:hint="eastAsia" w:ascii="宋体" w:hAnsi="宋体" w:cs="仿宋"/>
          <w:color w:val="000000" w:themeColor="text1"/>
          <w:spacing w:val="-9"/>
          <w:kern w:val="0"/>
          <w:sz w:val="24"/>
          <w:lang w:val="zh-CN" w:bidi="zh-CN"/>
        </w:rPr>
        <w:t>证金，金额为</w:t>
      </w:r>
      <w:r>
        <w:rPr>
          <w:rFonts w:hint="eastAsia" w:ascii="宋体" w:hAnsi="宋体" w:cs="仿宋"/>
          <w:color w:val="000000" w:themeColor="text1"/>
          <w:spacing w:val="-15"/>
          <w:kern w:val="0"/>
          <w:sz w:val="24"/>
          <w:lang w:val="zh-CN" w:bidi="zh-CN"/>
        </w:rPr>
        <w:t>万元。</w:t>
      </w:r>
    </w:p>
    <w:p w14:paraId="78117043">
      <w:pPr>
        <w:tabs>
          <w:tab w:val="left" w:pos="583"/>
        </w:tabs>
        <w:autoSpaceDE w:val="0"/>
        <w:autoSpaceDN w:val="0"/>
        <w:spacing w:before="1"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bCs/>
          <w:color w:val="000000" w:themeColor="text1"/>
          <w:spacing w:val="-3"/>
          <w:kern w:val="0"/>
          <w:sz w:val="24"/>
          <w:lang w:val="zh-CN" w:bidi="zh-CN"/>
        </w:rPr>
        <w:t>2、</w:t>
      </w:r>
      <w:r>
        <w:rPr>
          <w:rFonts w:hint="eastAsia" w:ascii="宋体" w:hAnsi="宋体" w:cs="仿宋"/>
          <w:color w:val="000000" w:themeColor="text1"/>
          <w:kern w:val="0"/>
          <w:sz w:val="24"/>
          <w:lang w:val="zh-CN" w:bidi="zh-CN"/>
        </w:rPr>
        <w:t>履约保证金的有效期至时止。</w:t>
      </w:r>
    </w:p>
    <w:p w14:paraId="500CB765">
      <w:pPr>
        <w:tabs>
          <w:tab w:val="left" w:pos="583"/>
        </w:tabs>
        <w:autoSpaceDE w:val="0"/>
        <w:autoSpaceDN w:val="0"/>
        <w:spacing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bCs/>
          <w:color w:val="000000" w:themeColor="text1"/>
          <w:spacing w:val="-3"/>
          <w:kern w:val="0"/>
          <w:sz w:val="24"/>
          <w:lang w:val="zh-CN" w:bidi="zh-CN"/>
        </w:rPr>
        <w:t>3、</w:t>
      </w:r>
      <w:r>
        <w:rPr>
          <w:rFonts w:hint="eastAsia" w:ascii="宋体" w:hAnsi="宋体" w:cs="仿宋"/>
          <w:color w:val="000000" w:themeColor="text1"/>
          <w:kern w:val="0"/>
          <w:sz w:val="24"/>
          <w:lang w:val="zh-CN" w:bidi="zh-CN"/>
        </w:rPr>
        <w:t>如乙方未能履行合同规定的义务，甲方有权从履约保证金中取得补偿。</w:t>
      </w:r>
    </w:p>
    <w:p w14:paraId="12E47DAD">
      <w:pPr>
        <w:tabs>
          <w:tab w:val="left" w:pos="583"/>
        </w:tabs>
        <w:autoSpaceDE w:val="0"/>
        <w:autoSpaceDN w:val="0"/>
        <w:spacing w:before="1" w:line="360" w:lineRule="auto"/>
        <w:ind w:firstLine="468" w:firstLineChars="200"/>
        <w:rPr>
          <w:rFonts w:hint="eastAsia" w:ascii="宋体" w:hAnsi="宋体" w:cs="仿宋"/>
          <w:b/>
          <w:color w:val="000000" w:themeColor="text1"/>
          <w:kern w:val="0"/>
          <w:sz w:val="24"/>
          <w:lang w:val="zh-CN" w:bidi="zh-CN"/>
        </w:rPr>
      </w:pPr>
      <w:r>
        <w:rPr>
          <w:rFonts w:hint="eastAsia" w:ascii="宋体" w:hAnsi="宋体" w:cs="仿宋"/>
          <w:bCs/>
          <w:color w:val="000000" w:themeColor="text1"/>
          <w:spacing w:val="-3"/>
          <w:kern w:val="0"/>
          <w:sz w:val="24"/>
          <w:lang w:val="zh-CN" w:bidi="zh-CN"/>
        </w:rPr>
        <w:t>4、</w:t>
      </w:r>
      <w:r>
        <w:rPr>
          <w:rFonts w:hint="eastAsia" w:ascii="宋体" w:hAnsi="宋体" w:cs="仿宋"/>
          <w:color w:val="000000" w:themeColor="text1"/>
          <w:kern w:val="0"/>
          <w:sz w:val="24"/>
          <w:lang w:val="zh-CN" w:bidi="zh-CN"/>
        </w:rPr>
        <w:t>履约保证金扣除甲方应得的补偿后的余额，在有效期满后个工作日内无息退还给乙方。</w:t>
      </w:r>
    </w:p>
    <w:p w14:paraId="62B62379">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第九条 合同款支付</w:t>
      </w:r>
    </w:p>
    <w:p w14:paraId="007BB9B2">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1、本合同项下所有款项均以人民币支付。</w:t>
      </w:r>
    </w:p>
    <w:p w14:paraId="258F81E3">
      <w:pPr>
        <w:tabs>
          <w:tab w:val="left" w:pos="583"/>
        </w:tabs>
        <w:autoSpaceDE w:val="0"/>
        <w:autoSpaceDN w:val="0"/>
        <w:spacing w:line="360" w:lineRule="auto"/>
        <w:ind w:firstLine="448" w:firstLineChars="200"/>
        <w:rPr>
          <w:rFonts w:hint="eastAsia" w:ascii="宋体" w:hAnsi="宋体" w:cs="仿宋"/>
          <w:color w:val="000000" w:themeColor="text1"/>
          <w:spacing w:val="-8"/>
          <w:kern w:val="0"/>
          <w:sz w:val="24"/>
          <w:lang w:val="zh-CN" w:bidi="zh-CN"/>
        </w:rPr>
      </w:pPr>
      <w:r>
        <w:rPr>
          <w:rFonts w:hint="eastAsia" w:ascii="宋体" w:hAnsi="宋体" w:cs="仿宋"/>
          <w:color w:val="000000" w:themeColor="text1"/>
          <w:spacing w:val="-8"/>
          <w:kern w:val="0"/>
          <w:sz w:val="24"/>
          <w:lang w:val="zh-CN" w:bidi="zh-CN"/>
        </w:rPr>
        <w:t>2、</w:t>
      </w:r>
      <w:r>
        <w:rPr>
          <w:rFonts w:hint="eastAsia" w:ascii="宋体" w:hAnsi="宋体" w:cs="仿宋"/>
          <w:color w:val="000000" w:themeColor="text1"/>
          <w:spacing w:val="-3"/>
          <w:kern w:val="0"/>
          <w:sz w:val="24"/>
          <w:lang w:val="zh-CN" w:bidi="zh-CN"/>
        </w:rPr>
        <w:t xml:space="preserve">本合同项下的采购资金由乙方开具发票，甲方按照本条第 </w:t>
      </w:r>
      <w:r>
        <w:rPr>
          <w:rFonts w:hint="eastAsia" w:ascii="宋体" w:hAnsi="宋体" w:cs="仿宋"/>
          <w:color w:val="000000" w:themeColor="text1"/>
          <w:kern w:val="0"/>
          <w:sz w:val="24"/>
          <w:lang w:val="zh-CN" w:bidi="zh-CN"/>
        </w:rPr>
        <w:t>3</w:t>
      </w:r>
      <w:r>
        <w:rPr>
          <w:rFonts w:hint="eastAsia" w:ascii="宋体" w:hAnsi="宋体" w:cs="仿宋"/>
          <w:color w:val="000000" w:themeColor="text1"/>
          <w:spacing w:val="-8"/>
          <w:kern w:val="0"/>
          <w:sz w:val="24"/>
          <w:lang w:val="zh-CN" w:bidi="zh-CN"/>
        </w:rPr>
        <w:t xml:space="preserve"> 款的约定支付。</w:t>
      </w:r>
    </w:p>
    <w:p w14:paraId="0D7698FE">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bidi="zh-CN"/>
        </w:rPr>
      </w:pPr>
      <w:r>
        <w:rPr>
          <w:rFonts w:hint="eastAsia" w:ascii="宋体" w:hAnsi="宋体" w:cs="仿宋"/>
          <w:color w:val="000000" w:themeColor="text1"/>
          <w:spacing w:val="-3"/>
          <w:kern w:val="0"/>
          <w:sz w:val="24"/>
          <w:lang w:val="zh-CN" w:bidi="zh-CN"/>
        </w:rPr>
        <w:t>3、付款方式：每月的保安服务费根据考核结果、实际上岗情况进行核算。</w:t>
      </w:r>
      <w:r>
        <w:rPr>
          <w:rFonts w:hint="eastAsia" w:ascii="宋体" w:hAnsi="宋体" w:cs="仿宋"/>
          <w:color w:val="000000" w:themeColor="text1"/>
          <w:spacing w:val="-3"/>
          <w:kern w:val="0"/>
          <w:sz w:val="24"/>
          <w:lang w:bidi="zh-CN"/>
        </w:rPr>
        <w:t>考核依据合同约定标准以及</w:t>
      </w:r>
      <w:r>
        <w:rPr>
          <w:rFonts w:hint="eastAsia" w:ascii="宋体" w:hAnsi="宋体" w:cs="仿宋"/>
          <w:color w:val="000000" w:themeColor="text1"/>
          <w:kern w:val="0"/>
          <w:sz w:val="24"/>
          <w:lang w:bidi="zh-CN"/>
        </w:rPr>
        <w:t>《</w:t>
      </w:r>
      <w:r>
        <w:rPr>
          <w:rFonts w:ascii="宋体" w:hAnsi="宋体" w:cs="仿宋"/>
          <w:color w:val="000000" w:themeColor="text1"/>
          <w:kern w:val="0"/>
          <w:sz w:val="24"/>
          <w:lang w:bidi="zh-CN"/>
        </w:rPr>
        <w:t>中山陵园风景区服务考核管理办法</w:t>
      </w:r>
      <w:r>
        <w:rPr>
          <w:rFonts w:hint="eastAsia" w:ascii="宋体" w:hAnsi="宋体" w:cs="仿宋"/>
          <w:color w:val="000000" w:themeColor="text1"/>
          <w:kern w:val="0"/>
          <w:sz w:val="24"/>
          <w:lang w:bidi="zh-CN"/>
        </w:rPr>
        <w:t>》执行，存在不合格项目的，扣罚相应的服务费用；考核结果</w:t>
      </w:r>
      <w:r>
        <w:rPr>
          <w:rFonts w:hint="eastAsia" w:ascii="宋体" w:hAnsi="宋体" w:cs="仿宋"/>
          <w:color w:val="000000" w:themeColor="text1"/>
          <w:spacing w:val="-3"/>
          <w:kern w:val="0"/>
          <w:sz w:val="24"/>
          <w:lang w:val="zh-CN" w:bidi="zh-CN"/>
        </w:rPr>
        <w:t>经</w:t>
      </w:r>
      <w:r>
        <w:rPr>
          <w:rFonts w:hint="eastAsia" w:ascii="宋体" w:hAnsi="宋体" w:cs="仿宋"/>
          <w:color w:val="000000" w:themeColor="text1"/>
          <w:spacing w:val="-3"/>
          <w:kern w:val="0"/>
          <w:sz w:val="24"/>
          <w:lang w:bidi="zh-CN"/>
        </w:rPr>
        <w:t>甲方考评组成员及</w:t>
      </w:r>
      <w:r>
        <w:rPr>
          <w:rFonts w:hint="eastAsia" w:ascii="宋体" w:hAnsi="宋体" w:cs="仿宋"/>
          <w:color w:val="000000" w:themeColor="text1"/>
          <w:spacing w:val="-3"/>
          <w:kern w:val="0"/>
          <w:sz w:val="24"/>
          <w:lang w:val="zh-CN" w:bidi="zh-CN"/>
        </w:rPr>
        <w:t>负责人签字认可后，作为每月的付款依据；</w:t>
      </w:r>
      <w:r>
        <w:rPr>
          <w:rFonts w:hint="eastAsia" w:ascii="宋体" w:hAnsi="宋体" w:cs="仿宋"/>
          <w:color w:val="000000" w:themeColor="text1"/>
          <w:spacing w:val="-3"/>
          <w:kern w:val="0"/>
          <w:sz w:val="24"/>
          <w:lang w:bidi="zh-CN"/>
        </w:rPr>
        <w:t>乙方不配合考核，或不能形成付款依据的，甲方有权不支付相应保安服务费用，</w:t>
      </w:r>
      <w:r>
        <w:rPr>
          <w:rFonts w:hint="eastAsia" w:ascii="宋体" w:hAnsi="宋体" w:cs="仿宋"/>
          <w:color w:val="000000" w:themeColor="text1"/>
          <w:spacing w:val="-3"/>
          <w:kern w:val="0"/>
          <w:sz w:val="24"/>
          <w:lang w:val="zh-CN" w:bidi="zh-CN"/>
        </w:rPr>
        <w:t>由此产生的责任由乙方承担。</w:t>
      </w:r>
    </w:p>
    <w:p w14:paraId="19D7F7BE">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val="zh-CN" w:bidi="zh-CN"/>
        </w:rPr>
      </w:pPr>
      <w:r>
        <w:rPr>
          <w:rFonts w:hint="eastAsia" w:ascii="宋体" w:hAnsi="宋体" w:cs="仿宋"/>
          <w:color w:val="000000" w:themeColor="text1"/>
          <w:spacing w:val="-3"/>
          <w:kern w:val="0"/>
          <w:sz w:val="24"/>
          <w:lang w:bidi="zh-CN"/>
        </w:rPr>
        <w:t>上述付款依据明确后，乙方</w:t>
      </w:r>
      <w:r>
        <w:rPr>
          <w:rFonts w:hint="eastAsia" w:ascii="宋体" w:hAnsi="宋体" w:cs="仿宋"/>
          <w:color w:val="000000" w:themeColor="text1"/>
          <w:spacing w:val="-3"/>
          <w:kern w:val="0"/>
          <w:sz w:val="24"/>
          <w:lang w:val="zh-CN" w:bidi="zh-CN"/>
        </w:rPr>
        <w:t>应于每月5日前提供正式发票；如乙方未按上述约定及时开具发票，甲方有权拒付相应保安服务费用，由此产生的责任由乙方承担。</w:t>
      </w:r>
    </w:p>
    <w:p w14:paraId="0D47FD58">
      <w:pPr>
        <w:numPr>
          <w:ilvl w:val="0"/>
          <w:numId w:val="8"/>
        </w:numPr>
        <w:autoSpaceDE w:val="0"/>
        <w:autoSpaceDN w:val="0"/>
        <w:spacing w:line="360" w:lineRule="auto"/>
        <w:ind w:left="341" w:firstLine="480" w:firstLineChars="200"/>
        <w:outlineLvl w:val="2"/>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其他说明</w:t>
      </w:r>
    </w:p>
    <w:p w14:paraId="1DCED57A">
      <w:pPr>
        <w:autoSpaceDE w:val="0"/>
        <w:autoSpaceDN w:val="0"/>
        <w:spacing w:line="360" w:lineRule="auto"/>
        <w:ind w:left="420" w:leftChars="200"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甲乙双方之间不存在任何形式的劳务派遣，劳动用工或雇佣关系。甲方对于乙方保安到岗情况的考勤属于对乙方的服务质量考核，不是用工考勤。</w:t>
      </w:r>
    </w:p>
    <w:p w14:paraId="22E06381">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一</w:t>
      </w:r>
      <w:r>
        <w:rPr>
          <w:rFonts w:hint="eastAsia" w:ascii="宋体" w:hAnsi="宋体" w:cs="仿宋"/>
          <w:color w:val="000000" w:themeColor="text1"/>
          <w:kern w:val="0"/>
          <w:sz w:val="24"/>
          <w:lang w:val="zh-CN" w:bidi="zh-CN"/>
        </w:rPr>
        <w:t>条 违约责任</w:t>
      </w:r>
    </w:p>
    <w:p w14:paraId="15561436">
      <w:pPr>
        <w:tabs>
          <w:tab w:val="left" w:pos="583"/>
        </w:tabs>
        <w:autoSpaceDE w:val="0"/>
        <w:autoSpaceDN w:val="0"/>
        <w:spacing w:line="360" w:lineRule="auto"/>
        <w:ind w:firstLine="468" w:firstLineChars="200"/>
        <w:rPr>
          <w:rFonts w:hint="eastAsia" w:ascii="宋体" w:hAnsi="宋体" w:cs="宋体"/>
          <w:color w:val="000000" w:themeColor="text1"/>
          <w:sz w:val="24"/>
        </w:rPr>
      </w:pPr>
      <w:r>
        <w:rPr>
          <w:rFonts w:hint="eastAsia" w:ascii="宋体" w:hAnsi="宋体" w:cs="仿宋"/>
          <w:color w:val="000000" w:themeColor="text1"/>
          <w:spacing w:val="-3"/>
          <w:kern w:val="0"/>
          <w:sz w:val="24"/>
          <w:lang w:bidi="zh-CN"/>
        </w:rPr>
        <w:t>1、</w:t>
      </w:r>
      <w:r>
        <w:rPr>
          <w:rFonts w:hint="eastAsia" w:ascii="宋体" w:hAnsi="宋体" w:cs="仿宋"/>
          <w:color w:val="000000" w:themeColor="text1"/>
          <w:spacing w:val="-3"/>
          <w:kern w:val="0"/>
          <w:sz w:val="24"/>
          <w:lang w:val="zh-CN" w:bidi="zh-CN"/>
        </w:rPr>
        <w:t>甲方无正当理由拒收服务、拒付服务款的，甲方向乙方偿付合同总价</w:t>
      </w:r>
      <w:r>
        <w:rPr>
          <w:rFonts w:hint="eastAsia" w:ascii="宋体" w:hAnsi="宋体" w:cs="仿宋"/>
          <w:color w:val="000000" w:themeColor="text1"/>
          <w:kern w:val="0"/>
          <w:sz w:val="24"/>
          <w:lang w:val="zh-CN" w:bidi="zh-CN"/>
        </w:rPr>
        <w:t>5%</w:t>
      </w:r>
      <w:r>
        <w:rPr>
          <w:rFonts w:hint="eastAsia" w:ascii="宋体" w:hAnsi="宋体" w:cs="仿宋"/>
          <w:color w:val="000000" w:themeColor="text1"/>
          <w:kern w:val="0"/>
          <w:sz w:val="24"/>
          <w:lang w:bidi="zh-CN"/>
        </w:rPr>
        <w:t>的</w:t>
      </w:r>
      <w:r>
        <w:rPr>
          <w:rFonts w:hint="eastAsia" w:ascii="宋体" w:hAnsi="宋体" w:cs="仿宋"/>
          <w:color w:val="000000" w:themeColor="text1"/>
          <w:kern w:val="0"/>
          <w:sz w:val="24"/>
          <w:lang w:val="zh-CN" w:bidi="zh-CN"/>
        </w:rPr>
        <w:t>违约金；</w:t>
      </w:r>
    </w:p>
    <w:p w14:paraId="22520A43">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val="zh-CN" w:bidi="zh-CN"/>
        </w:rPr>
      </w:pPr>
      <w:r>
        <w:rPr>
          <w:rFonts w:hint="eastAsia" w:ascii="宋体" w:hAnsi="宋体" w:cs="仿宋"/>
          <w:color w:val="000000" w:themeColor="text1"/>
          <w:spacing w:val="-3"/>
          <w:kern w:val="0"/>
          <w:sz w:val="24"/>
          <w:lang w:bidi="zh-CN"/>
        </w:rPr>
        <w:t>2、</w:t>
      </w:r>
      <w:r>
        <w:rPr>
          <w:rFonts w:hint="eastAsia" w:ascii="宋体" w:hAnsi="宋体" w:cs="仿宋"/>
          <w:color w:val="000000" w:themeColor="text1"/>
          <w:spacing w:val="-3"/>
          <w:kern w:val="0"/>
          <w:sz w:val="24"/>
          <w:lang w:val="zh-CN" w:bidi="zh-CN"/>
        </w:rPr>
        <w:t>如乙方不能交付服务的，乙方应向甲方支付合同总价5%的违约金；</w:t>
      </w:r>
    </w:p>
    <w:p w14:paraId="406075BB">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val="zh-CN" w:bidi="zh-CN"/>
        </w:rPr>
      </w:pPr>
      <w:r>
        <w:rPr>
          <w:rFonts w:hint="eastAsia" w:ascii="宋体" w:hAnsi="宋体" w:cs="仿宋"/>
          <w:color w:val="000000" w:themeColor="text1"/>
          <w:spacing w:val="-3"/>
          <w:kern w:val="0"/>
          <w:sz w:val="24"/>
          <w:lang w:bidi="zh-CN"/>
        </w:rPr>
        <w:t>3、</w:t>
      </w:r>
      <w:r>
        <w:rPr>
          <w:rFonts w:hint="eastAsia" w:ascii="宋体" w:hAnsi="宋体" w:cs="仿宋"/>
          <w:color w:val="000000" w:themeColor="text1"/>
          <w:spacing w:val="-3"/>
          <w:kern w:val="0"/>
          <w:sz w:val="24"/>
          <w:lang w:val="zh-CN" w:bidi="zh-CN"/>
        </w:rPr>
        <w:t>乙方逾期交付的，每逾期 1 天，乙方向甲方偿付合同总额的5‰的滞纳金。如乙方逾期交付达 10 天，甲方有权解除合同，解除合同的通知自到达乙方时生效；</w:t>
      </w:r>
    </w:p>
    <w:p w14:paraId="4F9170C5">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bidi="zh-CN"/>
        </w:rPr>
      </w:pPr>
      <w:r>
        <w:rPr>
          <w:rFonts w:hint="eastAsia" w:ascii="宋体" w:hAnsi="宋体" w:cs="仿宋"/>
          <w:color w:val="000000" w:themeColor="text1"/>
          <w:spacing w:val="-3"/>
          <w:kern w:val="0"/>
          <w:sz w:val="24"/>
          <w:lang w:bidi="zh-CN"/>
        </w:rPr>
        <w:t>4、</w:t>
      </w:r>
      <w:r>
        <w:rPr>
          <w:rFonts w:hint="eastAsia" w:ascii="宋体" w:hAnsi="宋体" w:cs="仿宋"/>
          <w:color w:val="000000" w:themeColor="text1"/>
          <w:spacing w:val="-3"/>
          <w:kern w:val="0"/>
          <w:sz w:val="24"/>
          <w:lang w:val="zh-CN" w:bidi="zh-CN"/>
        </w:rPr>
        <w:t>乙方所交付的服务不符合合同</w:t>
      </w:r>
      <w:r>
        <w:rPr>
          <w:rFonts w:hint="eastAsia" w:ascii="宋体" w:hAnsi="宋体" w:cs="仿宋"/>
          <w:color w:val="000000" w:themeColor="text1"/>
          <w:spacing w:val="-3"/>
          <w:kern w:val="0"/>
          <w:sz w:val="24"/>
          <w:lang w:bidi="zh-CN"/>
        </w:rPr>
        <w:t>及《中山陵园管理局安保服务质量月度考评表》各项约定的</w:t>
      </w:r>
      <w:r>
        <w:rPr>
          <w:rFonts w:hint="eastAsia" w:ascii="宋体" w:hAnsi="宋体" w:cs="仿宋"/>
          <w:color w:val="000000" w:themeColor="text1"/>
          <w:spacing w:val="-3"/>
          <w:kern w:val="0"/>
          <w:sz w:val="24"/>
          <w:lang w:val="zh-CN" w:bidi="zh-CN"/>
        </w:rPr>
        <w:t>，甲方有权</w:t>
      </w:r>
      <w:r>
        <w:rPr>
          <w:rFonts w:hint="eastAsia" w:ascii="宋体" w:hAnsi="宋体" w:cs="仿宋"/>
          <w:color w:val="000000" w:themeColor="text1"/>
          <w:spacing w:val="-3"/>
          <w:kern w:val="0"/>
          <w:sz w:val="24"/>
          <w:lang w:bidi="zh-CN"/>
        </w:rPr>
        <w:t>要求乙方整改或</w:t>
      </w:r>
      <w:r>
        <w:rPr>
          <w:rFonts w:hint="eastAsia" w:ascii="宋体" w:hAnsi="宋体" w:cs="仿宋"/>
          <w:color w:val="000000" w:themeColor="text1"/>
          <w:spacing w:val="-3"/>
          <w:kern w:val="0"/>
          <w:sz w:val="24"/>
          <w:lang w:val="zh-CN" w:bidi="zh-CN"/>
        </w:rPr>
        <w:t>拒收。</w:t>
      </w:r>
      <w:r>
        <w:rPr>
          <w:rFonts w:hint="eastAsia" w:ascii="宋体" w:hAnsi="宋体" w:cs="仿宋"/>
          <w:color w:val="000000" w:themeColor="text1"/>
          <w:spacing w:val="-3"/>
          <w:kern w:val="0"/>
          <w:sz w:val="24"/>
          <w:lang w:bidi="zh-CN"/>
        </w:rPr>
        <w:t>同时根据《中山陵园管理局安保服务质量月度考评表》标准扣罚相应的服务费用；</w:t>
      </w:r>
    </w:p>
    <w:p w14:paraId="19A01208">
      <w:pPr>
        <w:spacing w:line="360" w:lineRule="auto"/>
        <w:ind w:firstLine="468" w:firstLineChars="200"/>
        <w:rPr>
          <w:rFonts w:hint="eastAsia" w:ascii="宋体" w:hAnsi="宋体" w:cs="仿宋"/>
          <w:color w:val="000000" w:themeColor="text1"/>
          <w:spacing w:val="-3"/>
          <w:kern w:val="0"/>
          <w:sz w:val="24"/>
          <w:lang w:bidi="zh-CN"/>
        </w:rPr>
      </w:pPr>
      <w:r>
        <w:rPr>
          <w:rFonts w:hint="eastAsia" w:ascii="宋体" w:hAnsi="宋体" w:cs="仿宋"/>
          <w:color w:val="000000" w:themeColor="text1"/>
          <w:spacing w:val="-3"/>
          <w:kern w:val="0"/>
          <w:sz w:val="24"/>
          <w:lang w:bidi="zh-CN"/>
        </w:rPr>
        <w:t xml:space="preserve">乙方协管安保人员违法违规或者不称职的，甲方有权要求乙方更换人员。同时根据《中山陵园管理局安保服务质量月度考评表》标准扣罚相应的服务费用；   </w:t>
      </w:r>
    </w:p>
    <w:p w14:paraId="2CE075EE">
      <w:pPr>
        <w:spacing w:line="360" w:lineRule="auto"/>
        <w:ind w:firstLine="468" w:firstLineChars="200"/>
        <w:rPr>
          <w:rFonts w:hint="eastAsia" w:ascii="宋体" w:hAnsi="宋体" w:cs="宋体"/>
          <w:color w:val="000000" w:themeColor="text1"/>
          <w:sz w:val="24"/>
        </w:rPr>
      </w:pPr>
      <w:r>
        <w:rPr>
          <w:rFonts w:hint="eastAsia" w:ascii="宋体" w:hAnsi="宋体" w:cs="宋体"/>
          <w:color w:val="000000" w:themeColor="text1"/>
          <w:spacing w:val="-3"/>
          <w:kern w:val="0"/>
          <w:sz w:val="24"/>
          <w:lang w:bidi="zh-CN"/>
        </w:rPr>
        <w:t>乙方经甲方通知整改仍不能整改到位，甲方有权视情况终止本合同。在上述扣罚的基础上，甲方有权要求乙方支付合同总价5%的违约金；</w:t>
      </w:r>
    </w:p>
    <w:p w14:paraId="3A18E7B4">
      <w:pPr>
        <w:tabs>
          <w:tab w:val="left" w:pos="583"/>
        </w:tabs>
        <w:autoSpaceDE w:val="0"/>
        <w:autoSpaceDN w:val="0"/>
        <w:spacing w:line="360" w:lineRule="auto"/>
        <w:ind w:firstLine="440" w:firstLineChars="200"/>
        <w:rPr>
          <w:rFonts w:hint="eastAsia" w:ascii="宋体" w:hAnsi="宋体" w:cs="宋体"/>
          <w:color w:val="000000" w:themeColor="text1"/>
          <w:spacing w:val="-10"/>
          <w:kern w:val="0"/>
          <w:sz w:val="24"/>
          <w:lang w:val="zh-CN" w:bidi="zh-CN"/>
        </w:rPr>
      </w:pPr>
      <w:r>
        <w:rPr>
          <w:rFonts w:hint="eastAsia" w:ascii="宋体" w:hAnsi="宋体" w:cs="宋体"/>
          <w:color w:val="000000" w:themeColor="text1"/>
          <w:spacing w:val="-10"/>
          <w:kern w:val="0"/>
          <w:sz w:val="24"/>
          <w:lang w:bidi="zh-CN"/>
        </w:rPr>
        <w:t>乙方的违约行为，经扣罚和支付违约金仍不能弥补甲方损失的，</w:t>
      </w:r>
      <w:r>
        <w:rPr>
          <w:rFonts w:hint="eastAsia" w:ascii="宋体" w:hAnsi="宋体" w:cs="宋体"/>
          <w:color w:val="000000" w:themeColor="text1"/>
          <w:spacing w:val="-10"/>
          <w:kern w:val="0"/>
          <w:sz w:val="24"/>
          <w:lang w:val="zh-CN" w:bidi="zh-CN"/>
        </w:rPr>
        <w:t>乙方还须赔偿甲方因此遭受的损失。</w:t>
      </w:r>
    </w:p>
    <w:p w14:paraId="687DBFBA">
      <w:pPr>
        <w:tabs>
          <w:tab w:val="left" w:pos="583"/>
        </w:tabs>
        <w:autoSpaceDE w:val="0"/>
        <w:autoSpaceDN w:val="0"/>
        <w:spacing w:line="360" w:lineRule="auto"/>
        <w:ind w:firstLine="480" w:firstLineChars="200"/>
        <w:rPr>
          <w:rFonts w:hint="eastAsia" w:ascii="宋体" w:hAnsi="宋体" w:cs="宋体"/>
          <w:color w:val="000000" w:themeColor="text1"/>
          <w:kern w:val="0"/>
          <w:sz w:val="24"/>
          <w:lang w:val="zh-CN" w:bidi="zh-CN"/>
        </w:rPr>
      </w:pPr>
      <w:r>
        <w:rPr>
          <w:rFonts w:hint="eastAsia" w:ascii="宋体" w:hAnsi="宋体" w:cs="宋体"/>
          <w:color w:val="000000" w:themeColor="text1"/>
          <w:kern w:val="0"/>
          <w:sz w:val="24"/>
          <w:lang w:bidi="zh-CN"/>
        </w:rPr>
        <w:t>5、</w:t>
      </w:r>
      <w:r>
        <w:rPr>
          <w:rFonts w:hint="eastAsia" w:ascii="宋体" w:hAnsi="宋体" w:cs="宋体"/>
          <w:color w:val="000000" w:themeColor="text1"/>
          <w:kern w:val="0"/>
          <w:sz w:val="24"/>
          <w:lang w:val="zh-CN" w:bidi="zh-CN"/>
        </w:rPr>
        <w:t>乙方响应属虚假承诺，或经权威部门检测提供的服务不能满足投标（响应）文件要求，或是由于乙方的过错造成合同无法继续履行的，应向甲方支付不少于合同总价 30%赔偿金。</w:t>
      </w:r>
    </w:p>
    <w:p w14:paraId="3B312C85">
      <w:pPr>
        <w:pStyle w:val="19"/>
        <w:spacing w:line="360" w:lineRule="auto"/>
        <w:ind w:firstLine="480" w:firstLineChars="200"/>
        <w:jc w:val="both"/>
        <w:rPr>
          <w:rFonts w:hint="eastAsia" w:ascii="宋体" w:hAnsi="宋体" w:eastAsia="宋体" w:cs="仿宋"/>
          <w:b w:val="0"/>
          <w:bCs w:val="0"/>
          <w:color w:val="000000" w:themeColor="text1"/>
          <w:sz w:val="24"/>
        </w:rPr>
      </w:pPr>
      <w:r>
        <w:rPr>
          <w:rFonts w:hint="eastAsia" w:ascii="宋体" w:hAnsi="宋体" w:eastAsia="宋体" w:cs="宋体"/>
          <w:b w:val="0"/>
          <w:bCs w:val="0"/>
          <w:color w:val="000000" w:themeColor="text1"/>
          <w:sz w:val="24"/>
        </w:rPr>
        <w:t>6、乙方应规范用工，不得违反劳动人事法规</w:t>
      </w:r>
      <w:r>
        <w:rPr>
          <w:rFonts w:hint="eastAsia" w:ascii="宋体" w:hAnsi="宋体" w:eastAsia="宋体" w:cs="仿宋"/>
          <w:b w:val="0"/>
          <w:bCs w:val="0"/>
          <w:color w:val="000000" w:themeColor="text1"/>
          <w:sz w:val="24"/>
        </w:rPr>
        <w:t>的规定。乙方应做好协管安保人员的培训，依法依规执行工作，遵守甲方规章制度。如乙方协管安保人员违法违规履职，给甲方或第三人造成损害，相关法律责任、甲方及第三人的损失均由乙方承担和赔偿，甲方有权视情况决定是否终止本合同。</w:t>
      </w:r>
    </w:p>
    <w:p w14:paraId="6885BE02">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7</w:t>
      </w:r>
      <w:r>
        <w:rPr>
          <w:rFonts w:ascii="宋体" w:hAnsi="宋体"/>
          <w:color w:val="000000" w:themeColor="text1"/>
          <w:sz w:val="24"/>
        </w:rPr>
        <w:t>、本合同签订后，双方均应按约履行，任一方违约，守约方为维护自身权益所支出的合理维权费用，包括但不限于诉讼费、律师费、保全费、差旅费等由违约方承担</w:t>
      </w:r>
      <w:r>
        <w:rPr>
          <w:rFonts w:hint="eastAsia" w:ascii="宋体" w:hAnsi="宋体"/>
          <w:color w:val="000000" w:themeColor="text1"/>
          <w:sz w:val="24"/>
        </w:rPr>
        <w:t>。</w:t>
      </w:r>
    </w:p>
    <w:p w14:paraId="6DD74ECE">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二</w:t>
      </w:r>
      <w:r>
        <w:rPr>
          <w:rFonts w:hint="eastAsia" w:ascii="宋体" w:hAnsi="宋体" w:cs="仿宋"/>
          <w:color w:val="000000" w:themeColor="text1"/>
          <w:kern w:val="0"/>
          <w:sz w:val="24"/>
          <w:lang w:val="zh-CN" w:bidi="zh-CN"/>
        </w:rPr>
        <w:t>条 合同的变更和终止</w:t>
      </w:r>
    </w:p>
    <w:p w14:paraId="77F72D3E">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1、除《政府采购法》第 50 条规定</w:t>
      </w:r>
      <w:r>
        <w:rPr>
          <w:rFonts w:hint="eastAsia" w:ascii="宋体" w:hAnsi="宋体" w:cs="仿宋"/>
          <w:color w:val="000000" w:themeColor="text1"/>
          <w:kern w:val="0"/>
          <w:sz w:val="24"/>
          <w:lang w:bidi="zh-CN"/>
        </w:rPr>
        <w:t>及本合同有约定</w:t>
      </w:r>
      <w:r>
        <w:rPr>
          <w:rFonts w:hint="eastAsia" w:ascii="宋体" w:hAnsi="宋体" w:cs="仿宋"/>
          <w:color w:val="000000" w:themeColor="text1"/>
          <w:kern w:val="0"/>
          <w:sz w:val="24"/>
          <w:lang w:val="zh-CN" w:bidi="zh-CN"/>
        </w:rPr>
        <w:t>的情形外，本合同一经签订，甲乙双方不得擅自变更、中止或终止。</w:t>
      </w:r>
    </w:p>
    <w:p w14:paraId="61E2AAE9">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2、除发生法律规定的不能预见、不能避免并不能克服的客观情况外，甲乙双方不得放弃或拒绝履行合同。乙方放弃或拒绝履行合同，按规定接受相关部门的处罚。</w:t>
      </w:r>
    </w:p>
    <w:p w14:paraId="608F9FD4">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3、在合同履行期间因乙方原因导致的重大事故，甲方有权单方面终止合同，由此造成的损失由乙方承担。</w:t>
      </w:r>
    </w:p>
    <w:p w14:paraId="00F36F0C">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三</w:t>
      </w:r>
      <w:r>
        <w:rPr>
          <w:rFonts w:hint="eastAsia" w:ascii="宋体" w:hAnsi="宋体" w:cs="仿宋"/>
          <w:color w:val="000000" w:themeColor="text1"/>
          <w:kern w:val="0"/>
          <w:sz w:val="24"/>
          <w:lang w:val="zh-CN" w:bidi="zh-CN"/>
        </w:rPr>
        <w:t>条 合同的转让</w:t>
      </w:r>
    </w:p>
    <w:p w14:paraId="15F7C979">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乙方不得擅自部分或全部转让其应履行的合同义务。</w:t>
      </w:r>
    </w:p>
    <w:p w14:paraId="5DF8DD94">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四</w:t>
      </w:r>
      <w:r>
        <w:rPr>
          <w:rFonts w:hint="eastAsia" w:ascii="宋体" w:hAnsi="宋体" w:cs="仿宋"/>
          <w:color w:val="000000" w:themeColor="text1"/>
          <w:kern w:val="0"/>
          <w:sz w:val="24"/>
          <w:lang w:val="zh-CN" w:bidi="zh-CN"/>
        </w:rPr>
        <w:t>条 争议的解决</w:t>
      </w:r>
    </w:p>
    <w:p w14:paraId="2F596C11">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1</w:t>
      </w:r>
      <w:r>
        <w:rPr>
          <w:rFonts w:hint="eastAsia" w:ascii="宋体" w:hAnsi="宋体" w:cs="仿宋"/>
          <w:color w:val="000000" w:themeColor="text1"/>
          <w:kern w:val="0"/>
          <w:sz w:val="24"/>
          <w:lang w:val="zh-CN" w:bidi="zh-CN"/>
        </w:rPr>
        <w:t>、因履行本合同引起的或与本合同有关的争议，甲、乙双方应首先通过友好协商解决，如果协商不能解决争议，则采取以下第（</w:t>
      </w:r>
      <w:r>
        <w:rPr>
          <w:rFonts w:hint="eastAsia" w:ascii="宋体" w:hAnsi="宋体" w:cs="仿宋"/>
          <w:color w:val="000000" w:themeColor="text1"/>
          <w:kern w:val="0"/>
          <w:sz w:val="24"/>
          <w:lang w:bidi="zh-CN"/>
        </w:rPr>
        <w:t>1</w:t>
      </w:r>
      <w:r>
        <w:rPr>
          <w:rFonts w:hint="eastAsia" w:ascii="宋体" w:hAnsi="宋体" w:cs="仿宋"/>
          <w:color w:val="000000" w:themeColor="text1"/>
          <w:kern w:val="0"/>
          <w:sz w:val="24"/>
          <w:lang w:val="zh-CN" w:bidi="zh-CN"/>
        </w:rPr>
        <w:t>）种方式解决争议：</w:t>
      </w:r>
    </w:p>
    <w:p w14:paraId="14939C8C">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（1）向甲方所在地人民法院或合同履行地人民法院起诉，即南京市玄武区人民法院管辖；</w:t>
      </w:r>
    </w:p>
    <w:p w14:paraId="7DE96E90">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（2）向南京仲裁委员会按其仲裁规则申请仲裁。</w:t>
      </w:r>
    </w:p>
    <w:p w14:paraId="7F4383FE">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2、仲裁期间本合同应继续履行。</w:t>
      </w:r>
    </w:p>
    <w:p w14:paraId="5C2BA6E0">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五</w:t>
      </w:r>
      <w:r>
        <w:rPr>
          <w:rFonts w:hint="eastAsia" w:ascii="宋体" w:hAnsi="宋体" w:cs="仿宋"/>
          <w:color w:val="000000" w:themeColor="text1"/>
          <w:kern w:val="0"/>
          <w:sz w:val="24"/>
          <w:lang w:val="zh-CN" w:bidi="zh-CN"/>
        </w:rPr>
        <w:t>条 诚实信用</w:t>
      </w:r>
    </w:p>
    <w:p w14:paraId="11ADC61B">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乙方应诚实信用，严格按照招标（采购）文件要求和投标（响应）承诺履行合同，不向甲方进行商业贿赂或者提供不正当利益。</w:t>
      </w:r>
    </w:p>
    <w:p w14:paraId="5295AE68">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六</w:t>
      </w:r>
      <w:r>
        <w:rPr>
          <w:rFonts w:hint="eastAsia" w:ascii="宋体" w:hAnsi="宋体" w:cs="仿宋"/>
          <w:color w:val="000000" w:themeColor="text1"/>
          <w:kern w:val="0"/>
          <w:sz w:val="24"/>
          <w:lang w:val="zh-CN" w:bidi="zh-CN"/>
        </w:rPr>
        <w:t>条 合同生效及其他</w:t>
      </w:r>
    </w:p>
    <w:p w14:paraId="5350B940">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1、本合同自签订之日起生效，两个工作日内在财政部门指定的媒体上公告。</w:t>
      </w:r>
    </w:p>
    <w:p w14:paraId="5ADFB48D">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2、本合同一式二份，甲乙双方各执一份。</w:t>
      </w:r>
    </w:p>
    <w:p w14:paraId="531E5911">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3、本合同按照中华人民共和国的现行法律进行解释。</w:t>
      </w:r>
    </w:p>
    <w:p w14:paraId="4E4BC4D4">
      <w:pPr>
        <w:tabs>
          <w:tab w:val="left" w:pos="583"/>
        </w:tabs>
        <w:autoSpaceDE w:val="0"/>
        <w:autoSpaceDN w:val="0"/>
        <w:ind w:firstLine="480" w:firstLineChars="200"/>
        <w:rPr>
          <w:rFonts w:hint="eastAsia" w:ascii="宋体" w:hAnsi="宋体" w:cs="仿宋"/>
          <w:color w:val="000000" w:themeColor="text1"/>
          <w:kern w:val="0"/>
          <w:sz w:val="24"/>
          <w:lang w:val="zh-CN" w:bidi="zh-CN"/>
        </w:rPr>
      </w:pPr>
    </w:p>
    <w:p w14:paraId="4BCAE92F">
      <w:pPr>
        <w:autoSpaceDE w:val="0"/>
        <w:autoSpaceDN w:val="0"/>
        <w:spacing w:before="6" w:after="1"/>
        <w:rPr>
          <w:rFonts w:hint="eastAsia" w:ascii="宋体" w:hAnsi="宋体" w:cs="仿宋"/>
          <w:color w:val="000000" w:themeColor="text1"/>
          <w:kern w:val="0"/>
          <w:sz w:val="24"/>
          <w:lang w:val="zh-CN" w:bidi="zh-CN"/>
        </w:rPr>
      </w:pPr>
    </w:p>
    <w:p w14:paraId="426086B1">
      <w:pPr>
        <w:rPr>
          <w:rFonts w:hint="eastAsia" w:ascii="宋体" w:hAnsi="宋体" w:cs="仿宋"/>
          <w:color w:val="000000" w:themeColor="text1"/>
          <w:sz w:val="24"/>
        </w:rPr>
      </w:pPr>
    </w:p>
    <w:tbl>
      <w:tblPr>
        <w:tblStyle w:val="246"/>
        <w:tblW w:w="5000" w:type="pct"/>
        <w:jc w:val="center"/>
        <w:tblLayout w:type="fixed"/>
        <w:tblCellMar>
          <w:top w:w="0" w:type="dxa"/>
          <w:left w:w="0" w:type="dxa"/>
          <w:bottom w:w="0" w:type="dxa"/>
          <w:right w:w="0" w:type="dxa"/>
        </w:tblCellMar>
      </w:tblPr>
      <w:tblGrid>
        <w:gridCol w:w="4536"/>
        <w:gridCol w:w="4536"/>
      </w:tblGrid>
      <w:tr w14:paraId="23DB4474">
        <w:tblPrEx>
          <w:tblCellMar>
            <w:top w:w="0" w:type="dxa"/>
            <w:left w:w="0" w:type="dxa"/>
            <w:bottom w:w="0" w:type="dxa"/>
            <w:right w:w="0" w:type="dxa"/>
          </w:tblCellMar>
        </w:tblPrEx>
        <w:trPr>
          <w:trHeight w:val="442" w:hRule="atLeast"/>
          <w:jc w:val="center"/>
        </w:trPr>
        <w:tc>
          <w:tcPr>
            <w:tcW w:w="4366" w:type="dxa"/>
          </w:tcPr>
          <w:p w14:paraId="0C1C0D3F">
            <w:pPr>
              <w:autoSpaceDE w:val="0"/>
              <w:autoSpaceDN w:val="0"/>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甲方（采购人）：</w:t>
            </w:r>
          </w:p>
        </w:tc>
        <w:tc>
          <w:tcPr>
            <w:tcW w:w="4366" w:type="dxa"/>
          </w:tcPr>
          <w:p w14:paraId="2B34CE4E">
            <w:pPr>
              <w:autoSpaceDE w:val="0"/>
              <w:autoSpaceDN w:val="0"/>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乙方（供应商）：</w:t>
            </w:r>
          </w:p>
        </w:tc>
      </w:tr>
      <w:tr w14:paraId="09645976">
        <w:tblPrEx>
          <w:tblCellMar>
            <w:top w:w="0" w:type="dxa"/>
            <w:left w:w="0" w:type="dxa"/>
            <w:bottom w:w="0" w:type="dxa"/>
            <w:right w:w="0" w:type="dxa"/>
          </w:tblCellMar>
        </w:tblPrEx>
        <w:trPr>
          <w:trHeight w:val="495" w:hRule="atLeast"/>
          <w:jc w:val="center"/>
        </w:trPr>
        <w:tc>
          <w:tcPr>
            <w:tcW w:w="4366" w:type="dxa"/>
          </w:tcPr>
          <w:p w14:paraId="2DDDDFDF">
            <w:pPr>
              <w:autoSpaceDE w:val="0"/>
              <w:autoSpaceDN w:val="0"/>
              <w:spacing w:before="16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（盖章）</w:t>
            </w:r>
          </w:p>
        </w:tc>
        <w:tc>
          <w:tcPr>
            <w:tcW w:w="4366" w:type="dxa"/>
          </w:tcPr>
          <w:p w14:paraId="33E23DA9">
            <w:pPr>
              <w:autoSpaceDE w:val="0"/>
              <w:autoSpaceDN w:val="0"/>
              <w:spacing w:before="169"/>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（盖章）</w:t>
            </w:r>
          </w:p>
        </w:tc>
      </w:tr>
      <w:tr w14:paraId="59C7437D">
        <w:tblPrEx>
          <w:tblCellMar>
            <w:top w:w="0" w:type="dxa"/>
            <w:left w:w="0" w:type="dxa"/>
            <w:bottom w:w="0" w:type="dxa"/>
            <w:right w:w="0" w:type="dxa"/>
          </w:tblCellMar>
        </w:tblPrEx>
        <w:trPr>
          <w:trHeight w:val="345" w:hRule="atLeast"/>
          <w:jc w:val="center"/>
        </w:trPr>
        <w:tc>
          <w:tcPr>
            <w:tcW w:w="4366" w:type="dxa"/>
          </w:tcPr>
          <w:p w14:paraId="69C8A7E8">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代表人：</w:t>
            </w:r>
          </w:p>
        </w:tc>
        <w:tc>
          <w:tcPr>
            <w:tcW w:w="4366" w:type="dxa"/>
          </w:tcPr>
          <w:p w14:paraId="51DE5748">
            <w:pPr>
              <w:autoSpaceDE w:val="0"/>
              <w:autoSpaceDN w:val="0"/>
              <w:spacing w:before="19"/>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代表人：</w:t>
            </w:r>
          </w:p>
        </w:tc>
      </w:tr>
      <w:tr w14:paraId="66587ABF">
        <w:tblPrEx>
          <w:tblCellMar>
            <w:top w:w="0" w:type="dxa"/>
            <w:left w:w="0" w:type="dxa"/>
            <w:bottom w:w="0" w:type="dxa"/>
            <w:right w:w="0" w:type="dxa"/>
          </w:tblCellMar>
        </w:tblPrEx>
        <w:trPr>
          <w:trHeight w:val="337" w:hRule="atLeast"/>
          <w:jc w:val="center"/>
        </w:trPr>
        <w:tc>
          <w:tcPr>
            <w:tcW w:w="4366" w:type="dxa"/>
          </w:tcPr>
          <w:p w14:paraId="4C75068C">
            <w:pPr>
              <w:autoSpaceDE w:val="0"/>
              <w:autoSpaceDN w:val="0"/>
              <w:spacing w:before="18"/>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电话：</w:t>
            </w:r>
          </w:p>
        </w:tc>
        <w:tc>
          <w:tcPr>
            <w:tcW w:w="4366" w:type="dxa"/>
          </w:tcPr>
          <w:p w14:paraId="40891787">
            <w:pPr>
              <w:autoSpaceDE w:val="0"/>
              <w:autoSpaceDN w:val="0"/>
              <w:spacing w:before="18"/>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电话：</w:t>
            </w:r>
          </w:p>
        </w:tc>
      </w:tr>
      <w:tr w14:paraId="1ACF6891">
        <w:tblPrEx>
          <w:tblCellMar>
            <w:top w:w="0" w:type="dxa"/>
            <w:left w:w="0" w:type="dxa"/>
            <w:bottom w:w="0" w:type="dxa"/>
            <w:right w:w="0" w:type="dxa"/>
          </w:tblCellMar>
        </w:tblPrEx>
        <w:trPr>
          <w:trHeight w:val="337" w:hRule="atLeast"/>
          <w:jc w:val="center"/>
        </w:trPr>
        <w:tc>
          <w:tcPr>
            <w:tcW w:w="4366" w:type="dxa"/>
          </w:tcPr>
          <w:p w14:paraId="6B69D005">
            <w:pPr>
              <w:autoSpaceDE w:val="0"/>
              <w:autoSpaceDN w:val="0"/>
              <w:spacing w:before="11"/>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开户银行：</w:t>
            </w:r>
          </w:p>
        </w:tc>
        <w:tc>
          <w:tcPr>
            <w:tcW w:w="4366" w:type="dxa"/>
          </w:tcPr>
          <w:p w14:paraId="555E3977">
            <w:pPr>
              <w:autoSpaceDE w:val="0"/>
              <w:autoSpaceDN w:val="0"/>
              <w:spacing w:before="11"/>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开户银行：</w:t>
            </w:r>
          </w:p>
        </w:tc>
      </w:tr>
      <w:tr w14:paraId="7B210C1D">
        <w:tblPrEx>
          <w:tblCellMar>
            <w:top w:w="0" w:type="dxa"/>
            <w:left w:w="0" w:type="dxa"/>
            <w:bottom w:w="0" w:type="dxa"/>
            <w:right w:w="0" w:type="dxa"/>
          </w:tblCellMar>
        </w:tblPrEx>
        <w:trPr>
          <w:trHeight w:val="292" w:hRule="atLeast"/>
          <w:jc w:val="center"/>
        </w:trPr>
        <w:tc>
          <w:tcPr>
            <w:tcW w:w="4366" w:type="dxa"/>
          </w:tcPr>
          <w:p w14:paraId="21EB5074">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账号：</w:t>
            </w:r>
          </w:p>
        </w:tc>
        <w:tc>
          <w:tcPr>
            <w:tcW w:w="4366" w:type="dxa"/>
          </w:tcPr>
          <w:p w14:paraId="5B7A3A72">
            <w:pPr>
              <w:autoSpaceDE w:val="0"/>
              <w:autoSpaceDN w:val="0"/>
              <w:spacing w:before="19"/>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账号：</w:t>
            </w:r>
          </w:p>
        </w:tc>
      </w:tr>
    </w:tbl>
    <w:p w14:paraId="3DDAB989">
      <w:pPr>
        <w:autoSpaceDE w:val="0"/>
        <w:autoSpaceDN w:val="0"/>
        <w:rPr>
          <w:rFonts w:cs="宋体"/>
          <w:color w:val="000000" w:themeColor="text1"/>
          <w:kern w:val="0"/>
          <w:szCs w:val="21"/>
          <w:lang w:val="zh-CN" w:bidi="zh-CN"/>
        </w:rPr>
      </w:pPr>
    </w:p>
    <w:p w14:paraId="0B0C8022">
      <w:pPr>
        <w:rPr>
          <w:color w:val="000000" w:themeColor="text1"/>
          <w:lang w:val="zh-CN"/>
        </w:rPr>
      </w:pPr>
    </w:p>
    <w:p w14:paraId="799C5723">
      <w:pPr>
        <w:widowControl/>
        <w:jc w:val="left"/>
        <w:rPr>
          <w:rFonts w:hint="eastAsia" w:ascii="宋体" w:hAnsi="宋体" w:cs="宋体"/>
          <w:b/>
          <w:bCs/>
          <w:color w:val="000000" w:themeColor="text1"/>
          <w:kern w:val="44"/>
          <w:sz w:val="32"/>
          <w:szCs w:val="44"/>
          <w:lang w:val="zh-CN"/>
        </w:rPr>
      </w:pPr>
      <w:bookmarkStart w:id="41" w:name="OLE_LINK12"/>
      <w:r>
        <w:rPr>
          <w:rFonts w:hint="eastAsia" w:ascii="宋体" w:hAnsi="宋体" w:cs="宋体"/>
          <w:color w:val="000000" w:themeColor="text1"/>
          <w:lang w:val="zh-CN"/>
        </w:rPr>
        <w:br w:type="page"/>
      </w:r>
    </w:p>
    <w:p w14:paraId="7DC7E228">
      <w:pPr>
        <w:pStyle w:val="3"/>
        <w:numPr>
          <w:ilvl w:val="0"/>
          <w:numId w:val="0"/>
        </w:numPr>
        <w:rPr>
          <w:rFonts w:hint="eastAsia" w:ascii="宋体" w:hAnsi="宋体" w:cs="宋体"/>
          <w:color w:val="000000" w:themeColor="text1"/>
          <w:lang w:val="zh-CN"/>
        </w:rPr>
      </w:pPr>
      <w:bookmarkStart w:id="42" w:name="_Toc242444311"/>
      <w:r>
        <w:rPr>
          <w:rFonts w:hint="eastAsia" w:ascii="宋体" w:hAnsi="宋体" w:cs="宋体"/>
          <w:color w:val="000000" w:themeColor="text1"/>
          <w:lang w:val="zh-CN"/>
        </w:rPr>
        <w:t>（</w:t>
      </w:r>
      <w:r>
        <w:rPr>
          <w:rFonts w:ascii="宋体" w:hAnsi="宋体" w:cs="宋体"/>
          <w:color w:val="000000" w:themeColor="text1"/>
          <w:lang w:val="zh-CN"/>
        </w:rPr>
        <w:t>采购包5、采购包6、采购包7、采购包8</w:t>
      </w:r>
      <w:r>
        <w:rPr>
          <w:rFonts w:hint="eastAsia" w:ascii="宋体" w:hAnsi="宋体" w:cs="宋体"/>
          <w:color w:val="000000" w:themeColor="text1"/>
          <w:lang w:val="zh-CN"/>
        </w:rPr>
        <w:t>）</w:t>
      </w:r>
      <w:bookmarkEnd w:id="42"/>
    </w:p>
    <w:tbl>
      <w:tblPr>
        <w:tblStyle w:val="246"/>
        <w:tblW w:w="5000" w:type="pct"/>
        <w:jc w:val="center"/>
        <w:tblLayout w:type="fixed"/>
        <w:tblCellMar>
          <w:top w:w="0" w:type="dxa"/>
          <w:left w:w="0" w:type="dxa"/>
          <w:bottom w:w="0" w:type="dxa"/>
          <w:right w:w="0" w:type="dxa"/>
        </w:tblCellMar>
      </w:tblPr>
      <w:tblGrid>
        <w:gridCol w:w="5493"/>
        <w:gridCol w:w="3579"/>
      </w:tblGrid>
      <w:tr w14:paraId="6718D554">
        <w:tblPrEx>
          <w:tblCellMar>
            <w:top w:w="0" w:type="dxa"/>
            <w:left w:w="0" w:type="dxa"/>
            <w:bottom w:w="0" w:type="dxa"/>
            <w:right w:w="0" w:type="dxa"/>
          </w:tblCellMar>
        </w:tblPrEx>
        <w:trPr>
          <w:trHeight w:val="375" w:hRule="atLeast"/>
          <w:jc w:val="center"/>
        </w:trPr>
        <w:tc>
          <w:tcPr>
            <w:tcW w:w="5493" w:type="dxa"/>
          </w:tcPr>
          <w:p w14:paraId="783C0FE4">
            <w:pPr>
              <w:autoSpaceDE w:val="0"/>
              <w:autoSpaceDN w:val="0"/>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 xml:space="preserve">合同编号： </w:t>
            </w:r>
          </w:p>
        </w:tc>
        <w:tc>
          <w:tcPr>
            <w:tcW w:w="3579" w:type="dxa"/>
          </w:tcPr>
          <w:p w14:paraId="333A854E">
            <w:pPr>
              <w:autoSpaceDE w:val="0"/>
              <w:autoSpaceDN w:val="0"/>
              <w:rPr>
                <w:rFonts w:hint="eastAsia" w:ascii="宋体" w:hAnsi="宋体" w:cs="仿宋"/>
                <w:color w:val="000000" w:themeColor="text1"/>
                <w:kern w:val="0"/>
                <w:sz w:val="24"/>
                <w:lang w:val="zh-CN" w:eastAsia="en-US" w:bidi="zh-CN"/>
              </w:rPr>
            </w:pPr>
          </w:p>
        </w:tc>
      </w:tr>
      <w:tr w14:paraId="05BB3BAB">
        <w:tblPrEx>
          <w:tblCellMar>
            <w:top w:w="0" w:type="dxa"/>
            <w:left w:w="0" w:type="dxa"/>
            <w:bottom w:w="0" w:type="dxa"/>
            <w:right w:w="0" w:type="dxa"/>
          </w:tblCellMar>
        </w:tblPrEx>
        <w:trPr>
          <w:trHeight w:val="245" w:hRule="atLeast"/>
          <w:jc w:val="center"/>
        </w:trPr>
        <w:tc>
          <w:tcPr>
            <w:tcW w:w="5493" w:type="dxa"/>
          </w:tcPr>
          <w:p w14:paraId="3EBCE91B">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政府采购计划号：</w:t>
            </w:r>
          </w:p>
        </w:tc>
        <w:tc>
          <w:tcPr>
            <w:tcW w:w="3579" w:type="dxa"/>
          </w:tcPr>
          <w:p w14:paraId="704798BB">
            <w:pPr>
              <w:autoSpaceDE w:val="0"/>
              <w:autoSpaceDN w:val="0"/>
              <w:rPr>
                <w:rFonts w:hint="eastAsia" w:ascii="宋体" w:hAnsi="宋体" w:cs="仿宋"/>
                <w:color w:val="000000" w:themeColor="text1"/>
                <w:kern w:val="0"/>
                <w:sz w:val="24"/>
                <w:lang w:val="zh-CN" w:eastAsia="en-US" w:bidi="zh-CN"/>
              </w:rPr>
            </w:pPr>
          </w:p>
        </w:tc>
      </w:tr>
      <w:tr w14:paraId="60C01203">
        <w:tblPrEx>
          <w:tblCellMar>
            <w:top w:w="0" w:type="dxa"/>
            <w:left w:w="0" w:type="dxa"/>
            <w:bottom w:w="0" w:type="dxa"/>
            <w:right w:w="0" w:type="dxa"/>
          </w:tblCellMar>
        </w:tblPrEx>
        <w:trPr>
          <w:trHeight w:val="693" w:hRule="atLeast"/>
          <w:jc w:val="center"/>
        </w:trPr>
        <w:tc>
          <w:tcPr>
            <w:tcW w:w="5493" w:type="dxa"/>
          </w:tcPr>
          <w:p w14:paraId="7AECBACD">
            <w:pPr>
              <w:autoSpaceDE w:val="0"/>
              <w:autoSpaceDN w:val="0"/>
              <w:spacing w:before="16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采购人：（以下简称甲方）</w:t>
            </w:r>
          </w:p>
          <w:p w14:paraId="66C746B4">
            <w:pPr>
              <w:autoSpaceDE w:val="0"/>
              <w:autoSpaceDN w:val="0"/>
              <w:spacing w:before="8"/>
              <w:ind w:left="200"/>
              <w:rPr>
                <w:rFonts w:hint="eastAsia" w:ascii="宋体" w:hAnsi="宋体" w:cs="仿宋"/>
                <w:color w:val="000000" w:themeColor="text1"/>
                <w:kern w:val="0"/>
                <w:sz w:val="24"/>
                <w:lang w:eastAsia="zh-CN" w:bidi="zh-CN"/>
              </w:rPr>
            </w:pPr>
            <w:r>
              <w:rPr>
                <w:rFonts w:hint="eastAsia" w:ascii="宋体" w:hAnsi="宋体" w:cs="仿宋"/>
                <w:color w:val="000000" w:themeColor="text1"/>
                <w:kern w:val="0"/>
                <w:sz w:val="24"/>
                <w:lang w:val="zh-CN" w:eastAsia="zh-CN" w:bidi="zh-CN"/>
              </w:rPr>
              <w:t>中山陵园管理局</w:t>
            </w:r>
          </w:p>
        </w:tc>
        <w:tc>
          <w:tcPr>
            <w:tcW w:w="3579" w:type="dxa"/>
          </w:tcPr>
          <w:p w14:paraId="05F04787">
            <w:pPr>
              <w:autoSpaceDE w:val="0"/>
              <w:autoSpaceDN w:val="0"/>
              <w:rPr>
                <w:rFonts w:hint="eastAsia" w:ascii="宋体" w:hAnsi="宋体" w:cs="仿宋"/>
                <w:b/>
                <w:color w:val="000000" w:themeColor="text1"/>
                <w:kern w:val="0"/>
                <w:sz w:val="24"/>
                <w:lang w:val="zh-CN" w:eastAsia="zh-CN" w:bidi="zh-CN"/>
              </w:rPr>
            </w:pPr>
          </w:p>
          <w:p w14:paraId="6DF4BB3D">
            <w:pPr>
              <w:autoSpaceDE w:val="0"/>
              <w:autoSpaceDN w:val="0"/>
              <w:spacing w:before="1"/>
              <w:ind w:left="66"/>
              <w:rPr>
                <w:rFonts w:hint="eastAsia" w:ascii="宋体" w:hAnsi="宋体" w:cs="仿宋"/>
                <w:color w:val="000000" w:themeColor="text1"/>
                <w:kern w:val="0"/>
                <w:sz w:val="24"/>
                <w:lang w:val="zh-CN" w:eastAsia="zh-CN" w:bidi="zh-CN"/>
              </w:rPr>
            </w:pPr>
            <w:r>
              <w:rPr>
                <w:rFonts w:hint="eastAsia" w:ascii="宋体" w:hAnsi="宋体" w:cs="仿宋"/>
                <w:color w:val="000000" w:themeColor="text1"/>
                <w:kern w:val="0"/>
                <w:sz w:val="24"/>
                <w:lang w:val="zh-CN" w:eastAsia="zh-CN" w:bidi="zh-CN"/>
              </w:rPr>
              <w:t>供应商：（以下简称乙方、</w:t>
            </w:r>
            <w:r>
              <w:rPr>
                <w:rFonts w:hint="eastAsia" w:ascii="宋体" w:hAnsi="宋体" w:cs="仿宋"/>
                <w:color w:val="000000" w:themeColor="text1"/>
                <w:kern w:val="0"/>
                <w:sz w:val="24"/>
                <w:lang w:eastAsia="zh-CN" w:bidi="zh-CN"/>
              </w:rPr>
              <w:t>中标人</w:t>
            </w:r>
            <w:r>
              <w:rPr>
                <w:rFonts w:hint="eastAsia" w:ascii="宋体" w:hAnsi="宋体" w:cs="仿宋"/>
                <w:color w:val="000000" w:themeColor="text1"/>
                <w:kern w:val="0"/>
                <w:sz w:val="24"/>
                <w:lang w:val="zh-CN" w:eastAsia="zh-CN" w:bidi="zh-CN"/>
              </w:rPr>
              <w:t>）</w:t>
            </w:r>
          </w:p>
        </w:tc>
      </w:tr>
      <w:tr w14:paraId="430BB42F">
        <w:tblPrEx>
          <w:tblCellMar>
            <w:top w:w="0" w:type="dxa"/>
            <w:left w:w="0" w:type="dxa"/>
            <w:bottom w:w="0" w:type="dxa"/>
            <w:right w:w="0" w:type="dxa"/>
          </w:tblCellMar>
        </w:tblPrEx>
        <w:trPr>
          <w:trHeight w:val="592" w:hRule="atLeast"/>
          <w:jc w:val="center"/>
        </w:trPr>
        <w:tc>
          <w:tcPr>
            <w:tcW w:w="5493" w:type="dxa"/>
          </w:tcPr>
          <w:p w14:paraId="437FEADC">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住所地：</w:t>
            </w:r>
          </w:p>
          <w:p w14:paraId="1D61D7BC">
            <w:pPr>
              <w:autoSpaceDE w:val="0"/>
              <w:autoSpaceDN w:val="0"/>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 xml:space="preserve">南京市玄武区石象路7号 </w:t>
            </w:r>
          </w:p>
        </w:tc>
        <w:tc>
          <w:tcPr>
            <w:tcW w:w="3579" w:type="dxa"/>
          </w:tcPr>
          <w:p w14:paraId="4D9E0AA8">
            <w:pPr>
              <w:autoSpaceDE w:val="0"/>
              <w:autoSpaceDN w:val="0"/>
              <w:spacing w:before="19"/>
              <w:ind w:left="66"/>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住所地：</w:t>
            </w:r>
          </w:p>
        </w:tc>
      </w:tr>
      <w:bookmarkEnd w:id="41"/>
    </w:tbl>
    <w:p w14:paraId="330C5128">
      <w:pPr>
        <w:autoSpaceDE w:val="0"/>
        <w:autoSpaceDN w:val="0"/>
        <w:ind w:firstLine="480" w:firstLineChars="200"/>
        <w:rPr>
          <w:rFonts w:hint="eastAsia" w:ascii="宋体" w:hAnsi="宋体" w:cs="仿宋"/>
          <w:color w:val="000000" w:themeColor="text1"/>
          <w:kern w:val="0"/>
          <w:sz w:val="24"/>
          <w:lang w:val="zh-CN" w:bidi="zh-CN"/>
        </w:rPr>
      </w:pPr>
    </w:p>
    <w:p w14:paraId="7A923C73">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根据《中华人民共和国政府采购法》《中华人民共和国民法典》等法律法规规定，甲乙双方经协商签订本合同。</w:t>
      </w:r>
    </w:p>
    <w:p w14:paraId="57260E92">
      <w:pPr>
        <w:autoSpaceDE w:val="0"/>
        <w:autoSpaceDN w:val="0"/>
        <w:spacing w:line="360" w:lineRule="auto"/>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第一条 合同标的</w:t>
      </w:r>
    </w:p>
    <w:p w14:paraId="6A09EE8C">
      <w:pPr>
        <w:autoSpaceDE w:val="0"/>
        <w:autoSpaceDN w:val="0"/>
        <w:spacing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3"/>
          <w:kern w:val="0"/>
          <w:sz w:val="24"/>
          <w:lang w:val="zh-CN" w:bidi="zh-CN"/>
        </w:rPr>
        <w:t>乙方提供下列服务：</w:t>
      </w:r>
    </w:p>
    <w:tbl>
      <w:tblPr>
        <w:tblStyle w:val="246"/>
        <w:tblW w:w="7930" w:type="dxa"/>
        <w:jc w:val="center"/>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Layout w:type="fixed"/>
        <w:tblCellMar>
          <w:top w:w="0" w:type="dxa"/>
          <w:left w:w="0" w:type="dxa"/>
          <w:bottom w:w="0" w:type="dxa"/>
          <w:right w:w="0" w:type="dxa"/>
        </w:tblCellMar>
      </w:tblPr>
      <w:tblGrid>
        <w:gridCol w:w="1251"/>
        <w:gridCol w:w="3619"/>
        <w:gridCol w:w="1936"/>
        <w:gridCol w:w="1124"/>
      </w:tblGrid>
      <w:tr w14:paraId="55F51041">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trHeight w:val="345" w:hRule="atLeast"/>
          <w:jc w:val="center"/>
        </w:trPr>
        <w:tc>
          <w:tcPr>
            <w:tcW w:w="1251" w:type="dxa"/>
            <w:tcBorders>
              <w:tl2br w:val="nil"/>
              <w:tr2bl w:val="nil"/>
            </w:tcBorders>
          </w:tcPr>
          <w:p w14:paraId="1A116633">
            <w:pPr>
              <w:autoSpaceDE w:val="0"/>
              <w:autoSpaceDN w:val="0"/>
              <w:spacing w:before="7"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序号</w:t>
            </w:r>
          </w:p>
        </w:tc>
        <w:tc>
          <w:tcPr>
            <w:tcW w:w="3619" w:type="dxa"/>
            <w:tcBorders>
              <w:tl2br w:val="nil"/>
              <w:tr2bl w:val="nil"/>
            </w:tcBorders>
          </w:tcPr>
          <w:p w14:paraId="288A773D">
            <w:pPr>
              <w:autoSpaceDE w:val="0"/>
              <w:autoSpaceDN w:val="0"/>
              <w:spacing w:before="7"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名称</w:t>
            </w:r>
          </w:p>
        </w:tc>
        <w:tc>
          <w:tcPr>
            <w:tcW w:w="1936" w:type="dxa"/>
            <w:tcBorders>
              <w:tl2br w:val="nil"/>
              <w:tr2bl w:val="nil"/>
            </w:tcBorders>
          </w:tcPr>
          <w:p w14:paraId="630D284A">
            <w:pPr>
              <w:autoSpaceDE w:val="0"/>
              <w:autoSpaceDN w:val="0"/>
              <w:spacing w:before="7"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数量</w:t>
            </w:r>
          </w:p>
        </w:tc>
        <w:tc>
          <w:tcPr>
            <w:tcW w:w="1124" w:type="dxa"/>
            <w:tcBorders>
              <w:tl2br w:val="nil"/>
              <w:tr2bl w:val="nil"/>
            </w:tcBorders>
          </w:tcPr>
          <w:p w14:paraId="0ACF8384">
            <w:pPr>
              <w:autoSpaceDE w:val="0"/>
              <w:autoSpaceDN w:val="0"/>
              <w:spacing w:before="7" w:line="360" w:lineRule="auto"/>
              <w:ind w:left="25"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单位</w:t>
            </w:r>
          </w:p>
        </w:tc>
      </w:tr>
      <w:tr w14:paraId="2BF538B5">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trHeight w:val="345" w:hRule="atLeast"/>
          <w:jc w:val="center"/>
        </w:trPr>
        <w:tc>
          <w:tcPr>
            <w:tcW w:w="1251" w:type="dxa"/>
            <w:tcBorders>
              <w:tl2br w:val="nil"/>
              <w:tr2bl w:val="nil"/>
            </w:tcBorders>
          </w:tcPr>
          <w:p w14:paraId="357D7B62">
            <w:pPr>
              <w:autoSpaceDE w:val="0"/>
              <w:autoSpaceDN w:val="0"/>
              <w:spacing w:before="22"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1</w:t>
            </w:r>
          </w:p>
        </w:tc>
        <w:tc>
          <w:tcPr>
            <w:tcW w:w="3619" w:type="dxa"/>
            <w:tcBorders>
              <w:tl2br w:val="nil"/>
              <w:tr2bl w:val="nil"/>
            </w:tcBorders>
          </w:tcPr>
          <w:p w14:paraId="29F33C6A">
            <w:pPr>
              <w:autoSpaceDE w:val="0"/>
              <w:autoSpaceDN w:val="0"/>
              <w:spacing w:before="22" w:line="360" w:lineRule="auto"/>
              <w:ind w:left="30"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安保服务</w:t>
            </w:r>
          </w:p>
        </w:tc>
        <w:tc>
          <w:tcPr>
            <w:tcW w:w="1936" w:type="dxa"/>
            <w:tcBorders>
              <w:tl2br w:val="nil"/>
              <w:tr2bl w:val="nil"/>
            </w:tcBorders>
          </w:tcPr>
          <w:p w14:paraId="736171DE">
            <w:pPr>
              <w:autoSpaceDE w:val="0"/>
              <w:autoSpaceDN w:val="0"/>
              <w:spacing w:before="22" w:line="360" w:lineRule="auto"/>
              <w:ind w:left="30" w:firstLine="480" w:firstLineChars="200"/>
              <w:rPr>
                <w:rFonts w:hint="eastAsia" w:ascii="宋体" w:hAnsi="宋体" w:cs="仿宋"/>
                <w:color w:val="000000" w:themeColor="text1"/>
                <w:kern w:val="0"/>
                <w:sz w:val="24"/>
                <w:lang w:val="zh-CN" w:eastAsia="en-US" w:bidi="zh-CN"/>
              </w:rPr>
            </w:pPr>
          </w:p>
        </w:tc>
        <w:tc>
          <w:tcPr>
            <w:tcW w:w="1124" w:type="dxa"/>
            <w:tcBorders>
              <w:tl2br w:val="nil"/>
              <w:tr2bl w:val="nil"/>
            </w:tcBorders>
          </w:tcPr>
          <w:p w14:paraId="7C5A36CC">
            <w:pPr>
              <w:autoSpaceDE w:val="0"/>
              <w:autoSpaceDN w:val="0"/>
              <w:spacing w:before="22" w:line="360" w:lineRule="auto"/>
              <w:ind w:left="25" w:firstLine="480" w:firstLineChars="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zh-CN" w:bidi="zh-CN"/>
              </w:rPr>
              <w:t>月</w:t>
            </w:r>
          </w:p>
        </w:tc>
      </w:tr>
    </w:tbl>
    <w:p w14:paraId="798D3052">
      <w:pPr>
        <w:autoSpaceDE w:val="0"/>
        <w:autoSpaceDN w:val="0"/>
        <w:spacing w:before="67" w:line="360" w:lineRule="auto"/>
        <w:ind w:left="340"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服务内容详见乙方投标（响应）文件。</w:t>
      </w:r>
    </w:p>
    <w:p w14:paraId="3883BF50">
      <w:pPr>
        <w:autoSpaceDE w:val="0"/>
        <w:autoSpaceDN w:val="0"/>
        <w:spacing w:line="360" w:lineRule="auto"/>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第二条 合同总价款</w:t>
      </w:r>
    </w:p>
    <w:p w14:paraId="314F2DEA">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val="zh-CN" w:bidi="zh-CN"/>
        </w:rPr>
        <w:t>本合同项下为</w:t>
      </w:r>
      <w:r>
        <w:rPr>
          <w:rFonts w:hint="eastAsia" w:ascii="宋体" w:hAnsi="宋体" w:cs="仿宋"/>
          <w:color w:val="000000" w:themeColor="text1"/>
          <w:kern w:val="0"/>
          <w:sz w:val="24"/>
          <w:u w:val="single"/>
          <w:lang w:bidi="zh-CN"/>
        </w:rPr>
        <w:t xml:space="preserve">           万元</w:t>
      </w:r>
      <w:r>
        <w:rPr>
          <w:rFonts w:hint="eastAsia" w:ascii="宋体" w:hAnsi="宋体" w:cs="仿宋"/>
          <w:color w:val="000000" w:themeColor="text1"/>
          <w:kern w:val="0"/>
          <w:sz w:val="24"/>
          <w:lang w:val="zh-CN" w:bidi="zh-CN"/>
        </w:rPr>
        <w:t>（大写）人民币</w:t>
      </w:r>
      <w:r>
        <w:rPr>
          <w:rFonts w:hint="eastAsia" w:ascii="宋体" w:hAnsi="宋体" w:cs="仿宋"/>
          <w:color w:val="000000" w:themeColor="text1"/>
          <w:kern w:val="0"/>
          <w:sz w:val="24"/>
          <w:lang w:bidi="zh-CN"/>
        </w:rPr>
        <w:t>。</w:t>
      </w:r>
    </w:p>
    <w:p w14:paraId="747213EF">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1、拨付方式：按月开展考核、拨付服务费用。</w:t>
      </w:r>
    </w:p>
    <w:p w14:paraId="5773AECF">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2、月度应付服务费计算</w:t>
      </w:r>
    </w:p>
    <w:p w14:paraId="048032CF">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（1）综合得分 80 分（含）以上： 当月应付费用 = 合同约定当月费用（投标报价/总岗位人数*当月实际投入人数）</w:t>
      </w:r>
    </w:p>
    <w:p w14:paraId="4529E3A6">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（2）综合得分 80 分（不含）以下（不合格）： 当月应付费用＝（实际综合得分＋20）÷100 × 合同约定当月费用（投标报价/总岗位人数*当月实际投入人数）</w:t>
      </w:r>
    </w:p>
    <w:p w14:paraId="5F4FC2CC">
      <w:pPr>
        <w:autoSpaceDE w:val="0"/>
        <w:autoSpaceDN w:val="0"/>
        <w:spacing w:line="360" w:lineRule="auto"/>
        <w:ind w:firstLine="480" w:firstLineChars="200"/>
        <w:rPr>
          <w:rFonts w:ascii="宋体" w:hAnsi="宋体" w:cs="仿宋"/>
          <w:color w:val="000000" w:themeColor="text1"/>
          <w:kern w:val="0"/>
          <w:sz w:val="24"/>
          <w:lang w:bidi="zh-CN"/>
        </w:rPr>
      </w:pPr>
      <w:r>
        <w:rPr>
          <w:rFonts w:hint="eastAsia" w:ascii="宋体" w:hAnsi="宋体" w:cs="仿宋"/>
          <w:color w:val="000000" w:themeColor="text1"/>
          <w:kern w:val="0"/>
          <w:sz w:val="24"/>
          <w:lang w:bidi="zh-CN"/>
        </w:rPr>
        <w:t>3、</w:t>
      </w:r>
      <w:r>
        <w:rPr>
          <w:rFonts w:ascii="宋体" w:hAnsi="宋体" w:cs="仿宋"/>
          <w:color w:val="000000" w:themeColor="text1"/>
          <w:kern w:val="0"/>
          <w:sz w:val="24"/>
          <w:lang w:bidi="zh-CN"/>
        </w:rPr>
        <w:t>说明：本公式为得分折算基数，不包含</w:t>
      </w:r>
      <w:r>
        <w:rPr>
          <w:rFonts w:hint="eastAsia" w:ascii="宋体" w:hAnsi="宋体" w:cs="仿宋"/>
          <w:color w:val="000000" w:themeColor="text1"/>
          <w:kern w:val="0"/>
          <w:sz w:val="24"/>
          <w:lang w:bidi="zh-CN"/>
        </w:rPr>
        <w:t>中山陵园风景区服务考核管理办法</w:t>
      </w:r>
      <w:r>
        <w:rPr>
          <w:rFonts w:ascii="宋体" w:hAnsi="宋体" w:cs="仿宋"/>
          <w:color w:val="000000" w:themeColor="text1"/>
          <w:kern w:val="0"/>
          <w:sz w:val="24"/>
          <w:lang w:bidi="zh-CN"/>
        </w:rPr>
        <w:t>第十三条的排名比例扣款、附件 1 内专项经济扣罚；所有排名扣款、违规经济扣罚，统一在当月一次性合并扣除，不再另行单独通知服务商。</w:t>
      </w:r>
    </w:p>
    <w:p w14:paraId="2FA8B4AC">
      <w:pPr>
        <w:autoSpaceDE w:val="0"/>
        <w:autoSpaceDN w:val="0"/>
        <w:spacing w:line="360" w:lineRule="auto"/>
        <w:ind w:firstLine="480" w:firstLineChars="200"/>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本合同总价款已包含以下全部内容：</w:t>
      </w:r>
    </w:p>
    <w:p w14:paraId="7627EA3F">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1、</w:t>
      </w:r>
      <w:r>
        <w:rPr>
          <w:rFonts w:hint="eastAsia" w:ascii="宋体" w:hAnsi="宋体" w:cs="仿宋"/>
          <w:color w:val="000000" w:themeColor="text1"/>
          <w:kern w:val="0"/>
          <w:sz w:val="24"/>
          <w:lang w:val="zh-CN" w:bidi="zh-CN"/>
        </w:rPr>
        <w:t>完成本服务项目发生的所有含税费用；</w:t>
      </w:r>
    </w:p>
    <w:p w14:paraId="745262D4">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2、乙方履行合同所需的全部运营成本和费用</w:t>
      </w:r>
      <w:r>
        <w:rPr>
          <w:rFonts w:hint="eastAsia" w:ascii="宋体" w:hAnsi="宋体" w:cs="仿宋"/>
          <w:color w:val="000000" w:themeColor="text1"/>
          <w:kern w:val="0"/>
          <w:sz w:val="24"/>
          <w:lang w:val="zh-CN" w:bidi="zh-CN"/>
        </w:rPr>
        <w:t>；</w:t>
      </w:r>
    </w:p>
    <w:p w14:paraId="17A6473E">
      <w:pPr>
        <w:tabs>
          <w:tab w:val="left" w:pos="943"/>
        </w:tabs>
        <w:autoSpaceDE w:val="0"/>
        <w:autoSpaceDN w:val="0"/>
        <w:spacing w:line="360" w:lineRule="auto"/>
        <w:ind w:firstLine="476"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1"/>
          <w:kern w:val="0"/>
          <w:sz w:val="24"/>
          <w:lang w:bidi="zh-CN"/>
        </w:rPr>
        <w:t>3、</w:t>
      </w:r>
      <w:r>
        <w:rPr>
          <w:rFonts w:hint="eastAsia" w:ascii="宋体" w:hAnsi="宋体" w:cs="仿宋"/>
          <w:color w:val="000000" w:themeColor="text1"/>
          <w:spacing w:val="-1"/>
          <w:kern w:val="0"/>
          <w:sz w:val="24"/>
          <w:lang w:val="zh-CN" w:bidi="zh-CN"/>
        </w:rPr>
        <w:t>乙方应当提供的伴随服务</w:t>
      </w:r>
      <w:r>
        <w:rPr>
          <w:rFonts w:hint="eastAsia" w:ascii="宋体" w:hAnsi="宋体" w:cs="仿宋"/>
          <w:color w:val="000000" w:themeColor="text1"/>
          <w:kern w:val="0"/>
          <w:sz w:val="24"/>
          <w:lang w:val="zh-CN" w:bidi="zh-CN"/>
        </w:rPr>
        <w:t>/售后服务费用；</w:t>
      </w:r>
    </w:p>
    <w:p w14:paraId="6107E279">
      <w:pPr>
        <w:tabs>
          <w:tab w:val="left" w:pos="943"/>
        </w:tabs>
        <w:autoSpaceDE w:val="0"/>
        <w:autoSpaceDN w:val="0"/>
        <w:spacing w:before="41" w:line="360" w:lineRule="auto"/>
        <w:ind w:firstLine="480" w:firstLineChars="200"/>
        <w:rPr>
          <w:rFonts w:hint="eastAsia" w:ascii="宋体" w:hAnsi="宋体" w:cs="仿宋"/>
          <w:color w:val="000000" w:themeColor="text1"/>
          <w:kern w:val="0"/>
          <w:sz w:val="24"/>
          <w:lang w:val="zh-CN" w:bidi="zh-CN"/>
        </w:rPr>
      </w:pPr>
      <w:bookmarkStart w:id="43" w:name="_Hlk161825671"/>
      <w:r>
        <w:rPr>
          <w:rFonts w:hint="eastAsia" w:ascii="宋体" w:hAnsi="宋体" w:cs="仿宋"/>
          <w:color w:val="000000" w:themeColor="text1"/>
          <w:kern w:val="0"/>
          <w:sz w:val="24"/>
          <w:lang w:bidi="zh-CN"/>
        </w:rPr>
        <w:t>4、</w:t>
      </w:r>
      <w:r>
        <w:rPr>
          <w:rFonts w:hint="eastAsia" w:ascii="宋体" w:hAnsi="宋体" w:cs="仿宋"/>
          <w:color w:val="000000" w:themeColor="text1"/>
          <w:kern w:val="0"/>
          <w:sz w:val="24"/>
          <w:lang w:val="zh-CN" w:bidi="zh-CN"/>
        </w:rPr>
        <w:t>供应商认为需要的其他</w:t>
      </w:r>
      <w:r>
        <w:rPr>
          <w:rFonts w:hint="eastAsia" w:ascii="宋体" w:hAnsi="宋体" w:cs="仿宋"/>
          <w:color w:val="000000" w:themeColor="text1"/>
          <w:kern w:val="0"/>
          <w:sz w:val="24"/>
          <w:lang w:bidi="zh-CN"/>
        </w:rPr>
        <w:t>各项</w:t>
      </w:r>
      <w:r>
        <w:rPr>
          <w:rFonts w:hint="eastAsia" w:ascii="宋体" w:hAnsi="宋体" w:cs="仿宋"/>
          <w:color w:val="000000" w:themeColor="text1"/>
          <w:kern w:val="0"/>
          <w:sz w:val="24"/>
          <w:lang w:val="zh-CN" w:bidi="zh-CN"/>
        </w:rPr>
        <w:t>费用。</w:t>
      </w:r>
    </w:p>
    <w:bookmarkEnd w:id="43"/>
    <w:p w14:paraId="06882AB4">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第三条 合同期限</w:t>
      </w:r>
    </w:p>
    <w:p w14:paraId="30DB00B3">
      <w:pPr>
        <w:pStyle w:val="19"/>
        <w:spacing w:line="360" w:lineRule="auto"/>
        <w:ind w:firstLine="456" w:firstLineChars="200"/>
        <w:jc w:val="both"/>
        <w:rPr>
          <w:rFonts w:hint="eastAsia" w:ascii="宋体" w:hAnsi="宋体" w:eastAsia="宋体" w:cs="仿宋"/>
          <w:b w:val="0"/>
          <w:bCs w:val="0"/>
          <w:color w:val="000000" w:themeColor="text1"/>
          <w:spacing w:val="-6"/>
          <w:kern w:val="0"/>
          <w:sz w:val="24"/>
          <w:u w:val="single"/>
          <w:lang w:bidi="zh-CN"/>
        </w:rPr>
      </w:pPr>
      <w:r>
        <w:rPr>
          <w:rFonts w:hint="eastAsia" w:ascii="宋体" w:hAnsi="宋体" w:eastAsia="宋体" w:cs="仿宋"/>
          <w:b w:val="0"/>
          <w:bCs w:val="0"/>
          <w:color w:val="000000" w:themeColor="text1"/>
          <w:spacing w:val="-6"/>
          <w:kern w:val="0"/>
          <w:sz w:val="24"/>
          <w:u w:val="single"/>
          <w:lang w:bidi="zh-CN"/>
        </w:rPr>
        <w:t>服务期:</w:t>
      </w:r>
    </w:p>
    <w:p w14:paraId="5CB6AD8A">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第四条 组成本合同的有关文件</w:t>
      </w:r>
    </w:p>
    <w:p w14:paraId="672C7127">
      <w:pPr>
        <w:autoSpaceDE w:val="0"/>
        <w:autoSpaceDN w:val="0"/>
        <w:spacing w:before="1" w:line="360" w:lineRule="auto"/>
        <w:ind w:firstLine="456"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6"/>
          <w:kern w:val="0"/>
          <w:sz w:val="24"/>
          <w:lang w:val="zh-CN" w:bidi="zh-CN"/>
        </w:rPr>
        <w:t>下列关于</w:t>
      </w:r>
      <w:r>
        <w:rPr>
          <w:rFonts w:ascii="宋体" w:hAnsi="宋体" w:cs="仿宋"/>
          <w:color w:val="000000" w:themeColor="text1"/>
          <w:spacing w:val="-6"/>
          <w:kern w:val="0"/>
          <w:sz w:val="24"/>
          <w:u w:val="single"/>
          <w:lang w:val="zh-CN" w:bidi="zh-CN"/>
        </w:rPr>
        <w:t>2026-2027年度钟山风景区安保服务采购</w:t>
      </w:r>
      <w:r>
        <w:rPr>
          <w:rFonts w:hint="eastAsia" w:ascii="宋体" w:hAnsi="宋体" w:cs="仿宋"/>
          <w:color w:val="000000" w:themeColor="text1"/>
          <w:spacing w:val="-12"/>
          <w:kern w:val="0"/>
          <w:sz w:val="24"/>
          <w:lang w:val="zh-CN" w:bidi="zh-CN"/>
        </w:rPr>
        <w:t>的招标</w:t>
      </w:r>
      <w:r>
        <w:rPr>
          <w:rFonts w:hint="eastAsia" w:ascii="宋体" w:hAnsi="宋体" w:cs="仿宋"/>
          <w:color w:val="000000" w:themeColor="text1"/>
          <w:kern w:val="0"/>
          <w:sz w:val="24"/>
          <w:lang w:val="zh-CN" w:bidi="zh-CN"/>
        </w:rPr>
        <w:t>（采购）文件、投标（响应）文件， 以及与本次采购活动相关的文件及有关附件是本合同不可分割的组成部分，与本合同具有同等法律效力，这些文件包括但不限于：</w:t>
      </w:r>
    </w:p>
    <w:p w14:paraId="2EFDE632">
      <w:pPr>
        <w:tabs>
          <w:tab w:val="left" w:pos="5747"/>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（1）投标（响应）文件和报价表；（2）服务一览表；</w:t>
      </w:r>
    </w:p>
    <w:p w14:paraId="5D74DDC2">
      <w:pPr>
        <w:tabs>
          <w:tab w:val="left" w:pos="5747"/>
        </w:tabs>
        <w:autoSpaceDE w:val="0"/>
        <w:autoSpaceDN w:val="0"/>
        <w:spacing w:before="1"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（3）交付一览表；（4）采购需求偏离表；</w:t>
      </w:r>
    </w:p>
    <w:p w14:paraId="676C5442">
      <w:pPr>
        <w:tabs>
          <w:tab w:val="left" w:pos="5747"/>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（5）投标（响应）承诺；（6）服务承诺；</w:t>
      </w:r>
    </w:p>
    <w:p w14:paraId="41E960B0">
      <w:pPr>
        <w:tabs>
          <w:tab w:val="left" w:pos="5747"/>
        </w:tabs>
        <w:autoSpaceDE w:val="0"/>
        <w:autoSpaceDN w:val="0"/>
        <w:spacing w:before="1" w:line="360" w:lineRule="auto"/>
        <w:ind w:right="703"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（7）中标（成交）通知书；（8）甲乙双方商定的其它文件。</w:t>
      </w:r>
    </w:p>
    <w:p w14:paraId="312F0B51">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第五条 权利保证</w:t>
      </w:r>
    </w:p>
    <w:p w14:paraId="74D1F1EC">
      <w:pPr>
        <w:autoSpaceDE w:val="0"/>
        <w:autoSpaceDN w:val="0"/>
        <w:spacing w:line="360" w:lineRule="auto"/>
        <w:ind w:firstLine="480" w:firstLineChars="200"/>
        <w:rPr>
          <w:rFonts w:hint="eastAsia" w:ascii="宋体" w:hAnsi="宋体"/>
          <w:color w:val="000000" w:themeColor="text1"/>
          <w:sz w:val="24"/>
        </w:rPr>
      </w:pPr>
      <w:r>
        <w:rPr>
          <w:rFonts w:hint="eastAsia" w:ascii="宋体" w:hAnsi="宋体" w:cs="仿宋"/>
          <w:color w:val="000000" w:themeColor="text1"/>
          <w:kern w:val="0"/>
          <w:sz w:val="24"/>
          <w:lang w:val="zh-CN" w:bidi="zh-CN"/>
        </w:rPr>
        <w:t>乙方应保证甲方在使用该服务或其任何一部分时不受第三方提出侵犯其专利权、版权、商标权或其他权利的起诉。一旦出现侵权，乙方应承担全部责任。</w:t>
      </w:r>
    </w:p>
    <w:p w14:paraId="353AE039">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第六条 质量保证</w:t>
      </w:r>
    </w:p>
    <w:p w14:paraId="2EB8BD5B">
      <w:pPr>
        <w:autoSpaceDE w:val="0"/>
        <w:autoSpaceDN w:val="0"/>
        <w:spacing w:line="360" w:lineRule="auto"/>
        <w:ind w:firstLine="480" w:firstLineChars="200"/>
        <w:rPr>
          <w:rFonts w:hint="eastAsia" w:ascii="宋体" w:hAnsi="宋体"/>
          <w:color w:val="000000" w:themeColor="text1"/>
          <w:sz w:val="24"/>
          <w:lang w:val="zh-CN"/>
        </w:rPr>
      </w:pPr>
      <w:r>
        <w:rPr>
          <w:rFonts w:hint="eastAsia" w:ascii="宋体" w:hAnsi="宋体" w:cs="仿宋"/>
          <w:color w:val="000000" w:themeColor="text1"/>
          <w:kern w:val="0"/>
          <w:sz w:val="24"/>
          <w:lang w:val="zh-CN" w:bidi="zh-CN"/>
        </w:rPr>
        <w:t>乙方所提供的服务的技术规格应与招标（采购）文件规定的</w:t>
      </w:r>
      <w:r>
        <w:rPr>
          <w:rFonts w:hint="eastAsia" w:ascii="宋体" w:hAnsi="宋体" w:cs="仿宋"/>
          <w:color w:val="000000" w:themeColor="text1"/>
          <w:kern w:val="0"/>
          <w:sz w:val="24"/>
          <w:lang w:bidi="zh-CN"/>
        </w:rPr>
        <w:t>采购需求</w:t>
      </w:r>
      <w:r>
        <w:rPr>
          <w:rFonts w:hint="eastAsia" w:ascii="宋体" w:hAnsi="宋体" w:cs="仿宋"/>
          <w:color w:val="000000" w:themeColor="text1"/>
          <w:kern w:val="0"/>
          <w:sz w:val="24"/>
          <w:lang w:val="zh-CN" w:bidi="zh-CN"/>
        </w:rPr>
        <w:t>及所附的“采购需求偏离表”相一致，</w:t>
      </w:r>
      <w:r>
        <w:rPr>
          <w:rFonts w:hint="eastAsia" w:ascii="宋体" w:hAnsi="宋体" w:cs="仿宋"/>
          <w:color w:val="000000" w:themeColor="text1"/>
          <w:kern w:val="0"/>
          <w:sz w:val="24"/>
          <w:lang w:bidi="zh-CN"/>
        </w:rPr>
        <w:t>并认真落实《</w:t>
      </w:r>
      <w:r>
        <w:rPr>
          <w:rFonts w:ascii="宋体" w:hAnsi="宋体" w:cs="仿宋"/>
          <w:color w:val="000000" w:themeColor="text1"/>
          <w:kern w:val="0"/>
          <w:sz w:val="24"/>
          <w:lang w:bidi="zh-CN"/>
        </w:rPr>
        <w:t>中山陵园风景区服务考核管理办法</w:t>
      </w:r>
      <w:r>
        <w:rPr>
          <w:rFonts w:hint="eastAsia" w:ascii="宋体" w:hAnsi="宋体" w:cs="仿宋"/>
          <w:color w:val="000000" w:themeColor="text1"/>
          <w:kern w:val="0"/>
          <w:sz w:val="24"/>
          <w:lang w:bidi="zh-CN"/>
        </w:rPr>
        <w:t>》中列明的各项要求</w:t>
      </w:r>
      <w:r>
        <w:rPr>
          <w:rFonts w:hint="eastAsia" w:ascii="宋体" w:hAnsi="宋体" w:cs="仿宋"/>
          <w:color w:val="000000" w:themeColor="text1"/>
          <w:kern w:val="0"/>
          <w:sz w:val="24"/>
          <w:lang w:val="zh-CN" w:bidi="zh-CN"/>
        </w:rPr>
        <w:t>；若技术性能无特殊说明，则按国家有关部门最新颁布的标准及规范为准。</w:t>
      </w:r>
    </w:p>
    <w:p w14:paraId="00450CF3">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第七条 交付和验收</w:t>
      </w:r>
    </w:p>
    <w:p w14:paraId="740E854A">
      <w:pPr>
        <w:tabs>
          <w:tab w:val="left" w:pos="583"/>
        </w:tabs>
        <w:autoSpaceDE w:val="0"/>
        <w:autoSpaceDN w:val="0"/>
        <w:spacing w:line="360" w:lineRule="auto"/>
        <w:ind w:firstLine="456" w:firstLineChars="200"/>
        <w:rPr>
          <w:rFonts w:hint="eastAsia" w:ascii="宋体" w:hAnsi="宋体" w:cs="仿宋"/>
          <w:color w:val="000000" w:themeColor="text1"/>
          <w:kern w:val="0"/>
          <w:sz w:val="24"/>
          <w:lang w:val="zh-CN" w:bidi="zh-CN"/>
        </w:rPr>
      </w:pPr>
      <w:r>
        <w:rPr>
          <w:rFonts w:hint="eastAsia" w:ascii="宋体" w:hAnsi="宋体" w:cs="仿宋"/>
          <w:color w:val="000000" w:themeColor="text1"/>
          <w:spacing w:val="-6"/>
          <w:kern w:val="0"/>
          <w:sz w:val="24"/>
          <w:lang w:bidi="zh-CN"/>
        </w:rPr>
        <w:t>1、</w:t>
      </w:r>
      <w:r>
        <w:rPr>
          <w:rFonts w:hint="eastAsia" w:ascii="宋体" w:hAnsi="宋体" w:cs="仿宋"/>
          <w:color w:val="000000" w:themeColor="text1"/>
          <w:spacing w:val="-6"/>
          <w:kern w:val="0"/>
          <w:sz w:val="24"/>
          <w:lang w:val="zh-CN" w:bidi="zh-CN"/>
        </w:rPr>
        <w:t>乙方应当在合同签订后</w:t>
      </w:r>
      <w:r>
        <w:rPr>
          <w:rFonts w:hint="eastAsia" w:ascii="宋体" w:hAnsi="宋体" w:cs="仿宋"/>
          <w:color w:val="000000" w:themeColor="text1"/>
          <w:spacing w:val="-8"/>
          <w:kern w:val="0"/>
          <w:sz w:val="24"/>
          <w:lang w:val="zh-CN" w:bidi="zh-CN"/>
        </w:rPr>
        <w:t>内完成服务事项。</w:t>
      </w:r>
    </w:p>
    <w:p w14:paraId="6C1C5EDE">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2、</w:t>
      </w:r>
      <w:r>
        <w:rPr>
          <w:rFonts w:hint="eastAsia" w:ascii="宋体" w:hAnsi="宋体" w:cs="仿宋"/>
          <w:color w:val="000000" w:themeColor="text1"/>
          <w:kern w:val="0"/>
          <w:sz w:val="24"/>
          <w:lang w:val="zh-CN" w:bidi="zh-CN"/>
        </w:rPr>
        <w:t>验收标准：按行业通行标准和乙方投标（响应）文件的承诺、</w:t>
      </w:r>
      <w:r>
        <w:rPr>
          <w:rFonts w:hint="eastAsia" w:ascii="宋体" w:hAnsi="宋体" w:cs="仿宋"/>
          <w:color w:val="000000" w:themeColor="text1"/>
          <w:kern w:val="0"/>
          <w:sz w:val="24"/>
          <w:lang w:bidi="zh-CN"/>
        </w:rPr>
        <w:t>《</w:t>
      </w:r>
      <w:r>
        <w:rPr>
          <w:rFonts w:ascii="宋体" w:hAnsi="宋体" w:cs="仿宋"/>
          <w:color w:val="000000" w:themeColor="text1"/>
          <w:kern w:val="0"/>
          <w:sz w:val="24"/>
          <w:lang w:bidi="zh-CN"/>
        </w:rPr>
        <w:t>中山陵园风景区服务考核管理办法</w:t>
      </w:r>
      <w:r>
        <w:rPr>
          <w:rFonts w:hint="eastAsia" w:ascii="宋体" w:hAnsi="宋体" w:cs="仿宋"/>
          <w:color w:val="000000" w:themeColor="text1"/>
          <w:kern w:val="0"/>
          <w:sz w:val="24"/>
          <w:lang w:bidi="zh-CN"/>
        </w:rPr>
        <w:t>》等文件执行</w:t>
      </w:r>
      <w:r>
        <w:rPr>
          <w:rFonts w:hint="eastAsia" w:ascii="宋体" w:hAnsi="宋体" w:cs="仿宋"/>
          <w:color w:val="000000" w:themeColor="text1"/>
          <w:kern w:val="0"/>
          <w:sz w:val="24"/>
          <w:lang w:val="zh-CN" w:bidi="zh-CN"/>
        </w:rPr>
        <w:t>（详见合同附件载明的标准，并不低于国家相关标准）。</w:t>
      </w:r>
    </w:p>
    <w:p w14:paraId="177063F6">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第八条 履约保证金</w:t>
      </w:r>
    </w:p>
    <w:p w14:paraId="4DB78AD7">
      <w:pPr>
        <w:tabs>
          <w:tab w:val="left" w:pos="583"/>
        </w:tabs>
        <w:autoSpaceDE w:val="0"/>
        <w:autoSpaceDN w:val="0"/>
        <w:spacing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bCs/>
          <w:color w:val="000000" w:themeColor="text1"/>
          <w:spacing w:val="-3"/>
          <w:kern w:val="0"/>
          <w:sz w:val="24"/>
          <w:lang w:val="zh-CN" w:bidi="zh-CN"/>
        </w:rPr>
        <w:t>1、</w:t>
      </w:r>
      <w:r>
        <w:rPr>
          <w:rFonts w:hint="eastAsia" w:ascii="宋体" w:hAnsi="宋体" w:cs="仿宋"/>
          <w:color w:val="000000" w:themeColor="text1"/>
          <w:kern w:val="0"/>
          <w:sz w:val="24"/>
          <w:lang w:val="zh-CN" w:bidi="zh-CN"/>
        </w:rPr>
        <w:t>中标（成交）供应商应按以下第</w:t>
      </w:r>
      <w:r>
        <w:rPr>
          <w:rFonts w:hint="eastAsia" w:ascii="宋体" w:hAnsi="宋体" w:cs="仿宋"/>
          <w:color w:val="000000" w:themeColor="text1"/>
          <w:kern w:val="0"/>
          <w:sz w:val="24"/>
          <w:u w:val="single"/>
          <w:lang w:val="zh-CN" w:bidi="zh-CN"/>
        </w:rPr>
        <w:t>（1）</w:t>
      </w:r>
      <w:r>
        <w:rPr>
          <w:rFonts w:hint="eastAsia" w:ascii="宋体" w:hAnsi="宋体" w:cs="仿宋"/>
          <w:color w:val="000000" w:themeColor="text1"/>
          <w:kern w:val="0"/>
          <w:sz w:val="24"/>
          <w:lang w:val="zh-CN" w:bidi="zh-CN"/>
        </w:rPr>
        <w:t>方式向采购人缴纳履约保证金：</w:t>
      </w:r>
    </w:p>
    <w:p w14:paraId="155635F8">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（1）无需缴纳履约保证金；</w:t>
      </w:r>
    </w:p>
    <w:p w14:paraId="27613919">
      <w:pPr>
        <w:tabs>
          <w:tab w:val="left" w:pos="943"/>
        </w:tabs>
        <w:autoSpaceDE w:val="0"/>
        <w:autoSpaceDN w:val="0"/>
        <w:spacing w:before="41"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（2）投标保证金转为履约保证金；</w:t>
      </w:r>
    </w:p>
    <w:p w14:paraId="57D82AEE">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（3）以支票、汇票、本票或者金融机构、担保机构出具的保函等非现金形式缴纳履约保</w:t>
      </w:r>
      <w:r>
        <w:rPr>
          <w:rFonts w:hint="eastAsia" w:ascii="宋体" w:hAnsi="宋体" w:cs="仿宋"/>
          <w:color w:val="000000" w:themeColor="text1"/>
          <w:spacing w:val="-9"/>
          <w:kern w:val="0"/>
          <w:sz w:val="24"/>
          <w:lang w:val="zh-CN" w:bidi="zh-CN"/>
        </w:rPr>
        <w:t>证金，金额为</w:t>
      </w:r>
      <w:r>
        <w:rPr>
          <w:rFonts w:hint="eastAsia" w:ascii="宋体" w:hAnsi="宋体" w:cs="仿宋"/>
          <w:color w:val="000000" w:themeColor="text1"/>
          <w:spacing w:val="-15"/>
          <w:kern w:val="0"/>
          <w:sz w:val="24"/>
          <w:lang w:val="zh-CN" w:bidi="zh-CN"/>
        </w:rPr>
        <w:t>万元。</w:t>
      </w:r>
    </w:p>
    <w:p w14:paraId="1AF3C4CE">
      <w:pPr>
        <w:tabs>
          <w:tab w:val="left" w:pos="583"/>
        </w:tabs>
        <w:autoSpaceDE w:val="0"/>
        <w:autoSpaceDN w:val="0"/>
        <w:spacing w:before="1"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bCs/>
          <w:color w:val="000000" w:themeColor="text1"/>
          <w:spacing w:val="-3"/>
          <w:kern w:val="0"/>
          <w:sz w:val="24"/>
          <w:lang w:val="zh-CN" w:bidi="zh-CN"/>
        </w:rPr>
        <w:t>2、</w:t>
      </w:r>
      <w:r>
        <w:rPr>
          <w:rFonts w:hint="eastAsia" w:ascii="宋体" w:hAnsi="宋体" w:cs="仿宋"/>
          <w:color w:val="000000" w:themeColor="text1"/>
          <w:kern w:val="0"/>
          <w:sz w:val="24"/>
          <w:lang w:val="zh-CN" w:bidi="zh-CN"/>
        </w:rPr>
        <w:t>履约保证金的有效期至时止。</w:t>
      </w:r>
    </w:p>
    <w:p w14:paraId="14D1CC3C">
      <w:pPr>
        <w:tabs>
          <w:tab w:val="left" w:pos="583"/>
        </w:tabs>
        <w:autoSpaceDE w:val="0"/>
        <w:autoSpaceDN w:val="0"/>
        <w:spacing w:line="360" w:lineRule="auto"/>
        <w:ind w:firstLine="468" w:firstLineChars="200"/>
        <w:rPr>
          <w:rFonts w:hint="eastAsia" w:ascii="宋体" w:hAnsi="宋体" w:cs="仿宋"/>
          <w:color w:val="000000" w:themeColor="text1"/>
          <w:kern w:val="0"/>
          <w:sz w:val="24"/>
          <w:lang w:val="zh-CN" w:bidi="zh-CN"/>
        </w:rPr>
      </w:pPr>
      <w:r>
        <w:rPr>
          <w:rFonts w:hint="eastAsia" w:ascii="宋体" w:hAnsi="宋体" w:cs="仿宋"/>
          <w:bCs/>
          <w:color w:val="000000" w:themeColor="text1"/>
          <w:spacing w:val="-3"/>
          <w:kern w:val="0"/>
          <w:sz w:val="24"/>
          <w:lang w:val="zh-CN" w:bidi="zh-CN"/>
        </w:rPr>
        <w:t>3、</w:t>
      </w:r>
      <w:r>
        <w:rPr>
          <w:rFonts w:hint="eastAsia" w:ascii="宋体" w:hAnsi="宋体" w:cs="仿宋"/>
          <w:color w:val="000000" w:themeColor="text1"/>
          <w:kern w:val="0"/>
          <w:sz w:val="24"/>
          <w:lang w:val="zh-CN" w:bidi="zh-CN"/>
        </w:rPr>
        <w:t>如乙方未能履行合同规定的义务，甲方有权从履约保证金中取得补偿。</w:t>
      </w:r>
    </w:p>
    <w:p w14:paraId="4F94D284">
      <w:pPr>
        <w:tabs>
          <w:tab w:val="left" w:pos="583"/>
        </w:tabs>
        <w:autoSpaceDE w:val="0"/>
        <w:autoSpaceDN w:val="0"/>
        <w:spacing w:before="1" w:line="360" w:lineRule="auto"/>
        <w:ind w:firstLine="468" w:firstLineChars="200"/>
        <w:rPr>
          <w:rFonts w:hint="eastAsia" w:ascii="宋体" w:hAnsi="宋体" w:cs="仿宋"/>
          <w:b/>
          <w:color w:val="000000" w:themeColor="text1"/>
          <w:kern w:val="0"/>
          <w:sz w:val="24"/>
          <w:lang w:val="zh-CN" w:bidi="zh-CN"/>
        </w:rPr>
      </w:pPr>
      <w:r>
        <w:rPr>
          <w:rFonts w:hint="eastAsia" w:ascii="宋体" w:hAnsi="宋体" w:cs="仿宋"/>
          <w:bCs/>
          <w:color w:val="000000" w:themeColor="text1"/>
          <w:spacing w:val="-3"/>
          <w:kern w:val="0"/>
          <w:sz w:val="24"/>
          <w:lang w:val="zh-CN" w:bidi="zh-CN"/>
        </w:rPr>
        <w:t>4、</w:t>
      </w:r>
      <w:r>
        <w:rPr>
          <w:rFonts w:hint="eastAsia" w:ascii="宋体" w:hAnsi="宋体" w:cs="仿宋"/>
          <w:color w:val="000000" w:themeColor="text1"/>
          <w:kern w:val="0"/>
          <w:sz w:val="24"/>
          <w:lang w:val="zh-CN" w:bidi="zh-CN"/>
        </w:rPr>
        <w:t>履约保证金扣除甲方应得的补偿后的余额，在有效期满后个工作日内无息退还给乙方。</w:t>
      </w:r>
    </w:p>
    <w:p w14:paraId="1B5CFF0D">
      <w:pPr>
        <w:autoSpaceDE w:val="0"/>
        <w:autoSpaceDN w:val="0"/>
        <w:spacing w:line="360" w:lineRule="auto"/>
        <w:ind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第九条 合同款支付</w:t>
      </w:r>
    </w:p>
    <w:p w14:paraId="59B15B2E">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1、本合同项下所有款项均以人民币支付。</w:t>
      </w:r>
    </w:p>
    <w:p w14:paraId="0403DC2A">
      <w:pPr>
        <w:tabs>
          <w:tab w:val="left" w:pos="583"/>
        </w:tabs>
        <w:autoSpaceDE w:val="0"/>
        <w:autoSpaceDN w:val="0"/>
        <w:spacing w:line="360" w:lineRule="auto"/>
        <w:ind w:firstLine="448" w:firstLineChars="200"/>
        <w:rPr>
          <w:rFonts w:hint="eastAsia" w:ascii="宋体" w:hAnsi="宋体" w:cs="仿宋"/>
          <w:color w:val="000000" w:themeColor="text1"/>
          <w:spacing w:val="-8"/>
          <w:kern w:val="0"/>
          <w:sz w:val="24"/>
          <w:lang w:val="zh-CN" w:bidi="zh-CN"/>
        </w:rPr>
      </w:pPr>
      <w:r>
        <w:rPr>
          <w:rFonts w:hint="eastAsia" w:ascii="宋体" w:hAnsi="宋体" w:cs="仿宋"/>
          <w:color w:val="000000" w:themeColor="text1"/>
          <w:spacing w:val="-8"/>
          <w:kern w:val="0"/>
          <w:sz w:val="24"/>
          <w:lang w:val="zh-CN" w:bidi="zh-CN"/>
        </w:rPr>
        <w:t>2、</w:t>
      </w:r>
      <w:r>
        <w:rPr>
          <w:rFonts w:hint="eastAsia" w:ascii="宋体" w:hAnsi="宋体" w:cs="仿宋"/>
          <w:color w:val="000000" w:themeColor="text1"/>
          <w:spacing w:val="-3"/>
          <w:kern w:val="0"/>
          <w:sz w:val="24"/>
          <w:lang w:val="zh-CN" w:bidi="zh-CN"/>
        </w:rPr>
        <w:t xml:space="preserve">本合同项下的采购资金由乙方开具发票，甲方按照本条第 </w:t>
      </w:r>
      <w:r>
        <w:rPr>
          <w:rFonts w:hint="eastAsia" w:ascii="宋体" w:hAnsi="宋体" w:cs="仿宋"/>
          <w:color w:val="000000" w:themeColor="text1"/>
          <w:kern w:val="0"/>
          <w:sz w:val="24"/>
          <w:lang w:val="zh-CN" w:bidi="zh-CN"/>
        </w:rPr>
        <w:t>3</w:t>
      </w:r>
      <w:r>
        <w:rPr>
          <w:rFonts w:hint="eastAsia" w:ascii="宋体" w:hAnsi="宋体" w:cs="仿宋"/>
          <w:color w:val="000000" w:themeColor="text1"/>
          <w:spacing w:val="-8"/>
          <w:kern w:val="0"/>
          <w:sz w:val="24"/>
          <w:lang w:val="zh-CN" w:bidi="zh-CN"/>
        </w:rPr>
        <w:t xml:space="preserve"> 款的约定支付。</w:t>
      </w:r>
    </w:p>
    <w:p w14:paraId="2321F2AE">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bidi="zh-CN"/>
        </w:rPr>
      </w:pPr>
      <w:r>
        <w:rPr>
          <w:rFonts w:hint="eastAsia" w:ascii="宋体" w:hAnsi="宋体" w:cs="仿宋"/>
          <w:color w:val="000000" w:themeColor="text1"/>
          <w:spacing w:val="-3"/>
          <w:kern w:val="0"/>
          <w:sz w:val="24"/>
          <w:lang w:val="zh-CN" w:bidi="zh-CN"/>
        </w:rPr>
        <w:t>3、付款方式：每月的保安服务费根据考核结果、实际上岗情况进行核算。</w:t>
      </w:r>
      <w:r>
        <w:rPr>
          <w:rFonts w:hint="eastAsia" w:ascii="宋体" w:hAnsi="宋体" w:cs="仿宋"/>
          <w:color w:val="000000" w:themeColor="text1"/>
          <w:spacing w:val="-3"/>
          <w:kern w:val="0"/>
          <w:sz w:val="24"/>
          <w:lang w:bidi="zh-CN"/>
        </w:rPr>
        <w:t>考核依据合同约定标准以及</w:t>
      </w:r>
      <w:r>
        <w:rPr>
          <w:rFonts w:hint="eastAsia" w:ascii="宋体" w:hAnsi="宋体" w:cs="仿宋"/>
          <w:color w:val="000000" w:themeColor="text1"/>
          <w:kern w:val="0"/>
          <w:sz w:val="24"/>
          <w:lang w:bidi="zh-CN"/>
        </w:rPr>
        <w:t>《</w:t>
      </w:r>
      <w:r>
        <w:rPr>
          <w:rFonts w:ascii="宋体" w:hAnsi="宋体" w:cs="仿宋"/>
          <w:color w:val="000000" w:themeColor="text1"/>
          <w:kern w:val="0"/>
          <w:sz w:val="24"/>
          <w:lang w:bidi="zh-CN"/>
        </w:rPr>
        <w:t>中山陵园风景区服务考核管理办法</w:t>
      </w:r>
      <w:r>
        <w:rPr>
          <w:rFonts w:hint="eastAsia" w:ascii="宋体" w:hAnsi="宋体" w:cs="仿宋"/>
          <w:color w:val="000000" w:themeColor="text1"/>
          <w:kern w:val="0"/>
          <w:sz w:val="24"/>
          <w:lang w:bidi="zh-CN"/>
        </w:rPr>
        <w:t>》执行，存在不合格项目的，扣罚相应的服务费用；考核结果</w:t>
      </w:r>
      <w:r>
        <w:rPr>
          <w:rFonts w:hint="eastAsia" w:ascii="宋体" w:hAnsi="宋体" w:cs="仿宋"/>
          <w:color w:val="000000" w:themeColor="text1"/>
          <w:spacing w:val="-3"/>
          <w:kern w:val="0"/>
          <w:sz w:val="24"/>
          <w:lang w:val="zh-CN" w:bidi="zh-CN"/>
        </w:rPr>
        <w:t>经</w:t>
      </w:r>
      <w:r>
        <w:rPr>
          <w:rFonts w:hint="eastAsia" w:ascii="宋体" w:hAnsi="宋体" w:cs="仿宋"/>
          <w:color w:val="000000" w:themeColor="text1"/>
          <w:spacing w:val="-3"/>
          <w:kern w:val="0"/>
          <w:sz w:val="24"/>
          <w:lang w:bidi="zh-CN"/>
        </w:rPr>
        <w:t>甲方考评组成员及</w:t>
      </w:r>
      <w:r>
        <w:rPr>
          <w:rFonts w:hint="eastAsia" w:ascii="宋体" w:hAnsi="宋体" w:cs="仿宋"/>
          <w:color w:val="000000" w:themeColor="text1"/>
          <w:spacing w:val="-3"/>
          <w:kern w:val="0"/>
          <w:sz w:val="24"/>
          <w:lang w:val="zh-CN" w:bidi="zh-CN"/>
        </w:rPr>
        <w:t>负责人签字认可后，作为每月的付款依据；</w:t>
      </w:r>
      <w:r>
        <w:rPr>
          <w:rFonts w:hint="eastAsia" w:ascii="宋体" w:hAnsi="宋体" w:cs="仿宋"/>
          <w:color w:val="000000" w:themeColor="text1"/>
          <w:spacing w:val="-3"/>
          <w:kern w:val="0"/>
          <w:sz w:val="24"/>
          <w:lang w:bidi="zh-CN"/>
        </w:rPr>
        <w:t>乙方不配合考核，或不能形成付款依据的，甲方有权不支付相应保安服务费用，</w:t>
      </w:r>
      <w:r>
        <w:rPr>
          <w:rFonts w:hint="eastAsia" w:ascii="宋体" w:hAnsi="宋体" w:cs="仿宋"/>
          <w:color w:val="000000" w:themeColor="text1"/>
          <w:spacing w:val="-3"/>
          <w:kern w:val="0"/>
          <w:sz w:val="24"/>
          <w:lang w:val="zh-CN" w:bidi="zh-CN"/>
        </w:rPr>
        <w:t>由此产生的责任由乙方承担。</w:t>
      </w:r>
    </w:p>
    <w:p w14:paraId="6867B242">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val="zh-CN" w:bidi="zh-CN"/>
        </w:rPr>
      </w:pPr>
      <w:r>
        <w:rPr>
          <w:rFonts w:hint="eastAsia" w:ascii="宋体" w:hAnsi="宋体" w:cs="仿宋"/>
          <w:color w:val="000000" w:themeColor="text1"/>
          <w:spacing w:val="-3"/>
          <w:kern w:val="0"/>
          <w:sz w:val="24"/>
          <w:lang w:bidi="zh-CN"/>
        </w:rPr>
        <w:t>上述付款依据明确后，乙方</w:t>
      </w:r>
      <w:r>
        <w:rPr>
          <w:rFonts w:hint="eastAsia" w:ascii="宋体" w:hAnsi="宋体" w:cs="仿宋"/>
          <w:color w:val="000000" w:themeColor="text1"/>
          <w:spacing w:val="-3"/>
          <w:kern w:val="0"/>
          <w:sz w:val="24"/>
          <w:lang w:val="zh-CN" w:bidi="zh-CN"/>
        </w:rPr>
        <w:t>应于每月5日前提供正式发票；如乙方未按上述约定及时开具发票，甲方有权拒付相应保安服务费用，由此产生的责任由乙方承担。</w:t>
      </w:r>
    </w:p>
    <w:p w14:paraId="6D2E7EE4">
      <w:pPr>
        <w:numPr>
          <w:ilvl w:val="0"/>
          <w:numId w:val="8"/>
        </w:numPr>
        <w:autoSpaceDE w:val="0"/>
        <w:autoSpaceDN w:val="0"/>
        <w:spacing w:line="360" w:lineRule="auto"/>
        <w:ind w:left="341" w:firstLine="480" w:firstLineChars="200"/>
        <w:outlineLvl w:val="2"/>
        <w:rPr>
          <w:rFonts w:hint="eastAsia" w:ascii="宋体" w:hAnsi="宋体" w:cs="仿宋"/>
          <w:color w:val="000000" w:themeColor="text1"/>
          <w:kern w:val="0"/>
          <w:sz w:val="24"/>
          <w:lang w:bidi="zh-CN"/>
        </w:rPr>
      </w:pPr>
      <w:r>
        <w:rPr>
          <w:rFonts w:hint="eastAsia" w:ascii="宋体" w:hAnsi="宋体" w:cs="仿宋"/>
          <w:color w:val="000000" w:themeColor="text1"/>
          <w:kern w:val="0"/>
          <w:sz w:val="24"/>
          <w:lang w:bidi="zh-CN"/>
        </w:rPr>
        <w:t>其他说明</w:t>
      </w:r>
    </w:p>
    <w:p w14:paraId="2BC6E6C4">
      <w:pPr>
        <w:autoSpaceDE w:val="0"/>
        <w:autoSpaceDN w:val="0"/>
        <w:spacing w:line="360" w:lineRule="auto"/>
        <w:ind w:left="420" w:leftChars="200"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甲乙双方之间不存在任何形式的劳务派遣，劳动用工或雇佣关系。甲方对于乙方保安到岗情况的考勤属于对乙方的服务质量考核，不是用工考勤。</w:t>
      </w:r>
    </w:p>
    <w:p w14:paraId="088FC373">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一</w:t>
      </w:r>
      <w:r>
        <w:rPr>
          <w:rFonts w:hint="eastAsia" w:ascii="宋体" w:hAnsi="宋体" w:cs="仿宋"/>
          <w:color w:val="000000" w:themeColor="text1"/>
          <w:kern w:val="0"/>
          <w:sz w:val="24"/>
          <w:lang w:val="zh-CN" w:bidi="zh-CN"/>
        </w:rPr>
        <w:t>条 违约责任</w:t>
      </w:r>
    </w:p>
    <w:p w14:paraId="0E49C8E1">
      <w:pPr>
        <w:tabs>
          <w:tab w:val="left" w:pos="583"/>
        </w:tabs>
        <w:autoSpaceDE w:val="0"/>
        <w:autoSpaceDN w:val="0"/>
        <w:spacing w:line="360" w:lineRule="auto"/>
        <w:ind w:firstLine="468" w:firstLineChars="200"/>
        <w:rPr>
          <w:rFonts w:hint="eastAsia" w:ascii="宋体" w:hAnsi="宋体" w:cs="宋体"/>
          <w:color w:val="000000" w:themeColor="text1"/>
          <w:sz w:val="24"/>
        </w:rPr>
      </w:pPr>
      <w:r>
        <w:rPr>
          <w:rFonts w:hint="eastAsia" w:ascii="宋体" w:hAnsi="宋体" w:cs="仿宋"/>
          <w:color w:val="000000" w:themeColor="text1"/>
          <w:spacing w:val="-3"/>
          <w:kern w:val="0"/>
          <w:sz w:val="24"/>
          <w:lang w:bidi="zh-CN"/>
        </w:rPr>
        <w:t>1、</w:t>
      </w:r>
      <w:r>
        <w:rPr>
          <w:rFonts w:hint="eastAsia" w:ascii="宋体" w:hAnsi="宋体" w:cs="仿宋"/>
          <w:color w:val="000000" w:themeColor="text1"/>
          <w:spacing w:val="-3"/>
          <w:kern w:val="0"/>
          <w:sz w:val="24"/>
          <w:lang w:val="zh-CN" w:bidi="zh-CN"/>
        </w:rPr>
        <w:t>甲方无正当理由拒收服务、拒付服务款的，甲方向乙方偿付合同总价</w:t>
      </w:r>
      <w:r>
        <w:rPr>
          <w:rFonts w:hint="eastAsia" w:ascii="宋体" w:hAnsi="宋体" w:cs="仿宋"/>
          <w:color w:val="000000" w:themeColor="text1"/>
          <w:kern w:val="0"/>
          <w:sz w:val="24"/>
          <w:lang w:val="zh-CN" w:bidi="zh-CN"/>
        </w:rPr>
        <w:t>5%</w:t>
      </w:r>
      <w:r>
        <w:rPr>
          <w:rFonts w:hint="eastAsia" w:ascii="宋体" w:hAnsi="宋体" w:cs="仿宋"/>
          <w:color w:val="000000" w:themeColor="text1"/>
          <w:kern w:val="0"/>
          <w:sz w:val="24"/>
          <w:lang w:bidi="zh-CN"/>
        </w:rPr>
        <w:t>的</w:t>
      </w:r>
      <w:r>
        <w:rPr>
          <w:rFonts w:hint="eastAsia" w:ascii="宋体" w:hAnsi="宋体" w:cs="仿宋"/>
          <w:color w:val="000000" w:themeColor="text1"/>
          <w:kern w:val="0"/>
          <w:sz w:val="24"/>
          <w:lang w:val="zh-CN" w:bidi="zh-CN"/>
        </w:rPr>
        <w:t>违约金；</w:t>
      </w:r>
    </w:p>
    <w:p w14:paraId="3FAC18C2">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val="zh-CN" w:bidi="zh-CN"/>
        </w:rPr>
      </w:pPr>
      <w:r>
        <w:rPr>
          <w:rFonts w:hint="eastAsia" w:ascii="宋体" w:hAnsi="宋体" w:cs="仿宋"/>
          <w:color w:val="000000" w:themeColor="text1"/>
          <w:spacing w:val="-3"/>
          <w:kern w:val="0"/>
          <w:sz w:val="24"/>
          <w:lang w:bidi="zh-CN"/>
        </w:rPr>
        <w:t>2、</w:t>
      </w:r>
      <w:r>
        <w:rPr>
          <w:rFonts w:hint="eastAsia" w:ascii="宋体" w:hAnsi="宋体" w:cs="仿宋"/>
          <w:color w:val="000000" w:themeColor="text1"/>
          <w:spacing w:val="-3"/>
          <w:kern w:val="0"/>
          <w:sz w:val="24"/>
          <w:lang w:val="zh-CN" w:bidi="zh-CN"/>
        </w:rPr>
        <w:t>如乙方不能交付服务的，乙方应向甲方支付合同总价5%的违约金；</w:t>
      </w:r>
    </w:p>
    <w:p w14:paraId="483EAD15">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val="zh-CN" w:bidi="zh-CN"/>
        </w:rPr>
      </w:pPr>
      <w:r>
        <w:rPr>
          <w:rFonts w:hint="eastAsia" w:ascii="宋体" w:hAnsi="宋体" w:cs="仿宋"/>
          <w:color w:val="000000" w:themeColor="text1"/>
          <w:spacing w:val="-3"/>
          <w:kern w:val="0"/>
          <w:sz w:val="24"/>
          <w:lang w:bidi="zh-CN"/>
        </w:rPr>
        <w:t>3、</w:t>
      </w:r>
      <w:r>
        <w:rPr>
          <w:rFonts w:hint="eastAsia" w:ascii="宋体" w:hAnsi="宋体" w:cs="仿宋"/>
          <w:color w:val="000000" w:themeColor="text1"/>
          <w:spacing w:val="-3"/>
          <w:kern w:val="0"/>
          <w:sz w:val="24"/>
          <w:lang w:val="zh-CN" w:bidi="zh-CN"/>
        </w:rPr>
        <w:t>乙方逾期交付的，每逾期 1 天，乙方向甲方偿付合同总额的5‰的滞纳金。如乙方逾期交付达 10 天，甲方有权解除合同，解除合同的通知自到达乙方时生效；</w:t>
      </w:r>
    </w:p>
    <w:p w14:paraId="2782D9F8">
      <w:pPr>
        <w:tabs>
          <w:tab w:val="left" w:pos="583"/>
        </w:tabs>
        <w:autoSpaceDE w:val="0"/>
        <w:autoSpaceDN w:val="0"/>
        <w:spacing w:line="360" w:lineRule="auto"/>
        <w:ind w:firstLine="468" w:firstLineChars="200"/>
        <w:rPr>
          <w:rFonts w:hint="eastAsia" w:ascii="宋体" w:hAnsi="宋体" w:cs="仿宋"/>
          <w:color w:val="000000" w:themeColor="text1"/>
          <w:spacing w:val="-3"/>
          <w:kern w:val="0"/>
          <w:sz w:val="24"/>
          <w:lang w:bidi="zh-CN"/>
        </w:rPr>
      </w:pPr>
      <w:r>
        <w:rPr>
          <w:rFonts w:hint="eastAsia" w:ascii="宋体" w:hAnsi="宋体" w:cs="仿宋"/>
          <w:color w:val="000000" w:themeColor="text1"/>
          <w:spacing w:val="-3"/>
          <w:kern w:val="0"/>
          <w:sz w:val="24"/>
          <w:lang w:bidi="zh-CN"/>
        </w:rPr>
        <w:t>4、</w:t>
      </w:r>
      <w:r>
        <w:rPr>
          <w:rFonts w:hint="eastAsia" w:ascii="宋体" w:hAnsi="宋体" w:cs="仿宋"/>
          <w:color w:val="000000" w:themeColor="text1"/>
          <w:spacing w:val="-3"/>
          <w:kern w:val="0"/>
          <w:sz w:val="24"/>
          <w:lang w:val="zh-CN" w:bidi="zh-CN"/>
        </w:rPr>
        <w:t>乙方所交付的服务不符合合同</w:t>
      </w:r>
      <w:r>
        <w:rPr>
          <w:rFonts w:hint="eastAsia" w:ascii="宋体" w:hAnsi="宋体" w:cs="仿宋"/>
          <w:color w:val="000000" w:themeColor="text1"/>
          <w:spacing w:val="-3"/>
          <w:kern w:val="0"/>
          <w:sz w:val="24"/>
          <w:lang w:bidi="zh-CN"/>
        </w:rPr>
        <w:t>及《中山陵园管理局安保服务质量月度考评表》各项约定的</w:t>
      </w:r>
      <w:r>
        <w:rPr>
          <w:rFonts w:hint="eastAsia" w:ascii="宋体" w:hAnsi="宋体" w:cs="仿宋"/>
          <w:color w:val="000000" w:themeColor="text1"/>
          <w:spacing w:val="-3"/>
          <w:kern w:val="0"/>
          <w:sz w:val="24"/>
          <w:lang w:val="zh-CN" w:bidi="zh-CN"/>
        </w:rPr>
        <w:t>，甲方有权</w:t>
      </w:r>
      <w:r>
        <w:rPr>
          <w:rFonts w:hint="eastAsia" w:ascii="宋体" w:hAnsi="宋体" w:cs="仿宋"/>
          <w:color w:val="000000" w:themeColor="text1"/>
          <w:spacing w:val="-3"/>
          <w:kern w:val="0"/>
          <w:sz w:val="24"/>
          <w:lang w:bidi="zh-CN"/>
        </w:rPr>
        <w:t>要求乙方整改或</w:t>
      </w:r>
      <w:r>
        <w:rPr>
          <w:rFonts w:hint="eastAsia" w:ascii="宋体" w:hAnsi="宋体" w:cs="仿宋"/>
          <w:color w:val="000000" w:themeColor="text1"/>
          <w:spacing w:val="-3"/>
          <w:kern w:val="0"/>
          <w:sz w:val="24"/>
          <w:lang w:val="zh-CN" w:bidi="zh-CN"/>
        </w:rPr>
        <w:t>拒收。</w:t>
      </w:r>
      <w:r>
        <w:rPr>
          <w:rFonts w:hint="eastAsia" w:ascii="宋体" w:hAnsi="宋体" w:cs="仿宋"/>
          <w:color w:val="000000" w:themeColor="text1"/>
          <w:spacing w:val="-3"/>
          <w:kern w:val="0"/>
          <w:sz w:val="24"/>
          <w:lang w:bidi="zh-CN"/>
        </w:rPr>
        <w:t>同时根据《中山陵园管理局安保服务质量月度考评表》标准扣罚相应的服务费用；</w:t>
      </w:r>
    </w:p>
    <w:p w14:paraId="61F0C2AD">
      <w:pPr>
        <w:spacing w:line="360" w:lineRule="auto"/>
        <w:ind w:firstLine="468" w:firstLineChars="200"/>
        <w:rPr>
          <w:rFonts w:hint="eastAsia" w:ascii="宋体" w:hAnsi="宋体" w:cs="仿宋"/>
          <w:color w:val="000000" w:themeColor="text1"/>
          <w:spacing w:val="-3"/>
          <w:kern w:val="0"/>
          <w:sz w:val="24"/>
          <w:lang w:bidi="zh-CN"/>
        </w:rPr>
      </w:pPr>
      <w:r>
        <w:rPr>
          <w:rFonts w:hint="eastAsia" w:ascii="宋体" w:hAnsi="宋体" w:cs="仿宋"/>
          <w:color w:val="000000" w:themeColor="text1"/>
          <w:spacing w:val="-3"/>
          <w:kern w:val="0"/>
          <w:sz w:val="24"/>
          <w:lang w:bidi="zh-CN"/>
        </w:rPr>
        <w:t xml:space="preserve">乙方协管安保人员违法违规或者不称职的，甲方有权要求乙方更换人员。同时根据《中山陵园管理局安保服务质量月度考评表》标准扣罚相应的服务费用；   </w:t>
      </w:r>
    </w:p>
    <w:p w14:paraId="6C6960E7">
      <w:pPr>
        <w:spacing w:line="360" w:lineRule="auto"/>
        <w:ind w:firstLine="468" w:firstLineChars="200"/>
        <w:rPr>
          <w:rFonts w:hint="eastAsia" w:ascii="宋体" w:hAnsi="宋体" w:cs="宋体"/>
          <w:color w:val="000000" w:themeColor="text1"/>
          <w:sz w:val="24"/>
        </w:rPr>
      </w:pPr>
      <w:r>
        <w:rPr>
          <w:rFonts w:hint="eastAsia" w:ascii="宋体" w:hAnsi="宋体" w:cs="宋体"/>
          <w:color w:val="000000" w:themeColor="text1"/>
          <w:spacing w:val="-3"/>
          <w:kern w:val="0"/>
          <w:sz w:val="24"/>
          <w:lang w:bidi="zh-CN"/>
        </w:rPr>
        <w:t>乙方经甲方通知整改仍不能整改到位，甲方有权视情况终止本合同。在上述扣罚的基础上，甲方有权要求乙方支付合同总价5%的违约金；</w:t>
      </w:r>
    </w:p>
    <w:p w14:paraId="21B77A00">
      <w:pPr>
        <w:tabs>
          <w:tab w:val="left" w:pos="583"/>
        </w:tabs>
        <w:autoSpaceDE w:val="0"/>
        <w:autoSpaceDN w:val="0"/>
        <w:spacing w:line="360" w:lineRule="auto"/>
        <w:ind w:firstLine="440" w:firstLineChars="200"/>
        <w:rPr>
          <w:rFonts w:hint="eastAsia" w:ascii="宋体" w:hAnsi="宋体" w:cs="宋体"/>
          <w:color w:val="000000" w:themeColor="text1"/>
          <w:spacing w:val="-10"/>
          <w:kern w:val="0"/>
          <w:sz w:val="24"/>
          <w:lang w:val="zh-CN" w:bidi="zh-CN"/>
        </w:rPr>
      </w:pPr>
      <w:r>
        <w:rPr>
          <w:rFonts w:hint="eastAsia" w:ascii="宋体" w:hAnsi="宋体" w:cs="宋体"/>
          <w:color w:val="000000" w:themeColor="text1"/>
          <w:spacing w:val="-10"/>
          <w:kern w:val="0"/>
          <w:sz w:val="24"/>
          <w:lang w:bidi="zh-CN"/>
        </w:rPr>
        <w:t>乙方的违约行为，经扣罚和支付违约金仍不能弥补甲方损失的，</w:t>
      </w:r>
      <w:r>
        <w:rPr>
          <w:rFonts w:hint="eastAsia" w:ascii="宋体" w:hAnsi="宋体" w:cs="宋体"/>
          <w:color w:val="000000" w:themeColor="text1"/>
          <w:spacing w:val="-10"/>
          <w:kern w:val="0"/>
          <w:sz w:val="24"/>
          <w:lang w:val="zh-CN" w:bidi="zh-CN"/>
        </w:rPr>
        <w:t>乙方还须赔偿甲方因此遭受的损失。</w:t>
      </w:r>
    </w:p>
    <w:p w14:paraId="16D0240D">
      <w:pPr>
        <w:tabs>
          <w:tab w:val="left" w:pos="583"/>
        </w:tabs>
        <w:autoSpaceDE w:val="0"/>
        <w:autoSpaceDN w:val="0"/>
        <w:spacing w:line="360" w:lineRule="auto"/>
        <w:ind w:firstLine="480" w:firstLineChars="200"/>
        <w:rPr>
          <w:rFonts w:hint="eastAsia" w:ascii="宋体" w:hAnsi="宋体" w:cs="宋体"/>
          <w:color w:val="000000" w:themeColor="text1"/>
          <w:kern w:val="0"/>
          <w:sz w:val="24"/>
          <w:lang w:val="zh-CN" w:bidi="zh-CN"/>
        </w:rPr>
      </w:pPr>
      <w:r>
        <w:rPr>
          <w:rFonts w:hint="eastAsia" w:ascii="宋体" w:hAnsi="宋体" w:cs="宋体"/>
          <w:color w:val="000000" w:themeColor="text1"/>
          <w:kern w:val="0"/>
          <w:sz w:val="24"/>
          <w:lang w:bidi="zh-CN"/>
        </w:rPr>
        <w:t>5、</w:t>
      </w:r>
      <w:r>
        <w:rPr>
          <w:rFonts w:hint="eastAsia" w:ascii="宋体" w:hAnsi="宋体" w:cs="宋体"/>
          <w:color w:val="000000" w:themeColor="text1"/>
          <w:kern w:val="0"/>
          <w:sz w:val="24"/>
          <w:lang w:val="zh-CN" w:bidi="zh-CN"/>
        </w:rPr>
        <w:t>乙方响应属虚假承诺，或经权威部门检测提供的服务不能满足投标（响应）文件要求，或是由于乙方的过错造成合同无法继续履行的，应向甲方支付不少于合同总价 30%赔偿金。</w:t>
      </w:r>
    </w:p>
    <w:p w14:paraId="4A03B63A">
      <w:pPr>
        <w:pStyle w:val="19"/>
        <w:spacing w:line="360" w:lineRule="auto"/>
        <w:ind w:firstLine="480" w:firstLineChars="200"/>
        <w:jc w:val="both"/>
        <w:rPr>
          <w:rFonts w:hint="eastAsia" w:ascii="宋体" w:hAnsi="宋体" w:eastAsia="宋体" w:cs="仿宋"/>
          <w:b w:val="0"/>
          <w:bCs w:val="0"/>
          <w:color w:val="000000" w:themeColor="text1"/>
          <w:sz w:val="24"/>
        </w:rPr>
      </w:pPr>
      <w:r>
        <w:rPr>
          <w:rFonts w:hint="eastAsia" w:ascii="宋体" w:hAnsi="宋体" w:eastAsia="宋体" w:cs="宋体"/>
          <w:b w:val="0"/>
          <w:bCs w:val="0"/>
          <w:color w:val="000000" w:themeColor="text1"/>
          <w:sz w:val="24"/>
        </w:rPr>
        <w:t>6、乙方应规范用工，不得违反劳动人事法规</w:t>
      </w:r>
      <w:r>
        <w:rPr>
          <w:rFonts w:hint="eastAsia" w:ascii="宋体" w:hAnsi="宋体" w:eastAsia="宋体" w:cs="仿宋"/>
          <w:b w:val="0"/>
          <w:bCs w:val="0"/>
          <w:color w:val="000000" w:themeColor="text1"/>
          <w:sz w:val="24"/>
        </w:rPr>
        <w:t>的规定。乙方应做好协管安保人员的培训，依法依规执行工作，遵守甲方规章制度。如乙方协管安保人员违法违规履职，给甲方或第三人造成损害，相关法律责任、甲方及第三人的损失均由乙方承担和赔偿，甲方有权视情况决定是否终止本合同。</w:t>
      </w:r>
    </w:p>
    <w:p w14:paraId="0B72AF0F">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7</w:t>
      </w:r>
      <w:r>
        <w:rPr>
          <w:rFonts w:ascii="宋体" w:hAnsi="宋体"/>
          <w:color w:val="000000" w:themeColor="text1"/>
          <w:sz w:val="24"/>
        </w:rPr>
        <w:t>、本合同签订后，双方均应按约履行，任一方违约，守约方为维护自身权益所支出的合理维权费用，包括但不限于诉讼费、律师费、保全费、差旅费等由违约方承担</w:t>
      </w:r>
      <w:r>
        <w:rPr>
          <w:rFonts w:hint="eastAsia" w:ascii="宋体" w:hAnsi="宋体"/>
          <w:color w:val="000000" w:themeColor="text1"/>
          <w:sz w:val="24"/>
        </w:rPr>
        <w:t>。</w:t>
      </w:r>
    </w:p>
    <w:p w14:paraId="49B279B6">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二</w:t>
      </w:r>
      <w:r>
        <w:rPr>
          <w:rFonts w:hint="eastAsia" w:ascii="宋体" w:hAnsi="宋体" w:cs="仿宋"/>
          <w:color w:val="000000" w:themeColor="text1"/>
          <w:kern w:val="0"/>
          <w:sz w:val="24"/>
          <w:lang w:val="zh-CN" w:bidi="zh-CN"/>
        </w:rPr>
        <w:t>条 合同的变更和终止</w:t>
      </w:r>
    </w:p>
    <w:p w14:paraId="5EF41BD9">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1、除《政府采购法》第 50 条规定</w:t>
      </w:r>
      <w:r>
        <w:rPr>
          <w:rFonts w:hint="eastAsia" w:ascii="宋体" w:hAnsi="宋体" w:cs="仿宋"/>
          <w:color w:val="000000" w:themeColor="text1"/>
          <w:kern w:val="0"/>
          <w:sz w:val="24"/>
          <w:lang w:bidi="zh-CN"/>
        </w:rPr>
        <w:t>及本合同有约定</w:t>
      </w:r>
      <w:r>
        <w:rPr>
          <w:rFonts w:hint="eastAsia" w:ascii="宋体" w:hAnsi="宋体" w:cs="仿宋"/>
          <w:color w:val="000000" w:themeColor="text1"/>
          <w:kern w:val="0"/>
          <w:sz w:val="24"/>
          <w:lang w:val="zh-CN" w:bidi="zh-CN"/>
        </w:rPr>
        <w:t>的情形外，本合同一经签订，甲乙双方不得擅自变更、中止或终止。</w:t>
      </w:r>
    </w:p>
    <w:p w14:paraId="55DD40C7">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2、除发生法律规定的不能预见、不能避免并不能克服的客观情况外，甲乙双方不得放弃或拒绝履行合同。乙方放弃或拒绝履行合同，按规定接受相关部门的处罚。</w:t>
      </w:r>
    </w:p>
    <w:p w14:paraId="0895A2BB">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3、在合同履行期间因乙方原因导致的重大事故，甲方有权单方面终止合同，由此造成的损失由乙方承担。</w:t>
      </w:r>
    </w:p>
    <w:p w14:paraId="240AF02E">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三</w:t>
      </w:r>
      <w:r>
        <w:rPr>
          <w:rFonts w:hint="eastAsia" w:ascii="宋体" w:hAnsi="宋体" w:cs="仿宋"/>
          <w:color w:val="000000" w:themeColor="text1"/>
          <w:kern w:val="0"/>
          <w:sz w:val="24"/>
          <w:lang w:val="zh-CN" w:bidi="zh-CN"/>
        </w:rPr>
        <w:t>条 合同的转让</w:t>
      </w:r>
    </w:p>
    <w:p w14:paraId="52ACDF0A">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乙方不得擅自部分或全部转让其应履行的合同义务。</w:t>
      </w:r>
    </w:p>
    <w:p w14:paraId="4CF563AA">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四</w:t>
      </w:r>
      <w:r>
        <w:rPr>
          <w:rFonts w:hint="eastAsia" w:ascii="宋体" w:hAnsi="宋体" w:cs="仿宋"/>
          <w:color w:val="000000" w:themeColor="text1"/>
          <w:kern w:val="0"/>
          <w:sz w:val="24"/>
          <w:lang w:val="zh-CN" w:bidi="zh-CN"/>
        </w:rPr>
        <w:t>条 争议的解决</w:t>
      </w:r>
    </w:p>
    <w:p w14:paraId="7CFD5336">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bidi="zh-CN"/>
        </w:rPr>
        <w:t>1</w:t>
      </w:r>
      <w:r>
        <w:rPr>
          <w:rFonts w:hint="eastAsia" w:ascii="宋体" w:hAnsi="宋体" w:cs="仿宋"/>
          <w:color w:val="000000" w:themeColor="text1"/>
          <w:kern w:val="0"/>
          <w:sz w:val="24"/>
          <w:lang w:val="zh-CN" w:bidi="zh-CN"/>
        </w:rPr>
        <w:t>、因履行本合同引起的或与本合同有关的争议，甲、乙双方应首先通过友好协商解决，如果协商不能解决争议，则采取以下第（</w:t>
      </w:r>
      <w:r>
        <w:rPr>
          <w:rFonts w:hint="eastAsia" w:ascii="宋体" w:hAnsi="宋体" w:cs="仿宋"/>
          <w:color w:val="000000" w:themeColor="text1"/>
          <w:kern w:val="0"/>
          <w:sz w:val="24"/>
          <w:lang w:bidi="zh-CN"/>
        </w:rPr>
        <w:t>1</w:t>
      </w:r>
      <w:r>
        <w:rPr>
          <w:rFonts w:hint="eastAsia" w:ascii="宋体" w:hAnsi="宋体" w:cs="仿宋"/>
          <w:color w:val="000000" w:themeColor="text1"/>
          <w:kern w:val="0"/>
          <w:sz w:val="24"/>
          <w:lang w:val="zh-CN" w:bidi="zh-CN"/>
        </w:rPr>
        <w:t>）种方式解决争议：</w:t>
      </w:r>
    </w:p>
    <w:p w14:paraId="1D6E3262">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（1）向甲方所在地人民法院或合同履行地人民法院起诉，即南京市玄武区人民法院管辖；</w:t>
      </w:r>
    </w:p>
    <w:p w14:paraId="278FA581">
      <w:pPr>
        <w:tabs>
          <w:tab w:val="left" w:pos="94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（2）向南京仲裁委员会按其仲裁规则申请仲裁。</w:t>
      </w:r>
    </w:p>
    <w:p w14:paraId="4CCD1FC7">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2、仲裁期间本合同应继续履行。</w:t>
      </w:r>
    </w:p>
    <w:p w14:paraId="7448EDEE">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五</w:t>
      </w:r>
      <w:r>
        <w:rPr>
          <w:rFonts w:hint="eastAsia" w:ascii="宋体" w:hAnsi="宋体" w:cs="仿宋"/>
          <w:color w:val="000000" w:themeColor="text1"/>
          <w:kern w:val="0"/>
          <w:sz w:val="24"/>
          <w:lang w:val="zh-CN" w:bidi="zh-CN"/>
        </w:rPr>
        <w:t>条 诚实信用</w:t>
      </w:r>
    </w:p>
    <w:p w14:paraId="2CDCBF18">
      <w:pPr>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乙方应诚实信用，严格按照招标（采购）文件要求和投标（响应）承诺履行合同，不向甲方进行商业贿赂或者提供不正当利益。</w:t>
      </w:r>
    </w:p>
    <w:p w14:paraId="2B9BCA78">
      <w:pPr>
        <w:autoSpaceDE w:val="0"/>
        <w:autoSpaceDN w:val="0"/>
        <w:spacing w:line="360" w:lineRule="auto"/>
        <w:ind w:left="341" w:firstLine="480" w:firstLineChars="200"/>
        <w:outlineLvl w:val="2"/>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第十</w:t>
      </w:r>
      <w:r>
        <w:rPr>
          <w:rFonts w:hint="eastAsia" w:ascii="宋体" w:hAnsi="宋体" w:cs="仿宋"/>
          <w:color w:val="000000" w:themeColor="text1"/>
          <w:kern w:val="0"/>
          <w:sz w:val="24"/>
          <w:lang w:bidi="zh-CN"/>
        </w:rPr>
        <w:t>六</w:t>
      </w:r>
      <w:r>
        <w:rPr>
          <w:rFonts w:hint="eastAsia" w:ascii="宋体" w:hAnsi="宋体" w:cs="仿宋"/>
          <w:color w:val="000000" w:themeColor="text1"/>
          <w:kern w:val="0"/>
          <w:sz w:val="24"/>
          <w:lang w:val="zh-CN" w:bidi="zh-CN"/>
        </w:rPr>
        <w:t>条 合同生效及其他</w:t>
      </w:r>
    </w:p>
    <w:p w14:paraId="12B333C4">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1、本合同自签订之日起生效，两个工作日内在财政部门指定的媒体上公告。</w:t>
      </w:r>
    </w:p>
    <w:p w14:paraId="7FD59554">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2、本合同一式二份，甲乙双方各执一份。</w:t>
      </w:r>
    </w:p>
    <w:p w14:paraId="3FCEC162">
      <w:pPr>
        <w:tabs>
          <w:tab w:val="left" w:pos="583"/>
        </w:tabs>
        <w:autoSpaceDE w:val="0"/>
        <w:autoSpaceDN w:val="0"/>
        <w:spacing w:line="360" w:lineRule="auto"/>
        <w:ind w:firstLine="480" w:firstLineChars="200"/>
        <w:rPr>
          <w:rFonts w:hint="eastAsia" w:ascii="宋体" w:hAnsi="宋体" w:cs="仿宋"/>
          <w:color w:val="000000" w:themeColor="text1"/>
          <w:kern w:val="0"/>
          <w:sz w:val="24"/>
          <w:lang w:val="zh-CN" w:bidi="zh-CN"/>
        </w:rPr>
      </w:pPr>
      <w:r>
        <w:rPr>
          <w:rFonts w:hint="eastAsia" w:ascii="宋体" w:hAnsi="宋体" w:cs="仿宋"/>
          <w:color w:val="000000" w:themeColor="text1"/>
          <w:kern w:val="0"/>
          <w:sz w:val="24"/>
          <w:lang w:val="zh-CN" w:bidi="zh-CN"/>
        </w:rPr>
        <w:t>3、本合同按照中华人民共和国的现行法律进行解释。</w:t>
      </w:r>
    </w:p>
    <w:tbl>
      <w:tblPr>
        <w:tblStyle w:val="246"/>
        <w:tblW w:w="5000" w:type="pct"/>
        <w:jc w:val="center"/>
        <w:tblLayout w:type="fixed"/>
        <w:tblCellMar>
          <w:top w:w="0" w:type="dxa"/>
          <w:left w:w="0" w:type="dxa"/>
          <w:bottom w:w="0" w:type="dxa"/>
          <w:right w:w="0" w:type="dxa"/>
        </w:tblCellMar>
      </w:tblPr>
      <w:tblGrid>
        <w:gridCol w:w="4536"/>
        <w:gridCol w:w="4536"/>
      </w:tblGrid>
      <w:tr w14:paraId="4ADAFC80">
        <w:tblPrEx>
          <w:tblCellMar>
            <w:top w:w="0" w:type="dxa"/>
            <w:left w:w="0" w:type="dxa"/>
            <w:bottom w:w="0" w:type="dxa"/>
            <w:right w:w="0" w:type="dxa"/>
          </w:tblCellMar>
        </w:tblPrEx>
        <w:trPr>
          <w:trHeight w:val="442" w:hRule="atLeast"/>
          <w:jc w:val="center"/>
        </w:trPr>
        <w:tc>
          <w:tcPr>
            <w:tcW w:w="4536" w:type="dxa"/>
          </w:tcPr>
          <w:p w14:paraId="79DDAED4">
            <w:pPr>
              <w:autoSpaceDE w:val="0"/>
              <w:autoSpaceDN w:val="0"/>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甲方（采购人）：</w:t>
            </w:r>
          </w:p>
        </w:tc>
        <w:tc>
          <w:tcPr>
            <w:tcW w:w="4536" w:type="dxa"/>
          </w:tcPr>
          <w:p w14:paraId="4889003D">
            <w:pPr>
              <w:autoSpaceDE w:val="0"/>
              <w:autoSpaceDN w:val="0"/>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乙方（供应商）：</w:t>
            </w:r>
          </w:p>
        </w:tc>
      </w:tr>
      <w:tr w14:paraId="7AEDED8B">
        <w:tblPrEx>
          <w:tblCellMar>
            <w:top w:w="0" w:type="dxa"/>
            <w:left w:w="0" w:type="dxa"/>
            <w:bottom w:w="0" w:type="dxa"/>
            <w:right w:w="0" w:type="dxa"/>
          </w:tblCellMar>
        </w:tblPrEx>
        <w:trPr>
          <w:trHeight w:val="495" w:hRule="atLeast"/>
          <w:jc w:val="center"/>
        </w:trPr>
        <w:tc>
          <w:tcPr>
            <w:tcW w:w="4536" w:type="dxa"/>
          </w:tcPr>
          <w:p w14:paraId="4E159A42">
            <w:pPr>
              <w:autoSpaceDE w:val="0"/>
              <w:autoSpaceDN w:val="0"/>
              <w:spacing w:before="16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（盖章）</w:t>
            </w:r>
          </w:p>
        </w:tc>
        <w:tc>
          <w:tcPr>
            <w:tcW w:w="4536" w:type="dxa"/>
          </w:tcPr>
          <w:p w14:paraId="2DCBB510">
            <w:pPr>
              <w:autoSpaceDE w:val="0"/>
              <w:autoSpaceDN w:val="0"/>
              <w:spacing w:before="169"/>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（盖章）</w:t>
            </w:r>
          </w:p>
        </w:tc>
      </w:tr>
      <w:tr w14:paraId="41F9B307">
        <w:tblPrEx>
          <w:tblCellMar>
            <w:top w:w="0" w:type="dxa"/>
            <w:left w:w="0" w:type="dxa"/>
            <w:bottom w:w="0" w:type="dxa"/>
            <w:right w:w="0" w:type="dxa"/>
          </w:tblCellMar>
        </w:tblPrEx>
        <w:trPr>
          <w:trHeight w:val="345" w:hRule="atLeast"/>
          <w:jc w:val="center"/>
        </w:trPr>
        <w:tc>
          <w:tcPr>
            <w:tcW w:w="4536" w:type="dxa"/>
          </w:tcPr>
          <w:p w14:paraId="14BED952">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代表人：</w:t>
            </w:r>
          </w:p>
        </w:tc>
        <w:tc>
          <w:tcPr>
            <w:tcW w:w="4536" w:type="dxa"/>
          </w:tcPr>
          <w:p w14:paraId="78A3E0F3">
            <w:pPr>
              <w:autoSpaceDE w:val="0"/>
              <w:autoSpaceDN w:val="0"/>
              <w:spacing w:before="19"/>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代表人：</w:t>
            </w:r>
          </w:p>
        </w:tc>
      </w:tr>
      <w:tr w14:paraId="41DE0C51">
        <w:tblPrEx>
          <w:tblCellMar>
            <w:top w:w="0" w:type="dxa"/>
            <w:left w:w="0" w:type="dxa"/>
            <w:bottom w:w="0" w:type="dxa"/>
            <w:right w:w="0" w:type="dxa"/>
          </w:tblCellMar>
        </w:tblPrEx>
        <w:trPr>
          <w:trHeight w:val="337" w:hRule="atLeast"/>
          <w:jc w:val="center"/>
        </w:trPr>
        <w:tc>
          <w:tcPr>
            <w:tcW w:w="4536" w:type="dxa"/>
          </w:tcPr>
          <w:p w14:paraId="2355EAFD">
            <w:pPr>
              <w:autoSpaceDE w:val="0"/>
              <w:autoSpaceDN w:val="0"/>
              <w:spacing w:before="18"/>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电话：</w:t>
            </w:r>
          </w:p>
        </w:tc>
        <w:tc>
          <w:tcPr>
            <w:tcW w:w="4536" w:type="dxa"/>
          </w:tcPr>
          <w:p w14:paraId="32249E6A">
            <w:pPr>
              <w:autoSpaceDE w:val="0"/>
              <w:autoSpaceDN w:val="0"/>
              <w:spacing w:before="18"/>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电话：</w:t>
            </w:r>
          </w:p>
        </w:tc>
      </w:tr>
      <w:tr w14:paraId="5C1053CC">
        <w:tblPrEx>
          <w:tblCellMar>
            <w:top w:w="0" w:type="dxa"/>
            <w:left w:w="0" w:type="dxa"/>
            <w:bottom w:w="0" w:type="dxa"/>
            <w:right w:w="0" w:type="dxa"/>
          </w:tblCellMar>
        </w:tblPrEx>
        <w:trPr>
          <w:trHeight w:val="337" w:hRule="atLeast"/>
          <w:jc w:val="center"/>
        </w:trPr>
        <w:tc>
          <w:tcPr>
            <w:tcW w:w="4536" w:type="dxa"/>
          </w:tcPr>
          <w:p w14:paraId="7E8B6806">
            <w:pPr>
              <w:autoSpaceDE w:val="0"/>
              <w:autoSpaceDN w:val="0"/>
              <w:spacing w:before="11"/>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开户银行：</w:t>
            </w:r>
          </w:p>
        </w:tc>
        <w:tc>
          <w:tcPr>
            <w:tcW w:w="4536" w:type="dxa"/>
          </w:tcPr>
          <w:p w14:paraId="45229DE6">
            <w:pPr>
              <w:autoSpaceDE w:val="0"/>
              <w:autoSpaceDN w:val="0"/>
              <w:spacing w:before="11"/>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开户银行：</w:t>
            </w:r>
          </w:p>
        </w:tc>
      </w:tr>
      <w:tr w14:paraId="042155CF">
        <w:tblPrEx>
          <w:tblCellMar>
            <w:top w:w="0" w:type="dxa"/>
            <w:left w:w="0" w:type="dxa"/>
            <w:bottom w:w="0" w:type="dxa"/>
            <w:right w:w="0" w:type="dxa"/>
          </w:tblCellMar>
        </w:tblPrEx>
        <w:trPr>
          <w:trHeight w:val="292" w:hRule="atLeast"/>
          <w:jc w:val="center"/>
        </w:trPr>
        <w:tc>
          <w:tcPr>
            <w:tcW w:w="4536" w:type="dxa"/>
          </w:tcPr>
          <w:p w14:paraId="796BB1BE">
            <w:pPr>
              <w:autoSpaceDE w:val="0"/>
              <w:autoSpaceDN w:val="0"/>
              <w:spacing w:before="19"/>
              <w:ind w:left="200"/>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账号：</w:t>
            </w:r>
          </w:p>
        </w:tc>
        <w:tc>
          <w:tcPr>
            <w:tcW w:w="4536" w:type="dxa"/>
          </w:tcPr>
          <w:p w14:paraId="338EB0CC">
            <w:pPr>
              <w:autoSpaceDE w:val="0"/>
              <w:autoSpaceDN w:val="0"/>
              <w:spacing w:before="19"/>
              <w:ind w:left="1388"/>
              <w:rPr>
                <w:rFonts w:hint="eastAsia" w:ascii="宋体" w:hAnsi="宋体" w:cs="仿宋"/>
                <w:color w:val="000000" w:themeColor="text1"/>
                <w:kern w:val="0"/>
                <w:sz w:val="24"/>
                <w:lang w:val="zh-CN" w:eastAsia="en-US" w:bidi="zh-CN"/>
              </w:rPr>
            </w:pPr>
            <w:r>
              <w:rPr>
                <w:rFonts w:hint="eastAsia" w:ascii="宋体" w:hAnsi="宋体" w:cs="仿宋"/>
                <w:color w:val="000000" w:themeColor="text1"/>
                <w:kern w:val="0"/>
                <w:sz w:val="24"/>
                <w:lang w:val="zh-CN" w:eastAsia="en-US" w:bidi="zh-CN"/>
              </w:rPr>
              <w:t>账号：</w:t>
            </w:r>
          </w:p>
        </w:tc>
      </w:tr>
    </w:tbl>
    <w:p w14:paraId="0DE5958F">
      <w:pPr>
        <w:rPr>
          <w:rFonts w:cs="宋体"/>
          <w:color w:val="000000" w:themeColor="text1"/>
        </w:rPr>
        <w:sectPr>
          <w:pgSz w:w="11906" w:h="16838"/>
          <w:pgMar w:top="1417" w:right="1417" w:bottom="1417" w:left="1417" w:header="851" w:footer="992" w:gutter="0"/>
          <w:cols w:space="720" w:num="1"/>
          <w:titlePg/>
          <w:docGrid w:type="lines" w:linePitch="312" w:charSpace="0"/>
        </w:sectPr>
      </w:pPr>
    </w:p>
    <w:p w14:paraId="3BA73AA2">
      <w:pPr>
        <w:pStyle w:val="3"/>
        <w:keepNext w:val="0"/>
        <w:keepLines w:val="0"/>
        <w:widowControl/>
        <w:numPr>
          <w:ilvl w:val="0"/>
          <w:numId w:val="0"/>
        </w:numPr>
        <w:jc w:val="both"/>
        <w:rPr>
          <w:rFonts w:hint="eastAsia" w:ascii="方正公文小标宋" w:hAnsi="方正公文小标宋" w:eastAsia="方正公文小标宋" w:cs="方正小标宋简体"/>
          <w:color w:val="000000" w:themeColor="text1"/>
          <w:sz w:val="28"/>
          <w:szCs w:val="28"/>
        </w:rPr>
      </w:pPr>
      <w:bookmarkStart w:id="44" w:name="_Toc242444312"/>
      <w:r>
        <w:rPr>
          <w:rFonts w:hint="eastAsia" w:ascii="方正小标宋简体" w:hAnsi="方正小标宋简体" w:eastAsia="方正小标宋简体" w:cs="方正小标宋简体"/>
          <w:color w:val="000000" w:themeColor="text1"/>
          <w:sz w:val="28"/>
          <w:szCs w:val="28"/>
        </w:rPr>
        <w:t>附</w:t>
      </w:r>
      <w:bookmarkStart w:id="45" w:name="OLE_LINK9"/>
      <w:r>
        <w:rPr>
          <w:rFonts w:hint="eastAsia" w:ascii="方正小标宋简体" w:hAnsi="方正小标宋简体" w:eastAsia="方正小标宋简体" w:cs="方正小标宋简体"/>
          <w:color w:val="000000" w:themeColor="text1"/>
          <w:sz w:val="28"/>
          <w:szCs w:val="28"/>
        </w:rPr>
        <w:t>件：</w:t>
      </w:r>
      <w:r>
        <w:rPr>
          <w:rFonts w:hint="eastAsia" w:ascii="方正公文小标宋" w:hAnsi="方正公文小标宋" w:eastAsia="方正公文小标宋" w:cs="方正小标宋简体"/>
          <w:color w:val="000000" w:themeColor="text1"/>
          <w:sz w:val="28"/>
          <w:szCs w:val="28"/>
        </w:rPr>
        <w:t>中山陵园风景区服务考核管</w:t>
      </w:r>
      <w:bookmarkStart w:id="46" w:name="OLE_LINK10"/>
      <w:r>
        <w:rPr>
          <w:rFonts w:hint="eastAsia" w:ascii="方正公文小标宋" w:hAnsi="方正公文小标宋" w:eastAsia="方正公文小标宋" w:cs="方正小标宋简体"/>
          <w:color w:val="000000" w:themeColor="text1"/>
          <w:sz w:val="28"/>
          <w:szCs w:val="28"/>
        </w:rPr>
        <w:t>理办</w:t>
      </w:r>
      <w:bookmarkEnd w:id="46"/>
      <w:r>
        <w:rPr>
          <w:rFonts w:hint="eastAsia" w:ascii="方正公文小标宋" w:hAnsi="方正公文小标宋" w:eastAsia="方正公文小标宋" w:cs="方正小标宋简体"/>
          <w:color w:val="000000" w:themeColor="text1"/>
          <w:sz w:val="28"/>
          <w:szCs w:val="28"/>
        </w:rPr>
        <w:t>法</w:t>
      </w:r>
      <w:bookmarkEnd w:id="44"/>
    </w:p>
    <w:p w14:paraId="2AB4FF98">
      <w:pPr>
        <w:pStyle w:val="4"/>
        <w:widowControl/>
        <w:spacing w:line="560" w:lineRule="exact"/>
        <w:jc w:val="center"/>
        <w:rPr>
          <w:color w:val="000000" w:themeColor="text1"/>
          <w:sz w:val="30"/>
          <w:szCs w:val="30"/>
        </w:rPr>
      </w:pPr>
      <w:bookmarkStart w:id="47" w:name="OLE_LINK21"/>
      <w:r>
        <w:rPr>
          <w:color w:val="000000" w:themeColor="text1"/>
          <w:sz w:val="30"/>
          <w:szCs w:val="30"/>
        </w:rPr>
        <w:t>第一章 总则</w:t>
      </w:r>
    </w:p>
    <w:p w14:paraId="7CBE366B">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第一条 目的依据</w:t>
      </w:r>
      <w:r>
        <w:rPr>
          <w:color w:val="000000" w:themeColor="text1"/>
          <w:sz w:val="30"/>
          <w:szCs w:val="30"/>
        </w:rPr>
        <w:t xml:space="preserve"> 为规范安保</w:t>
      </w:r>
      <w:r>
        <w:rPr>
          <w:rFonts w:hint="eastAsia"/>
          <w:color w:val="000000" w:themeColor="text1"/>
          <w:sz w:val="30"/>
          <w:szCs w:val="30"/>
        </w:rPr>
        <w:t>、消防</w:t>
      </w:r>
      <w:r>
        <w:rPr>
          <w:color w:val="000000" w:themeColor="text1"/>
          <w:sz w:val="30"/>
          <w:szCs w:val="30"/>
        </w:rPr>
        <w:t>服务履约管理，压实服务供应商主体责任，规范</w:t>
      </w:r>
      <w:r>
        <w:rPr>
          <w:rFonts w:hint="eastAsia"/>
          <w:color w:val="000000" w:themeColor="text1"/>
          <w:sz w:val="30"/>
          <w:szCs w:val="30"/>
        </w:rPr>
        <w:t>服务人员</w:t>
      </w:r>
      <w:r>
        <w:rPr>
          <w:color w:val="000000" w:themeColor="text1"/>
          <w:sz w:val="30"/>
          <w:szCs w:val="30"/>
        </w:rPr>
        <w:t>执勤行为，防范安全风险，结合现场实际，制定本办法。</w:t>
      </w:r>
    </w:p>
    <w:p w14:paraId="283A9CA9">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第二条 适用范围</w:t>
      </w:r>
      <w:r>
        <w:rPr>
          <w:color w:val="000000" w:themeColor="text1"/>
          <w:sz w:val="30"/>
          <w:szCs w:val="30"/>
        </w:rPr>
        <w:t xml:space="preserve"> 本办法适用于甲方签约</w:t>
      </w:r>
      <w:r>
        <w:rPr>
          <w:rFonts w:hint="eastAsia"/>
          <w:color w:val="000000" w:themeColor="text1"/>
          <w:sz w:val="30"/>
          <w:szCs w:val="30"/>
        </w:rPr>
        <w:t>项目的</w:t>
      </w:r>
      <w:r>
        <w:rPr>
          <w:color w:val="000000" w:themeColor="text1"/>
          <w:sz w:val="30"/>
          <w:szCs w:val="30"/>
        </w:rPr>
        <w:t>服务</w:t>
      </w:r>
      <w:r>
        <w:rPr>
          <w:rFonts w:hint="eastAsia"/>
          <w:color w:val="000000" w:themeColor="text1"/>
          <w:sz w:val="30"/>
          <w:szCs w:val="30"/>
        </w:rPr>
        <w:t>公司</w:t>
      </w:r>
      <w:r>
        <w:rPr>
          <w:color w:val="000000" w:themeColor="text1"/>
          <w:sz w:val="30"/>
          <w:szCs w:val="30"/>
        </w:rPr>
        <w:t>（下称服务商），涵盖安保</w:t>
      </w:r>
      <w:r>
        <w:rPr>
          <w:rFonts w:hint="eastAsia"/>
          <w:color w:val="000000" w:themeColor="text1"/>
          <w:sz w:val="30"/>
          <w:szCs w:val="30"/>
        </w:rPr>
        <w:t>、消防服务等</w:t>
      </w:r>
      <w:r>
        <w:rPr>
          <w:color w:val="000000" w:themeColor="text1"/>
          <w:sz w:val="30"/>
          <w:szCs w:val="30"/>
        </w:rPr>
        <w:t>。本办法作为</w:t>
      </w:r>
      <w:r>
        <w:rPr>
          <w:rStyle w:val="48"/>
          <w:color w:val="000000" w:themeColor="text1"/>
          <w:sz w:val="30"/>
          <w:szCs w:val="30"/>
        </w:rPr>
        <w:t>安保</w:t>
      </w:r>
      <w:r>
        <w:rPr>
          <w:rStyle w:val="48"/>
          <w:rFonts w:hint="eastAsia"/>
          <w:color w:val="000000" w:themeColor="text1"/>
          <w:sz w:val="30"/>
          <w:szCs w:val="30"/>
        </w:rPr>
        <w:t>、消防安全服务等</w:t>
      </w:r>
      <w:r>
        <w:rPr>
          <w:rStyle w:val="48"/>
          <w:color w:val="000000" w:themeColor="text1"/>
          <w:sz w:val="30"/>
          <w:szCs w:val="30"/>
        </w:rPr>
        <w:t>费</w:t>
      </w:r>
      <w:r>
        <w:rPr>
          <w:rStyle w:val="48"/>
          <w:rFonts w:hint="eastAsia"/>
          <w:color w:val="000000" w:themeColor="text1"/>
          <w:sz w:val="30"/>
          <w:szCs w:val="30"/>
        </w:rPr>
        <w:t>用</w:t>
      </w:r>
      <w:r>
        <w:rPr>
          <w:rStyle w:val="48"/>
          <w:color w:val="000000" w:themeColor="text1"/>
          <w:sz w:val="30"/>
          <w:szCs w:val="30"/>
        </w:rPr>
        <w:t>核算、履约评价</w:t>
      </w:r>
      <w:r>
        <w:rPr>
          <w:color w:val="000000" w:themeColor="text1"/>
          <w:sz w:val="30"/>
          <w:szCs w:val="30"/>
        </w:rPr>
        <w:t>的核心依据。</w:t>
      </w:r>
    </w:p>
    <w:p w14:paraId="6B98C78C">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第三条 考核原则</w:t>
      </w:r>
    </w:p>
    <w:p w14:paraId="5F2C42FD">
      <w:pPr>
        <w:widowControl/>
        <w:spacing w:line="560" w:lineRule="exact"/>
        <w:ind w:firstLine="602" w:firstLineChars="200"/>
        <w:rPr>
          <w:color w:val="000000" w:themeColor="text1"/>
          <w:sz w:val="30"/>
          <w:szCs w:val="30"/>
        </w:rPr>
      </w:pPr>
      <w:r>
        <w:rPr>
          <w:rStyle w:val="48"/>
          <w:rFonts w:hint="eastAsia"/>
          <w:color w:val="000000" w:themeColor="text1"/>
          <w:sz w:val="30"/>
          <w:szCs w:val="30"/>
        </w:rPr>
        <w:t>3.1</w:t>
      </w:r>
      <w:r>
        <w:rPr>
          <w:rStyle w:val="48"/>
          <w:color w:val="000000" w:themeColor="text1"/>
          <w:sz w:val="30"/>
          <w:szCs w:val="30"/>
        </w:rPr>
        <w:t>客观公正原则</w:t>
      </w:r>
      <w:r>
        <w:rPr>
          <w:color w:val="000000" w:themeColor="text1"/>
          <w:sz w:val="30"/>
          <w:szCs w:val="30"/>
        </w:rPr>
        <w:t>：以现场检查、投</w:t>
      </w:r>
      <w:bookmarkEnd w:id="47"/>
      <w:r>
        <w:rPr>
          <w:color w:val="000000" w:themeColor="text1"/>
          <w:sz w:val="30"/>
          <w:szCs w:val="30"/>
        </w:rPr>
        <w:t>诉举报、舆情通报</w:t>
      </w:r>
      <w:r>
        <w:rPr>
          <w:rFonts w:hint="eastAsia"/>
          <w:color w:val="000000" w:themeColor="text1"/>
          <w:sz w:val="30"/>
          <w:szCs w:val="30"/>
        </w:rPr>
        <w:t>等</w:t>
      </w:r>
      <w:r>
        <w:rPr>
          <w:color w:val="000000" w:themeColor="text1"/>
          <w:sz w:val="30"/>
          <w:szCs w:val="30"/>
        </w:rPr>
        <w:t>作为考核事实依据；</w:t>
      </w:r>
    </w:p>
    <w:p w14:paraId="4012CAF0">
      <w:pPr>
        <w:widowControl/>
        <w:spacing w:line="560" w:lineRule="exact"/>
        <w:ind w:firstLine="602" w:firstLineChars="200"/>
        <w:rPr>
          <w:color w:val="000000" w:themeColor="text1"/>
          <w:sz w:val="30"/>
          <w:szCs w:val="30"/>
        </w:rPr>
      </w:pPr>
      <w:r>
        <w:rPr>
          <w:rStyle w:val="48"/>
          <w:rFonts w:hint="eastAsia"/>
          <w:color w:val="000000" w:themeColor="text1"/>
          <w:sz w:val="30"/>
          <w:szCs w:val="30"/>
        </w:rPr>
        <w:t>3.2</w:t>
      </w:r>
      <w:r>
        <w:rPr>
          <w:rStyle w:val="48"/>
          <w:color w:val="000000" w:themeColor="text1"/>
          <w:sz w:val="30"/>
          <w:szCs w:val="30"/>
        </w:rPr>
        <w:t>奖惩并重原则</w:t>
      </w:r>
      <w:r>
        <w:rPr>
          <w:color w:val="000000" w:themeColor="text1"/>
          <w:sz w:val="30"/>
          <w:szCs w:val="30"/>
        </w:rPr>
        <w:t>：经济惩戒违规失职行为，表彰履职突出</w:t>
      </w:r>
      <w:r>
        <w:rPr>
          <w:rFonts w:hint="eastAsia"/>
          <w:color w:val="000000" w:themeColor="text1"/>
          <w:sz w:val="30"/>
          <w:szCs w:val="30"/>
        </w:rPr>
        <w:t>服务</w:t>
      </w:r>
      <w:r>
        <w:rPr>
          <w:color w:val="000000" w:themeColor="text1"/>
          <w:sz w:val="30"/>
          <w:szCs w:val="30"/>
        </w:rPr>
        <w:t>个人；</w:t>
      </w:r>
    </w:p>
    <w:p w14:paraId="2C0029A9">
      <w:pPr>
        <w:widowControl/>
        <w:spacing w:line="560" w:lineRule="exact"/>
        <w:ind w:firstLine="602" w:firstLineChars="200"/>
        <w:rPr>
          <w:color w:val="000000" w:themeColor="text1"/>
          <w:sz w:val="30"/>
          <w:szCs w:val="30"/>
        </w:rPr>
      </w:pPr>
      <w:r>
        <w:rPr>
          <w:rStyle w:val="48"/>
          <w:rFonts w:hint="eastAsia"/>
          <w:color w:val="000000" w:themeColor="text1"/>
          <w:sz w:val="30"/>
          <w:szCs w:val="30"/>
        </w:rPr>
        <w:t>3.3</w:t>
      </w:r>
      <w:r>
        <w:rPr>
          <w:rStyle w:val="48"/>
          <w:color w:val="000000" w:themeColor="text1"/>
          <w:sz w:val="30"/>
          <w:szCs w:val="30"/>
        </w:rPr>
        <w:t>闭环整改原则</w:t>
      </w:r>
      <w:r>
        <w:rPr>
          <w:color w:val="000000" w:themeColor="text1"/>
          <w:sz w:val="30"/>
          <w:szCs w:val="30"/>
        </w:rPr>
        <w:t>：发现问题明确整改时限，跟踪复查，同类问题重复发生加重扣分；</w:t>
      </w:r>
    </w:p>
    <w:p w14:paraId="1D4B1562">
      <w:pPr>
        <w:widowControl/>
        <w:spacing w:line="560" w:lineRule="exact"/>
        <w:ind w:firstLine="602" w:firstLineChars="200"/>
        <w:rPr>
          <w:color w:val="000000" w:themeColor="text1"/>
          <w:sz w:val="30"/>
          <w:szCs w:val="30"/>
        </w:rPr>
      </w:pPr>
      <w:r>
        <w:rPr>
          <w:rStyle w:val="48"/>
          <w:rFonts w:hint="eastAsia"/>
          <w:color w:val="000000" w:themeColor="text1"/>
          <w:sz w:val="30"/>
          <w:szCs w:val="30"/>
        </w:rPr>
        <w:t>3.4</w:t>
      </w:r>
      <w:r>
        <w:rPr>
          <w:rStyle w:val="48"/>
          <w:color w:val="000000" w:themeColor="text1"/>
          <w:sz w:val="30"/>
          <w:szCs w:val="30"/>
        </w:rPr>
        <w:t>分级追责原则</w:t>
      </w:r>
      <w:r>
        <w:rPr>
          <w:color w:val="000000" w:themeColor="text1"/>
          <w:sz w:val="30"/>
          <w:szCs w:val="30"/>
        </w:rPr>
        <w:t>：</w:t>
      </w:r>
      <w:r>
        <w:rPr>
          <w:rFonts w:hint="eastAsia"/>
          <w:color w:val="000000" w:themeColor="text1"/>
          <w:sz w:val="30"/>
          <w:szCs w:val="30"/>
        </w:rPr>
        <w:t>服务</w:t>
      </w:r>
      <w:r>
        <w:rPr>
          <w:color w:val="000000" w:themeColor="text1"/>
          <w:sz w:val="30"/>
          <w:szCs w:val="30"/>
        </w:rPr>
        <w:t>个人违规追究服务商管理主体责任；管理人员包庇、失职实施加重扣分、扣罚。</w:t>
      </w:r>
    </w:p>
    <w:p w14:paraId="64801409">
      <w:pPr>
        <w:pStyle w:val="4"/>
        <w:widowControl/>
        <w:spacing w:line="560" w:lineRule="exact"/>
        <w:jc w:val="center"/>
        <w:rPr>
          <w:color w:val="000000" w:themeColor="text1"/>
          <w:sz w:val="30"/>
          <w:szCs w:val="30"/>
        </w:rPr>
      </w:pPr>
      <w:r>
        <w:rPr>
          <w:color w:val="000000" w:themeColor="text1"/>
          <w:sz w:val="30"/>
          <w:szCs w:val="30"/>
        </w:rPr>
        <w:t>第二章 人员队伍管理</w:t>
      </w:r>
    </w:p>
    <w:p w14:paraId="208D8965">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四</w:t>
      </w:r>
      <w:r>
        <w:rPr>
          <w:rStyle w:val="48"/>
          <w:color w:val="000000" w:themeColor="text1"/>
          <w:sz w:val="30"/>
          <w:szCs w:val="30"/>
        </w:rPr>
        <w:t>条 人员准入及资料报送</w:t>
      </w:r>
    </w:p>
    <w:p w14:paraId="70DC9F49">
      <w:pPr>
        <w:widowControl/>
        <w:spacing w:line="560" w:lineRule="exact"/>
        <w:ind w:firstLine="600" w:firstLineChars="200"/>
        <w:rPr>
          <w:color w:val="000000" w:themeColor="text1"/>
          <w:sz w:val="30"/>
          <w:szCs w:val="30"/>
        </w:rPr>
      </w:pPr>
      <w:r>
        <w:rPr>
          <w:rFonts w:hint="eastAsia"/>
          <w:color w:val="000000" w:themeColor="text1"/>
          <w:sz w:val="30"/>
          <w:szCs w:val="30"/>
        </w:rPr>
        <w:t>4.1</w:t>
      </w:r>
      <w:r>
        <w:rPr>
          <w:color w:val="000000" w:themeColor="text1"/>
          <w:sz w:val="30"/>
          <w:szCs w:val="30"/>
        </w:rPr>
        <w:t>服务商</w:t>
      </w:r>
      <w:r>
        <w:rPr>
          <w:rFonts w:hint="eastAsia"/>
          <w:color w:val="000000" w:themeColor="text1"/>
          <w:sz w:val="30"/>
          <w:szCs w:val="30"/>
        </w:rPr>
        <w:t>日常投入人员要相对固定，固定率在60%以上。更换人员需要提前进行岗前培训，培训合格后方可上岗</w:t>
      </w:r>
      <w:r>
        <w:rPr>
          <w:color w:val="000000" w:themeColor="text1"/>
          <w:sz w:val="30"/>
          <w:szCs w:val="30"/>
        </w:rPr>
        <w:t>。</w:t>
      </w:r>
    </w:p>
    <w:p w14:paraId="5AD7AB2E">
      <w:pPr>
        <w:widowControl/>
        <w:spacing w:line="560" w:lineRule="exact"/>
        <w:ind w:firstLine="600" w:firstLineChars="200"/>
        <w:rPr>
          <w:color w:val="000000" w:themeColor="text1"/>
          <w:sz w:val="30"/>
          <w:szCs w:val="30"/>
        </w:rPr>
      </w:pPr>
      <w:r>
        <w:rPr>
          <w:rFonts w:hint="eastAsia"/>
          <w:color w:val="000000" w:themeColor="text1"/>
          <w:sz w:val="30"/>
          <w:szCs w:val="30"/>
        </w:rPr>
        <w:t>4.2</w:t>
      </w:r>
      <w:r>
        <w:rPr>
          <w:color w:val="000000" w:themeColor="text1"/>
          <w:sz w:val="30"/>
          <w:szCs w:val="30"/>
        </w:rPr>
        <w:t>在岗人员年龄、资质必须满足合同约定；</w:t>
      </w:r>
      <w:r>
        <w:rPr>
          <w:rFonts w:hint="eastAsia"/>
          <w:color w:val="000000" w:themeColor="text1"/>
          <w:sz w:val="30"/>
          <w:szCs w:val="30"/>
        </w:rPr>
        <w:t>安保服务</w:t>
      </w:r>
      <w:r>
        <w:rPr>
          <w:color w:val="000000" w:themeColor="text1"/>
          <w:sz w:val="30"/>
          <w:szCs w:val="30"/>
        </w:rPr>
        <w:t>岗位人员必须持对应资格证书等；未经甲方书面同意，不得擅自更换</w:t>
      </w:r>
      <w:r>
        <w:rPr>
          <w:rFonts w:hint="eastAsia"/>
          <w:color w:val="000000" w:themeColor="text1"/>
          <w:sz w:val="30"/>
          <w:szCs w:val="30"/>
        </w:rPr>
        <w:t>项目经理、</w:t>
      </w:r>
      <w:r>
        <w:rPr>
          <w:color w:val="000000" w:themeColor="text1"/>
          <w:sz w:val="30"/>
          <w:szCs w:val="30"/>
        </w:rPr>
        <w:t>骨干</w:t>
      </w:r>
      <w:r>
        <w:rPr>
          <w:rFonts w:hint="eastAsia"/>
          <w:color w:val="000000" w:themeColor="text1"/>
          <w:sz w:val="30"/>
          <w:szCs w:val="30"/>
        </w:rPr>
        <w:t>等人员</w:t>
      </w:r>
      <w:r>
        <w:rPr>
          <w:color w:val="000000" w:themeColor="text1"/>
          <w:sz w:val="30"/>
          <w:szCs w:val="30"/>
        </w:rPr>
        <w:t>；多次被投诉的</w:t>
      </w:r>
      <w:r>
        <w:rPr>
          <w:rFonts w:hint="eastAsia"/>
          <w:color w:val="000000" w:themeColor="text1"/>
          <w:sz w:val="30"/>
          <w:szCs w:val="30"/>
        </w:rPr>
        <w:t>服务</w:t>
      </w:r>
      <w:r>
        <w:rPr>
          <w:color w:val="000000" w:themeColor="text1"/>
          <w:sz w:val="30"/>
          <w:szCs w:val="30"/>
        </w:rPr>
        <w:t>人员服务商必须及时调换。</w:t>
      </w:r>
    </w:p>
    <w:p w14:paraId="1ECEE0B3">
      <w:pPr>
        <w:widowControl/>
        <w:spacing w:line="560" w:lineRule="exact"/>
        <w:ind w:firstLine="600" w:firstLineChars="200"/>
        <w:rPr>
          <w:color w:val="000000" w:themeColor="text1"/>
          <w:sz w:val="30"/>
          <w:szCs w:val="30"/>
        </w:rPr>
      </w:pPr>
      <w:r>
        <w:rPr>
          <w:rFonts w:hint="eastAsia"/>
          <w:color w:val="000000" w:themeColor="text1"/>
          <w:sz w:val="30"/>
          <w:szCs w:val="30"/>
        </w:rPr>
        <w:t>4.3</w:t>
      </w:r>
      <w:r>
        <w:rPr>
          <w:color w:val="000000" w:themeColor="text1"/>
          <w:sz w:val="30"/>
          <w:szCs w:val="30"/>
        </w:rPr>
        <w:t>新入职人员必须开展岗前培训，定期组织业务培训</w:t>
      </w:r>
      <w:r>
        <w:rPr>
          <w:rFonts w:hint="eastAsia"/>
          <w:color w:val="000000" w:themeColor="text1"/>
          <w:sz w:val="30"/>
          <w:szCs w:val="30"/>
        </w:rPr>
        <w:t>等，相关</w:t>
      </w:r>
      <w:r>
        <w:rPr>
          <w:color w:val="000000" w:themeColor="text1"/>
          <w:sz w:val="30"/>
          <w:szCs w:val="30"/>
        </w:rPr>
        <w:t>台账完整留存，供甲方抽查审核。</w:t>
      </w:r>
    </w:p>
    <w:p w14:paraId="018EF678">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五</w:t>
      </w:r>
      <w:r>
        <w:rPr>
          <w:rStyle w:val="48"/>
          <w:color w:val="000000" w:themeColor="text1"/>
          <w:sz w:val="30"/>
          <w:szCs w:val="30"/>
        </w:rPr>
        <w:t>条 薪酬社保管理</w:t>
      </w:r>
    </w:p>
    <w:p w14:paraId="6491F8FD">
      <w:pPr>
        <w:widowControl/>
        <w:spacing w:line="560" w:lineRule="exact"/>
        <w:ind w:firstLine="600" w:firstLineChars="200"/>
        <w:rPr>
          <w:color w:val="000000" w:themeColor="text1"/>
          <w:sz w:val="30"/>
          <w:szCs w:val="30"/>
        </w:rPr>
      </w:pPr>
      <w:r>
        <w:rPr>
          <w:rFonts w:hint="eastAsia"/>
          <w:color w:val="000000" w:themeColor="text1"/>
          <w:sz w:val="30"/>
          <w:szCs w:val="30"/>
        </w:rPr>
        <w:t>5.1</w:t>
      </w:r>
      <w:r>
        <w:rPr>
          <w:color w:val="000000" w:themeColor="text1"/>
          <w:sz w:val="30"/>
          <w:szCs w:val="30"/>
        </w:rPr>
        <w:t>服务商依法为全部</w:t>
      </w:r>
      <w:r>
        <w:rPr>
          <w:rFonts w:hint="eastAsia"/>
          <w:color w:val="000000" w:themeColor="text1"/>
          <w:sz w:val="30"/>
          <w:szCs w:val="30"/>
        </w:rPr>
        <w:t>服务</w:t>
      </w:r>
      <w:r>
        <w:rPr>
          <w:color w:val="000000" w:themeColor="text1"/>
          <w:sz w:val="30"/>
          <w:szCs w:val="30"/>
        </w:rPr>
        <w:t>人员足额缴纳社会保险，严禁漏缴、欠缴。</w:t>
      </w:r>
    </w:p>
    <w:p w14:paraId="4F09DFDF">
      <w:pPr>
        <w:widowControl/>
        <w:spacing w:line="560" w:lineRule="exact"/>
        <w:ind w:firstLine="600" w:firstLineChars="200"/>
        <w:rPr>
          <w:color w:val="000000" w:themeColor="text1"/>
          <w:sz w:val="30"/>
          <w:szCs w:val="30"/>
        </w:rPr>
      </w:pPr>
      <w:r>
        <w:rPr>
          <w:rFonts w:hint="eastAsia"/>
          <w:color w:val="000000" w:themeColor="text1"/>
          <w:sz w:val="30"/>
          <w:szCs w:val="30"/>
        </w:rPr>
        <w:t>5.2</w:t>
      </w:r>
      <w:r>
        <w:rPr>
          <w:color w:val="000000" w:themeColor="text1"/>
          <w:sz w:val="30"/>
          <w:szCs w:val="30"/>
        </w:rPr>
        <w:t>按时足额发放</w:t>
      </w:r>
      <w:r>
        <w:rPr>
          <w:rFonts w:hint="eastAsia"/>
          <w:color w:val="000000" w:themeColor="text1"/>
          <w:sz w:val="30"/>
          <w:szCs w:val="30"/>
        </w:rPr>
        <w:t>服务</w:t>
      </w:r>
      <w:r>
        <w:rPr>
          <w:color w:val="000000" w:themeColor="text1"/>
          <w:sz w:val="30"/>
          <w:szCs w:val="30"/>
        </w:rPr>
        <w:t>人员劳动报酬，不得拖欠、克扣工资；因工资、社保问题引发信访、投诉、负面舆情，全部责任由服务商承担，并接受考核扣分与经济扣罚。</w:t>
      </w:r>
    </w:p>
    <w:p w14:paraId="48DE4AC6">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六</w:t>
      </w:r>
      <w:r>
        <w:rPr>
          <w:rStyle w:val="48"/>
          <w:color w:val="000000" w:themeColor="text1"/>
          <w:sz w:val="30"/>
          <w:szCs w:val="30"/>
        </w:rPr>
        <w:t>条 纪律底线要求</w:t>
      </w:r>
    </w:p>
    <w:p w14:paraId="12E762D4">
      <w:pPr>
        <w:widowControl/>
        <w:spacing w:line="560" w:lineRule="exact"/>
        <w:ind w:firstLine="714" w:firstLineChars="238"/>
        <w:rPr>
          <w:color w:val="000000" w:themeColor="text1"/>
          <w:sz w:val="30"/>
          <w:szCs w:val="30"/>
        </w:rPr>
      </w:pPr>
      <w:r>
        <w:rPr>
          <w:rFonts w:hint="eastAsia"/>
          <w:color w:val="000000" w:themeColor="text1"/>
          <w:sz w:val="30"/>
          <w:szCs w:val="30"/>
        </w:rPr>
        <w:t>6.1</w:t>
      </w:r>
      <w:r>
        <w:rPr>
          <w:color w:val="000000" w:themeColor="text1"/>
          <w:sz w:val="30"/>
          <w:szCs w:val="30"/>
        </w:rPr>
        <w:t>严禁</w:t>
      </w:r>
      <w:r>
        <w:rPr>
          <w:rFonts w:hint="eastAsia"/>
          <w:color w:val="000000" w:themeColor="text1"/>
          <w:sz w:val="30"/>
          <w:szCs w:val="30"/>
        </w:rPr>
        <w:t>服务</w:t>
      </w:r>
      <w:r>
        <w:rPr>
          <w:color w:val="000000" w:themeColor="text1"/>
          <w:sz w:val="30"/>
          <w:szCs w:val="30"/>
        </w:rPr>
        <w:t>人员勾结牟利</w:t>
      </w:r>
      <w:r>
        <w:rPr>
          <w:rFonts w:hint="eastAsia"/>
          <w:color w:val="000000" w:themeColor="text1"/>
          <w:sz w:val="30"/>
          <w:szCs w:val="30"/>
        </w:rPr>
        <w:t>等违反景区条例禁止的行为</w:t>
      </w:r>
      <w:r>
        <w:rPr>
          <w:color w:val="000000" w:themeColor="text1"/>
          <w:sz w:val="30"/>
          <w:szCs w:val="30"/>
        </w:rPr>
        <w:t>；严禁利用岗位便利吃拿卡要、谋取私利；严禁辱骂殴打</w:t>
      </w:r>
      <w:r>
        <w:rPr>
          <w:rFonts w:hint="eastAsia"/>
          <w:color w:val="000000" w:themeColor="text1"/>
          <w:sz w:val="30"/>
          <w:szCs w:val="30"/>
        </w:rPr>
        <w:t>游客</w:t>
      </w:r>
      <w:r>
        <w:rPr>
          <w:color w:val="000000" w:themeColor="text1"/>
          <w:sz w:val="30"/>
          <w:szCs w:val="30"/>
        </w:rPr>
        <w:t>、同事</w:t>
      </w:r>
      <w:r>
        <w:rPr>
          <w:rFonts w:hint="eastAsia"/>
          <w:color w:val="000000" w:themeColor="text1"/>
          <w:sz w:val="30"/>
          <w:szCs w:val="30"/>
        </w:rPr>
        <w:t>、</w:t>
      </w:r>
      <w:r>
        <w:rPr>
          <w:color w:val="000000" w:themeColor="text1"/>
          <w:sz w:val="30"/>
          <w:szCs w:val="30"/>
        </w:rPr>
        <w:t>管理人</w:t>
      </w:r>
      <w:r>
        <w:rPr>
          <w:rFonts w:hint="eastAsia"/>
          <w:color w:val="000000" w:themeColor="text1"/>
          <w:sz w:val="30"/>
          <w:szCs w:val="30"/>
        </w:rPr>
        <w:t>等</w:t>
      </w:r>
      <w:r>
        <w:rPr>
          <w:color w:val="000000" w:themeColor="text1"/>
          <w:sz w:val="30"/>
          <w:szCs w:val="30"/>
        </w:rPr>
        <w:t>。</w:t>
      </w:r>
    </w:p>
    <w:p w14:paraId="51C70AC6">
      <w:pPr>
        <w:widowControl/>
        <w:spacing w:line="560" w:lineRule="exact"/>
        <w:ind w:firstLine="714" w:firstLineChars="238"/>
        <w:rPr>
          <w:color w:val="000000" w:themeColor="text1"/>
          <w:sz w:val="30"/>
          <w:szCs w:val="30"/>
        </w:rPr>
      </w:pPr>
      <w:r>
        <w:rPr>
          <w:rFonts w:hint="eastAsia"/>
          <w:color w:val="000000" w:themeColor="text1"/>
          <w:sz w:val="30"/>
          <w:szCs w:val="30"/>
        </w:rPr>
        <w:t>6.2项目经理、骨干人员</w:t>
      </w:r>
      <w:r>
        <w:rPr>
          <w:color w:val="000000" w:themeColor="text1"/>
          <w:sz w:val="30"/>
          <w:szCs w:val="30"/>
        </w:rPr>
        <w:t>不得对下属违规行为隐瞒不报、包庇袒护，一经查实从重扣分追责。</w:t>
      </w:r>
    </w:p>
    <w:p w14:paraId="5BF52AC4">
      <w:pPr>
        <w:pStyle w:val="4"/>
        <w:widowControl/>
        <w:spacing w:line="560" w:lineRule="exact"/>
        <w:jc w:val="center"/>
        <w:rPr>
          <w:color w:val="000000" w:themeColor="text1"/>
          <w:sz w:val="30"/>
          <w:szCs w:val="30"/>
        </w:rPr>
      </w:pPr>
      <w:r>
        <w:rPr>
          <w:color w:val="000000" w:themeColor="text1"/>
          <w:sz w:val="30"/>
          <w:szCs w:val="30"/>
        </w:rPr>
        <w:t>第三章 勤务执勤管理</w:t>
      </w:r>
    </w:p>
    <w:p w14:paraId="67767D10">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七</w:t>
      </w:r>
      <w:r>
        <w:rPr>
          <w:rStyle w:val="48"/>
          <w:color w:val="000000" w:themeColor="text1"/>
          <w:sz w:val="30"/>
          <w:szCs w:val="30"/>
        </w:rPr>
        <w:t>条 出勤与交接班管理</w:t>
      </w:r>
    </w:p>
    <w:p w14:paraId="47A8C32D">
      <w:pPr>
        <w:widowControl/>
        <w:spacing w:line="560" w:lineRule="exact"/>
        <w:ind w:firstLine="600" w:firstLineChars="200"/>
        <w:rPr>
          <w:color w:val="000000" w:themeColor="text1"/>
          <w:sz w:val="30"/>
          <w:szCs w:val="30"/>
        </w:rPr>
      </w:pPr>
      <w:r>
        <w:rPr>
          <w:rFonts w:hint="eastAsia"/>
          <w:color w:val="000000" w:themeColor="text1"/>
          <w:sz w:val="30"/>
          <w:szCs w:val="30"/>
        </w:rPr>
        <w:t>7.1</w:t>
      </w:r>
      <w:r>
        <w:rPr>
          <w:color w:val="000000" w:themeColor="text1"/>
          <w:sz w:val="30"/>
          <w:szCs w:val="30"/>
        </w:rPr>
        <w:t>服务商严格按照合同约定岗位、人数足额安排上岗，不得擅自缩减岗位、减少执勤人员。</w:t>
      </w:r>
    </w:p>
    <w:p w14:paraId="3054728F">
      <w:pPr>
        <w:widowControl/>
        <w:spacing w:line="560" w:lineRule="exact"/>
        <w:ind w:firstLine="600" w:firstLineChars="200"/>
        <w:rPr>
          <w:color w:val="000000" w:themeColor="text1"/>
          <w:sz w:val="30"/>
          <w:szCs w:val="30"/>
        </w:rPr>
      </w:pPr>
      <w:r>
        <w:rPr>
          <w:rFonts w:hint="eastAsia"/>
          <w:color w:val="000000" w:themeColor="text1"/>
          <w:sz w:val="30"/>
          <w:szCs w:val="30"/>
        </w:rPr>
        <w:t>7.2</w:t>
      </w:r>
      <w:r>
        <w:rPr>
          <w:color w:val="000000" w:themeColor="text1"/>
          <w:sz w:val="30"/>
          <w:szCs w:val="30"/>
        </w:rPr>
        <w:t>严格落实打卡考勤、请假审批制度；严禁迟到、早退、旷工；严禁擅自脱岗、私自换岗换班；交接班准时到位，完整填写交接班记录；执勤人员按制度提前到岗做好上岗准备。</w:t>
      </w:r>
    </w:p>
    <w:p w14:paraId="32BBB04A">
      <w:pPr>
        <w:widowControl/>
        <w:spacing w:line="560" w:lineRule="exact"/>
        <w:ind w:firstLine="600" w:firstLineChars="200"/>
        <w:rPr>
          <w:color w:val="000000" w:themeColor="text1"/>
          <w:sz w:val="30"/>
          <w:szCs w:val="30"/>
        </w:rPr>
      </w:pPr>
      <w:r>
        <w:rPr>
          <w:rFonts w:hint="eastAsia"/>
          <w:color w:val="000000" w:themeColor="text1"/>
          <w:sz w:val="30"/>
          <w:szCs w:val="30"/>
        </w:rPr>
        <w:t>7.3</w:t>
      </w:r>
      <w:r>
        <w:rPr>
          <w:color w:val="000000" w:themeColor="text1"/>
          <w:sz w:val="30"/>
          <w:szCs w:val="30"/>
        </w:rPr>
        <w:t>严格执行轮换就餐、轮休制度，禁止提前离岗就餐；休息</w:t>
      </w:r>
      <w:r>
        <w:rPr>
          <w:rFonts w:hint="eastAsia"/>
          <w:color w:val="000000" w:themeColor="text1"/>
          <w:sz w:val="30"/>
          <w:szCs w:val="30"/>
        </w:rPr>
        <w:t>、用餐等</w:t>
      </w:r>
      <w:r>
        <w:rPr>
          <w:color w:val="000000" w:themeColor="text1"/>
          <w:sz w:val="30"/>
          <w:szCs w:val="30"/>
        </w:rPr>
        <w:t>必须在指定区域，工作时间禁止</w:t>
      </w:r>
      <w:r>
        <w:rPr>
          <w:rFonts w:hint="eastAsia"/>
          <w:color w:val="000000" w:themeColor="text1"/>
          <w:sz w:val="30"/>
          <w:szCs w:val="30"/>
        </w:rPr>
        <w:t>从事无关事项，一经查实</w:t>
      </w:r>
      <w:r>
        <w:rPr>
          <w:color w:val="000000" w:themeColor="text1"/>
          <w:sz w:val="30"/>
          <w:szCs w:val="30"/>
        </w:rPr>
        <w:t>扣分追责。</w:t>
      </w:r>
    </w:p>
    <w:p w14:paraId="6566E6A4">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八</w:t>
      </w:r>
      <w:r>
        <w:rPr>
          <w:rStyle w:val="48"/>
          <w:color w:val="000000" w:themeColor="text1"/>
          <w:sz w:val="30"/>
          <w:szCs w:val="30"/>
        </w:rPr>
        <w:t>条 仪容仪表与在岗行为</w:t>
      </w:r>
    </w:p>
    <w:p w14:paraId="37AB00AA">
      <w:pPr>
        <w:widowControl/>
        <w:spacing w:line="560" w:lineRule="exact"/>
        <w:ind w:firstLine="600" w:firstLineChars="200"/>
        <w:rPr>
          <w:color w:val="000000" w:themeColor="text1"/>
          <w:sz w:val="30"/>
          <w:szCs w:val="30"/>
        </w:rPr>
      </w:pPr>
      <w:r>
        <w:rPr>
          <w:rFonts w:hint="eastAsia"/>
          <w:color w:val="000000" w:themeColor="text1"/>
          <w:sz w:val="30"/>
          <w:szCs w:val="30"/>
        </w:rPr>
        <w:t>8.1</w:t>
      </w:r>
      <w:r>
        <w:rPr>
          <w:color w:val="000000" w:themeColor="text1"/>
          <w:sz w:val="30"/>
          <w:szCs w:val="30"/>
        </w:rPr>
        <w:t>上岗按规定穿着制服、佩戴标识，落实各岗位特殊着装要求，保持仪容仪态整洁。巡逻电动车、对讲机、执法记录仪等执勤装备规范使用，定期清洁保养。</w:t>
      </w:r>
    </w:p>
    <w:p w14:paraId="3645407E">
      <w:pPr>
        <w:widowControl/>
        <w:spacing w:line="560" w:lineRule="exact"/>
        <w:ind w:firstLine="600" w:firstLineChars="200"/>
        <w:rPr>
          <w:color w:val="000000" w:themeColor="text1"/>
          <w:sz w:val="30"/>
          <w:szCs w:val="30"/>
        </w:rPr>
      </w:pPr>
      <w:r>
        <w:rPr>
          <w:rFonts w:hint="eastAsia"/>
          <w:color w:val="000000" w:themeColor="text1"/>
          <w:sz w:val="30"/>
          <w:szCs w:val="30"/>
        </w:rPr>
        <w:t>8.2</w:t>
      </w:r>
      <w:r>
        <w:rPr>
          <w:color w:val="000000" w:themeColor="text1"/>
          <w:sz w:val="30"/>
          <w:szCs w:val="30"/>
        </w:rPr>
        <w:t>在岗期间禁止玩手机、串岗、闲聊、吸烟等与工作无关行为；做到文明执勤，耐心答复群众咨询求助。</w:t>
      </w:r>
    </w:p>
    <w:p w14:paraId="19C7E73C">
      <w:pPr>
        <w:widowControl/>
        <w:spacing w:line="560" w:lineRule="exact"/>
        <w:ind w:firstLine="600" w:firstLineChars="200"/>
        <w:rPr>
          <w:color w:val="000000" w:themeColor="text1"/>
          <w:sz w:val="30"/>
          <w:szCs w:val="30"/>
        </w:rPr>
      </w:pPr>
      <w:r>
        <w:rPr>
          <w:rFonts w:hint="eastAsia"/>
          <w:color w:val="000000" w:themeColor="text1"/>
          <w:sz w:val="30"/>
          <w:szCs w:val="30"/>
        </w:rPr>
        <w:t>8.3</w:t>
      </w:r>
      <w:r>
        <w:rPr>
          <w:color w:val="000000" w:themeColor="text1"/>
          <w:sz w:val="30"/>
          <w:szCs w:val="30"/>
        </w:rPr>
        <w:t>服从甲方现场管理指令，积极完成联合执法、会议保障、重大活动安保等任务，无正当理由不得拒绝执行工作安排。</w:t>
      </w:r>
    </w:p>
    <w:p w14:paraId="24FEAAE3">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九</w:t>
      </w:r>
      <w:r>
        <w:rPr>
          <w:rStyle w:val="48"/>
          <w:color w:val="000000" w:themeColor="text1"/>
          <w:sz w:val="30"/>
          <w:szCs w:val="30"/>
        </w:rPr>
        <w:t>条 巡逻排查与现场处置</w:t>
      </w:r>
    </w:p>
    <w:p w14:paraId="58EE81E2">
      <w:pPr>
        <w:widowControl/>
        <w:spacing w:line="560" w:lineRule="exact"/>
        <w:ind w:firstLine="600" w:firstLineChars="200"/>
        <w:rPr>
          <w:color w:val="000000" w:themeColor="text1"/>
          <w:sz w:val="30"/>
          <w:szCs w:val="30"/>
        </w:rPr>
      </w:pPr>
      <w:r>
        <w:rPr>
          <w:rFonts w:hint="eastAsia" w:cstheme="minorBidi"/>
          <w:color w:val="000000" w:themeColor="text1"/>
          <w:sz w:val="30"/>
          <w:szCs w:val="30"/>
        </w:rPr>
        <w:t>9.1</w:t>
      </w:r>
      <w:r>
        <w:rPr>
          <w:color w:val="000000" w:themeColor="text1"/>
          <w:sz w:val="30"/>
          <w:szCs w:val="30"/>
        </w:rPr>
        <w:t>实常态化巡逻，发现</w:t>
      </w:r>
      <w:r>
        <w:rPr>
          <w:rFonts w:hint="eastAsia"/>
          <w:color w:val="000000" w:themeColor="text1"/>
          <w:sz w:val="30"/>
          <w:szCs w:val="30"/>
        </w:rPr>
        <w:t>问题</w:t>
      </w:r>
      <w:r>
        <w:rPr>
          <w:color w:val="000000" w:themeColor="text1"/>
          <w:sz w:val="30"/>
          <w:szCs w:val="30"/>
        </w:rPr>
        <w:t>第一时间上报并做好先期处置。</w:t>
      </w:r>
    </w:p>
    <w:p w14:paraId="50F99683">
      <w:pPr>
        <w:widowControl/>
        <w:spacing w:line="560" w:lineRule="exact"/>
        <w:ind w:firstLine="600" w:firstLineChars="200"/>
        <w:rPr>
          <w:color w:val="000000" w:themeColor="text1"/>
          <w:sz w:val="30"/>
          <w:szCs w:val="30"/>
        </w:rPr>
      </w:pPr>
      <w:r>
        <w:rPr>
          <w:rFonts w:hint="eastAsia" w:cstheme="minorBidi"/>
          <w:color w:val="000000" w:themeColor="text1"/>
          <w:sz w:val="30"/>
          <w:szCs w:val="30"/>
        </w:rPr>
        <w:t>9.2</w:t>
      </w:r>
      <w:r>
        <w:rPr>
          <w:color w:val="000000" w:themeColor="text1"/>
          <w:sz w:val="30"/>
          <w:szCs w:val="30"/>
        </w:rPr>
        <w:t>及时劝阻未经许可拉横幅、非法宣传等意识形态风险行为并上报；及时劝阻违规摆摊、采摘、乞讨等不文明现象。</w:t>
      </w:r>
    </w:p>
    <w:p w14:paraId="12101083">
      <w:pPr>
        <w:widowControl/>
        <w:spacing w:line="560" w:lineRule="exact"/>
        <w:ind w:firstLine="600" w:firstLineChars="200"/>
        <w:rPr>
          <w:color w:val="000000" w:themeColor="text1"/>
          <w:sz w:val="30"/>
          <w:szCs w:val="30"/>
        </w:rPr>
      </w:pPr>
      <w:r>
        <w:rPr>
          <w:rFonts w:hint="eastAsia" w:cstheme="minorBidi"/>
          <w:color w:val="000000" w:themeColor="text1"/>
          <w:sz w:val="30"/>
          <w:szCs w:val="30"/>
        </w:rPr>
        <w:t>9.3</w:t>
      </w:r>
      <w:r>
        <w:rPr>
          <w:rFonts w:hint="eastAsia"/>
          <w:color w:val="000000" w:themeColor="text1"/>
          <w:sz w:val="30"/>
          <w:szCs w:val="30"/>
        </w:rPr>
        <w:t>卡口</w:t>
      </w:r>
      <w:r>
        <w:rPr>
          <w:color w:val="000000" w:themeColor="text1"/>
          <w:sz w:val="30"/>
          <w:szCs w:val="30"/>
        </w:rPr>
        <w:t>人员</w:t>
      </w:r>
      <w:r>
        <w:rPr>
          <w:rFonts w:hint="eastAsia"/>
          <w:color w:val="000000" w:themeColor="text1"/>
          <w:sz w:val="30"/>
          <w:szCs w:val="30"/>
        </w:rPr>
        <w:t>落实</w:t>
      </w:r>
      <w:r>
        <w:rPr>
          <w:color w:val="000000" w:themeColor="text1"/>
          <w:sz w:val="30"/>
          <w:szCs w:val="30"/>
        </w:rPr>
        <w:t>车辆</w:t>
      </w:r>
      <w:r>
        <w:rPr>
          <w:rFonts w:hint="eastAsia"/>
          <w:color w:val="000000" w:themeColor="text1"/>
          <w:sz w:val="30"/>
          <w:szCs w:val="30"/>
        </w:rPr>
        <w:t>进</w:t>
      </w:r>
      <w:r>
        <w:rPr>
          <w:color w:val="000000" w:themeColor="text1"/>
          <w:sz w:val="30"/>
          <w:szCs w:val="30"/>
        </w:rPr>
        <w:t>入查验；节假日、大型活动要做好人流疏导管控。</w:t>
      </w:r>
    </w:p>
    <w:p w14:paraId="0D561ACE">
      <w:pPr>
        <w:widowControl/>
        <w:spacing w:line="560" w:lineRule="exact"/>
        <w:ind w:firstLine="600" w:firstLineChars="200"/>
        <w:rPr>
          <w:color w:val="000000" w:themeColor="text1"/>
          <w:sz w:val="30"/>
          <w:szCs w:val="30"/>
        </w:rPr>
      </w:pPr>
      <w:r>
        <w:rPr>
          <w:rFonts w:hint="eastAsia" w:cstheme="minorBidi"/>
          <w:color w:val="000000" w:themeColor="text1"/>
          <w:sz w:val="30"/>
          <w:szCs w:val="30"/>
        </w:rPr>
        <w:t>9.4</w:t>
      </w:r>
      <w:r>
        <w:rPr>
          <w:color w:val="000000" w:themeColor="text1"/>
          <w:sz w:val="30"/>
          <w:szCs w:val="30"/>
        </w:rPr>
        <w:t>电动巡逻车辆严格遵守交通、充电管理规定；执勤装备人为损坏、遗失由服务商照价赔偿。</w:t>
      </w:r>
    </w:p>
    <w:p w14:paraId="3B4F0091">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第十条 突发事件应急处置</w:t>
      </w:r>
    </w:p>
    <w:p w14:paraId="60D58933">
      <w:pPr>
        <w:widowControl/>
        <w:spacing w:line="560" w:lineRule="exact"/>
        <w:ind w:firstLine="600" w:firstLineChars="200"/>
        <w:rPr>
          <w:color w:val="000000" w:themeColor="text1"/>
          <w:sz w:val="30"/>
          <w:szCs w:val="30"/>
        </w:rPr>
      </w:pPr>
      <w:r>
        <w:rPr>
          <w:rFonts w:hint="eastAsia"/>
          <w:color w:val="000000" w:themeColor="text1"/>
          <w:sz w:val="30"/>
          <w:szCs w:val="30"/>
        </w:rPr>
        <w:t>10.1</w:t>
      </w:r>
      <w:r>
        <w:rPr>
          <w:color w:val="000000" w:themeColor="text1"/>
          <w:sz w:val="30"/>
          <w:szCs w:val="30"/>
        </w:rPr>
        <w:t>服务商必须编制突发事件应急处置预案，定期组织应急演练。</w:t>
      </w:r>
    </w:p>
    <w:p w14:paraId="7AFD5126">
      <w:pPr>
        <w:widowControl/>
        <w:spacing w:line="560" w:lineRule="exact"/>
        <w:ind w:firstLine="600" w:firstLineChars="200"/>
        <w:rPr>
          <w:color w:val="000000" w:themeColor="text1"/>
          <w:sz w:val="30"/>
          <w:szCs w:val="30"/>
        </w:rPr>
      </w:pPr>
      <w:r>
        <w:rPr>
          <w:rFonts w:hint="eastAsia"/>
          <w:color w:val="000000" w:themeColor="text1"/>
          <w:sz w:val="30"/>
          <w:szCs w:val="30"/>
        </w:rPr>
        <w:t>10.2</w:t>
      </w:r>
      <w:r>
        <w:rPr>
          <w:color w:val="000000" w:themeColor="text1"/>
          <w:sz w:val="30"/>
          <w:szCs w:val="30"/>
        </w:rPr>
        <w:t>发生险情、治安案件、群体性事件、安全事故，</w:t>
      </w:r>
      <w:r>
        <w:rPr>
          <w:rFonts w:hint="eastAsia"/>
          <w:color w:val="000000" w:themeColor="text1"/>
          <w:sz w:val="30"/>
          <w:szCs w:val="30"/>
        </w:rPr>
        <w:t>现场服务</w:t>
      </w:r>
      <w:r>
        <w:rPr>
          <w:color w:val="000000" w:themeColor="text1"/>
          <w:sz w:val="30"/>
          <w:szCs w:val="30"/>
        </w:rPr>
        <w:t>人员应当第一时间上报、先期处置、保护现场；重大隐患、突发险情严禁迟报、瞒报、处置不力。</w:t>
      </w:r>
    </w:p>
    <w:p w14:paraId="631F2706">
      <w:pPr>
        <w:pStyle w:val="4"/>
        <w:widowControl/>
        <w:spacing w:line="560" w:lineRule="exact"/>
        <w:jc w:val="center"/>
        <w:rPr>
          <w:color w:val="000000" w:themeColor="text1"/>
          <w:sz w:val="30"/>
          <w:szCs w:val="30"/>
        </w:rPr>
      </w:pPr>
      <w:r>
        <w:rPr>
          <w:color w:val="000000" w:themeColor="text1"/>
          <w:sz w:val="30"/>
          <w:szCs w:val="30"/>
        </w:rPr>
        <w:t>第四章 考核方式、计分规则与实施</w:t>
      </w:r>
    </w:p>
    <w:p w14:paraId="3D28F3B6">
      <w:pPr>
        <w:pStyle w:val="5"/>
        <w:widowControl/>
        <w:spacing w:line="560" w:lineRule="exact"/>
        <w:ind w:firstLine="602" w:firstLineChars="200"/>
        <w:rPr>
          <w:color w:val="000000" w:themeColor="text1"/>
          <w:sz w:val="30"/>
          <w:szCs w:val="30"/>
        </w:rPr>
      </w:pPr>
      <w:r>
        <w:rPr>
          <w:color w:val="000000" w:themeColor="text1"/>
          <w:sz w:val="30"/>
          <w:szCs w:val="30"/>
        </w:rPr>
        <w:t>第</w:t>
      </w:r>
      <w:r>
        <w:rPr>
          <w:rFonts w:hint="eastAsia"/>
          <w:color w:val="000000" w:themeColor="text1"/>
          <w:sz w:val="30"/>
          <w:szCs w:val="30"/>
        </w:rPr>
        <w:t>十一</w:t>
      </w:r>
      <w:r>
        <w:rPr>
          <w:color w:val="000000" w:themeColor="text1"/>
          <w:sz w:val="30"/>
          <w:szCs w:val="30"/>
        </w:rPr>
        <w:t>条 考核方式与计算公式</w:t>
      </w:r>
    </w:p>
    <w:p w14:paraId="671A617C">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11</w:t>
      </w:r>
      <w:r>
        <w:rPr>
          <w:color w:val="000000" w:themeColor="text1"/>
          <w:sz w:val="30"/>
          <w:szCs w:val="30"/>
        </w:rPr>
        <w:t>.1 基本公式</w:t>
      </w:r>
      <w:r>
        <w:rPr>
          <w:rFonts w:hint="eastAsia"/>
          <w:color w:val="000000" w:themeColor="text1"/>
          <w:sz w:val="30"/>
          <w:szCs w:val="30"/>
        </w:rPr>
        <w:t xml:space="preserve">  </w:t>
      </w:r>
      <w:r>
        <w:rPr>
          <w:rStyle w:val="48"/>
          <w:rFonts w:hint="eastAsia" w:cs="宋体"/>
          <w:color w:val="000000" w:themeColor="text1"/>
          <w:sz w:val="30"/>
          <w:szCs w:val="30"/>
        </w:rPr>
        <w:t>月度考核综合得分 = 日常考核得分 × 50% + 月度考核得分 × 50% +（−）专项考核分</w:t>
      </w:r>
    </w:p>
    <w:p w14:paraId="7A1AC01D">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11</w:t>
      </w:r>
      <w:r>
        <w:rPr>
          <w:color w:val="000000" w:themeColor="text1"/>
          <w:sz w:val="30"/>
          <w:szCs w:val="30"/>
        </w:rPr>
        <w:t>.2 得分构成</w:t>
      </w:r>
    </w:p>
    <w:p w14:paraId="6F491237">
      <w:pPr>
        <w:widowControl/>
        <w:numPr>
          <w:ilvl w:val="0"/>
          <w:numId w:val="9"/>
        </w:numPr>
        <w:spacing w:line="560" w:lineRule="exact"/>
        <w:ind w:firstLine="602" w:firstLineChars="200"/>
        <w:rPr>
          <w:color w:val="000000" w:themeColor="text1"/>
          <w:sz w:val="30"/>
          <w:szCs w:val="30"/>
        </w:rPr>
      </w:pPr>
      <w:r>
        <w:rPr>
          <w:rStyle w:val="48"/>
          <w:color w:val="000000" w:themeColor="text1"/>
          <w:sz w:val="30"/>
          <w:szCs w:val="30"/>
        </w:rPr>
        <w:t>日常考核得分 = 督查部门考核得分 × 50% + 现场管理部门考核得分 × 50%</w:t>
      </w:r>
      <w:r>
        <w:rPr>
          <w:color w:val="000000" w:themeColor="text1"/>
          <w:sz w:val="30"/>
          <w:szCs w:val="30"/>
        </w:rPr>
        <w:t xml:space="preserve"> 日常考核来源于每日、不定期巡查抽查问题，按《</w:t>
      </w:r>
      <w:r>
        <w:rPr>
          <w:rFonts w:hint="eastAsia"/>
          <w:color w:val="000000" w:themeColor="text1"/>
          <w:sz w:val="30"/>
          <w:szCs w:val="30"/>
        </w:rPr>
        <w:t>附件1</w:t>
      </w:r>
      <w:r>
        <w:rPr>
          <w:color w:val="000000" w:themeColor="text1"/>
          <w:sz w:val="30"/>
          <w:szCs w:val="30"/>
        </w:rPr>
        <w:t>服务细化考核处罚规则》进行逐次扣分，实行百分制。</w:t>
      </w:r>
    </w:p>
    <w:p w14:paraId="614CC795">
      <w:pPr>
        <w:widowControl/>
        <w:numPr>
          <w:ilvl w:val="0"/>
          <w:numId w:val="9"/>
        </w:numPr>
        <w:spacing w:line="560" w:lineRule="exact"/>
        <w:ind w:firstLine="602" w:firstLineChars="200"/>
        <w:rPr>
          <w:color w:val="000000" w:themeColor="text1"/>
          <w:sz w:val="30"/>
          <w:szCs w:val="30"/>
        </w:rPr>
      </w:pPr>
      <w:r>
        <w:rPr>
          <w:rStyle w:val="48"/>
          <w:color w:val="000000" w:themeColor="text1"/>
          <w:sz w:val="30"/>
          <w:szCs w:val="30"/>
        </w:rPr>
        <w:t>月度考核得分</w:t>
      </w:r>
      <w:r>
        <w:rPr>
          <w:color w:val="000000" w:themeColor="text1"/>
          <w:sz w:val="30"/>
          <w:szCs w:val="30"/>
        </w:rPr>
        <w:t>：对照《</w:t>
      </w:r>
      <w:r>
        <w:rPr>
          <w:rFonts w:hint="eastAsia"/>
          <w:color w:val="000000" w:themeColor="text1"/>
          <w:sz w:val="30"/>
          <w:szCs w:val="30"/>
        </w:rPr>
        <w:t>附件1</w:t>
      </w:r>
      <w:r>
        <w:rPr>
          <w:color w:val="000000" w:themeColor="text1"/>
          <w:sz w:val="30"/>
          <w:szCs w:val="30"/>
        </w:rPr>
        <w:t>服务细化考核处罚规则》开展全覆盖月度考评，百分制。单项扣分不设下限，月度考核得分最低为</w:t>
      </w:r>
      <w:r>
        <w:rPr>
          <w:rStyle w:val="48"/>
          <w:color w:val="000000" w:themeColor="text1"/>
          <w:sz w:val="30"/>
          <w:szCs w:val="30"/>
        </w:rPr>
        <w:t>0 分</w:t>
      </w:r>
      <w:r>
        <w:rPr>
          <w:color w:val="000000" w:themeColor="text1"/>
          <w:sz w:val="30"/>
          <w:szCs w:val="30"/>
        </w:rPr>
        <w:t>，不得出现负分。</w:t>
      </w:r>
    </w:p>
    <w:p w14:paraId="599185DB">
      <w:pPr>
        <w:widowControl/>
        <w:numPr>
          <w:ilvl w:val="0"/>
          <w:numId w:val="9"/>
        </w:numPr>
        <w:spacing w:line="560" w:lineRule="exact"/>
        <w:ind w:firstLine="602" w:firstLineChars="200"/>
        <w:rPr>
          <w:color w:val="000000" w:themeColor="text1"/>
          <w:sz w:val="30"/>
          <w:szCs w:val="30"/>
        </w:rPr>
      </w:pPr>
      <w:r>
        <w:rPr>
          <w:rStyle w:val="48"/>
          <w:color w:val="000000" w:themeColor="text1"/>
          <w:sz w:val="30"/>
          <w:szCs w:val="30"/>
        </w:rPr>
        <w:t>专项考核分</w:t>
      </w:r>
      <w:r>
        <w:rPr>
          <w:color w:val="000000" w:themeColor="text1"/>
          <w:sz w:val="30"/>
          <w:szCs w:val="30"/>
        </w:rPr>
        <w:t>：为直接加减分，不参与权重折算，直接代数计入综合得分；单次加分上限 10 分，单次扣分无下限。</w:t>
      </w:r>
    </w:p>
    <w:p w14:paraId="3EC8FD86">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11</w:t>
      </w:r>
      <w:r>
        <w:rPr>
          <w:color w:val="000000" w:themeColor="text1"/>
          <w:sz w:val="30"/>
          <w:szCs w:val="30"/>
        </w:rPr>
        <w:t>.3 考核等次划分</w:t>
      </w:r>
    </w:p>
    <w:tbl>
      <w:tblPr>
        <w:tblStyle w:val="45"/>
        <w:tblW w:w="9050"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401"/>
        <w:gridCol w:w="4649"/>
      </w:tblGrid>
      <w:tr w14:paraId="16D4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4" w:hRule="atLeast"/>
          <w:tblHeader/>
          <w:tblCellSpacing w:w="15" w:type="dxa"/>
        </w:trPr>
        <w:tc>
          <w:tcPr>
            <w:tcW w:w="4356" w:type="dxa"/>
            <w:vAlign w:val="center"/>
          </w:tcPr>
          <w:p w14:paraId="3FB2C4C9">
            <w:pPr>
              <w:widowControl/>
              <w:spacing w:line="560" w:lineRule="exact"/>
              <w:ind w:firstLine="602" w:firstLineChars="200"/>
              <w:jc w:val="center"/>
              <w:rPr>
                <w:b/>
                <w:bCs/>
                <w:color w:val="000000" w:themeColor="text1"/>
                <w:sz w:val="30"/>
                <w:szCs w:val="30"/>
              </w:rPr>
            </w:pPr>
            <w:r>
              <w:rPr>
                <w:rFonts w:ascii="宋体" w:hAnsi="宋体" w:cs="宋体"/>
                <w:b/>
                <w:bCs/>
                <w:color w:val="000000" w:themeColor="text1"/>
                <w:kern w:val="0"/>
                <w:sz w:val="30"/>
                <w:szCs w:val="30"/>
                <w:lang w:bidi="ar"/>
              </w:rPr>
              <w:t>综合得分</w:t>
            </w:r>
          </w:p>
        </w:tc>
        <w:tc>
          <w:tcPr>
            <w:tcW w:w="4604" w:type="dxa"/>
            <w:vAlign w:val="center"/>
          </w:tcPr>
          <w:p w14:paraId="48343B52">
            <w:pPr>
              <w:widowControl/>
              <w:spacing w:line="560" w:lineRule="exact"/>
              <w:ind w:firstLine="602" w:firstLineChars="200"/>
              <w:jc w:val="center"/>
              <w:rPr>
                <w:b/>
                <w:bCs/>
                <w:color w:val="000000" w:themeColor="text1"/>
                <w:sz w:val="30"/>
                <w:szCs w:val="30"/>
              </w:rPr>
            </w:pPr>
            <w:r>
              <w:rPr>
                <w:rFonts w:ascii="宋体" w:hAnsi="宋体" w:cs="宋体"/>
                <w:b/>
                <w:bCs/>
                <w:color w:val="000000" w:themeColor="text1"/>
                <w:kern w:val="0"/>
                <w:sz w:val="30"/>
                <w:szCs w:val="30"/>
                <w:lang w:bidi="ar"/>
              </w:rPr>
              <w:t>考核等次</w:t>
            </w:r>
          </w:p>
        </w:tc>
      </w:tr>
      <w:tr w14:paraId="39BB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8" w:hRule="atLeast"/>
          <w:tblCellSpacing w:w="15" w:type="dxa"/>
        </w:trPr>
        <w:tc>
          <w:tcPr>
            <w:tcW w:w="4356" w:type="dxa"/>
            <w:vAlign w:val="center"/>
          </w:tcPr>
          <w:p w14:paraId="73240681">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90</w:t>
            </w:r>
            <w:r>
              <w:rPr>
                <w:rFonts w:ascii="宋体" w:hAnsi="宋体" w:cs="宋体"/>
                <w:color w:val="000000" w:themeColor="text1"/>
                <w:kern w:val="0"/>
                <w:sz w:val="30"/>
                <w:szCs w:val="30"/>
                <w:lang w:bidi="ar"/>
              </w:rPr>
              <w:noBreakHyphen/>
            </w:r>
            <w:r>
              <w:rPr>
                <w:rFonts w:ascii="宋体" w:hAnsi="宋体" w:cs="宋体"/>
                <w:color w:val="000000" w:themeColor="text1"/>
                <w:kern w:val="0"/>
                <w:sz w:val="30"/>
                <w:szCs w:val="30"/>
                <w:lang w:bidi="ar"/>
              </w:rPr>
              <w:t>100 分</w:t>
            </w:r>
          </w:p>
        </w:tc>
        <w:tc>
          <w:tcPr>
            <w:tcW w:w="4604" w:type="dxa"/>
            <w:vAlign w:val="center"/>
          </w:tcPr>
          <w:p w14:paraId="481A7308">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优秀</w:t>
            </w:r>
          </w:p>
        </w:tc>
      </w:tr>
      <w:tr w14:paraId="242D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8" w:hRule="atLeast"/>
          <w:tblCellSpacing w:w="15" w:type="dxa"/>
        </w:trPr>
        <w:tc>
          <w:tcPr>
            <w:tcW w:w="4356" w:type="dxa"/>
            <w:vAlign w:val="center"/>
          </w:tcPr>
          <w:p w14:paraId="753E5D7D">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80</w:t>
            </w:r>
            <w:r>
              <w:rPr>
                <w:rFonts w:ascii="宋体" w:hAnsi="宋体" w:cs="宋体"/>
                <w:color w:val="000000" w:themeColor="text1"/>
                <w:kern w:val="0"/>
                <w:sz w:val="30"/>
                <w:szCs w:val="30"/>
                <w:lang w:bidi="ar"/>
              </w:rPr>
              <w:noBreakHyphen/>
            </w:r>
            <w:r>
              <w:rPr>
                <w:rFonts w:ascii="宋体" w:hAnsi="宋体" w:cs="宋体"/>
                <w:color w:val="000000" w:themeColor="text1"/>
                <w:kern w:val="0"/>
                <w:sz w:val="30"/>
                <w:szCs w:val="30"/>
                <w:lang w:bidi="ar"/>
              </w:rPr>
              <w:t>89 分</w:t>
            </w:r>
          </w:p>
        </w:tc>
        <w:tc>
          <w:tcPr>
            <w:tcW w:w="4604" w:type="dxa"/>
            <w:vAlign w:val="center"/>
          </w:tcPr>
          <w:p w14:paraId="7495716E">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良好</w:t>
            </w:r>
          </w:p>
        </w:tc>
      </w:tr>
      <w:tr w14:paraId="619C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4" w:hRule="atLeast"/>
          <w:tblCellSpacing w:w="15" w:type="dxa"/>
        </w:trPr>
        <w:tc>
          <w:tcPr>
            <w:tcW w:w="4356" w:type="dxa"/>
            <w:vAlign w:val="center"/>
          </w:tcPr>
          <w:p w14:paraId="7DDD9113">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80 分以下</w:t>
            </w:r>
          </w:p>
        </w:tc>
        <w:tc>
          <w:tcPr>
            <w:tcW w:w="4604" w:type="dxa"/>
            <w:vAlign w:val="center"/>
          </w:tcPr>
          <w:p w14:paraId="38139085">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不合格</w:t>
            </w:r>
          </w:p>
        </w:tc>
      </w:tr>
    </w:tbl>
    <w:p w14:paraId="3C91059E">
      <w:pPr>
        <w:pStyle w:val="5"/>
        <w:widowControl/>
        <w:spacing w:line="560" w:lineRule="exact"/>
        <w:ind w:firstLine="602" w:firstLineChars="200"/>
        <w:rPr>
          <w:color w:val="000000" w:themeColor="text1"/>
          <w:sz w:val="30"/>
          <w:szCs w:val="30"/>
        </w:rPr>
      </w:pPr>
      <w:r>
        <w:rPr>
          <w:color w:val="000000" w:themeColor="text1"/>
          <w:sz w:val="30"/>
          <w:szCs w:val="30"/>
        </w:rPr>
        <w:t>第</w:t>
      </w:r>
      <w:r>
        <w:rPr>
          <w:rFonts w:hint="eastAsia"/>
          <w:color w:val="000000" w:themeColor="text1"/>
          <w:sz w:val="30"/>
          <w:szCs w:val="30"/>
        </w:rPr>
        <w:t>十二</w:t>
      </w:r>
      <w:r>
        <w:rPr>
          <w:color w:val="000000" w:themeColor="text1"/>
          <w:sz w:val="30"/>
          <w:szCs w:val="30"/>
        </w:rPr>
        <w:t>条 考核实施</w:t>
      </w:r>
    </w:p>
    <w:p w14:paraId="22915218">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12</w:t>
      </w:r>
      <w:r>
        <w:rPr>
          <w:color w:val="000000" w:themeColor="text1"/>
          <w:sz w:val="30"/>
          <w:szCs w:val="30"/>
        </w:rPr>
        <w:t xml:space="preserve">.1 </w:t>
      </w:r>
      <w:r>
        <w:rPr>
          <w:rStyle w:val="48"/>
          <w:color w:val="000000" w:themeColor="text1"/>
          <w:sz w:val="30"/>
          <w:szCs w:val="30"/>
        </w:rPr>
        <w:t>日常考核</w:t>
      </w:r>
      <w:r>
        <w:rPr>
          <w:color w:val="000000" w:themeColor="text1"/>
          <w:sz w:val="30"/>
          <w:szCs w:val="30"/>
        </w:rPr>
        <w:t xml:space="preserve"> 采取现场</w:t>
      </w:r>
      <w:r>
        <w:rPr>
          <w:rFonts w:hint="eastAsia"/>
          <w:color w:val="000000" w:themeColor="text1"/>
          <w:sz w:val="30"/>
          <w:szCs w:val="30"/>
        </w:rPr>
        <w:t>检查</w:t>
      </w:r>
      <w:r>
        <w:rPr>
          <w:color w:val="000000" w:themeColor="text1"/>
          <w:sz w:val="30"/>
          <w:szCs w:val="30"/>
        </w:rPr>
        <w:t>、随机抽查、</w:t>
      </w:r>
      <w:r>
        <w:rPr>
          <w:rFonts w:hint="eastAsia"/>
          <w:color w:val="000000" w:themeColor="text1"/>
          <w:sz w:val="30"/>
          <w:szCs w:val="30"/>
        </w:rPr>
        <w:t>监控</w:t>
      </w:r>
      <w:r>
        <w:rPr>
          <w:color w:val="000000" w:themeColor="text1"/>
          <w:sz w:val="30"/>
          <w:szCs w:val="30"/>
        </w:rPr>
        <w:t>视频</w:t>
      </w:r>
      <w:r>
        <w:rPr>
          <w:rFonts w:hint="eastAsia"/>
          <w:color w:val="000000" w:themeColor="text1"/>
          <w:sz w:val="30"/>
          <w:szCs w:val="30"/>
        </w:rPr>
        <w:t>检</w:t>
      </w:r>
      <w:r>
        <w:rPr>
          <w:color w:val="000000" w:themeColor="text1"/>
          <w:sz w:val="30"/>
          <w:szCs w:val="30"/>
        </w:rPr>
        <w:t>查、</w:t>
      </w:r>
      <w:r>
        <w:rPr>
          <w:rFonts w:hint="eastAsia"/>
          <w:color w:val="000000" w:themeColor="text1"/>
          <w:sz w:val="30"/>
          <w:szCs w:val="30"/>
        </w:rPr>
        <w:t>投诉核查、舆情核查、</w:t>
      </w:r>
      <w:r>
        <w:rPr>
          <w:color w:val="000000" w:themeColor="text1"/>
          <w:sz w:val="30"/>
          <w:szCs w:val="30"/>
        </w:rPr>
        <w:t>数字化管理平台问题派单等方式开展。</w:t>
      </w:r>
    </w:p>
    <w:p w14:paraId="3C073870">
      <w:pPr>
        <w:widowControl/>
        <w:numPr>
          <w:ilvl w:val="0"/>
          <w:numId w:val="10"/>
        </w:numPr>
        <w:spacing w:line="560" w:lineRule="exact"/>
        <w:ind w:firstLine="600" w:firstLineChars="200"/>
        <w:rPr>
          <w:color w:val="000000" w:themeColor="text1"/>
          <w:sz w:val="30"/>
          <w:szCs w:val="30"/>
        </w:rPr>
      </w:pPr>
      <w:r>
        <w:rPr>
          <w:color w:val="000000" w:themeColor="text1"/>
          <w:sz w:val="30"/>
          <w:szCs w:val="30"/>
        </w:rPr>
        <w:t>检查发现问题即时告知服务商，明确整改事项、整改时限；</w:t>
      </w:r>
    </w:p>
    <w:p w14:paraId="7C0CF2BB">
      <w:pPr>
        <w:widowControl/>
        <w:numPr>
          <w:ilvl w:val="0"/>
          <w:numId w:val="10"/>
        </w:numPr>
        <w:spacing w:line="560" w:lineRule="exact"/>
        <w:ind w:firstLine="600" w:firstLineChars="200"/>
        <w:rPr>
          <w:color w:val="000000" w:themeColor="text1"/>
          <w:sz w:val="30"/>
          <w:szCs w:val="30"/>
        </w:rPr>
      </w:pPr>
      <w:r>
        <w:rPr>
          <w:color w:val="000000" w:themeColor="text1"/>
          <w:sz w:val="30"/>
          <w:szCs w:val="30"/>
        </w:rPr>
        <w:t>服务商须在规定时限完成整改并提交整改佐证材料；</w:t>
      </w:r>
    </w:p>
    <w:p w14:paraId="17C8EC2B">
      <w:pPr>
        <w:widowControl/>
        <w:numPr>
          <w:ilvl w:val="0"/>
          <w:numId w:val="10"/>
        </w:numPr>
        <w:spacing w:line="560" w:lineRule="exact"/>
        <w:ind w:firstLine="600" w:firstLineChars="200"/>
        <w:rPr>
          <w:color w:val="000000" w:themeColor="text1"/>
          <w:sz w:val="30"/>
          <w:szCs w:val="30"/>
        </w:rPr>
      </w:pPr>
      <w:r>
        <w:rPr>
          <w:color w:val="000000" w:themeColor="text1"/>
          <w:sz w:val="30"/>
          <w:szCs w:val="30"/>
        </w:rPr>
        <w:t>逾期未整改、整改虚假、整改后问题反弹，除执行原有经济扣罚外，按《</w:t>
      </w:r>
      <w:r>
        <w:rPr>
          <w:rFonts w:hint="eastAsia"/>
          <w:color w:val="000000" w:themeColor="text1"/>
          <w:sz w:val="30"/>
          <w:szCs w:val="30"/>
        </w:rPr>
        <w:t>附件1服务细化考核处罚规则</w:t>
      </w:r>
      <w:r>
        <w:rPr>
          <w:color w:val="000000" w:themeColor="text1"/>
          <w:sz w:val="30"/>
          <w:szCs w:val="30"/>
        </w:rPr>
        <w:t>》加倍扣分，计入当月日常考核成绩。</w:t>
      </w:r>
    </w:p>
    <w:p w14:paraId="1218E765">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12</w:t>
      </w:r>
      <w:r>
        <w:rPr>
          <w:color w:val="000000" w:themeColor="text1"/>
          <w:sz w:val="30"/>
          <w:szCs w:val="30"/>
        </w:rPr>
        <w:t xml:space="preserve">.2 </w:t>
      </w:r>
      <w:r>
        <w:rPr>
          <w:rStyle w:val="48"/>
          <w:color w:val="000000" w:themeColor="text1"/>
          <w:sz w:val="30"/>
          <w:szCs w:val="30"/>
        </w:rPr>
        <w:t>月度考核</w:t>
      </w:r>
    </w:p>
    <w:p w14:paraId="6071C2E4">
      <w:pPr>
        <w:widowControl/>
        <w:numPr>
          <w:ilvl w:val="0"/>
          <w:numId w:val="11"/>
        </w:numPr>
        <w:spacing w:line="560" w:lineRule="exact"/>
        <w:ind w:firstLine="600" w:firstLineChars="200"/>
        <w:rPr>
          <w:color w:val="000000" w:themeColor="text1"/>
          <w:sz w:val="30"/>
          <w:szCs w:val="30"/>
        </w:rPr>
      </w:pPr>
      <w:r>
        <w:rPr>
          <w:color w:val="000000" w:themeColor="text1"/>
          <w:sz w:val="30"/>
          <w:szCs w:val="30"/>
        </w:rPr>
        <w:t>每月至少组织 1 次全覆盖现场考核，对人员在岗、勤务落实</w:t>
      </w:r>
      <w:r>
        <w:rPr>
          <w:rFonts w:hint="eastAsia"/>
          <w:color w:val="000000" w:themeColor="text1"/>
          <w:sz w:val="30"/>
          <w:szCs w:val="30"/>
        </w:rPr>
        <w:t>等</w:t>
      </w:r>
      <w:r>
        <w:rPr>
          <w:color w:val="000000" w:themeColor="text1"/>
          <w:sz w:val="30"/>
          <w:szCs w:val="30"/>
        </w:rPr>
        <w:t>逐项核验；</w:t>
      </w:r>
    </w:p>
    <w:p w14:paraId="074E7D52">
      <w:pPr>
        <w:widowControl/>
        <w:numPr>
          <w:ilvl w:val="0"/>
          <w:numId w:val="11"/>
        </w:numPr>
        <w:spacing w:line="560" w:lineRule="exact"/>
        <w:ind w:firstLine="600" w:firstLineChars="200"/>
        <w:rPr>
          <w:color w:val="000000" w:themeColor="text1"/>
          <w:sz w:val="30"/>
          <w:szCs w:val="30"/>
        </w:rPr>
      </w:pPr>
      <w:r>
        <w:rPr>
          <w:color w:val="000000" w:themeColor="text1"/>
          <w:sz w:val="30"/>
          <w:szCs w:val="30"/>
        </w:rPr>
        <w:t>对照《</w:t>
      </w:r>
      <w:r>
        <w:rPr>
          <w:rFonts w:hint="eastAsia"/>
          <w:color w:val="000000" w:themeColor="text1"/>
          <w:sz w:val="30"/>
          <w:szCs w:val="30"/>
        </w:rPr>
        <w:t>附件1服务细化考核处罚规则</w:t>
      </w:r>
      <w:r>
        <w:rPr>
          <w:color w:val="000000" w:themeColor="text1"/>
          <w:sz w:val="30"/>
          <w:szCs w:val="30"/>
        </w:rPr>
        <w:t>》逐条打分，同一个违规事件，</w:t>
      </w:r>
      <w:r>
        <w:rPr>
          <w:rStyle w:val="48"/>
          <w:color w:val="000000" w:themeColor="text1"/>
          <w:sz w:val="30"/>
          <w:szCs w:val="30"/>
        </w:rPr>
        <w:t>经济扣罚与考核扣分同步执行；同一事件多条触发，扣分、扣罚均执行就高不重复累加原则</w:t>
      </w:r>
      <w:r>
        <w:rPr>
          <w:color w:val="000000" w:themeColor="text1"/>
          <w:sz w:val="30"/>
          <w:szCs w:val="30"/>
        </w:rPr>
        <w:t>；</w:t>
      </w:r>
    </w:p>
    <w:p w14:paraId="692A7A1E">
      <w:pPr>
        <w:widowControl/>
        <w:numPr>
          <w:ilvl w:val="0"/>
          <w:numId w:val="11"/>
        </w:numPr>
        <w:spacing w:line="560" w:lineRule="exact"/>
        <w:ind w:firstLine="600" w:firstLineChars="200"/>
        <w:rPr>
          <w:color w:val="000000" w:themeColor="text1"/>
          <w:sz w:val="30"/>
          <w:szCs w:val="30"/>
        </w:rPr>
      </w:pPr>
      <w:r>
        <w:rPr>
          <w:color w:val="000000" w:themeColor="text1"/>
          <w:sz w:val="30"/>
          <w:szCs w:val="30"/>
        </w:rPr>
        <w:t>月度考核结束形成书面记录，作为服务费结算支撑材料。</w:t>
      </w:r>
    </w:p>
    <w:p w14:paraId="1D9BCE1B">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12</w:t>
      </w:r>
      <w:r>
        <w:rPr>
          <w:color w:val="000000" w:themeColor="text1"/>
          <w:sz w:val="30"/>
          <w:szCs w:val="30"/>
        </w:rPr>
        <w:t xml:space="preserve">.3 </w:t>
      </w:r>
      <w:r>
        <w:rPr>
          <w:rStyle w:val="48"/>
          <w:color w:val="000000" w:themeColor="text1"/>
          <w:sz w:val="30"/>
          <w:szCs w:val="30"/>
        </w:rPr>
        <w:t>专项考核加减分情形</w:t>
      </w:r>
    </w:p>
    <w:p w14:paraId="7D3EA949">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专项考核由甲方考核小组集体审定，在当月综合得分直接加减。</w:t>
      </w:r>
    </w:p>
    <w:p w14:paraId="67F160A9">
      <w:pPr>
        <w:pStyle w:val="6"/>
        <w:widowControl/>
        <w:spacing w:line="560" w:lineRule="exact"/>
        <w:ind w:firstLine="602" w:firstLineChars="200"/>
        <w:rPr>
          <w:color w:val="000000" w:themeColor="text1"/>
          <w:sz w:val="30"/>
          <w:szCs w:val="30"/>
        </w:rPr>
      </w:pPr>
      <w:r>
        <w:rPr>
          <w:color w:val="000000" w:themeColor="text1"/>
          <w:sz w:val="30"/>
          <w:szCs w:val="30"/>
        </w:rPr>
        <w:t xml:space="preserve">予以加分（单次每项 </w:t>
      </w:r>
      <w:r>
        <w:rPr>
          <w:rFonts w:hint="eastAsia"/>
          <w:color w:val="000000" w:themeColor="text1"/>
          <w:sz w:val="30"/>
          <w:szCs w:val="30"/>
        </w:rPr>
        <w:t>加</w:t>
      </w:r>
      <w:r>
        <w:rPr>
          <w:color w:val="000000" w:themeColor="text1"/>
          <w:sz w:val="30"/>
          <w:szCs w:val="30"/>
        </w:rPr>
        <w:t>1</w:t>
      </w:r>
      <w:r>
        <w:rPr>
          <w:color w:val="000000" w:themeColor="text1"/>
          <w:sz w:val="30"/>
          <w:szCs w:val="30"/>
        </w:rPr>
        <w:noBreakHyphen/>
      </w:r>
      <w:r>
        <w:rPr>
          <w:color w:val="000000" w:themeColor="text1"/>
          <w:sz w:val="30"/>
          <w:szCs w:val="30"/>
        </w:rPr>
        <w:t xml:space="preserve">5 分，月度累计最高 + </w:t>
      </w:r>
      <w:r>
        <w:rPr>
          <w:rFonts w:hint="eastAsia"/>
          <w:color w:val="000000" w:themeColor="text1"/>
          <w:sz w:val="30"/>
          <w:szCs w:val="30"/>
        </w:rPr>
        <w:t>5</w:t>
      </w:r>
      <w:r>
        <w:rPr>
          <w:color w:val="000000" w:themeColor="text1"/>
          <w:sz w:val="30"/>
          <w:szCs w:val="30"/>
        </w:rPr>
        <w:t xml:space="preserve"> 分）</w:t>
      </w:r>
    </w:p>
    <w:p w14:paraId="32161913">
      <w:pPr>
        <w:widowControl/>
        <w:numPr>
          <w:ilvl w:val="0"/>
          <w:numId w:val="12"/>
        </w:numPr>
        <w:spacing w:line="560" w:lineRule="exact"/>
        <w:ind w:firstLine="600" w:firstLineChars="200"/>
        <w:rPr>
          <w:color w:val="000000" w:themeColor="text1"/>
          <w:sz w:val="30"/>
          <w:szCs w:val="30"/>
        </w:rPr>
      </w:pPr>
      <w:r>
        <w:rPr>
          <w:color w:val="000000" w:themeColor="text1"/>
          <w:sz w:val="30"/>
          <w:szCs w:val="30"/>
        </w:rPr>
        <w:t>在国家、省、市、甲方组织创建、迎检、重大活动安保保障任务中，表现突出获得书面肯定；</w:t>
      </w:r>
    </w:p>
    <w:p w14:paraId="14CCB40A">
      <w:pPr>
        <w:widowControl/>
        <w:numPr>
          <w:ilvl w:val="0"/>
          <w:numId w:val="12"/>
        </w:numPr>
        <w:spacing w:line="560" w:lineRule="exact"/>
        <w:ind w:firstLine="600" w:firstLineChars="200"/>
        <w:rPr>
          <w:color w:val="000000" w:themeColor="text1"/>
          <w:sz w:val="30"/>
          <w:szCs w:val="30"/>
        </w:rPr>
      </w:pPr>
      <w:r>
        <w:rPr>
          <w:color w:val="000000" w:themeColor="text1"/>
          <w:sz w:val="30"/>
          <w:szCs w:val="30"/>
        </w:rPr>
        <w:t>应急抢险、防汛防台、极端天气保障、突发事件处置表现突出，有效规避安全事故；</w:t>
      </w:r>
    </w:p>
    <w:p w14:paraId="0C2397B6">
      <w:pPr>
        <w:widowControl/>
        <w:numPr>
          <w:ilvl w:val="0"/>
          <w:numId w:val="12"/>
        </w:numPr>
        <w:spacing w:line="560" w:lineRule="exact"/>
        <w:ind w:firstLine="600" w:firstLineChars="200"/>
        <w:rPr>
          <w:color w:val="000000" w:themeColor="text1"/>
          <w:sz w:val="30"/>
          <w:szCs w:val="30"/>
        </w:rPr>
      </w:pPr>
      <w:r>
        <w:rPr>
          <w:color w:val="000000" w:themeColor="text1"/>
          <w:sz w:val="30"/>
          <w:szCs w:val="30"/>
        </w:rPr>
        <w:t>获得媒体正面宣传报道，或者上级部门通报表扬；</w:t>
      </w:r>
    </w:p>
    <w:p w14:paraId="4C7FDDCF">
      <w:pPr>
        <w:widowControl/>
        <w:numPr>
          <w:ilvl w:val="0"/>
          <w:numId w:val="12"/>
        </w:numPr>
        <w:spacing w:line="560" w:lineRule="exact"/>
        <w:ind w:firstLine="600" w:firstLineChars="200"/>
        <w:rPr>
          <w:color w:val="000000" w:themeColor="text1"/>
          <w:sz w:val="30"/>
          <w:szCs w:val="30"/>
        </w:rPr>
      </w:pPr>
      <w:r>
        <w:rPr>
          <w:color w:val="000000" w:themeColor="text1"/>
          <w:sz w:val="30"/>
          <w:szCs w:val="30"/>
        </w:rPr>
        <w:t>高质量完成甲方临时重大指令性任务。</w:t>
      </w:r>
    </w:p>
    <w:p w14:paraId="606D2CFB">
      <w:pPr>
        <w:pStyle w:val="6"/>
        <w:widowControl/>
        <w:spacing w:line="560" w:lineRule="exact"/>
        <w:ind w:firstLine="602" w:firstLineChars="200"/>
        <w:rPr>
          <w:color w:val="000000" w:themeColor="text1"/>
          <w:sz w:val="30"/>
          <w:szCs w:val="30"/>
        </w:rPr>
      </w:pPr>
      <w:r>
        <w:rPr>
          <w:color w:val="000000" w:themeColor="text1"/>
          <w:sz w:val="30"/>
          <w:szCs w:val="30"/>
        </w:rPr>
        <w:t>予以扣分（单次每项</w:t>
      </w:r>
      <w:r>
        <w:rPr>
          <w:rFonts w:hint="eastAsia"/>
          <w:color w:val="000000" w:themeColor="text1"/>
          <w:sz w:val="30"/>
          <w:szCs w:val="30"/>
        </w:rPr>
        <w:t>扣1</w:t>
      </w:r>
      <w:r>
        <w:rPr>
          <w:color w:val="000000" w:themeColor="text1"/>
          <w:sz w:val="30"/>
          <w:szCs w:val="30"/>
        </w:rPr>
        <w:noBreakHyphen/>
      </w:r>
      <w:r>
        <w:rPr>
          <w:color w:val="000000" w:themeColor="text1"/>
          <w:sz w:val="30"/>
          <w:szCs w:val="30"/>
        </w:rPr>
        <w:t>10 分，重大事件可加大扣减）</w:t>
      </w:r>
    </w:p>
    <w:p w14:paraId="576390C5">
      <w:pPr>
        <w:widowControl/>
        <w:numPr>
          <w:ilvl w:val="0"/>
          <w:numId w:val="13"/>
        </w:numPr>
        <w:spacing w:line="560" w:lineRule="exact"/>
        <w:ind w:firstLine="600" w:firstLineChars="200"/>
        <w:rPr>
          <w:color w:val="000000" w:themeColor="text1"/>
          <w:sz w:val="30"/>
          <w:szCs w:val="30"/>
        </w:rPr>
      </w:pPr>
      <w:r>
        <w:rPr>
          <w:color w:val="000000" w:themeColor="text1"/>
          <w:sz w:val="30"/>
          <w:szCs w:val="30"/>
        </w:rPr>
        <w:t>经核实发生媒体负面曝光，造成不良社会影响；</w:t>
      </w:r>
    </w:p>
    <w:p w14:paraId="21B5AB83">
      <w:pPr>
        <w:widowControl/>
        <w:numPr>
          <w:ilvl w:val="0"/>
          <w:numId w:val="13"/>
        </w:numPr>
        <w:spacing w:line="560" w:lineRule="exact"/>
        <w:ind w:firstLine="600" w:firstLineChars="200"/>
        <w:rPr>
          <w:color w:val="000000" w:themeColor="text1"/>
          <w:sz w:val="30"/>
          <w:szCs w:val="30"/>
        </w:rPr>
      </w:pPr>
      <w:r>
        <w:rPr>
          <w:color w:val="000000" w:themeColor="text1"/>
          <w:sz w:val="30"/>
          <w:szCs w:val="30"/>
        </w:rPr>
        <w:t>受到上级部门通报批评；</w:t>
      </w:r>
    </w:p>
    <w:p w14:paraId="5181812D">
      <w:pPr>
        <w:widowControl/>
        <w:numPr>
          <w:ilvl w:val="0"/>
          <w:numId w:val="13"/>
        </w:numPr>
        <w:spacing w:line="560" w:lineRule="exact"/>
        <w:ind w:firstLine="600" w:firstLineChars="200"/>
        <w:rPr>
          <w:color w:val="000000" w:themeColor="text1"/>
          <w:sz w:val="30"/>
          <w:szCs w:val="30"/>
        </w:rPr>
      </w:pPr>
      <w:r>
        <w:rPr>
          <w:color w:val="000000" w:themeColor="text1"/>
          <w:sz w:val="30"/>
          <w:szCs w:val="30"/>
        </w:rPr>
        <w:t>甲方下达重要指令性任务拒不落实或严重滞后；</w:t>
      </w:r>
    </w:p>
    <w:p w14:paraId="70458B37">
      <w:pPr>
        <w:widowControl/>
        <w:numPr>
          <w:ilvl w:val="0"/>
          <w:numId w:val="13"/>
        </w:numPr>
        <w:spacing w:line="560" w:lineRule="exact"/>
        <w:ind w:firstLine="600" w:firstLineChars="200"/>
        <w:rPr>
          <w:color w:val="000000" w:themeColor="text1"/>
          <w:sz w:val="30"/>
          <w:szCs w:val="30"/>
        </w:rPr>
      </w:pPr>
      <w:r>
        <w:rPr>
          <w:color w:val="000000" w:themeColor="text1"/>
          <w:sz w:val="30"/>
          <w:szCs w:val="30"/>
        </w:rPr>
        <w:t>应急抢险、突发事件处置失职渎职，造成事态扩大；</w:t>
      </w:r>
    </w:p>
    <w:p w14:paraId="36FA9E17">
      <w:pPr>
        <w:widowControl/>
        <w:numPr>
          <w:ilvl w:val="0"/>
          <w:numId w:val="13"/>
        </w:numPr>
        <w:spacing w:line="560" w:lineRule="exact"/>
        <w:ind w:firstLine="600" w:firstLineChars="200"/>
        <w:rPr>
          <w:color w:val="000000" w:themeColor="text1"/>
          <w:sz w:val="30"/>
          <w:szCs w:val="30"/>
        </w:rPr>
      </w:pPr>
      <w:r>
        <w:rPr>
          <w:color w:val="000000" w:themeColor="text1"/>
          <w:sz w:val="30"/>
          <w:szCs w:val="30"/>
        </w:rPr>
        <w:t>出现重大安全隐患、意识形态风险处置不力。</w:t>
      </w:r>
    </w:p>
    <w:p w14:paraId="478F9B6B">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备注：触犯刑事行政案件、重大舆情等严重情形，除专项大幅扣分外，同步启用高额经济扣罚、人员清退、约谈乃至合同解除程序。</w:t>
      </w:r>
    </w:p>
    <w:p w14:paraId="6B4A2126">
      <w:pPr>
        <w:pStyle w:val="4"/>
        <w:widowControl/>
        <w:spacing w:line="560" w:lineRule="exact"/>
        <w:jc w:val="center"/>
        <w:rPr>
          <w:color w:val="000000" w:themeColor="text1"/>
          <w:sz w:val="30"/>
          <w:szCs w:val="30"/>
        </w:rPr>
      </w:pPr>
      <w:r>
        <w:rPr>
          <w:color w:val="000000" w:themeColor="text1"/>
          <w:sz w:val="30"/>
          <w:szCs w:val="30"/>
        </w:rPr>
        <w:t>第五章 排名、扣款与服务费用结算</w:t>
      </w:r>
    </w:p>
    <w:p w14:paraId="15E6A15F">
      <w:pPr>
        <w:pStyle w:val="5"/>
        <w:widowControl/>
        <w:spacing w:line="560" w:lineRule="exact"/>
        <w:ind w:firstLine="602" w:firstLineChars="200"/>
        <w:rPr>
          <w:color w:val="000000" w:themeColor="text1"/>
          <w:sz w:val="30"/>
          <w:szCs w:val="30"/>
        </w:rPr>
      </w:pPr>
      <w:r>
        <w:rPr>
          <w:color w:val="000000" w:themeColor="text1"/>
          <w:sz w:val="30"/>
          <w:szCs w:val="30"/>
        </w:rPr>
        <w:t>第</w:t>
      </w:r>
      <w:r>
        <w:rPr>
          <w:rFonts w:hint="eastAsia"/>
          <w:color w:val="000000" w:themeColor="text1"/>
          <w:sz w:val="30"/>
          <w:szCs w:val="30"/>
        </w:rPr>
        <w:t>十三</w:t>
      </w:r>
      <w:r>
        <w:rPr>
          <w:color w:val="000000" w:themeColor="text1"/>
          <w:sz w:val="30"/>
          <w:szCs w:val="30"/>
        </w:rPr>
        <w:t>条 标段排名与比例扣款</w:t>
      </w:r>
    </w:p>
    <w:p w14:paraId="4BC98903">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若有多家同类型服务商并行服务，执行标段排名；仅一家同类型服务商，只执行得分对应结算，不执行末位排名扣款。</w:t>
      </w:r>
    </w:p>
    <w:p w14:paraId="0D9A0738">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 xml:space="preserve"> 13.1 标段排名规则。同类型对多家服务标段统一开展月度排名，</w:t>
      </w:r>
      <w:r>
        <w:rPr>
          <w:rStyle w:val="48"/>
          <w:rFonts w:hint="eastAsia" w:cs="宋体"/>
          <w:color w:val="000000" w:themeColor="text1"/>
          <w:sz w:val="30"/>
          <w:szCs w:val="30"/>
        </w:rPr>
        <w:t>排名末位（含并列倒数第一）且综合得分＜80 分</w:t>
      </w:r>
      <w:r>
        <w:rPr>
          <w:rFonts w:hint="eastAsia"/>
          <w:color w:val="000000" w:themeColor="text1"/>
          <w:sz w:val="30"/>
          <w:szCs w:val="30"/>
        </w:rPr>
        <w:t>执行比例扣款：</w:t>
      </w:r>
    </w:p>
    <w:tbl>
      <w:tblPr>
        <w:tblStyle w:val="45"/>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56"/>
        <w:gridCol w:w="4443"/>
      </w:tblGrid>
      <w:tr w14:paraId="0FBA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8" w:hRule="atLeast"/>
          <w:tblHeader/>
          <w:tblCellSpacing w:w="15" w:type="dxa"/>
          <w:jc w:val="center"/>
        </w:trPr>
        <w:tc>
          <w:tcPr>
            <w:tcW w:w="3211" w:type="dxa"/>
            <w:vAlign w:val="center"/>
          </w:tcPr>
          <w:p w14:paraId="69139BA0">
            <w:pPr>
              <w:widowControl/>
              <w:spacing w:line="560" w:lineRule="exact"/>
              <w:ind w:firstLine="602" w:firstLineChars="200"/>
              <w:jc w:val="center"/>
              <w:rPr>
                <w:b/>
                <w:bCs/>
                <w:color w:val="000000" w:themeColor="text1"/>
                <w:sz w:val="30"/>
                <w:szCs w:val="30"/>
              </w:rPr>
            </w:pPr>
            <w:r>
              <w:rPr>
                <w:rFonts w:ascii="宋体" w:hAnsi="宋体" w:cs="宋体"/>
                <w:b/>
                <w:bCs/>
                <w:color w:val="000000" w:themeColor="text1"/>
                <w:kern w:val="0"/>
                <w:sz w:val="30"/>
                <w:szCs w:val="30"/>
                <w:lang w:bidi="ar"/>
              </w:rPr>
              <w:t>情形</w:t>
            </w:r>
          </w:p>
        </w:tc>
        <w:tc>
          <w:tcPr>
            <w:tcW w:w="4398" w:type="dxa"/>
            <w:vAlign w:val="center"/>
          </w:tcPr>
          <w:p w14:paraId="30463061">
            <w:pPr>
              <w:widowControl/>
              <w:spacing w:line="560" w:lineRule="exact"/>
              <w:ind w:firstLine="602" w:firstLineChars="200"/>
              <w:jc w:val="center"/>
              <w:rPr>
                <w:b/>
                <w:bCs/>
                <w:color w:val="000000" w:themeColor="text1"/>
                <w:sz w:val="30"/>
                <w:szCs w:val="30"/>
              </w:rPr>
            </w:pPr>
            <w:r>
              <w:rPr>
                <w:rFonts w:ascii="宋体" w:hAnsi="宋体" w:cs="宋体"/>
                <w:b/>
                <w:bCs/>
                <w:color w:val="000000" w:themeColor="text1"/>
                <w:kern w:val="0"/>
                <w:sz w:val="30"/>
                <w:szCs w:val="30"/>
                <w:lang w:bidi="ar"/>
              </w:rPr>
              <w:t>服务费用扣款比例</w:t>
            </w:r>
          </w:p>
        </w:tc>
      </w:tr>
      <w:tr w14:paraId="667E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3" w:hRule="atLeast"/>
          <w:tblCellSpacing w:w="15" w:type="dxa"/>
          <w:jc w:val="center"/>
        </w:trPr>
        <w:tc>
          <w:tcPr>
            <w:tcW w:w="3211" w:type="dxa"/>
            <w:vAlign w:val="center"/>
          </w:tcPr>
          <w:p w14:paraId="093B663D">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当月排名末位</w:t>
            </w:r>
          </w:p>
        </w:tc>
        <w:tc>
          <w:tcPr>
            <w:tcW w:w="4398" w:type="dxa"/>
            <w:vAlign w:val="center"/>
          </w:tcPr>
          <w:p w14:paraId="46CDF6B8">
            <w:pPr>
              <w:widowControl/>
              <w:spacing w:line="560" w:lineRule="exact"/>
              <w:ind w:firstLine="600" w:firstLineChars="200"/>
              <w:jc w:val="center"/>
              <w:rPr>
                <w:color w:val="000000" w:themeColor="text1"/>
                <w:sz w:val="30"/>
                <w:szCs w:val="30"/>
              </w:rPr>
            </w:pPr>
            <w:r>
              <w:rPr>
                <w:rFonts w:hint="eastAsia" w:ascii="宋体" w:hAnsi="宋体" w:cs="宋体"/>
                <w:color w:val="000000" w:themeColor="text1"/>
                <w:kern w:val="0"/>
                <w:sz w:val="30"/>
                <w:szCs w:val="30"/>
                <w:lang w:bidi="ar"/>
              </w:rPr>
              <w:t>额外</w:t>
            </w:r>
            <w:r>
              <w:rPr>
                <w:rFonts w:ascii="宋体" w:hAnsi="宋体" w:cs="宋体"/>
                <w:color w:val="000000" w:themeColor="text1"/>
                <w:kern w:val="0"/>
                <w:sz w:val="30"/>
                <w:szCs w:val="30"/>
                <w:lang w:bidi="ar"/>
              </w:rPr>
              <w:t>扣除</w:t>
            </w:r>
            <w:r>
              <w:rPr>
                <w:rFonts w:hint="eastAsia" w:ascii="宋体" w:hAnsi="宋体" w:cs="宋体"/>
                <w:color w:val="000000" w:themeColor="text1"/>
                <w:kern w:val="0"/>
                <w:sz w:val="30"/>
                <w:szCs w:val="30"/>
                <w:lang w:bidi="ar"/>
              </w:rPr>
              <w:t>基数费用</w:t>
            </w:r>
            <w:r>
              <w:rPr>
                <w:rFonts w:ascii="宋体" w:hAnsi="宋体" w:cs="宋体"/>
                <w:color w:val="000000" w:themeColor="text1"/>
                <w:kern w:val="0"/>
                <w:sz w:val="30"/>
                <w:szCs w:val="30"/>
                <w:lang w:bidi="ar"/>
              </w:rPr>
              <w:t>的 1%</w:t>
            </w:r>
          </w:p>
        </w:tc>
      </w:tr>
      <w:tr w14:paraId="7AF1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3" w:hRule="atLeast"/>
          <w:tblCellSpacing w:w="15" w:type="dxa"/>
          <w:jc w:val="center"/>
        </w:trPr>
        <w:tc>
          <w:tcPr>
            <w:tcW w:w="3211" w:type="dxa"/>
            <w:vAlign w:val="center"/>
          </w:tcPr>
          <w:p w14:paraId="2A5A7FED">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连续两次月度排名末位</w:t>
            </w:r>
          </w:p>
        </w:tc>
        <w:tc>
          <w:tcPr>
            <w:tcW w:w="4398" w:type="dxa"/>
            <w:vAlign w:val="center"/>
          </w:tcPr>
          <w:p w14:paraId="6CEA7E03">
            <w:pPr>
              <w:widowControl/>
              <w:spacing w:line="560" w:lineRule="exact"/>
              <w:ind w:firstLine="600" w:firstLineChars="200"/>
              <w:jc w:val="center"/>
              <w:rPr>
                <w:color w:val="000000" w:themeColor="text1"/>
                <w:sz w:val="30"/>
                <w:szCs w:val="30"/>
              </w:rPr>
            </w:pPr>
            <w:r>
              <w:rPr>
                <w:rFonts w:hint="eastAsia" w:ascii="宋体" w:hAnsi="宋体" w:cs="宋体"/>
                <w:color w:val="000000" w:themeColor="text1"/>
                <w:kern w:val="0"/>
                <w:sz w:val="30"/>
                <w:szCs w:val="30"/>
                <w:lang w:bidi="ar"/>
              </w:rPr>
              <w:t>额外</w:t>
            </w:r>
            <w:r>
              <w:rPr>
                <w:rFonts w:ascii="宋体" w:hAnsi="宋体" w:cs="宋体"/>
                <w:color w:val="000000" w:themeColor="text1"/>
                <w:kern w:val="0"/>
                <w:sz w:val="30"/>
                <w:szCs w:val="30"/>
                <w:lang w:bidi="ar"/>
              </w:rPr>
              <w:t>扣除</w:t>
            </w:r>
            <w:r>
              <w:rPr>
                <w:rFonts w:hint="eastAsia" w:ascii="宋体" w:hAnsi="宋体" w:cs="宋体"/>
                <w:color w:val="000000" w:themeColor="text1"/>
                <w:kern w:val="0"/>
                <w:sz w:val="30"/>
                <w:szCs w:val="30"/>
                <w:lang w:bidi="ar"/>
              </w:rPr>
              <w:t>基数费用</w:t>
            </w:r>
            <w:r>
              <w:rPr>
                <w:rFonts w:ascii="宋体" w:hAnsi="宋体" w:cs="宋体"/>
                <w:color w:val="000000" w:themeColor="text1"/>
                <w:kern w:val="0"/>
                <w:sz w:val="30"/>
                <w:szCs w:val="30"/>
                <w:lang w:bidi="ar"/>
              </w:rPr>
              <w:t>的 2%</w:t>
            </w:r>
          </w:p>
        </w:tc>
      </w:tr>
      <w:tr w14:paraId="6770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8" w:hRule="atLeast"/>
          <w:tblCellSpacing w:w="15" w:type="dxa"/>
          <w:jc w:val="center"/>
        </w:trPr>
        <w:tc>
          <w:tcPr>
            <w:tcW w:w="3211" w:type="dxa"/>
            <w:vAlign w:val="center"/>
          </w:tcPr>
          <w:p w14:paraId="117AD7A7">
            <w:pPr>
              <w:widowControl/>
              <w:spacing w:line="560" w:lineRule="exact"/>
              <w:ind w:firstLine="600" w:firstLineChars="200"/>
              <w:jc w:val="center"/>
              <w:rPr>
                <w:color w:val="000000" w:themeColor="text1"/>
                <w:sz w:val="30"/>
                <w:szCs w:val="30"/>
              </w:rPr>
            </w:pPr>
            <w:r>
              <w:rPr>
                <w:rFonts w:ascii="宋体" w:hAnsi="宋体" w:cs="宋体"/>
                <w:color w:val="000000" w:themeColor="text1"/>
                <w:kern w:val="0"/>
                <w:sz w:val="30"/>
                <w:szCs w:val="30"/>
                <w:lang w:bidi="ar"/>
              </w:rPr>
              <w:t>连续三次月度排名末位</w:t>
            </w:r>
          </w:p>
        </w:tc>
        <w:tc>
          <w:tcPr>
            <w:tcW w:w="4398" w:type="dxa"/>
            <w:vAlign w:val="center"/>
          </w:tcPr>
          <w:p w14:paraId="30AFE854">
            <w:pPr>
              <w:widowControl/>
              <w:spacing w:line="560" w:lineRule="exact"/>
              <w:ind w:firstLine="600" w:firstLineChars="200"/>
              <w:jc w:val="center"/>
              <w:rPr>
                <w:color w:val="000000" w:themeColor="text1"/>
                <w:sz w:val="30"/>
                <w:szCs w:val="30"/>
              </w:rPr>
            </w:pPr>
            <w:r>
              <w:rPr>
                <w:rFonts w:hint="eastAsia" w:ascii="宋体" w:hAnsi="宋体" w:cs="宋体"/>
                <w:color w:val="000000" w:themeColor="text1"/>
                <w:kern w:val="0"/>
                <w:sz w:val="30"/>
                <w:szCs w:val="30"/>
                <w:lang w:bidi="ar"/>
              </w:rPr>
              <w:t>额外</w:t>
            </w:r>
            <w:r>
              <w:rPr>
                <w:rFonts w:ascii="宋体" w:hAnsi="宋体" w:cs="宋体"/>
                <w:color w:val="000000" w:themeColor="text1"/>
                <w:kern w:val="0"/>
                <w:sz w:val="30"/>
                <w:szCs w:val="30"/>
                <w:lang w:bidi="ar"/>
              </w:rPr>
              <w:t>扣除</w:t>
            </w:r>
            <w:r>
              <w:rPr>
                <w:rFonts w:hint="eastAsia" w:ascii="宋体" w:hAnsi="宋体" w:cs="宋体"/>
                <w:color w:val="000000" w:themeColor="text1"/>
                <w:kern w:val="0"/>
                <w:sz w:val="30"/>
                <w:szCs w:val="30"/>
                <w:lang w:bidi="ar"/>
              </w:rPr>
              <w:t>基数费用</w:t>
            </w:r>
            <w:r>
              <w:rPr>
                <w:rFonts w:ascii="宋体" w:hAnsi="宋体" w:cs="宋体"/>
                <w:color w:val="000000" w:themeColor="text1"/>
                <w:kern w:val="0"/>
                <w:sz w:val="30"/>
                <w:szCs w:val="30"/>
                <w:lang w:bidi="ar"/>
              </w:rPr>
              <w:t>的 3%</w:t>
            </w:r>
          </w:p>
        </w:tc>
      </w:tr>
    </w:tbl>
    <w:p w14:paraId="66441BEF">
      <w:pPr>
        <w:widowControl/>
        <w:numPr>
          <w:ilvl w:val="0"/>
          <w:numId w:val="14"/>
        </w:numPr>
        <w:spacing w:line="560" w:lineRule="exact"/>
        <w:ind w:firstLine="600" w:firstLineChars="200"/>
        <w:rPr>
          <w:color w:val="000000" w:themeColor="text1"/>
          <w:sz w:val="30"/>
          <w:szCs w:val="30"/>
        </w:rPr>
      </w:pPr>
      <w:r>
        <w:rPr>
          <w:color w:val="000000" w:themeColor="text1"/>
          <w:sz w:val="30"/>
          <w:szCs w:val="30"/>
        </w:rPr>
        <w:t>以上扣款统一在</w:t>
      </w:r>
      <w:r>
        <w:rPr>
          <w:rStyle w:val="48"/>
          <w:color w:val="000000" w:themeColor="text1"/>
          <w:sz w:val="30"/>
          <w:szCs w:val="30"/>
        </w:rPr>
        <w:t>当</w:t>
      </w:r>
      <w:r>
        <w:rPr>
          <w:rStyle w:val="48"/>
          <w:rFonts w:hint="eastAsia"/>
          <w:color w:val="000000" w:themeColor="text1"/>
          <w:sz w:val="30"/>
          <w:szCs w:val="30"/>
        </w:rPr>
        <w:t>月</w:t>
      </w:r>
      <w:r>
        <w:rPr>
          <w:rStyle w:val="48"/>
          <w:color w:val="000000" w:themeColor="text1"/>
          <w:sz w:val="30"/>
          <w:szCs w:val="30"/>
        </w:rPr>
        <w:t>集中扣除</w:t>
      </w:r>
      <w:r>
        <w:rPr>
          <w:color w:val="000000" w:themeColor="text1"/>
          <w:sz w:val="30"/>
          <w:szCs w:val="30"/>
        </w:rPr>
        <w:t>；</w:t>
      </w:r>
    </w:p>
    <w:p w14:paraId="5DF0813B">
      <w:pPr>
        <w:widowControl/>
        <w:numPr>
          <w:ilvl w:val="0"/>
          <w:numId w:val="14"/>
        </w:numPr>
        <w:spacing w:line="560" w:lineRule="exact"/>
        <w:ind w:firstLine="600" w:firstLineChars="200"/>
        <w:rPr>
          <w:color w:val="000000" w:themeColor="text1"/>
          <w:sz w:val="30"/>
          <w:szCs w:val="30"/>
        </w:rPr>
      </w:pPr>
      <w:r>
        <w:rPr>
          <w:color w:val="000000" w:themeColor="text1"/>
          <w:sz w:val="30"/>
          <w:szCs w:val="30"/>
        </w:rPr>
        <w:t>甲方有权直接从当</w:t>
      </w:r>
      <w:r>
        <w:rPr>
          <w:rFonts w:hint="eastAsia"/>
          <w:color w:val="000000" w:themeColor="text1"/>
          <w:sz w:val="30"/>
          <w:szCs w:val="30"/>
        </w:rPr>
        <w:t>月</w:t>
      </w:r>
      <w:r>
        <w:rPr>
          <w:color w:val="000000" w:themeColor="text1"/>
          <w:sz w:val="30"/>
          <w:szCs w:val="30"/>
        </w:rPr>
        <w:t>应付服务费中扣取</w:t>
      </w:r>
      <w:r>
        <w:rPr>
          <w:rFonts w:hint="eastAsia"/>
          <w:color w:val="000000" w:themeColor="text1"/>
          <w:sz w:val="30"/>
          <w:szCs w:val="30"/>
        </w:rPr>
        <w:t>。</w:t>
      </w:r>
    </w:p>
    <w:p w14:paraId="6E9A935D">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13</w:t>
      </w:r>
      <w:r>
        <w:rPr>
          <w:color w:val="000000" w:themeColor="text1"/>
          <w:sz w:val="30"/>
          <w:szCs w:val="30"/>
        </w:rPr>
        <w:t>.2 考核通报</w:t>
      </w:r>
      <w:r>
        <w:rPr>
          <w:rFonts w:hint="eastAsia"/>
          <w:color w:val="000000" w:themeColor="text1"/>
          <w:sz w:val="30"/>
          <w:szCs w:val="30"/>
        </w:rPr>
        <w:t>。</w:t>
      </w:r>
      <w:r>
        <w:rPr>
          <w:color w:val="000000" w:themeColor="text1"/>
          <w:sz w:val="30"/>
          <w:szCs w:val="30"/>
        </w:rPr>
        <w:t>每月形成正式考核结果，书面通报全部</w:t>
      </w:r>
      <w:r>
        <w:rPr>
          <w:rFonts w:hint="eastAsia"/>
          <w:color w:val="000000" w:themeColor="text1"/>
          <w:sz w:val="30"/>
          <w:szCs w:val="30"/>
        </w:rPr>
        <w:t>同类型</w:t>
      </w:r>
      <w:r>
        <w:rPr>
          <w:color w:val="000000" w:themeColor="text1"/>
          <w:sz w:val="30"/>
          <w:szCs w:val="30"/>
        </w:rPr>
        <w:t>服务商</w:t>
      </w:r>
      <w:r>
        <w:rPr>
          <w:rFonts w:hint="eastAsia"/>
          <w:color w:val="000000" w:themeColor="text1"/>
          <w:sz w:val="30"/>
          <w:szCs w:val="30"/>
        </w:rPr>
        <w:t>。</w:t>
      </w:r>
    </w:p>
    <w:p w14:paraId="3B145C4F">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13.3定期复盘。每季度或半年进行复盘，召集所有服务商进行现场复盘，当面指出服务中出现的问题，避免后期反同类型问题。</w:t>
      </w:r>
    </w:p>
    <w:p w14:paraId="1726108D">
      <w:pPr>
        <w:pStyle w:val="5"/>
        <w:widowControl/>
        <w:spacing w:line="560" w:lineRule="exact"/>
        <w:ind w:firstLine="602" w:firstLineChars="200"/>
        <w:rPr>
          <w:color w:val="000000" w:themeColor="text1"/>
          <w:sz w:val="30"/>
          <w:szCs w:val="30"/>
        </w:rPr>
      </w:pPr>
      <w:r>
        <w:rPr>
          <w:color w:val="000000" w:themeColor="text1"/>
          <w:sz w:val="30"/>
          <w:szCs w:val="30"/>
        </w:rPr>
        <w:t>第</w:t>
      </w:r>
      <w:r>
        <w:rPr>
          <w:rFonts w:hint="eastAsia"/>
          <w:color w:val="000000" w:themeColor="text1"/>
          <w:sz w:val="30"/>
          <w:szCs w:val="30"/>
        </w:rPr>
        <w:t>十四</w:t>
      </w:r>
      <w:r>
        <w:rPr>
          <w:color w:val="000000" w:themeColor="text1"/>
          <w:sz w:val="30"/>
          <w:szCs w:val="30"/>
        </w:rPr>
        <w:t>条 经费拨付与结算</w:t>
      </w:r>
    </w:p>
    <w:p w14:paraId="2A55C080">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14</w:t>
      </w:r>
      <w:r>
        <w:rPr>
          <w:color w:val="000000" w:themeColor="text1"/>
          <w:sz w:val="30"/>
          <w:szCs w:val="30"/>
        </w:rPr>
        <w:t>.1 拨付方式：</w:t>
      </w:r>
      <w:r>
        <w:rPr>
          <w:rStyle w:val="48"/>
          <w:color w:val="000000" w:themeColor="text1"/>
          <w:sz w:val="30"/>
          <w:szCs w:val="30"/>
        </w:rPr>
        <w:t>按月开展考核、拨付服务费用</w:t>
      </w:r>
      <w:r>
        <w:rPr>
          <w:color w:val="000000" w:themeColor="text1"/>
          <w:sz w:val="30"/>
          <w:szCs w:val="30"/>
        </w:rPr>
        <w:t>。</w:t>
      </w:r>
    </w:p>
    <w:p w14:paraId="36C6A8B8">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14</w:t>
      </w:r>
      <w:r>
        <w:rPr>
          <w:color w:val="000000" w:themeColor="text1"/>
          <w:sz w:val="30"/>
          <w:szCs w:val="30"/>
        </w:rPr>
        <w:t>.2 月度应付服务费计算</w:t>
      </w:r>
    </w:p>
    <w:p w14:paraId="7E4379D9">
      <w:pPr>
        <w:widowControl/>
        <w:spacing w:line="560" w:lineRule="exact"/>
        <w:rPr>
          <w:color w:val="000000" w:themeColor="text1"/>
          <w:sz w:val="30"/>
          <w:szCs w:val="30"/>
        </w:rPr>
      </w:pPr>
      <w:r>
        <w:rPr>
          <w:color w:val="000000" w:themeColor="text1"/>
          <w:sz w:val="30"/>
          <w:szCs w:val="30"/>
        </w:rPr>
        <w:t xml:space="preserve">综合得分 </w:t>
      </w:r>
      <w:r>
        <w:rPr>
          <w:rStyle w:val="48"/>
          <w:color w:val="000000" w:themeColor="text1"/>
          <w:sz w:val="30"/>
          <w:szCs w:val="30"/>
        </w:rPr>
        <w:t>80 分（含）以上</w:t>
      </w:r>
      <w:r>
        <w:rPr>
          <w:color w:val="000000" w:themeColor="text1"/>
          <w:sz w:val="30"/>
          <w:szCs w:val="30"/>
        </w:rPr>
        <w:t xml:space="preserve">： </w:t>
      </w:r>
      <w:r>
        <w:rPr>
          <w:rStyle w:val="48"/>
          <w:color w:val="000000" w:themeColor="text1"/>
          <w:sz w:val="30"/>
          <w:szCs w:val="30"/>
        </w:rPr>
        <w:t>当月应付费用 = 合同约定当月费用</w:t>
      </w:r>
    </w:p>
    <w:p w14:paraId="7DA68652">
      <w:pPr>
        <w:widowControl/>
        <w:spacing w:line="560" w:lineRule="exact"/>
        <w:rPr>
          <w:color w:val="000000" w:themeColor="text1"/>
          <w:sz w:val="30"/>
          <w:szCs w:val="30"/>
        </w:rPr>
      </w:pPr>
      <w:r>
        <w:rPr>
          <w:color w:val="000000" w:themeColor="text1"/>
          <w:sz w:val="30"/>
          <w:szCs w:val="30"/>
        </w:rPr>
        <w:t xml:space="preserve">综合得分 </w:t>
      </w:r>
      <w:r>
        <w:rPr>
          <w:rStyle w:val="48"/>
          <w:color w:val="000000" w:themeColor="text1"/>
          <w:sz w:val="30"/>
          <w:szCs w:val="30"/>
        </w:rPr>
        <w:t>80 分（不含）以下（不合格）</w:t>
      </w:r>
      <w:r>
        <w:rPr>
          <w:color w:val="000000" w:themeColor="text1"/>
          <w:sz w:val="30"/>
          <w:szCs w:val="30"/>
        </w:rPr>
        <w:t xml:space="preserve">： </w:t>
      </w:r>
      <w:r>
        <w:rPr>
          <w:rStyle w:val="48"/>
          <w:color w:val="000000" w:themeColor="text1"/>
          <w:sz w:val="30"/>
          <w:szCs w:val="30"/>
        </w:rPr>
        <w:t>当月应付费用＝（实际综合得分＋20）÷100 × 合同约定当月费用</w:t>
      </w:r>
    </w:p>
    <w:p w14:paraId="787BE7CE">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lang w:bidi="ar"/>
        </w:rPr>
        <w:t>14</w:t>
      </w:r>
      <w:r>
        <w:rPr>
          <w:color w:val="000000" w:themeColor="text1"/>
          <w:sz w:val="30"/>
          <w:szCs w:val="30"/>
          <w:lang w:bidi="ar"/>
        </w:rPr>
        <w:t>.</w:t>
      </w:r>
      <w:r>
        <w:rPr>
          <w:rFonts w:hint="eastAsia"/>
          <w:color w:val="000000" w:themeColor="text1"/>
          <w:sz w:val="30"/>
          <w:szCs w:val="30"/>
          <w:lang w:bidi="ar"/>
        </w:rPr>
        <w:t>3</w:t>
      </w:r>
      <w:r>
        <w:rPr>
          <w:color w:val="000000" w:themeColor="text1"/>
          <w:sz w:val="30"/>
          <w:szCs w:val="30"/>
          <w:lang w:bidi="ar"/>
        </w:rPr>
        <w:t xml:space="preserve"> </w:t>
      </w:r>
      <w:r>
        <w:rPr>
          <w:rFonts w:hint="eastAsia"/>
          <w:color w:val="000000" w:themeColor="text1"/>
          <w:sz w:val="30"/>
          <w:szCs w:val="30"/>
        </w:rPr>
        <w:t>说明：本公式为得分折算基数，不包含第十三条的排名比例扣款、附件 1 内专项经济扣罚；所有排名扣款、违规经济扣罚，统一在当月一次性合并扣除，不再另行单独通知服务商。</w:t>
      </w:r>
    </w:p>
    <w:p w14:paraId="4478B8F4">
      <w:pPr>
        <w:pStyle w:val="4"/>
        <w:widowControl/>
        <w:spacing w:line="560" w:lineRule="exact"/>
        <w:jc w:val="center"/>
        <w:rPr>
          <w:color w:val="000000" w:themeColor="text1"/>
          <w:sz w:val="30"/>
          <w:szCs w:val="30"/>
        </w:rPr>
      </w:pPr>
      <w:r>
        <w:rPr>
          <w:color w:val="000000" w:themeColor="text1"/>
          <w:sz w:val="30"/>
          <w:szCs w:val="30"/>
        </w:rPr>
        <w:t>第六章 异议、申诉流程</w:t>
      </w:r>
    </w:p>
    <w:p w14:paraId="665C50DD">
      <w:pPr>
        <w:pStyle w:val="5"/>
        <w:widowControl/>
        <w:spacing w:line="560" w:lineRule="exact"/>
        <w:ind w:firstLine="602" w:firstLineChars="200"/>
        <w:rPr>
          <w:color w:val="000000" w:themeColor="text1"/>
          <w:sz w:val="30"/>
          <w:szCs w:val="30"/>
        </w:rPr>
      </w:pPr>
      <w:r>
        <w:rPr>
          <w:color w:val="000000" w:themeColor="text1"/>
          <w:sz w:val="30"/>
          <w:szCs w:val="30"/>
        </w:rPr>
        <w:t>第</w:t>
      </w:r>
      <w:r>
        <w:rPr>
          <w:rFonts w:hint="eastAsia"/>
          <w:color w:val="000000" w:themeColor="text1"/>
          <w:sz w:val="30"/>
          <w:szCs w:val="30"/>
        </w:rPr>
        <w:t>十五</w:t>
      </w:r>
      <w:r>
        <w:rPr>
          <w:color w:val="000000" w:themeColor="text1"/>
          <w:sz w:val="30"/>
          <w:szCs w:val="30"/>
        </w:rPr>
        <w:t>条 异议与申诉</w:t>
      </w:r>
    </w:p>
    <w:p w14:paraId="7E972185">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15</w:t>
      </w:r>
      <w:r>
        <w:rPr>
          <w:color w:val="000000" w:themeColor="text1"/>
          <w:sz w:val="30"/>
          <w:szCs w:val="30"/>
        </w:rPr>
        <w:t xml:space="preserve">.1 每月考核结果书面告知服务商，随附考核扣分明细、佐证材料。 </w:t>
      </w:r>
    </w:p>
    <w:p w14:paraId="06EDF976">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15</w:t>
      </w:r>
      <w:r>
        <w:rPr>
          <w:color w:val="000000" w:themeColor="text1"/>
          <w:sz w:val="30"/>
          <w:szCs w:val="30"/>
        </w:rPr>
        <w:t>.2 服务商对考核结果存有异议，应当在</w:t>
      </w:r>
      <w:r>
        <w:rPr>
          <w:rStyle w:val="48"/>
          <w:color w:val="000000" w:themeColor="text1"/>
          <w:sz w:val="30"/>
          <w:szCs w:val="30"/>
        </w:rPr>
        <w:t>收到考核结果 3 个工作日内，向甲方考核小组提交正式书面申辩材料，并附相应证据</w:t>
      </w:r>
      <w:r>
        <w:rPr>
          <w:color w:val="000000" w:themeColor="text1"/>
          <w:sz w:val="30"/>
          <w:szCs w:val="30"/>
        </w:rPr>
        <w:t>；逾期不予受理。</w:t>
      </w:r>
    </w:p>
    <w:p w14:paraId="7287C701">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15</w:t>
      </w:r>
      <w:r>
        <w:rPr>
          <w:color w:val="000000" w:themeColor="text1"/>
          <w:sz w:val="30"/>
          <w:szCs w:val="30"/>
        </w:rPr>
        <w:t>.3 甲方考核小组收到申辩材料后，于</w:t>
      </w:r>
      <w:r>
        <w:rPr>
          <w:rStyle w:val="48"/>
          <w:color w:val="000000" w:themeColor="text1"/>
          <w:sz w:val="30"/>
          <w:szCs w:val="30"/>
        </w:rPr>
        <w:t>5 个工作日内完成复核，出具复核结论，复核结果为最终考核结果</w:t>
      </w:r>
      <w:r>
        <w:rPr>
          <w:color w:val="000000" w:themeColor="text1"/>
          <w:sz w:val="30"/>
          <w:szCs w:val="30"/>
        </w:rPr>
        <w:t xml:space="preserve">。 </w:t>
      </w:r>
    </w:p>
    <w:p w14:paraId="5DEA78D5">
      <w:pPr>
        <w:pStyle w:val="41"/>
        <w:spacing w:beforeAutospacing="0" w:afterAutospacing="0" w:line="560" w:lineRule="exact"/>
        <w:ind w:firstLine="600" w:firstLineChars="200"/>
        <w:rPr>
          <w:rFonts w:hint="eastAsia"/>
          <w:color w:val="000000" w:themeColor="text1"/>
          <w:sz w:val="30"/>
          <w:szCs w:val="30"/>
        </w:rPr>
      </w:pPr>
      <w:r>
        <w:rPr>
          <w:rFonts w:hint="eastAsia"/>
          <w:color w:val="000000" w:themeColor="text1"/>
          <w:sz w:val="30"/>
          <w:szCs w:val="30"/>
        </w:rPr>
        <w:t>15</w:t>
      </w:r>
      <w:r>
        <w:rPr>
          <w:color w:val="000000" w:themeColor="text1"/>
          <w:sz w:val="30"/>
          <w:szCs w:val="30"/>
        </w:rPr>
        <w:t>.4 服务商如不接受复核决定，可依法向</w:t>
      </w:r>
      <w:r>
        <w:rPr>
          <w:rFonts w:hint="eastAsia"/>
          <w:color w:val="000000" w:themeColor="text1"/>
          <w:sz w:val="30"/>
          <w:szCs w:val="30"/>
        </w:rPr>
        <w:t>甲方</w:t>
      </w:r>
      <w:r>
        <w:rPr>
          <w:color w:val="000000" w:themeColor="text1"/>
          <w:sz w:val="30"/>
          <w:szCs w:val="30"/>
        </w:rPr>
        <w:t>所在地人民法院提起诉讼。</w:t>
      </w:r>
    </w:p>
    <w:p w14:paraId="072A6CCF">
      <w:pPr>
        <w:pStyle w:val="4"/>
        <w:widowControl/>
        <w:spacing w:line="560" w:lineRule="exact"/>
        <w:jc w:val="center"/>
        <w:rPr>
          <w:color w:val="000000" w:themeColor="text1"/>
          <w:sz w:val="30"/>
          <w:szCs w:val="30"/>
        </w:rPr>
      </w:pPr>
      <w:r>
        <w:rPr>
          <w:color w:val="000000" w:themeColor="text1"/>
          <w:sz w:val="30"/>
          <w:szCs w:val="30"/>
        </w:rPr>
        <w:t>第</w:t>
      </w:r>
      <w:r>
        <w:rPr>
          <w:rFonts w:hint="eastAsia"/>
          <w:color w:val="000000" w:themeColor="text1"/>
          <w:sz w:val="30"/>
          <w:szCs w:val="30"/>
        </w:rPr>
        <w:t>七</w:t>
      </w:r>
      <w:r>
        <w:rPr>
          <w:color w:val="000000" w:themeColor="text1"/>
          <w:sz w:val="30"/>
          <w:szCs w:val="30"/>
        </w:rPr>
        <w:t>章 奖励机制</w:t>
      </w:r>
    </w:p>
    <w:p w14:paraId="019CE41F">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第十</w:t>
      </w:r>
      <w:r>
        <w:rPr>
          <w:rStyle w:val="48"/>
          <w:rFonts w:hint="eastAsia"/>
          <w:color w:val="000000" w:themeColor="text1"/>
          <w:sz w:val="30"/>
          <w:szCs w:val="30"/>
        </w:rPr>
        <w:t>六</w:t>
      </w:r>
      <w:r>
        <w:rPr>
          <w:rStyle w:val="48"/>
          <w:color w:val="000000" w:themeColor="text1"/>
          <w:sz w:val="30"/>
          <w:szCs w:val="30"/>
        </w:rPr>
        <w:t>条 奖励情形</w:t>
      </w:r>
      <w:r>
        <w:rPr>
          <w:color w:val="000000" w:themeColor="text1"/>
          <w:sz w:val="30"/>
          <w:szCs w:val="30"/>
        </w:rPr>
        <w:t xml:space="preserve"> 出现下列情形，甲方可以给予个人现金奖励，同时可予以书面通报表扬，奖励计入专项考核加分：</w:t>
      </w:r>
    </w:p>
    <w:p w14:paraId="7AE81F19">
      <w:pPr>
        <w:widowControl/>
        <w:numPr>
          <w:ilvl w:val="0"/>
          <w:numId w:val="15"/>
        </w:numPr>
        <w:spacing w:line="560" w:lineRule="exact"/>
        <w:ind w:firstLine="600" w:firstLineChars="200"/>
        <w:rPr>
          <w:color w:val="000000" w:themeColor="text1"/>
          <w:sz w:val="30"/>
          <w:szCs w:val="30"/>
        </w:rPr>
      </w:pPr>
      <w:r>
        <w:rPr>
          <w:color w:val="000000" w:themeColor="text1"/>
          <w:sz w:val="30"/>
          <w:szCs w:val="30"/>
        </w:rPr>
        <w:t>及时发现重大安全隐患上报，有效避免安全事故；</w:t>
      </w:r>
    </w:p>
    <w:p w14:paraId="35FDF7DF">
      <w:pPr>
        <w:widowControl/>
        <w:numPr>
          <w:ilvl w:val="0"/>
          <w:numId w:val="15"/>
        </w:numPr>
        <w:spacing w:line="560" w:lineRule="exact"/>
        <w:ind w:firstLine="600" w:firstLineChars="200"/>
        <w:rPr>
          <w:color w:val="000000" w:themeColor="text1"/>
          <w:sz w:val="30"/>
          <w:szCs w:val="30"/>
        </w:rPr>
      </w:pPr>
      <w:r>
        <w:rPr>
          <w:color w:val="000000" w:themeColor="text1"/>
          <w:sz w:val="30"/>
          <w:szCs w:val="30"/>
        </w:rPr>
        <w:t>突发事件应急处置表现突出；</w:t>
      </w:r>
    </w:p>
    <w:p w14:paraId="6B1AF9B4">
      <w:pPr>
        <w:widowControl/>
        <w:numPr>
          <w:ilvl w:val="0"/>
          <w:numId w:val="15"/>
        </w:numPr>
        <w:spacing w:line="560" w:lineRule="exact"/>
        <w:ind w:firstLine="600" w:firstLineChars="200"/>
        <w:rPr>
          <w:color w:val="000000" w:themeColor="text1"/>
          <w:sz w:val="30"/>
          <w:szCs w:val="30"/>
        </w:rPr>
      </w:pPr>
      <w:r>
        <w:rPr>
          <w:rFonts w:hint="eastAsia"/>
          <w:color w:val="000000" w:themeColor="text1"/>
          <w:sz w:val="30"/>
          <w:szCs w:val="30"/>
        </w:rPr>
        <w:t>工作认真负责，圆满完成甲方服务需求</w:t>
      </w:r>
      <w:r>
        <w:rPr>
          <w:color w:val="000000" w:themeColor="text1"/>
          <w:sz w:val="30"/>
          <w:szCs w:val="30"/>
        </w:rPr>
        <w:t>；</w:t>
      </w:r>
    </w:p>
    <w:p w14:paraId="04EA6A7A">
      <w:pPr>
        <w:widowControl/>
        <w:numPr>
          <w:ilvl w:val="0"/>
          <w:numId w:val="15"/>
        </w:numPr>
        <w:spacing w:line="560" w:lineRule="exact"/>
        <w:ind w:firstLine="600" w:firstLineChars="200"/>
        <w:rPr>
          <w:color w:val="000000" w:themeColor="text1"/>
          <w:sz w:val="30"/>
          <w:szCs w:val="30"/>
        </w:rPr>
      </w:pPr>
      <w:r>
        <w:rPr>
          <w:color w:val="000000" w:themeColor="text1"/>
          <w:sz w:val="30"/>
          <w:szCs w:val="30"/>
        </w:rPr>
        <w:t>服务获得市级以上媒体正面报道或者上级部门通报表扬；</w:t>
      </w:r>
    </w:p>
    <w:p w14:paraId="30037601">
      <w:pPr>
        <w:widowControl/>
        <w:numPr>
          <w:ilvl w:val="0"/>
          <w:numId w:val="15"/>
        </w:numPr>
        <w:spacing w:line="560" w:lineRule="exact"/>
        <w:ind w:firstLine="600" w:firstLineChars="200"/>
        <w:rPr>
          <w:color w:val="000000" w:themeColor="text1"/>
          <w:sz w:val="30"/>
          <w:szCs w:val="30"/>
        </w:rPr>
      </w:pPr>
      <w:r>
        <w:rPr>
          <w:color w:val="000000" w:themeColor="text1"/>
          <w:sz w:val="30"/>
          <w:szCs w:val="30"/>
        </w:rPr>
        <w:t>甲方认定其他应予表彰奖励情形。</w:t>
      </w:r>
    </w:p>
    <w:p w14:paraId="0FD2DA3C">
      <w:pPr>
        <w:pStyle w:val="4"/>
        <w:widowControl/>
        <w:spacing w:line="560" w:lineRule="exact"/>
        <w:jc w:val="center"/>
        <w:rPr>
          <w:color w:val="000000" w:themeColor="text1"/>
          <w:sz w:val="30"/>
          <w:szCs w:val="30"/>
        </w:rPr>
      </w:pPr>
      <w:r>
        <w:rPr>
          <w:color w:val="000000" w:themeColor="text1"/>
          <w:sz w:val="30"/>
          <w:szCs w:val="30"/>
        </w:rPr>
        <w:t>第</w:t>
      </w:r>
      <w:r>
        <w:rPr>
          <w:rFonts w:hint="eastAsia"/>
          <w:color w:val="000000" w:themeColor="text1"/>
          <w:sz w:val="30"/>
          <w:szCs w:val="30"/>
        </w:rPr>
        <w:t>八</w:t>
      </w:r>
      <w:r>
        <w:rPr>
          <w:color w:val="000000" w:themeColor="text1"/>
          <w:sz w:val="30"/>
          <w:szCs w:val="30"/>
        </w:rPr>
        <w:t>章 附则</w:t>
      </w:r>
    </w:p>
    <w:p w14:paraId="270AE96B">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十七</w:t>
      </w:r>
      <w:r>
        <w:rPr>
          <w:rStyle w:val="48"/>
          <w:color w:val="000000" w:themeColor="text1"/>
          <w:sz w:val="30"/>
          <w:szCs w:val="30"/>
        </w:rPr>
        <w:t>条 结果运用</w:t>
      </w:r>
      <w:r>
        <w:rPr>
          <w:color w:val="000000" w:themeColor="text1"/>
          <w:sz w:val="30"/>
          <w:szCs w:val="30"/>
        </w:rPr>
        <w:t xml:space="preserve"> 月度考核结果直接用于</w:t>
      </w:r>
      <w:r>
        <w:rPr>
          <w:rFonts w:hint="eastAsia"/>
          <w:color w:val="000000" w:themeColor="text1"/>
          <w:sz w:val="30"/>
          <w:szCs w:val="30"/>
        </w:rPr>
        <w:t>当月（节日）</w:t>
      </w:r>
      <w:r>
        <w:rPr>
          <w:color w:val="000000" w:themeColor="text1"/>
          <w:sz w:val="30"/>
          <w:szCs w:val="30"/>
        </w:rPr>
        <w:t>服务费结算；年度全部月度考核汇总结果，作为服务商后续采购项目遴选重要参考。</w:t>
      </w:r>
    </w:p>
    <w:p w14:paraId="68A97B7F">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十八</w:t>
      </w:r>
      <w:r>
        <w:rPr>
          <w:rStyle w:val="48"/>
          <w:color w:val="000000" w:themeColor="text1"/>
          <w:sz w:val="30"/>
          <w:szCs w:val="30"/>
        </w:rPr>
        <w:t>条 配套关系</w:t>
      </w:r>
      <w:r>
        <w:rPr>
          <w:color w:val="000000" w:themeColor="text1"/>
          <w:sz w:val="30"/>
          <w:szCs w:val="30"/>
        </w:rPr>
        <w:t xml:space="preserve"> 本办法与《附件1：</w:t>
      </w:r>
      <w:r>
        <w:rPr>
          <w:rFonts w:hint="eastAsia"/>
          <w:color w:val="000000" w:themeColor="text1"/>
          <w:sz w:val="30"/>
          <w:szCs w:val="30"/>
        </w:rPr>
        <w:t>服务细化考核处罚规则（扣分 + 经济扣罚）</w:t>
      </w:r>
      <w:r>
        <w:rPr>
          <w:color w:val="000000" w:themeColor="text1"/>
          <w:sz w:val="30"/>
          <w:szCs w:val="30"/>
        </w:rPr>
        <w:t>》、附件 2 月度</w:t>
      </w:r>
      <w:r>
        <w:rPr>
          <w:rFonts w:hint="eastAsia"/>
          <w:color w:val="000000" w:themeColor="text1"/>
          <w:sz w:val="30"/>
          <w:szCs w:val="30"/>
        </w:rPr>
        <w:t>服务</w:t>
      </w:r>
      <w:r>
        <w:rPr>
          <w:color w:val="000000" w:themeColor="text1"/>
          <w:sz w:val="30"/>
          <w:szCs w:val="30"/>
        </w:rPr>
        <w:t xml:space="preserve">考核评价表、附件 3 </w:t>
      </w:r>
      <w:r>
        <w:rPr>
          <w:rFonts w:hint="eastAsia"/>
          <w:color w:val="000000" w:themeColor="text1"/>
          <w:sz w:val="30"/>
          <w:szCs w:val="30"/>
        </w:rPr>
        <w:t>服务违规</w:t>
      </w:r>
      <w:r>
        <w:rPr>
          <w:color w:val="000000" w:themeColor="text1"/>
          <w:sz w:val="30"/>
          <w:szCs w:val="30"/>
        </w:rPr>
        <w:t>处罚</w:t>
      </w:r>
      <w:r>
        <w:rPr>
          <w:rFonts w:hint="eastAsia"/>
          <w:color w:val="000000" w:themeColor="text1"/>
          <w:sz w:val="30"/>
          <w:szCs w:val="30"/>
        </w:rPr>
        <w:t>及</w:t>
      </w:r>
      <w:r>
        <w:rPr>
          <w:color w:val="000000" w:themeColor="text1"/>
          <w:sz w:val="30"/>
          <w:szCs w:val="30"/>
        </w:rPr>
        <w:t xml:space="preserve">整改通知单、附件 4 </w:t>
      </w:r>
      <w:r>
        <w:rPr>
          <w:rFonts w:hint="eastAsia"/>
          <w:color w:val="000000" w:themeColor="text1"/>
          <w:sz w:val="30"/>
          <w:szCs w:val="30"/>
        </w:rPr>
        <w:t>服务</w:t>
      </w:r>
      <w:r>
        <w:rPr>
          <w:color w:val="000000" w:themeColor="text1"/>
          <w:sz w:val="30"/>
          <w:szCs w:val="30"/>
        </w:rPr>
        <w:t>月度考核汇总表配套执行，互为补充。考核细则表格内经济扣罚与本办法计分、结算条款冲突，以本管理办法规定为准。</w:t>
      </w:r>
    </w:p>
    <w:p w14:paraId="48F397DE">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十九</w:t>
      </w:r>
      <w:r>
        <w:rPr>
          <w:rStyle w:val="48"/>
          <w:color w:val="000000" w:themeColor="text1"/>
          <w:sz w:val="30"/>
          <w:szCs w:val="30"/>
        </w:rPr>
        <w:t>条 解释权</w:t>
      </w:r>
      <w:r>
        <w:rPr>
          <w:color w:val="000000" w:themeColor="text1"/>
          <w:sz w:val="30"/>
          <w:szCs w:val="30"/>
        </w:rPr>
        <w:t xml:space="preserve"> 本</w:t>
      </w:r>
      <w:r>
        <w:rPr>
          <w:rFonts w:hint="eastAsia"/>
          <w:color w:val="000000" w:themeColor="text1"/>
          <w:sz w:val="30"/>
          <w:szCs w:val="30"/>
        </w:rPr>
        <w:t>办法解释权归中山陵园管理局安全保卫处</w:t>
      </w:r>
      <w:r>
        <w:rPr>
          <w:color w:val="000000" w:themeColor="text1"/>
          <w:sz w:val="30"/>
          <w:szCs w:val="30"/>
        </w:rPr>
        <w:t>。</w:t>
      </w:r>
    </w:p>
    <w:p w14:paraId="44160C98">
      <w:pPr>
        <w:pStyle w:val="41"/>
        <w:spacing w:beforeAutospacing="0" w:afterAutospacing="0" w:line="560" w:lineRule="exact"/>
        <w:ind w:firstLine="602" w:firstLineChars="200"/>
        <w:rPr>
          <w:rFonts w:hint="eastAsia"/>
          <w:color w:val="000000" w:themeColor="text1"/>
          <w:sz w:val="30"/>
          <w:szCs w:val="30"/>
        </w:rPr>
      </w:pPr>
      <w:r>
        <w:rPr>
          <w:rStyle w:val="48"/>
          <w:color w:val="000000" w:themeColor="text1"/>
          <w:sz w:val="30"/>
          <w:szCs w:val="30"/>
        </w:rPr>
        <w:t>第</w:t>
      </w:r>
      <w:r>
        <w:rPr>
          <w:rStyle w:val="48"/>
          <w:rFonts w:hint="eastAsia"/>
          <w:color w:val="000000" w:themeColor="text1"/>
          <w:sz w:val="30"/>
          <w:szCs w:val="30"/>
        </w:rPr>
        <w:t>二十</w:t>
      </w:r>
      <w:r>
        <w:rPr>
          <w:rStyle w:val="48"/>
          <w:color w:val="000000" w:themeColor="text1"/>
          <w:sz w:val="30"/>
          <w:szCs w:val="30"/>
        </w:rPr>
        <w:t>条 生效时间</w:t>
      </w:r>
      <w:r>
        <w:rPr>
          <w:color w:val="000000" w:themeColor="text1"/>
          <w:sz w:val="30"/>
          <w:szCs w:val="30"/>
        </w:rPr>
        <w:t xml:space="preserve"> 本办法自</w:t>
      </w:r>
      <w:r>
        <w:rPr>
          <w:rFonts w:hint="eastAsia"/>
          <w:color w:val="000000" w:themeColor="text1"/>
          <w:sz w:val="30"/>
          <w:szCs w:val="30"/>
        </w:rPr>
        <w:t>项目</w:t>
      </w:r>
      <w:r>
        <w:rPr>
          <w:color w:val="000000" w:themeColor="text1"/>
          <w:sz w:val="30"/>
          <w:szCs w:val="30"/>
        </w:rPr>
        <w:t>服务合同签订之日起生效。</w:t>
      </w:r>
    </w:p>
    <w:p w14:paraId="1CEE011B">
      <w:pPr>
        <w:rPr>
          <w:color w:val="000000" w:themeColor="text1"/>
          <w:sz w:val="30"/>
          <w:szCs w:val="30"/>
        </w:rPr>
      </w:pPr>
      <w:r>
        <w:rPr>
          <w:color w:val="000000" w:themeColor="text1"/>
          <w:sz w:val="30"/>
          <w:szCs w:val="30"/>
        </w:rPr>
        <w:br w:type="page"/>
      </w:r>
    </w:p>
    <w:p w14:paraId="71AD3322">
      <w:pPr>
        <w:pStyle w:val="2"/>
        <w:rPr>
          <w:color w:val="000000" w:themeColor="text1"/>
        </w:rPr>
      </w:pPr>
    </w:p>
    <w:p w14:paraId="1C8FA6C0">
      <w:pPr>
        <w:rPr>
          <w:color w:val="000000" w:themeColor="text1"/>
        </w:rPr>
      </w:pPr>
      <w:r>
        <w:rPr>
          <w:color w:val="000000" w:themeColor="text1"/>
        </w:rPr>
        <w:object>
          <v:shape id="_x0000_i1025" o:spt="75" type="#_x0000_t75" style="height:617.85pt;width:452.95pt;" o:ole="t" filled="f" o:preferrelative="t" stroked="f" coordsize="21600,21600">
            <v:path/>
            <v:fill on="f" focussize="0,0"/>
            <v:stroke on="f" joinstyle="miter"/>
            <v:imagedata r:id="rId10" o:title=""/>
            <o:lock v:ext="edit" aspectratio="f"/>
            <w10:wrap type="none"/>
            <w10:anchorlock/>
          </v:shape>
          <o:OLEObject Type="Embed" ProgID="Excel.Sheet.12" ShapeID="_x0000_i1025" DrawAspect="Content" ObjectID="_1468075725" r:id="rId9">
            <o:LockedField>false</o:LockedField>
          </o:OLEObject>
        </w:object>
      </w:r>
      <w:r>
        <w:rPr>
          <w:color w:val="000000" w:themeColor="text1"/>
        </w:rPr>
        <w:br w:type="page"/>
      </w:r>
    </w:p>
    <w:p w14:paraId="4DFCCFEB">
      <w:pPr>
        <w:pStyle w:val="2"/>
        <w:jc w:val="center"/>
        <w:rPr>
          <w:color w:val="000000" w:themeColor="text1"/>
        </w:rPr>
      </w:pPr>
      <w:r>
        <w:rPr>
          <w:color w:val="000000" w:themeColor="text1"/>
        </w:rPr>
        <w:object>
          <v:shape id="_x0000_i1026" o:spt="75" type="#_x0000_t75" style="height:612.85pt;width:452.95pt;" o:ole="t" filled="f" o:preferrelative="t" stroked="f" coordsize="21600,21600">
            <v:path/>
            <v:fill on="f" focussize="0,0"/>
            <v:stroke on="f" joinstyle="miter"/>
            <v:imagedata r:id="rId12" o:title=""/>
            <o:lock v:ext="edit" aspectratio="f"/>
            <w10:wrap type="none"/>
            <w10:anchorlock/>
          </v:shape>
          <o:OLEObject Type="Embed" ProgID="Excel.Sheet.12" ShapeID="_x0000_i1026" DrawAspect="Content" ObjectID="_1468075726" r:id="rId11">
            <o:LockedField>false</o:LockedField>
          </o:OLEObject>
        </w:object>
      </w:r>
    </w:p>
    <w:p w14:paraId="76C13EBD">
      <w:pPr>
        <w:rPr>
          <w:color w:val="000000" w:themeColor="text1"/>
        </w:rPr>
      </w:pPr>
      <w:r>
        <w:rPr>
          <w:color w:val="000000" w:themeColor="text1"/>
        </w:rPr>
        <w:br w:type="page"/>
      </w:r>
    </w:p>
    <w:p w14:paraId="6E90C6BA">
      <w:pPr>
        <w:pStyle w:val="2"/>
        <w:rPr>
          <w:color w:val="000000" w:themeColor="text1"/>
        </w:rPr>
      </w:pPr>
      <w:r>
        <w:rPr>
          <w:color w:val="000000" w:themeColor="text1"/>
        </w:rPr>
        <w:object>
          <v:shape id="_x0000_i1027" o:spt="75" type="#_x0000_t75" style="height:612.85pt;width:452.95pt;" o:ole="t" filled="f" o:preferrelative="t" stroked="f" coordsize="21600,21600">
            <v:path/>
            <v:fill on="f" focussize="0,0"/>
            <v:stroke on="f" joinstyle="miter"/>
            <v:imagedata r:id="rId14" o:title=""/>
            <o:lock v:ext="edit" aspectratio="f"/>
            <w10:wrap type="none"/>
            <w10:anchorlock/>
          </v:shape>
          <o:OLEObject Type="Embed" ProgID="Excel.Sheet.12" ShapeID="_x0000_i1027" DrawAspect="Content" ObjectID="_1468075727" r:id="rId13">
            <o:LockedField>false</o:LockedField>
          </o:OLEObject>
        </w:object>
      </w:r>
    </w:p>
    <w:p w14:paraId="4324C754">
      <w:pPr>
        <w:rPr>
          <w:color w:val="000000" w:themeColor="text1"/>
        </w:rPr>
      </w:pPr>
      <w:r>
        <w:rPr>
          <w:color w:val="000000" w:themeColor="text1"/>
        </w:rPr>
        <w:br w:type="page"/>
      </w:r>
    </w:p>
    <w:p w14:paraId="74FFC1CC">
      <w:pPr>
        <w:pStyle w:val="2"/>
        <w:rPr>
          <w:color w:val="000000" w:themeColor="text1"/>
        </w:rPr>
      </w:pPr>
      <w:r>
        <w:rPr>
          <w:color w:val="000000" w:themeColor="text1"/>
        </w:rPr>
        <w:object>
          <v:shape id="_x0000_i1028" o:spt="75" type="#_x0000_t75" style="height:612.85pt;width:452.95pt;" o:ole="t" filled="f" o:preferrelative="t" stroked="f" coordsize="21600,21600">
            <v:path/>
            <v:fill on="f" focussize="0,0"/>
            <v:stroke on="f" joinstyle="miter"/>
            <v:imagedata r:id="rId16" o:title=""/>
            <o:lock v:ext="edit" aspectratio="f"/>
            <w10:wrap type="none"/>
            <w10:anchorlock/>
          </v:shape>
          <o:OLEObject Type="Embed" ProgID="Excel.Sheet.12" ShapeID="_x0000_i1028" DrawAspect="Content" ObjectID="_1468075728" r:id="rId15">
            <o:LockedField>false</o:LockedField>
          </o:OLEObject>
        </w:object>
      </w:r>
    </w:p>
    <w:p w14:paraId="12BA989D">
      <w:pPr>
        <w:rPr>
          <w:color w:val="000000" w:themeColor="text1"/>
        </w:rPr>
      </w:pPr>
      <w:r>
        <w:rPr>
          <w:color w:val="000000" w:themeColor="text1"/>
        </w:rPr>
        <w:br w:type="page"/>
      </w:r>
    </w:p>
    <w:p w14:paraId="1B7D68EC">
      <w:pPr>
        <w:pStyle w:val="2"/>
        <w:rPr>
          <w:color w:val="000000" w:themeColor="text1"/>
        </w:rPr>
      </w:pPr>
      <w:r>
        <w:rPr>
          <w:color w:val="000000" w:themeColor="text1"/>
        </w:rPr>
        <w:object>
          <v:shape id="_x0000_i1029" o:spt="75" type="#_x0000_t75" style="height:269.6pt;width:452.95pt;" o:ole="t" filled="f" o:preferrelative="t" stroked="f" coordsize="21600,21600">
            <v:path/>
            <v:fill on="f" focussize="0,0"/>
            <v:stroke on="f" joinstyle="miter"/>
            <v:imagedata r:id="rId18" o:title=""/>
            <o:lock v:ext="edit" aspectratio="f"/>
            <w10:wrap type="none"/>
            <w10:anchorlock/>
          </v:shape>
          <o:OLEObject Type="Embed" ProgID="Excel.Sheet.12" ShapeID="_x0000_i1029" DrawAspect="Content" ObjectID="_1468075729" r:id="rId17">
            <o:LockedField>false</o:LockedField>
          </o:OLEObject>
        </w:object>
      </w:r>
    </w:p>
    <w:p w14:paraId="352EEDD1">
      <w:pPr>
        <w:rPr>
          <w:color w:val="000000" w:themeColor="text1"/>
        </w:rPr>
      </w:pPr>
      <w:r>
        <w:rPr>
          <w:color w:val="000000" w:themeColor="text1"/>
        </w:rPr>
        <w:br w:type="page"/>
      </w:r>
    </w:p>
    <w:p w14:paraId="64663AB9">
      <w:pPr>
        <w:rPr>
          <w:rFonts w:hint="eastAsia" w:ascii="黑体" w:hAnsi="黑体" w:eastAsia="黑体" w:cs="黑体"/>
          <w:color w:val="000000" w:themeColor="text1"/>
          <w:sz w:val="32"/>
          <w:szCs w:val="32"/>
        </w:rPr>
      </w:pPr>
      <w:r>
        <w:rPr>
          <w:rFonts w:hint="eastAsia" w:ascii="黑体" w:hAnsi="黑体" w:eastAsia="黑体" w:cs="黑体"/>
          <w:color w:val="000000" w:themeColor="text1"/>
          <w:sz w:val="32"/>
          <w:szCs w:val="32"/>
        </w:rPr>
        <w:t>附件3</w:t>
      </w:r>
    </w:p>
    <w:p w14:paraId="40E7B634">
      <w:pPr>
        <w:jc w:val="center"/>
        <w:rPr>
          <w:rFonts w:hint="eastAsia" w:ascii="方正小标宋简体" w:hAnsi="方正小标宋简体" w:eastAsia="方正小标宋简体" w:cs="方正小标宋简体"/>
          <w:color w:val="000000" w:themeColor="text1"/>
          <w:sz w:val="44"/>
          <w:szCs w:val="44"/>
        </w:rPr>
      </w:pPr>
      <w:r>
        <w:rPr>
          <w:rFonts w:hint="eastAsia" w:ascii="方正小标宋简体" w:hAnsi="方正小标宋简体" w:eastAsia="方正小标宋简体" w:cs="方正小标宋简体"/>
          <w:color w:val="000000" w:themeColor="text1"/>
          <w:sz w:val="44"/>
          <w:szCs w:val="44"/>
        </w:rPr>
        <w:t>服务违规处罚及整改通知单</w:t>
      </w:r>
    </w:p>
    <w:p w14:paraId="1445D16B">
      <w:pPr>
        <w:pStyle w:val="41"/>
        <w:spacing w:beforeAutospacing="0" w:afterAutospacing="0"/>
        <w:rPr>
          <w:rFonts w:hint="eastAsia"/>
          <w:color w:val="000000" w:themeColor="text1"/>
          <w:sz w:val="32"/>
          <w:szCs w:val="32"/>
        </w:rPr>
      </w:pPr>
    </w:p>
    <w:p w14:paraId="557FB842">
      <w:pPr>
        <w:pStyle w:val="41"/>
        <w:spacing w:beforeAutospacing="0" w:afterAutospacing="0"/>
        <w:rPr>
          <w:rFonts w:hint="eastAsia"/>
          <w:color w:val="000000" w:themeColor="text1"/>
          <w:sz w:val="32"/>
          <w:szCs w:val="32"/>
        </w:rPr>
      </w:pPr>
      <w:r>
        <w:rPr>
          <w:color w:val="000000" w:themeColor="text1"/>
          <w:sz w:val="32"/>
          <w:szCs w:val="32"/>
        </w:rPr>
        <w:t>编号</w:t>
      </w:r>
      <w:r>
        <w:rPr>
          <w:rFonts w:hint="eastAsia"/>
          <w:color w:val="000000" w:themeColor="text1"/>
          <w:sz w:val="32"/>
          <w:szCs w:val="32"/>
        </w:rPr>
        <w:t>：</w:t>
      </w:r>
      <w:r>
        <w:rPr>
          <w:rFonts w:hint="eastAsia"/>
          <w:color w:val="000000" w:themeColor="text1"/>
          <w:sz w:val="32"/>
          <w:szCs w:val="32"/>
          <w:u w:val="single"/>
        </w:rPr>
        <w:t xml:space="preserve">      陵园安保罚</w:t>
      </w:r>
      <w:r>
        <w:rPr>
          <w:rFonts w:hint="eastAsia" w:ascii="黑体" w:hAnsi="黑体" w:eastAsia="黑体" w:cs="黑体"/>
          <w:color w:val="000000" w:themeColor="text1"/>
          <w:sz w:val="32"/>
          <w:szCs w:val="32"/>
          <w:u w:val="single"/>
        </w:rPr>
        <w:t>〔2026〕第</w:t>
      </w:r>
      <w:r>
        <w:rPr>
          <w:rFonts w:hint="eastAsia" w:eastAsia="黑体"/>
          <w:color w:val="000000" w:themeColor="text1"/>
          <w:sz w:val="32"/>
          <w:szCs w:val="32"/>
          <w:u w:val="single"/>
        </w:rPr>
        <w:t>001号</w:t>
      </w:r>
      <w:r>
        <w:rPr>
          <w:color w:val="000000" w:themeColor="text1"/>
          <w:sz w:val="32"/>
          <w:szCs w:val="32"/>
        </w:rPr>
        <w:t xml:space="preserve">_____ </w:t>
      </w:r>
    </w:p>
    <w:p w14:paraId="1FCC9345">
      <w:pPr>
        <w:pStyle w:val="41"/>
        <w:spacing w:beforeAutospacing="0" w:afterAutospacing="0"/>
        <w:rPr>
          <w:rFonts w:hint="eastAsia"/>
          <w:color w:val="000000" w:themeColor="text1"/>
          <w:sz w:val="32"/>
          <w:szCs w:val="32"/>
        </w:rPr>
      </w:pPr>
      <w:r>
        <w:rPr>
          <w:color w:val="000000" w:themeColor="text1"/>
          <w:sz w:val="32"/>
          <w:szCs w:val="32"/>
        </w:rPr>
        <w:t>致：________________________</w:t>
      </w:r>
      <w:r>
        <w:rPr>
          <w:rFonts w:hint="eastAsia"/>
          <w:color w:val="000000" w:themeColor="text1"/>
          <w:sz w:val="32"/>
          <w:szCs w:val="32"/>
        </w:rPr>
        <w:t>(服务商）</w:t>
      </w:r>
    </w:p>
    <w:p w14:paraId="063A8900">
      <w:pPr>
        <w:pStyle w:val="41"/>
        <w:spacing w:beforeAutospacing="0" w:afterAutospacing="0"/>
        <w:ind w:firstLine="640" w:firstLineChars="200"/>
        <w:rPr>
          <w:rFonts w:hint="eastAsia"/>
          <w:color w:val="000000" w:themeColor="text1"/>
          <w:sz w:val="32"/>
          <w:szCs w:val="32"/>
        </w:rPr>
      </w:pPr>
      <w:r>
        <w:rPr>
          <w:color w:val="000000" w:themeColor="text1"/>
          <w:sz w:val="32"/>
          <w:szCs w:val="32"/>
        </w:rPr>
        <w:t>根据《</w:t>
      </w:r>
      <w:r>
        <w:rPr>
          <w:rFonts w:hint="eastAsia"/>
          <w:color w:val="000000" w:themeColor="text1"/>
          <w:sz w:val="32"/>
          <w:szCs w:val="32"/>
        </w:rPr>
        <w:t>中山陵园风景区服务考核管理办法</w:t>
      </w:r>
      <w:r>
        <w:rPr>
          <w:color w:val="000000" w:themeColor="text1"/>
          <w:sz w:val="32"/>
          <w:szCs w:val="32"/>
        </w:rPr>
        <w:t>》及采购合同相关约定，甲方考核小组于______年____月____日，通过</w:t>
      </w:r>
      <w:r>
        <w:rPr>
          <w:rFonts w:hint="eastAsia"/>
          <w:color w:val="000000" w:themeColor="text1"/>
          <w:sz w:val="32"/>
          <w:szCs w:val="32"/>
        </w:rPr>
        <w:t>□</w:t>
      </w:r>
      <w:r>
        <w:rPr>
          <w:color w:val="000000" w:themeColor="text1"/>
          <w:sz w:val="32"/>
          <w:szCs w:val="32"/>
        </w:rPr>
        <w:t>现场检查</w:t>
      </w:r>
      <w:r>
        <w:rPr>
          <w:rFonts w:hint="eastAsia"/>
          <w:color w:val="000000" w:themeColor="text1"/>
          <w:sz w:val="32"/>
          <w:szCs w:val="32"/>
        </w:rPr>
        <w:t xml:space="preserve"> </w:t>
      </w:r>
    </w:p>
    <w:p w14:paraId="0EA66AB1">
      <w:pPr>
        <w:pStyle w:val="41"/>
        <w:spacing w:beforeAutospacing="0" w:afterAutospacing="0"/>
        <w:rPr>
          <w:rFonts w:hint="eastAsia"/>
          <w:color w:val="000000" w:themeColor="text1"/>
          <w:sz w:val="32"/>
          <w:szCs w:val="32"/>
        </w:rPr>
      </w:pPr>
      <w:r>
        <w:rPr>
          <w:color w:val="000000" w:themeColor="text1"/>
          <w:sz w:val="32"/>
          <w:szCs w:val="32"/>
        </w:rPr>
        <w:t xml:space="preserve"> </w:t>
      </w:r>
      <w:r>
        <w:rPr>
          <w:rFonts w:hint="eastAsia"/>
          <w:color w:val="000000" w:themeColor="text1"/>
          <w:sz w:val="32"/>
          <w:szCs w:val="32"/>
        </w:rPr>
        <w:t>□随机抽查</w:t>
      </w:r>
      <w:r>
        <w:rPr>
          <w:color w:val="000000" w:themeColor="text1"/>
          <w:sz w:val="32"/>
          <w:szCs w:val="32"/>
        </w:rPr>
        <w:t xml:space="preserve"> </w:t>
      </w:r>
      <w:r>
        <w:rPr>
          <w:rFonts w:hint="eastAsia"/>
          <w:color w:val="000000" w:themeColor="text1"/>
          <w:sz w:val="32"/>
          <w:szCs w:val="32"/>
        </w:rPr>
        <w:t>□监控视频检查 □</w:t>
      </w:r>
      <w:r>
        <w:rPr>
          <w:color w:val="000000" w:themeColor="text1"/>
          <w:sz w:val="32"/>
          <w:szCs w:val="32"/>
        </w:rPr>
        <w:t xml:space="preserve">投诉核查 </w:t>
      </w:r>
      <w:r>
        <w:rPr>
          <w:rFonts w:hint="eastAsia"/>
          <w:color w:val="000000" w:themeColor="text1"/>
          <w:sz w:val="32"/>
          <w:szCs w:val="32"/>
        </w:rPr>
        <w:t>□</w:t>
      </w:r>
      <w:r>
        <w:rPr>
          <w:color w:val="000000" w:themeColor="text1"/>
          <w:sz w:val="32"/>
          <w:szCs w:val="32"/>
        </w:rPr>
        <w:t xml:space="preserve">舆情核查 </w:t>
      </w:r>
      <w:r>
        <w:rPr>
          <w:rFonts w:hint="eastAsia"/>
          <w:color w:val="000000" w:themeColor="text1"/>
          <w:sz w:val="32"/>
          <w:szCs w:val="32"/>
        </w:rPr>
        <w:t>□</w:t>
      </w:r>
      <w:r>
        <w:rPr>
          <w:color w:val="000000" w:themeColor="text1"/>
          <w:sz w:val="32"/>
          <w:szCs w:val="32"/>
        </w:rPr>
        <w:t xml:space="preserve">数字化平台 </w:t>
      </w:r>
      <w:r>
        <w:rPr>
          <w:rFonts w:hint="eastAsia"/>
          <w:color w:val="000000" w:themeColor="text1"/>
          <w:sz w:val="32"/>
          <w:szCs w:val="32"/>
        </w:rPr>
        <w:t>□</w:t>
      </w:r>
      <w:r>
        <w:rPr>
          <w:color w:val="000000" w:themeColor="text1"/>
          <w:sz w:val="32"/>
          <w:szCs w:val="32"/>
        </w:rPr>
        <w:t>其他：________方式，查实贵司派驻安保队伍存在以下问题：</w:t>
      </w:r>
    </w:p>
    <w:p w14:paraId="2157C9CA">
      <w:pPr>
        <w:pStyle w:val="4"/>
        <w:widowControl/>
        <w:ind w:firstLine="643" w:firstLineChars="200"/>
        <w:rPr>
          <w:color w:val="000000" w:themeColor="text1"/>
        </w:rPr>
      </w:pPr>
      <w:r>
        <w:rPr>
          <w:color w:val="000000" w:themeColor="text1"/>
        </w:rPr>
        <w:t>一、违规事实描述</w:t>
      </w:r>
    </w:p>
    <w:p w14:paraId="3FE51AC8">
      <w:pPr>
        <w:pStyle w:val="41"/>
        <w:spacing w:beforeAutospacing="0" w:afterAutospacing="0"/>
        <w:ind w:firstLine="640" w:firstLineChars="200"/>
        <w:rPr>
          <w:rStyle w:val="48"/>
          <w:rFonts w:hint="eastAsia"/>
          <w:color w:val="000000" w:themeColor="text1"/>
          <w:sz w:val="32"/>
          <w:szCs w:val="32"/>
        </w:rPr>
      </w:pPr>
      <w:r>
        <w:rPr>
          <w:color w:val="000000" w:themeColor="text1"/>
          <w:sz w:val="32"/>
          <w:szCs w:val="32"/>
        </w:rPr>
        <w:t>1. 发生时间：</w:t>
      </w:r>
      <w:r>
        <w:rPr>
          <w:rStyle w:val="48"/>
          <w:color w:val="000000" w:themeColor="text1"/>
          <w:sz w:val="32"/>
          <w:szCs w:val="32"/>
        </w:rPr>
        <w:t>____年____月____日___时____分</w:t>
      </w:r>
    </w:p>
    <w:p w14:paraId="534140AC">
      <w:pPr>
        <w:pStyle w:val="41"/>
        <w:spacing w:beforeAutospacing="0" w:afterAutospacing="0"/>
        <w:ind w:firstLine="640" w:firstLineChars="200"/>
        <w:rPr>
          <w:rFonts w:hint="eastAsia"/>
          <w:color w:val="000000" w:themeColor="text1"/>
          <w:sz w:val="32"/>
          <w:szCs w:val="32"/>
        </w:rPr>
      </w:pPr>
      <w:r>
        <w:rPr>
          <w:color w:val="000000" w:themeColor="text1"/>
          <w:sz w:val="32"/>
          <w:szCs w:val="32"/>
        </w:rPr>
        <w:t xml:space="preserve">2. 发生地点：______________________ </w:t>
      </w:r>
    </w:p>
    <w:p w14:paraId="095AF468">
      <w:pPr>
        <w:pStyle w:val="41"/>
        <w:spacing w:beforeAutospacing="0" w:afterAutospacing="0"/>
        <w:ind w:firstLine="640" w:firstLineChars="200"/>
        <w:rPr>
          <w:rFonts w:hint="eastAsia"/>
          <w:color w:val="000000" w:themeColor="text1"/>
          <w:sz w:val="32"/>
          <w:szCs w:val="32"/>
        </w:rPr>
      </w:pPr>
      <w:r>
        <w:rPr>
          <w:color w:val="000000" w:themeColor="text1"/>
          <w:sz w:val="32"/>
          <w:szCs w:val="32"/>
        </w:rPr>
        <w:t xml:space="preserve">3. 涉事人员：________________（岗位：________） </w:t>
      </w:r>
    </w:p>
    <w:p w14:paraId="015EFF2B">
      <w:pPr>
        <w:pStyle w:val="41"/>
        <w:spacing w:beforeAutospacing="0" w:afterAutospacing="0"/>
        <w:ind w:firstLine="640" w:firstLineChars="200"/>
        <w:rPr>
          <w:rFonts w:hint="eastAsia"/>
          <w:color w:val="000000" w:themeColor="text1"/>
          <w:sz w:val="32"/>
          <w:szCs w:val="32"/>
        </w:rPr>
      </w:pPr>
      <w:r>
        <w:rPr>
          <w:color w:val="000000" w:themeColor="text1"/>
          <w:sz w:val="32"/>
          <w:szCs w:val="32"/>
        </w:rPr>
        <w:t>4. 问题具体情况：</w:t>
      </w:r>
    </w:p>
    <w:p w14:paraId="346FCFBE">
      <w:pPr>
        <w:pStyle w:val="41"/>
        <w:spacing w:beforeAutospacing="0" w:afterAutospacing="0"/>
        <w:rPr>
          <w:rFonts w:hint="eastAsia"/>
          <w:color w:val="000000" w:themeColor="text1"/>
          <w:sz w:val="32"/>
          <w:szCs w:val="32"/>
          <w:u w:val="single"/>
        </w:rPr>
      </w:pPr>
      <w:r>
        <w:rPr>
          <w:rFonts w:hint="eastAsia"/>
          <w:color w:val="000000" w:themeColor="text1"/>
          <w:sz w:val="32"/>
          <w:szCs w:val="32"/>
          <w:u w:val="single"/>
        </w:rPr>
        <w:t xml:space="preserve">                                                         </w:t>
      </w:r>
    </w:p>
    <w:p w14:paraId="40816B90">
      <w:pPr>
        <w:pStyle w:val="4"/>
        <w:widowControl/>
        <w:ind w:firstLine="643" w:firstLineChars="200"/>
        <w:rPr>
          <w:color w:val="000000" w:themeColor="text1"/>
        </w:rPr>
      </w:pPr>
      <w:r>
        <w:rPr>
          <w:color w:val="000000" w:themeColor="text1"/>
        </w:rPr>
        <w:t>二、认定依据</w:t>
      </w:r>
    </w:p>
    <w:p w14:paraId="400859DA">
      <w:pPr>
        <w:pStyle w:val="41"/>
        <w:spacing w:beforeAutospacing="0" w:afterAutospacing="0"/>
        <w:ind w:firstLine="640" w:firstLineChars="200"/>
        <w:rPr>
          <w:rFonts w:hint="eastAsia"/>
          <w:color w:val="000000" w:themeColor="text1"/>
          <w:sz w:val="32"/>
          <w:szCs w:val="32"/>
        </w:rPr>
      </w:pPr>
      <w:r>
        <w:rPr>
          <w:color w:val="000000" w:themeColor="text1"/>
          <w:sz w:val="32"/>
          <w:szCs w:val="32"/>
        </w:rPr>
        <w:t>依据《</w:t>
      </w:r>
      <w:r>
        <w:rPr>
          <w:rFonts w:hint="eastAsia"/>
          <w:color w:val="000000" w:themeColor="text1"/>
          <w:sz w:val="32"/>
          <w:szCs w:val="32"/>
        </w:rPr>
        <w:t>中山陵园风景区服务考核管理办法</w:t>
      </w:r>
      <w:r>
        <w:rPr>
          <w:color w:val="000000" w:themeColor="text1"/>
          <w:sz w:val="32"/>
          <w:szCs w:val="32"/>
        </w:rPr>
        <w:t>》附件 1 第____条。 本次对应考核扣分：____分；经济扣罚：人民币________元。</w:t>
      </w:r>
    </w:p>
    <w:p w14:paraId="1B6BDCF6">
      <w:pPr>
        <w:pStyle w:val="4"/>
        <w:widowControl/>
        <w:ind w:firstLine="643" w:firstLineChars="200"/>
        <w:rPr>
          <w:color w:val="000000" w:themeColor="text1"/>
        </w:rPr>
      </w:pPr>
      <w:r>
        <w:rPr>
          <w:color w:val="000000" w:themeColor="text1"/>
        </w:rPr>
        <w:t>三、处理决定</w:t>
      </w:r>
    </w:p>
    <w:p w14:paraId="140877E7">
      <w:pPr>
        <w:pStyle w:val="41"/>
        <w:spacing w:beforeAutospacing="0" w:afterAutospacing="0"/>
        <w:ind w:firstLine="640" w:firstLineChars="200"/>
        <w:rPr>
          <w:rFonts w:hint="eastAsia"/>
          <w:color w:val="000000" w:themeColor="text1"/>
          <w:sz w:val="32"/>
          <w:szCs w:val="32"/>
        </w:rPr>
      </w:pPr>
      <w:r>
        <w:rPr>
          <w:rFonts w:hint="eastAsia"/>
          <w:color w:val="000000" w:themeColor="text1"/>
          <w:sz w:val="32"/>
          <w:szCs w:val="32"/>
        </w:rPr>
        <w:t>□</w:t>
      </w:r>
      <w:r>
        <w:rPr>
          <w:color w:val="000000" w:themeColor="text1"/>
          <w:sz w:val="32"/>
          <w:szCs w:val="32"/>
        </w:rPr>
        <w:t xml:space="preserve">口头警告 </w:t>
      </w:r>
      <w:r>
        <w:rPr>
          <w:rFonts w:hint="eastAsia"/>
          <w:color w:val="000000" w:themeColor="text1"/>
          <w:sz w:val="32"/>
          <w:szCs w:val="32"/>
        </w:rPr>
        <w:t>□</w:t>
      </w:r>
      <w:r>
        <w:rPr>
          <w:color w:val="000000" w:themeColor="text1"/>
          <w:sz w:val="32"/>
          <w:szCs w:val="32"/>
        </w:rPr>
        <w:t xml:space="preserve">书面警告，责令内部开展全员警示教育 </w:t>
      </w:r>
      <w:r>
        <w:rPr>
          <w:rFonts w:hint="eastAsia"/>
          <w:color w:val="000000" w:themeColor="text1"/>
          <w:sz w:val="32"/>
          <w:szCs w:val="32"/>
        </w:rPr>
        <w:t>□</w:t>
      </w:r>
      <w:r>
        <w:rPr>
          <w:color w:val="000000" w:themeColor="text1"/>
          <w:sz w:val="32"/>
          <w:szCs w:val="32"/>
        </w:rPr>
        <w:t>经济扣罚：人民币________元，于当</w:t>
      </w:r>
      <w:r>
        <w:rPr>
          <w:rFonts w:hint="eastAsia"/>
          <w:color w:val="000000" w:themeColor="text1"/>
          <w:sz w:val="32"/>
          <w:szCs w:val="32"/>
        </w:rPr>
        <w:t>月</w:t>
      </w:r>
      <w:r>
        <w:rPr>
          <w:color w:val="000000" w:themeColor="text1"/>
          <w:sz w:val="32"/>
          <w:szCs w:val="32"/>
        </w:rPr>
        <w:t xml:space="preserve">直接扣减 </w:t>
      </w:r>
      <w:r>
        <w:rPr>
          <w:rFonts w:hint="eastAsia"/>
          <w:color w:val="000000" w:themeColor="text1"/>
          <w:sz w:val="32"/>
          <w:szCs w:val="32"/>
        </w:rPr>
        <w:t>□</w:t>
      </w:r>
      <w:r>
        <w:rPr>
          <w:color w:val="000000" w:themeColor="text1"/>
          <w:sz w:val="32"/>
          <w:szCs w:val="32"/>
        </w:rPr>
        <w:t>责令人员调岗 / 清退</w:t>
      </w:r>
      <w:r>
        <w:rPr>
          <w:rFonts w:hint="eastAsia"/>
          <w:color w:val="000000" w:themeColor="text1"/>
          <w:sz w:val="32"/>
          <w:szCs w:val="32"/>
        </w:rPr>
        <w:t>（</w:t>
      </w:r>
      <w:r>
        <w:rPr>
          <w:color w:val="000000" w:themeColor="text1"/>
          <w:sz w:val="32"/>
          <w:szCs w:val="32"/>
        </w:rPr>
        <w:t>请于______年____月____日前完成涉事人员调离岗位或</w:t>
      </w:r>
      <w:r>
        <w:rPr>
          <w:rFonts w:hint="eastAsia"/>
          <w:color w:val="000000" w:themeColor="text1"/>
          <w:sz w:val="32"/>
          <w:szCs w:val="32"/>
        </w:rPr>
        <w:t>更换</w:t>
      </w:r>
      <w:r>
        <w:rPr>
          <w:color w:val="000000" w:themeColor="text1"/>
          <w:sz w:val="32"/>
          <w:szCs w:val="32"/>
        </w:rPr>
        <w:t>处理</w:t>
      </w:r>
      <w:r>
        <w:rPr>
          <w:rFonts w:hint="eastAsia"/>
          <w:color w:val="000000" w:themeColor="text1"/>
          <w:sz w:val="32"/>
          <w:szCs w:val="32"/>
        </w:rPr>
        <w:t>）</w:t>
      </w:r>
      <w:r>
        <w:rPr>
          <w:color w:val="000000" w:themeColor="text1"/>
          <w:sz w:val="32"/>
          <w:szCs w:val="32"/>
        </w:rPr>
        <w:t xml:space="preserve"> </w:t>
      </w:r>
      <w:r>
        <w:rPr>
          <w:rFonts w:hint="eastAsia"/>
          <w:color w:val="000000" w:themeColor="text1"/>
          <w:sz w:val="32"/>
          <w:szCs w:val="32"/>
        </w:rPr>
        <w:t>□</w:t>
      </w:r>
      <w:r>
        <w:rPr>
          <w:color w:val="000000" w:themeColor="text1"/>
          <w:sz w:val="32"/>
          <w:szCs w:val="32"/>
        </w:rPr>
        <w:t xml:space="preserve">限期整改：请于______个日历日内完成全部整改，并提交书面整改报告及佐证材料（照片、记录等） </w:t>
      </w:r>
      <w:r>
        <w:rPr>
          <w:rFonts w:hint="eastAsia"/>
          <w:color w:val="000000" w:themeColor="text1"/>
          <w:sz w:val="32"/>
          <w:szCs w:val="32"/>
        </w:rPr>
        <w:t>□</w:t>
      </w:r>
      <w:r>
        <w:rPr>
          <w:color w:val="000000" w:themeColor="text1"/>
          <w:sz w:val="32"/>
          <w:szCs w:val="32"/>
        </w:rPr>
        <w:t xml:space="preserve">约谈服务商负责人，请接到本通知____个工作日内到甲方指定地点接受约谈 </w:t>
      </w:r>
      <w:r>
        <w:rPr>
          <w:rFonts w:hint="eastAsia"/>
          <w:color w:val="000000" w:themeColor="text1"/>
          <w:sz w:val="32"/>
          <w:szCs w:val="32"/>
        </w:rPr>
        <w:t>□</w:t>
      </w:r>
      <w:r>
        <w:rPr>
          <w:color w:val="000000" w:themeColor="text1"/>
          <w:sz w:val="32"/>
          <w:szCs w:val="32"/>
        </w:rPr>
        <w:t>其他：____________________________________</w:t>
      </w:r>
    </w:p>
    <w:p w14:paraId="23EC84AE">
      <w:pPr>
        <w:pStyle w:val="41"/>
        <w:spacing w:beforeAutospacing="0" w:afterAutospacing="0"/>
        <w:ind w:firstLine="643" w:firstLineChars="200"/>
        <w:rPr>
          <w:rFonts w:hint="eastAsia"/>
          <w:color w:val="000000" w:themeColor="text1"/>
          <w:sz w:val="32"/>
          <w:szCs w:val="32"/>
        </w:rPr>
      </w:pPr>
      <w:r>
        <w:rPr>
          <w:rFonts w:hint="eastAsia"/>
          <w:b/>
          <w:bCs/>
          <w:color w:val="000000" w:themeColor="text1"/>
          <w:sz w:val="32"/>
          <w:szCs w:val="32"/>
        </w:rPr>
        <w:t>重要提示：</w:t>
      </w:r>
      <w:r>
        <w:rPr>
          <w:rFonts w:hint="eastAsia"/>
          <w:color w:val="000000" w:themeColor="text1"/>
          <w:sz w:val="32"/>
          <w:szCs w:val="32"/>
        </w:rPr>
        <w:t>逾期未完成整改，将按照考核规则予以加倍扣分、加重经济处罚，情节严重将启动合同违约处置程序。</w:t>
      </w:r>
    </w:p>
    <w:p w14:paraId="43AABDAF">
      <w:pPr>
        <w:pStyle w:val="4"/>
        <w:widowControl/>
        <w:ind w:firstLine="643" w:firstLineChars="200"/>
        <w:rPr>
          <w:color w:val="000000" w:themeColor="text1"/>
        </w:rPr>
      </w:pPr>
      <w:r>
        <w:rPr>
          <w:color w:val="000000" w:themeColor="text1"/>
        </w:rPr>
        <w:t>四、服务商反馈（收到通知后填写）</w:t>
      </w:r>
    </w:p>
    <w:p w14:paraId="083BBE71">
      <w:pPr>
        <w:pStyle w:val="41"/>
        <w:spacing w:beforeAutospacing="0" w:afterAutospacing="0"/>
        <w:rPr>
          <w:rFonts w:hint="eastAsia"/>
          <w:color w:val="000000" w:themeColor="text1"/>
          <w:sz w:val="32"/>
          <w:szCs w:val="32"/>
        </w:rPr>
      </w:pPr>
      <w:r>
        <w:rPr>
          <w:color w:val="000000" w:themeColor="text1"/>
          <w:sz w:val="32"/>
          <w:szCs w:val="32"/>
        </w:rPr>
        <w:t>我方已收到本通知单，清楚全部违规事实及处理决定。 整改计划：</w:t>
      </w:r>
    </w:p>
    <w:p w14:paraId="77059CAF">
      <w:pPr>
        <w:widowControl/>
        <w:rPr>
          <w:color w:val="000000" w:themeColor="text1"/>
          <w:sz w:val="32"/>
          <w:szCs w:val="32"/>
        </w:rPr>
      </w:pPr>
      <w:r>
        <w:rPr>
          <w:rFonts w:hint="eastAsia"/>
          <w:color w:val="000000" w:themeColor="text1"/>
          <w:sz w:val="32"/>
          <w:szCs w:val="32"/>
          <w:u w:val="single"/>
        </w:rPr>
        <w:t xml:space="preserve">                                                        </w:t>
      </w:r>
    </w:p>
    <w:p w14:paraId="2D58E926">
      <w:pPr>
        <w:widowControl/>
        <w:rPr>
          <w:color w:val="000000" w:themeColor="text1"/>
          <w:sz w:val="32"/>
          <w:szCs w:val="32"/>
          <w:u w:val="single"/>
        </w:rPr>
      </w:pPr>
      <w:r>
        <w:rPr>
          <w:rFonts w:hint="eastAsia"/>
          <w:color w:val="000000" w:themeColor="text1"/>
          <w:sz w:val="32"/>
          <w:szCs w:val="32"/>
          <w:u w:val="single"/>
        </w:rPr>
        <w:t xml:space="preserve">                                                            </w:t>
      </w:r>
    </w:p>
    <w:p w14:paraId="46F52F25">
      <w:pPr>
        <w:widowControl/>
        <w:rPr>
          <w:color w:val="000000" w:themeColor="text1"/>
          <w:sz w:val="32"/>
          <w:szCs w:val="32"/>
          <w:u w:val="single"/>
        </w:rPr>
      </w:pPr>
      <w:r>
        <w:rPr>
          <w:rFonts w:hint="eastAsia"/>
          <w:color w:val="000000" w:themeColor="text1"/>
          <w:sz w:val="32"/>
          <w:szCs w:val="32"/>
          <w:u w:val="single"/>
        </w:rPr>
        <w:t xml:space="preserve">                                                        </w:t>
      </w:r>
    </w:p>
    <w:p w14:paraId="471E7E33">
      <w:pPr>
        <w:widowControl/>
        <w:rPr>
          <w:color w:val="000000" w:themeColor="text1"/>
          <w:sz w:val="32"/>
          <w:szCs w:val="32"/>
          <w:u w:val="single"/>
        </w:rPr>
      </w:pPr>
      <w:r>
        <w:rPr>
          <w:rFonts w:hint="eastAsia"/>
          <w:color w:val="000000" w:themeColor="text1"/>
          <w:sz w:val="32"/>
          <w:szCs w:val="32"/>
          <w:u w:val="single"/>
        </w:rPr>
        <w:t xml:space="preserve">                                                        </w:t>
      </w:r>
    </w:p>
    <w:p w14:paraId="77DC499C">
      <w:pPr>
        <w:widowControl/>
        <w:rPr>
          <w:color w:val="000000" w:themeColor="text1"/>
          <w:sz w:val="32"/>
          <w:szCs w:val="32"/>
        </w:rPr>
      </w:pPr>
      <w:r>
        <w:rPr>
          <w:rFonts w:hint="eastAsia"/>
          <w:color w:val="000000" w:themeColor="text1"/>
          <w:sz w:val="32"/>
          <w:szCs w:val="32"/>
          <w:u w:val="single"/>
        </w:rPr>
        <w:t xml:space="preserve">                                                        </w:t>
      </w:r>
    </w:p>
    <w:p w14:paraId="5900D2C4">
      <w:pPr>
        <w:pStyle w:val="41"/>
        <w:spacing w:beforeAutospacing="0" w:afterAutospacing="0"/>
        <w:rPr>
          <w:rFonts w:hint="eastAsia"/>
          <w:color w:val="000000" w:themeColor="text1"/>
          <w:sz w:val="32"/>
          <w:szCs w:val="32"/>
        </w:rPr>
      </w:pPr>
      <w:r>
        <w:rPr>
          <w:color w:val="000000" w:themeColor="text1"/>
          <w:sz w:val="32"/>
          <w:szCs w:val="32"/>
        </w:rPr>
        <w:t>服务商对接人签字：________</w:t>
      </w:r>
      <w:r>
        <w:rPr>
          <w:color w:val="000000" w:themeColor="text1"/>
          <w:sz w:val="32"/>
          <w:szCs w:val="32"/>
          <w:u w:val="single"/>
        </w:rPr>
        <w:t>__</w:t>
      </w:r>
      <w:r>
        <w:rPr>
          <w:rFonts w:hint="eastAsia"/>
          <w:color w:val="000000" w:themeColor="text1"/>
          <w:sz w:val="32"/>
          <w:szCs w:val="32"/>
          <w:u w:val="single"/>
        </w:rPr>
        <w:t xml:space="preserve">       </w:t>
      </w:r>
      <w:r>
        <w:rPr>
          <w:color w:val="000000" w:themeColor="text1"/>
          <w:sz w:val="32"/>
          <w:szCs w:val="32"/>
          <w:u w:val="single"/>
        </w:rPr>
        <w:t>_</w:t>
      </w:r>
      <w:r>
        <w:rPr>
          <w:color w:val="000000" w:themeColor="text1"/>
          <w:sz w:val="32"/>
          <w:szCs w:val="32"/>
        </w:rPr>
        <w:t>_ 单位（盖章）</w:t>
      </w:r>
    </w:p>
    <w:p w14:paraId="0FA29507">
      <w:pPr>
        <w:pStyle w:val="41"/>
        <w:spacing w:beforeAutospacing="0" w:afterAutospacing="0"/>
        <w:rPr>
          <w:rFonts w:hint="eastAsia"/>
          <w:color w:val="000000" w:themeColor="text1"/>
          <w:sz w:val="32"/>
          <w:szCs w:val="32"/>
        </w:rPr>
      </w:pPr>
      <w:r>
        <w:rPr>
          <w:color w:val="000000" w:themeColor="text1"/>
          <w:sz w:val="32"/>
          <w:szCs w:val="32"/>
        </w:rPr>
        <w:t>日期：______年____月____日</w:t>
      </w:r>
    </w:p>
    <w:p w14:paraId="6B3BEFA1">
      <w:pPr>
        <w:pStyle w:val="4"/>
        <w:widowControl/>
        <w:ind w:firstLine="643" w:firstLineChars="200"/>
        <w:rPr>
          <w:color w:val="000000" w:themeColor="text1"/>
        </w:rPr>
      </w:pPr>
      <w:r>
        <w:rPr>
          <w:color w:val="000000" w:themeColor="text1"/>
        </w:rPr>
        <w:t>五、甲方考核小组意见</w:t>
      </w:r>
    </w:p>
    <w:p w14:paraId="7564D544">
      <w:pPr>
        <w:pStyle w:val="41"/>
        <w:spacing w:beforeAutospacing="0" w:afterAutospacing="0"/>
        <w:rPr>
          <w:rFonts w:hint="eastAsia"/>
          <w:color w:val="000000" w:themeColor="text1"/>
          <w:sz w:val="32"/>
          <w:szCs w:val="32"/>
        </w:rPr>
      </w:pPr>
      <w:r>
        <w:rPr>
          <w:rFonts w:hint="eastAsia"/>
          <w:color w:val="000000" w:themeColor="text1"/>
          <w:sz w:val="32"/>
          <w:szCs w:val="32"/>
        </w:rPr>
        <w:t>□</w:t>
      </w:r>
      <w:r>
        <w:rPr>
          <w:color w:val="000000" w:themeColor="text1"/>
          <w:sz w:val="32"/>
          <w:szCs w:val="32"/>
        </w:rPr>
        <w:t xml:space="preserve">整改已验收合格 </w:t>
      </w:r>
      <w:r>
        <w:rPr>
          <w:rFonts w:hint="eastAsia"/>
          <w:color w:val="000000" w:themeColor="text1"/>
          <w:sz w:val="32"/>
          <w:szCs w:val="32"/>
        </w:rPr>
        <w:t>□</w:t>
      </w:r>
      <w:r>
        <w:rPr>
          <w:color w:val="000000" w:themeColor="text1"/>
          <w:sz w:val="32"/>
          <w:szCs w:val="32"/>
        </w:rPr>
        <w:t>整改不到位，继续限期整改并追加考核处罚</w:t>
      </w:r>
    </w:p>
    <w:p w14:paraId="3856938E">
      <w:pPr>
        <w:pStyle w:val="41"/>
        <w:spacing w:beforeAutospacing="0" w:afterAutospacing="0"/>
        <w:rPr>
          <w:rFonts w:hint="eastAsia"/>
          <w:color w:val="000000" w:themeColor="text1"/>
          <w:sz w:val="32"/>
          <w:szCs w:val="32"/>
        </w:rPr>
      </w:pPr>
    </w:p>
    <w:p w14:paraId="6C67802E">
      <w:pPr>
        <w:pStyle w:val="41"/>
        <w:spacing w:beforeAutospacing="0" w:afterAutospacing="0"/>
        <w:rPr>
          <w:rFonts w:hint="eastAsia"/>
          <w:color w:val="000000" w:themeColor="text1"/>
          <w:sz w:val="32"/>
          <w:szCs w:val="32"/>
        </w:rPr>
      </w:pPr>
      <w:r>
        <w:rPr>
          <w:color w:val="000000" w:themeColor="text1"/>
          <w:sz w:val="32"/>
          <w:szCs w:val="32"/>
        </w:rPr>
        <w:t xml:space="preserve">考核组成员签字：____________ </w:t>
      </w:r>
    </w:p>
    <w:p w14:paraId="59AD5D7E">
      <w:pPr>
        <w:pStyle w:val="41"/>
        <w:spacing w:beforeAutospacing="0" w:afterAutospacing="0"/>
        <w:rPr>
          <w:rFonts w:hint="eastAsia"/>
          <w:color w:val="000000" w:themeColor="text1"/>
          <w:sz w:val="32"/>
          <w:szCs w:val="32"/>
        </w:rPr>
      </w:pPr>
      <w:r>
        <w:rPr>
          <w:color w:val="000000" w:themeColor="text1"/>
          <w:sz w:val="32"/>
          <w:szCs w:val="32"/>
        </w:rPr>
        <w:t>日期：______年____月____日</w:t>
      </w:r>
    </w:p>
    <w:p w14:paraId="6AE8A37B">
      <w:pPr>
        <w:rPr>
          <w:color w:val="000000" w:themeColor="text1"/>
        </w:rPr>
      </w:pPr>
      <w:r>
        <w:rPr>
          <w:color w:val="000000" w:themeColor="text1"/>
        </w:rPr>
        <w:br w:type="page"/>
      </w:r>
    </w:p>
    <w:p w14:paraId="79D4976C">
      <w:pPr>
        <w:pStyle w:val="2"/>
        <w:jc w:val="center"/>
        <w:rPr>
          <w:color w:val="000000" w:themeColor="text1"/>
        </w:rPr>
      </w:pPr>
      <w:r>
        <w:rPr>
          <w:color w:val="000000" w:themeColor="text1"/>
        </w:rPr>
        <w:object>
          <v:shape id="_x0000_i1030" o:spt="75" type="#_x0000_t75" style="height:267.05pt;width:452.95pt;" o:ole="t" filled="f" o:preferrelative="t" stroked="f" coordsize="21600,21600">
            <v:path/>
            <v:fill on="f" focussize="0,0"/>
            <v:stroke on="f" joinstyle="miter"/>
            <v:imagedata r:id="rId20" o:title=""/>
            <o:lock v:ext="edit" aspectratio="f"/>
            <w10:wrap type="none"/>
            <w10:anchorlock/>
          </v:shape>
          <o:OLEObject Type="Embed" ProgID="Excel.Sheet.12" ShapeID="_x0000_i1030" DrawAspect="Content" ObjectID="_1468075730" r:id="rId19">
            <o:LockedField>false</o:LockedField>
          </o:OLEObject>
        </w:object>
      </w:r>
    </w:p>
    <w:p w14:paraId="7F3235E8">
      <w:pPr>
        <w:rPr>
          <w:color w:val="000000" w:themeColor="text1"/>
        </w:rPr>
      </w:pPr>
    </w:p>
    <w:bookmarkEnd w:id="45"/>
    <w:p w14:paraId="26990A11">
      <w:pPr>
        <w:rPr>
          <w:color w:val="000000" w:themeColor="text1"/>
          <w:sz w:val="30"/>
          <w:szCs w:val="30"/>
        </w:rPr>
      </w:pPr>
      <w:r>
        <w:rPr>
          <w:color w:val="000000" w:themeColor="text1"/>
          <w:sz w:val="30"/>
          <w:szCs w:val="30"/>
        </w:rPr>
        <w:br w:type="page"/>
      </w:r>
    </w:p>
    <w:p w14:paraId="7CA986B3">
      <w:pPr>
        <w:rPr>
          <w:color w:val="000000" w:themeColor="text1"/>
        </w:rPr>
      </w:pPr>
    </w:p>
    <w:p w14:paraId="5C2C81F6">
      <w:pPr>
        <w:pStyle w:val="3"/>
        <w:numPr>
          <w:ilvl w:val="0"/>
          <w:numId w:val="7"/>
        </w:numPr>
        <w:rPr>
          <w:rFonts w:hint="eastAsia" w:ascii="宋体" w:hAnsi="宋体" w:cs="宋体"/>
          <w:color w:val="000000" w:themeColor="text1"/>
        </w:rPr>
      </w:pPr>
      <w:bookmarkStart w:id="48" w:name="_Toc242444313"/>
      <w:bookmarkStart w:id="49" w:name="_Toc15886"/>
      <w:r>
        <w:rPr>
          <w:rFonts w:hint="eastAsia" w:ascii="宋体" w:hAnsi="宋体" w:cs="宋体"/>
          <w:color w:val="000000" w:themeColor="text1"/>
        </w:rPr>
        <w:t>投标文件格式及附件</w:t>
      </w:r>
      <w:bookmarkEnd w:id="48"/>
      <w:bookmarkEnd w:id="49"/>
    </w:p>
    <w:p w14:paraId="328294E2">
      <w:pPr>
        <w:pStyle w:val="2"/>
        <w:ind w:firstLine="0" w:firstLineChars="0"/>
        <w:rPr>
          <w:rFonts w:hint="eastAsia" w:ascii="宋体" w:hAnsi="宋体" w:cs="宋体"/>
          <w:color w:val="000000" w:themeColor="text1"/>
        </w:rPr>
      </w:pPr>
    </w:p>
    <w:p w14:paraId="569665C3">
      <w:pPr>
        <w:widowControl/>
        <w:adjustRightInd w:val="0"/>
        <w:spacing w:line="240" w:lineRule="atLeast"/>
        <w:jc w:val="left"/>
        <w:rPr>
          <w:rFonts w:hint="eastAsia" w:ascii="宋体" w:hAnsi="宋体" w:cs="宋体"/>
          <w:b/>
          <w:bCs/>
          <w:color w:val="000000" w:themeColor="text1"/>
          <w:szCs w:val="21"/>
        </w:rPr>
      </w:pPr>
    </w:p>
    <w:p w14:paraId="62CAC480">
      <w:pPr>
        <w:spacing w:line="440" w:lineRule="exact"/>
        <w:rPr>
          <w:rFonts w:hint="eastAsia" w:ascii="宋体" w:hAnsi="宋体" w:cs="宋体"/>
          <w:color w:val="000000" w:themeColor="text1"/>
          <w:sz w:val="20"/>
          <w:szCs w:val="20"/>
        </w:rPr>
      </w:pPr>
    </w:p>
    <w:p w14:paraId="17E15A77">
      <w:pPr>
        <w:spacing w:line="440" w:lineRule="exact"/>
        <w:rPr>
          <w:rFonts w:hint="eastAsia" w:ascii="宋体" w:hAnsi="宋体" w:cs="宋体"/>
          <w:color w:val="000000" w:themeColor="text1"/>
          <w:sz w:val="20"/>
          <w:szCs w:val="20"/>
        </w:rPr>
      </w:pPr>
    </w:p>
    <w:p w14:paraId="3B58334A">
      <w:pPr>
        <w:spacing w:line="440" w:lineRule="exact"/>
        <w:rPr>
          <w:rFonts w:hint="eastAsia" w:ascii="宋体" w:hAnsi="宋体" w:cs="宋体"/>
          <w:color w:val="000000" w:themeColor="text1"/>
          <w:sz w:val="20"/>
          <w:szCs w:val="20"/>
        </w:rPr>
      </w:pPr>
    </w:p>
    <w:p w14:paraId="41B4703B">
      <w:pPr>
        <w:rPr>
          <w:rFonts w:hint="eastAsia" w:ascii="宋体" w:hAnsi="宋体" w:cs="宋体"/>
          <w:color w:val="000000" w:themeColor="text1"/>
          <w:sz w:val="22"/>
          <w:szCs w:val="22"/>
        </w:rPr>
      </w:pPr>
    </w:p>
    <w:p w14:paraId="424252D0">
      <w:pPr>
        <w:rPr>
          <w:rFonts w:hint="eastAsia" w:ascii="宋体" w:hAnsi="宋体" w:cs="宋体"/>
          <w:color w:val="000000" w:themeColor="text1"/>
          <w:sz w:val="22"/>
          <w:szCs w:val="22"/>
        </w:rPr>
      </w:pPr>
    </w:p>
    <w:p w14:paraId="056FC511">
      <w:pPr>
        <w:jc w:val="center"/>
        <w:rPr>
          <w:rFonts w:hint="eastAsia" w:ascii="宋体" w:hAnsi="宋体" w:cs="宋体"/>
          <w:color w:val="000000" w:themeColor="text1"/>
          <w:sz w:val="52"/>
          <w:szCs w:val="52"/>
        </w:rPr>
      </w:pPr>
      <w:r>
        <w:rPr>
          <w:rFonts w:hint="eastAsia" w:ascii="宋体" w:hAnsi="宋体" w:cs="宋体"/>
          <w:color w:val="000000" w:themeColor="text1"/>
          <w:sz w:val="52"/>
          <w:szCs w:val="52"/>
        </w:rPr>
        <w:t>投标文件</w:t>
      </w:r>
    </w:p>
    <w:p w14:paraId="2BE7C5F0">
      <w:pPr>
        <w:rPr>
          <w:rFonts w:hint="eastAsia" w:ascii="宋体" w:hAnsi="宋体" w:cs="宋体"/>
          <w:color w:val="000000" w:themeColor="text1"/>
          <w:sz w:val="36"/>
          <w:szCs w:val="36"/>
        </w:rPr>
      </w:pPr>
    </w:p>
    <w:p w14:paraId="75A15AD5">
      <w:pPr>
        <w:rPr>
          <w:rFonts w:hint="eastAsia" w:ascii="宋体" w:hAnsi="宋体" w:cs="宋体"/>
          <w:color w:val="000000" w:themeColor="text1"/>
          <w:sz w:val="36"/>
          <w:szCs w:val="36"/>
        </w:rPr>
      </w:pPr>
    </w:p>
    <w:p w14:paraId="4A2684A1">
      <w:pPr>
        <w:rPr>
          <w:rFonts w:hint="eastAsia" w:ascii="宋体" w:hAnsi="宋体" w:cs="宋体"/>
          <w:color w:val="000000" w:themeColor="text1"/>
          <w:sz w:val="36"/>
          <w:szCs w:val="36"/>
        </w:rPr>
      </w:pPr>
    </w:p>
    <w:p w14:paraId="42BAFA04">
      <w:pPr>
        <w:ind w:firstLine="720" w:firstLineChars="200"/>
        <w:rPr>
          <w:rFonts w:hint="eastAsia" w:ascii="宋体" w:hAnsi="宋体" w:cs="宋体"/>
          <w:color w:val="000000" w:themeColor="text1"/>
          <w:sz w:val="36"/>
          <w:szCs w:val="36"/>
        </w:rPr>
      </w:pPr>
      <w:r>
        <w:rPr>
          <w:rFonts w:hint="eastAsia" w:ascii="宋体" w:hAnsi="宋体" w:cs="宋体"/>
          <w:color w:val="000000" w:themeColor="text1"/>
          <w:sz w:val="36"/>
          <w:szCs w:val="36"/>
        </w:rPr>
        <w:t>项目名称：</w:t>
      </w:r>
    </w:p>
    <w:p w14:paraId="1A164A04">
      <w:pPr>
        <w:ind w:firstLine="720" w:firstLineChars="200"/>
        <w:rPr>
          <w:rFonts w:hint="eastAsia" w:ascii="宋体" w:hAnsi="宋体" w:cs="宋体"/>
          <w:color w:val="000000" w:themeColor="text1"/>
          <w:sz w:val="36"/>
          <w:szCs w:val="36"/>
        </w:rPr>
      </w:pPr>
      <w:r>
        <w:rPr>
          <w:rFonts w:hint="eastAsia" w:ascii="宋体" w:hAnsi="宋体" w:cs="宋体"/>
          <w:color w:val="000000" w:themeColor="text1"/>
          <w:sz w:val="36"/>
          <w:szCs w:val="36"/>
        </w:rPr>
        <w:t>招标编号：</w:t>
      </w:r>
    </w:p>
    <w:p w14:paraId="642237C5">
      <w:pPr>
        <w:ind w:firstLine="720" w:firstLineChars="200"/>
        <w:rPr>
          <w:rFonts w:hint="eastAsia" w:ascii="宋体" w:hAnsi="宋体" w:cs="宋体"/>
          <w:color w:val="000000" w:themeColor="text1"/>
          <w:sz w:val="36"/>
          <w:szCs w:val="36"/>
          <w:u w:val="single"/>
        </w:rPr>
      </w:pPr>
      <w:r>
        <w:rPr>
          <w:rFonts w:hint="eastAsia" w:ascii="宋体" w:hAnsi="宋体" w:cs="宋体"/>
          <w:color w:val="000000" w:themeColor="text1"/>
          <w:sz w:val="36"/>
          <w:szCs w:val="36"/>
        </w:rPr>
        <w:t>投标人名称：（加盖电子公章）</w:t>
      </w:r>
    </w:p>
    <w:p w14:paraId="0FC262E0">
      <w:pPr>
        <w:widowControl/>
        <w:ind w:firstLine="720" w:firstLineChars="200"/>
        <w:jc w:val="left"/>
        <w:rPr>
          <w:rFonts w:hint="eastAsia" w:ascii="宋体" w:hAnsi="宋体" w:cs="宋体"/>
          <w:color w:val="000000" w:themeColor="text1"/>
          <w:sz w:val="28"/>
          <w:szCs w:val="28"/>
        </w:rPr>
      </w:pPr>
      <w:r>
        <w:rPr>
          <w:rFonts w:hint="eastAsia" w:ascii="宋体" w:hAnsi="宋体" w:cs="宋体"/>
          <w:color w:val="000000" w:themeColor="text1"/>
          <w:sz w:val="36"/>
          <w:szCs w:val="36"/>
        </w:rPr>
        <w:t>日期：</w:t>
      </w:r>
      <w:r>
        <w:rPr>
          <w:rFonts w:hint="eastAsia" w:ascii="宋体" w:hAnsi="宋体" w:cs="宋体"/>
          <w:color w:val="000000" w:themeColor="text1"/>
          <w:sz w:val="28"/>
          <w:szCs w:val="28"/>
        </w:rPr>
        <w:br w:type="page"/>
      </w:r>
    </w:p>
    <w:p w14:paraId="5401A68B">
      <w:pPr>
        <w:spacing w:line="440" w:lineRule="exact"/>
        <w:rPr>
          <w:rFonts w:hint="eastAsia" w:ascii="宋体" w:hAnsi="宋体" w:cs="宋体"/>
          <w:color w:val="000000" w:themeColor="text1"/>
          <w:kern w:val="0"/>
          <w:szCs w:val="21"/>
        </w:rPr>
      </w:pPr>
      <w:r>
        <w:rPr>
          <w:rFonts w:hint="eastAsia" w:ascii="宋体" w:hAnsi="宋体" w:cs="宋体"/>
          <w:b/>
          <w:bCs/>
          <w:color w:val="000000" w:themeColor="text1"/>
          <w:kern w:val="0"/>
          <w:szCs w:val="21"/>
        </w:rPr>
        <w:t>附件一、投标申请及声明格式</w:t>
      </w:r>
    </w:p>
    <w:p w14:paraId="5E5F064D">
      <w:pPr>
        <w:widowControl/>
        <w:shd w:val="clear" w:color="auto" w:fill="FFFFFF"/>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 w:val="36"/>
          <w:szCs w:val="36"/>
        </w:rPr>
        <w:t>投标申请及声明</w:t>
      </w:r>
    </w:p>
    <w:p w14:paraId="7E818FB6">
      <w:pPr>
        <w:widowControl/>
        <w:shd w:val="clear" w:color="auto" w:fill="FFFFFF"/>
        <w:spacing w:line="400" w:lineRule="exact"/>
        <w:rPr>
          <w:rFonts w:hint="eastAsia" w:ascii="宋体" w:hAnsi="宋体" w:cs="宋体"/>
          <w:color w:val="000000" w:themeColor="text1"/>
          <w:kern w:val="0"/>
          <w:szCs w:val="21"/>
        </w:rPr>
      </w:pPr>
      <w:r>
        <w:rPr>
          <w:rFonts w:hint="eastAsia" w:ascii="宋体" w:hAnsi="宋体" w:cs="宋体"/>
          <w:color w:val="000000" w:themeColor="text1"/>
          <w:kern w:val="0"/>
          <w:szCs w:val="21"/>
        </w:rPr>
        <w:t> 致：江苏富华工程造价咨询有限公司</w:t>
      </w:r>
    </w:p>
    <w:p w14:paraId="4B732DDB">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根据贵方</w:t>
      </w:r>
      <w:r>
        <w:rPr>
          <w:rFonts w:hint="eastAsia" w:ascii="宋体" w:hAnsi="宋体" w:cs="宋体"/>
          <w:color w:val="000000" w:themeColor="text1"/>
          <w:kern w:val="0"/>
          <w:szCs w:val="21"/>
          <w:u w:val="single"/>
        </w:rPr>
        <w:t>           </w:t>
      </w:r>
      <w:r>
        <w:rPr>
          <w:rFonts w:hint="eastAsia" w:ascii="宋体" w:hAnsi="宋体" w:cs="宋体"/>
          <w:b/>
          <w:bCs/>
          <w:color w:val="000000" w:themeColor="text1"/>
          <w:kern w:val="0"/>
          <w:szCs w:val="21"/>
          <w:u w:val="single"/>
        </w:rPr>
        <w:t>（</w:t>
      </w:r>
      <w:r>
        <w:rPr>
          <w:rFonts w:hint="eastAsia" w:ascii="宋体" w:hAnsi="宋体" w:cs="宋体"/>
          <w:color w:val="000000" w:themeColor="text1"/>
          <w:kern w:val="0"/>
          <w:szCs w:val="21"/>
        </w:rPr>
        <w:t>项目名称） </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（项目编号）投标邀请，正式授权下述签字人</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(姓名和职务)代表投标人</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（投标人名称），提交投标文件。</w:t>
      </w:r>
    </w:p>
    <w:p w14:paraId="1CB30466">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据此函，签字人兹宣布声明和承诺如下：</w:t>
      </w:r>
    </w:p>
    <w:p w14:paraId="1ABC8EBB">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1、</w:t>
      </w:r>
      <w:r>
        <w:rPr>
          <w:rFonts w:hint="eastAsia" w:ascii="宋体" w:hAnsi="宋体" w:cs="宋体"/>
          <w:b/>
          <w:bCs/>
          <w:color w:val="000000" w:themeColor="text1"/>
          <w:kern w:val="0"/>
          <w:szCs w:val="21"/>
        </w:rPr>
        <w:t>我们的资格条件完全符合政府采购法和本次招标要求</w:t>
      </w:r>
      <w:r>
        <w:rPr>
          <w:rFonts w:hint="eastAsia" w:ascii="宋体" w:hAnsi="宋体" w:cs="宋体"/>
          <w:color w:val="000000" w:themeColor="text1"/>
          <w:kern w:val="0"/>
          <w:szCs w:val="21"/>
        </w:rPr>
        <w:t>，我们同意并向贵方提供了与投标有关的所有证据和资料。</w:t>
      </w:r>
    </w:p>
    <w:p w14:paraId="4EBC4EF6">
      <w:pPr>
        <w:widowControl/>
        <w:shd w:val="clear" w:color="auto" w:fill="FFFFFF"/>
        <w:spacing w:line="400" w:lineRule="exact"/>
        <w:ind w:left="1470" w:hanging="1050"/>
        <w:rPr>
          <w:rFonts w:hint="eastAsia" w:ascii="宋体" w:hAnsi="宋体" w:cs="宋体"/>
          <w:color w:val="000000" w:themeColor="text1"/>
          <w:kern w:val="0"/>
          <w:szCs w:val="21"/>
        </w:rPr>
      </w:pPr>
      <w:r>
        <w:rPr>
          <w:rFonts w:hint="eastAsia" w:ascii="宋体" w:hAnsi="宋体" w:cs="宋体"/>
          <w:color w:val="000000" w:themeColor="text1"/>
          <w:kern w:val="0"/>
          <w:szCs w:val="21"/>
        </w:rPr>
        <w:t>2、按招标要求，我们的投标报价详见开标一览表。</w:t>
      </w:r>
    </w:p>
    <w:p w14:paraId="292E0198">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3、本项目服务时间为：</w:t>
      </w:r>
      <w:r>
        <w:rPr>
          <w:rFonts w:hint="eastAsia" w:ascii="宋体" w:hAnsi="宋体" w:cs="宋体"/>
          <w:color w:val="000000" w:themeColor="text1"/>
          <w:kern w:val="0"/>
          <w:szCs w:val="21"/>
          <w:u w:val="single"/>
        </w:rPr>
        <w:t xml:space="preserve">  满足招标文件要求  </w:t>
      </w:r>
      <w:r>
        <w:rPr>
          <w:rFonts w:hint="eastAsia" w:ascii="宋体" w:hAnsi="宋体" w:cs="宋体"/>
          <w:color w:val="000000" w:themeColor="text1"/>
          <w:kern w:val="0"/>
          <w:szCs w:val="21"/>
        </w:rPr>
        <w:t>。</w:t>
      </w:r>
    </w:p>
    <w:p w14:paraId="64FFEFF8">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4、我们已详细阅读全部招标文件及其有效补充文件，我们放弃对招标文件任何误解的权利，提交投标文件后，</w:t>
      </w:r>
      <w:r>
        <w:rPr>
          <w:rFonts w:hint="eastAsia" w:ascii="宋体" w:hAnsi="宋体" w:cs="宋体"/>
          <w:b/>
          <w:bCs/>
          <w:color w:val="000000" w:themeColor="text1"/>
          <w:kern w:val="0"/>
          <w:szCs w:val="21"/>
        </w:rPr>
        <w:t>不对招标文件本身提出质疑</w:t>
      </w:r>
      <w:r>
        <w:rPr>
          <w:rFonts w:hint="eastAsia" w:ascii="宋体" w:hAnsi="宋体" w:cs="宋体"/>
          <w:color w:val="000000" w:themeColor="text1"/>
          <w:kern w:val="0"/>
          <w:szCs w:val="21"/>
        </w:rPr>
        <w:t>。</w:t>
      </w:r>
    </w:p>
    <w:p w14:paraId="49A5EF6F">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5、我们同意从规定的开标日期起遵循本投标文件，并在规定的投标有效期期满之前均具有约束力。</w:t>
      </w:r>
    </w:p>
    <w:p w14:paraId="7DDF5634">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6、投标截止时间结束后参加投标的投标人不足三家的，或在评标期间出现符合专业条件的供应商或者对招标文件作出实质响应的投标人不足三家情形的，我们酌情决定是否参加</w:t>
      </w:r>
      <w:r>
        <w:rPr>
          <w:rFonts w:hint="eastAsia" w:ascii="宋体" w:hAnsi="宋体" w:cs="宋体"/>
          <w:color w:val="000000" w:themeColor="text1"/>
        </w:rPr>
        <w:t>贵方组织的其他采购方式采购</w:t>
      </w:r>
      <w:r>
        <w:rPr>
          <w:rFonts w:hint="eastAsia" w:ascii="宋体" w:hAnsi="宋体" w:cs="宋体"/>
          <w:color w:val="000000" w:themeColor="text1"/>
          <w:kern w:val="0"/>
          <w:szCs w:val="21"/>
        </w:rPr>
        <w:t>。</w:t>
      </w:r>
    </w:p>
    <w:p w14:paraId="7BFB03C5">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7、一旦我方中标，我方将根据招标文件的规定严格履行合同，并保证于承诺的时间完成货物的启动/集成、调试等服务，交付采购人验收、使用。</w:t>
      </w:r>
    </w:p>
    <w:p w14:paraId="67CC9892">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8、我方决不提供虚假材料谋取中标、决不采取不正当手段诋毁、排挤其他投标人、决不与采购人、其他投标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2F060A8F">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9、与本投标有关的正式联系方式为：</w:t>
      </w:r>
    </w:p>
    <w:p w14:paraId="15CFCA8C">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地   址：</w:t>
      </w:r>
      <w:r>
        <w:rPr>
          <w:rFonts w:hint="eastAsia" w:ascii="宋体" w:hAnsi="宋体" w:cs="宋体"/>
          <w:color w:val="000000" w:themeColor="text1"/>
          <w:kern w:val="0"/>
          <w:szCs w:val="21"/>
          <w:u w:val="single"/>
        </w:rPr>
        <w:t>                      </w:t>
      </w:r>
    </w:p>
    <w:p w14:paraId="5F9A11FB">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电   话：</w:t>
      </w:r>
      <w:r>
        <w:rPr>
          <w:rFonts w:hint="eastAsia" w:ascii="宋体" w:hAnsi="宋体" w:cs="宋体"/>
          <w:color w:val="000000" w:themeColor="text1"/>
          <w:kern w:val="0"/>
          <w:szCs w:val="21"/>
          <w:u w:val="single"/>
        </w:rPr>
        <w:t>                      </w:t>
      </w:r>
    </w:p>
    <w:p w14:paraId="34B0C212">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传   真：</w:t>
      </w:r>
      <w:r>
        <w:rPr>
          <w:rFonts w:hint="eastAsia" w:ascii="宋体" w:hAnsi="宋体" w:cs="宋体"/>
          <w:color w:val="000000" w:themeColor="text1"/>
          <w:kern w:val="0"/>
          <w:szCs w:val="21"/>
          <w:u w:val="single"/>
        </w:rPr>
        <w:t>                      </w:t>
      </w:r>
    </w:p>
    <w:p w14:paraId="7C11F7FD">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开户银行：</w:t>
      </w:r>
    </w:p>
    <w:p w14:paraId="5863A1BD">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银行账号：</w:t>
      </w:r>
    </w:p>
    <w:p w14:paraId="0140C12E">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投标人名称：</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（加盖电子公章）</w:t>
      </w:r>
    </w:p>
    <w:p w14:paraId="2C3FBC4E">
      <w:pPr>
        <w:widowControl/>
        <w:shd w:val="clear" w:color="auto" w:fill="FFFFFF"/>
        <w:spacing w:line="400" w:lineRule="exact"/>
        <w:ind w:firstLine="420"/>
        <w:rPr>
          <w:rFonts w:hint="eastAsia" w:ascii="宋体" w:hAnsi="宋体" w:cs="宋体"/>
          <w:color w:val="000000" w:themeColor="text1"/>
          <w:kern w:val="0"/>
          <w:szCs w:val="21"/>
        </w:rPr>
      </w:pPr>
      <w:r>
        <w:rPr>
          <w:rFonts w:hint="eastAsia" w:ascii="宋体" w:hAnsi="宋体" w:cs="宋体"/>
          <w:color w:val="000000" w:themeColor="text1"/>
          <w:kern w:val="0"/>
          <w:szCs w:val="21"/>
        </w:rPr>
        <w:t>日    期：</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年</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月</w:t>
      </w:r>
      <w:r>
        <w:rPr>
          <w:rFonts w:hint="eastAsia" w:ascii="宋体" w:hAnsi="宋体" w:cs="宋体"/>
          <w:color w:val="000000" w:themeColor="text1"/>
          <w:kern w:val="0"/>
          <w:szCs w:val="21"/>
          <w:u w:val="single"/>
        </w:rPr>
        <w:t>    </w:t>
      </w:r>
      <w:r>
        <w:rPr>
          <w:rFonts w:hint="eastAsia" w:ascii="宋体" w:hAnsi="宋体" w:cs="宋体"/>
          <w:color w:val="000000" w:themeColor="text1"/>
          <w:kern w:val="0"/>
          <w:szCs w:val="21"/>
        </w:rPr>
        <w:t>日</w:t>
      </w:r>
    </w:p>
    <w:p w14:paraId="2427D7D4">
      <w:pPr>
        <w:widowControl/>
        <w:shd w:val="clear" w:color="auto" w:fill="FFFFFF"/>
        <w:spacing w:line="360" w:lineRule="auto"/>
        <w:rPr>
          <w:rFonts w:hint="eastAsia" w:ascii="宋体" w:hAnsi="宋体" w:cs="宋体"/>
          <w:color w:val="000000" w:themeColor="text1"/>
          <w:kern w:val="0"/>
          <w:szCs w:val="21"/>
        </w:rPr>
      </w:pPr>
      <w:r>
        <w:rPr>
          <w:rFonts w:hint="eastAsia" w:ascii="宋体" w:hAnsi="宋体" w:cs="宋体"/>
          <w:b/>
          <w:bCs/>
          <w:color w:val="000000" w:themeColor="text1"/>
          <w:kern w:val="0"/>
          <w:szCs w:val="21"/>
        </w:rPr>
        <w:br w:type="page"/>
      </w:r>
      <w:r>
        <w:rPr>
          <w:rFonts w:hint="eastAsia" w:ascii="宋体" w:hAnsi="宋体" w:cs="宋体"/>
          <w:b/>
          <w:bCs/>
          <w:color w:val="000000" w:themeColor="text1"/>
          <w:kern w:val="0"/>
          <w:szCs w:val="21"/>
        </w:rPr>
        <w:t>附件二、法人授权委托书格式</w:t>
      </w:r>
    </w:p>
    <w:p w14:paraId="278F96AD">
      <w:pPr>
        <w:widowControl/>
        <w:shd w:val="clear" w:color="auto" w:fill="FFFFFF"/>
        <w:spacing w:line="360" w:lineRule="auto"/>
        <w:ind w:firstLine="720"/>
        <w:jc w:val="center"/>
        <w:rPr>
          <w:rFonts w:hint="eastAsia" w:ascii="宋体" w:hAnsi="宋体" w:cs="宋体"/>
          <w:color w:val="000000" w:themeColor="text1"/>
          <w:kern w:val="0"/>
          <w:sz w:val="36"/>
          <w:szCs w:val="36"/>
        </w:rPr>
      </w:pPr>
    </w:p>
    <w:p w14:paraId="4A9444F3">
      <w:pPr>
        <w:widowControl/>
        <w:shd w:val="clear" w:color="auto" w:fill="FFFFFF"/>
        <w:spacing w:line="360" w:lineRule="auto"/>
        <w:ind w:firstLine="720"/>
        <w:jc w:val="center"/>
        <w:rPr>
          <w:rFonts w:hint="eastAsia" w:ascii="宋体" w:hAnsi="宋体" w:cs="宋体"/>
          <w:b/>
          <w:color w:val="000000" w:themeColor="text1"/>
          <w:kern w:val="0"/>
          <w:szCs w:val="21"/>
        </w:rPr>
      </w:pPr>
      <w:r>
        <w:rPr>
          <w:rFonts w:hint="eastAsia" w:ascii="宋体" w:hAnsi="宋体" w:cs="宋体"/>
          <w:b/>
          <w:color w:val="000000" w:themeColor="text1"/>
          <w:kern w:val="0"/>
          <w:sz w:val="36"/>
          <w:szCs w:val="36"/>
        </w:rPr>
        <w:t>法人授权书</w:t>
      </w:r>
    </w:p>
    <w:p w14:paraId="3525F528">
      <w:pPr>
        <w:widowControl/>
        <w:shd w:val="clear" w:color="auto" w:fill="FFFFFF"/>
        <w:spacing w:line="360" w:lineRule="auto"/>
        <w:jc w:val="left"/>
        <w:rPr>
          <w:rFonts w:hint="eastAsia" w:ascii="宋体" w:hAnsi="宋体" w:cs="宋体"/>
          <w:color w:val="000000" w:themeColor="text1"/>
          <w:kern w:val="0"/>
          <w:szCs w:val="21"/>
        </w:rPr>
      </w:pPr>
    </w:p>
    <w:p w14:paraId="0C3ADDA5">
      <w:pPr>
        <w:spacing w:line="480" w:lineRule="exact"/>
        <w:ind w:firstLine="480"/>
        <w:rPr>
          <w:rFonts w:hint="eastAsia" w:ascii="宋体" w:hAnsi="宋体"/>
          <w:color w:val="000000" w:themeColor="text1"/>
          <w:szCs w:val="21"/>
        </w:rPr>
      </w:pPr>
      <w:r>
        <w:rPr>
          <w:rFonts w:hint="eastAsia" w:ascii="宋体" w:hAnsi="宋体"/>
          <w:color w:val="000000" w:themeColor="text1"/>
          <w:szCs w:val="21"/>
        </w:rPr>
        <w:t>本授权书声明：（投标人名称）授权（被授权人姓名）作为我方参加编号为项目采购活动的合法代理人，以本单位名义全权处理一切与该项目采购有关的事务。</w:t>
      </w:r>
    </w:p>
    <w:p w14:paraId="4955BBD0">
      <w:pPr>
        <w:spacing w:line="480" w:lineRule="exact"/>
        <w:ind w:firstLine="480"/>
        <w:rPr>
          <w:rFonts w:hint="eastAsia" w:ascii="宋体" w:hAnsi="宋体"/>
          <w:color w:val="000000" w:themeColor="text1"/>
          <w:szCs w:val="21"/>
        </w:rPr>
      </w:pPr>
      <w:r>
        <w:rPr>
          <w:rFonts w:hint="eastAsia" w:ascii="宋体" w:hAnsi="宋体"/>
          <w:color w:val="000000" w:themeColor="text1"/>
          <w:szCs w:val="21"/>
        </w:rPr>
        <w:t>本授权书自______年____月____日起生效，特此声明。</w:t>
      </w:r>
    </w:p>
    <w:p w14:paraId="7912EF3A">
      <w:pPr>
        <w:spacing w:line="480" w:lineRule="exact"/>
        <w:ind w:firstLine="480"/>
        <w:rPr>
          <w:rFonts w:hint="eastAsia" w:ascii="宋体" w:hAnsi="宋体"/>
          <w:color w:val="000000" w:themeColor="text1"/>
          <w:szCs w:val="21"/>
        </w:rPr>
      </w:pPr>
      <w:r>
        <w:rPr>
          <w:rFonts w:hint="eastAsia" w:ascii="宋体" w:hAnsi="宋体"/>
          <w:color w:val="000000" w:themeColor="text1"/>
          <w:szCs w:val="21"/>
        </w:rPr>
        <w:t>被授权人身份证号码：</w:t>
      </w:r>
    </w:p>
    <w:p w14:paraId="66708E03">
      <w:pPr>
        <w:spacing w:line="480" w:lineRule="exact"/>
        <w:ind w:firstLine="480"/>
        <w:rPr>
          <w:rFonts w:hint="eastAsia" w:ascii="宋体" w:hAnsi="宋体"/>
          <w:color w:val="000000" w:themeColor="text1"/>
          <w:szCs w:val="21"/>
          <w:u w:val="single"/>
        </w:rPr>
      </w:pPr>
      <w:r>
        <w:rPr>
          <w:rFonts w:hint="eastAsia" w:ascii="宋体" w:hAnsi="宋体"/>
          <w:color w:val="000000" w:themeColor="text1"/>
          <w:szCs w:val="21"/>
        </w:rPr>
        <w:t>被授权人联系电话：           （手机）</w:t>
      </w:r>
    </w:p>
    <w:p w14:paraId="0704F25E">
      <w:pPr>
        <w:spacing w:line="480" w:lineRule="exact"/>
        <w:ind w:firstLine="480"/>
        <w:rPr>
          <w:rFonts w:hint="eastAsia" w:ascii="宋体" w:hAnsi="宋体"/>
          <w:color w:val="000000" w:themeColor="text1"/>
          <w:szCs w:val="21"/>
          <w:u w:val="single"/>
        </w:rPr>
      </w:pPr>
      <w:r>
        <w:rPr>
          <w:rFonts w:hint="eastAsia" w:ascii="宋体" w:hAnsi="宋体"/>
          <w:color w:val="000000" w:themeColor="text1"/>
          <w:szCs w:val="21"/>
        </w:rPr>
        <w:t>投标人名称：              （加盖电子公章）</w:t>
      </w:r>
    </w:p>
    <w:p w14:paraId="63D2BB7D">
      <w:pPr>
        <w:spacing w:line="480" w:lineRule="exact"/>
        <w:ind w:firstLine="480"/>
        <w:rPr>
          <w:rFonts w:hint="eastAsia" w:ascii="宋体" w:hAnsi="宋体"/>
          <w:color w:val="000000" w:themeColor="text1"/>
          <w:szCs w:val="21"/>
          <w:u w:val="single"/>
        </w:rPr>
      </w:pPr>
      <w:r>
        <w:rPr>
          <w:rFonts w:hint="eastAsia" w:ascii="宋体" w:hAnsi="宋体"/>
          <w:color w:val="000000" w:themeColor="text1"/>
          <w:szCs w:val="21"/>
        </w:rPr>
        <w:t>单位地址：</w:t>
      </w:r>
    </w:p>
    <w:p w14:paraId="266FA538">
      <w:pPr>
        <w:spacing w:line="480" w:lineRule="exact"/>
        <w:ind w:firstLine="480"/>
        <w:rPr>
          <w:rFonts w:hint="eastAsia" w:ascii="宋体" w:hAnsi="宋体"/>
          <w:color w:val="000000" w:themeColor="text1"/>
          <w:szCs w:val="21"/>
        </w:rPr>
      </w:pPr>
      <w:r>
        <w:rPr>
          <w:rFonts w:hint="eastAsia" w:ascii="宋体" w:hAnsi="宋体"/>
          <w:color w:val="000000" w:themeColor="text1"/>
          <w:szCs w:val="21"/>
        </w:rPr>
        <w:t>日    期：</w:t>
      </w:r>
    </w:p>
    <w:p w14:paraId="24222405">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4CCCA304">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6196AA11">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6C07314E">
      <w:pPr>
        <w:autoSpaceDE w:val="0"/>
        <w:autoSpaceDN w:val="0"/>
        <w:adjustRightInd w:val="0"/>
        <w:spacing w:line="360" w:lineRule="auto"/>
        <w:rPr>
          <w:rFonts w:hint="eastAsia" w:ascii="宋体" w:hAnsi="宋体" w:cs="宋体"/>
          <w:color w:val="000000" w:themeColor="text1"/>
          <w:lang w:val="zh-CN"/>
        </w:rPr>
      </w:pPr>
      <w:r>
        <w:rPr>
          <w:rFonts w:hint="eastAsia" w:ascii="宋体" w:hAnsi="宋体" w:cs="宋体"/>
          <w:b/>
          <w:bCs/>
          <w:color w:val="000000" w:themeColor="text1"/>
          <w:kern w:val="0"/>
          <w:szCs w:val="21"/>
        </w:rPr>
        <w:br w:type="page"/>
      </w:r>
      <w:bookmarkStart w:id="50" w:name="_Toc26810"/>
      <w:r>
        <w:rPr>
          <w:rFonts w:hint="eastAsia" w:ascii="宋体" w:hAnsi="宋体" w:cs="宋体"/>
          <w:b/>
          <w:bCs/>
          <w:color w:val="000000" w:themeColor="text1"/>
          <w:kern w:val="0"/>
          <w:szCs w:val="21"/>
          <w:lang w:val="zh-CN"/>
        </w:rPr>
        <w:t>附件三、</w:t>
      </w:r>
      <w:bookmarkEnd w:id="50"/>
      <w:r>
        <w:rPr>
          <w:rFonts w:hint="eastAsia" w:ascii="宋体" w:hAnsi="宋体" w:cs="宋体"/>
          <w:b/>
          <w:bCs/>
          <w:color w:val="000000" w:themeColor="text1"/>
          <w:kern w:val="0"/>
          <w:szCs w:val="21"/>
          <w:lang w:val="zh-CN"/>
        </w:rPr>
        <w:t>开标一览表</w:t>
      </w:r>
    </w:p>
    <w:p w14:paraId="6AFB6316">
      <w:pPr>
        <w:autoSpaceDE w:val="0"/>
        <w:autoSpaceDN w:val="0"/>
        <w:adjustRightInd w:val="0"/>
        <w:rPr>
          <w:rFonts w:hint="eastAsia" w:ascii="宋体" w:hAnsi="宋体" w:cs="宋体"/>
          <w:b/>
          <w:bCs/>
          <w:color w:val="000000" w:themeColor="text1"/>
          <w:lang w:val="zh-CN"/>
        </w:rPr>
      </w:pPr>
    </w:p>
    <w:p w14:paraId="4915369B">
      <w:pPr>
        <w:jc w:val="center"/>
        <w:rPr>
          <w:rFonts w:hint="eastAsia" w:ascii="宋体" w:hAnsi="宋体" w:cs="宋体"/>
          <w:b/>
          <w:color w:val="000000" w:themeColor="text1"/>
          <w:sz w:val="36"/>
          <w:szCs w:val="36"/>
        </w:rPr>
      </w:pPr>
      <w:r>
        <w:rPr>
          <w:rFonts w:hint="eastAsia" w:ascii="宋体" w:hAnsi="宋体" w:cs="宋体"/>
          <w:b/>
          <w:color w:val="000000" w:themeColor="text1"/>
          <w:sz w:val="36"/>
          <w:szCs w:val="36"/>
        </w:rPr>
        <w:t>开标一览表</w:t>
      </w:r>
    </w:p>
    <w:p w14:paraId="4DDCBCA3">
      <w:pPr>
        <w:widowControl/>
        <w:shd w:val="clear" w:color="auto" w:fill="FFFFFF"/>
        <w:spacing w:line="360" w:lineRule="auto"/>
        <w:jc w:val="center"/>
        <w:rPr>
          <w:rFonts w:hint="eastAsia" w:ascii="宋体" w:hAnsi="宋体" w:cs="宋体"/>
          <w:color w:val="000000" w:themeColor="text1"/>
          <w:kern w:val="0"/>
          <w:sz w:val="24"/>
        </w:rPr>
      </w:pPr>
    </w:p>
    <w:p w14:paraId="283D9B5F">
      <w:pPr>
        <w:pStyle w:val="14"/>
        <w:spacing w:line="440" w:lineRule="exact"/>
        <w:ind w:firstLine="474" w:firstLineChars="225"/>
        <w:rPr>
          <w:rFonts w:hint="eastAsia" w:ascii="宋体" w:hAnsi="宋体" w:cs="宋体"/>
          <w:color w:val="000000" w:themeColor="text1"/>
          <w:sz w:val="21"/>
          <w:szCs w:val="21"/>
        </w:rPr>
      </w:pPr>
      <w:r>
        <w:rPr>
          <w:rFonts w:hint="eastAsia" w:ascii="宋体" w:hAnsi="宋体" w:cs="宋体"/>
          <w:color w:val="000000" w:themeColor="text1"/>
          <w:sz w:val="21"/>
          <w:szCs w:val="21"/>
        </w:rPr>
        <w:t xml:space="preserve">项目名称：                                   项目编号 ：           </w:t>
      </w:r>
    </w:p>
    <w:tbl>
      <w:tblPr>
        <w:tblStyle w:val="45"/>
        <w:tblW w:w="864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5459"/>
        <w:gridCol w:w="1657"/>
      </w:tblGrid>
      <w:tr w14:paraId="5941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1524" w:type="dxa"/>
            <w:vAlign w:val="center"/>
          </w:tcPr>
          <w:p w14:paraId="5E7E6367">
            <w:pPr>
              <w:jc w:val="center"/>
              <w:textAlignment w:val="baseline"/>
              <w:rPr>
                <w:color w:val="000000" w:themeColor="text1"/>
              </w:rPr>
            </w:pPr>
            <w:r>
              <w:rPr>
                <w:rFonts w:hint="eastAsia"/>
                <w:color w:val="000000" w:themeColor="text1"/>
              </w:rPr>
              <w:t>投标报价</w:t>
            </w:r>
          </w:p>
        </w:tc>
        <w:tc>
          <w:tcPr>
            <w:tcW w:w="5459" w:type="dxa"/>
            <w:vAlign w:val="center"/>
          </w:tcPr>
          <w:p w14:paraId="31B842BB">
            <w:pPr>
              <w:pStyle w:val="14"/>
              <w:ind w:firstLine="472" w:firstLineChars="225"/>
              <w:rPr>
                <w:rFonts w:hint="eastAsia" w:ascii="宋体" w:hAnsi="宋体" w:cs="宋体"/>
                <w:b w:val="0"/>
                <w:bCs/>
                <w:color w:val="000000" w:themeColor="text1"/>
                <w:sz w:val="21"/>
                <w:szCs w:val="21"/>
              </w:rPr>
            </w:pPr>
            <w:r>
              <w:rPr>
                <w:rFonts w:hint="eastAsia" w:ascii="宋体" w:hAnsi="宋体" w:cs="宋体"/>
                <w:b w:val="0"/>
                <w:bCs/>
                <w:color w:val="000000" w:themeColor="text1"/>
                <w:sz w:val="21"/>
                <w:szCs w:val="21"/>
              </w:rPr>
              <w:t>详见苏彩云系统</w:t>
            </w:r>
          </w:p>
        </w:tc>
        <w:tc>
          <w:tcPr>
            <w:tcW w:w="1657" w:type="dxa"/>
            <w:vAlign w:val="center"/>
          </w:tcPr>
          <w:p w14:paraId="04E4D162">
            <w:pPr>
              <w:spacing w:line="440" w:lineRule="exact"/>
              <w:textAlignment w:val="baseline"/>
              <w:rPr>
                <w:rFonts w:hint="eastAsia" w:ascii="宋体" w:hAnsi="宋体" w:cs="宋体"/>
                <w:color w:val="000000" w:themeColor="text1"/>
                <w:szCs w:val="21"/>
              </w:rPr>
            </w:pPr>
            <w:r>
              <w:rPr>
                <w:rFonts w:hint="eastAsia" w:ascii="宋体" w:hAnsi="宋体" w:cs="宋体"/>
                <w:color w:val="000000" w:themeColor="text1"/>
                <w:szCs w:val="21"/>
              </w:rPr>
              <w:t>备注：</w:t>
            </w:r>
            <w:r>
              <w:rPr>
                <w:rFonts w:hint="eastAsia" w:ascii="宋体" w:hAnsi="宋体" w:cs="宋体"/>
                <w:b/>
                <w:bCs/>
                <w:color w:val="000000" w:themeColor="text1"/>
                <w:szCs w:val="21"/>
              </w:rPr>
              <w:t>此处报价为合计总价</w:t>
            </w:r>
          </w:p>
        </w:tc>
      </w:tr>
      <w:tr w14:paraId="12FD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524" w:type="dxa"/>
            <w:vAlign w:val="center"/>
          </w:tcPr>
          <w:p w14:paraId="3C366395">
            <w:pPr>
              <w:spacing w:line="440" w:lineRule="exact"/>
              <w:textAlignment w:val="baseline"/>
              <w:rPr>
                <w:rFonts w:hint="eastAsia" w:ascii="宋体" w:hAnsi="宋体" w:cs="宋体"/>
                <w:color w:val="000000" w:themeColor="text1"/>
                <w:szCs w:val="21"/>
              </w:rPr>
            </w:pPr>
            <w:r>
              <w:rPr>
                <w:rFonts w:hint="eastAsia" w:ascii="宋体" w:hAnsi="宋体" w:cs="宋体"/>
                <w:color w:val="000000" w:themeColor="text1"/>
                <w:szCs w:val="21"/>
              </w:rPr>
              <w:t>服务时间/交付使用时间</w:t>
            </w:r>
          </w:p>
        </w:tc>
        <w:tc>
          <w:tcPr>
            <w:tcW w:w="5459" w:type="dxa"/>
            <w:vAlign w:val="center"/>
          </w:tcPr>
          <w:p w14:paraId="0D9715C3">
            <w:pPr>
              <w:pStyle w:val="14"/>
              <w:ind w:firstLine="472" w:firstLineChars="225"/>
              <w:rPr>
                <w:rFonts w:hint="eastAsia" w:ascii="宋体" w:hAnsi="宋体" w:cs="宋体"/>
                <w:b w:val="0"/>
                <w:bCs/>
                <w:color w:val="000000" w:themeColor="text1"/>
                <w:sz w:val="21"/>
                <w:szCs w:val="21"/>
              </w:rPr>
            </w:pPr>
            <w:r>
              <w:rPr>
                <w:rFonts w:hint="eastAsia" w:ascii="宋体" w:hAnsi="宋体" w:cs="宋体"/>
                <w:b w:val="0"/>
                <w:bCs/>
                <w:color w:val="000000" w:themeColor="text1"/>
                <w:sz w:val="21"/>
                <w:szCs w:val="21"/>
                <w:u w:val="single"/>
              </w:rPr>
              <w:t>满足招标文件要求</w:t>
            </w:r>
            <w:r>
              <w:rPr>
                <w:rFonts w:hint="eastAsia" w:ascii="宋体" w:hAnsi="宋体" w:cs="宋体"/>
                <w:b w:val="0"/>
                <w:bCs/>
                <w:color w:val="000000" w:themeColor="text1"/>
                <w:sz w:val="21"/>
                <w:szCs w:val="21"/>
              </w:rPr>
              <w:t>。</w:t>
            </w:r>
          </w:p>
        </w:tc>
        <w:tc>
          <w:tcPr>
            <w:tcW w:w="1657" w:type="dxa"/>
            <w:vAlign w:val="center"/>
          </w:tcPr>
          <w:p w14:paraId="782A8A04">
            <w:pPr>
              <w:spacing w:line="440" w:lineRule="exact"/>
              <w:ind w:firstLine="472" w:firstLineChars="225"/>
              <w:textAlignment w:val="baseline"/>
              <w:rPr>
                <w:rFonts w:hint="eastAsia" w:ascii="宋体" w:hAnsi="宋体" w:cs="宋体"/>
                <w:color w:val="000000" w:themeColor="text1"/>
                <w:szCs w:val="21"/>
              </w:rPr>
            </w:pPr>
          </w:p>
        </w:tc>
      </w:tr>
      <w:tr w14:paraId="0F9B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524" w:type="dxa"/>
            <w:vAlign w:val="center"/>
          </w:tcPr>
          <w:p w14:paraId="29E71B6F">
            <w:pPr>
              <w:pStyle w:val="14"/>
              <w:ind w:firstLine="0"/>
              <w:jc w:val="center"/>
              <w:rPr>
                <w:rFonts w:hint="eastAsia" w:ascii="宋体" w:hAnsi="宋体" w:cs="宋体"/>
                <w:color w:val="000000" w:themeColor="text1"/>
                <w:szCs w:val="21"/>
              </w:rPr>
            </w:pPr>
            <w:r>
              <w:rPr>
                <w:rFonts w:hint="eastAsia" w:ascii="宋体" w:hAnsi="宋体" w:cs="宋体"/>
                <w:color w:val="000000" w:themeColor="text1"/>
                <w:sz w:val="21"/>
                <w:szCs w:val="21"/>
              </w:rPr>
              <w:t>投标标的是否全部由小微企业（含视同小微企业）提供</w:t>
            </w:r>
          </w:p>
        </w:tc>
        <w:tc>
          <w:tcPr>
            <w:tcW w:w="5459" w:type="dxa"/>
            <w:vAlign w:val="center"/>
          </w:tcPr>
          <w:p w14:paraId="22143D01">
            <w:pPr>
              <w:pStyle w:val="14"/>
              <w:ind w:firstLine="474" w:firstLineChars="225"/>
              <w:rPr>
                <w:rFonts w:hint="eastAsia" w:ascii="宋体" w:hAnsi="宋体" w:cs="宋体"/>
                <w:color w:val="000000" w:themeColor="text1"/>
                <w:szCs w:val="21"/>
                <w:u w:val="single"/>
              </w:rPr>
            </w:pPr>
            <w:r>
              <w:rPr>
                <w:rFonts w:hint="eastAsia" w:ascii="宋体" w:hAnsi="宋体" w:cs="宋体"/>
                <w:color w:val="000000" w:themeColor="text1"/>
                <w:sz w:val="21"/>
                <w:szCs w:val="21"/>
              </w:rPr>
              <w:t>（</w:t>
            </w:r>
            <w:r>
              <w:rPr>
                <w:rFonts w:hint="eastAsia" w:ascii="宋体" w:hAnsi="宋体" w:cs="宋体"/>
                <w:color w:val="000000" w:themeColor="text1"/>
                <w:sz w:val="21"/>
                <w:szCs w:val="21"/>
                <w:lang w:val="zh-CN"/>
              </w:rPr>
              <w:t>填写“是”或“否</w:t>
            </w:r>
            <w:r>
              <w:rPr>
                <w:rFonts w:hint="eastAsia" w:ascii="宋体" w:hAnsi="宋体" w:cs="宋体"/>
                <w:color w:val="000000" w:themeColor="text1"/>
                <w:sz w:val="21"/>
                <w:szCs w:val="21"/>
              </w:rPr>
              <w:t>）</w:t>
            </w:r>
          </w:p>
        </w:tc>
        <w:tc>
          <w:tcPr>
            <w:tcW w:w="1657" w:type="dxa"/>
            <w:vAlign w:val="center"/>
          </w:tcPr>
          <w:p w14:paraId="7D75145E">
            <w:pPr>
              <w:spacing w:line="440" w:lineRule="exact"/>
              <w:ind w:firstLine="472" w:firstLineChars="225"/>
              <w:textAlignment w:val="baseline"/>
              <w:rPr>
                <w:rFonts w:hint="eastAsia" w:ascii="宋体" w:hAnsi="宋体" w:cs="宋体"/>
                <w:color w:val="000000" w:themeColor="text1"/>
                <w:szCs w:val="21"/>
              </w:rPr>
            </w:pPr>
          </w:p>
        </w:tc>
      </w:tr>
    </w:tbl>
    <w:p w14:paraId="57924D19">
      <w:pPr>
        <w:pStyle w:val="14"/>
        <w:spacing w:line="440" w:lineRule="exact"/>
        <w:ind w:firstLine="474" w:firstLineChars="225"/>
        <w:rPr>
          <w:rFonts w:hint="eastAsia" w:ascii="宋体" w:hAnsi="宋体" w:cs="宋体"/>
          <w:color w:val="000000" w:themeColor="text1"/>
          <w:sz w:val="21"/>
          <w:szCs w:val="21"/>
        </w:rPr>
      </w:pPr>
    </w:p>
    <w:p w14:paraId="22A49140">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投标单位（加盖电子公章）：</w:t>
      </w:r>
      <w:r>
        <w:rPr>
          <w:rFonts w:hint="eastAsia" w:ascii="宋体" w:hAnsi="宋体" w:cs="宋体"/>
          <w:color w:val="000000" w:themeColor="text1"/>
          <w:kern w:val="0"/>
          <w:szCs w:val="21"/>
          <w:u w:val="single"/>
        </w:rPr>
        <w:t>                             </w:t>
      </w:r>
    </w:p>
    <w:p w14:paraId="1E64FD93">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说明：</w:t>
      </w:r>
    </w:p>
    <w:p w14:paraId="2360A228">
      <w:pPr>
        <w:widowControl/>
        <w:numPr>
          <w:ilvl w:val="0"/>
          <w:numId w:val="16"/>
        </w:numPr>
        <w:shd w:val="clear" w:color="auto" w:fill="FFFFFF"/>
        <w:spacing w:line="360" w:lineRule="auto"/>
        <w:ind w:firstLine="422" w:firstLineChars="200"/>
        <w:jc w:val="left"/>
        <w:rPr>
          <w:rFonts w:hint="eastAsia" w:ascii="宋体" w:hAnsi="宋体" w:cs="宋体"/>
          <w:b/>
          <w:bCs/>
          <w:color w:val="000000" w:themeColor="text1"/>
          <w:kern w:val="0"/>
          <w:szCs w:val="21"/>
        </w:rPr>
      </w:pPr>
      <w:bookmarkStart w:id="51" w:name="_Toc12264"/>
      <w:r>
        <w:rPr>
          <w:rFonts w:hint="eastAsia" w:ascii="宋体" w:hAnsi="宋体" w:cs="宋体"/>
          <w:b/>
          <w:bCs/>
          <w:color w:val="000000" w:themeColor="text1"/>
          <w:kern w:val="0"/>
          <w:szCs w:val="21"/>
        </w:rPr>
        <w:t>本项目仅接受一个价格，不得填报有选择性报价方案。如有优惠条款须注明，但不得影响报价，影响项目履约交付。</w:t>
      </w:r>
    </w:p>
    <w:p w14:paraId="4D39A362">
      <w:pPr>
        <w:widowControl/>
        <w:shd w:val="clear" w:color="auto" w:fill="FFFFFF"/>
        <w:spacing w:line="360" w:lineRule="auto"/>
        <w:ind w:firstLine="420"/>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2、</w:t>
      </w:r>
      <w:r>
        <w:rPr>
          <w:rFonts w:hint="eastAsia" w:ascii="宋体" w:hAnsi="宋体" w:cs="宋体"/>
          <w:b/>
          <w:bCs/>
          <w:color w:val="000000" w:themeColor="text1"/>
          <w:szCs w:val="21"/>
        </w:rPr>
        <w:t>“投标标的是否全部由小微企业提供</w:t>
      </w:r>
      <w:r>
        <w:rPr>
          <w:rFonts w:hint="eastAsia" w:ascii="宋体" w:hAnsi="宋体" w:cs="宋体"/>
          <w:b/>
          <w:bCs/>
          <w:color w:val="000000" w:themeColor="text1"/>
          <w:szCs w:val="21"/>
          <w:lang w:val="zh-CN"/>
        </w:rPr>
        <w:t>”栏内填写“是”或“否”。如填写“是”，</w:t>
      </w:r>
      <w:r>
        <w:rPr>
          <w:rFonts w:hint="eastAsia" w:ascii="宋体" w:hAnsi="宋体" w:cs="宋体"/>
          <w:b/>
          <w:bCs/>
          <w:color w:val="000000" w:themeColor="text1"/>
          <w:szCs w:val="21"/>
        </w:rPr>
        <w:t>投标人应按招标文件要求提供《中小企业声明函》、《残疾人福利性单位声明函》、《属于监狱企业的证明文件》。如未按要求提供、填写，不享受价格扣除。</w:t>
      </w:r>
    </w:p>
    <w:p w14:paraId="373DD20D">
      <w:pPr>
        <w:widowControl/>
        <w:shd w:val="clear" w:color="auto" w:fill="FFFFFF"/>
        <w:spacing w:line="360" w:lineRule="auto"/>
        <w:jc w:val="left"/>
        <w:rPr>
          <w:rFonts w:hint="eastAsia" w:ascii="宋体" w:hAnsi="宋体" w:cs="宋体"/>
          <w:b/>
          <w:bCs/>
          <w:color w:val="000000" w:themeColor="text1"/>
          <w:kern w:val="0"/>
          <w:szCs w:val="21"/>
          <w:lang w:val="zh-CN"/>
        </w:rPr>
      </w:pPr>
      <w:r>
        <w:rPr>
          <w:rFonts w:hint="eastAsia" w:ascii="宋体" w:hAnsi="宋体" w:cs="宋体"/>
          <w:b/>
          <w:bCs/>
          <w:color w:val="000000" w:themeColor="text1"/>
          <w:kern w:val="0"/>
          <w:szCs w:val="21"/>
          <w:lang w:val="zh-CN"/>
        </w:rPr>
        <w:br w:type="page"/>
      </w:r>
    </w:p>
    <w:p w14:paraId="59B00254">
      <w:pPr>
        <w:widowControl/>
        <w:shd w:val="clear" w:color="auto" w:fill="FFFFFF"/>
        <w:spacing w:line="360" w:lineRule="auto"/>
        <w:jc w:val="left"/>
        <w:rPr>
          <w:rFonts w:hint="eastAsia" w:ascii="宋体" w:hAnsi="宋体" w:cs="宋体"/>
          <w:b/>
          <w:bCs/>
          <w:color w:val="000000" w:themeColor="text1"/>
          <w:kern w:val="0"/>
          <w:szCs w:val="21"/>
          <w:lang w:val="zh-CN"/>
        </w:rPr>
      </w:pPr>
      <w:r>
        <w:rPr>
          <w:rFonts w:hint="eastAsia" w:ascii="宋体" w:hAnsi="宋体" w:cs="宋体"/>
          <w:b/>
          <w:bCs/>
          <w:color w:val="000000" w:themeColor="text1"/>
          <w:kern w:val="0"/>
          <w:szCs w:val="21"/>
          <w:lang w:val="zh-CN"/>
        </w:rPr>
        <w:t>附件四、分项报价表格式</w:t>
      </w:r>
      <w:bookmarkEnd w:id="51"/>
    </w:p>
    <w:p w14:paraId="505646E7">
      <w:pPr>
        <w:widowControl/>
        <w:adjustRightInd w:val="0"/>
        <w:spacing w:line="240" w:lineRule="atLeast"/>
        <w:jc w:val="left"/>
        <w:rPr>
          <w:rFonts w:hint="eastAsia" w:ascii="宋体" w:hAnsi="宋体" w:cs="宋体"/>
          <w:b/>
          <w:bCs/>
          <w:color w:val="000000" w:themeColor="text1"/>
          <w:kern w:val="0"/>
          <w:lang w:val="zh-CN"/>
        </w:rPr>
      </w:pPr>
    </w:p>
    <w:p w14:paraId="18EAE576">
      <w:pPr>
        <w:pStyle w:val="4"/>
        <w:jc w:val="center"/>
        <w:rPr>
          <w:rFonts w:hint="eastAsia" w:ascii="黑体" w:hAnsi="黑体" w:eastAsia="黑体"/>
          <w:color w:val="000000" w:themeColor="text1"/>
          <w:sz w:val="36"/>
          <w:szCs w:val="36"/>
        </w:rPr>
      </w:pPr>
      <w:r>
        <w:rPr>
          <w:rFonts w:hint="eastAsia" w:ascii="黑体" w:hAnsi="黑体" w:eastAsia="黑体"/>
          <w:color w:val="000000" w:themeColor="text1"/>
          <w:sz w:val="36"/>
          <w:szCs w:val="36"/>
        </w:rPr>
        <w:t>采购包1投标报价明细表</w:t>
      </w:r>
    </w:p>
    <w:p w14:paraId="067195AB">
      <w:pPr>
        <w:jc w:val="center"/>
        <w:rPr>
          <w:color w:val="000000" w:themeColor="text1"/>
          <w:sz w:val="32"/>
          <w:szCs w:val="32"/>
        </w:rPr>
      </w:pPr>
      <w:r>
        <w:rPr>
          <w:rFonts w:hint="eastAsia"/>
          <w:color w:val="000000" w:themeColor="text1"/>
          <w:sz w:val="32"/>
          <w:szCs w:val="32"/>
        </w:rPr>
        <w:t>（</w:t>
      </w:r>
      <w:r>
        <w:rPr>
          <w:color w:val="000000" w:themeColor="text1"/>
          <w:sz w:val="32"/>
          <w:szCs w:val="32"/>
        </w:rPr>
        <w:t>中山陵区域安保服务</w:t>
      </w:r>
      <w:r>
        <w:rPr>
          <w:rFonts w:hint="eastAsia"/>
          <w:color w:val="000000" w:themeColor="text1"/>
          <w:sz w:val="32"/>
          <w:szCs w:val="32"/>
        </w:rPr>
        <w:t>）</w:t>
      </w:r>
    </w:p>
    <w:tbl>
      <w:tblPr>
        <w:tblStyle w:val="45"/>
        <w:tblW w:w="586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2"/>
        <w:gridCol w:w="1465"/>
        <w:gridCol w:w="780"/>
        <w:gridCol w:w="727"/>
        <w:gridCol w:w="726"/>
        <w:gridCol w:w="709"/>
        <w:gridCol w:w="2034"/>
        <w:gridCol w:w="11"/>
        <w:gridCol w:w="3622"/>
        <w:gridCol w:w="11"/>
      </w:tblGrid>
      <w:tr w14:paraId="738D0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619" w:hRule="atLeast"/>
          <w:jc w:val="center"/>
        </w:trPr>
        <w:tc>
          <w:tcPr>
            <w:tcW w:w="802" w:type="dxa"/>
            <w:tcBorders>
              <w:bottom w:val="single" w:color="000000" w:sz="4" w:space="0"/>
            </w:tcBorders>
            <w:vAlign w:val="center"/>
          </w:tcPr>
          <w:p w14:paraId="4E8784A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序号</w:t>
            </w:r>
          </w:p>
        </w:tc>
        <w:tc>
          <w:tcPr>
            <w:tcW w:w="1465" w:type="dxa"/>
            <w:vAlign w:val="center"/>
          </w:tcPr>
          <w:p w14:paraId="3FF80794">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分项名称</w:t>
            </w:r>
          </w:p>
        </w:tc>
        <w:tc>
          <w:tcPr>
            <w:tcW w:w="780" w:type="dxa"/>
            <w:vAlign w:val="center"/>
          </w:tcPr>
          <w:p w14:paraId="2947929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39D015F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单价</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（元/人*月）</w:t>
            </w:r>
          </w:p>
        </w:tc>
        <w:tc>
          <w:tcPr>
            <w:tcW w:w="726" w:type="dxa"/>
            <w:vAlign w:val="center"/>
          </w:tcPr>
          <w:p w14:paraId="7EE8179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月数</w:t>
            </w:r>
          </w:p>
          <w:p w14:paraId="28DD30A1">
            <w:pPr>
              <w:pStyle w:val="44"/>
              <w:spacing w:after="0"/>
              <w:ind w:left="0" w:leftChars="0" w:firstLine="0" w:firstLineChars="0"/>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（13）</w:t>
            </w:r>
          </w:p>
        </w:tc>
        <w:tc>
          <w:tcPr>
            <w:tcW w:w="709" w:type="dxa"/>
            <w:vAlign w:val="center"/>
          </w:tcPr>
          <w:p w14:paraId="489F5C3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分项小计</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w:t>
            </w:r>
          </w:p>
        </w:tc>
        <w:tc>
          <w:tcPr>
            <w:tcW w:w="2034" w:type="dxa"/>
            <w:vAlign w:val="center"/>
          </w:tcPr>
          <w:p w14:paraId="24A28281">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费用计算公式</w:t>
            </w:r>
          </w:p>
        </w:tc>
        <w:tc>
          <w:tcPr>
            <w:tcW w:w="3633" w:type="dxa"/>
            <w:gridSpan w:val="2"/>
            <w:vAlign w:val="center"/>
          </w:tcPr>
          <w:p w14:paraId="0975496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备注</w:t>
            </w:r>
          </w:p>
        </w:tc>
      </w:tr>
      <w:tr w14:paraId="6D973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802" w:type="dxa"/>
            <w:tcBorders>
              <w:top w:val="single" w:color="000000" w:sz="4" w:space="0"/>
              <w:left w:val="single" w:color="000000" w:sz="4" w:space="0"/>
              <w:bottom w:val="single" w:color="000000" w:sz="4" w:space="0"/>
              <w:right w:val="single" w:color="000000" w:sz="4" w:space="0"/>
            </w:tcBorders>
            <w:vAlign w:val="center"/>
          </w:tcPr>
          <w:p w14:paraId="04A3BFE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w:t>
            </w:r>
          </w:p>
        </w:tc>
        <w:tc>
          <w:tcPr>
            <w:tcW w:w="6452" w:type="dxa"/>
            <w:gridSpan w:val="7"/>
            <w:tcBorders>
              <w:left w:val="single" w:color="000000" w:sz="4" w:space="0"/>
            </w:tcBorders>
            <w:vAlign w:val="center"/>
          </w:tcPr>
          <w:p w14:paraId="1905F270">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人员工资</w:t>
            </w:r>
          </w:p>
        </w:tc>
        <w:tc>
          <w:tcPr>
            <w:tcW w:w="3633" w:type="dxa"/>
            <w:gridSpan w:val="2"/>
            <w:vAlign w:val="center"/>
          </w:tcPr>
          <w:p w14:paraId="14326D49">
            <w:pPr>
              <w:widowControl/>
              <w:jc w:val="left"/>
              <w:rPr>
                <w:color w:val="000000" w:themeColor="text1"/>
              </w:rPr>
            </w:pPr>
            <w:r>
              <w:rPr>
                <w:rFonts w:hint="eastAsia" w:ascii="宋体" w:hAnsi="宋体" w:cs="宋体"/>
                <w:color w:val="000000" w:themeColor="text1"/>
                <w:sz w:val="18"/>
                <w:szCs w:val="18"/>
              </w:rPr>
              <w:t>拟投入的日常人员每日不得低于42岗（人），人员工资不得低于南京市最低工资标准，供应商须在《投标报价明细表》中按照采购需求中安保服务人员岗位分别填报员工工资，否则做无效投标处理。</w:t>
            </w:r>
          </w:p>
        </w:tc>
      </w:tr>
      <w:tr w14:paraId="67DB6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tcBorders>
              <w:top w:val="single" w:color="000000" w:sz="4" w:space="0"/>
            </w:tcBorders>
            <w:vAlign w:val="center"/>
          </w:tcPr>
          <w:p w14:paraId="5E4B117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00E9CDB0">
            <w:pPr>
              <w:widowControl/>
              <w:jc w:val="center"/>
              <w:rPr>
                <w:rFonts w:hint="eastAsia" w:ascii="宋体" w:hAnsi="宋体" w:cs="宋体"/>
                <w:color w:val="000000" w:themeColor="text1"/>
                <w:sz w:val="18"/>
                <w:szCs w:val="18"/>
              </w:rPr>
            </w:pPr>
          </w:p>
        </w:tc>
        <w:tc>
          <w:tcPr>
            <w:tcW w:w="780" w:type="dxa"/>
            <w:vAlign w:val="center"/>
          </w:tcPr>
          <w:p w14:paraId="2484890B">
            <w:pPr>
              <w:jc w:val="center"/>
              <w:rPr>
                <w:rFonts w:hint="eastAsia" w:ascii="宋体" w:hAnsi="宋体" w:cs="宋体"/>
                <w:b/>
                <w:bCs/>
                <w:color w:val="000000" w:themeColor="text1"/>
                <w:sz w:val="18"/>
                <w:szCs w:val="18"/>
              </w:rPr>
            </w:pPr>
          </w:p>
        </w:tc>
        <w:tc>
          <w:tcPr>
            <w:tcW w:w="727" w:type="dxa"/>
            <w:vAlign w:val="center"/>
          </w:tcPr>
          <w:p w14:paraId="0B8A3601">
            <w:pPr>
              <w:jc w:val="center"/>
              <w:rPr>
                <w:rFonts w:hint="eastAsia" w:ascii="宋体" w:hAnsi="宋体" w:cs="宋体"/>
                <w:b/>
                <w:bCs/>
                <w:color w:val="000000" w:themeColor="text1"/>
                <w:sz w:val="18"/>
                <w:szCs w:val="18"/>
              </w:rPr>
            </w:pPr>
          </w:p>
        </w:tc>
        <w:tc>
          <w:tcPr>
            <w:tcW w:w="726" w:type="dxa"/>
            <w:vAlign w:val="center"/>
          </w:tcPr>
          <w:p w14:paraId="50467C85">
            <w:pPr>
              <w:jc w:val="center"/>
              <w:rPr>
                <w:rFonts w:hint="eastAsia" w:ascii="宋体" w:hAnsi="宋体" w:cs="宋体"/>
                <w:b/>
                <w:bCs/>
                <w:color w:val="000000" w:themeColor="text1"/>
                <w:sz w:val="18"/>
                <w:szCs w:val="18"/>
              </w:rPr>
            </w:pPr>
          </w:p>
        </w:tc>
        <w:tc>
          <w:tcPr>
            <w:tcW w:w="709" w:type="dxa"/>
            <w:vAlign w:val="center"/>
          </w:tcPr>
          <w:p w14:paraId="3B23ECB2">
            <w:pPr>
              <w:jc w:val="center"/>
              <w:rPr>
                <w:rFonts w:hint="eastAsia" w:ascii="宋体" w:hAnsi="宋体" w:cs="宋体"/>
                <w:b/>
                <w:bCs/>
                <w:color w:val="000000" w:themeColor="text1"/>
                <w:sz w:val="18"/>
                <w:szCs w:val="18"/>
              </w:rPr>
            </w:pPr>
          </w:p>
        </w:tc>
        <w:tc>
          <w:tcPr>
            <w:tcW w:w="2034" w:type="dxa"/>
            <w:vAlign w:val="center"/>
          </w:tcPr>
          <w:p w14:paraId="6C3C39E2">
            <w:pPr>
              <w:jc w:val="left"/>
              <w:rPr>
                <w:rFonts w:hint="eastAsia" w:ascii="宋体" w:hAnsi="宋体" w:cs="宋体"/>
                <w:color w:val="000000" w:themeColor="text1"/>
                <w:sz w:val="18"/>
                <w:szCs w:val="18"/>
              </w:rPr>
            </w:pPr>
          </w:p>
        </w:tc>
        <w:tc>
          <w:tcPr>
            <w:tcW w:w="3633" w:type="dxa"/>
            <w:gridSpan w:val="2"/>
            <w:vMerge w:val="restart"/>
            <w:vAlign w:val="center"/>
          </w:tcPr>
          <w:p w14:paraId="5D858F68">
            <w:pPr>
              <w:jc w:val="left"/>
              <w:rPr>
                <w:rFonts w:hint="eastAsia" w:ascii="宋体" w:hAnsi="宋体" w:cs="宋体"/>
                <w:color w:val="000000" w:themeColor="text1"/>
                <w:sz w:val="18"/>
                <w:szCs w:val="18"/>
              </w:rPr>
            </w:pPr>
          </w:p>
        </w:tc>
      </w:tr>
      <w:tr w14:paraId="68FD7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685D28A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58EE2B78">
            <w:pPr>
              <w:widowControl/>
              <w:jc w:val="center"/>
              <w:rPr>
                <w:rFonts w:hint="eastAsia" w:ascii="宋体" w:hAnsi="宋体" w:cs="宋体"/>
                <w:color w:val="000000" w:themeColor="text1"/>
                <w:sz w:val="18"/>
                <w:szCs w:val="18"/>
              </w:rPr>
            </w:pPr>
          </w:p>
        </w:tc>
        <w:tc>
          <w:tcPr>
            <w:tcW w:w="780" w:type="dxa"/>
            <w:vAlign w:val="center"/>
          </w:tcPr>
          <w:p w14:paraId="44068464">
            <w:pPr>
              <w:jc w:val="center"/>
              <w:rPr>
                <w:rFonts w:hint="eastAsia" w:ascii="宋体" w:hAnsi="宋体" w:cs="宋体"/>
                <w:b/>
                <w:bCs/>
                <w:color w:val="000000" w:themeColor="text1"/>
                <w:sz w:val="18"/>
                <w:szCs w:val="18"/>
              </w:rPr>
            </w:pPr>
          </w:p>
        </w:tc>
        <w:tc>
          <w:tcPr>
            <w:tcW w:w="727" w:type="dxa"/>
            <w:vAlign w:val="center"/>
          </w:tcPr>
          <w:p w14:paraId="4911DC73">
            <w:pPr>
              <w:jc w:val="center"/>
              <w:rPr>
                <w:rFonts w:hint="eastAsia" w:ascii="宋体" w:hAnsi="宋体" w:cs="宋体"/>
                <w:b/>
                <w:bCs/>
                <w:color w:val="000000" w:themeColor="text1"/>
                <w:sz w:val="18"/>
                <w:szCs w:val="18"/>
              </w:rPr>
            </w:pPr>
          </w:p>
        </w:tc>
        <w:tc>
          <w:tcPr>
            <w:tcW w:w="726" w:type="dxa"/>
            <w:vAlign w:val="center"/>
          </w:tcPr>
          <w:p w14:paraId="4D4305BD">
            <w:pPr>
              <w:jc w:val="center"/>
              <w:rPr>
                <w:rFonts w:hint="eastAsia" w:ascii="宋体" w:hAnsi="宋体" w:cs="宋体"/>
                <w:b/>
                <w:bCs/>
                <w:color w:val="000000" w:themeColor="text1"/>
                <w:sz w:val="18"/>
                <w:szCs w:val="18"/>
              </w:rPr>
            </w:pPr>
          </w:p>
        </w:tc>
        <w:tc>
          <w:tcPr>
            <w:tcW w:w="709" w:type="dxa"/>
            <w:vAlign w:val="center"/>
          </w:tcPr>
          <w:p w14:paraId="1F3FF4F6">
            <w:pPr>
              <w:jc w:val="center"/>
              <w:rPr>
                <w:rFonts w:hint="eastAsia" w:ascii="宋体" w:hAnsi="宋体" w:cs="宋体"/>
                <w:b/>
                <w:bCs/>
                <w:color w:val="000000" w:themeColor="text1"/>
                <w:sz w:val="18"/>
                <w:szCs w:val="18"/>
              </w:rPr>
            </w:pPr>
          </w:p>
        </w:tc>
        <w:tc>
          <w:tcPr>
            <w:tcW w:w="2034" w:type="dxa"/>
            <w:vAlign w:val="center"/>
          </w:tcPr>
          <w:p w14:paraId="73A537EA">
            <w:pPr>
              <w:jc w:val="left"/>
              <w:rPr>
                <w:rFonts w:hint="eastAsia" w:ascii="宋体" w:hAnsi="宋体" w:cs="宋体"/>
                <w:color w:val="000000" w:themeColor="text1"/>
                <w:sz w:val="18"/>
                <w:szCs w:val="18"/>
              </w:rPr>
            </w:pPr>
          </w:p>
        </w:tc>
        <w:tc>
          <w:tcPr>
            <w:tcW w:w="3633" w:type="dxa"/>
            <w:gridSpan w:val="2"/>
            <w:vMerge w:val="continue"/>
            <w:vAlign w:val="center"/>
          </w:tcPr>
          <w:p w14:paraId="245EEED7">
            <w:pPr>
              <w:jc w:val="left"/>
              <w:rPr>
                <w:rFonts w:hint="eastAsia" w:ascii="宋体" w:hAnsi="宋体" w:cs="宋体"/>
                <w:color w:val="000000" w:themeColor="text1"/>
                <w:sz w:val="18"/>
                <w:szCs w:val="18"/>
              </w:rPr>
            </w:pPr>
          </w:p>
        </w:tc>
      </w:tr>
      <w:tr w14:paraId="35F5E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5EF3BC0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47804310">
            <w:pPr>
              <w:widowControl/>
              <w:jc w:val="center"/>
              <w:rPr>
                <w:rFonts w:hint="eastAsia" w:ascii="宋体" w:hAnsi="宋体" w:cs="宋体"/>
                <w:color w:val="000000" w:themeColor="text1"/>
                <w:sz w:val="18"/>
                <w:szCs w:val="18"/>
              </w:rPr>
            </w:pPr>
          </w:p>
        </w:tc>
        <w:tc>
          <w:tcPr>
            <w:tcW w:w="780" w:type="dxa"/>
            <w:vAlign w:val="center"/>
          </w:tcPr>
          <w:p w14:paraId="1E998858">
            <w:pPr>
              <w:jc w:val="center"/>
              <w:rPr>
                <w:rFonts w:hint="eastAsia" w:ascii="宋体" w:hAnsi="宋体" w:cs="宋体"/>
                <w:b/>
                <w:bCs/>
                <w:color w:val="000000" w:themeColor="text1"/>
                <w:sz w:val="18"/>
                <w:szCs w:val="18"/>
              </w:rPr>
            </w:pPr>
          </w:p>
        </w:tc>
        <w:tc>
          <w:tcPr>
            <w:tcW w:w="727" w:type="dxa"/>
            <w:vAlign w:val="center"/>
          </w:tcPr>
          <w:p w14:paraId="03104F0C">
            <w:pPr>
              <w:jc w:val="center"/>
              <w:rPr>
                <w:rFonts w:hint="eastAsia" w:ascii="宋体" w:hAnsi="宋体" w:cs="宋体"/>
                <w:b/>
                <w:bCs/>
                <w:color w:val="000000" w:themeColor="text1"/>
                <w:sz w:val="18"/>
                <w:szCs w:val="18"/>
              </w:rPr>
            </w:pPr>
          </w:p>
        </w:tc>
        <w:tc>
          <w:tcPr>
            <w:tcW w:w="726" w:type="dxa"/>
            <w:vAlign w:val="center"/>
          </w:tcPr>
          <w:p w14:paraId="23B51FE1">
            <w:pPr>
              <w:jc w:val="center"/>
              <w:rPr>
                <w:rFonts w:hint="eastAsia" w:ascii="宋体" w:hAnsi="宋体" w:cs="宋体"/>
                <w:b/>
                <w:bCs/>
                <w:color w:val="000000" w:themeColor="text1"/>
                <w:sz w:val="18"/>
                <w:szCs w:val="18"/>
              </w:rPr>
            </w:pPr>
          </w:p>
        </w:tc>
        <w:tc>
          <w:tcPr>
            <w:tcW w:w="709" w:type="dxa"/>
            <w:vAlign w:val="center"/>
          </w:tcPr>
          <w:p w14:paraId="7694CE22">
            <w:pPr>
              <w:jc w:val="center"/>
              <w:rPr>
                <w:rFonts w:hint="eastAsia" w:ascii="宋体" w:hAnsi="宋体" w:cs="宋体"/>
                <w:b/>
                <w:bCs/>
                <w:color w:val="000000" w:themeColor="text1"/>
                <w:sz w:val="18"/>
                <w:szCs w:val="18"/>
              </w:rPr>
            </w:pPr>
          </w:p>
        </w:tc>
        <w:tc>
          <w:tcPr>
            <w:tcW w:w="2034" w:type="dxa"/>
            <w:vAlign w:val="center"/>
          </w:tcPr>
          <w:p w14:paraId="45B4E590">
            <w:pPr>
              <w:jc w:val="left"/>
              <w:rPr>
                <w:rFonts w:hint="eastAsia" w:ascii="宋体" w:hAnsi="宋体" w:cs="宋体"/>
                <w:color w:val="000000" w:themeColor="text1"/>
                <w:sz w:val="18"/>
                <w:szCs w:val="18"/>
              </w:rPr>
            </w:pPr>
          </w:p>
        </w:tc>
        <w:tc>
          <w:tcPr>
            <w:tcW w:w="3633" w:type="dxa"/>
            <w:gridSpan w:val="2"/>
            <w:vMerge w:val="continue"/>
            <w:vAlign w:val="center"/>
          </w:tcPr>
          <w:p w14:paraId="47D79EDA">
            <w:pPr>
              <w:jc w:val="left"/>
              <w:rPr>
                <w:rFonts w:hint="eastAsia" w:ascii="宋体" w:hAnsi="宋体" w:cs="宋体"/>
                <w:color w:val="000000" w:themeColor="text1"/>
                <w:sz w:val="18"/>
                <w:szCs w:val="18"/>
              </w:rPr>
            </w:pPr>
          </w:p>
        </w:tc>
      </w:tr>
      <w:tr w14:paraId="4383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24" w:hRule="atLeast"/>
          <w:jc w:val="center"/>
        </w:trPr>
        <w:tc>
          <w:tcPr>
            <w:tcW w:w="802" w:type="dxa"/>
            <w:vAlign w:val="center"/>
          </w:tcPr>
          <w:p w14:paraId="369FA5E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25AD8E8D">
            <w:pPr>
              <w:widowControl/>
              <w:jc w:val="center"/>
              <w:rPr>
                <w:rFonts w:hint="eastAsia" w:ascii="宋体" w:hAnsi="宋体" w:cs="宋体"/>
                <w:color w:val="000000" w:themeColor="text1"/>
                <w:sz w:val="18"/>
                <w:szCs w:val="18"/>
              </w:rPr>
            </w:pPr>
          </w:p>
        </w:tc>
        <w:tc>
          <w:tcPr>
            <w:tcW w:w="780" w:type="dxa"/>
            <w:vAlign w:val="center"/>
          </w:tcPr>
          <w:p w14:paraId="0E429111">
            <w:pPr>
              <w:jc w:val="center"/>
              <w:rPr>
                <w:rFonts w:hint="eastAsia" w:ascii="宋体" w:hAnsi="宋体" w:cs="宋体"/>
                <w:b/>
                <w:bCs/>
                <w:color w:val="000000" w:themeColor="text1"/>
                <w:sz w:val="18"/>
                <w:szCs w:val="18"/>
              </w:rPr>
            </w:pPr>
          </w:p>
        </w:tc>
        <w:tc>
          <w:tcPr>
            <w:tcW w:w="727" w:type="dxa"/>
            <w:vAlign w:val="center"/>
          </w:tcPr>
          <w:p w14:paraId="2AC3E47C">
            <w:pPr>
              <w:jc w:val="center"/>
              <w:rPr>
                <w:rFonts w:hint="eastAsia" w:ascii="宋体" w:hAnsi="宋体" w:cs="宋体"/>
                <w:b/>
                <w:bCs/>
                <w:color w:val="000000" w:themeColor="text1"/>
                <w:sz w:val="18"/>
                <w:szCs w:val="18"/>
              </w:rPr>
            </w:pPr>
          </w:p>
        </w:tc>
        <w:tc>
          <w:tcPr>
            <w:tcW w:w="726" w:type="dxa"/>
            <w:vAlign w:val="center"/>
          </w:tcPr>
          <w:p w14:paraId="38214270">
            <w:pPr>
              <w:jc w:val="center"/>
              <w:rPr>
                <w:rFonts w:hint="eastAsia" w:ascii="宋体" w:hAnsi="宋体" w:cs="宋体"/>
                <w:b/>
                <w:bCs/>
                <w:color w:val="000000" w:themeColor="text1"/>
                <w:sz w:val="18"/>
                <w:szCs w:val="18"/>
              </w:rPr>
            </w:pPr>
          </w:p>
        </w:tc>
        <w:tc>
          <w:tcPr>
            <w:tcW w:w="709" w:type="dxa"/>
            <w:vAlign w:val="center"/>
          </w:tcPr>
          <w:p w14:paraId="6EFE90E9">
            <w:pPr>
              <w:jc w:val="center"/>
              <w:rPr>
                <w:rFonts w:hint="eastAsia" w:ascii="宋体" w:hAnsi="宋体" w:cs="宋体"/>
                <w:b/>
                <w:bCs/>
                <w:color w:val="000000" w:themeColor="text1"/>
                <w:sz w:val="18"/>
                <w:szCs w:val="18"/>
              </w:rPr>
            </w:pPr>
          </w:p>
        </w:tc>
        <w:tc>
          <w:tcPr>
            <w:tcW w:w="2034" w:type="dxa"/>
            <w:vAlign w:val="center"/>
          </w:tcPr>
          <w:p w14:paraId="370A2CC3">
            <w:pPr>
              <w:jc w:val="left"/>
              <w:rPr>
                <w:rFonts w:hint="eastAsia" w:ascii="宋体" w:hAnsi="宋体" w:cs="宋体"/>
                <w:color w:val="000000" w:themeColor="text1"/>
                <w:sz w:val="18"/>
                <w:szCs w:val="18"/>
              </w:rPr>
            </w:pPr>
          </w:p>
        </w:tc>
        <w:tc>
          <w:tcPr>
            <w:tcW w:w="3633" w:type="dxa"/>
            <w:gridSpan w:val="2"/>
            <w:vMerge w:val="continue"/>
            <w:vAlign w:val="center"/>
          </w:tcPr>
          <w:p w14:paraId="1C6400E5">
            <w:pPr>
              <w:jc w:val="left"/>
              <w:rPr>
                <w:rFonts w:hint="eastAsia" w:ascii="宋体" w:hAnsi="宋体" w:cs="宋体"/>
                <w:color w:val="000000" w:themeColor="text1"/>
                <w:sz w:val="18"/>
                <w:szCs w:val="18"/>
              </w:rPr>
            </w:pPr>
          </w:p>
        </w:tc>
      </w:tr>
      <w:tr w14:paraId="0F049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atLeast"/>
          <w:jc w:val="center"/>
        </w:trPr>
        <w:tc>
          <w:tcPr>
            <w:tcW w:w="802" w:type="dxa"/>
            <w:vAlign w:val="center"/>
          </w:tcPr>
          <w:p w14:paraId="16706D9D">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w:t>
            </w:r>
          </w:p>
        </w:tc>
        <w:tc>
          <w:tcPr>
            <w:tcW w:w="6452" w:type="dxa"/>
            <w:gridSpan w:val="7"/>
            <w:vAlign w:val="center"/>
          </w:tcPr>
          <w:p w14:paraId="7229CFB0">
            <w:pPr>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社保公积金</w:t>
            </w:r>
          </w:p>
        </w:tc>
        <w:tc>
          <w:tcPr>
            <w:tcW w:w="3633" w:type="dxa"/>
            <w:gridSpan w:val="2"/>
            <w:vAlign w:val="center"/>
          </w:tcPr>
          <w:p w14:paraId="491180DB">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供应商须在《投标报价明细表》中按照采购文件采购需求中安保服务人员岗位分别填报员工社保和公积金费用。</w:t>
            </w:r>
          </w:p>
          <w:p w14:paraId="3F893D61">
            <w:pPr>
              <w:widowControl/>
              <w:jc w:val="left"/>
              <w:rPr>
                <w:color w:val="000000" w:themeColor="text1"/>
              </w:rPr>
            </w:pPr>
            <w:r>
              <w:rPr>
                <w:rFonts w:hint="eastAsia" w:ascii="宋体" w:hAnsi="宋体" w:cs="宋体"/>
                <w:color w:val="000000" w:themeColor="text1"/>
                <w:sz w:val="18"/>
                <w:szCs w:val="18"/>
              </w:rPr>
              <w:t>供应商为投入本项目安保服务人员缴纳社保和公积金的人数不得低于42岗（人）（不包含享受社保公积金减免政策人员、退休返聘人员等）</w:t>
            </w:r>
          </w:p>
        </w:tc>
      </w:tr>
      <w:tr w14:paraId="306AC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jc w:val="center"/>
        </w:trPr>
        <w:tc>
          <w:tcPr>
            <w:tcW w:w="802" w:type="dxa"/>
            <w:vAlign w:val="center"/>
          </w:tcPr>
          <w:p w14:paraId="3EAF33B8">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2.1</w:t>
            </w:r>
          </w:p>
        </w:tc>
        <w:tc>
          <w:tcPr>
            <w:tcW w:w="6452" w:type="dxa"/>
            <w:gridSpan w:val="7"/>
            <w:vAlign w:val="center"/>
          </w:tcPr>
          <w:p w14:paraId="625FF541">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社会保险</w:t>
            </w:r>
          </w:p>
        </w:tc>
        <w:tc>
          <w:tcPr>
            <w:tcW w:w="3633" w:type="dxa"/>
            <w:gridSpan w:val="2"/>
            <w:vAlign w:val="center"/>
          </w:tcPr>
          <w:p w14:paraId="1650AF88">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社保费用不得低于南京市最低标准，否则做无效投标处理。</w:t>
            </w:r>
          </w:p>
        </w:tc>
      </w:tr>
      <w:tr w14:paraId="1F0F0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0AED4A48">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4C475451">
            <w:pPr>
              <w:widowControl/>
              <w:jc w:val="center"/>
              <w:rPr>
                <w:rFonts w:hint="eastAsia" w:ascii="宋体" w:hAnsi="宋体" w:cs="宋体"/>
                <w:color w:val="000000" w:themeColor="text1"/>
                <w:sz w:val="18"/>
                <w:szCs w:val="18"/>
              </w:rPr>
            </w:pPr>
          </w:p>
        </w:tc>
        <w:tc>
          <w:tcPr>
            <w:tcW w:w="780" w:type="dxa"/>
            <w:vAlign w:val="center"/>
          </w:tcPr>
          <w:p w14:paraId="677A8F0D">
            <w:pPr>
              <w:widowControl/>
              <w:jc w:val="center"/>
              <w:rPr>
                <w:rFonts w:hint="eastAsia" w:ascii="宋体" w:hAnsi="宋体" w:cs="宋体"/>
                <w:color w:val="000000" w:themeColor="text1"/>
                <w:sz w:val="18"/>
                <w:szCs w:val="18"/>
              </w:rPr>
            </w:pPr>
          </w:p>
        </w:tc>
        <w:tc>
          <w:tcPr>
            <w:tcW w:w="727" w:type="dxa"/>
            <w:vAlign w:val="center"/>
          </w:tcPr>
          <w:p w14:paraId="63CEC794">
            <w:pPr>
              <w:widowControl/>
              <w:jc w:val="center"/>
              <w:rPr>
                <w:rFonts w:hint="eastAsia" w:ascii="宋体" w:hAnsi="宋体" w:cs="宋体"/>
                <w:color w:val="000000" w:themeColor="text1"/>
                <w:sz w:val="18"/>
                <w:szCs w:val="18"/>
              </w:rPr>
            </w:pPr>
          </w:p>
        </w:tc>
        <w:tc>
          <w:tcPr>
            <w:tcW w:w="726" w:type="dxa"/>
            <w:vAlign w:val="center"/>
          </w:tcPr>
          <w:p w14:paraId="0ECB5B26">
            <w:pPr>
              <w:widowControl/>
              <w:jc w:val="center"/>
              <w:rPr>
                <w:rFonts w:hint="eastAsia" w:ascii="宋体" w:hAnsi="宋体" w:cs="宋体"/>
                <w:color w:val="000000" w:themeColor="text1"/>
                <w:sz w:val="18"/>
                <w:szCs w:val="18"/>
              </w:rPr>
            </w:pPr>
          </w:p>
        </w:tc>
        <w:tc>
          <w:tcPr>
            <w:tcW w:w="709" w:type="dxa"/>
            <w:vAlign w:val="center"/>
          </w:tcPr>
          <w:p w14:paraId="2A74873D">
            <w:pPr>
              <w:widowControl/>
              <w:jc w:val="center"/>
              <w:rPr>
                <w:rFonts w:hint="eastAsia" w:ascii="宋体" w:hAnsi="宋体" w:cs="宋体"/>
                <w:color w:val="000000" w:themeColor="text1"/>
                <w:sz w:val="18"/>
                <w:szCs w:val="18"/>
              </w:rPr>
            </w:pPr>
          </w:p>
        </w:tc>
        <w:tc>
          <w:tcPr>
            <w:tcW w:w="2034" w:type="dxa"/>
            <w:vAlign w:val="center"/>
          </w:tcPr>
          <w:p w14:paraId="5374FF1C">
            <w:pPr>
              <w:widowControl/>
              <w:jc w:val="left"/>
              <w:rPr>
                <w:rFonts w:hint="eastAsia" w:ascii="宋体" w:hAnsi="宋体" w:cs="宋体"/>
                <w:color w:val="000000" w:themeColor="text1"/>
                <w:sz w:val="18"/>
                <w:szCs w:val="18"/>
              </w:rPr>
            </w:pPr>
          </w:p>
        </w:tc>
        <w:tc>
          <w:tcPr>
            <w:tcW w:w="3633" w:type="dxa"/>
            <w:gridSpan w:val="2"/>
            <w:vMerge w:val="restart"/>
            <w:vAlign w:val="center"/>
          </w:tcPr>
          <w:p w14:paraId="4A6BA7BE">
            <w:pPr>
              <w:widowControl/>
              <w:jc w:val="left"/>
              <w:rPr>
                <w:rFonts w:hint="eastAsia" w:ascii="宋体" w:hAnsi="宋体" w:cs="宋体"/>
                <w:color w:val="000000" w:themeColor="text1"/>
                <w:sz w:val="18"/>
                <w:szCs w:val="18"/>
              </w:rPr>
            </w:pPr>
          </w:p>
        </w:tc>
      </w:tr>
      <w:tr w14:paraId="4E413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11" w:type="dxa"/>
          <w:trHeight w:val="499" w:hRule="atLeast"/>
          <w:jc w:val="center"/>
        </w:trPr>
        <w:tc>
          <w:tcPr>
            <w:tcW w:w="802" w:type="dxa"/>
            <w:vAlign w:val="center"/>
          </w:tcPr>
          <w:p w14:paraId="1E250DD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0E909AFE">
            <w:pPr>
              <w:widowControl/>
              <w:jc w:val="center"/>
              <w:rPr>
                <w:rFonts w:hint="eastAsia" w:ascii="宋体" w:hAnsi="宋体" w:cs="宋体"/>
                <w:color w:val="000000" w:themeColor="text1"/>
                <w:sz w:val="18"/>
                <w:szCs w:val="18"/>
              </w:rPr>
            </w:pPr>
          </w:p>
        </w:tc>
        <w:tc>
          <w:tcPr>
            <w:tcW w:w="780" w:type="dxa"/>
            <w:vAlign w:val="center"/>
          </w:tcPr>
          <w:p w14:paraId="5C96CA5A">
            <w:pPr>
              <w:widowControl/>
              <w:jc w:val="center"/>
              <w:rPr>
                <w:rFonts w:hint="eastAsia" w:ascii="宋体" w:hAnsi="宋体" w:cs="宋体"/>
                <w:color w:val="000000" w:themeColor="text1"/>
                <w:sz w:val="18"/>
                <w:szCs w:val="18"/>
              </w:rPr>
            </w:pPr>
          </w:p>
        </w:tc>
        <w:tc>
          <w:tcPr>
            <w:tcW w:w="727" w:type="dxa"/>
            <w:vAlign w:val="center"/>
          </w:tcPr>
          <w:p w14:paraId="1FDDD4DC">
            <w:pPr>
              <w:widowControl/>
              <w:jc w:val="center"/>
              <w:rPr>
                <w:rFonts w:hint="eastAsia" w:ascii="宋体" w:hAnsi="宋体" w:cs="宋体"/>
                <w:color w:val="000000" w:themeColor="text1"/>
                <w:sz w:val="18"/>
                <w:szCs w:val="18"/>
              </w:rPr>
            </w:pPr>
          </w:p>
        </w:tc>
        <w:tc>
          <w:tcPr>
            <w:tcW w:w="726" w:type="dxa"/>
            <w:vAlign w:val="center"/>
          </w:tcPr>
          <w:p w14:paraId="1C3BC08F">
            <w:pPr>
              <w:widowControl/>
              <w:jc w:val="center"/>
              <w:rPr>
                <w:rFonts w:hint="eastAsia" w:ascii="宋体" w:hAnsi="宋体" w:cs="宋体"/>
                <w:color w:val="000000" w:themeColor="text1"/>
                <w:sz w:val="18"/>
                <w:szCs w:val="18"/>
              </w:rPr>
            </w:pPr>
          </w:p>
        </w:tc>
        <w:tc>
          <w:tcPr>
            <w:tcW w:w="709" w:type="dxa"/>
            <w:vAlign w:val="center"/>
          </w:tcPr>
          <w:p w14:paraId="3B56F01D">
            <w:pPr>
              <w:widowControl/>
              <w:jc w:val="center"/>
              <w:rPr>
                <w:rFonts w:hint="eastAsia" w:ascii="宋体" w:hAnsi="宋体" w:cs="宋体"/>
                <w:color w:val="000000" w:themeColor="text1"/>
                <w:sz w:val="18"/>
                <w:szCs w:val="18"/>
              </w:rPr>
            </w:pPr>
          </w:p>
        </w:tc>
        <w:tc>
          <w:tcPr>
            <w:tcW w:w="2034" w:type="dxa"/>
            <w:vAlign w:val="center"/>
          </w:tcPr>
          <w:p w14:paraId="11464AED">
            <w:pPr>
              <w:widowControl/>
              <w:jc w:val="left"/>
              <w:rPr>
                <w:rFonts w:hint="eastAsia" w:ascii="宋体" w:hAnsi="宋体" w:cs="宋体"/>
                <w:color w:val="000000" w:themeColor="text1"/>
                <w:sz w:val="18"/>
                <w:szCs w:val="18"/>
              </w:rPr>
            </w:pPr>
          </w:p>
        </w:tc>
        <w:tc>
          <w:tcPr>
            <w:tcW w:w="3633" w:type="dxa"/>
            <w:gridSpan w:val="2"/>
            <w:vMerge w:val="continue"/>
            <w:vAlign w:val="center"/>
          </w:tcPr>
          <w:p w14:paraId="50B51706">
            <w:pPr>
              <w:widowControl/>
              <w:jc w:val="left"/>
              <w:rPr>
                <w:rFonts w:hint="eastAsia" w:ascii="宋体" w:hAnsi="宋体" w:cs="宋体"/>
                <w:color w:val="000000" w:themeColor="text1"/>
                <w:sz w:val="18"/>
                <w:szCs w:val="18"/>
              </w:rPr>
            </w:pPr>
          </w:p>
        </w:tc>
      </w:tr>
      <w:tr w14:paraId="360DC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363A1803">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6DB7EC93">
            <w:pPr>
              <w:widowControl/>
              <w:jc w:val="center"/>
              <w:rPr>
                <w:rFonts w:hint="eastAsia" w:ascii="宋体" w:hAnsi="宋体" w:cs="宋体"/>
                <w:color w:val="000000" w:themeColor="text1"/>
                <w:sz w:val="18"/>
                <w:szCs w:val="18"/>
              </w:rPr>
            </w:pPr>
          </w:p>
        </w:tc>
        <w:tc>
          <w:tcPr>
            <w:tcW w:w="780" w:type="dxa"/>
            <w:vAlign w:val="center"/>
          </w:tcPr>
          <w:p w14:paraId="43FBBA2A">
            <w:pPr>
              <w:widowControl/>
              <w:jc w:val="center"/>
              <w:rPr>
                <w:rFonts w:hint="eastAsia" w:ascii="宋体" w:hAnsi="宋体" w:cs="宋体"/>
                <w:color w:val="000000" w:themeColor="text1"/>
                <w:sz w:val="18"/>
                <w:szCs w:val="18"/>
              </w:rPr>
            </w:pPr>
          </w:p>
        </w:tc>
        <w:tc>
          <w:tcPr>
            <w:tcW w:w="727" w:type="dxa"/>
            <w:vAlign w:val="center"/>
          </w:tcPr>
          <w:p w14:paraId="2B21B35A">
            <w:pPr>
              <w:widowControl/>
              <w:jc w:val="center"/>
              <w:rPr>
                <w:rFonts w:hint="eastAsia" w:ascii="宋体" w:hAnsi="宋体" w:cs="宋体"/>
                <w:color w:val="000000" w:themeColor="text1"/>
                <w:sz w:val="18"/>
                <w:szCs w:val="18"/>
              </w:rPr>
            </w:pPr>
          </w:p>
        </w:tc>
        <w:tc>
          <w:tcPr>
            <w:tcW w:w="726" w:type="dxa"/>
            <w:vAlign w:val="center"/>
          </w:tcPr>
          <w:p w14:paraId="46EA5238">
            <w:pPr>
              <w:widowControl/>
              <w:jc w:val="center"/>
              <w:rPr>
                <w:rFonts w:hint="eastAsia" w:ascii="宋体" w:hAnsi="宋体" w:cs="宋体"/>
                <w:color w:val="000000" w:themeColor="text1"/>
                <w:sz w:val="18"/>
                <w:szCs w:val="18"/>
              </w:rPr>
            </w:pPr>
          </w:p>
        </w:tc>
        <w:tc>
          <w:tcPr>
            <w:tcW w:w="709" w:type="dxa"/>
            <w:vAlign w:val="center"/>
          </w:tcPr>
          <w:p w14:paraId="266115F9">
            <w:pPr>
              <w:widowControl/>
              <w:jc w:val="center"/>
              <w:rPr>
                <w:rFonts w:hint="eastAsia" w:ascii="宋体" w:hAnsi="宋体" w:cs="宋体"/>
                <w:color w:val="000000" w:themeColor="text1"/>
                <w:sz w:val="18"/>
                <w:szCs w:val="18"/>
              </w:rPr>
            </w:pPr>
          </w:p>
        </w:tc>
        <w:tc>
          <w:tcPr>
            <w:tcW w:w="2034" w:type="dxa"/>
            <w:vAlign w:val="center"/>
          </w:tcPr>
          <w:p w14:paraId="7594ACF2">
            <w:pPr>
              <w:widowControl/>
              <w:jc w:val="left"/>
              <w:rPr>
                <w:rFonts w:hint="eastAsia" w:ascii="宋体" w:hAnsi="宋体" w:cs="宋体"/>
                <w:color w:val="000000" w:themeColor="text1"/>
                <w:sz w:val="18"/>
                <w:szCs w:val="18"/>
              </w:rPr>
            </w:pPr>
          </w:p>
        </w:tc>
        <w:tc>
          <w:tcPr>
            <w:tcW w:w="3633" w:type="dxa"/>
            <w:gridSpan w:val="2"/>
            <w:vMerge w:val="continue"/>
            <w:vAlign w:val="center"/>
          </w:tcPr>
          <w:p w14:paraId="63BBC8A8">
            <w:pPr>
              <w:widowControl/>
              <w:jc w:val="left"/>
              <w:rPr>
                <w:rFonts w:hint="eastAsia" w:ascii="宋体" w:hAnsi="宋体" w:cs="宋体"/>
                <w:color w:val="000000" w:themeColor="text1"/>
                <w:sz w:val="18"/>
                <w:szCs w:val="18"/>
              </w:rPr>
            </w:pPr>
          </w:p>
        </w:tc>
      </w:tr>
      <w:tr w14:paraId="1F2BD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36" w:hRule="atLeast"/>
          <w:jc w:val="center"/>
        </w:trPr>
        <w:tc>
          <w:tcPr>
            <w:tcW w:w="802" w:type="dxa"/>
            <w:vAlign w:val="center"/>
          </w:tcPr>
          <w:p w14:paraId="48D491D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1DEB8D32">
            <w:pPr>
              <w:widowControl/>
              <w:jc w:val="center"/>
              <w:rPr>
                <w:rFonts w:hint="eastAsia" w:ascii="宋体" w:hAnsi="宋体" w:cs="宋体"/>
                <w:color w:val="000000" w:themeColor="text1"/>
                <w:sz w:val="18"/>
                <w:szCs w:val="18"/>
              </w:rPr>
            </w:pPr>
          </w:p>
        </w:tc>
        <w:tc>
          <w:tcPr>
            <w:tcW w:w="780" w:type="dxa"/>
            <w:vAlign w:val="center"/>
          </w:tcPr>
          <w:p w14:paraId="70947175">
            <w:pPr>
              <w:widowControl/>
              <w:jc w:val="center"/>
              <w:rPr>
                <w:rFonts w:hint="eastAsia" w:ascii="宋体" w:hAnsi="宋体" w:cs="宋体"/>
                <w:color w:val="000000" w:themeColor="text1"/>
                <w:sz w:val="18"/>
                <w:szCs w:val="18"/>
              </w:rPr>
            </w:pPr>
          </w:p>
        </w:tc>
        <w:tc>
          <w:tcPr>
            <w:tcW w:w="727" w:type="dxa"/>
            <w:vAlign w:val="center"/>
          </w:tcPr>
          <w:p w14:paraId="09D17B7C">
            <w:pPr>
              <w:widowControl/>
              <w:jc w:val="center"/>
              <w:rPr>
                <w:rFonts w:hint="eastAsia" w:ascii="宋体" w:hAnsi="宋体" w:cs="宋体"/>
                <w:color w:val="000000" w:themeColor="text1"/>
                <w:sz w:val="18"/>
                <w:szCs w:val="18"/>
              </w:rPr>
            </w:pPr>
          </w:p>
        </w:tc>
        <w:tc>
          <w:tcPr>
            <w:tcW w:w="726" w:type="dxa"/>
            <w:vAlign w:val="center"/>
          </w:tcPr>
          <w:p w14:paraId="447AFFC4">
            <w:pPr>
              <w:widowControl/>
              <w:jc w:val="center"/>
              <w:rPr>
                <w:rFonts w:hint="eastAsia" w:ascii="宋体" w:hAnsi="宋体" w:cs="宋体"/>
                <w:color w:val="000000" w:themeColor="text1"/>
                <w:sz w:val="18"/>
                <w:szCs w:val="18"/>
              </w:rPr>
            </w:pPr>
          </w:p>
        </w:tc>
        <w:tc>
          <w:tcPr>
            <w:tcW w:w="709" w:type="dxa"/>
            <w:vAlign w:val="center"/>
          </w:tcPr>
          <w:p w14:paraId="3DB2D320">
            <w:pPr>
              <w:widowControl/>
              <w:jc w:val="center"/>
              <w:rPr>
                <w:rFonts w:hint="eastAsia" w:ascii="宋体" w:hAnsi="宋体" w:cs="宋体"/>
                <w:color w:val="000000" w:themeColor="text1"/>
                <w:sz w:val="18"/>
                <w:szCs w:val="18"/>
              </w:rPr>
            </w:pPr>
          </w:p>
        </w:tc>
        <w:tc>
          <w:tcPr>
            <w:tcW w:w="2034" w:type="dxa"/>
            <w:vAlign w:val="center"/>
          </w:tcPr>
          <w:p w14:paraId="105A5310">
            <w:pPr>
              <w:widowControl/>
              <w:jc w:val="left"/>
              <w:rPr>
                <w:rFonts w:hint="eastAsia" w:ascii="宋体" w:hAnsi="宋体" w:cs="宋体"/>
                <w:color w:val="000000" w:themeColor="text1"/>
                <w:sz w:val="18"/>
                <w:szCs w:val="18"/>
              </w:rPr>
            </w:pPr>
          </w:p>
        </w:tc>
        <w:tc>
          <w:tcPr>
            <w:tcW w:w="3633" w:type="dxa"/>
            <w:gridSpan w:val="2"/>
            <w:vMerge w:val="continue"/>
            <w:vAlign w:val="center"/>
          </w:tcPr>
          <w:p w14:paraId="74313785">
            <w:pPr>
              <w:widowControl/>
              <w:jc w:val="left"/>
              <w:rPr>
                <w:rFonts w:hint="eastAsia" w:ascii="宋体" w:hAnsi="宋体" w:cs="宋体"/>
                <w:color w:val="000000" w:themeColor="text1"/>
                <w:sz w:val="18"/>
                <w:szCs w:val="18"/>
              </w:rPr>
            </w:pPr>
          </w:p>
        </w:tc>
      </w:tr>
      <w:tr w14:paraId="03068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jc w:val="center"/>
        </w:trPr>
        <w:tc>
          <w:tcPr>
            <w:tcW w:w="802" w:type="dxa"/>
            <w:vAlign w:val="center"/>
          </w:tcPr>
          <w:p w14:paraId="6FFE43D7">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2.2</w:t>
            </w:r>
          </w:p>
        </w:tc>
        <w:tc>
          <w:tcPr>
            <w:tcW w:w="6452" w:type="dxa"/>
            <w:gridSpan w:val="7"/>
            <w:vAlign w:val="center"/>
          </w:tcPr>
          <w:p w14:paraId="087D8532">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公积金</w:t>
            </w:r>
          </w:p>
        </w:tc>
        <w:tc>
          <w:tcPr>
            <w:tcW w:w="3633" w:type="dxa"/>
            <w:gridSpan w:val="2"/>
            <w:vAlign w:val="center"/>
          </w:tcPr>
          <w:p w14:paraId="526B8CD4">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公积金不得低于南京市最低标准，且最低工资不包含劳动者按下限缴存的住房公积金，由用人单位按规定另行支付，须测算在公积金报价中，否则做无效投标处理。</w:t>
            </w:r>
          </w:p>
        </w:tc>
      </w:tr>
      <w:tr w14:paraId="72474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2D7574C5">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0E0D8463">
            <w:pPr>
              <w:widowControl/>
              <w:jc w:val="center"/>
              <w:rPr>
                <w:rFonts w:hint="eastAsia" w:ascii="宋体" w:hAnsi="宋体" w:cs="宋体"/>
                <w:b/>
                <w:bCs/>
                <w:color w:val="000000" w:themeColor="text1"/>
                <w:sz w:val="18"/>
                <w:szCs w:val="18"/>
              </w:rPr>
            </w:pPr>
          </w:p>
        </w:tc>
        <w:tc>
          <w:tcPr>
            <w:tcW w:w="780" w:type="dxa"/>
            <w:vAlign w:val="center"/>
          </w:tcPr>
          <w:p w14:paraId="379C73C7">
            <w:pPr>
              <w:widowControl/>
              <w:jc w:val="center"/>
              <w:rPr>
                <w:rFonts w:hint="eastAsia" w:ascii="宋体" w:hAnsi="宋体" w:cs="宋体"/>
                <w:color w:val="000000" w:themeColor="text1"/>
                <w:sz w:val="18"/>
                <w:szCs w:val="18"/>
              </w:rPr>
            </w:pPr>
          </w:p>
        </w:tc>
        <w:tc>
          <w:tcPr>
            <w:tcW w:w="727" w:type="dxa"/>
            <w:vAlign w:val="center"/>
          </w:tcPr>
          <w:p w14:paraId="08125A69">
            <w:pPr>
              <w:widowControl/>
              <w:jc w:val="center"/>
              <w:rPr>
                <w:rFonts w:hint="eastAsia" w:ascii="宋体" w:hAnsi="宋体" w:cs="宋体"/>
                <w:color w:val="000000" w:themeColor="text1"/>
                <w:sz w:val="18"/>
                <w:szCs w:val="18"/>
              </w:rPr>
            </w:pPr>
          </w:p>
        </w:tc>
        <w:tc>
          <w:tcPr>
            <w:tcW w:w="726" w:type="dxa"/>
            <w:vAlign w:val="center"/>
          </w:tcPr>
          <w:p w14:paraId="43231BB3">
            <w:pPr>
              <w:widowControl/>
              <w:jc w:val="center"/>
              <w:rPr>
                <w:rFonts w:hint="eastAsia" w:ascii="宋体" w:hAnsi="宋体" w:cs="宋体"/>
                <w:color w:val="000000" w:themeColor="text1"/>
                <w:sz w:val="18"/>
                <w:szCs w:val="18"/>
              </w:rPr>
            </w:pPr>
          </w:p>
        </w:tc>
        <w:tc>
          <w:tcPr>
            <w:tcW w:w="709" w:type="dxa"/>
            <w:vAlign w:val="center"/>
          </w:tcPr>
          <w:p w14:paraId="34EA8CA7">
            <w:pPr>
              <w:widowControl/>
              <w:jc w:val="center"/>
              <w:rPr>
                <w:rFonts w:hint="eastAsia" w:ascii="宋体" w:hAnsi="宋体" w:cs="宋体"/>
                <w:color w:val="000000" w:themeColor="text1"/>
                <w:sz w:val="18"/>
                <w:szCs w:val="18"/>
              </w:rPr>
            </w:pPr>
          </w:p>
        </w:tc>
        <w:tc>
          <w:tcPr>
            <w:tcW w:w="2034" w:type="dxa"/>
            <w:vAlign w:val="center"/>
          </w:tcPr>
          <w:p w14:paraId="2522A85A">
            <w:pPr>
              <w:widowControl/>
              <w:jc w:val="left"/>
              <w:rPr>
                <w:rFonts w:hint="eastAsia" w:ascii="宋体" w:hAnsi="宋体" w:cs="宋体"/>
                <w:color w:val="000000" w:themeColor="text1"/>
                <w:sz w:val="18"/>
                <w:szCs w:val="18"/>
              </w:rPr>
            </w:pPr>
          </w:p>
        </w:tc>
        <w:tc>
          <w:tcPr>
            <w:tcW w:w="3633" w:type="dxa"/>
            <w:gridSpan w:val="2"/>
            <w:vMerge w:val="restart"/>
            <w:vAlign w:val="center"/>
          </w:tcPr>
          <w:p w14:paraId="3DA15BB0">
            <w:pPr>
              <w:widowControl/>
              <w:jc w:val="left"/>
              <w:rPr>
                <w:rFonts w:hint="eastAsia" w:ascii="宋体" w:hAnsi="宋体" w:cs="宋体"/>
                <w:color w:val="000000" w:themeColor="text1"/>
                <w:sz w:val="18"/>
                <w:szCs w:val="18"/>
              </w:rPr>
            </w:pPr>
          </w:p>
        </w:tc>
      </w:tr>
      <w:tr w14:paraId="6B241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33163399">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75C634A5">
            <w:pPr>
              <w:widowControl/>
              <w:jc w:val="center"/>
              <w:rPr>
                <w:rFonts w:hint="eastAsia" w:ascii="宋体" w:hAnsi="宋体" w:cs="宋体"/>
                <w:b/>
                <w:bCs/>
                <w:color w:val="000000" w:themeColor="text1"/>
                <w:sz w:val="18"/>
                <w:szCs w:val="18"/>
              </w:rPr>
            </w:pPr>
          </w:p>
        </w:tc>
        <w:tc>
          <w:tcPr>
            <w:tcW w:w="780" w:type="dxa"/>
            <w:vAlign w:val="center"/>
          </w:tcPr>
          <w:p w14:paraId="4FDE8365">
            <w:pPr>
              <w:widowControl/>
              <w:jc w:val="center"/>
              <w:rPr>
                <w:rFonts w:hint="eastAsia" w:ascii="宋体" w:hAnsi="宋体" w:cs="宋体"/>
                <w:color w:val="000000" w:themeColor="text1"/>
                <w:sz w:val="18"/>
                <w:szCs w:val="18"/>
              </w:rPr>
            </w:pPr>
          </w:p>
        </w:tc>
        <w:tc>
          <w:tcPr>
            <w:tcW w:w="727" w:type="dxa"/>
            <w:vAlign w:val="center"/>
          </w:tcPr>
          <w:p w14:paraId="2663916F">
            <w:pPr>
              <w:widowControl/>
              <w:jc w:val="center"/>
              <w:rPr>
                <w:rFonts w:hint="eastAsia" w:ascii="宋体" w:hAnsi="宋体" w:cs="宋体"/>
                <w:color w:val="000000" w:themeColor="text1"/>
                <w:sz w:val="18"/>
                <w:szCs w:val="18"/>
              </w:rPr>
            </w:pPr>
          </w:p>
        </w:tc>
        <w:tc>
          <w:tcPr>
            <w:tcW w:w="726" w:type="dxa"/>
            <w:vAlign w:val="center"/>
          </w:tcPr>
          <w:p w14:paraId="54CF1DB3">
            <w:pPr>
              <w:widowControl/>
              <w:jc w:val="center"/>
              <w:rPr>
                <w:rFonts w:hint="eastAsia" w:ascii="宋体" w:hAnsi="宋体" w:cs="宋体"/>
                <w:color w:val="000000" w:themeColor="text1"/>
                <w:sz w:val="18"/>
                <w:szCs w:val="18"/>
              </w:rPr>
            </w:pPr>
          </w:p>
        </w:tc>
        <w:tc>
          <w:tcPr>
            <w:tcW w:w="709" w:type="dxa"/>
            <w:vAlign w:val="center"/>
          </w:tcPr>
          <w:p w14:paraId="28B335B8">
            <w:pPr>
              <w:widowControl/>
              <w:jc w:val="center"/>
              <w:rPr>
                <w:rFonts w:hint="eastAsia" w:ascii="宋体" w:hAnsi="宋体" w:cs="宋体"/>
                <w:color w:val="000000" w:themeColor="text1"/>
                <w:sz w:val="18"/>
                <w:szCs w:val="18"/>
              </w:rPr>
            </w:pPr>
          </w:p>
        </w:tc>
        <w:tc>
          <w:tcPr>
            <w:tcW w:w="2034" w:type="dxa"/>
            <w:vAlign w:val="center"/>
          </w:tcPr>
          <w:p w14:paraId="7E209793">
            <w:pPr>
              <w:widowControl/>
              <w:jc w:val="left"/>
              <w:rPr>
                <w:rFonts w:hint="eastAsia" w:ascii="宋体" w:hAnsi="宋体" w:cs="宋体"/>
                <w:color w:val="000000" w:themeColor="text1"/>
                <w:sz w:val="18"/>
                <w:szCs w:val="18"/>
              </w:rPr>
            </w:pPr>
          </w:p>
        </w:tc>
        <w:tc>
          <w:tcPr>
            <w:tcW w:w="3633" w:type="dxa"/>
            <w:gridSpan w:val="2"/>
            <w:vMerge w:val="continue"/>
            <w:vAlign w:val="center"/>
          </w:tcPr>
          <w:p w14:paraId="4363EA66">
            <w:pPr>
              <w:widowControl/>
              <w:jc w:val="left"/>
              <w:rPr>
                <w:rFonts w:hint="eastAsia" w:ascii="宋体" w:hAnsi="宋体" w:cs="宋体"/>
                <w:color w:val="000000" w:themeColor="text1"/>
                <w:sz w:val="18"/>
                <w:szCs w:val="18"/>
              </w:rPr>
            </w:pPr>
          </w:p>
        </w:tc>
      </w:tr>
      <w:tr w14:paraId="4FA69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11" w:type="dxa"/>
          <w:trHeight w:val="499" w:hRule="atLeast"/>
          <w:jc w:val="center"/>
        </w:trPr>
        <w:tc>
          <w:tcPr>
            <w:tcW w:w="802" w:type="dxa"/>
            <w:vAlign w:val="center"/>
          </w:tcPr>
          <w:p w14:paraId="62D0CC12">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7F31BFC1">
            <w:pPr>
              <w:widowControl/>
              <w:jc w:val="center"/>
              <w:rPr>
                <w:rFonts w:hint="eastAsia" w:ascii="宋体" w:hAnsi="宋体" w:cs="宋体"/>
                <w:b/>
                <w:bCs/>
                <w:color w:val="000000" w:themeColor="text1"/>
                <w:sz w:val="18"/>
                <w:szCs w:val="18"/>
              </w:rPr>
            </w:pPr>
          </w:p>
        </w:tc>
        <w:tc>
          <w:tcPr>
            <w:tcW w:w="780" w:type="dxa"/>
            <w:vAlign w:val="center"/>
          </w:tcPr>
          <w:p w14:paraId="32963A90">
            <w:pPr>
              <w:widowControl/>
              <w:jc w:val="center"/>
              <w:rPr>
                <w:rFonts w:hint="eastAsia" w:ascii="宋体" w:hAnsi="宋体" w:cs="宋体"/>
                <w:color w:val="000000" w:themeColor="text1"/>
                <w:sz w:val="18"/>
                <w:szCs w:val="18"/>
              </w:rPr>
            </w:pPr>
          </w:p>
        </w:tc>
        <w:tc>
          <w:tcPr>
            <w:tcW w:w="727" w:type="dxa"/>
            <w:vAlign w:val="center"/>
          </w:tcPr>
          <w:p w14:paraId="48516C12">
            <w:pPr>
              <w:widowControl/>
              <w:jc w:val="center"/>
              <w:rPr>
                <w:rFonts w:hint="eastAsia" w:ascii="宋体" w:hAnsi="宋体" w:cs="宋体"/>
                <w:color w:val="000000" w:themeColor="text1"/>
                <w:sz w:val="18"/>
                <w:szCs w:val="18"/>
              </w:rPr>
            </w:pPr>
          </w:p>
        </w:tc>
        <w:tc>
          <w:tcPr>
            <w:tcW w:w="726" w:type="dxa"/>
            <w:vAlign w:val="center"/>
          </w:tcPr>
          <w:p w14:paraId="76ABCC7F">
            <w:pPr>
              <w:widowControl/>
              <w:jc w:val="center"/>
              <w:rPr>
                <w:rFonts w:hint="eastAsia" w:ascii="宋体" w:hAnsi="宋体" w:cs="宋体"/>
                <w:color w:val="000000" w:themeColor="text1"/>
                <w:sz w:val="18"/>
                <w:szCs w:val="18"/>
              </w:rPr>
            </w:pPr>
          </w:p>
        </w:tc>
        <w:tc>
          <w:tcPr>
            <w:tcW w:w="709" w:type="dxa"/>
            <w:vAlign w:val="center"/>
          </w:tcPr>
          <w:p w14:paraId="37D11BCC">
            <w:pPr>
              <w:widowControl/>
              <w:jc w:val="center"/>
              <w:rPr>
                <w:rFonts w:hint="eastAsia" w:ascii="宋体" w:hAnsi="宋体" w:cs="宋体"/>
                <w:color w:val="000000" w:themeColor="text1"/>
                <w:sz w:val="18"/>
                <w:szCs w:val="18"/>
              </w:rPr>
            </w:pPr>
          </w:p>
        </w:tc>
        <w:tc>
          <w:tcPr>
            <w:tcW w:w="2034" w:type="dxa"/>
            <w:vAlign w:val="center"/>
          </w:tcPr>
          <w:p w14:paraId="6C243E18">
            <w:pPr>
              <w:widowControl/>
              <w:jc w:val="left"/>
              <w:rPr>
                <w:rFonts w:hint="eastAsia" w:ascii="宋体" w:hAnsi="宋体" w:cs="宋体"/>
                <w:color w:val="000000" w:themeColor="text1"/>
                <w:sz w:val="18"/>
                <w:szCs w:val="18"/>
              </w:rPr>
            </w:pPr>
          </w:p>
        </w:tc>
        <w:tc>
          <w:tcPr>
            <w:tcW w:w="3633" w:type="dxa"/>
            <w:gridSpan w:val="2"/>
            <w:vMerge w:val="continue"/>
            <w:vAlign w:val="center"/>
          </w:tcPr>
          <w:p w14:paraId="456F0884">
            <w:pPr>
              <w:widowControl/>
              <w:jc w:val="left"/>
              <w:rPr>
                <w:rFonts w:hint="eastAsia" w:ascii="宋体" w:hAnsi="宋体" w:cs="宋体"/>
                <w:color w:val="000000" w:themeColor="text1"/>
                <w:sz w:val="18"/>
                <w:szCs w:val="18"/>
              </w:rPr>
            </w:pPr>
          </w:p>
        </w:tc>
      </w:tr>
      <w:tr w14:paraId="18B80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40" w:hRule="atLeast"/>
          <w:jc w:val="center"/>
        </w:trPr>
        <w:tc>
          <w:tcPr>
            <w:tcW w:w="802" w:type="dxa"/>
            <w:vAlign w:val="center"/>
          </w:tcPr>
          <w:p w14:paraId="45BE62DD">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33E38995">
            <w:pPr>
              <w:widowControl/>
              <w:jc w:val="center"/>
              <w:rPr>
                <w:rFonts w:hint="eastAsia" w:ascii="宋体" w:hAnsi="宋体" w:cs="宋体"/>
                <w:b/>
                <w:bCs/>
                <w:color w:val="000000" w:themeColor="text1"/>
                <w:sz w:val="18"/>
                <w:szCs w:val="18"/>
              </w:rPr>
            </w:pPr>
          </w:p>
        </w:tc>
        <w:tc>
          <w:tcPr>
            <w:tcW w:w="780" w:type="dxa"/>
            <w:vAlign w:val="center"/>
          </w:tcPr>
          <w:p w14:paraId="3B21F60A">
            <w:pPr>
              <w:widowControl/>
              <w:jc w:val="center"/>
              <w:rPr>
                <w:rFonts w:hint="eastAsia" w:ascii="宋体" w:hAnsi="宋体" w:cs="宋体"/>
                <w:color w:val="000000" w:themeColor="text1"/>
                <w:sz w:val="18"/>
                <w:szCs w:val="18"/>
              </w:rPr>
            </w:pPr>
          </w:p>
        </w:tc>
        <w:tc>
          <w:tcPr>
            <w:tcW w:w="727" w:type="dxa"/>
            <w:vAlign w:val="center"/>
          </w:tcPr>
          <w:p w14:paraId="20E8C077">
            <w:pPr>
              <w:widowControl/>
              <w:jc w:val="center"/>
              <w:rPr>
                <w:rFonts w:hint="eastAsia" w:ascii="宋体" w:hAnsi="宋体" w:cs="宋体"/>
                <w:color w:val="000000" w:themeColor="text1"/>
                <w:sz w:val="18"/>
                <w:szCs w:val="18"/>
              </w:rPr>
            </w:pPr>
          </w:p>
        </w:tc>
        <w:tc>
          <w:tcPr>
            <w:tcW w:w="726" w:type="dxa"/>
            <w:vAlign w:val="center"/>
          </w:tcPr>
          <w:p w14:paraId="1C2C5F1D">
            <w:pPr>
              <w:widowControl/>
              <w:jc w:val="center"/>
              <w:rPr>
                <w:rFonts w:hint="eastAsia" w:ascii="宋体" w:hAnsi="宋体" w:cs="宋体"/>
                <w:color w:val="000000" w:themeColor="text1"/>
                <w:sz w:val="18"/>
                <w:szCs w:val="18"/>
              </w:rPr>
            </w:pPr>
          </w:p>
        </w:tc>
        <w:tc>
          <w:tcPr>
            <w:tcW w:w="709" w:type="dxa"/>
            <w:vAlign w:val="center"/>
          </w:tcPr>
          <w:p w14:paraId="6D4992C1">
            <w:pPr>
              <w:widowControl/>
              <w:jc w:val="center"/>
              <w:rPr>
                <w:rFonts w:hint="eastAsia" w:ascii="宋体" w:hAnsi="宋体" w:cs="宋体"/>
                <w:color w:val="000000" w:themeColor="text1"/>
                <w:sz w:val="18"/>
                <w:szCs w:val="18"/>
              </w:rPr>
            </w:pPr>
          </w:p>
        </w:tc>
        <w:tc>
          <w:tcPr>
            <w:tcW w:w="2034" w:type="dxa"/>
            <w:vAlign w:val="center"/>
          </w:tcPr>
          <w:p w14:paraId="3A8FF14C">
            <w:pPr>
              <w:widowControl/>
              <w:jc w:val="left"/>
              <w:rPr>
                <w:rFonts w:hint="eastAsia" w:ascii="宋体" w:hAnsi="宋体" w:cs="宋体"/>
                <w:color w:val="000000" w:themeColor="text1"/>
                <w:sz w:val="18"/>
                <w:szCs w:val="18"/>
              </w:rPr>
            </w:pPr>
          </w:p>
        </w:tc>
        <w:tc>
          <w:tcPr>
            <w:tcW w:w="3633" w:type="dxa"/>
            <w:gridSpan w:val="2"/>
            <w:vMerge w:val="continue"/>
            <w:vAlign w:val="center"/>
          </w:tcPr>
          <w:p w14:paraId="3F28BBC3">
            <w:pPr>
              <w:widowControl/>
              <w:jc w:val="left"/>
              <w:rPr>
                <w:rFonts w:hint="eastAsia" w:ascii="宋体" w:hAnsi="宋体" w:cs="宋体"/>
                <w:color w:val="000000" w:themeColor="text1"/>
                <w:sz w:val="18"/>
                <w:szCs w:val="18"/>
              </w:rPr>
            </w:pPr>
          </w:p>
        </w:tc>
      </w:tr>
      <w:tr w14:paraId="62815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90" w:hRule="atLeast"/>
          <w:jc w:val="center"/>
        </w:trPr>
        <w:tc>
          <w:tcPr>
            <w:tcW w:w="802" w:type="dxa"/>
            <w:vMerge w:val="restart"/>
            <w:vAlign w:val="center"/>
          </w:tcPr>
          <w:p w14:paraId="67365598">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3</w:t>
            </w:r>
          </w:p>
        </w:tc>
        <w:tc>
          <w:tcPr>
            <w:tcW w:w="1465" w:type="dxa"/>
            <w:vMerge w:val="restart"/>
            <w:vAlign w:val="center"/>
          </w:tcPr>
          <w:p w14:paraId="2A7EA01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法定节假日人员加班费</w:t>
            </w:r>
          </w:p>
        </w:tc>
        <w:tc>
          <w:tcPr>
            <w:tcW w:w="780" w:type="dxa"/>
            <w:vAlign w:val="center"/>
          </w:tcPr>
          <w:p w14:paraId="56D0F743">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岗位（</w:t>
            </w:r>
            <w:r>
              <w:rPr>
                <w:rFonts w:hint="eastAsia" w:ascii="宋体" w:hAnsi="宋体" w:cs="宋体"/>
                <w:color w:val="000000" w:themeColor="text1"/>
                <w:sz w:val="18"/>
                <w:szCs w:val="18"/>
              </w:rPr>
              <w:t>人）</w:t>
            </w:r>
          </w:p>
        </w:tc>
        <w:tc>
          <w:tcPr>
            <w:tcW w:w="727" w:type="dxa"/>
            <w:vAlign w:val="center"/>
          </w:tcPr>
          <w:p w14:paraId="29AA9BC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11281F35">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法定节假日天数</w:t>
            </w:r>
          </w:p>
        </w:tc>
        <w:tc>
          <w:tcPr>
            <w:tcW w:w="709" w:type="dxa"/>
            <w:vAlign w:val="center"/>
          </w:tcPr>
          <w:p w14:paraId="4B41E0E9">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395E2E60">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6D25E9A5">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安排劳动者工作的，支付不低于正常工资的百分之三百的工资报酬。本项目安保服务法定节假日在岗人数不少于42岗（人），报价中的“法定节假日人员加班费”不得低于上述要求，并按照本项目合同履行期内的法定节假日天数进行测算，否则做无效投标处理。</w:t>
            </w:r>
          </w:p>
        </w:tc>
      </w:tr>
      <w:tr w14:paraId="5211A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17122CDD">
            <w:pPr>
              <w:widowControl/>
              <w:jc w:val="center"/>
              <w:rPr>
                <w:rFonts w:hint="eastAsia" w:ascii="宋体" w:hAnsi="宋体" w:cs="宋体"/>
                <w:b/>
                <w:bCs/>
                <w:color w:val="000000" w:themeColor="text1"/>
                <w:sz w:val="18"/>
                <w:szCs w:val="18"/>
              </w:rPr>
            </w:pPr>
          </w:p>
        </w:tc>
        <w:tc>
          <w:tcPr>
            <w:tcW w:w="1465" w:type="dxa"/>
            <w:vMerge w:val="continue"/>
            <w:vAlign w:val="center"/>
          </w:tcPr>
          <w:p w14:paraId="2F4FE883">
            <w:pPr>
              <w:widowControl/>
              <w:jc w:val="center"/>
              <w:rPr>
                <w:rFonts w:hint="eastAsia" w:ascii="宋体" w:hAnsi="宋体" w:cs="宋体"/>
                <w:b/>
                <w:bCs/>
                <w:color w:val="000000" w:themeColor="text1"/>
                <w:sz w:val="18"/>
                <w:szCs w:val="18"/>
              </w:rPr>
            </w:pPr>
          </w:p>
        </w:tc>
        <w:tc>
          <w:tcPr>
            <w:tcW w:w="780" w:type="dxa"/>
            <w:vAlign w:val="center"/>
          </w:tcPr>
          <w:p w14:paraId="2797B558">
            <w:pPr>
              <w:widowControl/>
              <w:jc w:val="center"/>
              <w:rPr>
                <w:rFonts w:hint="eastAsia" w:ascii="宋体" w:hAnsi="宋体" w:cs="宋体"/>
                <w:color w:val="000000" w:themeColor="text1"/>
                <w:sz w:val="18"/>
                <w:szCs w:val="18"/>
              </w:rPr>
            </w:pPr>
          </w:p>
        </w:tc>
        <w:tc>
          <w:tcPr>
            <w:tcW w:w="727" w:type="dxa"/>
            <w:vAlign w:val="center"/>
          </w:tcPr>
          <w:p w14:paraId="0214BCF3">
            <w:pPr>
              <w:widowControl/>
              <w:jc w:val="center"/>
              <w:rPr>
                <w:rFonts w:hint="eastAsia" w:ascii="宋体" w:hAnsi="宋体" w:cs="宋体"/>
                <w:color w:val="000000" w:themeColor="text1"/>
                <w:sz w:val="18"/>
                <w:szCs w:val="18"/>
              </w:rPr>
            </w:pPr>
          </w:p>
        </w:tc>
        <w:tc>
          <w:tcPr>
            <w:tcW w:w="726" w:type="dxa"/>
            <w:vAlign w:val="center"/>
          </w:tcPr>
          <w:p w14:paraId="70A170CB">
            <w:pPr>
              <w:widowControl/>
              <w:jc w:val="center"/>
              <w:rPr>
                <w:rFonts w:hint="eastAsia" w:ascii="宋体" w:hAnsi="宋体" w:cs="宋体"/>
                <w:color w:val="000000" w:themeColor="text1"/>
                <w:sz w:val="18"/>
                <w:szCs w:val="18"/>
              </w:rPr>
            </w:pPr>
          </w:p>
        </w:tc>
        <w:tc>
          <w:tcPr>
            <w:tcW w:w="709" w:type="dxa"/>
            <w:vAlign w:val="center"/>
          </w:tcPr>
          <w:p w14:paraId="7C7116A1">
            <w:pPr>
              <w:widowControl/>
              <w:jc w:val="center"/>
              <w:rPr>
                <w:rFonts w:hint="eastAsia" w:ascii="宋体" w:hAnsi="宋体" w:cs="宋体"/>
                <w:color w:val="000000" w:themeColor="text1"/>
                <w:sz w:val="18"/>
                <w:szCs w:val="18"/>
              </w:rPr>
            </w:pPr>
          </w:p>
        </w:tc>
        <w:tc>
          <w:tcPr>
            <w:tcW w:w="2034" w:type="dxa"/>
            <w:vAlign w:val="center"/>
          </w:tcPr>
          <w:p w14:paraId="197E0B36">
            <w:pPr>
              <w:widowControl/>
              <w:jc w:val="left"/>
              <w:rPr>
                <w:rFonts w:hint="eastAsia" w:ascii="宋体" w:hAnsi="宋体" w:cs="宋体"/>
                <w:color w:val="000000" w:themeColor="text1"/>
                <w:sz w:val="18"/>
                <w:szCs w:val="18"/>
              </w:rPr>
            </w:pPr>
          </w:p>
        </w:tc>
        <w:tc>
          <w:tcPr>
            <w:tcW w:w="3633" w:type="dxa"/>
            <w:gridSpan w:val="2"/>
            <w:vAlign w:val="center"/>
          </w:tcPr>
          <w:p w14:paraId="1380DFAD">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参考计算公式：人员工资÷21.75天（平均月计薪天数）×3×人数×合同履行期内法定节假日天数(13天/年）</w:t>
            </w:r>
          </w:p>
        </w:tc>
      </w:tr>
      <w:tr w14:paraId="5C4F1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0A46123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4</w:t>
            </w:r>
          </w:p>
        </w:tc>
        <w:tc>
          <w:tcPr>
            <w:tcW w:w="1465" w:type="dxa"/>
            <w:vMerge w:val="restart"/>
            <w:vAlign w:val="center"/>
          </w:tcPr>
          <w:p w14:paraId="3D362877">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平时超时加班工资</w:t>
            </w:r>
          </w:p>
        </w:tc>
        <w:tc>
          <w:tcPr>
            <w:tcW w:w="780" w:type="dxa"/>
            <w:vAlign w:val="center"/>
          </w:tcPr>
          <w:p w14:paraId="61BB3E9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675BF24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4D6A7113">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月超时加班时间</w:t>
            </w:r>
          </w:p>
        </w:tc>
        <w:tc>
          <w:tcPr>
            <w:tcW w:w="709" w:type="dxa"/>
            <w:vAlign w:val="center"/>
          </w:tcPr>
          <w:p w14:paraId="0780B33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6F68A34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1C4D4B51">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安排劳动者延长工作时间的，支付不低于工资的百分之一百五十的工资报酬。本项目安保服务每天不少于42岗（人）的工作时长为10小时，即每天延长</w:t>
            </w:r>
            <w:r>
              <w:rPr>
                <w:rFonts w:ascii="宋体" w:hAnsi="宋体" w:cs="宋体"/>
                <w:color w:val="000000" w:themeColor="text1"/>
                <w:sz w:val="18"/>
                <w:szCs w:val="18"/>
              </w:rPr>
              <w:t>2</w:t>
            </w:r>
            <w:r>
              <w:rPr>
                <w:rFonts w:hint="eastAsia" w:ascii="宋体" w:hAnsi="宋体" w:cs="宋体"/>
                <w:color w:val="000000" w:themeColor="text1"/>
                <w:sz w:val="18"/>
                <w:szCs w:val="18"/>
              </w:rPr>
              <w:t>小时，报价中的“平时超时加班工资”不得低于上述要求，否则做无效投标处理。</w:t>
            </w:r>
          </w:p>
        </w:tc>
      </w:tr>
      <w:tr w14:paraId="0DD2E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616F8BEF">
            <w:pPr>
              <w:widowControl/>
              <w:jc w:val="center"/>
              <w:rPr>
                <w:rFonts w:hint="eastAsia" w:ascii="宋体" w:hAnsi="宋体" w:cs="宋体"/>
                <w:b/>
                <w:bCs/>
                <w:color w:val="000000" w:themeColor="text1"/>
                <w:sz w:val="18"/>
                <w:szCs w:val="18"/>
              </w:rPr>
            </w:pPr>
          </w:p>
        </w:tc>
        <w:tc>
          <w:tcPr>
            <w:tcW w:w="1465" w:type="dxa"/>
            <w:vMerge w:val="continue"/>
            <w:vAlign w:val="center"/>
          </w:tcPr>
          <w:p w14:paraId="0F582E50">
            <w:pPr>
              <w:widowControl/>
              <w:jc w:val="center"/>
              <w:rPr>
                <w:rFonts w:hint="eastAsia" w:ascii="宋体" w:hAnsi="宋体" w:cs="宋体"/>
                <w:b/>
                <w:bCs/>
                <w:color w:val="000000" w:themeColor="text1"/>
                <w:sz w:val="18"/>
                <w:szCs w:val="18"/>
              </w:rPr>
            </w:pPr>
          </w:p>
        </w:tc>
        <w:tc>
          <w:tcPr>
            <w:tcW w:w="780" w:type="dxa"/>
            <w:vAlign w:val="center"/>
          </w:tcPr>
          <w:p w14:paraId="44F56869">
            <w:pPr>
              <w:widowControl/>
              <w:jc w:val="center"/>
              <w:rPr>
                <w:rFonts w:hint="eastAsia" w:ascii="宋体" w:hAnsi="宋体" w:cs="宋体"/>
                <w:b/>
                <w:bCs/>
                <w:color w:val="000000" w:themeColor="text1"/>
                <w:sz w:val="18"/>
                <w:szCs w:val="18"/>
              </w:rPr>
            </w:pPr>
          </w:p>
        </w:tc>
        <w:tc>
          <w:tcPr>
            <w:tcW w:w="727" w:type="dxa"/>
            <w:vAlign w:val="center"/>
          </w:tcPr>
          <w:p w14:paraId="15B36A93">
            <w:pPr>
              <w:widowControl/>
              <w:jc w:val="center"/>
              <w:rPr>
                <w:rFonts w:hint="eastAsia" w:ascii="宋体" w:hAnsi="宋体" w:cs="宋体"/>
                <w:color w:val="000000" w:themeColor="text1"/>
                <w:sz w:val="18"/>
                <w:szCs w:val="18"/>
              </w:rPr>
            </w:pPr>
          </w:p>
        </w:tc>
        <w:tc>
          <w:tcPr>
            <w:tcW w:w="726" w:type="dxa"/>
            <w:vAlign w:val="center"/>
          </w:tcPr>
          <w:p w14:paraId="1F0C487F">
            <w:pPr>
              <w:widowControl/>
              <w:jc w:val="center"/>
              <w:rPr>
                <w:rFonts w:hint="eastAsia" w:ascii="宋体" w:hAnsi="宋体" w:cs="宋体"/>
                <w:color w:val="000000" w:themeColor="text1"/>
                <w:sz w:val="18"/>
                <w:szCs w:val="18"/>
              </w:rPr>
            </w:pPr>
          </w:p>
        </w:tc>
        <w:tc>
          <w:tcPr>
            <w:tcW w:w="709" w:type="dxa"/>
            <w:vAlign w:val="center"/>
          </w:tcPr>
          <w:p w14:paraId="3545E15E">
            <w:pPr>
              <w:widowControl/>
              <w:jc w:val="center"/>
              <w:rPr>
                <w:rFonts w:hint="eastAsia" w:ascii="宋体" w:hAnsi="宋体" w:cs="宋体"/>
                <w:color w:val="000000" w:themeColor="text1"/>
                <w:sz w:val="18"/>
                <w:szCs w:val="18"/>
              </w:rPr>
            </w:pPr>
          </w:p>
        </w:tc>
        <w:tc>
          <w:tcPr>
            <w:tcW w:w="2034" w:type="dxa"/>
            <w:vAlign w:val="center"/>
          </w:tcPr>
          <w:p w14:paraId="54E39396">
            <w:pPr>
              <w:widowControl/>
              <w:jc w:val="left"/>
              <w:rPr>
                <w:rFonts w:hint="eastAsia" w:ascii="宋体" w:hAnsi="宋体" w:cs="宋体"/>
                <w:color w:val="000000" w:themeColor="text1"/>
                <w:sz w:val="18"/>
                <w:szCs w:val="18"/>
              </w:rPr>
            </w:pPr>
          </w:p>
        </w:tc>
        <w:tc>
          <w:tcPr>
            <w:tcW w:w="3633" w:type="dxa"/>
            <w:gridSpan w:val="2"/>
            <w:vAlign w:val="center"/>
          </w:tcPr>
          <w:p w14:paraId="39A1C36D">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参考计算公式：平时上班天数×超时小时数×（人员工资÷174×1.5倍）：（365-104-13）×2×（人员工资÷174×1.5）</w:t>
            </w:r>
          </w:p>
        </w:tc>
      </w:tr>
      <w:tr w14:paraId="0F38A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703E0FCD">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5</w:t>
            </w:r>
          </w:p>
        </w:tc>
        <w:tc>
          <w:tcPr>
            <w:tcW w:w="1465" w:type="dxa"/>
            <w:vMerge w:val="restart"/>
            <w:vAlign w:val="center"/>
          </w:tcPr>
          <w:p w14:paraId="17F1222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双休日</w:t>
            </w:r>
            <w:r>
              <w:rPr>
                <w:rFonts w:ascii="宋体" w:hAnsi="宋体" w:cs="宋体"/>
                <w:b/>
                <w:bCs/>
                <w:color w:val="000000" w:themeColor="text1"/>
                <w:sz w:val="18"/>
                <w:szCs w:val="18"/>
              </w:rPr>
              <w:t>加班</w:t>
            </w:r>
            <w:r>
              <w:rPr>
                <w:rFonts w:hint="eastAsia" w:ascii="宋体" w:hAnsi="宋体" w:cs="宋体"/>
                <w:b/>
                <w:bCs/>
                <w:color w:val="000000" w:themeColor="text1"/>
                <w:sz w:val="18"/>
                <w:szCs w:val="18"/>
              </w:rPr>
              <w:t>工资</w:t>
            </w:r>
          </w:p>
        </w:tc>
        <w:tc>
          <w:tcPr>
            <w:tcW w:w="780" w:type="dxa"/>
            <w:vAlign w:val="center"/>
          </w:tcPr>
          <w:p w14:paraId="18B84DF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71930897">
            <w:pPr>
              <w:widowControl/>
              <w:jc w:val="center"/>
              <w:rPr>
                <w:rFonts w:hint="eastAsia" w:ascii="宋体" w:hAnsi="宋体" w:cs="宋体"/>
                <w:color w:val="000000" w:themeColor="text1"/>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r>
            <w:r>
              <w:rPr>
                <w:rFonts w:hint="eastAsia" w:ascii="宋体" w:hAnsi="宋体" w:cs="宋体"/>
                <w:color w:val="000000" w:themeColor="text1"/>
                <w:sz w:val="18"/>
                <w:szCs w:val="18"/>
              </w:rPr>
              <w:t>（元/人*月）</w:t>
            </w:r>
          </w:p>
        </w:tc>
        <w:tc>
          <w:tcPr>
            <w:tcW w:w="726" w:type="dxa"/>
            <w:vAlign w:val="center"/>
          </w:tcPr>
          <w:p w14:paraId="30BD743B">
            <w:pPr>
              <w:widowControl/>
              <w:jc w:val="center"/>
              <w:rPr>
                <w:rFonts w:hint="eastAsia" w:ascii="宋体" w:hAnsi="宋体" w:cs="宋体"/>
                <w:color w:val="000000" w:themeColor="text1"/>
              </w:rPr>
            </w:pPr>
            <w:r>
              <w:rPr>
                <w:rFonts w:hint="eastAsia" w:ascii="宋体" w:hAnsi="宋体" w:cs="宋体"/>
                <w:color w:val="000000" w:themeColor="text1"/>
                <w:sz w:val="18"/>
                <w:szCs w:val="18"/>
              </w:rPr>
              <w:t>双休日加班天数</w:t>
            </w:r>
          </w:p>
        </w:tc>
        <w:tc>
          <w:tcPr>
            <w:tcW w:w="709" w:type="dxa"/>
            <w:vAlign w:val="center"/>
          </w:tcPr>
          <w:p w14:paraId="6F20BA25">
            <w:pPr>
              <w:widowControl/>
              <w:jc w:val="center"/>
              <w:rPr>
                <w:rFonts w:hint="eastAsia" w:ascii="宋体" w:hAnsi="宋体" w:cs="宋体"/>
                <w:color w:val="000000" w:themeColor="text1"/>
              </w:rPr>
            </w:pPr>
            <w:r>
              <w:rPr>
                <w:rFonts w:hint="eastAsia" w:ascii="宋体" w:hAnsi="宋体" w:cs="宋体"/>
                <w:color w:val="000000" w:themeColor="text1"/>
                <w:sz w:val="18"/>
                <w:szCs w:val="18"/>
              </w:rPr>
              <w:t>分项小计（元）</w:t>
            </w:r>
          </w:p>
        </w:tc>
        <w:tc>
          <w:tcPr>
            <w:tcW w:w="2034" w:type="dxa"/>
            <w:vAlign w:val="center"/>
          </w:tcPr>
          <w:p w14:paraId="55921EEB">
            <w:pPr>
              <w:widowControl/>
              <w:jc w:val="left"/>
              <w:rPr>
                <w:rFonts w:hint="eastAsia" w:ascii="宋体" w:hAnsi="宋体" w:cs="宋体"/>
                <w:color w:val="000000" w:themeColor="text1"/>
              </w:rPr>
            </w:pPr>
            <w:r>
              <w:rPr>
                <w:rFonts w:hint="eastAsia" w:ascii="宋体" w:hAnsi="宋体" w:cs="宋体"/>
                <w:color w:val="000000" w:themeColor="text1"/>
                <w:sz w:val="18"/>
                <w:szCs w:val="18"/>
              </w:rPr>
              <w:t>费用计算公式</w:t>
            </w:r>
          </w:p>
        </w:tc>
        <w:tc>
          <w:tcPr>
            <w:tcW w:w="3633" w:type="dxa"/>
            <w:gridSpan w:val="2"/>
            <w:vAlign w:val="center"/>
          </w:tcPr>
          <w:p w14:paraId="61B8F26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休息日安排劳动者工作又不能安排补休的，支付不低于正常工资的百分之二百的工资报酬。本项目安保服务双休日在岗人数不少于42人，报价中的“双休日加班工资”不得低于上述要求，并按照本项目合同履行期内的周末加班天数进行测算，否则做无效投标处理。</w:t>
            </w:r>
          </w:p>
        </w:tc>
      </w:tr>
      <w:tr w14:paraId="19659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0C410B46">
            <w:pPr>
              <w:rPr>
                <w:color w:val="000000" w:themeColor="text1"/>
              </w:rPr>
            </w:pPr>
          </w:p>
        </w:tc>
        <w:tc>
          <w:tcPr>
            <w:tcW w:w="1465" w:type="dxa"/>
            <w:vMerge w:val="continue"/>
            <w:vAlign w:val="center"/>
          </w:tcPr>
          <w:p w14:paraId="365A32AE">
            <w:pPr>
              <w:rPr>
                <w:color w:val="000000" w:themeColor="text1"/>
              </w:rPr>
            </w:pPr>
          </w:p>
        </w:tc>
        <w:tc>
          <w:tcPr>
            <w:tcW w:w="780" w:type="dxa"/>
            <w:vAlign w:val="center"/>
          </w:tcPr>
          <w:p w14:paraId="3D57042B">
            <w:pPr>
              <w:widowControl/>
              <w:jc w:val="center"/>
              <w:rPr>
                <w:rFonts w:hint="eastAsia" w:ascii="宋体" w:hAnsi="宋体" w:cs="宋体"/>
                <w:color w:val="000000" w:themeColor="text1"/>
                <w:sz w:val="18"/>
                <w:szCs w:val="18"/>
              </w:rPr>
            </w:pPr>
          </w:p>
        </w:tc>
        <w:tc>
          <w:tcPr>
            <w:tcW w:w="727" w:type="dxa"/>
            <w:vAlign w:val="center"/>
          </w:tcPr>
          <w:p w14:paraId="4E47BFFC">
            <w:pPr>
              <w:widowControl/>
              <w:jc w:val="center"/>
              <w:rPr>
                <w:rFonts w:hint="eastAsia" w:ascii="宋体" w:hAnsi="宋体" w:cs="宋体"/>
                <w:color w:val="000000" w:themeColor="text1"/>
                <w:sz w:val="18"/>
                <w:szCs w:val="18"/>
              </w:rPr>
            </w:pPr>
          </w:p>
        </w:tc>
        <w:tc>
          <w:tcPr>
            <w:tcW w:w="726" w:type="dxa"/>
            <w:vAlign w:val="center"/>
          </w:tcPr>
          <w:p w14:paraId="319D02A3">
            <w:pPr>
              <w:widowControl/>
              <w:jc w:val="center"/>
              <w:rPr>
                <w:rFonts w:hint="eastAsia" w:ascii="宋体" w:hAnsi="宋体" w:cs="宋体"/>
                <w:color w:val="000000" w:themeColor="text1"/>
                <w:sz w:val="18"/>
                <w:szCs w:val="18"/>
              </w:rPr>
            </w:pPr>
          </w:p>
        </w:tc>
        <w:tc>
          <w:tcPr>
            <w:tcW w:w="709" w:type="dxa"/>
            <w:vAlign w:val="center"/>
          </w:tcPr>
          <w:p w14:paraId="6F7AE3C1">
            <w:pPr>
              <w:widowControl/>
              <w:jc w:val="center"/>
              <w:rPr>
                <w:rFonts w:hint="eastAsia" w:ascii="宋体" w:hAnsi="宋体" w:cs="宋体"/>
                <w:color w:val="000000" w:themeColor="text1"/>
                <w:sz w:val="18"/>
                <w:szCs w:val="18"/>
              </w:rPr>
            </w:pPr>
          </w:p>
        </w:tc>
        <w:tc>
          <w:tcPr>
            <w:tcW w:w="2034" w:type="dxa"/>
            <w:vAlign w:val="center"/>
          </w:tcPr>
          <w:p w14:paraId="58805A53">
            <w:pPr>
              <w:widowControl/>
              <w:jc w:val="left"/>
              <w:rPr>
                <w:rFonts w:hint="eastAsia" w:ascii="宋体" w:hAnsi="宋体" w:cs="宋体"/>
                <w:color w:val="000000" w:themeColor="text1"/>
                <w:sz w:val="18"/>
                <w:szCs w:val="18"/>
              </w:rPr>
            </w:pPr>
          </w:p>
        </w:tc>
        <w:tc>
          <w:tcPr>
            <w:tcW w:w="3633" w:type="dxa"/>
            <w:gridSpan w:val="2"/>
            <w:vAlign w:val="center"/>
          </w:tcPr>
          <w:p w14:paraId="4F15FBB1">
            <w:pPr>
              <w:widowControl/>
              <w:jc w:val="left"/>
              <w:rPr>
                <w:color w:val="000000" w:themeColor="text1"/>
              </w:rPr>
            </w:pPr>
            <w:r>
              <w:rPr>
                <w:rFonts w:hint="eastAsia" w:ascii="宋体" w:hAnsi="宋体" w:cs="宋体"/>
                <w:color w:val="000000" w:themeColor="text1"/>
                <w:sz w:val="18"/>
                <w:szCs w:val="18"/>
              </w:rPr>
              <w:t>参考计算公式：周末上班天数×超时小时数×人员工资÷174×2）：102×10×(人员工资÷174×2)</w:t>
            </w:r>
          </w:p>
        </w:tc>
      </w:tr>
      <w:tr w14:paraId="3DE6D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688A45BD">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6</w:t>
            </w:r>
          </w:p>
        </w:tc>
        <w:tc>
          <w:tcPr>
            <w:tcW w:w="10085" w:type="dxa"/>
            <w:gridSpan w:val="9"/>
            <w:vAlign w:val="center"/>
          </w:tcPr>
          <w:p w14:paraId="1BA256C1">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其他待遇费用</w:t>
            </w:r>
          </w:p>
        </w:tc>
      </w:tr>
      <w:tr w14:paraId="2A73F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802" w:type="dxa"/>
            <w:vAlign w:val="center"/>
          </w:tcPr>
          <w:p w14:paraId="5CCFBB8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285A036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高温费</w:t>
            </w:r>
          </w:p>
        </w:tc>
        <w:tc>
          <w:tcPr>
            <w:tcW w:w="4987" w:type="dxa"/>
            <w:gridSpan w:val="6"/>
            <w:vAlign w:val="center"/>
          </w:tcPr>
          <w:p w14:paraId="2042878D">
            <w:pPr>
              <w:widowControl/>
              <w:jc w:val="left"/>
              <w:rPr>
                <w:rFonts w:hint="eastAsia" w:ascii="宋体" w:hAnsi="宋体" w:cs="宋体"/>
                <w:color w:val="000000" w:themeColor="text1"/>
                <w:sz w:val="18"/>
                <w:szCs w:val="18"/>
              </w:rPr>
            </w:pPr>
          </w:p>
        </w:tc>
        <w:tc>
          <w:tcPr>
            <w:tcW w:w="3633" w:type="dxa"/>
            <w:gridSpan w:val="2"/>
            <w:vAlign w:val="center"/>
          </w:tcPr>
          <w:p w14:paraId="3356F7F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6、7、8、9月，每月300元，共1200元/年。报价中的“高温费”不得低于上述要求，岗位数不得低于42岗（人），否则做无效投标处理。</w:t>
            </w:r>
          </w:p>
        </w:tc>
      </w:tr>
      <w:tr w14:paraId="67528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3EDC5BFE">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26C1F3C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服装</w:t>
            </w:r>
          </w:p>
        </w:tc>
        <w:tc>
          <w:tcPr>
            <w:tcW w:w="4987" w:type="dxa"/>
            <w:gridSpan w:val="6"/>
            <w:vAlign w:val="center"/>
          </w:tcPr>
          <w:p w14:paraId="79B28863">
            <w:pPr>
              <w:widowControl/>
              <w:jc w:val="left"/>
              <w:rPr>
                <w:rFonts w:hint="eastAsia" w:ascii="宋体" w:hAnsi="宋体" w:cs="宋体"/>
                <w:color w:val="000000" w:themeColor="text1"/>
                <w:sz w:val="18"/>
                <w:szCs w:val="18"/>
              </w:rPr>
            </w:pPr>
          </w:p>
        </w:tc>
        <w:tc>
          <w:tcPr>
            <w:tcW w:w="3633" w:type="dxa"/>
            <w:gridSpan w:val="2"/>
            <w:vAlign w:val="center"/>
          </w:tcPr>
          <w:p w14:paraId="51272F68">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春秋服装、大衣、雨衣和全套配饰等，每人每季节至少2套。</w:t>
            </w:r>
          </w:p>
        </w:tc>
      </w:tr>
      <w:tr w14:paraId="6556B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63755EE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28C7264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设备费</w:t>
            </w:r>
          </w:p>
        </w:tc>
        <w:tc>
          <w:tcPr>
            <w:tcW w:w="4987" w:type="dxa"/>
            <w:gridSpan w:val="6"/>
            <w:vAlign w:val="center"/>
          </w:tcPr>
          <w:p w14:paraId="7B144183">
            <w:pPr>
              <w:widowControl/>
              <w:jc w:val="left"/>
              <w:rPr>
                <w:rFonts w:hint="eastAsia" w:ascii="宋体" w:hAnsi="宋体" w:cs="宋体"/>
                <w:color w:val="000000" w:themeColor="text1"/>
                <w:sz w:val="18"/>
                <w:szCs w:val="18"/>
              </w:rPr>
            </w:pPr>
          </w:p>
        </w:tc>
        <w:tc>
          <w:tcPr>
            <w:tcW w:w="3633" w:type="dxa"/>
            <w:gridSpan w:val="2"/>
            <w:vAlign w:val="center"/>
          </w:tcPr>
          <w:p w14:paraId="532248FB">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对讲机、执法记录仪设备费。配备数量不得低于在岗人数的50%。</w:t>
            </w:r>
          </w:p>
        </w:tc>
      </w:tr>
      <w:tr w14:paraId="2C137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49F3DA43">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（4）</w:t>
            </w:r>
          </w:p>
        </w:tc>
        <w:tc>
          <w:tcPr>
            <w:tcW w:w="1465" w:type="dxa"/>
            <w:vAlign w:val="center"/>
          </w:tcPr>
          <w:p w14:paraId="2B091309">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培训费</w:t>
            </w:r>
          </w:p>
        </w:tc>
        <w:tc>
          <w:tcPr>
            <w:tcW w:w="4987" w:type="dxa"/>
            <w:gridSpan w:val="6"/>
            <w:vAlign w:val="center"/>
          </w:tcPr>
          <w:p w14:paraId="162BF9D1">
            <w:pPr>
              <w:widowControl/>
              <w:jc w:val="left"/>
              <w:rPr>
                <w:rFonts w:hint="eastAsia" w:ascii="宋体" w:hAnsi="宋体" w:cs="宋体"/>
                <w:color w:val="000000" w:themeColor="text1"/>
                <w:sz w:val="18"/>
                <w:szCs w:val="18"/>
              </w:rPr>
            </w:pPr>
          </w:p>
        </w:tc>
        <w:tc>
          <w:tcPr>
            <w:tcW w:w="3633" w:type="dxa"/>
            <w:gridSpan w:val="2"/>
            <w:vAlign w:val="center"/>
          </w:tcPr>
          <w:p w14:paraId="301B8D96">
            <w:pPr>
              <w:widowControl/>
              <w:jc w:val="left"/>
              <w:rPr>
                <w:rFonts w:hint="eastAsia" w:ascii="宋体" w:hAnsi="宋体" w:cs="宋体"/>
                <w:color w:val="000000" w:themeColor="text1"/>
                <w:sz w:val="18"/>
                <w:szCs w:val="18"/>
              </w:rPr>
            </w:pPr>
          </w:p>
        </w:tc>
      </w:tr>
      <w:tr w14:paraId="73F0A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010896C2">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（5）</w:t>
            </w:r>
          </w:p>
        </w:tc>
        <w:tc>
          <w:tcPr>
            <w:tcW w:w="1465" w:type="dxa"/>
            <w:vAlign w:val="center"/>
          </w:tcPr>
          <w:p w14:paraId="418C4B85">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餐费</w:t>
            </w:r>
          </w:p>
        </w:tc>
        <w:tc>
          <w:tcPr>
            <w:tcW w:w="4987" w:type="dxa"/>
            <w:gridSpan w:val="6"/>
            <w:vAlign w:val="center"/>
          </w:tcPr>
          <w:p w14:paraId="3E3A0C41">
            <w:pPr>
              <w:widowControl/>
              <w:jc w:val="left"/>
              <w:rPr>
                <w:rFonts w:hint="eastAsia" w:ascii="宋体" w:hAnsi="宋体" w:cs="宋体"/>
                <w:color w:val="000000" w:themeColor="text1"/>
                <w:sz w:val="18"/>
                <w:szCs w:val="18"/>
              </w:rPr>
            </w:pPr>
          </w:p>
        </w:tc>
        <w:tc>
          <w:tcPr>
            <w:tcW w:w="3633" w:type="dxa"/>
            <w:gridSpan w:val="2"/>
            <w:vAlign w:val="center"/>
          </w:tcPr>
          <w:p w14:paraId="53F4DDDF">
            <w:pPr>
              <w:widowControl/>
              <w:jc w:val="left"/>
              <w:rPr>
                <w:rFonts w:hint="eastAsia" w:ascii="宋体" w:hAnsi="宋体" w:cs="宋体"/>
                <w:color w:val="000000" w:themeColor="text1"/>
                <w:sz w:val="18"/>
                <w:szCs w:val="18"/>
              </w:rPr>
            </w:pPr>
          </w:p>
        </w:tc>
      </w:tr>
      <w:tr w14:paraId="4A0B9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9" w:hRule="atLeast"/>
          <w:jc w:val="center"/>
        </w:trPr>
        <w:tc>
          <w:tcPr>
            <w:tcW w:w="802" w:type="dxa"/>
            <w:vAlign w:val="center"/>
          </w:tcPr>
          <w:p w14:paraId="7139367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（6）</w:t>
            </w:r>
          </w:p>
        </w:tc>
        <w:tc>
          <w:tcPr>
            <w:tcW w:w="1465" w:type="dxa"/>
            <w:vAlign w:val="center"/>
          </w:tcPr>
          <w:p w14:paraId="3AEA628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交通费</w:t>
            </w:r>
          </w:p>
        </w:tc>
        <w:tc>
          <w:tcPr>
            <w:tcW w:w="4987" w:type="dxa"/>
            <w:gridSpan w:val="6"/>
            <w:vAlign w:val="center"/>
          </w:tcPr>
          <w:p w14:paraId="4CD35213">
            <w:pPr>
              <w:widowControl/>
              <w:jc w:val="left"/>
              <w:rPr>
                <w:rFonts w:hint="eastAsia" w:ascii="宋体" w:hAnsi="宋体" w:cs="宋体"/>
                <w:color w:val="000000" w:themeColor="text1"/>
                <w:sz w:val="18"/>
                <w:szCs w:val="18"/>
              </w:rPr>
            </w:pPr>
          </w:p>
        </w:tc>
        <w:tc>
          <w:tcPr>
            <w:tcW w:w="3633" w:type="dxa"/>
            <w:gridSpan w:val="2"/>
            <w:vAlign w:val="center"/>
          </w:tcPr>
          <w:p w14:paraId="62008C1A">
            <w:pPr>
              <w:widowControl/>
              <w:jc w:val="left"/>
              <w:rPr>
                <w:rFonts w:hint="eastAsia" w:ascii="宋体" w:hAnsi="宋体" w:cs="宋体"/>
                <w:color w:val="000000" w:themeColor="text1"/>
                <w:sz w:val="18"/>
                <w:szCs w:val="18"/>
              </w:rPr>
            </w:pPr>
          </w:p>
        </w:tc>
      </w:tr>
      <w:tr w14:paraId="698D7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9" w:hRule="atLeast"/>
          <w:jc w:val="center"/>
        </w:trPr>
        <w:tc>
          <w:tcPr>
            <w:tcW w:w="802" w:type="dxa"/>
            <w:vAlign w:val="center"/>
          </w:tcPr>
          <w:p w14:paraId="3A738FA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（7）</w:t>
            </w:r>
          </w:p>
        </w:tc>
        <w:tc>
          <w:tcPr>
            <w:tcW w:w="1465" w:type="dxa"/>
            <w:vAlign w:val="center"/>
          </w:tcPr>
          <w:p w14:paraId="7E5A54E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通讯费</w:t>
            </w:r>
          </w:p>
        </w:tc>
        <w:tc>
          <w:tcPr>
            <w:tcW w:w="4987" w:type="dxa"/>
            <w:gridSpan w:val="6"/>
            <w:vAlign w:val="center"/>
          </w:tcPr>
          <w:p w14:paraId="6A770E75">
            <w:pPr>
              <w:widowControl/>
              <w:jc w:val="left"/>
              <w:rPr>
                <w:rFonts w:hint="eastAsia" w:ascii="宋体" w:hAnsi="宋体" w:cs="宋体"/>
                <w:color w:val="000000" w:themeColor="text1"/>
                <w:sz w:val="18"/>
                <w:szCs w:val="18"/>
              </w:rPr>
            </w:pPr>
          </w:p>
        </w:tc>
        <w:tc>
          <w:tcPr>
            <w:tcW w:w="3633" w:type="dxa"/>
            <w:gridSpan w:val="2"/>
            <w:vAlign w:val="center"/>
          </w:tcPr>
          <w:p w14:paraId="74728CB8">
            <w:pPr>
              <w:widowControl/>
              <w:jc w:val="left"/>
              <w:rPr>
                <w:rFonts w:hint="eastAsia" w:ascii="宋体" w:hAnsi="宋体" w:cs="宋体"/>
                <w:color w:val="000000" w:themeColor="text1"/>
                <w:sz w:val="18"/>
                <w:szCs w:val="18"/>
              </w:rPr>
            </w:pPr>
          </w:p>
        </w:tc>
      </w:tr>
      <w:tr w14:paraId="625AF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7306846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（8）</w:t>
            </w:r>
          </w:p>
        </w:tc>
        <w:tc>
          <w:tcPr>
            <w:tcW w:w="1465" w:type="dxa"/>
            <w:vAlign w:val="center"/>
          </w:tcPr>
          <w:p w14:paraId="5C114C3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商业险</w:t>
            </w:r>
          </w:p>
        </w:tc>
        <w:tc>
          <w:tcPr>
            <w:tcW w:w="4987" w:type="dxa"/>
            <w:gridSpan w:val="6"/>
            <w:vAlign w:val="center"/>
          </w:tcPr>
          <w:p w14:paraId="1EA59ED8">
            <w:pPr>
              <w:widowControl/>
              <w:jc w:val="left"/>
              <w:rPr>
                <w:rFonts w:hint="eastAsia" w:ascii="宋体" w:hAnsi="宋体" w:cs="宋体"/>
                <w:color w:val="000000" w:themeColor="text1"/>
                <w:sz w:val="18"/>
                <w:szCs w:val="18"/>
              </w:rPr>
            </w:pPr>
          </w:p>
        </w:tc>
        <w:tc>
          <w:tcPr>
            <w:tcW w:w="3633" w:type="dxa"/>
            <w:gridSpan w:val="2"/>
            <w:vAlign w:val="center"/>
          </w:tcPr>
          <w:p w14:paraId="52CB752C">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雇住责任险和人身意外伤害险（员工伤亡最高赔付80万元/人），人数不得低于本项目最低岗位配置数。</w:t>
            </w:r>
          </w:p>
        </w:tc>
      </w:tr>
      <w:tr w14:paraId="71E09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568415ED">
            <w:pPr>
              <w:widowControl/>
              <w:jc w:val="center"/>
              <w:rPr>
                <w:rFonts w:hint="eastAsia" w:ascii="宋体" w:hAnsi="宋体" w:cs="宋体"/>
                <w:color w:val="000000" w:themeColor="text1"/>
                <w:sz w:val="18"/>
                <w:szCs w:val="18"/>
              </w:rPr>
            </w:pPr>
            <w:r>
              <w:rPr>
                <w:rFonts w:ascii="宋体" w:hAnsi="宋体" w:cs="宋体"/>
                <w:color w:val="000000" w:themeColor="text1"/>
                <w:sz w:val="18"/>
                <w:szCs w:val="18"/>
              </w:rPr>
              <w:t>...</w:t>
            </w:r>
          </w:p>
        </w:tc>
        <w:tc>
          <w:tcPr>
            <w:tcW w:w="1465" w:type="dxa"/>
            <w:vAlign w:val="center"/>
          </w:tcPr>
          <w:p w14:paraId="244A0BD4">
            <w:pPr>
              <w:widowControl/>
              <w:jc w:val="center"/>
              <w:rPr>
                <w:rFonts w:hint="eastAsia" w:ascii="宋体" w:hAnsi="宋体" w:cs="宋体"/>
                <w:color w:val="000000" w:themeColor="text1"/>
                <w:sz w:val="18"/>
                <w:szCs w:val="18"/>
              </w:rPr>
            </w:pPr>
          </w:p>
        </w:tc>
        <w:tc>
          <w:tcPr>
            <w:tcW w:w="4987" w:type="dxa"/>
            <w:gridSpan w:val="6"/>
            <w:vAlign w:val="center"/>
          </w:tcPr>
          <w:p w14:paraId="47B4789D">
            <w:pPr>
              <w:widowControl/>
              <w:jc w:val="left"/>
              <w:rPr>
                <w:rFonts w:hint="eastAsia" w:ascii="宋体" w:hAnsi="宋体" w:cs="宋体"/>
                <w:color w:val="000000" w:themeColor="text1"/>
                <w:sz w:val="18"/>
                <w:szCs w:val="18"/>
              </w:rPr>
            </w:pPr>
          </w:p>
        </w:tc>
        <w:tc>
          <w:tcPr>
            <w:tcW w:w="3633" w:type="dxa"/>
            <w:gridSpan w:val="2"/>
            <w:vAlign w:val="center"/>
          </w:tcPr>
          <w:p w14:paraId="71840C81">
            <w:pPr>
              <w:widowControl/>
              <w:jc w:val="left"/>
              <w:rPr>
                <w:rFonts w:hint="eastAsia" w:ascii="宋体" w:hAnsi="宋体" w:cs="宋体"/>
                <w:color w:val="000000" w:themeColor="text1"/>
                <w:sz w:val="18"/>
                <w:szCs w:val="18"/>
              </w:rPr>
            </w:pPr>
          </w:p>
        </w:tc>
      </w:tr>
      <w:tr w14:paraId="42D54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5060B41A">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7</w:t>
            </w:r>
          </w:p>
        </w:tc>
        <w:tc>
          <w:tcPr>
            <w:tcW w:w="1465" w:type="dxa"/>
            <w:vAlign w:val="center"/>
          </w:tcPr>
          <w:p w14:paraId="28EA2D2D">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管理费</w:t>
            </w:r>
          </w:p>
        </w:tc>
        <w:tc>
          <w:tcPr>
            <w:tcW w:w="4987" w:type="dxa"/>
            <w:gridSpan w:val="6"/>
            <w:vAlign w:val="center"/>
          </w:tcPr>
          <w:p w14:paraId="3AD3E81F">
            <w:pPr>
              <w:widowControl/>
              <w:rPr>
                <w:rFonts w:hint="eastAsia" w:ascii="宋体" w:hAnsi="宋体" w:cs="宋体"/>
                <w:color w:val="000000" w:themeColor="text1"/>
                <w:sz w:val="18"/>
                <w:szCs w:val="18"/>
              </w:rPr>
            </w:pPr>
          </w:p>
        </w:tc>
        <w:tc>
          <w:tcPr>
            <w:tcW w:w="3633" w:type="dxa"/>
            <w:gridSpan w:val="2"/>
            <w:vAlign w:val="center"/>
          </w:tcPr>
          <w:p w14:paraId="6E7CBFC1">
            <w:pPr>
              <w:widowControl/>
              <w:rPr>
                <w:rFonts w:hint="eastAsia" w:ascii="宋体" w:hAnsi="宋体" w:cs="宋体"/>
                <w:color w:val="000000" w:themeColor="text1"/>
                <w:sz w:val="18"/>
                <w:szCs w:val="18"/>
              </w:rPr>
            </w:pPr>
          </w:p>
        </w:tc>
      </w:tr>
      <w:tr w14:paraId="62580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2" w:type="dxa"/>
            <w:vAlign w:val="center"/>
          </w:tcPr>
          <w:p w14:paraId="0C3C890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8</w:t>
            </w:r>
          </w:p>
        </w:tc>
        <w:tc>
          <w:tcPr>
            <w:tcW w:w="1465" w:type="dxa"/>
            <w:vAlign w:val="center"/>
          </w:tcPr>
          <w:p w14:paraId="0960BB3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法定税费</w:t>
            </w:r>
          </w:p>
        </w:tc>
        <w:tc>
          <w:tcPr>
            <w:tcW w:w="4987" w:type="dxa"/>
            <w:gridSpan w:val="6"/>
            <w:noWrap/>
            <w:vAlign w:val="center"/>
          </w:tcPr>
          <w:p w14:paraId="5EFBDEC3">
            <w:pPr>
              <w:widowControl/>
              <w:jc w:val="left"/>
              <w:rPr>
                <w:rFonts w:hint="eastAsia" w:ascii="宋体" w:hAnsi="宋体" w:cs="宋体"/>
                <w:color w:val="000000" w:themeColor="text1"/>
                <w:sz w:val="18"/>
                <w:szCs w:val="18"/>
              </w:rPr>
            </w:pPr>
          </w:p>
        </w:tc>
        <w:tc>
          <w:tcPr>
            <w:tcW w:w="3633" w:type="dxa"/>
            <w:gridSpan w:val="2"/>
            <w:noWrap/>
            <w:vAlign w:val="center"/>
          </w:tcPr>
          <w:p w14:paraId="7F9DC33D">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填报税费。</w:t>
            </w:r>
          </w:p>
        </w:tc>
      </w:tr>
      <w:tr w14:paraId="33BC1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669D5626">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9</w:t>
            </w:r>
          </w:p>
        </w:tc>
        <w:tc>
          <w:tcPr>
            <w:tcW w:w="1465" w:type="dxa"/>
            <w:vAlign w:val="center"/>
          </w:tcPr>
          <w:p w14:paraId="3CFED376">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其他费用</w:t>
            </w:r>
          </w:p>
        </w:tc>
        <w:tc>
          <w:tcPr>
            <w:tcW w:w="4987" w:type="dxa"/>
            <w:gridSpan w:val="6"/>
            <w:noWrap/>
            <w:vAlign w:val="center"/>
          </w:tcPr>
          <w:p w14:paraId="17031FAD">
            <w:pPr>
              <w:widowControl/>
              <w:jc w:val="left"/>
              <w:rPr>
                <w:rFonts w:hint="eastAsia" w:ascii="宋体" w:hAnsi="宋体" w:cs="宋体"/>
                <w:color w:val="000000" w:themeColor="text1"/>
                <w:sz w:val="18"/>
                <w:szCs w:val="18"/>
              </w:rPr>
            </w:pPr>
          </w:p>
        </w:tc>
        <w:tc>
          <w:tcPr>
            <w:tcW w:w="3633" w:type="dxa"/>
            <w:gridSpan w:val="2"/>
            <w:noWrap/>
            <w:vAlign w:val="center"/>
          </w:tcPr>
          <w:p w14:paraId="6DE2E019">
            <w:pPr>
              <w:widowControl/>
              <w:jc w:val="left"/>
              <w:rPr>
                <w:rFonts w:hint="eastAsia" w:ascii="宋体" w:hAnsi="宋体" w:cs="宋体"/>
                <w:b/>
                <w:bCs/>
                <w:color w:val="000000" w:themeColor="text1"/>
                <w:sz w:val="18"/>
                <w:szCs w:val="18"/>
              </w:rPr>
            </w:pPr>
            <w:r>
              <w:rPr>
                <w:rFonts w:hint="eastAsia" w:ascii="宋体" w:hAnsi="宋体" w:cs="宋体"/>
                <w:color w:val="000000" w:themeColor="text1"/>
                <w:sz w:val="18"/>
                <w:szCs w:val="18"/>
              </w:rPr>
              <w:t>供应商认为可能发生的其他费用。</w:t>
            </w:r>
          </w:p>
        </w:tc>
      </w:tr>
      <w:tr w14:paraId="26E27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802" w:type="dxa"/>
            <w:vAlign w:val="center"/>
          </w:tcPr>
          <w:p w14:paraId="52E686D1">
            <w:pPr>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10</w:t>
            </w:r>
          </w:p>
        </w:tc>
        <w:tc>
          <w:tcPr>
            <w:tcW w:w="1465" w:type="dxa"/>
            <w:vAlign w:val="center"/>
          </w:tcPr>
          <w:p w14:paraId="70CEEB5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投标总价（元）</w:t>
            </w:r>
          </w:p>
        </w:tc>
        <w:tc>
          <w:tcPr>
            <w:tcW w:w="8620" w:type="dxa"/>
            <w:gridSpan w:val="8"/>
            <w:vAlign w:val="center"/>
          </w:tcPr>
          <w:p w14:paraId="4D28877C">
            <w:pPr>
              <w:jc w:val="center"/>
              <w:rPr>
                <w:rFonts w:hint="eastAsia" w:ascii="宋体" w:hAnsi="宋体" w:cs="宋体"/>
                <w:b/>
                <w:bCs/>
                <w:color w:val="000000" w:themeColor="text1"/>
                <w:sz w:val="18"/>
                <w:szCs w:val="18"/>
              </w:rPr>
            </w:pPr>
          </w:p>
        </w:tc>
      </w:tr>
      <w:tr w14:paraId="713E1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9" w:hRule="atLeast"/>
          <w:jc w:val="center"/>
        </w:trPr>
        <w:tc>
          <w:tcPr>
            <w:tcW w:w="10887" w:type="dxa"/>
            <w:gridSpan w:val="10"/>
            <w:vAlign w:val="center"/>
          </w:tcPr>
          <w:p w14:paraId="57F51BF3">
            <w:pPr>
              <w:jc w:val="left"/>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注：（1）此表为样表，行数可自行添加，但表式不变。如有其他费用，供应商自行计算填列。（2）报价中的各分项报价均不得为“零”或负数（其他费用可以为“零”但不得为负数），否则做无效投标处理。（3）服务时间不足一年的，按照采购文件规定服务时间测算。（4）《投标报价明细表》“投标总价”应当与《开标一览表》中“投标总报价”一致。（5）此表中所有数值保留小数点后两位进行计算。</w:t>
            </w:r>
          </w:p>
        </w:tc>
      </w:tr>
    </w:tbl>
    <w:p w14:paraId="752B3AAC">
      <w:pPr>
        <w:pStyle w:val="44"/>
        <w:rPr>
          <w:color w:val="000000" w:themeColor="text1"/>
        </w:rPr>
      </w:pPr>
    </w:p>
    <w:p w14:paraId="1676C835">
      <w:pPr>
        <w:pStyle w:val="44"/>
        <w:rPr>
          <w:color w:val="000000" w:themeColor="text1"/>
        </w:rPr>
      </w:pPr>
      <w:r>
        <w:rPr>
          <w:color w:val="000000" w:themeColor="text1"/>
        </w:rPr>
        <w:br w:type="page"/>
      </w:r>
    </w:p>
    <w:p w14:paraId="65EB4622">
      <w:pPr>
        <w:pStyle w:val="4"/>
        <w:jc w:val="center"/>
        <w:rPr>
          <w:rFonts w:hint="eastAsia" w:ascii="黑体" w:hAnsi="黑体" w:eastAsia="黑体"/>
          <w:color w:val="000000" w:themeColor="text1"/>
          <w:sz w:val="36"/>
          <w:szCs w:val="36"/>
        </w:rPr>
      </w:pPr>
      <w:r>
        <w:rPr>
          <w:rFonts w:hint="eastAsia" w:ascii="黑体" w:hAnsi="黑体" w:eastAsia="黑体"/>
          <w:color w:val="000000" w:themeColor="text1"/>
          <w:sz w:val="36"/>
          <w:szCs w:val="36"/>
        </w:rPr>
        <w:t>采购包2投标报价明细表</w:t>
      </w:r>
    </w:p>
    <w:p w14:paraId="0DEE7EFD">
      <w:pPr>
        <w:jc w:val="center"/>
        <w:rPr>
          <w:rFonts w:hint="eastAsia" w:ascii="黑体" w:hAnsi="黑体" w:eastAsia="黑体"/>
          <w:color w:val="000000" w:themeColor="text1"/>
          <w:sz w:val="36"/>
          <w:szCs w:val="36"/>
        </w:rPr>
      </w:pPr>
      <w:r>
        <w:rPr>
          <w:rFonts w:hint="eastAsia"/>
          <w:color w:val="000000" w:themeColor="text1"/>
          <w:sz w:val="32"/>
          <w:szCs w:val="32"/>
        </w:rPr>
        <w:t>（</w:t>
      </w:r>
      <w:r>
        <w:rPr>
          <w:color w:val="000000" w:themeColor="text1"/>
          <w:sz w:val="32"/>
          <w:szCs w:val="32"/>
        </w:rPr>
        <w:t>中山陵南侧外围区域安保服务</w:t>
      </w:r>
      <w:r>
        <w:rPr>
          <w:rFonts w:hint="eastAsia"/>
          <w:color w:val="000000" w:themeColor="text1"/>
          <w:sz w:val="32"/>
          <w:szCs w:val="32"/>
        </w:rPr>
        <w:t>）</w:t>
      </w:r>
    </w:p>
    <w:tbl>
      <w:tblPr>
        <w:tblStyle w:val="45"/>
        <w:tblW w:w="586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2"/>
        <w:gridCol w:w="1465"/>
        <w:gridCol w:w="780"/>
        <w:gridCol w:w="727"/>
        <w:gridCol w:w="726"/>
        <w:gridCol w:w="709"/>
        <w:gridCol w:w="2034"/>
        <w:gridCol w:w="11"/>
        <w:gridCol w:w="3622"/>
        <w:gridCol w:w="11"/>
      </w:tblGrid>
      <w:tr w14:paraId="6C3F3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11" w:type="dxa"/>
          <w:trHeight w:val="619" w:hRule="atLeast"/>
          <w:jc w:val="center"/>
        </w:trPr>
        <w:tc>
          <w:tcPr>
            <w:tcW w:w="802" w:type="dxa"/>
            <w:tcBorders>
              <w:bottom w:val="single" w:color="000000" w:sz="4" w:space="0"/>
            </w:tcBorders>
            <w:vAlign w:val="center"/>
          </w:tcPr>
          <w:p w14:paraId="118A745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序号</w:t>
            </w:r>
          </w:p>
        </w:tc>
        <w:tc>
          <w:tcPr>
            <w:tcW w:w="1465" w:type="dxa"/>
            <w:vAlign w:val="center"/>
          </w:tcPr>
          <w:p w14:paraId="079D416A">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分项名称</w:t>
            </w:r>
          </w:p>
        </w:tc>
        <w:tc>
          <w:tcPr>
            <w:tcW w:w="780" w:type="dxa"/>
            <w:vAlign w:val="center"/>
          </w:tcPr>
          <w:p w14:paraId="36E327E5">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437E525C">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单价</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（元/人*月）</w:t>
            </w:r>
          </w:p>
        </w:tc>
        <w:tc>
          <w:tcPr>
            <w:tcW w:w="726" w:type="dxa"/>
            <w:vAlign w:val="center"/>
          </w:tcPr>
          <w:p w14:paraId="602A68EA">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月数</w:t>
            </w:r>
          </w:p>
          <w:p w14:paraId="5607BC83">
            <w:pPr>
              <w:pStyle w:val="44"/>
              <w:spacing w:after="0"/>
              <w:ind w:left="0" w:leftChars="0" w:firstLine="0" w:firstLineChars="0"/>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（11）</w:t>
            </w:r>
          </w:p>
        </w:tc>
        <w:tc>
          <w:tcPr>
            <w:tcW w:w="709" w:type="dxa"/>
            <w:vAlign w:val="center"/>
          </w:tcPr>
          <w:p w14:paraId="01D7CFD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分项小计</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w:t>
            </w:r>
          </w:p>
        </w:tc>
        <w:tc>
          <w:tcPr>
            <w:tcW w:w="2034" w:type="dxa"/>
            <w:vAlign w:val="center"/>
          </w:tcPr>
          <w:p w14:paraId="4F4C8A26">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费用计算公式</w:t>
            </w:r>
          </w:p>
        </w:tc>
        <w:tc>
          <w:tcPr>
            <w:tcW w:w="3633" w:type="dxa"/>
            <w:gridSpan w:val="2"/>
            <w:vAlign w:val="center"/>
          </w:tcPr>
          <w:p w14:paraId="465CABF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备注</w:t>
            </w:r>
          </w:p>
        </w:tc>
      </w:tr>
      <w:tr w14:paraId="12793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802" w:type="dxa"/>
            <w:tcBorders>
              <w:top w:val="single" w:color="000000" w:sz="4" w:space="0"/>
              <w:left w:val="single" w:color="000000" w:sz="4" w:space="0"/>
              <w:bottom w:val="single" w:color="000000" w:sz="4" w:space="0"/>
              <w:right w:val="single" w:color="000000" w:sz="4" w:space="0"/>
            </w:tcBorders>
            <w:vAlign w:val="center"/>
          </w:tcPr>
          <w:p w14:paraId="514C132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w:t>
            </w:r>
          </w:p>
        </w:tc>
        <w:tc>
          <w:tcPr>
            <w:tcW w:w="6452" w:type="dxa"/>
            <w:gridSpan w:val="7"/>
            <w:tcBorders>
              <w:left w:val="single" w:color="000000" w:sz="4" w:space="0"/>
            </w:tcBorders>
            <w:vAlign w:val="center"/>
          </w:tcPr>
          <w:p w14:paraId="6E869FF1">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人员工资</w:t>
            </w:r>
          </w:p>
        </w:tc>
        <w:tc>
          <w:tcPr>
            <w:tcW w:w="3633" w:type="dxa"/>
            <w:gridSpan w:val="2"/>
            <w:vAlign w:val="center"/>
          </w:tcPr>
          <w:p w14:paraId="3DB2E147">
            <w:pPr>
              <w:widowControl/>
              <w:jc w:val="left"/>
              <w:rPr>
                <w:color w:val="000000" w:themeColor="text1"/>
              </w:rPr>
            </w:pPr>
            <w:r>
              <w:rPr>
                <w:rFonts w:hint="eastAsia" w:ascii="宋体" w:hAnsi="宋体" w:cs="宋体"/>
                <w:color w:val="000000" w:themeColor="text1"/>
                <w:sz w:val="18"/>
                <w:szCs w:val="18"/>
              </w:rPr>
              <w:t>拟投入的日常人员每日不得低于33岗（人），人员工资不得低于南京市最低工资标准，供应商须在《投标报价明细表》中按照采购需求中安保服务人员岗位分别填报员工工资，否则做无效投标处理。</w:t>
            </w:r>
          </w:p>
        </w:tc>
      </w:tr>
      <w:tr w14:paraId="3A0FB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tcBorders>
              <w:top w:val="single" w:color="000000" w:sz="4" w:space="0"/>
            </w:tcBorders>
            <w:vAlign w:val="center"/>
          </w:tcPr>
          <w:p w14:paraId="50272662">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08F86C93">
            <w:pPr>
              <w:widowControl/>
              <w:jc w:val="center"/>
              <w:rPr>
                <w:rFonts w:hint="eastAsia" w:ascii="宋体" w:hAnsi="宋体" w:cs="宋体"/>
                <w:color w:val="000000" w:themeColor="text1"/>
                <w:sz w:val="18"/>
                <w:szCs w:val="18"/>
              </w:rPr>
            </w:pPr>
          </w:p>
        </w:tc>
        <w:tc>
          <w:tcPr>
            <w:tcW w:w="780" w:type="dxa"/>
            <w:vAlign w:val="center"/>
          </w:tcPr>
          <w:p w14:paraId="3D69F741">
            <w:pPr>
              <w:jc w:val="center"/>
              <w:rPr>
                <w:rFonts w:hint="eastAsia" w:ascii="宋体" w:hAnsi="宋体" w:cs="宋体"/>
                <w:b/>
                <w:bCs/>
                <w:color w:val="000000" w:themeColor="text1"/>
                <w:sz w:val="18"/>
                <w:szCs w:val="18"/>
              </w:rPr>
            </w:pPr>
          </w:p>
        </w:tc>
        <w:tc>
          <w:tcPr>
            <w:tcW w:w="727" w:type="dxa"/>
            <w:vAlign w:val="center"/>
          </w:tcPr>
          <w:p w14:paraId="253F46C4">
            <w:pPr>
              <w:jc w:val="center"/>
              <w:rPr>
                <w:rFonts w:hint="eastAsia" w:ascii="宋体" w:hAnsi="宋体" w:cs="宋体"/>
                <w:b/>
                <w:bCs/>
                <w:color w:val="000000" w:themeColor="text1"/>
                <w:sz w:val="18"/>
                <w:szCs w:val="18"/>
              </w:rPr>
            </w:pPr>
          </w:p>
        </w:tc>
        <w:tc>
          <w:tcPr>
            <w:tcW w:w="726" w:type="dxa"/>
            <w:vAlign w:val="center"/>
          </w:tcPr>
          <w:p w14:paraId="078A91FE">
            <w:pPr>
              <w:jc w:val="center"/>
              <w:rPr>
                <w:rFonts w:hint="eastAsia" w:ascii="宋体" w:hAnsi="宋体" w:cs="宋体"/>
                <w:b/>
                <w:bCs/>
                <w:color w:val="000000" w:themeColor="text1"/>
                <w:sz w:val="18"/>
                <w:szCs w:val="18"/>
              </w:rPr>
            </w:pPr>
          </w:p>
        </w:tc>
        <w:tc>
          <w:tcPr>
            <w:tcW w:w="709" w:type="dxa"/>
            <w:vAlign w:val="center"/>
          </w:tcPr>
          <w:p w14:paraId="6A0F6702">
            <w:pPr>
              <w:jc w:val="center"/>
              <w:rPr>
                <w:rFonts w:hint="eastAsia" w:ascii="宋体" w:hAnsi="宋体" w:cs="宋体"/>
                <w:b/>
                <w:bCs/>
                <w:color w:val="000000" w:themeColor="text1"/>
                <w:sz w:val="18"/>
                <w:szCs w:val="18"/>
              </w:rPr>
            </w:pPr>
          </w:p>
        </w:tc>
        <w:tc>
          <w:tcPr>
            <w:tcW w:w="2034" w:type="dxa"/>
            <w:vAlign w:val="center"/>
          </w:tcPr>
          <w:p w14:paraId="6BEF983B">
            <w:pPr>
              <w:jc w:val="left"/>
              <w:rPr>
                <w:rFonts w:hint="eastAsia" w:ascii="宋体" w:hAnsi="宋体" w:cs="宋体"/>
                <w:color w:val="000000" w:themeColor="text1"/>
                <w:sz w:val="18"/>
                <w:szCs w:val="18"/>
              </w:rPr>
            </w:pPr>
          </w:p>
        </w:tc>
        <w:tc>
          <w:tcPr>
            <w:tcW w:w="3633" w:type="dxa"/>
            <w:gridSpan w:val="2"/>
            <w:vMerge w:val="restart"/>
            <w:vAlign w:val="center"/>
          </w:tcPr>
          <w:p w14:paraId="61B00DD6">
            <w:pPr>
              <w:jc w:val="left"/>
              <w:rPr>
                <w:rFonts w:hint="eastAsia" w:ascii="宋体" w:hAnsi="宋体" w:cs="宋体"/>
                <w:color w:val="000000" w:themeColor="text1"/>
                <w:sz w:val="18"/>
                <w:szCs w:val="18"/>
              </w:rPr>
            </w:pPr>
          </w:p>
        </w:tc>
      </w:tr>
      <w:tr w14:paraId="5184E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07A21D5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714CC6CE">
            <w:pPr>
              <w:widowControl/>
              <w:jc w:val="center"/>
              <w:rPr>
                <w:rFonts w:hint="eastAsia" w:ascii="宋体" w:hAnsi="宋体" w:cs="宋体"/>
                <w:color w:val="000000" w:themeColor="text1"/>
                <w:sz w:val="18"/>
                <w:szCs w:val="18"/>
              </w:rPr>
            </w:pPr>
          </w:p>
        </w:tc>
        <w:tc>
          <w:tcPr>
            <w:tcW w:w="780" w:type="dxa"/>
            <w:vAlign w:val="center"/>
          </w:tcPr>
          <w:p w14:paraId="2973C71F">
            <w:pPr>
              <w:jc w:val="center"/>
              <w:rPr>
                <w:rFonts w:hint="eastAsia" w:ascii="宋体" w:hAnsi="宋体" w:cs="宋体"/>
                <w:b/>
                <w:bCs/>
                <w:color w:val="000000" w:themeColor="text1"/>
                <w:sz w:val="18"/>
                <w:szCs w:val="18"/>
              </w:rPr>
            </w:pPr>
          </w:p>
        </w:tc>
        <w:tc>
          <w:tcPr>
            <w:tcW w:w="727" w:type="dxa"/>
            <w:vAlign w:val="center"/>
          </w:tcPr>
          <w:p w14:paraId="59AAB485">
            <w:pPr>
              <w:jc w:val="center"/>
              <w:rPr>
                <w:rFonts w:hint="eastAsia" w:ascii="宋体" w:hAnsi="宋体" w:cs="宋体"/>
                <w:b/>
                <w:bCs/>
                <w:color w:val="000000" w:themeColor="text1"/>
                <w:sz w:val="18"/>
                <w:szCs w:val="18"/>
              </w:rPr>
            </w:pPr>
          </w:p>
        </w:tc>
        <w:tc>
          <w:tcPr>
            <w:tcW w:w="726" w:type="dxa"/>
            <w:vAlign w:val="center"/>
          </w:tcPr>
          <w:p w14:paraId="04DC3E5E">
            <w:pPr>
              <w:jc w:val="center"/>
              <w:rPr>
                <w:rFonts w:hint="eastAsia" w:ascii="宋体" w:hAnsi="宋体" w:cs="宋体"/>
                <w:b/>
                <w:bCs/>
                <w:color w:val="000000" w:themeColor="text1"/>
                <w:sz w:val="18"/>
                <w:szCs w:val="18"/>
              </w:rPr>
            </w:pPr>
          </w:p>
        </w:tc>
        <w:tc>
          <w:tcPr>
            <w:tcW w:w="709" w:type="dxa"/>
            <w:vAlign w:val="center"/>
          </w:tcPr>
          <w:p w14:paraId="10514CC8">
            <w:pPr>
              <w:jc w:val="center"/>
              <w:rPr>
                <w:rFonts w:hint="eastAsia" w:ascii="宋体" w:hAnsi="宋体" w:cs="宋体"/>
                <w:b/>
                <w:bCs/>
                <w:color w:val="000000" w:themeColor="text1"/>
                <w:sz w:val="18"/>
                <w:szCs w:val="18"/>
              </w:rPr>
            </w:pPr>
          </w:p>
        </w:tc>
        <w:tc>
          <w:tcPr>
            <w:tcW w:w="2034" w:type="dxa"/>
            <w:vAlign w:val="center"/>
          </w:tcPr>
          <w:p w14:paraId="19FB43B7">
            <w:pPr>
              <w:jc w:val="left"/>
              <w:rPr>
                <w:rFonts w:hint="eastAsia" w:ascii="宋体" w:hAnsi="宋体" w:cs="宋体"/>
                <w:color w:val="000000" w:themeColor="text1"/>
                <w:sz w:val="18"/>
                <w:szCs w:val="18"/>
              </w:rPr>
            </w:pPr>
          </w:p>
        </w:tc>
        <w:tc>
          <w:tcPr>
            <w:tcW w:w="3633" w:type="dxa"/>
            <w:gridSpan w:val="2"/>
            <w:vMerge w:val="continue"/>
            <w:vAlign w:val="center"/>
          </w:tcPr>
          <w:p w14:paraId="576179A7">
            <w:pPr>
              <w:jc w:val="left"/>
              <w:rPr>
                <w:rFonts w:hint="eastAsia" w:ascii="宋体" w:hAnsi="宋体" w:cs="宋体"/>
                <w:color w:val="000000" w:themeColor="text1"/>
                <w:sz w:val="18"/>
                <w:szCs w:val="18"/>
              </w:rPr>
            </w:pPr>
          </w:p>
        </w:tc>
      </w:tr>
      <w:tr w14:paraId="0C79D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71DFB84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2EAE3DB0">
            <w:pPr>
              <w:widowControl/>
              <w:jc w:val="center"/>
              <w:rPr>
                <w:rFonts w:hint="eastAsia" w:ascii="宋体" w:hAnsi="宋体" w:cs="宋体"/>
                <w:color w:val="000000" w:themeColor="text1"/>
                <w:sz w:val="18"/>
                <w:szCs w:val="18"/>
              </w:rPr>
            </w:pPr>
          </w:p>
        </w:tc>
        <w:tc>
          <w:tcPr>
            <w:tcW w:w="780" w:type="dxa"/>
            <w:vAlign w:val="center"/>
          </w:tcPr>
          <w:p w14:paraId="6D814900">
            <w:pPr>
              <w:jc w:val="center"/>
              <w:rPr>
                <w:rFonts w:hint="eastAsia" w:ascii="宋体" w:hAnsi="宋体" w:cs="宋体"/>
                <w:b/>
                <w:bCs/>
                <w:color w:val="000000" w:themeColor="text1"/>
                <w:sz w:val="18"/>
                <w:szCs w:val="18"/>
              </w:rPr>
            </w:pPr>
          </w:p>
        </w:tc>
        <w:tc>
          <w:tcPr>
            <w:tcW w:w="727" w:type="dxa"/>
            <w:vAlign w:val="center"/>
          </w:tcPr>
          <w:p w14:paraId="13DA6A75">
            <w:pPr>
              <w:jc w:val="center"/>
              <w:rPr>
                <w:rFonts w:hint="eastAsia" w:ascii="宋体" w:hAnsi="宋体" w:cs="宋体"/>
                <w:b/>
                <w:bCs/>
                <w:color w:val="000000" w:themeColor="text1"/>
                <w:sz w:val="18"/>
                <w:szCs w:val="18"/>
              </w:rPr>
            </w:pPr>
          </w:p>
        </w:tc>
        <w:tc>
          <w:tcPr>
            <w:tcW w:w="726" w:type="dxa"/>
            <w:vAlign w:val="center"/>
          </w:tcPr>
          <w:p w14:paraId="3D32BBE2">
            <w:pPr>
              <w:jc w:val="center"/>
              <w:rPr>
                <w:rFonts w:hint="eastAsia" w:ascii="宋体" w:hAnsi="宋体" w:cs="宋体"/>
                <w:b/>
                <w:bCs/>
                <w:color w:val="000000" w:themeColor="text1"/>
                <w:sz w:val="18"/>
                <w:szCs w:val="18"/>
              </w:rPr>
            </w:pPr>
          </w:p>
        </w:tc>
        <w:tc>
          <w:tcPr>
            <w:tcW w:w="709" w:type="dxa"/>
            <w:vAlign w:val="center"/>
          </w:tcPr>
          <w:p w14:paraId="5E5E9B7A">
            <w:pPr>
              <w:jc w:val="center"/>
              <w:rPr>
                <w:rFonts w:hint="eastAsia" w:ascii="宋体" w:hAnsi="宋体" w:cs="宋体"/>
                <w:b/>
                <w:bCs/>
                <w:color w:val="000000" w:themeColor="text1"/>
                <w:sz w:val="18"/>
                <w:szCs w:val="18"/>
              </w:rPr>
            </w:pPr>
          </w:p>
        </w:tc>
        <w:tc>
          <w:tcPr>
            <w:tcW w:w="2034" w:type="dxa"/>
            <w:vAlign w:val="center"/>
          </w:tcPr>
          <w:p w14:paraId="6E7F7102">
            <w:pPr>
              <w:jc w:val="left"/>
              <w:rPr>
                <w:rFonts w:hint="eastAsia" w:ascii="宋体" w:hAnsi="宋体" w:cs="宋体"/>
                <w:color w:val="000000" w:themeColor="text1"/>
                <w:sz w:val="18"/>
                <w:szCs w:val="18"/>
              </w:rPr>
            </w:pPr>
          </w:p>
        </w:tc>
        <w:tc>
          <w:tcPr>
            <w:tcW w:w="3633" w:type="dxa"/>
            <w:gridSpan w:val="2"/>
            <w:vMerge w:val="continue"/>
            <w:vAlign w:val="center"/>
          </w:tcPr>
          <w:p w14:paraId="2A1F43D4">
            <w:pPr>
              <w:jc w:val="left"/>
              <w:rPr>
                <w:rFonts w:hint="eastAsia" w:ascii="宋体" w:hAnsi="宋体" w:cs="宋体"/>
                <w:color w:val="000000" w:themeColor="text1"/>
                <w:sz w:val="18"/>
                <w:szCs w:val="18"/>
              </w:rPr>
            </w:pPr>
          </w:p>
        </w:tc>
      </w:tr>
      <w:tr w14:paraId="38A2B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24" w:hRule="atLeast"/>
          <w:jc w:val="center"/>
        </w:trPr>
        <w:tc>
          <w:tcPr>
            <w:tcW w:w="802" w:type="dxa"/>
            <w:vAlign w:val="center"/>
          </w:tcPr>
          <w:p w14:paraId="3944D8F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2145816F">
            <w:pPr>
              <w:widowControl/>
              <w:jc w:val="center"/>
              <w:rPr>
                <w:rFonts w:hint="eastAsia" w:ascii="宋体" w:hAnsi="宋体" w:cs="宋体"/>
                <w:color w:val="000000" w:themeColor="text1"/>
                <w:sz w:val="18"/>
                <w:szCs w:val="18"/>
              </w:rPr>
            </w:pPr>
          </w:p>
        </w:tc>
        <w:tc>
          <w:tcPr>
            <w:tcW w:w="780" w:type="dxa"/>
            <w:vAlign w:val="center"/>
          </w:tcPr>
          <w:p w14:paraId="02834E27">
            <w:pPr>
              <w:jc w:val="center"/>
              <w:rPr>
                <w:rFonts w:hint="eastAsia" w:ascii="宋体" w:hAnsi="宋体" w:cs="宋体"/>
                <w:b/>
                <w:bCs/>
                <w:color w:val="000000" w:themeColor="text1"/>
                <w:sz w:val="18"/>
                <w:szCs w:val="18"/>
              </w:rPr>
            </w:pPr>
          </w:p>
        </w:tc>
        <w:tc>
          <w:tcPr>
            <w:tcW w:w="727" w:type="dxa"/>
            <w:vAlign w:val="center"/>
          </w:tcPr>
          <w:p w14:paraId="0259E4F2">
            <w:pPr>
              <w:jc w:val="center"/>
              <w:rPr>
                <w:rFonts w:hint="eastAsia" w:ascii="宋体" w:hAnsi="宋体" w:cs="宋体"/>
                <w:b/>
                <w:bCs/>
                <w:color w:val="000000" w:themeColor="text1"/>
                <w:sz w:val="18"/>
                <w:szCs w:val="18"/>
              </w:rPr>
            </w:pPr>
          </w:p>
        </w:tc>
        <w:tc>
          <w:tcPr>
            <w:tcW w:w="726" w:type="dxa"/>
            <w:vAlign w:val="center"/>
          </w:tcPr>
          <w:p w14:paraId="4DB0C2ED">
            <w:pPr>
              <w:jc w:val="center"/>
              <w:rPr>
                <w:rFonts w:hint="eastAsia" w:ascii="宋体" w:hAnsi="宋体" w:cs="宋体"/>
                <w:b/>
                <w:bCs/>
                <w:color w:val="000000" w:themeColor="text1"/>
                <w:sz w:val="18"/>
                <w:szCs w:val="18"/>
              </w:rPr>
            </w:pPr>
          </w:p>
        </w:tc>
        <w:tc>
          <w:tcPr>
            <w:tcW w:w="709" w:type="dxa"/>
            <w:vAlign w:val="center"/>
          </w:tcPr>
          <w:p w14:paraId="1132D29E">
            <w:pPr>
              <w:jc w:val="center"/>
              <w:rPr>
                <w:rFonts w:hint="eastAsia" w:ascii="宋体" w:hAnsi="宋体" w:cs="宋体"/>
                <w:b/>
                <w:bCs/>
                <w:color w:val="000000" w:themeColor="text1"/>
                <w:sz w:val="18"/>
                <w:szCs w:val="18"/>
              </w:rPr>
            </w:pPr>
          </w:p>
        </w:tc>
        <w:tc>
          <w:tcPr>
            <w:tcW w:w="2034" w:type="dxa"/>
            <w:vAlign w:val="center"/>
          </w:tcPr>
          <w:p w14:paraId="65C69F09">
            <w:pPr>
              <w:jc w:val="left"/>
              <w:rPr>
                <w:rFonts w:hint="eastAsia" w:ascii="宋体" w:hAnsi="宋体" w:cs="宋体"/>
                <w:color w:val="000000" w:themeColor="text1"/>
                <w:sz w:val="18"/>
                <w:szCs w:val="18"/>
              </w:rPr>
            </w:pPr>
          </w:p>
        </w:tc>
        <w:tc>
          <w:tcPr>
            <w:tcW w:w="3633" w:type="dxa"/>
            <w:gridSpan w:val="2"/>
            <w:vMerge w:val="continue"/>
            <w:vAlign w:val="center"/>
          </w:tcPr>
          <w:p w14:paraId="0FCFF97C">
            <w:pPr>
              <w:jc w:val="left"/>
              <w:rPr>
                <w:rFonts w:hint="eastAsia" w:ascii="宋体" w:hAnsi="宋体" w:cs="宋体"/>
                <w:color w:val="000000" w:themeColor="text1"/>
                <w:sz w:val="18"/>
                <w:szCs w:val="18"/>
              </w:rPr>
            </w:pPr>
          </w:p>
        </w:tc>
      </w:tr>
      <w:tr w14:paraId="7E4A9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atLeast"/>
          <w:jc w:val="center"/>
        </w:trPr>
        <w:tc>
          <w:tcPr>
            <w:tcW w:w="802" w:type="dxa"/>
            <w:vAlign w:val="center"/>
          </w:tcPr>
          <w:p w14:paraId="561411F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w:t>
            </w:r>
          </w:p>
        </w:tc>
        <w:tc>
          <w:tcPr>
            <w:tcW w:w="6452" w:type="dxa"/>
            <w:gridSpan w:val="7"/>
            <w:vAlign w:val="center"/>
          </w:tcPr>
          <w:p w14:paraId="5B010345">
            <w:pPr>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社保公积金</w:t>
            </w:r>
          </w:p>
        </w:tc>
        <w:tc>
          <w:tcPr>
            <w:tcW w:w="3633" w:type="dxa"/>
            <w:gridSpan w:val="2"/>
            <w:vAlign w:val="center"/>
          </w:tcPr>
          <w:p w14:paraId="50E75B29">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供应商须在《投标报价明细表》中按照采购文件采购需求中安保服务人员岗位分别填报员工社保和公积金费用。</w:t>
            </w:r>
          </w:p>
          <w:p w14:paraId="56A11FB7">
            <w:pPr>
              <w:widowControl/>
              <w:jc w:val="left"/>
              <w:rPr>
                <w:color w:val="000000" w:themeColor="text1"/>
              </w:rPr>
            </w:pPr>
            <w:r>
              <w:rPr>
                <w:rFonts w:hint="eastAsia" w:ascii="宋体" w:hAnsi="宋体" w:cs="宋体"/>
                <w:color w:val="000000" w:themeColor="text1"/>
                <w:sz w:val="18"/>
                <w:szCs w:val="18"/>
              </w:rPr>
              <w:t>供应商为投入本项目安保服务人员缴纳社保和公积金的人数不得低于33岗（人）（不包含享受社保公积金减免政策人员、退休返聘人员等）</w:t>
            </w:r>
          </w:p>
        </w:tc>
      </w:tr>
      <w:tr w14:paraId="3678D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jc w:val="center"/>
        </w:trPr>
        <w:tc>
          <w:tcPr>
            <w:tcW w:w="802" w:type="dxa"/>
            <w:vAlign w:val="center"/>
          </w:tcPr>
          <w:p w14:paraId="0EB3673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2.1</w:t>
            </w:r>
          </w:p>
        </w:tc>
        <w:tc>
          <w:tcPr>
            <w:tcW w:w="6452" w:type="dxa"/>
            <w:gridSpan w:val="7"/>
            <w:vAlign w:val="center"/>
          </w:tcPr>
          <w:p w14:paraId="138C9104">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社会保险</w:t>
            </w:r>
          </w:p>
        </w:tc>
        <w:tc>
          <w:tcPr>
            <w:tcW w:w="3633" w:type="dxa"/>
            <w:gridSpan w:val="2"/>
            <w:vAlign w:val="center"/>
          </w:tcPr>
          <w:p w14:paraId="12A3F19D">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社保费用不得低于南京市最低标准，否则做无效投标处理。</w:t>
            </w:r>
          </w:p>
        </w:tc>
      </w:tr>
      <w:tr w14:paraId="3A1B4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562294E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07B646BF">
            <w:pPr>
              <w:widowControl/>
              <w:jc w:val="center"/>
              <w:rPr>
                <w:rFonts w:hint="eastAsia" w:ascii="宋体" w:hAnsi="宋体" w:cs="宋体"/>
                <w:color w:val="000000" w:themeColor="text1"/>
                <w:sz w:val="18"/>
                <w:szCs w:val="18"/>
              </w:rPr>
            </w:pPr>
          </w:p>
        </w:tc>
        <w:tc>
          <w:tcPr>
            <w:tcW w:w="780" w:type="dxa"/>
            <w:vAlign w:val="center"/>
          </w:tcPr>
          <w:p w14:paraId="76C4BA0A">
            <w:pPr>
              <w:widowControl/>
              <w:jc w:val="center"/>
              <w:rPr>
                <w:rFonts w:hint="eastAsia" w:ascii="宋体" w:hAnsi="宋体" w:cs="宋体"/>
                <w:color w:val="000000" w:themeColor="text1"/>
                <w:sz w:val="18"/>
                <w:szCs w:val="18"/>
              </w:rPr>
            </w:pPr>
          </w:p>
        </w:tc>
        <w:tc>
          <w:tcPr>
            <w:tcW w:w="727" w:type="dxa"/>
            <w:vAlign w:val="center"/>
          </w:tcPr>
          <w:p w14:paraId="74221BB9">
            <w:pPr>
              <w:widowControl/>
              <w:jc w:val="center"/>
              <w:rPr>
                <w:rFonts w:hint="eastAsia" w:ascii="宋体" w:hAnsi="宋体" w:cs="宋体"/>
                <w:color w:val="000000" w:themeColor="text1"/>
                <w:sz w:val="18"/>
                <w:szCs w:val="18"/>
              </w:rPr>
            </w:pPr>
          </w:p>
        </w:tc>
        <w:tc>
          <w:tcPr>
            <w:tcW w:w="726" w:type="dxa"/>
            <w:vAlign w:val="center"/>
          </w:tcPr>
          <w:p w14:paraId="5B8E7F6B">
            <w:pPr>
              <w:widowControl/>
              <w:jc w:val="center"/>
              <w:rPr>
                <w:rFonts w:hint="eastAsia" w:ascii="宋体" w:hAnsi="宋体" w:cs="宋体"/>
                <w:color w:val="000000" w:themeColor="text1"/>
                <w:sz w:val="18"/>
                <w:szCs w:val="18"/>
              </w:rPr>
            </w:pPr>
          </w:p>
        </w:tc>
        <w:tc>
          <w:tcPr>
            <w:tcW w:w="709" w:type="dxa"/>
            <w:vAlign w:val="center"/>
          </w:tcPr>
          <w:p w14:paraId="04BB056A">
            <w:pPr>
              <w:widowControl/>
              <w:jc w:val="center"/>
              <w:rPr>
                <w:rFonts w:hint="eastAsia" w:ascii="宋体" w:hAnsi="宋体" w:cs="宋体"/>
                <w:color w:val="000000" w:themeColor="text1"/>
                <w:sz w:val="18"/>
                <w:szCs w:val="18"/>
              </w:rPr>
            </w:pPr>
          </w:p>
        </w:tc>
        <w:tc>
          <w:tcPr>
            <w:tcW w:w="2034" w:type="dxa"/>
            <w:vAlign w:val="center"/>
          </w:tcPr>
          <w:p w14:paraId="15CB694F">
            <w:pPr>
              <w:widowControl/>
              <w:jc w:val="left"/>
              <w:rPr>
                <w:rFonts w:hint="eastAsia" w:ascii="宋体" w:hAnsi="宋体" w:cs="宋体"/>
                <w:color w:val="000000" w:themeColor="text1"/>
                <w:sz w:val="18"/>
                <w:szCs w:val="18"/>
              </w:rPr>
            </w:pPr>
          </w:p>
        </w:tc>
        <w:tc>
          <w:tcPr>
            <w:tcW w:w="3633" w:type="dxa"/>
            <w:gridSpan w:val="2"/>
            <w:vMerge w:val="restart"/>
            <w:vAlign w:val="center"/>
          </w:tcPr>
          <w:p w14:paraId="3793BF36">
            <w:pPr>
              <w:widowControl/>
              <w:jc w:val="left"/>
              <w:rPr>
                <w:rFonts w:hint="eastAsia" w:ascii="宋体" w:hAnsi="宋体" w:cs="宋体"/>
                <w:color w:val="000000" w:themeColor="text1"/>
                <w:sz w:val="18"/>
                <w:szCs w:val="18"/>
              </w:rPr>
            </w:pPr>
          </w:p>
        </w:tc>
      </w:tr>
      <w:tr w14:paraId="4A224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438CD4C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0CCCDAE0">
            <w:pPr>
              <w:widowControl/>
              <w:jc w:val="center"/>
              <w:rPr>
                <w:rFonts w:hint="eastAsia" w:ascii="宋体" w:hAnsi="宋体" w:cs="宋体"/>
                <w:color w:val="000000" w:themeColor="text1"/>
                <w:sz w:val="18"/>
                <w:szCs w:val="18"/>
              </w:rPr>
            </w:pPr>
          </w:p>
        </w:tc>
        <w:tc>
          <w:tcPr>
            <w:tcW w:w="780" w:type="dxa"/>
            <w:vAlign w:val="center"/>
          </w:tcPr>
          <w:p w14:paraId="29F57667">
            <w:pPr>
              <w:widowControl/>
              <w:jc w:val="center"/>
              <w:rPr>
                <w:rFonts w:hint="eastAsia" w:ascii="宋体" w:hAnsi="宋体" w:cs="宋体"/>
                <w:color w:val="000000" w:themeColor="text1"/>
                <w:sz w:val="18"/>
                <w:szCs w:val="18"/>
              </w:rPr>
            </w:pPr>
          </w:p>
        </w:tc>
        <w:tc>
          <w:tcPr>
            <w:tcW w:w="727" w:type="dxa"/>
            <w:vAlign w:val="center"/>
          </w:tcPr>
          <w:p w14:paraId="48CC1BA5">
            <w:pPr>
              <w:widowControl/>
              <w:jc w:val="center"/>
              <w:rPr>
                <w:rFonts w:hint="eastAsia" w:ascii="宋体" w:hAnsi="宋体" w:cs="宋体"/>
                <w:color w:val="000000" w:themeColor="text1"/>
                <w:sz w:val="18"/>
                <w:szCs w:val="18"/>
              </w:rPr>
            </w:pPr>
          </w:p>
        </w:tc>
        <w:tc>
          <w:tcPr>
            <w:tcW w:w="726" w:type="dxa"/>
            <w:vAlign w:val="center"/>
          </w:tcPr>
          <w:p w14:paraId="594D54B1">
            <w:pPr>
              <w:widowControl/>
              <w:jc w:val="center"/>
              <w:rPr>
                <w:rFonts w:hint="eastAsia" w:ascii="宋体" w:hAnsi="宋体" w:cs="宋体"/>
                <w:color w:val="000000" w:themeColor="text1"/>
                <w:sz w:val="18"/>
                <w:szCs w:val="18"/>
              </w:rPr>
            </w:pPr>
          </w:p>
        </w:tc>
        <w:tc>
          <w:tcPr>
            <w:tcW w:w="709" w:type="dxa"/>
            <w:vAlign w:val="center"/>
          </w:tcPr>
          <w:p w14:paraId="06B6FCA5">
            <w:pPr>
              <w:widowControl/>
              <w:jc w:val="center"/>
              <w:rPr>
                <w:rFonts w:hint="eastAsia" w:ascii="宋体" w:hAnsi="宋体" w:cs="宋体"/>
                <w:color w:val="000000" w:themeColor="text1"/>
                <w:sz w:val="18"/>
                <w:szCs w:val="18"/>
              </w:rPr>
            </w:pPr>
          </w:p>
        </w:tc>
        <w:tc>
          <w:tcPr>
            <w:tcW w:w="2034" w:type="dxa"/>
            <w:vAlign w:val="center"/>
          </w:tcPr>
          <w:p w14:paraId="35070076">
            <w:pPr>
              <w:widowControl/>
              <w:jc w:val="left"/>
              <w:rPr>
                <w:rFonts w:hint="eastAsia" w:ascii="宋体" w:hAnsi="宋体" w:cs="宋体"/>
                <w:color w:val="000000" w:themeColor="text1"/>
                <w:sz w:val="18"/>
                <w:szCs w:val="18"/>
              </w:rPr>
            </w:pPr>
          </w:p>
        </w:tc>
        <w:tc>
          <w:tcPr>
            <w:tcW w:w="3633" w:type="dxa"/>
            <w:gridSpan w:val="2"/>
            <w:vMerge w:val="continue"/>
            <w:vAlign w:val="center"/>
          </w:tcPr>
          <w:p w14:paraId="68A98362">
            <w:pPr>
              <w:widowControl/>
              <w:jc w:val="left"/>
              <w:rPr>
                <w:rFonts w:hint="eastAsia" w:ascii="宋体" w:hAnsi="宋体" w:cs="宋体"/>
                <w:color w:val="000000" w:themeColor="text1"/>
                <w:sz w:val="18"/>
                <w:szCs w:val="18"/>
              </w:rPr>
            </w:pPr>
          </w:p>
        </w:tc>
      </w:tr>
      <w:tr w14:paraId="662A7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1F6225C1">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134F10BE">
            <w:pPr>
              <w:widowControl/>
              <w:jc w:val="center"/>
              <w:rPr>
                <w:rFonts w:hint="eastAsia" w:ascii="宋体" w:hAnsi="宋体" w:cs="宋体"/>
                <w:color w:val="000000" w:themeColor="text1"/>
                <w:sz w:val="18"/>
                <w:szCs w:val="18"/>
              </w:rPr>
            </w:pPr>
          </w:p>
        </w:tc>
        <w:tc>
          <w:tcPr>
            <w:tcW w:w="780" w:type="dxa"/>
            <w:vAlign w:val="center"/>
          </w:tcPr>
          <w:p w14:paraId="5B420244">
            <w:pPr>
              <w:widowControl/>
              <w:jc w:val="center"/>
              <w:rPr>
                <w:rFonts w:hint="eastAsia" w:ascii="宋体" w:hAnsi="宋体" w:cs="宋体"/>
                <w:color w:val="000000" w:themeColor="text1"/>
                <w:sz w:val="18"/>
                <w:szCs w:val="18"/>
              </w:rPr>
            </w:pPr>
          </w:p>
        </w:tc>
        <w:tc>
          <w:tcPr>
            <w:tcW w:w="727" w:type="dxa"/>
            <w:vAlign w:val="center"/>
          </w:tcPr>
          <w:p w14:paraId="0E5DE238">
            <w:pPr>
              <w:widowControl/>
              <w:jc w:val="center"/>
              <w:rPr>
                <w:rFonts w:hint="eastAsia" w:ascii="宋体" w:hAnsi="宋体" w:cs="宋体"/>
                <w:color w:val="000000" w:themeColor="text1"/>
                <w:sz w:val="18"/>
                <w:szCs w:val="18"/>
              </w:rPr>
            </w:pPr>
          </w:p>
        </w:tc>
        <w:tc>
          <w:tcPr>
            <w:tcW w:w="726" w:type="dxa"/>
            <w:vAlign w:val="center"/>
          </w:tcPr>
          <w:p w14:paraId="42BC26F4">
            <w:pPr>
              <w:widowControl/>
              <w:jc w:val="center"/>
              <w:rPr>
                <w:rFonts w:hint="eastAsia" w:ascii="宋体" w:hAnsi="宋体" w:cs="宋体"/>
                <w:color w:val="000000" w:themeColor="text1"/>
                <w:sz w:val="18"/>
                <w:szCs w:val="18"/>
              </w:rPr>
            </w:pPr>
          </w:p>
        </w:tc>
        <w:tc>
          <w:tcPr>
            <w:tcW w:w="709" w:type="dxa"/>
            <w:vAlign w:val="center"/>
          </w:tcPr>
          <w:p w14:paraId="472F49B7">
            <w:pPr>
              <w:widowControl/>
              <w:jc w:val="center"/>
              <w:rPr>
                <w:rFonts w:hint="eastAsia" w:ascii="宋体" w:hAnsi="宋体" w:cs="宋体"/>
                <w:color w:val="000000" w:themeColor="text1"/>
                <w:sz w:val="18"/>
                <w:szCs w:val="18"/>
              </w:rPr>
            </w:pPr>
          </w:p>
        </w:tc>
        <w:tc>
          <w:tcPr>
            <w:tcW w:w="2034" w:type="dxa"/>
            <w:vAlign w:val="center"/>
          </w:tcPr>
          <w:p w14:paraId="7C2BBA9B">
            <w:pPr>
              <w:widowControl/>
              <w:jc w:val="left"/>
              <w:rPr>
                <w:rFonts w:hint="eastAsia" w:ascii="宋体" w:hAnsi="宋体" w:cs="宋体"/>
                <w:color w:val="000000" w:themeColor="text1"/>
                <w:sz w:val="18"/>
                <w:szCs w:val="18"/>
              </w:rPr>
            </w:pPr>
          </w:p>
        </w:tc>
        <w:tc>
          <w:tcPr>
            <w:tcW w:w="3633" w:type="dxa"/>
            <w:gridSpan w:val="2"/>
            <w:vMerge w:val="continue"/>
            <w:vAlign w:val="center"/>
          </w:tcPr>
          <w:p w14:paraId="34A2D74D">
            <w:pPr>
              <w:widowControl/>
              <w:jc w:val="left"/>
              <w:rPr>
                <w:rFonts w:hint="eastAsia" w:ascii="宋体" w:hAnsi="宋体" w:cs="宋体"/>
                <w:color w:val="000000" w:themeColor="text1"/>
                <w:sz w:val="18"/>
                <w:szCs w:val="18"/>
              </w:rPr>
            </w:pPr>
          </w:p>
        </w:tc>
      </w:tr>
      <w:tr w14:paraId="45B03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36" w:hRule="atLeast"/>
          <w:jc w:val="center"/>
        </w:trPr>
        <w:tc>
          <w:tcPr>
            <w:tcW w:w="802" w:type="dxa"/>
            <w:vAlign w:val="center"/>
          </w:tcPr>
          <w:p w14:paraId="06FF46D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0A4E1940">
            <w:pPr>
              <w:widowControl/>
              <w:jc w:val="center"/>
              <w:rPr>
                <w:rFonts w:hint="eastAsia" w:ascii="宋体" w:hAnsi="宋体" w:cs="宋体"/>
                <w:color w:val="000000" w:themeColor="text1"/>
                <w:sz w:val="18"/>
                <w:szCs w:val="18"/>
              </w:rPr>
            </w:pPr>
          </w:p>
        </w:tc>
        <w:tc>
          <w:tcPr>
            <w:tcW w:w="780" w:type="dxa"/>
            <w:vAlign w:val="center"/>
          </w:tcPr>
          <w:p w14:paraId="712B6FFC">
            <w:pPr>
              <w:widowControl/>
              <w:jc w:val="center"/>
              <w:rPr>
                <w:rFonts w:hint="eastAsia" w:ascii="宋体" w:hAnsi="宋体" w:cs="宋体"/>
                <w:color w:val="000000" w:themeColor="text1"/>
                <w:sz w:val="18"/>
                <w:szCs w:val="18"/>
              </w:rPr>
            </w:pPr>
          </w:p>
        </w:tc>
        <w:tc>
          <w:tcPr>
            <w:tcW w:w="727" w:type="dxa"/>
            <w:vAlign w:val="center"/>
          </w:tcPr>
          <w:p w14:paraId="2A73F82E">
            <w:pPr>
              <w:widowControl/>
              <w:jc w:val="center"/>
              <w:rPr>
                <w:rFonts w:hint="eastAsia" w:ascii="宋体" w:hAnsi="宋体" w:cs="宋体"/>
                <w:color w:val="000000" w:themeColor="text1"/>
                <w:sz w:val="18"/>
                <w:szCs w:val="18"/>
              </w:rPr>
            </w:pPr>
          </w:p>
        </w:tc>
        <w:tc>
          <w:tcPr>
            <w:tcW w:w="726" w:type="dxa"/>
            <w:vAlign w:val="center"/>
          </w:tcPr>
          <w:p w14:paraId="3E04CA43">
            <w:pPr>
              <w:widowControl/>
              <w:jc w:val="center"/>
              <w:rPr>
                <w:rFonts w:hint="eastAsia" w:ascii="宋体" w:hAnsi="宋体" w:cs="宋体"/>
                <w:color w:val="000000" w:themeColor="text1"/>
                <w:sz w:val="18"/>
                <w:szCs w:val="18"/>
              </w:rPr>
            </w:pPr>
          </w:p>
        </w:tc>
        <w:tc>
          <w:tcPr>
            <w:tcW w:w="709" w:type="dxa"/>
            <w:vAlign w:val="center"/>
          </w:tcPr>
          <w:p w14:paraId="58D0461A">
            <w:pPr>
              <w:widowControl/>
              <w:jc w:val="center"/>
              <w:rPr>
                <w:rFonts w:hint="eastAsia" w:ascii="宋体" w:hAnsi="宋体" w:cs="宋体"/>
                <w:color w:val="000000" w:themeColor="text1"/>
                <w:sz w:val="18"/>
                <w:szCs w:val="18"/>
              </w:rPr>
            </w:pPr>
          </w:p>
        </w:tc>
        <w:tc>
          <w:tcPr>
            <w:tcW w:w="2034" w:type="dxa"/>
            <w:vAlign w:val="center"/>
          </w:tcPr>
          <w:p w14:paraId="491E4483">
            <w:pPr>
              <w:widowControl/>
              <w:jc w:val="left"/>
              <w:rPr>
                <w:rFonts w:hint="eastAsia" w:ascii="宋体" w:hAnsi="宋体" w:cs="宋体"/>
                <w:color w:val="000000" w:themeColor="text1"/>
                <w:sz w:val="18"/>
                <w:szCs w:val="18"/>
              </w:rPr>
            </w:pPr>
          </w:p>
        </w:tc>
        <w:tc>
          <w:tcPr>
            <w:tcW w:w="3633" w:type="dxa"/>
            <w:gridSpan w:val="2"/>
            <w:vMerge w:val="continue"/>
            <w:vAlign w:val="center"/>
          </w:tcPr>
          <w:p w14:paraId="2937331A">
            <w:pPr>
              <w:widowControl/>
              <w:jc w:val="left"/>
              <w:rPr>
                <w:rFonts w:hint="eastAsia" w:ascii="宋体" w:hAnsi="宋体" w:cs="宋体"/>
                <w:color w:val="000000" w:themeColor="text1"/>
                <w:sz w:val="18"/>
                <w:szCs w:val="18"/>
              </w:rPr>
            </w:pPr>
          </w:p>
        </w:tc>
      </w:tr>
      <w:tr w14:paraId="129E7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jc w:val="center"/>
        </w:trPr>
        <w:tc>
          <w:tcPr>
            <w:tcW w:w="802" w:type="dxa"/>
            <w:vAlign w:val="center"/>
          </w:tcPr>
          <w:p w14:paraId="14B944E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2.2</w:t>
            </w:r>
          </w:p>
        </w:tc>
        <w:tc>
          <w:tcPr>
            <w:tcW w:w="6452" w:type="dxa"/>
            <w:gridSpan w:val="7"/>
            <w:vAlign w:val="center"/>
          </w:tcPr>
          <w:p w14:paraId="229472B0">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公积金</w:t>
            </w:r>
          </w:p>
        </w:tc>
        <w:tc>
          <w:tcPr>
            <w:tcW w:w="3633" w:type="dxa"/>
            <w:gridSpan w:val="2"/>
            <w:vAlign w:val="center"/>
          </w:tcPr>
          <w:p w14:paraId="34008296">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公积金不得低于南京市最低标准，且最低工资不包含劳动者按下限缴存的住房公积金，由用人单位按规定另行支付，须测算在公积金报价中，否则做无效投标处理。</w:t>
            </w:r>
          </w:p>
        </w:tc>
      </w:tr>
      <w:tr w14:paraId="63EFC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63DED18E">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761A1CA9">
            <w:pPr>
              <w:widowControl/>
              <w:jc w:val="center"/>
              <w:rPr>
                <w:rFonts w:hint="eastAsia" w:ascii="宋体" w:hAnsi="宋体" w:cs="宋体"/>
                <w:b/>
                <w:bCs/>
                <w:color w:val="000000" w:themeColor="text1"/>
                <w:sz w:val="18"/>
                <w:szCs w:val="18"/>
              </w:rPr>
            </w:pPr>
          </w:p>
        </w:tc>
        <w:tc>
          <w:tcPr>
            <w:tcW w:w="780" w:type="dxa"/>
            <w:vAlign w:val="center"/>
          </w:tcPr>
          <w:p w14:paraId="62CA64B2">
            <w:pPr>
              <w:widowControl/>
              <w:jc w:val="center"/>
              <w:rPr>
                <w:rFonts w:hint="eastAsia" w:ascii="宋体" w:hAnsi="宋体" w:cs="宋体"/>
                <w:color w:val="000000" w:themeColor="text1"/>
                <w:sz w:val="18"/>
                <w:szCs w:val="18"/>
              </w:rPr>
            </w:pPr>
          </w:p>
        </w:tc>
        <w:tc>
          <w:tcPr>
            <w:tcW w:w="727" w:type="dxa"/>
            <w:vAlign w:val="center"/>
          </w:tcPr>
          <w:p w14:paraId="0985F0AF">
            <w:pPr>
              <w:widowControl/>
              <w:jc w:val="center"/>
              <w:rPr>
                <w:rFonts w:hint="eastAsia" w:ascii="宋体" w:hAnsi="宋体" w:cs="宋体"/>
                <w:color w:val="000000" w:themeColor="text1"/>
                <w:sz w:val="18"/>
                <w:szCs w:val="18"/>
              </w:rPr>
            </w:pPr>
          </w:p>
        </w:tc>
        <w:tc>
          <w:tcPr>
            <w:tcW w:w="726" w:type="dxa"/>
            <w:vAlign w:val="center"/>
          </w:tcPr>
          <w:p w14:paraId="726F3240">
            <w:pPr>
              <w:widowControl/>
              <w:jc w:val="center"/>
              <w:rPr>
                <w:rFonts w:hint="eastAsia" w:ascii="宋体" w:hAnsi="宋体" w:cs="宋体"/>
                <w:color w:val="000000" w:themeColor="text1"/>
                <w:sz w:val="18"/>
                <w:szCs w:val="18"/>
              </w:rPr>
            </w:pPr>
          </w:p>
        </w:tc>
        <w:tc>
          <w:tcPr>
            <w:tcW w:w="709" w:type="dxa"/>
            <w:vAlign w:val="center"/>
          </w:tcPr>
          <w:p w14:paraId="2EE7C8CC">
            <w:pPr>
              <w:widowControl/>
              <w:jc w:val="center"/>
              <w:rPr>
                <w:rFonts w:hint="eastAsia" w:ascii="宋体" w:hAnsi="宋体" w:cs="宋体"/>
                <w:color w:val="000000" w:themeColor="text1"/>
                <w:sz w:val="18"/>
                <w:szCs w:val="18"/>
              </w:rPr>
            </w:pPr>
          </w:p>
        </w:tc>
        <w:tc>
          <w:tcPr>
            <w:tcW w:w="2034" w:type="dxa"/>
            <w:vAlign w:val="center"/>
          </w:tcPr>
          <w:p w14:paraId="0D0F0438">
            <w:pPr>
              <w:widowControl/>
              <w:jc w:val="left"/>
              <w:rPr>
                <w:rFonts w:hint="eastAsia" w:ascii="宋体" w:hAnsi="宋体" w:cs="宋体"/>
                <w:color w:val="000000" w:themeColor="text1"/>
                <w:sz w:val="18"/>
                <w:szCs w:val="18"/>
              </w:rPr>
            </w:pPr>
          </w:p>
        </w:tc>
        <w:tc>
          <w:tcPr>
            <w:tcW w:w="3633" w:type="dxa"/>
            <w:gridSpan w:val="2"/>
            <w:vMerge w:val="restart"/>
            <w:vAlign w:val="center"/>
          </w:tcPr>
          <w:p w14:paraId="14217E1C">
            <w:pPr>
              <w:widowControl/>
              <w:jc w:val="left"/>
              <w:rPr>
                <w:rFonts w:hint="eastAsia" w:ascii="宋体" w:hAnsi="宋体" w:cs="宋体"/>
                <w:color w:val="000000" w:themeColor="text1"/>
                <w:sz w:val="18"/>
                <w:szCs w:val="18"/>
              </w:rPr>
            </w:pPr>
          </w:p>
        </w:tc>
      </w:tr>
      <w:tr w14:paraId="0E2E1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7FBDACC3">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2A99B199">
            <w:pPr>
              <w:widowControl/>
              <w:jc w:val="center"/>
              <w:rPr>
                <w:rFonts w:hint="eastAsia" w:ascii="宋体" w:hAnsi="宋体" w:cs="宋体"/>
                <w:b/>
                <w:bCs/>
                <w:color w:val="000000" w:themeColor="text1"/>
                <w:sz w:val="18"/>
                <w:szCs w:val="18"/>
              </w:rPr>
            </w:pPr>
          </w:p>
        </w:tc>
        <w:tc>
          <w:tcPr>
            <w:tcW w:w="780" w:type="dxa"/>
            <w:vAlign w:val="center"/>
          </w:tcPr>
          <w:p w14:paraId="653EFEB1">
            <w:pPr>
              <w:widowControl/>
              <w:jc w:val="center"/>
              <w:rPr>
                <w:rFonts w:hint="eastAsia" w:ascii="宋体" w:hAnsi="宋体" w:cs="宋体"/>
                <w:color w:val="000000" w:themeColor="text1"/>
                <w:sz w:val="18"/>
                <w:szCs w:val="18"/>
              </w:rPr>
            </w:pPr>
          </w:p>
        </w:tc>
        <w:tc>
          <w:tcPr>
            <w:tcW w:w="727" w:type="dxa"/>
            <w:vAlign w:val="center"/>
          </w:tcPr>
          <w:p w14:paraId="3CBDAA69">
            <w:pPr>
              <w:widowControl/>
              <w:jc w:val="center"/>
              <w:rPr>
                <w:rFonts w:hint="eastAsia" w:ascii="宋体" w:hAnsi="宋体" w:cs="宋体"/>
                <w:color w:val="000000" w:themeColor="text1"/>
                <w:sz w:val="18"/>
                <w:szCs w:val="18"/>
              </w:rPr>
            </w:pPr>
          </w:p>
        </w:tc>
        <w:tc>
          <w:tcPr>
            <w:tcW w:w="726" w:type="dxa"/>
            <w:vAlign w:val="center"/>
          </w:tcPr>
          <w:p w14:paraId="533F5D61">
            <w:pPr>
              <w:widowControl/>
              <w:jc w:val="center"/>
              <w:rPr>
                <w:rFonts w:hint="eastAsia" w:ascii="宋体" w:hAnsi="宋体" w:cs="宋体"/>
                <w:color w:val="000000" w:themeColor="text1"/>
                <w:sz w:val="18"/>
                <w:szCs w:val="18"/>
              </w:rPr>
            </w:pPr>
          </w:p>
        </w:tc>
        <w:tc>
          <w:tcPr>
            <w:tcW w:w="709" w:type="dxa"/>
            <w:vAlign w:val="center"/>
          </w:tcPr>
          <w:p w14:paraId="40EE26E8">
            <w:pPr>
              <w:widowControl/>
              <w:jc w:val="center"/>
              <w:rPr>
                <w:rFonts w:hint="eastAsia" w:ascii="宋体" w:hAnsi="宋体" w:cs="宋体"/>
                <w:color w:val="000000" w:themeColor="text1"/>
                <w:sz w:val="18"/>
                <w:szCs w:val="18"/>
              </w:rPr>
            </w:pPr>
          </w:p>
        </w:tc>
        <w:tc>
          <w:tcPr>
            <w:tcW w:w="2034" w:type="dxa"/>
            <w:vAlign w:val="center"/>
          </w:tcPr>
          <w:p w14:paraId="0B5775DD">
            <w:pPr>
              <w:widowControl/>
              <w:jc w:val="left"/>
              <w:rPr>
                <w:rFonts w:hint="eastAsia" w:ascii="宋体" w:hAnsi="宋体" w:cs="宋体"/>
                <w:color w:val="000000" w:themeColor="text1"/>
                <w:sz w:val="18"/>
                <w:szCs w:val="18"/>
              </w:rPr>
            </w:pPr>
          </w:p>
        </w:tc>
        <w:tc>
          <w:tcPr>
            <w:tcW w:w="3633" w:type="dxa"/>
            <w:gridSpan w:val="2"/>
            <w:vMerge w:val="continue"/>
            <w:vAlign w:val="center"/>
          </w:tcPr>
          <w:p w14:paraId="3551621F">
            <w:pPr>
              <w:widowControl/>
              <w:jc w:val="left"/>
              <w:rPr>
                <w:rFonts w:hint="eastAsia" w:ascii="宋体" w:hAnsi="宋体" w:cs="宋体"/>
                <w:color w:val="000000" w:themeColor="text1"/>
                <w:sz w:val="18"/>
                <w:szCs w:val="18"/>
              </w:rPr>
            </w:pPr>
          </w:p>
        </w:tc>
      </w:tr>
      <w:tr w14:paraId="59739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19A84A91">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68416AF9">
            <w:pPr>
              <w:widowControl/>
              <w:jc w:val="center"/>
              <w:rPr>
                <w:rFonts w:hint="eastAsia" w:ascii="宋体" w:hAnsi="宋体" w:cs="宋体"/>
                <w:b/>
                <w:bCs/>
                <w:color w:val="000000" w:themeColor="text1"/>
                <w:sz w:val="18"/>
                <w:szCs w:val="18"/>
              </w:rPr>
            </w:pPr>
          </w:p>
        </w:tc>
        <w:tc>
          <w:tcPr>
            <w:tcW w:w="780" w:type="dxa"/>
            <w:vAlign w:val="center"/>
          </w:tcPr>
          <w:p w14:paraId="30B1CB8B">
            <w:pPr>
              <w:widowControl/>
              <w:jc w:val="center"/>
              <w:rPr>
                <w:rFonts w:hint="eastAsia" w:ascii="宋体" w:hAnsi="宋体" w:cs="宋体"/>
                <w:color w:val="000000" w:themeColor="text1"/>
                <w:sz w:val="18"/>
                <w:szCs w:val="18"/>
              </w:rPr>
            </w:pPr>
          </w:p>
        </w:tc>
        <w:tc>
          <w:tcPr>
            <w:tcW w:w="727" w:type="dxa"/>
            <w:vAlign w:val="center"/>
          </w:tcPr>
          <w:p w14:paraId="2FDA5B5B">
            <w:pPr>
              <w:widowControl/>
              <w:jc w:val="center"/>
              <w:rPr>
                <w:rFonts w:hint="eastAsia" w:ascii="宋体" w:hAnsi="宋体" w:cs="宋体"/>
                <w:color w:val="000000" w:themeColor="text1"/>
                <w:sz w:val="18"/>
                <w:szCs w:val="18"/>
              </w:rPr>
            </w:pPr>
          </w:p>
        </w:tc>
        <w:tc>
          <w:tcPr>
            <w:tcW w:w="726" w:type="dxa"/>
            <w:vAlign w:val="center"/>
          </w:tcPr>
          <w:p w14:paraId="66EF6CF3">
            <w:pPr>
              <w:widowControl/>
              <w:jc w:val="center"/>
              <w:rPr>
                <w:rFonts w:hint="eastAsia" w:ascii="宋体" w:hAnsi="宋体" w:cs="宋体"/>
                <w:color w:val="000000" w:themeColor="text1"/>
                <w:sz w:val="18"/>
                <w:szCs w:val="18"/>
              </w:rPr>
            </w:pPr>
          </w:p>
        </w:tc>
        <w:tc>
          <w:tcPr>
            <w:tcW w:w="709" w:type="dxa"/>
            <w:vAlign w:val="center"/>
          </w:tcPr>
          <w:p w14:paraId="0A339DA4">
            <w:pPr>
              <w:widowControl/>
              <w:jc w:val="center"/>
              <w:rPr>
                <w:rFonts w:hint="eastAsia" w:ascii="宋体" w:hAnsi="宋体" w:cs="宋体"/>
                <w:color w:val="000000" w:themeColor="text1"/>
                <w:sz w:val="18"/>
                <w:szCs w:val="18"/>
              </w:rPr>
            </w:pPr>
          </w:p>
        </w:tc>
        <w:tc>
          <w:tcPr>
            <w:tcW w:w="2034" w:type="dxa"/>
            <w:vAlign w:val="center"/>
          </w:tcPr>
          <w:p w14:paraId="79335D9D">
            <w:pPr>
              <w:widowControl/>
              <w:jc w:val="left"/>
              <w:rPr>
                <w:rFonts w:hint="eastAsia" w:ascii="宋体" w:hAnsi="宋体" w:cs="宋体"/>
                <w:color w:val="000000" w:themeColor="text1"/>
                <w:sz w:val="18"/>
                <w:szCs w:val="18"/>
              </w:rPr>
            </w:pPr>
          </w:p>
        </w:tc>
        <w:tc>
          <w:tcPr>
            <w:tcW w:w="3633" w:type="dxa"/>
            <w:gridSpan w:val="2"/>
            <w:vMerge w:val="continue"/>
            <w:vAlign w:val="center"/>
          </w:tcPr>
          <w:p w14:paraId="429B435A">
            <w:pPr>
              <w:widowControl/>
              <w:jc w:val="left"/>
              <w:rPr>
                <w:rFonts w:hint="eastAsia" w:ascii="宋体" w:hAnsi="宋体" w:cs="宋体"/>
                <w:color w:val="000000" w:themeColor="text1"/>
                <w:sz w:val="18"/>
                <w:szCs w:val="18"/>
              </w:rPr>
            </w:pPr>
          </w:p>
        </w:tc>
      </w:tr>
      <w:tr w14:paraId="32024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40" w:hRule="atLeast"/>
          <w:jc w:val="center"/>
        </w:trPr>
        <w:tc>
          <w:tcPr>
            <w:tcW w:w="802" w:type="dxa"/>
            <w:vAlign w:val="center"/>
          </w:tcPr>
          <w:p w14:paraId="433A5072">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2F2CFBCF">
            <w:pPr>
              <w:widowControl/>
              <w:jc w:val="center"/>
              <w:rPr>
                <w:rFonts w:hint="eastAsia" w:ascii="宋体" w:hAnsi="宋体" w:cs="宋体"/>
                <w:b/>
                <w:bCs/>
                <w:color w:val="000000" w:themeColor="text1"/>
                <w:sz w:val="18"/>
                <w:szCs w:val="18"/>
              </w:rPr>
            </w:pPr>
          </w:p>
        </w:tc>
        <w:tc>
          <w:tcPr>
            <w:tcW w:w="780" w:type="dxa"/>
            <w:vAlign w:val="center"/>
          </w:tcPr>
          <w:p w14:paraId="6BC4F83B">
            <w:pPr>
              <w:widowControl/>
              <w:jc w:val="center"/>
              <w:rPr>
                <w:rFonts w:hint="eastAsia" w:ascii="宋体" w:hAnsi="宋体" w:cs="宋体"/>
                <w:color w:val="000000" w:themeColor="text1"/>
                <w:sz w:val="18"/>
                <w:szCs w:val="18"/>
              </w:rPr>
            </w:pPr>
          </w:p>
        </w:tc>
        <w:tc>
          <w:tcPr>
            <w:tcW w:w="727" w:type="dxa"/>
            <w:vAlign w:val="center"/>
          </w:tcPr>
          <w:p w14:paraId="7E73ECEF">
            <w:pPr>
              <w:widowControl/>
              <w:jc w:val="center"/>
              <w:rPr>
                <w:rFonts w:hint="eastAsia" w:ascii="宋体" w:hAnsi="宋体" w:cs="宋体"/>
                <w:color w:val="000000" w:themeColor="text1"/>
                <w:sz w:val="18"/>
                <w:szCs w:val="18"/>
              </w:rPr>
            </w:pPr>
          </w:p>
        </w:tc>
        <w:tc>
          <w:tcPr>
            <w:tcW w:w="726" w:type="dxa"/>
            <w:vAlign w:val="center"/>
          </w:tcPr>
          <w:p w14:paraId="4055969E">
            <w:pPr>
              <w:widowControl/>
              <w:jc w:val="center"/>
              <w:rPr>
                <w:rFonts w:hint="eastAsia" w:ascii="宋体" w:hAnsi="宋体" w:cs="宋体"/>
                <w:color w:val="000000" w:themeColor="text1"/>
                <w:sz w:val="18"/>
                <w:szCs w:val="18"/>
              </w:rPr>
            </w:pPr>
          </w:p>
        </w:tc>
        <w:tc>
          <w:tcPr>
            <w:tcW w:w="709" w:type="dxa"/>
            <w:vAlign w:val="center"/>
          </w:tcPr>
          <w:p w14:paraId="2E8006BD">
            <w:pPr>
              <w:widowControl/>
              <w:jc w:val="center"/>
              <w:rPr>
                <w:rFonts w:hint="eastAsia" w:ascii="宋体" w:hAnsi="宋体" w:cs="宋体"/>
                <w:color w:val="000000" w:themeColor="text1"/>
                <w:sz w:val="18"/>
                <w:szCs w:val="18"/>
              </w:rPr>
            </w:pPr>
          </w:p>
        </w:tc>
        <w:tc>
          <w:tcPr>
            <w:tcW w:w="2034" w:type="dxa"/>
            <w:vAlign w:val="center"/>
          </w:tcPr>
          <w:p w14:paraId="008F4440">
            <w:pPr>
              <w:widowControl/>
              <w:jc w:val="left"/>
              <w:rPr>
                <w:rFonts w:hint="eastAsia" w:ascii="宋体" w:hAnsi="宋体" w:cs="宋体"/>
                <w:color w:val="000000" w:themeColor="text1"/>
                <w:sz w:val="18"/>
                <w:szCs w:val="18"/>
              </w:rPr>
            </w:pPr>
          </w:p>
        </w:tc>
        <w:tc>
          <w:tcPr>
            <w:tcW w:w="3633" w:type="dxa"/>
            <w:gridSpan w:val="2"/>
            <w:vMerge w:val="continue"/>
            <w:vAlign w:val="center"/>
          </w:tcPr>
          <w:p w14:paraId="1339F896">
            <w:pPr>
              <w:widowControl/>
              <w:jc w:val="left"/>
              <w:rPr>
                <w:rFonts w:hint="eastAsia" w:ascii="宋体" w:hAnsi="宋体" w:cs="宋体"/>
                <w:color w:val="000000" w:themeColor="text1"/>
                <w:sz w:val="18"/>
                <w:szCs w:val="18"/>
              </w:rPr>
            </w:pPr>
          </w:p>
        </w:tc>
      </w:tr>
      <w:tr w14:paraId="0A982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90" w:hRule="atLeast"/>
          <w:jc w:val="center"/>
        </w:trPr>
        <w:tc>
          <w:tcPr>
            <w:tcW w:w="802" w:type="dxa"/>
            <w:vMerge w:val="restart"/>
            <w:vAlign w:val="center"/>
          </w:tcPr>
          <w:p w14:paraId="1BA4FF6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3</w:t>
            </w:r>
          </w:p>
        </w:tc>
        <w:tc>
          <w:tcPr>
            <w:tcW w:w="1465" w:type="dxa"/>
            <w:vMerge w:val="restart"/>
            <w:vAlign w:val="center"/>
          </w:tcPr>
          <w:p w14:paraId="23E610C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法定节假日人员加班费</w:t>
            </w:r>
          </w:p>
        </w:tc>
        <w:tc>
          <w:tcPr>
            <w:tcW w:w="780" w:type="dxa"/>
            <w:vAlign w:val="center"/>
          </w:tcPr>
          <w:p w14:paraId="4C1D9C82">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岗位（</w:t>
            </w:r>
            <w:r>
              <w:rPr>
                <w:rFonts w:hint="eastAsia" w:ascii="宋体" w:hAnsi="宋体" w:cs="宋体"/>
                <w:color w:val="000000" w:themeColor="text1"/>
                <w:sz w:val="18"/>
                <w:szCs w:val="18"/>
              </w:rPr>
              <w:t>人）</w:t>
            </w:r>
          </w:p>
        </w:tc>
        <w:tc>
          <w:tcPr>
            <w:tcW w:w="727" w:type="dxa"/>
            <w:vAlign w:val="center"/>
          </w:tcPr>
          <w:p w14:paraId="270A080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46E19ED9">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法定节假日天数</w:t>
            </w:r>
          </w:p>
        </w:tc>
        <w:tc>
          <w:tcPr>
            <w:tcW w:w="709" w:type="dxa"/>
            <w:vAlign w:val="center"/>
          </w:tcPr>
          <w:p w14:paraId="5897C32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51274EBE">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6C04AE1B">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安排劳动者工作的，支付不低于正常工资的百分之三百的工资报酬。本项目安保服务法定节假日在岗人数不少于33岗（人），报价中的“法定节假日人员加班费”不得低于上述要求，并按照本项目合同履行期内的法定节假日天数进行测算，否则做无效投标处理。</w:t>
            </w:r>
          </w:p>
        </w:tc>
      </w:tr>
      <w:tr w14:paraId="7EAB7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0B4C3FBE">
            <w:pPr>
              <w:widowControl/>
              <w:jc w:val="center"/>
              <w:rPr>
                <w:rFonts w:hint="eastAsia" w:ascii="宋体" w:hAnsi="宋体" w:cs="宋体"/>
                <w:b/>
                <w:bCs/>
                <w:color w:val="000000" w:themeColor="text1"/>
                <w:sz w:val="18"/>
                <w:szCs w:val="18"/>
              </w:rPr>
            </w:pPr>
          </w:p>
        </w:tc>
        <w:tc>
          <w:tcPr>
            <w:tcW w:w="1465" w:type="dxa"/>
            <w:vMerge w:val="continue"/>
            <w:vAlign w:val="center"/>
          </w:tcPr>
          <w:p w14:paraId="07361E1D">
            <w:pPr>
              <w:widowControl/>
              <w:jc w:val="center"/>
              <w:rPr>
                <w:rFonts w:hint="eastAsia" w:ascii="宋体" w:hAnsi="宋体" w:cs="宋体"/>
                <w:b/>
                <w:bCs/>
                <w:color w:val="000000" w:themeColor="text1"/>
                <w:sz w:val="18"/>
                <w:szCs w:val="18"/>
              </w:rPr>
            </w:pPr>
          </w:p>
        </w:tc>
        <w:tc>
          <w:tcPr>
            <w:tcW w:w="780" w:type="dxa"/>
            <w:vAlign w:val="center"/>
          </w:tcPr>
          <w:p w14:paraId="422DF9F4">
            <w:pPr>
              <w:widowControl/>
              <w:jc w:val="center"/>
              <w:rPr>
                <w:rFonts w:hint="eastAsia" w:ascii="宋体" w:hAnsi="宋体" w:cs="宋体"/>
                <w:color w:val="000000" w:themeColor="text1"/>
                <w:sz w:val="18"/>
                <w:szCs w:val="18"/>
              </w:rPr>
            </w:pPr>
          </w:p>
        </w:tc>
        <w:tc>
          <w:tcPr>
            <w:tcW w:w="727" w:type="dxa"/>
            <w:vAlign w:val="center"/>
          </w:tcPr>
          <w:p w14:paraId="78DAE10D">
            <w:pPr>
              <w:widowControl/>
              <w:jc w:val="center"/>
              <w:rPr>
                <w:rFonts w:hint="eastAsia" w:ascii="宋体" w:hAnsi="宋体" w:cs="宋体"/>
                <w:color w:val="000000" w:themeColor="text1"/>
                <w:sz w:val="18"/>
                <w:szCs w:val="18"/>
              </w:rPr>
            </w:pPr>
          </w:p>
        </w:tc>
        <w:tc>
          <w:tcPr>
            <w:tcW w:w="726" w:type="dxa"/>
            <w:vAlign w:val="center"/>
          </w:tcPr>
          <w:p w14:paraId="7FF8A0A3">
            <w:pPr>
              <w:widowControl/>
              <w:jc w:val="center"/>
              <w:rPr>
                <w:rFonts w:hint="eastAsia" w:ascii="宋体" w:hAnsi="宋体" w:cs="宋体"/>
                <w:color w:val="000000" w:themeColor="text1"/>
                <w:sz w:val="18"/>
                <w:szCs w:val="18"/>
              </w:rPr>
            </w:pPr>
          </w:p>
        </w:tc>
        <w:tc>
          <w:tcPr>
            <w:tcW w:w="709" w:type="dxa"/>
            <w:vAlign w:val="center"/>
          </w:tcPr>
          <w:p w14:paraId="0037833B">
            <w:pPr>
              <w:widowControl/>
              <w:jc w:val="center"/>
              <w:rPr>
                <w:rFonts w:hint="eastAsia" w:ascii="宋体" w:hAnsi="宋体" w:cs="宋体"/>
                <w:color w:val="000000" w:themeColor="text1"/>
                <w:sz w:val="18"/>
                <w:szCs w:val="18"/>
              </w:rPr>
            </w:pPr>
          </w:p>
        </w:tc>
        <w:tc>
          <w:tcPr>
            <w:tcW w:w="2034" w:type="dxa"/>
            <w:vAlign w:val="center"/>
          </w:tcPr>
          <w:p w14:paraId="6CB22534">
            <w:pPr>
              <w:widowControl/>
              <w:jc w:val="left"/>
              <w:rPr>
                <w:rFonts w:hint="eastAsia" w:ascii="宋体" w:hAnsi="宋体" w:cs="宋体"/>
                <w:color w:val="000000" w:themeColor="text1"/>
                <w:sz w:val="18"/>
                <w:szCs w:val="18"/>
              </w:rPr>
            </w:pPr>
          </w:p>
        </w:tc>
        <w:tc>
          <w:tcPr>
            <w:tcW w:w="3633" w:type="dxa"/>
            <w:gridSpan w:val="2"/>
            <w:vAlign w:val="center"/>
          </w:tcPr>
          <w:p w14:paraId="094A33A2">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参考计算公式：人员工资÷21.75天（平均月计薪天数）×3×人数×合同履行期内法定节假日天数(13天/年）</w:t>
            </w:r>
          </w:p>
        </w:tc>
      </w:tr>
      <w:tr w14:paraId="2B4F3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12769D3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4</w:t>
            </w:r>
          </w:p>
        </w:tc>
        <w:tc>
          <w:tcPr>
            <w:tcW w:w="1465" w:type="dxa"/>
            <w:vMerge w:val="restart"/>
            <w:vAlign w:val="center"/>
          </w:tcPr>
          <w:p w14:paraId="6B7B2C2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平时超时加班工资</w:t>
            </w:r>
          </w:p>
        </w:tc>
        <w:tc>
          <w:tcPr>
            <w:tcW w:w="780" w:type="dxa"/>
            <w:vAlign w:val="center"/>
          </w:tcPr>
          <w:p w14:paraId="6F5A1C86">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岗位（</w:t>
            </w:r>
            <w:r>
              <w:rPr>
                <w:rFonts w:hint="eastAsia" w:ascii="宋体" w:hAnsi="宋体" w:cs="宋体"/>
                <w:color w:val="000000" w:themeColor="text1"/>
                <w:sz w:val="18"/>
                <w:szCs w:val="18"/>
              </w:rPr>
              <w:t>人）</w:t>
            </w:r>
          </w:p>
        </w:tc>
        <w:tc>
          <w:tcPr>
            <w:tcW w:w="727" w:type="dxa"/>
            <w:vAlign w:val="center"/>
          </w:tcPr>
          <w:p w14:paraId="6F0535C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35ED82F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月超时加班时间</w:t>
            </w:r>
          </w:p>
        </w:tc>
        <w:tc>
          <w:tcPr>
            <w:tcW w:w="709" w:type="dxa"/>
            <w:vAlign w:val="center"/>
          </w:tcPr>
          <w:p w14:paraId="73C70072">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3468FBC4">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3A8F6CD7">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安排劳动者延长工作时间的，支付不低于工资的百分之一百五十的工资报酬。本项目安保服务每天不少于33岗（人）的工作时长为10小时，即每天延长</w:t>
            </w:r>
            <w:r>
              <w:rPr>
                <w:rFonts w:ascii="宋体" w:hAnsi="宋体" w:cs="宋体"/>
                <w:color w:val="000000" w:themeColor="text1"/>
                <w:sz w:val="18"/>
                <w:szCs w:val="18"/>
              </w:rPr>
              <w:t>2</w:t>
            </w:r>
            <w:r>
              <w:rPr>
                <w:rFonts w:hint="eastAsia" w:ascii="宋体" w:hAnsi="宋体" w:cs="宋体"/>
                <w:color w:val="000000" w:themeColor="text1"/>
                <w:sz w:val="18"/>
                <w:szCs w:val="18"/>
              </w:rPr>
              <w:t>小时，报价中的“平时超时加班工资”不得低于上述要求，否则做无效投标处理。</w:t>
            </w:r>
          </w:p>
        </w:tc>
      </w:tr>
      <w:tr w14:paraId="47F43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190CD584">
            <w:pPr>
              <w:widowControl/>
              <w:jc w:val="center"/>
              <w:rPr>
                <w:rFonts w:hint="eastAsia" w:ascii="宋体" w:hAnsi="宋体" w:cs="宋体"/>
                <w:b/>
                <w:bCs/>
                <w:color w:val="000000" w:themeColor="text1"/>
                <w:sz w:val="18"/>
                <w:szCs w:val="18"/>
              </w:rPr>
            </w:pPr>
          </w:p>
        </w:tc>
        <w:tc>
          <w:tcPr>
            <w:tcW w:w="1465" w:type="dxa"/>
            <w:vMerge w:val="continue"/>
            <w:vAlign w:val="center"/>
          </w:tcPr>
          <w:p w14:paraId="1C67E8CB">
            <w:pPr>
              <w:widowControl/>
              <w:jc w:val="center"/>
              <w:rPr>
                <w:rFonts w:hint="eastAsia" w:ascii="宋体" w:hAnsi="宋体" w:cs="宋体"/>
                <w:b/>
                <w:bCs/>
                <w:color w:val="000000" w:themeColor="text1"/>
                <w:sz w:val="18"/>
                <w:szCs w:val="18"/>
              </w:rPr>
            </w:pPr>
          </w:p>
        </w:tc>
        <w:tc>
          <w:tcPr>
            <w:tcW w:w="780" w:type="dxa"/>
            <w:vAlign w:val="center"/>
          </w:tcPr>
          <w:p w14:paraId="595A844B">
            <w:pPr>
              <w:widowControl/>
              <w:jc w:val="center"/>
              <w:rPr>
                <w:rFonts w:hint="eastAsia" w:ascii="宋体" w:hAnsi="宋体" w:cs="宋体"/>
                <w:color w:val="000000" w:themeColor="text1"/>
                <w:sz w:val="18"/>
                <w:szCs w:val="18"/>
              </w:rPr>
            </w:pPr>
          </w:p>
        </w:tc>
        <w:tc>
          <w:tcPr>
            <w:tcW w:w="727" w:type="dxa"/>
            <w:vAlign w:val="center"/>
          </w:tcPr>
          <w:p w14:paraId="00921534">
            <w:pPr>
              <w:widowControl/>
              <w:jc w:val="center"/>
              <w:rPr>
                <w:rFonts w:hint="eastAsia" w:ascii="宋体" w:hAnsi="宋体" w:cs="宋体"/>
                <w:color w:val="000000" w:themeColor="text1"/>
                <w:sz w:val="18"/>
                <w:szCs w:val="18"/>
              </w:rPr>
            </w:pPr>
          </w:p>
        </w:tc>
        <w:tc>
          <w:tcPr>
            <w:tcW w:w="726" w:type="dxa"/>
            <w:vAlign w:val="center"/>
          </w:tcPr>
          <w:p w14:paraId="7F442B34">
            <w:pPr>
              <w:widowControl/>
              <w:jc w:val="center"/>
              <w:rPr>
                <w:rFonts w:hint="eastAsia" w:ascii="宋体" w:hAnsi="宋体" w:cs="宋体"/>
                <w:color w:val="000000" w:themeColor="text1"/>
                <w:sz w:val="18"/>
                <w:szCs w:val="18"/>
              </w:rPr>
            </w:pPr>
          </w:p>
        </w:tc>
        <w:tc>
          <w:tcPr>
            <w:tcW w:w="709" w:type="dxa"/>
            <w:vAlign w:val="center"/>
          </w:tcPr>
          <w:p w14:paraId="753A5663">
            <w:pPr>
              <w:widowControl/>
              <w:jc w:val="center"/>
              <w:rPr>
                <w:rFonts w:hint="eastAsia" w:ascii="宋体" w:hAnsi="宋体" w:cs="宋体"/>
                <w:color w:val="000000" w:themeColor="text1"/>
                <w:sz w:val="18"/>
                <w:szCs w:val="18"/>
              </w:rPr>
            </w:pPr>
          </w:p>
        </w:tc>
        <w:tc>
          <w:tcPr>
            <w:tcW w:w="2034" w:type="dxa"/>
            <w:vAlign w:val="center"/>
          </w:tcPr>
          <w:p w14:paraId="5A10F9F1">
            <w:pPr>
              <w:widowControl/>
              <w:jc w:val="left"/>
              <w:rPr>
                <w:rFonts w:hint="eastAsia" w:ascii="宋体" w:hAnsi="宋体" w:cs="宋体"/>
                <w:color w:val="000000" w:themeColor="text1"/>
                <w:sz w:val="18"/>
                <w:szCs w:val="18"/>
              </w:rPr>
            </w:pPr>
          </w:p>
        </w:tc>
        <w:tc>
          <w:tcPr>
            <w:tcW w:w="3633" w:type="dxa"/>
            <w:gridSpan w:val="2"/>
            <w:vAlign w:val="center"/>
          </w:tcPr>
          <w:p w14:paraId="585174A1">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参考计算公式：平时上班天数×超时小时数×（人员工资÷174×1.5倍）×人数：（365-104-13）×2×（人员工资÷174×1.5）×人数</w:t>
            </w:r>
          </w:p>
        </w:tc>
      </w:tr>
      <w:tr w14:paraId="12C71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7FA5FB5C">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5</w:t>
            </w:r>
          </w:p>
        </w:tc>
        <w:tc>
          <w:tcPr>
            <w:tcW w:w="1465" w:type="dxa"/>
            <w:vMerge w:val="restart"/>
            <w:vAlign w:val="center"/>
          </w:tcPr>
          <w:p w14:paraId="1DA8EFDC">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双休日</w:t>
            </w:r>
            <w:r>
              <w:rPr>
                <w:rFonts w:ascii="宋体" w:hAnsi="宋体" w:cs="宋体"/>
                <w:b/>
                <w:bCs/>
                <w:color w:val="000000" w:themeColor="text1"/>
                <w:sz w:val="18"/>
                <w:szCs w:val="18"/>
              </w:rPr>
              <w:t>加班</w:t>
            </w:r>
            <w:r>
              <w:rPr>
                <w:rFonts w:hint="eastAsia" w:ascii="宋体" w:hAnsi="宋体" w:cs="宋体"/>
                <w:b/>
                <w:bCs/>
                <w:color w:val="000000" w:themeColor="text1"/>
                <w:sz w:val="18"/>
                <w:szCs w:val="18"/>
              </w:rPr>
              <w:t>工资</w:t>
            </w:r>
          </w:p>
        </w:tc>
        <w:tc>
          <w:tcPr>
            <w:tcW w:w="780" w:type="dxa"/>
            <w:vAlign w:val="center"/>
          </w:tcPr>
          <w:p w14:paraId="75069313">
            <w:pPr>
              <w:widowControl/>
              <w:jc w:val="center"/>
              <w:rPr>
                <w:rFonts w:hint="eastAsia" w:ascii="宋体" w:hAnsi="宋体" w:cs="宋体"/>
                <w:color w:val="000000" w:themeColor="text1"/>
              </w:rPr>
            </w:pPr>
            <w:r>
              <w:rPr>
                <w:rFonts w:hint="eastAsia" w:ascii="宋体" w:hAnsi="宋体" w:cs="宋体"/>
                <w:b/>
                <w:bCs/>
                <w:color w:val="000000" w:themeColor="text1"/>
                <w:sz w:val="18"/>
                <w:szCs w:val="18"/>
              </w:rPr>
              <w:t>岗位（</w:t>
            </w:r>
            <w:r>
              <w:rPr>
                <w:rFonts w:hint="eastAsia" w:ascii="宋体" w:hAnsi="宋体" w:cs="宋体"/>
                <w:color w:val="000000" w:themeColor="text1"/>
                <w:sz w:val="18"/>
                <w:szCs w:val="18"/>
              </w:rPr>
              <w:t>人）</w:t>
            </w:r>
          </w:p>
        </w:tc>
        <w:tc>
          <w:tcPr>
            <w:tcW w:w="727" w:type="dxa"/>
            <w:vAlign w:val="center"/>
          </w:tcPr>
          <w:p w14:paraId="18453D09">
            <w:pPr>
              <w:widowControl/>
              <w:jc w:val="center"/>
              <w:rPr>
                <w:rFonts w:hint="eastAsia" w:ascii="宋体" w:hAnsi="宋体" w:cs="宋体"/>
                <w:color w:val="000000" w:themeColor="text1"/>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r>
            <w:r>
              <w:rPr>
                <w:rFonts w:hint="eastAsia" w:ascii="宋体" w:hAnsi="宋体" w:cs="宋体"/>
                <w:color w:val="000000" w:themeColor="text1"/>
                <w:sz w:val="18"/>
                <w:szCs w:val="18"/>
              </w:rPr>
              <w:t>（元/人*月）</w:t>
            </w:r>
          </w:p>
        </w:tc>
        <w:tc>
          <w:tcPr>
            <w:tcW w:w="726" w:type="dxa"/>
            <w:vAlign w:val="center"/>
          </w:tcPr>
          <w:p w14:paraId="334342EF">
            <w:pPr>
              <w:widowControl/>
              <w:jc w:val="center"/>
              <w:rPr>
                <w:rFonts w:hint="eastAsia" w:ascii="宋体" w:hAnsi="宋体" w:cs="宋体"/>
                <w:color w:val="000000" w:themeColor="text1"/>
              </w:rPr>
            </w:pPr>
            <w:r>
              <w:rPr>
                <w:rFonts w:hint="eastAsia" w:ascii="宋体" w:hAnsi="宋体" w:cs="宋体"/>
                <w:color w:val="000000" w:themeColor="text1"/>
                <w:sz w:val="18"/>
                <w:szCs w:val="18"/>
              </w:rPr>
              <w:t>双休日加班天数</w:t>
            </w:r>
          </w:p>
        </w:tc>
        <w:tc>
          <w:tcPr>
            <w:tcW w:w="709" w:type="dxa"/>
            <w:vAlign w:val="center"/>
          </w:tcPr>
          <w:p w14:paraId="366B9B4C">
            <w:pPr>
              <w:widowControl/>
              <w:jc w:val="center"/>
              <w:rPr>
                <w:rFonts w:hint="eastAsia" w:ascii="宋体" w:hAnsi="宋体" w:cs="宋体"/>
                <w:color w:val="000000" w:themeColor="text1"/>
              </w:rPr>
            </w:pPr>
            <w:r>
              <w:rPr>
                <w:rFonts w:hint="eastAsia" w:ascii="宋体" w:hAnsi="宋体" w:cs="宋体"/>
                <w:color w:val="000000" w:themeColor="text1"/>
                <w:sz w:val="18"/>
                <w:szCs w:val="18"/>
              </w:rPr>
              <w:t>分项小计（元）</w:t>
            </w:r>
          </w:p>
        </w:tc>
        <w:tc>
          <w:tcPr>
            <w:tcW w:w="2034" w:type="dxa"/>
            <w:vAlign w:val="center"/>
          </w:tcPr>
          <w:p w14:paraId="59318F98">
            <w:pPr>
              <w:widowControl/>
              <w:jc w:val="left"/>
              <w:rPr>
                <w:rFonts w:hint="eastAsia" w:ascii="宋体" w:hAnsi="宋体" w:cs="宋体"/>
                <w:color w:val="000000" w:themeColor="text1"/>
              </w:rPr>
            </w:pPr>
            <w:r>
              <w:rPr>
                <w:rFonts w:hint="eastAsia" w:ascii="宋体" w:hAnsi="宋体" w:cs="宋体"/>
                <w:color w:val="000000" w:themeColor="text1"/>
                <w:sz w:val="18"/>
                <w:szCs w:val="18"/>
              </w:rPr>
              <w:t>费用计算公式</w:t>
            </w:r>
          </w:p>
        </w:tc>
        <w:tc>
          <w:tcPr>
            <w:tcW w:w="3633" w:type="dxa"/>
            <w:gridSpan w:val="2"/>
            <w:vAlign w:val="center"/>
          </w:tcPr>
          <w:p w14:paraId="5D5EA404">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休息日安排劳动者工作又不能安排补休的，支付不低于正常工资的百分之二百的工资报酬。本项目安保服务双休日在岗人数不少于33人，报价中的“双休日加班工资”不得低于上述要求，并按照本项目合同履行期内的周末加班天数进行测算，否则做无效投标处理。</w:t>
            </w:r>
          </w:p>
        </w:tc>
      </w:tr>
      <w:tr w14:paraId="2CFA6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7B2CFA5C">
            <w:pPr>
              <w:rPr>
                <w:color w:val="000000" w:themeColor="text1"/>
              </w:rPr>
            </w:pPr>
          </w:p>
        </w:tc>
        <w:tc>
          <w:tcPr>
            <w:tcW w:w="1465" w:type="dxa"/>
            <w:vMerge w:val="continue"/>
            <w:vAlign w:val="center"/>
          </w:tcPr>
          <w:p w14:paraId="078D9316">
            <w:pPr>
              <w:rPr>
                <w:color w:val="000000" w:themeColor="text1"/>
              </w:rPr>
            </w:pPr>
          </w:p>
        </w:tc>
        <w:tc>
          <w:tcPr>
            <w:tcW w:w="780" w:type="dxa"/>
            <w:vAlign w:val="center"/>
          </w:tcPr>
          <w:p w14:paraId="5D50699D">
            <w:pPr>
              <w:widowControl/>
              <w:jc w:val="center"/>
              <w:rPr>
                <w:rFonts w:hint="eastAsia" w:ascii="宋体" w:hAnsi="宋体" w:cs="宋体"/>
                <w:color w:val="000000" w:themeColor="text1"/>
                <w:sz w:val="18"/>
                <w:szCs w:val="18"/>
              </w:rPr>
            </w:pPr>
          </w:p>
        </w:tc>
        <w:tc>
          <w:tcPr>
            <w:tcW w:w="727" w:type="dxa"/>
            <w:vAlign w:val="center"/>
          </w:tcPr>
          <w:p w14:paraId="70F095D5">
            <w:pPr>
              <w:widowControl/>
              <w:jc w:val="center"/>
              <w:rPr>
                <w:rFonts w:hint="eastAsia" w:ascii="宋体" w:hAnsi="宋体" w:cs="宋体"/>
                <w:color w:val="000000" w:themeColor="text1"/>
                <w:sz w:val="18"/>
                <w:szCs w:val="18"/>
              </w:rPr>
            </w:pPr>
          </w:p>
        </w:tc>
        <w:tc>
          <w:tcPr>
            <w:tcW w:w="726" w:type="dxa"/>
            <w:vAlign w:val="center"/>
          </w:tcPr>
          <w:p w14:paraId="58B0F880">
            <w:pPr>
              <w:widowControl/>
              <w:jc w:val="center"/>
              <w:rPr>
                <w:rFonts w:hint="eastAsia" w:ascii="宋体" w:hAnsi="宋体" w:cs="宋体"/>
                <w:color w:val="000000" w:themeColor="text1"/>
                <w:sz w:val="18"/>
                <w:szCs w:val="18"/>
              </w:rPr>
            </w:pPr>
          </w:p>
        </w:tc>
        <w:tc>
          <w:tcPr>
            <w:tcW w:w="709" w:type="dxa"/>
            <w:vAlign w:val="center"/>
          </w:tcPr>
          <w:p w14:paraId="183A248A">
            <w:pPr>
              <w:widowControl/>
              <w:jc w:val="center"/>
              <w:rPr>
                <w:rFonts w:hint="eastAsia" w:ascii="宋体" w:hAnsi="宋体" w:cs="宋体"/>
                <w:color w:val="000000" w:themeColor="text1"/>
                <w:sz w:val="18"/>
                <w:szCs w:val="18"/>
              </w:rPr>
            </w:pPr>
          </w:p>
        </w:tc>
        <w:tc>
          <w:tcPr>
            <w:tcW w:w="2034" w:type="dxa"/>
            <w:vAlign w:val="center"/>
          </w:tcPr>
          <w:p w14:paraId="0998740A">
            <w:pPr>
              <w:widowControl/>
              <w:jc w:val="left"/>
              <w:rPr>
                <w:rFonts w:hint="eastAsia" w:ascii="宋体" w:hAnsi="宋体" w:cs="宋体"/>
                <w:color w:val="000000" w:themeColor="text1"/>
                <w:sz w:val="18"/>
                <w:szCs w:val="18"/>
              </w:rPr>
            </w:pPr>
          </w:p>
        </w:tc>
        <w:tc>
          <w:tcPr>
            <w:tcW w:w="3633" w:type="dxa"/>
            <w:gridSpan w:val="2"/>
            <w:vAlign w:val="center"/>
          </w:tcPr>
          <w:p w14:paraId="38A8560F">
            <w:pPr>
              <w:widowControl/>
              <w:jc w:val="left"/>
              <w:rPr>
                <w:color w:val="000000" w:themeColor="text1"/>
              </w:rPr>
            </w:pPr>
            <w:r>
              <w:rPr>
                <w:rFonts w:hint="eastAsia" w:ascii="宋体" w:hAnsi="宋体" w:cs="宋体"/>
                <w:color w:val="000000" w:themeColor="text1"/>
                <w:sz w:val="18"/>
                <w:szCs w:val="18"/>
              </w:rPr>
              <w:t>参考计算公式：周末上班天数×超时小时数×（人员工资÷174×2）×人数：102×10×(人员工资÷174×2) ×人数</w:t>
            </w:r>
          </w:p>
        </w:tc>
      </w:tr>
      <w:tr w14:paraId="5183E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1C5AD364">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6</w:t>
            </w:r>
          </w:p>
        </w:tc>
        <w:tc>
          <w:tcPr>
            <w:tcW w:w="10085" w:type="dxa"/>
            <w:gridSpan w:val="9"/>
            <w:vAlign w:val="center"/>
          </w:tcPr>
          <w:p w14:paraId="636C6C4E">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其他待遇费用</w:t>
            </w:r>
          </w:p>
        </w:tc>
      </w:tr>
      <w:tr w14:paraId="25384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802" w:type="dxa"/>
            <w:vAlign w:val="center"/>
          </w:tcPr>
          <w:p w14:paraId="4C9D813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5173C7D1">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高温费</w:t>
            </w:r>
          </w:p>
        </w:tc>
        <w:tc>
          <w:tcPr>
            <w:tcW w:w="4987" w:type="dxa"/>
            <w:gridSpan w:val="6"/>
            <w:vAlign w:val="center"/>
          </w:tcPr>
          <w:p w14:paraId="61C581C7">
            <w:pPr>
              <w:widowControl/>
              <w:jc w:val="left"/>
              <w:rPr>
                <w:rFonts w:hint="eastAsia" w:ascii="宋体" w:hAnsi="宋体" w:cs="宋体"/>
                <w:color w:val="000000" w:themeColor="text1"/>
                <w:sz w:val="18"/>
                <w:szCs w:val="18"/>
              </w:rPr>
            </w:pPr>
          </w:p>
        </w:tc>
        <w:tc>
          <w:tcPr>
            <w:tcW w:w="3633" w:type="dxa"/>
            <w:gridSpan w:val="2"/>
            <w:vAlign w:val="center"/>
          </w:tcPr>
          <w:p w14:paraId="71109BDD">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6、7、8、9月，每月300元，共1200元/年。报价中的“高温费”不得低于上述要求，岗位数不得低于33岗（人），否则做无效投标处理。</w:t>
            </w:r>
          </w:p>
        </w:tc>
      </w:tr>
      <w:tr w14:paraId="0B568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7C2FBB3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4E2ECBF5">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服装</w:t>
            </w:r>
          </w:p>
        </w:tc>
        <w:tc>
          <w:tcPr>
            <w:tcW w:w="4987" w:type="dxa"/>
            <w:gridSpan w:val="6"/>
            <w:vAlign w:val="center"/>
          </w:tcPr>
          <w:p w14:paraId="745343DA">
            <w:pPr>
              <w:widowControl/>
              <w:jc w:val="left"/>
              <w:rPr>
                <w:rFonts w:hint="eastAsia" w:ascii="宋体" w:hAnsi="宋体" w:cs="宋体"/>
                <w:color w:val="000000" w:themeColor="text1"/>
                <w:sz w:val="18"/>
                <w:szCs w:val="18"/>
              </w:rPr>
            </w:pPr>
          </w:p>
        </w:tc>
        <w:tc>
          <w:tcPr>
            <w:tcW w:w="3633" w:type="dxa"/>
            <w:gridSpan w:val="2"/>
            <w:vAlign w:val="center"/>
          </w:tcPr>
          <w:p w14:paraId="395EF7D5">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春秋服装、大衣、雨衣和全套配饰等，每人每季节至少2套。</w:t>
            </w:r>
          </w:p>
        </w:tc>
      </w:tr>
      <w:tr w14:paraId="4569D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118A2A1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7C7E9EC8">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设备费</w:t>
            </w:r>
          </w:p>
        </w:tc>
        <w:tc>
          <w:tcPr>
            <w:tcW w:w="4987" w:type="dxa"/>
            <w:gridSpan w:val="6"/>
            <w:vAlign w:val="center"/>
          </w:tcPr>
          <w:p w14:paraId="209E4F5A">
            <w:pPr>
              <w:widowControl/>
              <w:jc w:val="left"/>
              <w:rPr>
                <w:rFonts w:hint="eastAsia" w:ascii="宋体" w:hAnsi="宋体" w:cs="宋体"/>
                <w:color w:val="000000" w:themeColor="text1"/>
                <w:sz w:val="18"/>
                <w:szCs w:val="18"/>
              </w:rPr>
            </w:pPr>
          </w:p>
        </w:tc>
        <w:tc>
          <w:tcPr>
            <w:tcW w:w="3633" w:type="dxa"/>
            <w:gridSpan w:val="2"/>
            <w:vAlign w:val="center"/>
          </w:tcPr>
          <w:p w14:paraId="7456EA5C">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对讲机、执法记录仪设备费。配备数量不得低于在岗人数的50%。</w:t>
            </w:r>
          </w:p>
        </w:tc>
      </w:tr>
      <w:tr w14:paraId="6BC8B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08001C1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（4）</w:t>
            </w:r>
          </w:p>
        </w:tc>
        <w:tc>
          <w:tcPr>
            <w:tcW w:w="1465" w:type="dxa"/>
            <w:vAlign w:val="center"/>
          </w:tcPr>
          <w:p w14:paraId="0741DEA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培训费</w:t>
            </w:r>
          </w:p>
        </w:tc>
        <w:tc>
          <w:tcPr>
            <w:tcW w:w="4987" w:type="dxa"/>
            <w:gridSpan w:val="6"/>
            <w:vAlign w:val="center"/>
          </w:tcPr>
          <w:p w14:paraId="050810D4">
            <w:pPr>
              <w:widowControl/>
              <w:jc w:val="left"/>
              <w:rPr>
                <w:rFonts w:hint="eastAsia" w:ascii="宋体" w:hAnsi="宋体" w:cs="宋体"/>
                <w:color w:val="000000" w:themeColor="text1"/>
                <w:sz w:val="18"/>
                <w:szCs w:val="18"/>
              </w:rPr>
            </w:pPr>
          </w:p>
        </w:tc>
        <w:tc>
          <w:tcPr>
            <w:tcW w:w="3633" w:type="dxa"/>
            <w:gridSpan w:val="2"/>
            <w:vAlign w:val="center"/>
          </w:tcPr>
          <w:p w14:paraId="217A4C2A">
            <w:pPr>
              <w:widowControl/>
              <w:jc w:val="left"/>
              <w:rPr>
                <w:rFonts w:hint="eastAsia" w:ascii="宋体" w:hAnsi="宋体" w:cs="宋体"/>
                <w:color w:val="000000" w:themeColor="text1"/>
                <w:sz w:val="18"/>
                <w:szCs w:val="18"/>
              </w:rPr>
            </w:pPr>
          </w:p>
        </w:tc>
      </w:tr>
      <w:tr w14:paraId="72B1E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0DD8C273">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（5）</w:t>
            </w:r>
          </w:p>
        </w:tc>
        <w:tc>
          <w:tcPr>
            <w:tcW w:w="1465" w:type="dxa"/>
            <w:vAlign w:val="center"/>
          </w:tcPr>
          <w:p w14:paraId="4FA87025">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餐费</w:t>
            </w:r>
          </w:p>
        </w:tc>
        <w:tc>
          <w:tcPr>
            <w:tcW w:w="4987" w:type="dxa"/>
            <w:gridSpan w:val="6"/>
            <w:vAlign w:val="center"/>
          </w:tcPr>
          <w:p w14:paraId="0BE32864">
            <w:pPr>
              <w:widowControl/>
              <w:jc w:val="left"/>
              <w:rPr>
                <w:rFonts w:hint="eastAsia" w:ascii="宋体" w:hAnsi="宋体" w:cs="宋体"/>
                <w:color w:val="000000" w:themeColor="text1"/>
                <w:sz w:val="18"/>
                <w:szCs w:val="18"/>
              </w:rPr>
            </w:pPr>
          </w:p>
        </w:tc>
        <w:tc>
          <w:tcPr>
            <w:tcW w:w="3633" w:type="dxa"/>
            <w:gridSpan w:val="2"/>
            <w:vAlign w:val="center"/>
          </w:tcPr>
          <w:p w14:paraId="24913BDA">
            <w:pPr>
              <w:widowControl/>
              <w:jc w:val="left"/>
              <w:rPr>
                <w:rFonts w:hint="eastAsia" w:ascii="宋体" w:hAnsi="宋体" w:cs="宋体"/>
                <w:color w:val="000000" w:themeColor="text1"/>
                <w:sz w:val="18"/>
                <w:szCs w:val="18"/>
              </w:rPr>
            </w:pPr>
          </w:p>
        </w:tc>
      </w:tr>
      <w:tr w14:paraId="5B0BB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2D98C9B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（6）</w:t>
            </w:r>
          </w:p>
        </w:tc>
        <w:tc>
          <w:tcPr>
            <w:tcW w:w="1465" w:type="dxa"/>
            <w:vAlign w:val="center"/>
          </w:tcPr>
          <w:p w14:paraId="597F2DA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交通费</w:t>
            </w:r>
          </w:p>
        </w:tc>
        <w:tc>
          <w:tcPr>
            <w:tcW w:w="4987" w:type="dxa"/>
            <w:gridSpan w:val="6"/>
            <w:vAlign w:val="center"/>
          </w:tcPr>
          <w:p w14:paraId="7F070DAC">
            <w:pPr>
              <w:widowControl/>
              <w:jc w:val="left"/>
              <w:rPr>
                <w:rFonts w:hint="eastAsia" w:ascii="宋体" w:hAnsi="宋体" w:cs="宋体"/>
                <w:color w:val="000000" w:themeColor="text1"/>
                <w:sz w:val="18"/>
                <w:szCs w:val="18"/>
              </w:rPr>
            </w:pPr>
          </w:p>
        </w:tc>
        <w:tc>
          <w:tcPr>
            <w:tcW w:w="3633" w:type="dxa"/>
            <w:gridSpan w:val="2"/>
            <w:vAlign w:val="center"/>
          </w:tcPr>
          <w:p w14:paraId="4CA46D8E">
            <w:pPr>
              <w:widowControl/>
              <w:jc w:val="left"/>
              <w:rPr>
                <w:rFonts w:hint="eastAsia" w:ascii="宋体" w:hAnsi="宋体" w:cs="宋体"/>
                <w:color w:val="000000" w:themeColor="text1"/>
                <w:sz w:val="18"/>
                <w:szCs w:val="18"/>
              </w:rPr>
            </w:pPr>
          </w:p>
        </w:tc>
      </w:tr>
      <w:tr w14:paraId="43218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6B04846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（7）</w:t>
            </w:r>
          </w:p>
        </w:tc>
        <w:tc>
          <w:tcPr>
            <w:tcW w:w="1465" w:type="dxa"/>
            <w:vAlign w:val="center"/>
          </w:tcPr>
          <w:p w14:paraId="2757D2D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通讯费</w:t>
            </w:r>
          </w:p>
        </w:tc>
        <w:tc>
          <w:tcPr>
            <w:tcW w:w="4987" w:type="dxa"/>
            <w:gridSpan w:val="6"/>
            <w:vAlign w:val="center"/>
          </w:tcPr>
          <w:p w14:paraId="6F41165D">
            <w:pPr>
              <w:widowControl/>
              <w:jc w:val="left"/>
              <w:rPr>
                <w:rFonts w:hint="eastAsia" w:ascii="宋体" w:hAnsi="宋体" w:cs="宋体"/>
                <w:color w:val="000000" w:themeColor="text1"/>
                <w:sz w:val="18"/>
                <w:szCs w:val="18"/>
              </w:rPr>
            </w:pPr>
          </w:p>
        </w:tc>
        <w:tc>
          <w:tcPr>
            <w:tcW w:w="3633" w:type="dxa"/>
            <w:gridSpan w:val="2"/>
            <w:vAlign w:val="center"/>
          </w:tcPr>
          <w:p w14:paraId="2F03E2D3">
            <w:pPr>
              <w:widowControl/>
              <w:jc w:val="left"/>
              <w:rPr>
                <w:rFonts w:hint="eastAsia" w:ascii="宋体" w:hAnsi="宋体" w:cs="宋体"/>
                <w:color w:val="000000" w:themeColor="text1"/>
                <w:sz w:val="18"/>
                <w:szCs w:val="18"/>
              </w:rPr>
            </w:pPr>
          </w:p>
        </w:tc>
      </w:tr>
      <w:tr w14:paraId="1102E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786B4F8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（8）</w:t>
            </w:r>
          </w:p>
        </w:tc>
        <w:tc>
          <w:tcPr>
            <w:tcW w:w="1465" w:type="dxa"/>
            <w:vAlign w:val="center"/>
          </w:tcPr>
          <w:p w14:paraId="47D7AF1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商业险</w:t>
            </w:r>
          </w:p>
        </w:tc>
        <w:tc>
          <w:tcPr>
            <w:tcW w:w="4987" w:type="dxa"/>
            <w:gridSpan w:val="6"/>
            <w:vAlign w:val="center"/>
          </w:tcPr>
          <w:p w14:paraId="3865ABC0">
            <w:pPr>
              <w:widowControl/>
              <w:jc w:val="left"/>
              <w:rPr>
                <w:rFonts w:hint="eastAsia" w:ascii="宋体" w:hAnsi="宋体" w:cs="宋体"/>
                <w:color w:val="000000" w:themeColor="text1"/>
                <w:sz w:val="18"/>
                <w:szCs w:val="18"/>
              </w:rPr>
            </w:pPr>
          </w:p>
        </w:tc>
        <w:tc>
          <w:tcPr>
            <w:tcW w:w="3633" w:type="dxa"/>
            <w:gridSpan w:val="2"/>
            <w:vAlign w:val="center"/>
          </w:tcPr>
          <w:p w14:paraId="2F7AB1C7">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雇住责任险和人身意外伤害险（员工伤亡最高赔付80万元/人），人数不得低于本项目最低岗位配置数。</w:t>
            </w:r>
          </w:p>
        </w:tc>
      </w:tr>
      <w:tr w14:paraId="2B40F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3889F121">
            <w:pPr>
              <w:widowControl/>
              <w:jc w:val="center"/>
              <w:rPr>
                <w:rFonts w:hint="eastAsia" w:ascii="宋体" w:hAnsi="宋体" w:cs="宋体"/>
                <w:color w:val="000000" w:themeColor="text1"/>
                <w:sz w:val="18"/>
                <w:szCs w:val="18"/>
              </w:rPr>
            </w:pPr>
            <w:r>
              <w:rPr>
                <w:rFonts w:ascii="宋体" w:hAnsi="宋体" w:cs="宋体"/>
                <w:color w:val="000000" w:themeColor="text1"/>
                <w:sz w:val="18"/>
                <w:szCs w:val="18"/>
              </w:rPr>
              <w:t>...</w:t>
            </w:r>
          </w:p>
        </w:tc>
        <w:tc>
          <w:tcPr>
            <w:tcW w:w="1465" w:type="dxa"/>
            <w:vAlign w:val="center"/>
          </w:tcPr>
          <w:p w14:paraId="1EF459E1">
            <w:pPr>
              <w:widowControl/>
              <w:jc w:val="center"/>
              <w:rPr>
                <w:rFonts w:hint="eastAsia" w:ascii="宋体" w:hAnsi="宋体" w:cs="宋体"/>
                <w:color w:val="000000" w:themeColor="text1"/>
                <w:sz w:val="18"/>
                <w:szCs w:val="18"/>
              </w:rPr>
            </w:pPr>
          </w:p>
        </w:tc>
        <w:tc>
          <w:tcPr>
            <w:tcW w:w="4987" w:type="dxa"/>
            <w:gridSpan w:val="6"/>
            <w:vAlign w:val="center"/>
          </w:tcPr>
          <w:p w14:paraId="1F28CCE1">
            <w:pPr>
              <w:widowControl/>
              <w:jc w:val="left"/>
              <w:rPr>
                <w:rFonts w:hint="eastAsia" w:ascii="宋体" w:hAnsi="宋体" w:cs="宋体"/>
                <w:color w:val="000000" w:themeColor="text1"/>
                <w:sz w:val="18"/>
                <w:szCs w:val="18"/>
              </w:rPr>
            </w:pPr>
          </w:p>
        </w:tc>
        <w:tc>
          <w:tcPr>
            <w:tcW w:w="3633" w:type="dxa"/>
            <w:gridSpan w:val="2"/>
            <w:vAlign w:val="center"/>
          </w:tcPr>
          <w:p w14:paraId="7B4899CB">
            <w:pPr>
              <w:widowControl/>
              <w:jc w:val="left"/>
              <w:rPr>
                <w:rFonts w:hint="eastAsia" w:ascii="宋体" w:hAnsi="宋体" w:cs="宋体"/>
                <w:color w:val="000000" w:themeColor="text1"/>
                <w:sz w:val="18"/>
                <w:szCs w:val="18"/>
              </w:rPr>
            </w:pPr>
          </w:p>
        </w:tc>
      </w:tr>
      <w:tr w14:paraId="5D409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76D9E717">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7</w:t>
            </w:r>
          </w:p>
        </w:tc>
        <w:tc>
          <w:tcPr>
            <w:tcW w:w="1465" w:type="dxa"/>
            <w:vAlign w:val="center"/>
          </w:tcPr>
          <w:p w14:paraId="208349B4">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管理费</w:t>
            </w:r>
          </w:p>
        </w:tc>
        <w:tc>
          <w:tcPr>
            <w:tcW w:w="4987" w:type="dxa"/>
            <w:gridSpan w:val="6"/>
            <w:vAlign w:val="center"/>
          </w:tcPr>
          <w:p w14:paraId="67AF4B0A">
            <w:pPr>
              <w:widowControl/>
              <w:rPr>
                <w:rFonts w:hint="eastAsia" w:ascii="宋体" w:hAnsi="宋体" w:cs="宋体"/>
                <w:color w:val="000000" w:themeColor="text1"/>
                <w:sz w:val="18"/>
                <w:szCs w:val="18"/>
              </w:rPr>
            </w:pPr>
          </w:p>
        </w:tc>
        <w:tc>
          <w:tcPr>
            <w:tcW w:w="3633" w:type="dxa"/>
            <w:gridSpan w:val="2"/>
            <w:vAlign w:val="center"/>
          </w:tcPr>
          <w:p w14:paraId="4ADEB7DE">
            <w:pPr>
              <w:widowControl/>
              <w:rPr>
                <w:rFonts w:hint="eastAsia" w:ascii="宋体" w:hAnsi="宋体" w:cs="宋体"/>
                <w:color w:val="000000" w:themeColor="text1"/>
                <w:sz w:val="18"/>
                <w:szCs w:val="18"/>
              </w:rPr>
            </w:pPr>
          </w:p>
        </w:tc>
      </w:tr>
      <w:tr w14:paraId="6D4B7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2" w:type="dxa"/>
            <w:vAlign w:val="center"/>
          </w:tcPr>
          <w:p w14:paraId="11B1E91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8</w:t>
            </w:r>
          </w:p>
        </w:tc>
        <w:tc>
          <w:tcPr>
            <w:tcW w:w="1465" w:type="dxa"/>
            <w:vAlign w:val="center"/>
          </w:tcPr>
          <w:p w14:paraId="714702E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法定税费</w:t>
            </w:r>
          </w:p>
        </w:tc>
        <w:tc>
          <w:tcPr>
            <w:tcW w:w="4987" w:type="dxa"/>
            <w:gridSpan w:val="6"/>
            <w:noWrap/>
            <w:vAlign w:val="center"/>
          </w:tcPr>
          <w:p w14:paraId="4C47F817">
            <w:pPr>
              <w:widowControl/>
              <w:jc w:val="left"/>
              <w:rPr>
                <w:rFonts w:hint="eastAsia" w:ascii="宋体" w:hAnsi="宋体" w:cs="宋体"/>
                <w:color w:val="000000" w:themeColor="text1"/>
                <w:sz w:val="18"/>
                <w:szCs w:val="18"/>
              </w:rPr>
            </w:pPr>
          </w:p>
        </w:tc>
        <w:tc>
          <w:tcPr>
            <w:tcW w:w="3633" w:type="dxa"/>
            <w:gridSpan w:val="2"/>
            <w:noWrap/>
            <w:vAlign w:val="center"/>
          </w:tcPr>
          <w:p w14:paraId="00057AF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填报税费。</w:t>
            </w:r>
          </w:p>
        </w:tc>
      </w:tr>
      <w:tr w14:paraId="7E869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03F4E0E6">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9</w:t>
            </w:r>
          </w:p>
        </w:tc>
        <w:tc>
          <w:tcPr>
            <w:tcW w:w="1465" w:type="dxa"/>
            <w:vAlign w:val="center"/>
          </w:tcPr>
          <w:p w14:paraId="64648C14">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其他费用</w:t>
            </w:r>
          </w:p>
        </w:tc>
        <w:tc>
          <w:tcPr>
            <w:tcW w:w="4987" w:type="dxa"/>
            <w:gridSpan w:val="6"/>
            <w:noWrap/>
            <w:vAlign w:val="center"/>
          </w:tcPr>
          <w:p w14:paraId="005EC1C6">
            <w:pPr>
              <w:widowControl/>
              <w:jc w:val="left"/>
              <w:rPr>
                <w:rFonts w:hint="eastAsia" w:ascii="宋体" w:hAnsi="宋体" w:cs="宋体"/>
                <w:color w:val="000000" w:themeColor="text1"/>
                <w:sz w:val="18"/>
                <w:szCs w:val="18"/>
              </w:rPr>
            </w:pPr>
          </w:p>
        </w:tc>
        <w:tc>
          <w:tcPr>
            <w:tcW w:w="3633" w:type="dxa"/>
            <w:gridSpan w:val="2"/>
            <w:noWrap/>
            <w:vAlign w:val="center"/>
          </w:tcPr>
          <w:p w14:paraId="4E3C68A0">
            <w:pPr>
              <w:widowControl/>
              <w:jc w:val="left"/>
              <w:rPr>
                <w:rFonts w:hint="eastAsia" w:ascii="宋体" w:hAnsi="宋体" w:cs="宋体"/>
                <w:b/>
                <w:bCs/>
                <w:color w:val="000000" w:themeColor="text1"/>
                <w:sz w:val="18"/>
                <w:szCs w:val="18"/>
              </w:rPr>
            </w:pPr>
            <w:r>
              <w:rPr>
                <w:rFonts w:hint="eastAsia" w:ascii="宋体" w:hAnsi="宋体" w:cs="宋体"/>
                <w:color w:val="000000" w:themeColor="text1"/>
                <w:sz w:val="18"/>
                <w:szCs w:val="18"/>
              </w:rPr>
              <w:t>供应商认为可能发生的其他费用。</w:t>
            </w:r>
          </w:p>
        </w:tc>
      </w:tr>
      <w:tr w14:paraId="6B751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802" w:type="dxa"/>
            <w:vAlign w:val="center"/>
          </w:tcPr>
          <w:p w14:paraId="0C25DDC9">
            <w:pPr>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10</w:t>
            </w:r>
          </w:p>
        </w:tc>
        <w:tc>
          <w:tcPr>
            <w:tcW w:w="1465" w:type="dxa"/>
            <w:vAlign w:val="center"/>
          </w:tcPr>
          <w:p w14:paraId="23BA1B5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投标总价（元）</w:t>
            </w:r>
          </w:p>
        </w:tc>
        <w:tc>
          <w:tcPr>
            <w:tcW w:w="8620" w:type="dxa"/>
            <w:gridSpan w:val="8"/>
            <w:vAlign w:val="center"/>
          </w:tcPr>
          <w:p w14:paraId="35B7E911">
            <w:pPr>
              <w:jc w:val="center"/>
              <w:rPr>
                <w:rFonts w:hint="eastAsia" w:ascii="宋体" w:hAnsi="宋体" w:cs="宋体"/>
                <w:b/>
                <w:bCs/>
                <w:color w:val="000000" w:themeColor="text1"/>
                <w:sz w:val="18"/>
                <w:szCs w:val="18"/>
              </w:rPr>
            </w:pPr>
          </w:p>
        </w:tc>
      </w:tr>
      <w:tr w14:paraId="36732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9" w:hRule="atLeast"/>
          <w:jc w:val="center"/>
        </w:trPr>
        <w:tc>
          <w:tcPr>
            <w:tcW w:w="10887" w:type="dxa"/>
            <w:gridSpan w:val="10"/>
            <w:vAlign w:val="center"/>
          </w:tcPr>
          <w:p w14:paraId="055F5CAE">
            <w:pPr>
              <w:jc w:val="left"/>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注：（1）此表为样表，行数可自行添加，但表式不变。如有其他费用，供应商自行计算填列。（2）报价中的各分项报价均不得为“零”或负数（其他费用可以为“零”但不得为负数），否则做无效投标处理。（3）服务时间不足一年的，按照采购文件规定服务时间测算。（4）《投标报价明细表》“投标总价”应当与《开标一览表》中“投标总报价”一致。（5）此表中所有数值保留小数点后两位进行计算。</w:t>
            </w:r>
          </w:p>
        </w:tc>
      </w:tr>
    </w:tbl>
    <w:p w14:paraId="7B63E781">
      <w:pPr>
        <w:pStyle w:val="44"/>
        <w:rPr>
          <w:color w:val="000000" w:themeColor="text1"/>
        </w:rPr>
      </w:pPr>
    </w:p>
    <w:p w14:paraId="42B53B1F">
      <w:pPr>
        <w:widowControl/>
        <w:jc w:val="left"/>
        <w:rPr>
          <w:color w:val="000000" w:themeColor="text1"/>
        </w:rPr>
      </w:pPr>
      <w:r>
        <w:rPr>
          <w:color w:val="000000" w:themeColor="text1"/>
        </w:rPr>
        <w:br w:type="page"/>
      </w:r>
    </w:p>
    <w:p w14:paraId="3DA9E675">
      <w:pPr>
        <w:pStyle w:val="4"/>
        <w:jc w:val="center"/>
        <w:rPr>
          <w:rFonts w:hint="eastAsia" w:ascii="黑体" w:hAnsi="黑体" w:eastAsia="黑体"/>
          <w:color w:val="000000" w:themeColor="text1"/>
          <w:sz w:val="36"/>
          <w:szCs w:val="36"/>
        </w:rPr>
      </w:pPr>
      <w:r>
        <w:rPr>
          <w:rFonts w:hint="eastAsia" w:ascii="黑体" w:hAnsi="黑体" w:eastAsia="黑体"/>
          <w:color w:val="000000" w:themeColor="text1"/>
          <w:sz w:val="36"/>
          <w:szCs w:val="36"/>
        </w:rPr>
        <w:t>采购包3投标报价明细表</w:t>
      </w:r>
    </w:p>
    <w:p w14:paraId="39FAFA4F">
      <w:pPr>
        <w:jc w:val="center"/>
        <w:rPr>
          <w:color w:val="000000" w:themeColor="text1"/>
          <w:sz w:val="32"/>
          <w:szCs w:val="32"/>
        </w:rPr>
      </w:pPr>
      <w:r>
        <w:rPr>
          <w:rFonts w:hint="eastAsia"/>
          <w:color w:val="000000" w:themeColor="text1"/>
          <w:sz w:val="32"/>
          <w:szCs w:val="32"/>
        </w:rPr>
        <w:t>（</w:t>
      </w:r>
      <w:r>
        <w:rPr>
          <w:color w:val="000000" w:themeColor="text1"/>
          <w:sz w:val="32"/>
          <w:szCs w:val="32"/>
        </w:rPr>
        <w:t>中山陵夜巡及交通治理安保服务</w:t>
      </w:r>
      <w:r>
        <w:rPr>
          <w:rFonts w:hint="eastAsia"/>
          <w:color w:val="000000" w:themeColor="text1"/>
          <w:sz w:val="32"/>
          <w:szCs w:val="32"/>
        </w:rPr>
        <w:t>）</w:t>
      </w:r>
    </w:p>
    <w:tbl>
      <w:tblPr>
        <w:tblStyle w:val="45"/>
        <w:tblW w:w="586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2"/>
        <w:gridCol w:w="1465"/>
        <w:gridCol w:w="780"/>
        <w:gridCol w:w="727"/>
        <w:gridCol w:w="726"/>
        <w:gridCol w:w="709"/>
        <w:gridCol w:w="2034"/>
        <w:gridCol w:w="11"/>
        <w:gridCol w:w="3622"/>
        <w:gridCol w:w="11"/>
      </w:tblGrid>
      <w:tr w14:paraId="49720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619" w:hRule="atLeast"/>
          <w:jc w:val="center"/>
        </w:trPr>
        <w:tc>
          <w:tcPr>
            <w:tcW w:w="802" w:type="dxa"/>
            <w:tcBorders>
              <w:bottom w:val="single" w:color="000000" w:sz="4" w:space="0"/>
            </w:tcBorders>
            <w:vAlign w:val="center"/>
          </w:tcPr>
          <w:p w14:paraId="6C61807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序号</w:t>
            </w:r>
          </w:p>
        </w:tc>
        <w:tc>
          <w:tcPr>
            <w:tcW w:w="1465" w:type="dxa"/>
            <w:vAlign w:val="center"/>
          </w:tcPr>
          <w:p w14:paraId="73893D6C">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分项名称</w:t>
            </w:r>
          </w:p>
        </w:tc>
        <w:tc>
          <w:tcPr>
            <w:tcW w:w="780" w:type="dxa"/>
            <w:vAlign w:val="center"/>
          </w:tcPr>
          <w:p w14:paraId="7306586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557B926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单价</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（元/人*月）</w:t>
            </w:r>
          </w:p>
        </w:tc>
        <w:tc>
          <w:tcPr>
            <w:tcW w:w="726" w:type="dxa"/>
            <w:vAlign w:val="center"/>
          </w:tcPr>
          <w:p w14:paraId="00AD8CC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月数</w:t>
            </w:r>
          </w:p>
          <w:p w14:paraId="1CFDBF8D">
            <w:pPr>
              <w:pStyle w:val="44"/>
              <w:spacing w:after="0"/>
              <w:ind w:left="0" w:leftChars="0" w:firstLine="0" w:firstLineChars="0"/>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（13）</w:t>
            </w:r>
          </w:p>
        </w:tc>
        <w:tc>
          <w:tcPr>
            <w:tcW w:w="709" w:type="dxa"/>
            <w:vAlign w:val="center"/>
          </w:tcPr>
          <w:p w14:paraId="4DAA4C3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分项小计</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w:t>
            </w:r>
          </w:p>
        </w:tc>
        <w:tc>
          <w:tcPr>
            <w:tcW w:w="2034" w:type="dxa"/>
            <w:vAlign w:val="center"/>
          </w:tcPr>
          <w:p w14:paraId="193B47C5">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费用计算公式</w:t>
            </w:r>
          </w:p>
        </w:tc>
        <w:tc>
          <w:tcPr>
            <w:tcW w:w="3633" w:type="dxa"/>
            <w:gridSpan w:val="2"/>
            <w:vAlign w:val="center"/>
          </w:tcPr>
          <w:p w14:paraId="123D019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备注</w:t>
            </w:r>
          </w:p>
        </w:tc>
      </w:tr>
      <w:tr w14:paraId="441C2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802" w:type="dxa"/>
            <w:tcBorders>
              <w:top w:val="single" w:color="000000" w:sz="4" w:space="0"/>
              <w:left w:val="single" w:color="000000" w:sz="4" w:space="0"/>
              <w:bottom w:val="single" w:color="000000" w:sz="4" w:space="0"/>
              <w:right w:val="single" w:color="000000" w:sz="4" w:space="0"/>
            </w:tcBorders>
            <w:vAlign w:val="center"/>
          </w:tcPr>
          <w:p w14:paraId="37DA321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w:t>
            </w:r>
          </w:p>
        </w:tc>
        <w:tc>
          <w:tcPr>
            <w:tcW w:w="6452" w:type="dxa"/>
            <w:gridSpan w:val="7"/>
            <w:tcBorders>
              <w:left w:val="single" w:color="000000" w:sz="4" w:space="0"/>
            </w:tcBorders>
            <w:vAlign w:val="center"/>
          </w:tcPr>
          <w:p w14:paraId="48C19120">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人员工资</w:t>
            </w:r>
          </w:p>
        </w:tc>
        <w:tc>
          <w:tcPr>
            <w:tcW w:w="3633" w:type="dxa"/>
            <w:gridSpan w:val="2"/>
            <w:vAlign w:val="center"/>
          </w:tcPr>
          <w:p w14:paraId="44E94580">
            <w:pPr>
              <w:widowControl/>
              <w:jc w:val="left"/>
              <w:rPr>
                <w:color w:val="000000" w:themeColor="text1"/>
              </w:rPr>
            </w:pPr>
            <w:r>
              <w:rPr>
                <w:rFonts w:hint="eastAsia" w:ascii="宋体" w:hAnsi="宋体" w:cs="宋体"/>
                <w:color w:val="000000" w:themeColor="text1"/>
                <w:sz w:val="18"/>
                <w:szCs w:val="18"/>
              </w:rPr>
              <w:t>拟投入的日常人员每日不得低于26岗（人），人员工资不得低于南京市最低工资标准，供应商须在《投标报价明细表》中按照采购需求中安保服务人员岗位分别填报员工工资，否则做无效投标处理。</w:t>
            </w:r>
          </w:p>
        </w:tc>
      </w:tr>
      <w:tr w14:paraId="2A32C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tcBorders>
              <w:top w:val="single" w:color="000000" w:sz="4" w:space="0"/>
            </w:tcBorders>
            <w:vAlign w:val="center"/>
          </w:tcPr>
          <w:p w14:paraId="071B983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48AB9CD8">
            <w:pPr>
              <w:widowControl/>
              <w:jc w:val="center"/>
              <w:rPr>
                <w:rFonts w:hint="eastAsia" w:ascii="宋体" w:hAnsi="宋体" w:cs="宋体"/>
                <w:color w:val="000000" w:themeColor="text1"/>
                <w:sz w:val="18"/>
                <w:szCs w:val="18"/>
              </w:rPr>
            </w:pPr>
          </w:p>
        </w:tc>
        <w:tc>
          <w:tcPr>
            <w:tcW w:w="780" w:type="dxa"/>
            <w:vAlign w:val="center"/>
          </w:tcPr>
          <w:p w14:paraId="7AACF803">
            <w:pPr>
              <w:jc w:val="center"/>
              <w:rPr>
                <w:rFonts w:hint="eastAsia" w:ascii="宋体" w:hAnsi="宋体" w:cs="宋体"/>
                <w:b/>
                <w:bCs/>
                <w:color w:val="000000" w:themeColor="text1"/>
                <w:sz w:val="18"/>
                <w:szCs w:val="18"/>
              </w:rPr>
            </w:pPr>
          </w:p>
        </w:tc>
        <w:tc>
          <w:tcPr>
            <w:tcW w:w="727" w:type="dxa"/>
            <w:vAlign w:val="center"/>
          </w:tcPr>
          <w:p w14:paraId="58B37A5B">
            <w:pPr>
              <w:jc w:val="center"/>
              <w:rPr>
                <w:rFonts w:hint="eastAsia" w:ascii="宋体" w:hAnsi="宋体" w:cs="宋体"/>
                <w:b/>
                <w:bCs/>
                <w:color w:val="000000" w:themeColor="text1"/>
                <w:sz w:val="18"/>
                <w:szCs w:val="18"/>
              </w:rPr>
            </w:pPr>
          </w:p>
        </w:tc>
        <w:tc>
          <w:tcPr>
            <w:tcW w:w="726" w:type="dxa"/>
            <w:vAlign w:val="center"/>
          </w:tcPr>
          <w:p w14:paraId="7869EB38">
            <w:pPr>
              <w:jc w:val="center"/>
              <w:rPr>
                <w:rFonts w:hint="eastAsia" w:ascii="宋体" w:hAnsi="宋体" w:cs="宋体"/>
                <w:b/>
                <w:bCs/>
                <w:color w:val="000000" w:themeColor="text1"/>
                <w:sz w:val="18"/>
                <w:szCs w:val="18"/>
              </w:rPr>
            </w:pPr>
          </w:p>
        </w:tc>
        <w:tc>
          <w:tcPr>
            <w:tcW w:w="709" w:type="dxa"/>
            <w:vAlign w:val="center"/>
          </w:tcPr>
          <w:p w14:paraId="1271AE58">
            <w:pPr>
              <w:jc w:val="center"/>
              <w:rPr>
                <w:rFonts w:hint="eastAsia" w:ascii="宋体" w:hAnsi="宋体" w:cs="宋体"/>
                <w:b/>
                <w:bCs/>
                <w:color w:val="000000" w:themeColor="text1"/>
                <w:sz w:val="18"/>
                <w:szCs w:val="18"/>
              </w:rPr>
            </w:pPr>
          </w:p>
        </w:tc>
        <w:tc>
          <w:tcPr>
            <w:tcW w:w="2034" w:type="dxa"/>
            <w:vAlign w:val="center"/>
          </w:tcPr>
          <w:p w14:paraId="2E3A2822">
            <w:pPr>
              <w:jc w:val="left"/>
              <w:rPr>
                <w:rFonts w:hint="eastAsia" w:ascii="宋体" w:hAnsi="宋体" w:cs="宋体"/>
                <w:color w:val="000000" w:themeColor="text1"/>
                <w:sz w:val="18"/>
                <w:szCs w:val="18"/>
              </w:rPr>
            </w:pPr>
          </w:p>
        </w:tc>
        <w:tc>
          <w:tcPr>
            <w:tcW w:w="3633" w:type="dxa"/>
            <w:gridSpan w:val="2"/>
            <w:vMerge w:val="restart"/>
            <w:vAlign w:val="center"/>
          </w:tcPr>
          <w:p w14:paraId="082262BE">
            <w:pPr>
              <w:jc w:val="left"/>
              <w:rPr>
                <w:rFonts w:hint="eastAsia" w:ascii="宋体" w:hAnsi="宋体" w:cs="宋体"/>
                <w:color w:val="000000" w:themeColor="text1"/>
                <w:sz w:val="18"/>
                <w:szCs w:val="18"/>
              </w:rPr>
            </w:pPr>
          </w:p>
        </w:tc>
      </w:tr>
      <w:tr w14:paraId="77F75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78943291">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6864D717">
            <w:pPr>
              <w:widowControl/>
              <w:jc w:val="center"/>
              <w:rPr>
                <w:rFonts w:hint="eastAsia" w:ascii="宋体" w:hAnsi="宋体" w:cs="宋体"/>
                <w:color w:val="000000" w:themeColor="text1"/>
                <w:sz w:val="18"/>
                <w:szCs w:val="18"/>
              </w:rPr>
            </w:pPr>
          </w:p>
        </w:tc>
        <w:tc>
          <w:tcPr>
            <w:tcW w:w="780" w:type="dxa"/>
            <w:vAlign w:val="center"/>
          </w:tcPr>
          <w:p w14:paraId="7F9C7547">
            <w:pPr>
              <w:jc w:val="center"/>
              <w:rPr>
                <w:rFonts w:hint="eastAsia" w:ascii="宋体" w:hAnsi="宋体" w:cs="宋体"/>
                <w:b/>
                <w:bCs/>
                <w:color w:val="000000" w:themeColor="text1"/>
                <w:sz w:val="18"/>
                <w:szCs w:val="18"/>
              </w:rPr>
            </w:pPr>
          </w:p>
        </w:tc>
        <w:tc>
          <w:tcPr>
            <w:tcW w:w="727" w:type="dxa"/>
            <w:vAlign w:val="center"/>
          </w:tcPr>
          <w:p w14:paraId="304C2286">
            <w:pPr>
              <w:jc w:val="center"/>
              <w:rPr>
                <w:rFonts w:hint="eastAsia" w:ascii="宋体" w:hAnsi="宋体" w:cs="宋体"/>
                <w:b/>
                <w:bCs/>
                <w:color w:val="000000" w:themeColor="text1"/>
                <w:sz w:val="18"/>
                <w:szCs w:val="18"/>
              </w:rPr>
            </w:pPr>
          </w:p>
        </w:tc>
        <w:tc>
          <w:tcPr>
            <w:tcW w:w="726" w:type="dxa"/>
            <w:vAlign w:val="center"/>
          </w:tcPr>
          <w:p w14:paraId="73D540B9">
            <w:pPr>
              <w:jc w:val="center"/>
              <w:rPr>
                <w:rFonts w:hint="eastAsia" w:ascii="宋体" w:hAnsi="宋体" w:cs="宋体"/>
                <w:b/>
                <w:bCs/>
                <w:color w:val="000000" w:themeColor="text1"/>
                <w:sz w:val="18"/>
                <w:szCs w:val="18"/>
              </w:rPr>
            </w:pPr>
          </w:p>
        </w:tc>
        <w:tc>
          <w:tcPr>
            <w:tcW w:w="709" w:type="dxa"/>
            <w:vAlign w:val="center"/>
          </w:tcPr>
          <w:p w14:paraId="5720F570">
            <w:pPr>
              <w:jc w:val="center"/>
              <w:rPr>
                <w:rFonts w:hint="eastAsia" w:ascii="宋体" w:hAnsi="宋体" w:cs="宋体"/>
                <w:b/>
                <w:bCs/>
                <w:color w:val="000000" w:themeColor="text1"/>
                <w:sz w:val="18"/>
                <w:szCs w:val="18"/>
              </w:rPr>
            </w:pPr>
          </w:p>
        </w:tc>
        <w:tc>
          <w:tcPr>
            <w:tcW w:w="2034" w:type="dxa"/>
            <w:vAlign w:val="center"/>
          </w:tcPr>
          <w:p w14:paraId="2674A9D3">
            <w:pPr>
              <w:jc w:val="left"/>
              <w:rPr>
                <w:rFonts w:hint="eastAsia" w:ascii="宋体" w:hAnsi="宋体" w:cs="宋体"/>
                <w:color w:val="000000" w:themeColor="text1"/>
                <w:sz w:val="18"/>
                <w:szCs w:val="18"/>
              </w:rPr>
            </w:pPr>
          </w:p>
        </w:tc>
        <w:tc>
          <w:tcPr>
            <w:tcW w:w="3633" w:type="dxa"/>
            <w:gridSpan w:val="2"/>
            <w:vMerge w:val="continue"/>
            <w:vAlign w:val="center"/>
          </w:tcPr>
          <w:p w14:paraId="64A3B8D9">
            <w:pPr>
              <w:jc w:val="left"/>
              <w:rPr>
                <w:rFonts w:hint="eastAsia" w:ascii="宋体" w:hAnsi="宋体" w:cs="宋体"/>
                <w:color w:val="000000" w:themeColor="text1"/>
                <w:sz w:val="18"/>
                <w:szCs w:val="18"/>
              </w:rPr>
            </w:pPr>
          </w:p>
        </w:tc>
      </w:tr>
      <w:tr w14:paraId="739F3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6785364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7C7FCBE8">
            <w:pPr>
              <w:widowControl/>
              <w:jc w:val="center"/>
              <w:rPr>
                <w:rFonts w:hint="eastAsia" w:ascii="宋体" w:hAnsi="宋体" w:cs="宋体"/>
                <w:color w:val="000000" w:themeColor="text1"/>
                <w:sz w:val="18"/>
                <w:szCs w:val="18"/>
              </w:rPr>
            </w:pPr>
          </w:p>
        </w:tc>
        <w:tc>
          <w:tcPr>
            <w:tcW w:w="780" w:type="dxa"/>
            <w:vAlign w:val="center"/>
          </w:tcPr>
          <w:p w14:paraId="4DBE7120">
            <w:pPr>
              <w:jc w:val="center"/>
              <w:rPr>
                <w:rFonts w:hint="eastAsia" w:ascii="宋体" w:hAnsi="宋体" w:cs="宋体"/>
                <w:b/>
                <w:bCs/>
                <w:color w:val="000000" w:themeColor="text1"/>
                <w:sz w:val="18"/>
                <w:szCs w:val="18"/>
              </w:rPr>
            </w:pPr>
          </w:p>
        </w:tc>
        <w:tc>
          <w:tcPr>
            <w:tcW w:w="727" w:type="dxa"/>
            <w:vAlign w:val="center"/>
          </w:tcPr>
          <w:p w14:paraId="1E06BD8E">
            <w:pPr>
              <w:jc w:val="center"/>
              <w:rPr>
                <w:rFonts w:hint="eastAsia" w:ascii="宋体" w:hAnsi="宋体" w:cs="宋体"/>
                <w:b/>
                <w:bCs/>
                <w:color w:val="000000" w:themeColor="text1"/>
                <w:sz w:val="18"/>
                <w:szCs w:val="18"/>
              </w:rPr>
            </w:pPr>
          </w:p>
        </w:tc>
        <w:tc>
          <w:tcPr>
            <w:tcW w:w="726" w:type="dxa"/>
            <w:vAlign w:val="center"/>
          </w:tcPr>
          <w:p w14:paraId="03A2BDC4">
            <w:pPr>
              <w:jc w:val="center"/>
              <w:rPr>
                <w:rFonts w:hint="eastAsia" w:ascii="宋体" w:hAnsi="宋体" w:cs="宋体"/>
                <w:b/>
                <w:bCs/>
                <w:color w:val="000000" w:themeColor="text1"/>
                <w:sz w:val="18"/>
                <w:szCs w:val="18"/>
              </w:rPr>
            </w:pPr>
          </w:p>
        </w:tc>
        <w:tc>
          <w:tcPr>
            <w:tcW w:w="709" w:type="dxa"/>
            <w:vAlign w:val="center"/>
          </w:tcPr>
          <w:p w14:paraId="1556BF21">
            <w:pPr>
              <w:jc w:val="center"/>
              <w:rPr>
                <w:rFonts w:hint="eastAsia" w:ascii="宋体" w:hAnsi="宋体" w:cs="宋体"/>
                <w:b/>
                <w:bCs/>
                <w:color w:val="000000" w:themeColor="text1"/>
                <w:sz w:val="18"/>
                <w:szCs w:val="18"/>
              </w:rPr>
            </w:pPr>
          </w:p>
        </w:tc>
        <w:tc>
          <w:tcPr>
            <w:tcW w:w="2034" w:type="dxa"/>
            <w:vAlign w:val="center"/>
          </w:tcPr>
          <w:p w14:paraId="3BEF0DEF">
            <w:pPr>
              <w:jc w:val="left"/>
              <w:rPr>
                <w:rFonts w:hint="eastAsia" w:ascii="宋体" w:hAnsi="宋体" w:cs="宋体"/>
                <w:color w:val="000000" w:themeColor="text1"/>
                <w:sz w:val="18"/>
                <w:szCs w:val="18"/>
              </w:rPr>
            </w:pPr>
          </w:p>
        </w:tc>
        <w:tc>
          <w:tcPr>
            <w:tcW w:w="3633" w:type="dxa"/>
            <w:gridSpan w:val="2"/>
            <w:vMerge w:val="continue"/>
            <w:vAlign w:val="center"/>
          </w:tcPr>
          <w:p w14:paraId="5CF66576">
            <w:pPr>
              <w:jc w:val="left"/>
              <w:rPr>
                <w:rFonts w:hint="eastAsia" w:ascii="宋体" w:hAnsi="宋体" w:cs="宋体"/>
                <w:color w:val="000000" w:themeColor="text1"/>
                <w:sz w:val="18"/>
                <w:szCs w:val="18"/>
              </w:rPr>
            </w:pPr>
          </w:p>
        </w:tc>
      </w:tr>
      <w:tr w14:paraId="0504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24" w:hRule="atLeast"/>
          <w:jc w:val="center"/>
        </w:trPr>
        <w:tc>
          <w:tcPr>
            <w:tcW w:w="802" w:type="dxa"/>
            <w:vAlign w:val="center"/>
          </w:tcPr>
          <w:p w14:paraId="3F4D3CB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111F82DD">
            <w:pPr>
              <w:widowControl/>
              <w:jc w:val="center"/>
              <w:rPr>
                <w:rFonts w:hint="eastAsia" w:ascii="宋体" w:hAnsi="宋体" w:cs="宋体"/>
                <w:color w:val="000000" w:themeColor="text1"/>
                <w:sz w:val="18"/>
                <w:szCs w:val="18"/>
              </w:rPr>
            </w:pPr>
          </w:p>
        </w:tc>
        <w:tc>
          <w:tcPr>
            <w:tcW w:w="780" w:type="dxa"/>
            <w:vAlign w:val="center"/>
          </w:tcPr>
          <w:p w14:paraId="00EC2338">
            <w:pPr>
              <w:jc w:val="center"/>
              <w:rPr>
                <w:rFonts w:hint="eastAsia" w:ascii="宋体" w:hAnsi="宋体" w:cs="宋体"/>
                <w:b/>
                <w:bCs/>
                <w:color w:val="000000" w:themeColor="text1"/>
                <w:sz w:val="18"/>
                <w:szCs w:val="18"/>
              </w:rPr>
            </w:pPr>
          </w:p>
        </w:tc>
        <w:tc>
          <w:tcPr>
            <w:tcW w:w="727" w:type="dxa"/>
            <w:vAlign w:val="center"/>
          </w:tcPr>
          <w:p w14:paraId="7E0FC107">
            <w:pPr>
              <w:jc w:val="center"/>
              <w:rPr>
                <w:rFonts w:hint="eastAsia" w:ascii="宋体" w:hAnsi="宋体" w:cs="宋体"/>
                <w:b/>
                <w:bCs/>
                <w:color w:val="000000" w:themeColor="text1"/>
                <w:sz w:val="18"/>
                <w:szCs w:val="18"/>
              </w:rPr>
            </w:pPr>
          </w:p>
        </w:tc>
        <w:tc>
          <w:tcPr>
            <w:tcW w:w="726" w:type="dxa"/>
            <w:vAlign w:val="center"/>
          </w:tcPr>
          <w:p w14:paraId="3D6D37C2">
            <w:pPr>
              <w:jc w:val="center"/>
              <w:rPr>
                <w:rFonts w:hint="eastAsia" w:ascii="宋体" w:hAnsi="宋体" w:cs="宋体"/>
                <w:b/>
                <w:bCs/>
                <w:color w:val="000000" w:themeColor="text1"/>
                <w:sz w:val="18"/>
                <w:szCs w:val="18"/>
              </w:rPr>
            </w:pPr>
          </w:p>
        </w:tc>
        <w:tc>
          <w:tcPr>
            <w:tcW w:w="709" w:type="dxa"/>
            <w:vAlign w:val="center"/>
          </w:tcPr>
          <w:p w14:paraId="2200E96A">
            <w:pPr>
              <w:jc w:val="center"/>
              <w:rPr>
                <w:rFonts w:hint="eastAsia" w:ascii="宋体" w:hAnsi="宋体" w:cs="宋体"/>
                <w:b/>
                <w:bCs/>
                <w:color w:val="000000" w:themeColor="text1"/>
                <w:sz w:val="18"/>
                <w:szCs w:val="18"/>
              </w:rPr>
            </w:pPr>
          </w:p>
        </w:tc>
        <w:tc>
          <w:tcPr>
            <w:tcW w:w="2034" w:type="dxa"/>
            <w:vAlign w:val="center"/>
          </w:tcPr>
          <w:p w14:paraId="18075C7B">
            <w:pPr>
              <w:jc w:val="left"/>
              <w:rPr>
                <w:rFonts w:hint="eastAsia" w:ascii="宋体" w:hAnsi="宋体" w:cs="宋体"/>
                <w:color w:val="000000" w:themeColor="text1"/>
                <w:sz w:val="18"/>
                <w:szCs w:val="18"/>
              </w:rPr>
            </w:pPr>
          </w:p>
        </w:tc>
        <w:tc>
          <w:tcPr>
            <w:tcW w:w="3633" w:type="dxa"/>
            <w:gridSpan w:val="2"/>
            <w:vMerge w:val="continue"/>
            <w:vAlign w:val="center"/>
          </w:tcPr>
          <w:p w14:paraId="6D738D68">
            <w:pPr>
              <w:jc w:val="left"/>
              <w:rPr>
                <w:rFonts w:hint="eastAsia" w:ascii="宋体" w:hAnsi="宋体" w:cs="宋体"/>
                <w:color w:val="000000" w:themeColor="text1"/>
                <w:sz w:val="18"/>
                <w:szCs w:val="18"/>
              </w:rPr>
            </w:pPr>
          </w:p>
        </w:tc>
      </w:tr>
      <w:tr w14:paraId="781AB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atLeast"/>
          <w:jc w:val="center"/>
        </w:trPr>
        <w:tc>
          <w:tcPr>
            <w:tcW w:w="802" w:type="dxa"/>
            <w:vAlign w:val="center"/>
          </w:tcPr>
          <w:p w14:paraId="245A4D2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w:t>
            </w:r>
          </w:p>
        </w:tc>
        <w:tc>
          <w:tcPr>
            <w:tcW w:w="6452" w:type="dxa"/>
            <w:gridSpan w:val="7"/>
            <w:vAlign w:val="center"/>
          </w:tcPr>
          <w:p w14:paraId="374EE860">
            <w:pPr>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社保公积金</w:t>
            </w:r>
          </w:p>
        </w:tc>
        <w:tc>
          <w:tcPr>
            <w:tcW w:w="3633" w:type="dxa"/>
            <w:gridSpan w:val="2"/>
            <w:vAlign w:val="center"/>
          </w:tcPr>
          <w:p w14:paraId="6935737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供应商须在《投标报价明细表》中按照采购文件采购需求中安保服务人员岗位分别填报员工社保和公积金费用。</w:t>
            </w:r>
          </w:p>
          <w:p w14:paraId="429C0FE6">
            <w:pPr>
              <w:widowControl/>
              <w:jc w:val="left"/>
              <w:rPr>
                <w:color w:val="000000" w:themeColor="text1"/>
              </w:rPr>
            </w:pPr>
            <w:r>
              <w:rPr>
                <w:rFonts w:hint="eastAsia" w:ascii="宋体" w:hAnsi="宋体" w:cs="宋体"/>
                <w:color w:val="000000" w:themeColor="text1"/>
                <w:sz w:val="18"/>
                <w:szCs w:val="18"/>
              </w:rPr>
              <w:t>供应商为投入本项目安保服务人员缴纳社保和公积金的人数不得低于26岗（人）（不包含享受社保公积金减免政策人员、退休返聘人员等）</w:t>
            </w:r>
          </w:p>
        </w:tc>
      </w:tr>
      <w:tr w14:paraId="7CDCD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jc w:val="center"/>
        </w:trPr>
        <w:tc>
          <w:tcPr>
            <w:tcW w:w="802" w:type="dxa"/>
            <w:vAlign w:val="center"/>
          </w:tcPr>
          <w:p w14:paraId="342CBC8A">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2.1</w:t>
            </w:r>
          </w:p>
        </w:tc>
        <w:tc>
          <w:tcPr>
            <w:tcW w:w="6452" w:type="dxa"/>
            <w:gridSpan w:val="7"/>
            <w:vAlign w:val="center"/>
          </w:tcPr>
          <w:p w14:paraId="3349CA62">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社会保险</w:t>
            </w:r>
          </w:p>
        </w:tc>
        <w:tc>
          <w:tcPr>
            <w:tcW w:w="3633" w:type="dxa"/>
            <w:gridSpan w:val="2"/>
            <w:vAlign w:val="center"/>
          </w:tcPr>
          <w:p w14:paraId="30E5D9AF">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社保费用不得低于南京市最低标准，否则做无效投标处理。</w:t>
            </w:r>
          </w:p>
        </w:tc>
      </w:tr>
      <w:tr w14:paraId="70FBB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404BCD82">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3717DCC1">
            <w:pPr>
              <w:widowControl/>
              <w:jc w:val="center"/>
              <w:rPr>
                <w:rFonts w:hint="eastAsia" w:ascii="宋体" w:hAnsi="宋体" w:cs="宋体"/>
                <w:color w:val="000000" w:themeColor="text1"/>
                <w:sz w:val="18"/>
                <w:szCs w:val="18"/>
              </w:rPr>
            </w:pPr>
          </w:p>
        </w:tc>
        <w:tc>
          <w:tcPr>
            <w:tcW w:w="780" w:type="dxa"/>
            <w:vAlign w:val="center"/>
          </w:tcPr>
          <w:p w14:paraId="297C9A80">
            <w:pPr>
              <w:widowControl/>
              <w:jc w:val="center"/>
              <w:rPr>
                <w:rFonts w:hint="eastAsia" w:ascii="宋体" w:hAnsi="宋体" w:cs="宋体"/>
                <w:color w:val="000000" w:themeColor="text1"/>
                <w:sz w:val="18"/>
                <w:szCs w:val="18"/>
              </w:rPr>
            </w:pPr>
          </w:p>
        </w:tc>
        <w:tc>
          <w:tcPr>
            <w:tcW w:w="727" w:type="dxa"/>
            <w:vAlign w:val="center"/>
          </w:tcPr>
          <w:p w14:paraId="2C3FF7CB">
            <w:pPr>
              <w:widowControl/>
              <w:jc w:val="center"/>
              <w:rPr>
                <w:rFonts w:hint="eastAsia" w:ascii="宋体" w:hAnsi="宋体" w:cs="宋体"/>
                <w:color w:val="000000" w:themeColor="text1"/>
                <w:sz w:val="18"/>
                <w:szCs w:val="18"/>
              </w:rPr>
            </w:pPr>
          </w:p>
        </w:tc>
        <w:tc>
          <w:tcPr>
            <w:tcW w:w="726" w:type="dxa"/>
            <w:vAlign w:val="center"/>
          </w:tcPr>
          <w:p w14:paraId="2D11F1AD">
            <w:pPr>
              <w:widowControl/>
              <w:jc w:val="center"/>
              <w:rPr>
                <w:rFonts w:hint="eastAsia" w:ascii="宋体" w:hAnsi="宋体" w:cs="宋体"/>
                <w:color w:val="000000" w:themeColor="text1"/>
                <w:sz w:val="18"/>
                <w:szCs w:val="18"/>
              </w:rPr>
            </w:pPr>
          </w:p>
        </w:tc>
        <w:tc>
          <w:tcPr>
            <w:tcW w:w="709" w:type="dxa"/>
            <w:vAlign w:val="center"/>
          </w:tcPr>
          <w:p w14:paraId="247145E7">
            <w:pPr>
              <w:widowControl/>
              <w:jc w:val="center"/>
              <w:rPr>
                <w:rFonts w:hint="eastAsia" w:ascii="宋体" w:hAnsi="宋体" w:cs="宋体"/>
                <w:color w:val="000000" w:themeColor="text1"/>
                <w:sz w:val="18"/>
                <w:szCs w:val="18"/>
              </w:rPr>
            </w:pPr>
          </w:p>
        </w:tc>
        <w:tc>
          <w:tcPr>
            <w:tcW w:w="2034" w:type="dxa"/>
            <w:vAlign w:val="center"/>
          </w:tcPr>
          <w:p w14:paraId="28937068">
            <w:pPr>
              <w:widowControl/>
              <w:jc w:val="left"/>
              <w:rPr>
                <w:rFonts w:hint="eastAsia" w:ascii="宋体" w:hAnsi="宋体" w:cs="宋体"/>
                <w:color w:val="000000" w:themeColor="text1"/>
                <w:sz w:val="18"/>
                <w:szCs w:val="18"/>
              </w:rPr>
            </w:pPr>
          </w:p>
        </w:tc>
        <w:tc>
          <w:tcPr>
            <w:tcW w:w="3633" w:type="dxa"/>
            <w:gridSpan w:val="2"/>
            <w:vMerge w:val="restart"/>
            <w:vAlign w:val="center"/>
          </w:tcPr>
          <w:p w14:paraId="3B4C162E">
            <w:pPr>
              <w:widowControl/>
              <w:jc w:val="left"/>
              <w:rPr>
                <w:rFonts w:hint="eastAsia" w:ascii="宋体" w:hAnsi="宋体" w:cs="宋体"/>
                <w:color w:val="000000" w:themeColor="text1"/>
                <w:sz w:val="18"/>
                <w:szCs w:val="18"/>
              </w:rPr>
            </w:pPr>
          </w:p>
        </w:tc>
      </w:tr>
      <w:tr w14:paraId="60120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03EAA57E">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5BDB983B">
            <w:pPr>
              <w:widowControl/>
              <w:jc w:val="center"/>
              <w:rPr>
                <w:rFonts w:hint="eastAsia" w:ascii="宋体" w:hAnsi="宋体" w:cs="宋体"/>
                <w:color w:val="000000" w:themeColor="text1"/>
                <w:sz w:val="18"/>
                <w:szCs w:val="18"/>
              </w:rPr>
            </w:pPr>
          </w:p>
        </w:tc>
        <w:tc>
          <w:tcPr>
            <w:tcW w:w="780" w:type="dxa"/>
            <w:vAlign w:val="center"/>
          </w:tcPr>
          <w:p w14:paraId="126BF7E3">
            <w:pPr>
              <w:widowControl/>
              <w:jc w:val="center"/>
              <w:rPr>
                <w:rFonts w:hint="eastAsia" w:ascii="宋体" w:hAnsi="宋体" w:cs="宋体"/>
                <w:color w:val="000000" w:themeColor="text1"/>
                <w:sz w:val="18"/>
                <w:szCs w:val="18"/>
              </w:rPr>
            </w:pPr>
          </w:p>
        </w:tc>
        <w:tc>
          <w:tcPr>
            <w:tcW w:w="727" w:type="dxa"/>
            <w:vAlign w:val="center"/>
          </w:tcPr>
          <w:p w14:paraId="53117AE2">
            <w:pPr>
              <w:widowControl/>
              <w:jc w:val="center"/>
              <w:rPr>
                <w:rFonts w:hint="eastAsia" w:ascii="宋体" w:hAnsi="宋体" w:cs="宋体"/>
                <w:color w:val="000000" w:themeColor="text1"/>
                <w:sz w:val="18"/>
                <w:szCs w:val="18"/>
              </w:rPr>
            </w:pPr>
          </w:p>
        </w:tc>
        <w:tc>
          <w:tcPr>
            <w:tcW w:w="726" w:type="dxa"/>
            <w:vAlign w:val="center"/>
          </w:tcPr>
          <w:p w14:paraId="60A40B83">
            <w:pPr>
              <w:widowControl/>
              <w:jc w:val="center"/>
              <w:rPr>
                <w:rFonts w:hint="eastAsia" w:ascii="宋体" w:hAnsi="宋体" w:cs="宋体"/>
                <w:color w:val="000000" w:themeColor="text1"/>
                <w:sz w:val="18"/>
                <w:szCs w:val="18"/>
              </w:rPr>
            </w:pPr>
          </w:p>
        </w:tc>
        <w:tc>
          <w:tcPr>
            <w:tcW w:w="709" w:type="dxa"/>
            <w:vAlign w:val="center"/>
          </w:tcPr>
          <w:p w14:paraId="105A9183">
            <w:pPr>
              <w:widowControl/>
              <w:jc w:val="center"/>
              <w:rPr>
                <w:rFonts w:hint="eastAsia" w:ascii="宋体" w:hAnsi="宋体" w:cs="宋体"/>
                <w:color w:val="000000" w:themeColor="text1"/>
                <w:sz w:val="18"/>
                <w:szCs w:val="18"/>
              </w:rPr>
            </w:pPr>
          </w:p>
        </w:tc>
        <w:tc>
          <w:tcPr>
            <w:tcW w:w="2034" w:type="dxa"/>
            <w:vAlign w:val="center"/>
          </w:tcPr>
          <w:p w14:paraId="7D8CF7CC">
            <w:pPr>
              <w:widowControl/>
              <w:jc w:val="left"/>
              <w:rPr>
                <w:rFonts w:hint="eastAsia" w:ascii="宋体" w:hAnsi="宋体" w:cs="宋体"/>
                <w:color w:val="000000" w:themeColor="text1"/>
                <w:sz w:val="18"/>
                <w:szCs w:val="18"/>
              </w:rPr>
            </w:pPr>
          </w:p>
        </w:tc>
        <w:tc>
          <w:tcPr>
            <w:tcW w:w="3633" w:type="dxa"/>
            <w:gridSpan w:val="2"/>
            <w:vMerge w:val="continue"/>
            <w:vAlign w:val="center"/>
          </w:tcPr>
          <w:p w14:paraId="240B4991">
            <w:pPr>
              <w:widowControl/>
              <w:jc w:val="left"/>
              <w:rPr>
                <w:rFonts w:hint="eastAsia" w:ascii="宋体" w:hAnsi="宋体" w:cs="宋体"/>
                <w:color w:val="000000" w:themeColor="text1"/>
                <w:sz w:val="18"/>
                <w:szCs w:val="18"/>
              </w:rPr>
            </w:pPr>
          </w:p>
        </w:tc>
      </w:tr>
      <w:tr w14:paraId="72FD5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2FBA820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211AFDEB">
            <w:pPr>
              <w:widowControl/>
              <w:jc w:val="center"/>
              <w:rPr>
                <w:rFonts w:hint="eastAsia" w:ascii="宋体" w:hAnsi="宋体" w:cs="宋体"/>
                <w:color w:val="000000" w:themeColor="text1"/>
                <w:sz w:val="18"/>
                <w:szCs w:val="18"/>
              </w:rPr>
            </w:pPr>
          </w:p>
        </w:tc>
        <w:tc>
          <w:tcPr>
            <w:tcW w:w="780" w:type="dxa"/>
            <w:vAlign w:val="center"/>
          </w:tcPr>
          <w:p w14:paraId="238BDCC4">
            <w:pPr>
              <w:widowControl/>
              <w:jc w:val="center"/>
              <w:rPr>
                <w:rFonts w:hint="eastAsia" w:ascii="宋体" w:hAnsi="宋体" w:cs="宋体"/>
                <w:color w:val="000000" w:themeColor="text1"/>
                <w:sz w:val="18"/>
                <w:szCs w:val="18"/>
              </w:rPr>
            </w:pPr>
          </w:p>
        </w:tc>
        <w:tc>
          <w:tcPr>
            <w:tcW w:w="727" w:type="dxa"/>
            <w:vAlign w:val="center"/>
          </w:tcPr>
          <w:p w14:paraId="47A10E1D">
            <w:pPr>
              <w:widowControl/>
              <w:jc w:val="center"/>
              <w:rPr>
                <w:rFonts w:hint="eastAsia" w:ascii="宋体" w:hAnsi="宋体" w:cs="宋体"/>
                <w:color w:val="000000" w:themeColor="text1"/>
                <w:sz w:val="18"/>
                <w:szCs w:val="18"/>
              </w:rPr>
            </w:pPr>
          </w:p>
        </w:tc>
        <w:tc>
          <w:tcPr>
            <w:tcW w:w="726" w:type="dxa"/>
            <w:vAlign w:val="center"/>
          </w:tcPr>
          <w:p w14:paraId="08A7503F">
            <w:pPr>
              <w:widowControl/>
              <w:jc w:val="center"/>
              <w:rPr>
                <w:rFonts w:hint="eastAsia" w:ascii="宋体" w:hAnsi="宋体" w:cs="宋体"/>
                <w:color w:val="000000" w:themeColor="text1"/>
                <w:sz w:val="18"/>
                <w:szCs w:val="18"/>
              </w:rPr>
            </w:pPr>
          </w:p>
        </w:tc>
        <w:tc>
          <w:tcPr>
            <w:tcW w:w="709" w:type="dxa"/>
            <w:vAlign w:val="center"/>
          </w:tcPr>
          <w:p w14:paraId="15BE2EF8">
            <w:pPr>
              <w:widowControl/>
              <w:jc w:val="center"/>
              <w:rPr>
                <w:rFonts w:hint="eastAsia" w:ascii="宋体" w:hAnsi="宋体" w:cs="宋体"/>
                <w:color w:val="000000" w:themeColor="text1"/>
                <w:sz w:val="18"/>
                <w:szCs w:val="18"/>
              </w:rPr>
            </w:pPr>
          </w:p>
        </w:tc>
        <w:tc>
          <w:tcPr>
            <w:tcW w:w="2034" w:type="dxa"/>
            <w:vAlign w:val="center"/>
          </w:tcPr>
          <w:p w14:paraId="3C1CAEC5">
            <w:pPr>
              <w:widowControl/>
              <w:jc w:val="left"/>
              <w:rPr>
                <w:rFonts w:hint="eastAsia" w:ascii="宋体" w:hAnsi="宋体" w:cs="宋体"/>
                <w:color w:val="000000" w:themeColor="text1"/>
                <w:sz w:val="18"/>
                <w:szCs w:val="18"/>
              </w:rPr>
            </w:pPr>
          </w:p>
        </w:tc>
        <w:tc>
          <w:tcPr>
            <w:tcW w:w="3633" w:type="dxa"/>
            <w:gridSpan w:val="2"/>
            <w:vMerge w:val="continue"/>
            <w:vAlign w:val="center"/>
          </w:tcPr>
          <w:p w14:paraId="33698AC4">
            <w:pPr>
              <w:widowControl/>
              <w:jc w:val="left"/>
              <w:rPr>
                <w:rFonts w:hint="eastAsia" w:ascii="宋体" w:hAnsi="宋体" w:cs="宋体"/>
                <w:color w:val="000000" w:themeColor="text1"/>
                <w:sz w:val="18"/>
                <w:szCs w:val="18"/>
              </w:rPr>
            </w:pPr>
          </w:p>
        </w:tc>
      </w:tr>
      <w:tr w14:paraId="412C5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36" w:hRule="atLeast"/>
          <w:jc w:val="center"/>
        </w:trPr>
        <w:tc>
          <w:tcPr>
            <w:tcW w:w="802" w:type="dxa"/>
            <w:vAlign w:val="center"/>
          </w:tcPr>
          <w:p w14:paraId="7C91E70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0459E9EB">
            <w:pPr>
              <w:widowControl/>
              <w:jc w:val="center"/>
              <w:rPr>
                <w:rFonts w:hint="eastAsia" w:ascii="宋体" w:hAnsi="宋体" w:cs="宋体"/>
                <w:color w:val="000000" w:themeColor="text1"/>
                <w:sz w:val="18"/>
                <w:szCs w:val="18"/>
              </w:rPr>
            </w:pPr>
          </w:p>
        </w:tc>
        <w:tc>
          <w:tcPr>
            <w:tcW w:w="780" w:type="dxa"/>
            <w:vAlign w:val="center"/>
          </w:tcPr>
          <w:p w14:paraId="086F8A28">
            <w:pPr>
              <w:widowControl/>
              <w:jc w:val="center"/>
              <w:rPr>
                <w:rFonts w:hint="eastAsia" w:ascii="宋体" w:hAnsi="宋体" w:cs="宋体"/>
                <w:color w:val="000000" w:themeColor="text1"/>
                <w:sz w:val="18"/>
                <w:szCs w:val="18"/>
              </w:rPr>
            </w:pPr>
          </w:p>
        </w:tc>
        <w:tc>
          <w:tcPr>
            <w:tcW w:w="727" w:type="dxa"/>
            <w:vAlign w:val="center"/>
          </w:tcPr>
          <w:p w14:paraId="3A13D355">
            <w:pPr>
              <w:widowControl/>
              <w:jc w:val="center"/>
              <w:rPr>
                <w:rFonts w:hint="eastAsia" w:ascii="宋体" w:hAnsi="宋体" w:cs="宋体"/>
                <w:color w:val="000000" w:themeColor="text1"/>
                <w:sz w:val="18"/>
                <w:szCs w:val="18"/>
              </w:rPr>
            </w:pPr>
          </w:p>
        </w:tc>
        <w:tc>
          <w:tcPr>
            <w:tcW w:w="726" w:type="dxa"/>
            <w:vAlign w:val="center"/>
          </w:tcPr>
          <w:p w14:paraId="259F4390">
            <w:pPr>
              <w:widowControl/>
              <w:jc w:val="center"/>
              <w:rPr>
                <w:rFonts w:hint="eastAsia" w:ascii="宋体" w:hAnsi="宋体" w:cs="宋体"/>
                <w:color w:val="000000" w:themeColor="text1"/>
                <w:sz w:val="18"/>
                <w:szCs w:val="18"/>
              </w:rPr>
            </w:pPr>
          </w:p>
        </w:tc>
        <w:tc>
          <w:tcPr>
            <w:tcW w:w="709" w:type="dxa"/>
            <w:vAlign w:val="center"/>
          </w:tcPr>
          <w:p w14:paraId="69EFC36D">
            <w:pPr>
              <w:widowControl/>
              <w:jc w:val="center"/>
              <w:rPr>
                <w:rFonts w:hint="eastAsia" w:ascii="宋体" w:hAnsi="宋体" w:cs="宋体"/>
                <w:color w:val="000000" w:themeColor="text1"/>
                <w:sz w:val="18"/>
                <w:szCs w:val="18"/>
              </w:rPr>
            </w:pPr>
          </w:p>
        </w:tc>
        <w:tc>
          <w:tcPr>
            <w:tcW w:w="2034" w:type="dxa"/>
            <w:vAlign w:val="center"/>
          </w:tcPr>
          <w:p w14:paraId="2E291DD1">
            <w:pPr>
              <w:widowControl/>
              <w:jc w:val="left"/>
              <w:rPr>
                <w:rFonts w:hint="eastAsia" w:ascii="宋体" w:hAnsi="宋体" w:cs="宋体"/>
                <w:color w:val="000000" w:themeColor="text1"/>
                <w:sz w:val="18"/>
                <w:szCs w:val="18"/>
              </w:rPr>
            </w:pPr>
          </w:p>
        </w:tc>
        <w:tc>
          <w:tcPr>
            <w:tcW w:w="3633" w:type="dxa"/>
            <w:gridSpan w:val="2"/>
            <w:vMerge w:val="continue"/>
            <w:vAlign w:val="center"/>
          </w:tcPr>
          <w:p w14:paraId="7A69A002">
            <w:pPr>
              <w:widowControl/>
              <w:jc w:val="left"/>
              <w:rPr>
                <w:rFonts w:hint="eastAsia" w:ascii="宋体" w:hAnsi="宋体" w:cs="宋体"/>
                <w:color w:val="000000" w:themeColor="text1"/>
                <w:sz w:val="18"/>
                <w:szCs w:val="18"/>
              </w:rPr>
            </w:pPr>
          </w:p>
        </w:tc>
      </w:tr>
      <w:tr w14:paraId="1FD62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jc w:val="center"/>
        </w:trPr>
        <w:tc>
          <w:tcPr>
            <w:tcW w:w="802" w:type="dxa"/>
            <w:vAlign w:val="center"/>
          </w:tcPr>
          <w:p w14:paraId="5D539B2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2.2</w:t>
            </w:r>
          </w:p>
        </w:tc>
        <w:tc>
          <w:tcPr>
            <w:tcW w:w="6452" w:type="dxa"/>
            <w:gridSpan w:val="7"/>
            <w:vAlign w:val="center"/>
          </w:tcPr>
          <w:p w14:paraId="6B72FB21">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公积金</w:t>
            </w:r>
          </w:p>
        </w:tc>
        <w:tc>
          <w:tcPr>
            <w:tcW w:w="3633" w:type="dxa"/>
            <w:gridSpan w:val="2"/>
            <w:vAlign w:val="center"/>
          </w:tcPr>
          <w:p w14:paraId="35191F65">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公积金不得低于南京市最低标准，且最低工资不包含劳动者按下限缴存的住房公积金，由用人单位按规定另行支付，须测算在公积金报价中，否则做无效投标处理。</w:t>
            </w:r>
          </w:p>
        </w:tc>
      </w:tr>
      <w:tr w14:paraId="2CAB9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7608BBD7">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481B0E95">
            <w:pPr>
              <w:widowControl/>
              <w:jc w:val="center"/>
              <w:rPr>
                <w:rFonts w:hint="eastAsia" w:ascii="宋体" w:hAnsi="宋体" w:cs="宋体"/>
                <w:b/>
                <w:bCs/>
                <w:color w:val="000000" w:themeColor="text1"/>
                <w:sz w:val="18"/>
                <w:szCs w:val="18"/>
              </w:rPr>
            </w:pPr>
          </w:p>
        </w:tc>
        <w:tc>
          <w:tcPr>
            <w:tcW w:w="780" w:type="dxa"/>
            <w:vAlign w:val="center"/>
          </w:tcPr>
          <w:p w14:paraId="510B3E1F">
            <w:pPr>
              <w:widowControl/>
              <w:jc w:val="center"/>
              <w:rPr>
                <w:rFonts w:hint="eastAsia" w:ascii="宋体" w:hAnsi="宋体" w:cs="宋体"/>
                <w:color w:val="000000" w:themeColor="text1"/>
                <w:sz w:val="18"/>
                <w:szCs w:val="18"/>
              </w:rPr>
            </w:pPr>
          </w:p>
        </w:tc>
        <w:tc>
          <w:tcPr>
            <w:tcW w:w="727" w:type="dxa"/>
            <w:vAlign w:val="center"/>
          </w:tcPr>
          <w:p w14:paraId="375B1CDB">
            <w:pPr>
              <w:widowControl/>
              <w:jc w:val="center"/>
              <w:rPr>
                <w:rFonts w:hint="eastAsia" w:ascii="宋体" w:hAnsi="宋体" w:cs="宋体"/>
                <w:color w:val="000000" w:themeColor="text1"/>
                <w:sz w:val="18"/>
                <w:szCs w:val="18"/>
              </w:rPr>
            </w:pPr>
          </w:p>
        </w:tc>
        <w:tc>
          <w:tcPr>
            <w:tcW w:w="726" w:type="dxa"/>
            <w:vAlign w:val="center"/>
          </w:tcPr>
          <w:p w14:paraId="3D6EBF1F">
            <w:pPr>
              <w:widowControl/>
              <w:jc w:val="center"/>
              <w:rPr>
                <w:rFonts w:hint="eastAsia" w:ascii="宋体" w:hAnsi="宋体" w:cs="宋体"/>
                <w:color w:val="000000" w:themeColor="text1"/>
                <w:sz w:val="18"/>
                <w:szCs w:val="18"/>
              </w:rPr>
            </w:pPr>
          </w:p>
        </w:tc>
        <w:tc>
          <w:tcPr>
            <w:tcW w:w="709" w:type="dxa"/>
            <w:vAlign w:val="center"/>
          </w:tcPr>
          <w:p w14:paraId="5CA6DFA0">
            <w:pPr>
              <w:widowControl/>
              <w:jc w:val="center"/>
              <w:rPr>
                <w:rFonts w:hint="eastAsia" w:ascii="宋体" w:hAnsi="宋体" w:cs="宋体"/>
                <w:color w:val="000000" w:themeColor="text1"/>
                <w:sz w:val="18"/>
                <w:szCs w:val="18"/>
              </w:rPr>
            </w:pPr>
          </w:p>
        </w:tc>
        <w:tc>
          <w:tcPr>
            <w:tcW w:w="2034" w:type="dxa"/>
            <w:vAlign w:val="center"/>
          </w:tcPr>
          <w:p w14:paraId="08DDF563">
            <w:pPr>
              <w:widowControl/>
              <w:jc w:val="left"/>
              <w:rPr>
                <w:rFonts w:hint="eastAsia" w:ascii="宋体" w:hAnsi="宋体" w:cs="宋体"/>
                <w:color w:val="000000" w:themeColor="text1"/>
                <w:sz w:val="18"/>
                <w:szCs w:val="18"/>
              </w:rPr>
            </w:pPr>
          </w:p>
        </w:tc>
        <w:tc>
          <w:tcPr>
            <w:tcW w:w="3633" w:type="dxa"/>
            <w:gridSpan w:val="2"/>
            <w:vMerge w:val="restart"/>
            <w:vAlign w:val="center"/>
          </w:tcPr>
          <w:p w14:paraId="461B9EE5">
            <w:pPr>
              <w:widowControl/>
              <w:jc w:val="left"/>
              <w:rPr>
                <w:rFonts w:hint="eastAsia" w:ascii="宋体" w:hAnsi="宋体" w:cs="宋体"/>
                <w:color w:val="000000" w:themeColor="text1"/>
                <w:sz w:val="18"/>
                <w:szCs w:val="18"/>
              </w:rPr>
            </w:pPr>
          </w:p>
        </w:tc>
      </w:tr>
      <w:tr w14:paraId="10D0A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4F0F98BF">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2463BF2A">
            <w:pPr>
              <w:widowControl/>
              <w:jc w:val="center"/>
              <w:rPr>
                <w:rFonts w:hint="eastAsia" w:ascii="宋体" w:hAnsi="宋体" w:cs="宋体"/>
                <w:b/>
                <w:bCs/>
                <w:color w:val="000000" w:themeColor="text1"/>
                <w:sz w:val="18"/>
                <w:szCs w:val="18"/>
              </w:rPr>
            </w:pPr>
          </w:p>
        </w:tc>
        <w:tc>
          <w:tcPr>
            <w:tcW w:w="780" w:type="dxa"/>
            <w:vAlign w:val="center"/>
          </w:tcPr>
          <w:p w14:paraId="21A977B1">
            <w:pPr>
              <w:widowControl/>
              <w:jc w:val="center"/>
              <w:rPr>
                <w:rFonts w:hint="eastAsia" w:ascii="宋体" w:hAnsi="宋体" w:cs="宋体"/>
                <w:color w:val="000000" w:themeColor="text1"/>
                <w:sz w:val="18"/>
                <w:szCs w:val="18"/>
              </w:rPr>
            </w:pPr>
          </w:p>
        </w:tc>
        <w:tc>
          <w:tcPr>
            <w:tcW w:w="727" w:type="dxa"/>
            <w:vAlign w:val="center"/>
          </w:tcPr>
          <w:p w14:paraId="7D617513">
            <w:pPr>
              <w:widowControl/>
              <w:jc w:val="center"/>
              <w:rPr>
                <w:rFonts w:hint="eastAsia" w:ascii="宋体" w:hAnsi="宋体" w:cs="宋体"/>
                <w:color w:val="000000" w:themeColor="text1"/>
                <w:sz w:val="18"/>
                <w:szCs w:val="18"/>
              </w:rPr>
            </w:pPr>
          </w:p>
        </w:tc>
        <w:tc>
          <w:tcPr>
            <w:tcW w:w="726" w:type="dxa"/>
            <w:vAlign w:val="center"/>
          </w:tcPr>
          <w:p w14:paraId="1ED54773">
            <w:pPr>
              <w:widowControl/>
              <w:jc w:val="center"/>
              <w:rPr>
                <w:rFonts w:hint="eastAsia" w:ascii="宋体" w:hAnsi="宋体" w:cs="宋体"/>
                <w:color w:val="000000" w:themeColor="text1"/>
                <w:sz w:val="18"/>
                <w:szCs w:val="18"/>
              </w:rPr>
            </w:pPr>
          </w:p>
        </w:tc>
        <w:tc>
          <w:tcPr>
            <w:tcW w:w="709" w:type="dxa"/>
            <w:vAlign w:val="center"/>
          </w:tcPr>
          <w:p w14:paraId="7722CFD4">
            <w:pPr>
              <w:widowControl/>
              <w:jc w:val="center"/>
              <w:rPr>
                <w:rFonts w:hint="eastAsia" w:ascii="宋体" w:hAnsi="宋体" w:cs="宋体"/>
                <w:color w:val="000000" w:themeColor="text1"/>
                <w:sz w:val="18"/>
                <w:szCs w:val="18"/>
              </w:rPr>
            </w:pPr>
          </w:p>
        </w:tc>
        <w:tc>
          <w:tcPr>
            <w:tcW w:w="2034" w:type="dxa"/>
            <w:vAlign w:val="center"/>
          </w:tcPr>
          <w:p w14:paraId="0D8BFC0B">
            <w:pPr>
              <w:widowControl/>
              <w:jc w:val="left"/>
              <w:rPr>
                <w:rFonts w:hint="eastAsia" w:ascii="宋体" w:hAnsi="宋体" w:cs="宋体"/>
                <w:color w:val="000000" w:themeColor="text1"/>
                <w:sz w:val="18"/>
                <w:szCs w:val="18"/>
              </w:rPr>
            </w:pPr>
          </w:p>
        </w:tc>
        <w:tc>
          <w:tcPr>
            <w:tcW w:w="3633" w:type="dxa"/>
            <w:gridSpan w:val="2"/>
            <w:vMerge w:val="continue"/>
            <w:vAlign w:val="center"/>
          </w:tcPr>
          <w:p w14:paraId="4E50E792">
            <w:pPr>
              <w:widowControl/>
              <w:jc w:val="left"/>
              <w:rPr>
                <w:rFonts w:hint="eastAsia" w:ascii="宋体" w:hAnsi="宋体" w:cs="宋体"/>
                <w:color w:val="000000" w:themeColor="text1"/>
                <w:sz w:val="18"/>
                <w:szCs w:val="18"/>
              </w:rPr>
            </w:pPr>
          </w:p>
        </w:tc>
      </w:tr>
      <w:tr w14:paraId="4E190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2EBDA2D1">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3C1C04A4">
            <w:pPr>
              <w:widowControl/>
              <w:jc w:val="center"/>
              <w:rPr>
                <w:rFonts w:hint="eastAsia" w:ascii="宋体" w:hAnsi="宋体" w:cs="宋体"/>
                <w:b/>
                <w:bCs/>
                <w:color w:val="000000" w:themeColor="text1"/>
                <w:sz w:val="18"/>
                <w:szCs w:val="18"/>
              </w:rPr>
            </w:pPr>
          </w:p>
        </w:tc>
        <w:tc>
          <w:tcPr>
            <w:tcW w:w="780" w:type="dxa"/>
            <w:vAlign w:val="center"/>
          </w:tcPr>
          <w:p w14:paraId="19EAE3D1">
            <w:pPr>
              <w:widowControl/>
              <w:jc w:val="center"/>
              <w:rPr>
                <w:rFonts w:hint="eastAsia" w:ascii="宋体" w:hAnsi="宋体" w:cs="宋体"/>
                <w:color w:val="000000" w:themeColor="text1"/>
                <w:sz w:val="18"/>
                <w:szCs w:val="18"/>
              </w:rPr>
            </w:pPr>
          </w:p>
        </w:tc>
        <w:tc>
          <w:tcPr>
            <w:tcW w:w="727" w:type="dxa"/>
            <w:vAlign w:val="center"/>
          </w:tcPr>
          <w:p w14:paraId="63329367">
            <w:pPr>
              <w:widowControl/>
              <w:jc w:val="center"/>
              <w:rPr>
                <w:rFonts w:hint="eastAsia" w:ascii="宋体" w:hAnsi="宋体" w:cs="宋体"/>
                <w:color w:val="000000" w:themeColor="text1"/>
                <w:sz w:val="18"/>
                <w:szCs w:val="18"/>
              </w:rPr>
            </w:pPr>
          </w:p>
        </w:tc>
        <w:tc>
          <w:tcPr>
            <w:tcW w:w="726" w:type="dxa"/>
            <w:vAlign w:val="center"/>
          </w:tcPr>
          <w:p w14:paraId="264DC563">
            <w:pPr>
              <w:widowControl/>
              <w:jc w:val="center"/>
              <w:rPr>
                <w:rFonts w:hint="eastAsia" w:ascii="宋体" w:hAnsi="宋体" w:cs="宋体"/>
                <w:color w:val="000000" w:themeColor="text1"/>
                <w:sz w:val="18"/>
                <w:szCs w:val="18"/>
              </w:rPr>
            </w:pPr>
          </w:p>
        </w:tc>
        <w:tc>
          <w:tcPr>
            <w:tcW w:w="709" w:type="dxa"/>
            <w:vAlign w:val="center"/>
          </w:tcPr>
          <w:p w14:paraId="109A412F">
            <w:pPr>
              <w:widowControl/>
              <w:jc w:val="center"/>
              <w:rPr>
                <w:rFonts w:hint="eastAsia" w:ascii="宋体" w:hAnsi="宋体" w:cs="宋体"/>
                <w:color w:val="000000" w:themeColor="text1"/>
                <w:sz w:val="18"/>
                <w:szCs w:val="18"/>
              </w:rPr>
            </w:pPr>
          </w:p>
        </w:tc>
        <w:tc>
          <w:tcPr>
            <w:tcW w:w="2034" w:type="dxa"/>
            <w:vAlign w:val="center"/>
          </w:tcPr>
          <w:p w14:paraId="08C34FDD">
            <w:pPr>
              <w:widowControl/>
              <w:jc w:val="left"/>
              <w:rPr>
                <w:rFonts w:hint="eastAsia" w:ascii="宋体" w:hAnsi="宋体" w:cs="宋体"/>
                <w:color w:val="000000" w:themeColor="text1"/>
                <w:sz w:val="18"/>
                <w:szCs w:val="18"/>
              </w:rPr>
            </w:pPr>
          </w:p>
        </w:tc>
        <w:tc>
          <w:tcPr>
            <w:tcW w:w="3633" w:type="dxa"/>
            <w:gridSpan w:val="2"/>
            <w:vMerge w:val="continue"/>
            <w:vAlign w:val="center"/>
          </w:tcPr>
          <w:p w14:paraId="47DB9612">
            <w:pPr>
              <w:widowControl/>
              <w:jc w:val="left"/>
              <w:rPr>
                <w:rFonts w:hint="eastAsia" w:ascii="宋体" w:hAnsi="宋体" w:cs="宋体"/>
                <w:color w:val="000000" w:themeColor="text1"/>
                <w:sz w:val="18"/>
                <w:szCs w:val="18"/>
              </w:rPr>
            </w:pPr>
          </w:p>
        </w:tc>
      </w:tr>
      <w:tr w14:paraId="3B159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40" w:hRule="atLeast"/>
          <w:jc w:val="center"/>
        </w:trPr>
        <w:tc>
          <w:tcPr>
            <w:tcW w:w="802" w:type="dxa"/>
            <w:vAlign w:val="center"/>
          </w:tcPr>
          <w:p w14:paraId="303A4DB9">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47C48A3F">
            <w:pPr>
              <w:widowControl/>
              <w:jc w:val="center"/>
              <w:rPr>
                <w:rFonts w:hint="eastAsia" w:ascii="宋体" w:hAnsi="宋体" w:cs="宋体"/>
                <w:b/>
                <w:bCs/>
                <w:color w:val="000000" w:themeColor="text1"/>
                <w:sz w:val="18"/>
                <w:szCs w:val="18"/>
              </w:rPr>
            </w:pPr>
          </w:p>
        </w:tc>
        <w:tc>
          <w:tcPr>
            <w:tcW w:w="780" w:type="dxa"/>
            <w:vAlign w:val="center"/>
          </w:tcPr>
          <w:p w14:paraId="59F87D22">
            <w:pPr>
              <w:widowControl/>
              <w:jc w:val="center"/>
              <w:rPr>
                <w:rFonts w:hint="eastAsia" w:ascii="宋体" w:hAnsi="宋体" w:cs="宋体"/>
                <w:color w:val="000000" w:themeColor="text1"/>
                <w:sz w:val="18"/>
                <w:szCs w:val="18"/>
              </w:rPr>
            </w:pPr>
          </w:p>
        </w:tc>
        <w:tc>
          <w:tcPr>
            <w:tcW w:w="727" w:type="dxa"/>
            <w:vAlign w:val="center"/>
          </w:tcPr>
          <w:p w14:paraId="2CE570EC">
            <w:pPr>
              <w:widowControl/>
              <w:jc w:val="center"/>
              <w:rPr>
                <w:rFonts w:hint="eastAsia" w:ascii="宋体" w:hAnsi="宋体" w:cs="宋体"/>
                <w:color w:val="000000" w:themeColor="text1"/>
                <w:sz w:val="18"/>
                <w:szCs w:val="18"/>
              </w:rPr>
            </w:pPr>
          </w:p>
        </w:tc>
        <w:tc>
          <w:tcPr>
            <w:tcW w:w="726" w:type="dxa"/>
            <w:vAlign w:val="center"/>
          </w:tcPr>
          <w:p w14:paraId="7929D2F7">
            <w:pPr>
              <w:widowControl/>
              <w:jc w:val="center"/>
              <w:rPr>
                <w:rFonts w:hint="eastAsia" w:ascii="宋体" w:hAnsi="宋体" w:cs="宋体"/>
                <w:color w:val="000000" w:themeColor="text1"/>
                <w:sz w:val="18"/>
                <w:szCs w:val="18"/>
              </w:rPr>
            </w:pPr>
          </w:p>
        </w:tc>
        <w:tc>
          <w:tcPr>
            <w:tcW w:w="709" w:type="dxa"/>
            <w:vAlign w:val="center"/>
          </w:tcPr>
          <w:p w14:paraId="548F47A3">
            <w:pPr>
              <w:widowControl/>
              <w:jc w:val="center"/>
              <w:rPr>
                <w:rFonts w:hint="eastAsia" w:ascii="宋体" w:hAnsi="宋体" w:cs="宋体"/>
                <w:color w:val="000000" w:themeColor="text1"/>
                <w:sz w:val="18"/>
                <w:szCs w:val="18"/>
              </w:rPr>
            </w:pPr>
          </w:p>
        </w:tc>
        <w:tc>
          <w:tcPr>
            <w:tcW w:w="2034" w:type="dxa"/>
            <w:vAlign w:val="center"/>
          </w:tcPr>
          <w:p w14:paraId="17BC2670">
            <w:pPr>
              <w:widowControl/>
              <w:jc w:val="left"/>
              <w:rPr>
                <w:rFonts w:hint="eastAsia" w:ascii="宋体" w:hAnsi="宋体" w:cs="宋体"/>
                <w:color w:val="000000" w:themeColor="text1"/>
                <w:sz w:val="18"/>
                <w:szCs w:val="18"/>
              </w:rPr>
            </w:pPr>
          </w:p>
        </w:tc>
        <w:tc>
          <w:tcPr>
            <w:tcW w:w="3633" w:type="dxa"/>
            <w:gridSpan w:val="2"/>
            <w:vMerge w:val="continue"/>
            <w:vAlign w:val="center"/>
          </w:tcPr>
          <w:p w14:paraId="281B5195">
            <w:pPr>
              <w:widowControl/>
              <w:jc w:val="left"/>
              <w:rPr>
                <w:rFonts w:hint="eastAsia" w:ascii="宋体" w:hAnsi="宋体" w:cs="宋体"/>
                <w:color w:val="000000" w:themeColor="text1"/>
                <w:sz w:val="18"/>
                <w:szCs w:val="18"/>
              </w:rPr>
            </w:pPr>
          </w:p>
        </w:tc>
      </w:tr>
      <w:tr w14:paraId="6F05F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90" w:hRule="atLeast"/>
          <w:jc w:val="center"/>
        </w:trPr>
        <w:tc>
          <w:tcPr>
            <w:tcW w:w="802" w:type="dxa"/>
            <w:vMerge w:val="restart"/>
            <w:vAlign w:val="center"/>
          </w:tcPr>
          <w:p w14:paraId="4593BD07">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3</w:t>
            </w:r>
          </w:p>
        </w:tc>
        <w:tc>
          <w:tcPr>
            <w:tcW w:w="1465" w:type="dxa"/>
            <w:vMerge w:val="restart"/>
            <w:vAlign w:val="center"/>
          </w:tcPr>
          <w:p w14:paraId="4FC7827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法定节假日人员加班费</w:t>
            </w:r>
          </w:p>
        </w:tc>
        <w:tc>
          <w:tcPr>
            <w:tcW w:w="780" w:type="dxa"/>
            <w:vAlign w:val="center"/>
          </w:tcPr>
          <w:p w14:paraId="33E60A85">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岗位（</w:t>
            </w:r>
            <w:r>
              <w:rPr>
                <w:rFonts w:hint="eastAsia" w:ascii="宋体" w:hAnsi="宋体" w:cs="宋体"/>
                <w:color w:val="000000" w:themeColor="text1"/>
                <w:sz w:val="18"/>
                <w:szCs w:val="18"/>
              </w:rPr>
              <w:t>人）</w:t>
            </w:r>
          </w:p>
        </w:tc>
        <w:tc>
          <w:tcPr>
            <w:tcW w:w="727" w:type="dxa"/>
            <w:vAlign w:val="center"/>
          </w:tcPr>
          <w:p w14:paraId="1B2E55A1">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5B97B5A3">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法定节假日天数</w:t>
            </w:r>
          </w:p>
        </w:tc>
        <w:tc>
          <w:tcPr>
            <w:tcW w:w="709" w:type="dxa"/>
            <w:vAlign w:val="center"/>
          </w:tcPr>
          <w:p w14:paraId="6620183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784EB6D2">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7EC88E3F">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安排劳动者工作的，支付不低于正常工资的百分之三百的工资报酬。本项目安保服务法定节假日在岗人数不少于26岗（人），报价中的“法定节假日人员加班费”不得低于上述要求，并按照本项目合同履行期内的法定节假日天数进行测算，否则做无效投标处理。</w:t>
            </w:r>
          </w:p>
        </w:tc>
      </w:tr>
      <w:tr w14:paraId="5FCAB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54311BC6">
            <w:pPr>
              <w:widowControl/>
              <w:jc w:val="center"/>
              <w:rPr>
                <w:rFonts w:hint="eastAsia" w:ascii="宋体" w:hAnsi="宋体" w:cs="宋体"/>
                <w:b/>
                <w:bCs/>
                <w:color w:val="000000" w:themeColor="text1"/>
                <w:sz w:val="18"/>
                <w:szCs w:val="18"/>
              </w:rPr>
            </w:pPr>
          </w:p>
        </w:tc>
        <w:tc>
          <w:tcPr>
            <w:tcW w:w="1465" w:type="dxa"/>
            <w:vMerge w:val="continue"/>
            <w:vAlign w:val="center"/>
          </w:tcPr>
          <w:p w14:paraId="7B036F97">
            <w:pPr>
              <w:widowControl/>
              <w:jc w:val="center"/>
              <w:rPr>
                <w:rFonts w:hint="eastAsia" w:ascii="宋体" w:hAnsi="宋体" w:cs="宋体"/>
                <w:b/>
                <w:bCs/>
                <w:color w:val="000000" w:themeColor="text1"/>
                <w:sz w:val="18"/>
                <w:szCs w:val="18"/>
              </w:rPr>
            </w:pPr>
          </w:p>
        </w:tc>
        <w:tc>
          <w:tcPr>
            <w:tcW w:w="780" w:type="dxa"/>
            <w:vAlign w:val="center"/>
          </w:tcPr>
          <w:p w14:paraId="4DDCECF0">
            <w:pPr>
              <w:widowControl/>
              <w:jc w:val="center"/>
              <w:rPr>
                <w:rFonts w:hint="eastAsia" w:ascii="宋体" w:hAnsi="宋体" w:cs="宋体"/>
                <w:color w:val="000000" w:themeColor="text1"/>
                <w:sz w:val="18"/>
                <w:szCs w:val="18"/>
              </w:rPr>
            </w:pPr>
          </w:p>
        </w:tc>
        <w:tc>
          <w:tcPr>
            <w:tcW w:w="727" w:type="dxa"/>
            <w:vAlign w:val="center"/>
          </w:tcPr>
          <w:p w14:paraId="2F7AA169">
            <w:pPr>
              <w:widowControl/>
              <w:jc w:val="center"/>
              <w:rPr>
                <w:rFonts w:hint="eastAsia" w:ascii="宋体" w:hAnsi="宋体" w:cs="宋体"/>
                <w:color w:val="000000" w:themeColor="text1"/>
                <w:sz w:val="18"/>
                <w:szCs w:val="18"/>
              </w:rPr>
            </w:pPr>
          </w:p>
        </w:tc>
        <w:tc>
          <w:tcPr>
            <w:tcW w:w="726" w:type="dxa"/>
            <w:vAlign w:val="center"/>
          </w:tcPr>
          <w:p w14:paraId="0E8EF40B">
            <w:pPr>
              <w:widowControl/>
              <w:jc w:val="center"/>
              <w:rPr>
                <w:rFonts w:hint="eastAsia" w:ascii="宋体" w:hAnsi="宋体" w:cs="宋体"/>
                <w:color w:val="000000" w:themeColor="text1"/>
                <w:sz w:val="18"/>
                <w:szCs w:val="18"/>
              </w:rPr>
            </w:pPr>
          </w:p>
        </w:tc>
        <w:tc>
          <w:tcPr>
            <w:tcW w:w="709" w:type="dxa"/>
            <w:vAlign w:val="center"/>
          </w:tcPr>
          <w:p w14:paraId="1D34F4A2">
            <w:pPr>
              <w:widowControl/>
              <w:jc w:val="center"/>
              <w:rPr>
                <w:rFonts w:hint="eastAsia" w:ascii="宋体" w:hAnsi="宋体" w:cs="宋体"/>
                <w:color w:val="000000" w:themeColor="text1"/>
                <w:sz w:val="18"/>
                <w:szCs w:val="18"/>
              </w:rPr>
            </w:pPr>
          </w:p>
        </w:tc>
        <w:tc>
          <w:tcPr>
            <w:tcW w:w="2034" w:type="dxa"/>
            <w:vAlign w:val="center"/>
          </w:tcPr>
          <w:p w14:paraId="1399ABE4">
            <w:pPr>
              <w:widowControl/>
              <w:jc w:val="left"/>
              <w:rPr>
                <w:rFonts w:hint="eastAsia" w:ascii="宋体" w:hAnsi="宋体" w:cs="宋体"/>
                <w:color w:val="000000" w:themeColor="text1"/>
                <w:sz w:val="18"/>
                <w:szCs w:val="18"/>
              </w:rPr>
            </w:pPr>
          </w:p>
        </w:tc>
        <w:tc>
          <w:tcPr>
            <w:tcW w:w="3633" w:type="dxa"/>
            <w:gridSpan w:val="2"/>
            <w:vAlign w:val="center"/>
          </w:tcPr>
          <w:p w14:paraId="096416C8">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参考计算公式：人员工资÷21.75天（平均月计薪天数）×3×人数×合同履行期内法定节假日天数(13天/年）</w:t>
            </w:r>
          </w:p>
        </w:tc>
      </w:tr>
      <w:tr w14:paraId="20541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000FA7F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4</w:t>
            </w:r>
          </w:p>
        </w:tc>
        <w:tc>
          <w:tcPr>
            <w:tcW w:w="1465" w:type="dxa"/>
            <w:vMerge w:val="restart"/>
            <w:vAlign w:val="center"/>
          </w:tcPr>
          <w:p w14:paraId="73AAA31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平时超时加班工资</w:t>
            </w:r>
          </w:p>
        </w:tc>
        <w:tc>
          <w:tcPr>
            <w:tcW w:w="780" w:type="dxa"/>
            <w:vAlign w:val="center"/>
          </w:tcPr>
          <w:p w14:paraId="743E86D6">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1DC7A81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0F8961C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月超时加班时间</w:t>
            </w:r>
          </w:p>
        </w:tc>
        <w:tc>
          <w:tcPr>
            <w:tcW w:w="709" w:type="dxa"/>
            <w:vAlign w:val="center"/>
          </w:tcPr>
          <w:p w14:paraId="2479428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5AF9D4BC">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3D632A21">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安排劳动者延长工作时间的，支付不低于工资的百分之一百五十的工资报酬。本项目安保服务每天不少于26岗（人）的工作时长为10小时，即每天延长</w:t>
            </w:r>
            <w:r>
              <w:rPr>
                <w:rFonts w:ascii="宋体" w:hAnsi="宋体" w:cs="宋体"/>
                <w:color w:val="000000" w:themeColor="text1"/>
                <w:sz w:val="18"/>
                <w:szCs w:val="18"/>
              </w:rPr>
              <w:t>2</w:t>
            </w:r>
            <w:r>
              <w:rPr>
                <w:rFonts w:hint="eastAsia" w:ascii="宋体" w:hAnsi="宋体" w:cs="宋体"/>
                <w:color w:val="000000" w:themeColor="text1"/>
                <w:sz w:val="18"/>
                <w:szCs w:val="18"/>
              </w:rPr>
              <w:t>小时，报价中的“平时超时加班工资”不得低于上述要求，否则做无效投标处理。</w:t>
            </w:r>
          </w:p>
        </w:tc>
      </w:tr>
      <w:tr w14:paraId="794F2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55A2F8AB">
            <w:pPr>
              <w:widowControl/>
              <w:jc w:val="center"/>
              <w:rPr>
                <w:rFonts w:hint="eastAsia" w:ascii="宋体" w:hAnsi="宋体" w:cs="宋体"/>
                <w:b/>
                <w:bCs/>
                <w:color w:val="000000" w:themeColor="text1"/>
                <w:sz w:val="18"/>
                <w:szCs w:val="18"/>
              </w:rPr>
            </w:pPr>
          </w:p>
        </w:tc>
        <w:tc>
          <w:tcPr>
            <w:tcW w:w="1465" w:type="dxa"/>
            <w:vMerge w:val="continue"/>
            <w:vAlign w:val="center"/>
          </w:tcPr>
          <w:p w14:paraId="682A8CDD">
            <w:pPr>
              <w:widowControl/>
              <w:jc w:val="center"/>
              <w:rPr>
                <w:rFonts w:hint="eastAsia" w:ascii="宋体" w:hAnsi="宋体" w:cs="宋体"/>
                <w:b/>
                <w:bCs/>
                <w:color w:val="000000" w:themeColor="text1"/>
                <w:sz w:val="18"/>
                <w:szCs w:val="18"/>
              </w:rPr>
            </w:pPr>
          </w:p>
        </w:tc>
        <w:tc>
          <w:tcPr>
            <w:tcW w:w="780" w:type="dxa"/>
            <w:vAlign w:val="center"/>
          </w:tcPr>
          <w:p w14:paraId="436AE4D5">
            <w:pPr>
              <w:widowControl/>
              <w:jc w:val="center"/>
              <w:rPr>
                <w:rFonts w:hint="eastAsia" w:ascii="宋体" w:hAnsi="宋体" w:cs="宋体"/>
                <w:b/>
                <w:bCs/>
                <w:color w:val="000000" w:themeColor="text1"/>
                <w:sz w:val="18"/>
                <w:szCs w:val="18"/>
              </w:rPr>
            </w:pPr>
          </w:p>
        </w:tc>
        <w:tc>
          <w:tcPr>
            <w:tcW w:w="727" w:type="dxa"/>
            <w:vAlign w:val="center"/>
          </w:tcPr>
          <w:p w14:paraId="76D9A474">
            <w:pPr>
              <w:widowControl/>
              <w:jc w:val="center"/>
              <w:rPr>
                <w:rFonts w:hint="eastAsia" w:ascii="宋体" w:hAnsi="宋体" w:cs="宋体"/>
                <w:color w:val="000000" w:themeColor="text1"/>
                <w:sz w:val="18"/>
                <w:szCs w:val="18"/>
              </w:rPr>
            </w:pPr>
          </w:p>
        </w:tc>
        <w:tc>
          <w:tcPr>
            <w:tcW w:w="726" w:type="dxa"/>
            <w:vAlign w:val="center"/>
          </w:tcPr>
          <w:p w14:paraId="1686F79F">
            <w:pPr>
              <w:widowControl/>
              <w:jc w:val="center"/>
              <w:rPr>
                <w:rFonts w:hint="eastAsia" w:ascii="宋体" w:hAnsi="宋体" w:cs="宋体"/>
                <w:color w:val="000000" w:themeColor="text1"/>
                <w:sz w:val="18"/>
                <w:szCs w:val="18"/>
              </w:rPr>
            </w:pPr>
          </w:p>
        </w:tc>
        <w:tc>
          <w:tcPr>
            <w:tcW w:w="709" w:type="dxa"/>
            <w:vAlign w:val="center"/>
          </w:tcPr>
          <w:p w14:paraId="52D63D71">
            <w:pPr>
              <w:widowControl/>
              <w:jc w:val="center"/>
              <w:rPr>
                <w:rFonts w:hint="eastAsia" w:ascii="宋体" w:hAnsi="宋体" w:cs="宋体"/>
                <w:color w:val="000000" w:themeColor="text1"/>
                <w:sz w:val="18"/>
                <w:szCs w:val="18"/>
              </w:rPr>
            </w:pPr>
          </w:p>
        </w:tc>
        <w:tc>
          <w:tcPr>
            <w:tcW w:w="2034" w:type="dxa"/>
            <w:vAlign w:val="center"/>
          </w:tcPr>
          <w:p w14:paraId="7FFFF81B">
            <w:pPr>
              <w:widowControl/>
              <w:jc w:val="left"/>
              <w:rPr>
                <w:rFonts w:hint="eastAsia" w:ascii="宋体" w:hAnsi="宋体" w:cs="宋体"/>
                <w:color w:val="000000" w:themeColor="text1"/>
                <w:sz w:val="18"/>
                <w:szCs w:val="18"/>
              </w:rPr>
            </w:pPr>
          </w:p>
        </w:tc>
        <w:tc>
          <w:tcPr>
            <w:tcW w:w="3633" w:type="dxa"/>
            <w:gridSpan w:val="2"/>
            <w:vAlign w:val="center"/>
          </w:tcPr>
          <w:p w14:paraId="19DE1EC5">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参考计算公式：平时上班天数×超时小时数×（人员工资÷174×1.5倍）：（365-104-13）×2×（人员工资÷174×1.5）</w:t>
            </w:r>
          </w:p>
        </w:tc>
      </w:tr>
      <w:tr w14:paraId="429FF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6BD3F5C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5</w:t>
            </w:r>
          </w:p>
        </w:tc>
        <w:tc>
          <w:tcPr>
            <w:tcW w:w="1465" w:type="dxa"/>
            <w:vMerge w:val="restart"/>
            <w:vAlign w:val="center"/>
          </w:tcPr>
          <w:p w14:paraId="3D87C35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双休日</w:t>
            </w:r>
            <w:r>
              <w:rPr>
                <w:rFonts w:ascii="宋体" w:hAnsi="宋体" w:cs="宋体"/>
                <w:b/>
                <w:bCs/>
                <w:color w:val="000000" w:themeColor="text1"/>
                <w:sz w:val="18"/>
                <w:szCs w:val="18"/>
              </w:rPr>
              <w:t>加班</w:t>
            </w:r>
            <w:r>
              <w:rPr>
                <w:rFonts w:hint="eastAsia" w:ascii="宋体" w:hAnsi="宋体" w:cs="宋体"/>
                <w:b/>
                <w:bCs/>
                <w:color w:val="000000" w:themeColor="text1"/>
                <w:sz w:val="18"/>
                <w:szCs w:val="18"/>
              </w:rPr>
              <w:t>工资</w:t>
            </w:r>
          </w:p>
        </w:tc>
        <w:tc>
          <w:tcPr>
            <w:tcW w:w="780" w:type="dxa"/>
            <w:vAlign w:val="center"/>
          </w:tcPr>
          <w:p w14:paraId="1C5E569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6A2CEB92">
            <w:pPr>
              <w:widowControl/>
              <w:jc w:val="center"/>
              <w:rPr>
                <w:rFonts w:hint="eastAsia" w:ascii="宋体" w:hAnsi="宋体" w:cs="宋体"/>
                <w:color w:val="000000" w:themeColor="text1"/>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r>
            <w:r>
              <w:rPr>
                <w:rFonts w:hint="eastAsia" w:ascii="宋体" w:hAnsi="宋体" w:cs="宋体"/>
                <w:color w:val="000000" w:themeColor="text1"/>
                <w:sz w:val="18"/>
                <w:szCs w:val="18"/>
              </w:rPr>
              <w:t>（元/人*月）</w:t>
            </w:r>
          </w:p>
        </w:tc>
        <w:tc>
          <w:tcPr>
            <w:tcW w:w="726" w:type="dxa"/>
            <w:vAlign w:val="center"/>
          </w:tcPr>
          <w:p w14:paraId="58561E86">
            <w:pPr>
              <w:widowControl/>
              <w:jc w:val="center"/>
              <w:rPr>
                <w:rFonts w:hint="eastAsia" w:ascii="宋体" w:hAnsi="宋体" w:cs="宋体"/>
                <w:color w:val="000000" w:themeColor="text1"/>
              </w:rPr>
            </w:pPr>
            <w:r>
              <w:rPr>
                <w:rFonts w:hint="eastAsia" w:ascii="宋体" w:hAnsi="宋体" w:cs="宋体"/>
                <w:color w:val="000000" w:themeColor="text1"/>
                <w:sz w:val="18"/>
                <w:szCs w:val="18"/>
              </w:rPr>
              <w:t>双休日加班天数</w:t>
            </w:r>
          </w:p>
        </w:tc>
        <w:tc>
          <w:tcPr>
            <w:tcW w:w="709" w:type="dxa"/>
            <w:vAlign w:val="center"/>
          </w:tcPr>
          <w:p w14:paraId="7ADDD663">
            <w:pPr>
              <w:widowControl/>
              <w:jc w:val="center"/>
              <w:rPr>
                <w:rFonts w:hint="eastAsia" w:ascii="宋体" w:hAnsi="宋体" w:cs="宋体"/>
                <w:color w:val="000000" w:themeColor="text1"/>
              </w:rPr>
            </w:pPr>
            <w:r>
              <w:rPr>
                <w:rFonts w:hint="eastAsia" w:ascii="宋体" w:hAnsi="宋体" w:cs="宋体"/>
                <w:color w:val="000000" w:themeColor="text1"/>
                <w:sz w:val="18"/>
                <w:szCs w:val="18"/>
              </w:rPr>
              <w:t>分项小计（元）</w:t>
            </w:r>
          </w:p>
        </w:tc>
        <w:tc>
          <w:tcPr>
            <w:tcW w:w="2034" w:type="dxa"/>
            <w:vAlign w:val="center"/>
          </w:tcPr>
          <w:p w14:paraId="2B76A0C2">
            <w:pPr>
              <w:widowControl/>
              <w:jc w:val="left"/>
              <w:rPr>
                <w:rFonts w:hint="eastAsia" w:ascii="宋体" w:hAnsi="宋体" w:cs="宋体"/>
                <w:color w:val="000000" w:themeColor="text1"/>
              </w:rPr>
            </w:pPr>
            <w:r>
              <w:rPr>
                <w:rFonts w:hint="eastAsia" w:ascii="宋体" w:hAnsi="宋体" w:cs="宋体"/>
                <w:color w:val="000000" w:themeColor="text1"/>
                <w:sz w:val="18"/>
                <w:szCs w:val="18"/>
              </w:rPr>
              <w:t>费用计算公式</w:t>
            </w:r>
          </w:p>
        </w:tc>
        <w:tc>
          <w:tcPr>
            <w:tcW w:w="3633" w:type="dxa"/>
            <w:gridSpan w:val="2"/>
            <w:vAlign w:val="center"/>
          </w:tcPr>
          <w:p w14:paraId="0101F1A5">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休息日安排劳动者工作又不能安排补休的，支付不低于正常工资的百分之二百的工资报酬。本项目安保服务双休日在岗人数不少于26人，报价中的“双休日加班工资”不得低于上述要求，并按照本项目合同履行期内的周末加班天数进行测算，否则做无效投标处理。</w:t>
            </w:r>
          </w:p>
        </w:tc>
      </w:tr>
      <w:tr w14:paraId="4ED26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0F0BC466">
            <w:pPr>
              <w:rPr>
                <w:color w:val="000000" w:themeColor="text1"/>
              </w:rPr>
            </w:pPr>
          </w:p>
        </w:tc>
        <w:tc>
          <w:tcPr>
            <w:tcW w:w="1465" w:type="dxa"/>
            <w:vMerge w:val="continue"/>
            <w:vAlign w:val="center"/>
          </w:tcPr>
          <w:p w14:paraId="517A4476">
            <w:pPr>
              <w:rPr>
                <w:color w:val="000000" w:themeColor="text1"/>
              </w:rPr>
            </w:pPr>
          </w:p>
        </w:tc>
        <w:tc>
          <w:tcPr>
            <w:tcW w:w="780" w:type="dxa"/>
            <w:vAlign w:val="center"/>
          </w:tcPr>
          <w:p w14:paraId="5AA140AD">
            <w:pPr>
              <w:widowControl/>
              <w:jc w:val="center"/>
              <w:rPr>
                <w:rFonts w:hint="eastAsia" w:ascii="宋体" w:hAnsi="宋体" w:cs="宋体"/>
                <w:color w:val="000000" w:themeColor="text1"/>
                <w:sz w:val="18"/>
                <w:szCs w:val="18"/>
              </w:rPr>
            </w:pPr>
          </w:p>
        </w:tc>
        <w:tc>
          <w:tcPr>
            <w:tcW w:w="727" w:type="dxa"/>
            <w:vAlign w:val="center"/>
          </w:tcPr>
          <w:p w14:paraId="773B1692">
            <w:pPr>
              <w:widowControl/>
              <w:jc w:val="center"/>
              <w:rPr>
                <w:rFonts w:hint="eastAsia" w:ascii="宋体" w:hAnsi="宋体" w:cs="宋体"/>
                <w:color w:val="000000" w:themeColor="text1"/>
                <w:sz w:val="18"/>
                <w:szCs w:val="18"/>
              </w:rPr>
            </w:pPr>
          </w:p>
        </w:tc>
        <w:tc>
          <w:tcPr>
            <w:tcW w:w="726" w:type="dxa"/>
            <w:vAlign w:val="center"/>
          </w:tcPr>
          <w:p w14:paraId="30DDC432">
            <w:pPr>
              <w:widowControl/>
              <w:jc w:val="center"/>
              <w:rPr>
                <w:rFonts w:hint="eastAsia" w:ascii="宋体" w:hAnsi="宋体" w:cs="宋体"/>
                <w:color w:val="000000" w:themeColor="text1"/>
                <w:sz w:val="18"/>
                <w:szCs w:val="18"/>
              </w:rPr>
            </w:pPr>
          </w:p>
        </w:tc>
        <w:tc>
          <w:tcPr>
            <w:tcW w:w="709" w:type="dxa"/>
            <w:vAlign w:val="center"/>
          </w:tcPr>
          <w:p w14:paraId="46BC6E08">
            <w:pPr>
              <w:widowControl/>
              <w:jc w:val="center"/>
              <w:rPr>
                <w:rFonts w:hint="eastAsia" w:ascii="宋体" w:hAnsi="宋体" w:cs="宋体"/>
                <w:color w:val="000000" w:themeColor="text1"/>
                <w:sz w:val="18"/>
                <w:szCs w:val="18"/>
              </w:rPr>
            </w:pPr>
          </w:p>
        </w:tc>
        <w:tc>
          <w:tcPr>
            <w:tcW w:w="2034" w:type="dxa"/>
            <w:vAlign w:val="center"/>
          </w:tcPr>
          <w:p w14:paraId="45D607C4">
            <w:pPr>
              <w:widowControl/>
              <w:jc w:val="left"/>
              <w:rPr>
                <w:rFonts w:hint="eastAsia" w:ascii="宋体" w:hAnsi="宋体" w:cs="宋体"/>
                <w:color w:val="000000" w:themeColor="text1"/>
                <w:sz w:val="18"/>
                <w:szCs w:val="18"/>
              </w:rPr>
            </w:pPr>
          </w:p>
        </w:tc>
        <w:tc>
          <w:tcPr>
            <w:tcW w:w="3633" w:type="dxa"/>
            <w:gridSpan w:val="2"/>
            <w:vAlign w:val="center"/>
          </w:tcPr>
          <w:p w14:paraId="3EF4C265">
            <w:pPr>
              <w:widowControl/>
              <w:jc w:val="left"/>
              <w:rPr>
                <w:color w:val="000000" w:themeColor="text1"/>
              </w:rPr>
            </w:pPr>
            <w:r>
              <w:rPr>
                <w:rFonts w:hint="eastAsia" w:ascii="宋体" w:hAnsi="宋体" w:cs="宋体"/>
                <w:color w:val="000000" w:themeColor="text1"/>
                <w:sz w:val="18"/>
                <w:szCs w:val="18"/>
              </w:rPr>
              <w:t>参考计算公式：周末上班天数×超时小时数×人员工资÷174×2）：102×10×(人员工资÷174×2)</w:t>
            </w:r>
          </w:p>
        </w:tc>
      </w:tr>
      <w:tr w14:paraId="7E164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79E67EEA">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6</w:t>
            </w:r>
          </w:p>
        </w:tc>
        <w:tc>
          <w:tcPr>
            <w:tcW w:w="10085" w:type="dxa"/>
            <w:gridSpan w:val="9"/>
            <w:vAlign w:val="center"/>
          </w:tcPr>
          <w:p w14:paraId="1A9FC35B">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其他待遇费用</w:t>
            </w:r>
          </w:p>
        </w:tc>
      </w:tr>
      <w:tr w14:paraId="2A432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802" w:type="dxa"/>
            <w:vAlign w:val="center"/>
          </w:tcPr>
          <w:p w14:paraId="37A386F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177E6DD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高温费</w:t>
            </w:r>
          </w:p>
        </w:tc>
        <w:tc>
          <w:tcPr>
            <w:tcW w:w="4987" w:type="dxa"/>
            <w:gridSpan w:val="6"/>
            <w:vAlign w:val="center"/>
          </w:tcPr>
          <w:p w14:paraId="68492B25">
            <w:pPr>
              <w:widowControl/>
              <w:jc w:val="left"/>
              <w:rPr>
                <w:rFonts w:hint="eastAsia" w:ascii="宋体" w:hAnsi="宋体" w:cs="宋体"/>
                <w:color w:val="000000" w:themeColor="text1"/>
                <w:sz w:val="18"/>
                <w:szCs w:val="18"/>
              </w:rPr>
            </w:pPr>
          </w:p>
        </w:tc>
        <w:tc>
          <w:tcPr>
            <w:tcW w:w="3633" w:type="dxa"/>
            <w:gridSpan w:val="2"/>
            <w:vAlign w:val="center"/>
          </w:tcPr>
          <w:p w14:paraId="5A091A4F">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6、7、8、9月，每月300元，共1200元/年。报价中的“高温费”不得低于上述要求，岗位数不得低于26岗（人），否则做无效投标处理。</w:t>
            </w:r>
          </w:p>
        </w:tc>
      </w:tr>
      <w:tr w14:paraId="19F87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6DA7AD42">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54AEAC9E">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服装</w:t>
            </w:r>
          </w:p>
        </w:tc>
        <w:tc>
          <w:tcPr>
            <w:tcW w:w="4987" w:type="dxa"/>
            <w:gridSpan w:val="6"/>
            <w:vAlign w:val="center"/>
          </w:tcPr>
          <w:p w14:paraId="4C211C1D">
            <w:pPr>
              <w:widowControl/>
              <w:jc w:val="left"/>
              <w:rPr>
                <w:rFonts w:hint="eastAsia" w:ascii="宋体" w:hAnsi="宋体" w:cs="宋体"/>
                <w:color w:val="000000" w:themeColor="text1"/>
                <w:sz w:val="18"/>
                <w:szCs w:val="18"/>
              </w:rPr>
            </w:pPr>
          </w:p>
        </w:tc>
        <w:tc>
          <w:tcPr>
            <w:tcW w:w="3633" w:type="dxa"/>
            <w:gridSpan w:val="2"/>
            <w:vAlign w:val="center"/>
          </w:tcPr>
          <w:p w14:paraId="2D4061E6">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春秋服装、大衣、雨衣和全套配饰等，每人每季节至少2套。</w:t>
            </w:r>
          </w:p>
        </w:tc>
      </w:tr>
      <w:tr w14:paraId="72BFF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6B98F71C">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664CCD01">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设备费</w:t>
            </w:r>
          </w:p>
        </w:tc>
        <w:tc>
          <w:tcPr>
            <w:tcW w:w="4987" w:type="dxa"/>
            <w:gridSpan w:val="6"/>
            <w:vAlign w:val="center"/>
          </w:tcPr>
          <w:p w14:paraId="2B61857E">
            <w:pPr>
              <w:widowControl/>
              <w:jc w:val="left"/>
              <w:rPr>
                <w:rFonts w:hint="eastAsia" w:ascii="宋体" w:hAnsi="宋体" w:cs="宋体"/>
                <w:color w:val="000000" w:themeColor="text1"/>
                <w:sz w:val="18"/>
                <w:szCs w:val="18"/>
              </w:rPr>
            </w:pPr>
          </w:p>
        </w:tc>
        <w:tc>
          <w:tcPr>
            <w:tcW w:w="3633" w:type="dxa"/>
            <w:gridSpan w:val="2"/>
            <w:vAlign w:val="center"/>
          </w:tcPr>
          <w:p w14:paraId="574AFC5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对讲机、执法记录仪设备费。配备数量不得低于在岗人数的50%。</w:t>
            </w:r>
          </w:p>
        </w:tc>
      </w:tr>
      <w:tr w14:paraId="0160F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48849AD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（4）</w:t>
            </w:r>
          </w:p>
        </w:tc>
        <w:tc>
          <w:tcPr>
            <w:tcW w:w="1465" w:type="dxa"/>
            <w:vAlign w:val="center"/>
          </w:tcPr>
          <w:p w14:paraId="223626A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培训费</w:t>
            </w:r>
          </w:p>
        </w:tc>
        <w:tc>
          <w:tcPr>
            <w:tcW w:w="4987" w:type="dxa"/>
            <w:gridSpan w:val="6"/>
            <w:vAlign w:val="center"/>
          </w:tcPr>
          <w:p w14:paraId="127636CE">
            <w:pPr>
              <w:widowControl/>
              <w:jc w:val="left"/>
              <w:rPr>
                <w:rFonts w:hint="eastAsia" w:ascii="宋体" w:hAnsi="宋体" w:cs="宋体"/>
                <w:color w:val="000000" w:themeColor="text1"/>
                <w:sz w:val="18"/>
                <w:szCs w:val="18"/>
              </w:rPr>
            </w:pPr>
          </w:p>
        </w:tc>
        <w:tc>
          <w:tcPr>
            <w:tcW w:w="3633" w:type="dxa"/>
            <w:gridSpan w:val="2"/>
            <w:vAlign w:val="center"/>
          </w:tcPr>
          <w:p w14:paraId="5C2137A7">
            <w:pPr>
              <w:widowControl/>
              <w:jc w:val="left"/>
              <w:rPr>
                <w:rFonts w:hint="eastAsia" w:ascii="宋体" w:hAnsi="宋体" w:cs="宋体"/>
                <w:color w:val="000000" w:themeColor="text1"/>
                <w:sz w:val="18"/>
                <w:szCs w:val="18"/>
              </w:rPr>
            </w:pPr>
          </w:p>
        </w:tc>
      </w:tr>
      <w:tr w14:paraId="702F0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7F3314F8">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（5）</w:t>
            </w:r>
          </w:p>
        </w:tc>
        <w:tc>
          <w:tcPr>
            <w:tcW w:w="1465" w:type="dxa"/>
            <w:vAlign w:val="center"/>
          </w:tcPr>
          <w:p w14:paraId="65B86108">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餐费</w:t>
            </w:r>
          </w:p>
        </w:tc>
        <w:tc>
          <w:tcPr>
            <w:tcW w:w="4987" w:type="dxa"/>
            <w:gridSpan w:val="6"/>
            <w:vAlign w:val="center"/>
          </w:tcPr>
          <w:p w14:paraId="6D6F6DB5">
            <w:pPr>
              <w:widowControl/>
              <w:jc w:val="left"/>
              <w:rPr>
                <w:rFonts w:hint="eastAsia" w:ascii="宋体" w:hAnsi="宋体" w:cs="宋体"/>
                <w:color w:val="000000" w:themeColor="text1"/>
                <w:sz w:val="18"/>
                <w:szCs w:val="18"/>
              </w:rPr>
            </w:pPr>
          </w:p>
        </w:tc>
        <w:tc>
          <w:tcPr>
            <w:tcW w:w="3633" w:type="dxa"/>
            <w:gridSpan w:val="2"/>
            <w:vAlign w:val="center"/>
          </w:tcPr>
          <w:p w14:paraId="66D0B7FB">
            <w:pPr>
              <w:widowControl/>
              <w:jc w:val="left"/>
              <w:rPr>
                <w:rFonts w:hint="eastAsia" w:ascii="宋体" w:hAnsi="宋体" w:cs="宋体"/>
                <w:color w:val="000000" w:themeColor="text1"/>
                <w:sz w:val="18"/>
                <w:szCs w:val="18"/>
              </w:rPr>
            </w:pPr>
          </w:p>
        </w:tc>
      </w:tr>
      <w:tr w14:paraId="771C8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5680056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（6）</w:t>
            </w:r>
          </w:p>
        </w:tc>
        <w:tc>
          <w:tcPr>
            <w:tcW w:w="1465" w:type="dxa"/>
            <w:vAlign w:val="center"/>
          </w:tcPr>
          <w:p w14:paraId="085C01A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交通费</w:t>
            </w:r>
          </w:p>
        </w:tc>
        <w:tc>
          <w:tcPr>
            <w:tcW w:w="4987" w:type="dxa"/>
            <w:gridSpan w:val="6"/>
            <w:vAlign w:val="center"/>
          </w:tcPr>
          <w:p w14:paraId="4CB95211">
            <w:pPr>
              <w:widowControl/>
              <w:jc w:val="left"/>
              <w:rPr>
                <w:rFonts w:hint="eastAsia" w:ascii="宋体" w:hAnsi="宋体" w:cs="宋体"/>
                <w:color w:val="000000" w:themeColor="text1"/>
                <w:sz w:val="18"/>
                <w:szCs w:val="18"/>
              </w:rPr>
            </w:pPr>
          </w:p>
        </w:tc>
        <w:tc>
          <w:tcPr>
            <w:tcW w:w="3633" w:type="dxa"/>
            <w:gridSpan w:val="2"/>
            <w:vAlign w:val="center"/>
          </w:tcPr>
          <w:p w14:paraId="7C8E388E">
            <w:pPr>
              <w:widowControl/>
              <w:jc w:val="left"/>
              <w:rPr>
                <w:rFonts w:hint="eastAsia" w:ascii="宋体" w:hAnsi="宋体" w:cs="宋体"/>
                <w:color w:val="000000" w:themeColor="text1"/>
                <w:sz w:val="18"/>
                <w:szCs w:val="18"/>
              </w:rPr>
            </w:pPr>
          </w:p>
        </w:tc>
      </w:tr>
      <w:tr w14:paraId="5156D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1D425B8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（7）</w:t>
            </w:r>
          </w:p>
        </w:tc>
        <w:tc>
          <w:tcPr>
            <w:tcW w:w="1465" w:type="dxa"/>
            <w:vAlign w:val="center"/>
          </w:tcPr>
          <w:p w14:paraId="15BF02D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通讯费</w:t>
            </w:r>
          </w:p>
        </w:tc>
        <w:tc>
          <w:tcPr>
            <w:tcW w:w="4987" w:type="dxa"/>
            <w:gridSpan w:val="6"/>
            <w:vAlign w:val="center"/>
          </w:tcPr>
          <w:p w14:paraId="5BDDE5E6">
            <w:pPr>
              <w:widowControl/>
              <w:jc w:val="left"/>
              <w:rPr>
                <w:rFonts w:hint="eastAsia" w:ascii="宋体" w:hAnsi="宋体" w:cs="宋体"/>
                <w:color w:val="000000" w:themeColor="text1"/>
                <w:sz w:val="18"/>
                <w:szCs w:val="18"/>
              </w:rPr>
            </w:pPr>
          </w:p>
        </w:tc>
        <w:tc>
          <w:tcPr>
            <w:tcW w:w="3633" w:type="dxa"/>
            <w:gridSpan w:val="2"/>
            <w:vAlign w:val="center"/>
          </w:tcPr>
          <w:p w14:paraId="6AC98DEE">
            <w:pPr>
              <w:widowControl/>
              <w:jc w:val="left"/>
              <w:rPr>
                <w:rFonts w:hint="eastAsia" w:ascii="宋体" w:hAnsi="宋体" w:cs="宋体"/>
                <w:color w:val="000000" w:themeColor="text1"/>
                <w:sz w:val="18"/>
                <w:szCs w:val="18"/>
              </w:rPr>
            </w:pPr>
          </w:p>
        </w:tc>
      </w:tr>
      <w:tr w14:paraId="18676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0C07325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（8）</w:t>
            </w:r>
          </w:p>
        </w:tc>
        <w:tc>
          <w:tcPr>
            <w:tcW w:w="1465" w:type="dxa"/>
            <w:vAlign w:val="center"/>
          </w:tcPr>
          <w:p w14:paraId="0B22EEC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商业险</w:t>
            </w:r>
          </w:p>
        </w:tc>
        <w:tc>
          <w:tcPr>
            <w:tcW w:w="4987" w:type="dxa"/>
            <w:gridSpan w:val="6"/>
            <w:vAlign w:val="center"/>
          </w:tcPr>
          <w:p w14:paraId="562FF4FB">
            <w:pPr>
              <w:widowControl/>
              <w:jc w:val="left"/>
              <w:rPr>
                <w:rFonts w:hint="eastAsia" w:ascii="宋体" w:hAnsi="宋体" w:cs="宋体"/>
                <w:color w:val="000000" w:themeColor="text1"/>
                <w:sz w:val="18"/>
                <w:szCs w:val="18"/>
              </w:rPr>
            </w:pPr>
          </w:p>
        </w:tc>
        <w:tc>
          <w:tcPr>
            <w:tcW w:w="3633" w:type="dxa"/>
            <w:gridSpan w:val="2"/>
            <w:vAlign w:val="center"/>
          </w:tcPr>
          <w:p w14:paraId="08D6181B">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雇住责任险和人身意外伤害险（员工伤亡最高赔付80万元/人），人数不得低于本项目最低岗位配置数。</w:t>
            </w:r>
          </w:p>
        </w:tc>
      </w:tr>
      <w:tr w14:paraId="10A54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52A310D9">
            <w:pPr>
              <w:widowControl/>
              <w:jc w:val="center"/>
              <w:rPr>
                <w:rFonts w:hint="eastAsia" w:ascii="宋体" w:hAnsi="宋体" w:cs="宋体"/>
                <w:color w:val="000000" w:themeColor="text1"/>
                <w:sz w:val="18"/>
                <w:szCs w:val="18"/>
              </w:rPr>
            </w:pPr>
            <w:r>
              <w:rPr>
                <w:rFonts w:ascii="宋体" w:hAnsi="宋体" w:cs="宋体"/>
                <w:color w:val="000000" w:themeColor="text1"/>
                <w:sz w:val="18"/>
                <w:szCs w:val="18"/>
              </w:rPr>
              <w:t>...</w:t>
            </w:r>
          </w:p>
        </w:tc>
        <w:tc>
          <w:tcPr>
            <w:tcW w:w="1465" w:type="dxa"/>
            <w:vAlign w:val="center"/>
          </w:tcPr>
          <w:p w14:paraId="54CA3ACF">
            <w:pPr>
              <w:widowControl/>
              <w:jc w:val="center"/>
              <w:rPr>
                <w:rFonts w:hint="eastAsia" w:ascii="宋体" w:hAnsi="宋体" w:cs="宋体"/>
                <w:color w:val="000000" w:themeColor="text1"/>
                <w:sz w:val="18"/>
                <w:szCs w:val="18"/>
              </w:rPr>
            </w:pPr>
          </w:p>
        </w:tc>
        <w:tc>
          <w:tcPr>
            <w:tcW w:w="4987" w:type="dxa"/>
            <w:gridSpan w:val="6"/>
            <w:vAlign w:val="center"/>
          </w:tcPr>
          <w:p w14:paraId="6D3EF934">
            <w:pPr>
              <w:widowControl/>
              <w:jc w:val="left"/>
              <w:rPr>
                <w:rFonts w:hint="eastAsia" w:ascii="宋体" w:hAnsi="宋体" w:cs="宋体"/>
                <w:color w:val="000000" w:themeColor="text1"/>
                <w:sz w:val="18"/>
                <w:szCs w:val="18"/>
              </w:rPr>
            </w:pPr>
          </w:p>
        </w:tc>
        <w:tc>
          <w:tcPr>
            <w:tcW w:w="3633" w:type="dxa"/>
            <w:gridSpan w:val="2"/>
            <w:vAlign w:val="center"/>
          </w:tcPr>
          <w:p w14:paraId="23EB3036">
            <w:pPr>
              <w:widowControl/>
              <w:jc w:val="left"/>
              <w:rPr>
                <w:rFonts w:hint="eastAsia" w:ascii="宋体" w:hAnsi="宋体" w:cs="宋体"/>
                <w:color w:val="000000" w:themeColor="text1"/>
                <w:sz w:val="18"/>
                <w:szCs w:val="18"/>
              </w:rPr>
            </w:pPr>
          </w:p>
        </w:tc>
      </w:tr>
      <w:tr w14:paraId="198EE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2F76C6C5">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7</w:t>
            </w:r>
          </w:p>
        </w:tc>
        <w:tc>
          <w:tcPr>
            <w:tcW w:w="1465" w:type="dxa"/>
            <w:vAlign w:val="center"/>
          </w:tcPr>
          <w:p w14:paraId="7AB43AF8">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管理费</w:t>
            </w:r>
          </w:p>
        </w:tc>
        <w:tc>
          <w:tcPr>
            <w:tcW w:w="4987" w:type="dxa"/>
            <w:gridSpan w:val="6"/>
            <w:vAlign w:val="center"/>
          </w:tcPr>
          <w:p w14:paraId="6F474044">
            <w:pPr>
              <w:widowControl/>
              <w:rPr>
                <w:rFonts w:hint="eastAsia" w:ascii="宋体" w:hAnsi="宋体" w:cs="宋体"/>
                <w:color w:val="000000" w:themeColor="text1"/>
                <w:sz w:val="18"/>
                <w:szCs w:val="18"/>
              </w:rPr>
            </w:pPr>
          </w:p>
        </w:tc>
        <w:tc>
          <w:tcPr>
            <w:tcW w:w="3633" w:type="dxa"/>
            <w:gridSpan w:val="2"/>
            <w:vAlign w:val="center"/>
          </w:tcPr>
          <w:p w14:paraId="1B795A6E">
            <w:pPr>
              <w:widowControl/>
              <w:rPr>
                <w:rFonts w:hint="eastAsia" w:ascii="宋体" w:hAnsi="宋体" w:cs="宋体"/>
                <w:color w:val="000000" w:themeColor="text1"/>
                <w:sz w:val="18"/>
                <w:szCs w:val="18"/>
              </w:rPr>
            </w:pPr>
          </w:p>
        </w:tc>
      </w:tr>
      <w:tr w14:paraId="1B08A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2" w:type="dxa"/>
            <w:vAlign w:val="center"/>
          </w:tcPr>
          <w:p w14:paraId="1B2043B4">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8</w:t>
            </w:r>
          </w:p>
        </w:tc>
        <w:tc>
          <w:tcPr>
            <w:tcW w:w="1465" w:type="dxa"/>
            <w:vAlign w:val="center"/>
          </w:tcPr>
          <w:p w14:paraId="3FD21D31">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法定税费</w:t>
            </w:r>
          </w:p>
        </w:tc>
        <w:tc>
          <w:tcPr>
            <w:tcW w:w="4987" w:type="dxa"/>
            <w:gridSpan w:val="6"/>
            <w:noWrap/>
            <w:vAlign w:val="center"/>
          </w:tcPr>
          <w:p w14:paraId="7AB6C19B">
            <w:pPr>
              <w:widowControl/>
              <w:jc w:val="left"/>
              <w:rPr>
                <w:rFonts w:hint="eastAsia" w:ascii="宋体" w:hAnsi="宋体" w:cs="宋体"/>
                <w:color w:val="000000" w:themeColor="text1"/>
                <w:sz w:val="18"/>
                <w:szCs w:val="18"/>
              </w:rPr>
            </w:pPr>
          </w:p>
        </w:tc>
        <w:tc>
          <w:tcPr>
            <w:tcW w:w="3633" w:type="dxa"/>
            <w:gridSpan w:val="2"/>
            <w:noWrap/>
            <w:vAlign w:val="center"/>
          </w:tcPr>
          <w:p w14:paraId="502E4B39">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填报税费。</w:t>
            </w:r>
          </w:p>
        </w:tc>
      </w:tr>
      <w:tr w14:paraId="719E2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35770388">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9</w:t>
            </w:r>
          </w:p>
        </w:tc>
        <w:tc>
          <w:tcPr>
            <w:tcW w:w="1465" w:type="dxa"/>
            <w:vAlign w:val="center"/>
          </w:tcPr>
          <w:p w14:paraId="31CF51CC">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其他费用</w:t>
            </w:r>
          </w:p>
        </w:tc>
        <w:tc>
          <w:tcPr>
            <w:tcW w:w="4987" w:type="dxa"/>
            <w:gridSpan w:val="6"/>
            <w:noWrap/>
            <w:vAlign w:val="center"/>
          </w:tcPr>
          <w:p w14:paraId="7981CD55">
            <w:pPr>
              <w:widowControl/>
              <w:jc w:val="left"/>
              <w:rPr>
                <w:rFonts w:hint="eastAsia" w:ascii="宋体" w:hAnsi="宋体" w:cs="宋体"/>
                <w:color w:val="000000" w:themeColor="text1"/>
                <w:sz w:val="18"/>
                <w:szCs w:val="18"/>
              </w:rPr>
            </w:pPr>
          </w:p>
        </w:tc>
        <w:tc>
          <w:tcPr>
            <w:tcW w:w="3633" w:type="dxa"/>
            <w:gridSpan w:val="2"/>
            <w:noWrap/>
            <w:vAlign w:val="center"/>
          </w:tcPr>
          <w:p w14:paraId="03AF2800">
            <w:pPr>
              <w:widowControl/>
              <w:jc w:val="left"/>
              <w:rPr>
                <w:rFonts w:hint="eastAsia" w:ascii="宋体" w:hAnsi="宋体" w:cs="宋体"/>
                <w:b/>
                <w:bCs/>
                <w:color w:val="000000" w:themeColor="text1"/>
                <w:sz w:val="18"/>
                <w:szCs w:val="18"/>
              </w:rPr>
            </w:pPr>
            <w:r>
              <w:rPr>
                <w:rFonts w:hint="eastAsia" w:ascii="宋体" w:hAnsi="宋体" w:cs="宋体"/>
                <w:color w:val="000000" w:themeColor="text1"/>
                <w:sz w:val="18"/>
                <w:szCs w:val="18"/>
              </w:rPr>
              <w:t>供应商认为可能发生的其他费用。</w:t>
            </w:r>
          </w:p>
        </w:tc>
      </w:tr>
      <w:tr w14:paraId="41A2F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802" w:type="dxa"/>
            <w:vAlign w:val="center"/>
          </w:tcPr>
          <w:p w14:paraId="5C4BA0C9">
            <w:pPr>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10</w:t>
            </w:r>
          </w:p>
        </w:tc>
        <w:tc>
          <w:tcPr>
            <w:tcW w:w="1465" w:type="dxa"/>
            <w:vAlign w:val="center"/>
          </w:tcPr>
          <w:p w14:paraId="5C6435E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投标总价（元）</w:t>
            </w:r>
          </w:p>
        </w:tc>
        <w:tc>
          <w:tcPr>
            <w:tcW w:w="8620" w:type="dxa"/>
            <w:gridSpan w:val="8"/>
            <w:vAlign w:val="center"/>
          </w:tcPr>
          <w:p w14:paraId="0B75CF6B">
            <w:pPr>
              <w:jc w:val="center"/>
              <w:rPr>
                <w:rFonts w:hint="eastAsia" w:ascii="宋体" w:hAnsi="宋体" w:cs="宋体"/>
                <w:b/>
                <w:bCs/>
                <w:color w:val="000000" w:themeColor="text1"/>
                <w:sz w:val="18"/>
                <w:szCs w:val="18"/>
              </w:rPr>
            </w:pPr>
          </w:p>
        </w:tc>
      </w:tr>
      <w:tr w14:paraId="09538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9" w:hRule="atLeast"/>
          <w:jc w:val="center"/>
        </w:trPr>
        <w:tc>
          <w:tcPr>
            <w:tcW w:w="10887" w:type="dxa"/>
            <w:gridSpan w:val="10"/>
            <w:vAlign w:val="center"/>
          </w:tcPr>
          <w:p w14:paraId="248B2693">
            <w:pPr>
              <w:jc w:val="left"/>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注：（1）此表为样表，行数可自行添加，但表式不变。如有其他费用，供应商自行计算填列。（2）报价中的各分项报价均不得为“零”或负数（其他费用可以为“零”但不得为负数），否则做无效投标处理。（3）服务时间不足一年的，按照采购文件规定服务时间测算。（4）《投标报价明细表》“投标总价”应当与《开标一览表》中“投标总报价”一致。（5）此表中所有数值保留小数点后两位进行计算。</w:t>
            </w:r>
          </w:p>
        </w:tc>
      </w:tr>
    </w:tbl>
    <w:p w14:paraId="64CDF060">
      <w:pPr>
        <w:pStyle w:val="44"/>
        <w:rPr>
          <w:color w:val="000000" w:themeColor="text1"/>
        </w:rPr>
      </w:pPr>
    </w:p>
    <w:p w14:paraId="4B8B71A9">
      <w:pPr>
        <w:widowControl/>
        <w:jc w:val="left"/>
        <w:rPr>
          <w:color w:val="000000" w:themeColor="text1"/>
        </w:rPr>
      </w:pPr>
      <w:r>
        <w:rPr>
          <w:color w:val="000000" w:themeColor="text1"/>
        </w:rPr>
        <w:br w:type="page"/>
      </w:r>
    </w:p>
    <w:p w14:paraId="3F94319E">
      <w:pPr>
        <w:pStyle w:val="4"/>
        <w:jc w:val="center"/>
        <w:rPr>
          <w:rFonts w:hint="eastAsia" w:ascii="黑体" w:hAnsi="黑体" w:eastAsia="黑体"/>
          <w:color w:val="000000" w:themeColor="text1"/>
          <w:sz w:val="36"/>
          <w:szCs w:val="36"/>
        </w:rPr>
      </w:pPr>
      <w:r>
        <w:rPr>
          <w:rFonts w:hint="eastAsia" w:ascii="黑体" w:hAnsi="黑体" w:eastAsia="黑体"/>
          <w:color w:val="000000" w:themeColor="text1"/>
          <w:sz w:val="36"/>
          <w:szCs w:val="36"/>
        </w:rPr>
        <w:t>采购包4投标报价明细表</w:t>
      </w:r>
    </w:p>
    <w:p w14:paraId="33405058">
      <w:pPr>
        <w:jc w:val="center"/>
        <w:rPr>
          <w:color w:val="000000" w:themeColor="text1"/>
          <w:sz w:val="32"/>
          <w:szCs w:val="32"/>
        </w:rPr>
      </w:pPr>
      <w:r>
        <w:rPr>
          <w:rFonts w:hint="eastAsia"/>
          <w:color w:val="000000" w:themeColor="text1"/>
          <w:sz w:val="32"/>
          <w:szCs w:val="32"/>
        </w:rPr>
        <w:t>（</w:t>
      </w:r>
      <w:r>
        <w:rPr>
          <w:color w:val="000000" w:themeColor="text1"/>
          <w:sz w:val="32"/>
          <w:szCs w:val="32"/>
        </w:rPr>
        <w:t>明孝陵区域安保服务</w:t>
      </w:r>
      <w:r>
        <w:rPr>
          <w:rFonts w:hint="eastAsia"/>
          <w:color w:val="000000" w:themeColor="text1"/>
          <w:sz w:val="32"/>
          <w:szCs w:val="32"/>
        </w:rPr>
        <w:t>）</w:t>
      </w:r>
    </w:p>
    <w:tbl>
      <w:tblPr>
        <w:tblStyle w:val="45"/>
        <w:tblW w:w="586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2"/>
        <w:gridCol w:w="1465"/>
        <w:gridCol w:w="780"/>
        <w:gridCol w:w="727"/>
        <w:gridCol w:w="726"/>
        <w:gridCol w:w="709"/>
        <w:gridCol w:w="2034"/>
        <w:gridCol w:w="11"/>
        <w:gridCol w:w="3622"/>
        <w:gridCol w:w="11"/>
      </w:tblGrid>
      <w:tr w14:paraId="1AC5A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619" w:hRule="atLeast"/>
          <w:jc w:val="center"/>
        </w:trPr>
        <w:tc>
          <w:tcPr>
            <w:tcW w:w="802" w:type="dxa"/>
            <w:tcBorders>
              <w:bottom w:val="single" w:color="000000" w:sz="4" w:space="0"/>
            </w:tcBorders>
            <w:vAlign w:val="center"/>
          </w:tcPr>
          <w:p w14:paraId="4557008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序号</w:t>
            </w:r>
          </w:p>
        </w:tc>
        <w:tc>
          <w:tcPr>
            <w:tcW w:w="1465" w:type="dxa"/>
            <w:vAlign w:val="center"/>
          </w:tcPr>
          <w:p w14:paraId="35BD3774">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分项名称</w:t>
            </w:r>
          </w:p>
        </w:tc>
        <w:tc>
          <w:tcPr>
            <w:tcW w:w="780" w:type="dxa"/>
            <w:vAlign w:val="center"/>
          </w:tcPr>
          <w:p w14:paraId="37053E40">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5F31E04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单价</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（元/人*月）</w:t>
            </w:r>
          </w:p>
        </w:tc>
        <w:tc>
          <w:tcPr>
            <w:tcW w:w="726" w:type="dxa"/>
            <w:vAlign w:val="center"/>
          </w:tcPr>
          <w:p w14:paraId="17772658">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月数</w:t>
            </w:r>
          </w:p>
          <w:p w14:paraId="5106CA2C">
            <w:pPr>
              <w:pStyle w:val="44"/>
              <w:spacing w:after="0"/>
              <w:ind w:left="0" w:leftChars="0" w:firstLine="0" w:firstLineChars="0"/>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（11）</w:t>
            </w:r>
          </w:p>
        </w:tc>
        <w:tc>
          <w:tcPr>
            <w:tcW w:w="709" w:type="dxa"/>
            <w:vAlign w:val="center"/>
          </w:tcPr>
          <w:p w14:paraId="0C86C96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分项小计</w:t>
            </w:r>
            <w:r>
              <w:rPr>
                <w:rFonts w:hint="eastAsia" w:ascii="宋体" w:hAnsi="宋体" w:cs="宋体"/>
                <w:b/>
                <w:bCs/>
                <w:color w:val="000000" w:themeColor="text1"/>
                <w:sz w:val="18"/>
                <w:szCs w:val="18"/>
              </w:rPr>
              <w:br w:type="textWrapping" w:clear="all"/>
            </w:r>
            <w:r>
              <w:rPr>
                <w:rFonts w:hint="eastAsia" w:ascii="宋体" w:hAnsi="宋体" w:cs="宋体"/>
                <w:b/>
                <w:bCs/>
                <w:color w:val="000000" w:themeColor="text1"/>
                <w:sz w:val="18"/>
                <w:szCs w:val="18"/>
              </w:rPr>
              <w:t>（元）</w:t>
            </w:r>
          </w:p>
        </w:tc>
        <w:tc>
          <w:tcPr>
            <w:tcW w:w="2034" w:type="dxa"/>
            <w:vAlign w:val="center"/>
          </w:tcPr>
          <w:p w14:paraId="29E9894D">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费用计算公式</w:t>
            </w:r>
          </w:p>
        </w:tc>
        <w:tc>
          <w:tcPr>
            <w:tcW w:w="3633" w:type="dxa"/>
            <w:gridSpan w:val="2"/>
            <w:vAlign w:val="center"/>
          </w:tcPr>
          <w:p w14:paraId="7F4525BC">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备注</w:t>
            </w:r>
          </w:p>
        </w:tc>
      </w:tr>
      <w:tr w14:paraId="72A71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802" w:type="dxa"/>
            <w:tcBorders>
              <w:top w:val="single" w:color="000000" w:sz="4" w:space="0"/>
              <w:left w:val="single" w:color="000000" w:sz="4" w:space="0"/>
              <w:bottom w:val="single" w:color="000000" w:sz="4" w:space="0"/>
              <w:right w:val="single" w:color="000000" w:sz="4" w:space="0"/>
            </w:tcBorders>
            <w:vAlign w:val="center"/>
          </w:tcPr>
          <w:p w14:paraId="2C2C32B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w:t>
            </w:r>
          </w:p>
        </w:tc>
        <w:tc>
          <w:tcPr>
            <w:tcW w:w="6452" w:type="dxa"/>
            <w:gridSpan w:val="7"/>
            <w:tcBorders>
              <w:left w:val="single" w:color="000000" w:sz="4" w:space="0"/>
            </w:tcBorders>
            <w:vAlign w:val="center"/>
          </w:tcPr>
          <w:p w14:paraId="36A38F39">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人员工资</w:t>
            </w:r>
          </w:p>
        </w:tc>
        <w:tc>
          <w:tcPr>
            <w:tcW w:w="3633" w:type="dxa"/>
            <w:gridSpan w:val="2"/>
            <w:vAlign w:val="center"/>
          </w:tcPr>
          <w:p w14:paraId="3BBA3C46">
            <w:pPr>
              <w:widowControl/>
              <w:jc w:val="left"/>
              <w:rPr>
                <w:color w:val="000000" w:themeColor="text1"/>
              </w:rPr>
            </w:pPr>
            <w:r>
              <w:rPr>
                <w:rFonts w:hint="eastAsia" w:ascii="宋体" w:hAnsi="宋体" w:cs="宋体"/>
                <w:color w:val="000000" w:themeColor="text1"/>
                <w:sz w:val="18"/>
                <w:szCs w:val="18"/>
              </w:rPr>
              <w:t>拟投入的日常人员每日不得低于33岗（人），人员工资不得低于南京市最低工资标准，供应商须在《投标报价明细表》中按照采购需求中安保服务人员岗位分别填报员工工资，否则做无效投标处理。</w:t>
            </w:r>
          </w:p>
        </w:tc>
      </w:tr>
      <w:tr w14:paraId="489E9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tcBorders>
              <w:top w:val="single" w:color="000000" w:sz="4" w:space="0"/>
            </w:tcBorders>
            <w:vAlign w:val="center"/>
          </w:tcPr>
          <w:p w14:paraId="0F1B1599">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1D18479B">
            <w:pPr>
              <w:widowControl/>
              <w:jc w:val="center"/>
              <w:rPr>
                <w:rFonts w:hint="eastAsia" w:ascii="宋体" w:hAnsi="宋体" w:cs="宋体"/>
                <w:color w:val="000000" w:themeColor="text1"/>
                <w:sz w:val="18"/>
                <w:szCs w:val="18"/>
              </w:rPr>
            </w:pPr>
          </w:p>
        </w:tc>
        <w:tc>
          <w:tcPr>
            <w:tcW w:w="780" w:type="dxa"/>
            <w:vAlign w:val="center"/>
          </w:tcPr>
          <w:p w14:paraId="477FC18D">
            <w:pPr>
              <w:jc w:val="center"/>
              <w:rPr>
                <w:rFonts w:hint="eastAsia" w:ascii="宋体" w:hAnsi="宋体" w:cs="宋体"/>
                <w:b/>
                <w:bCs/>
                <w:color w:val="000000" w:themeColor="text1"/>
                <w:sz w:val="18"/>
                <w:szCs w:val="18"/>
              </w:rPr>
            </w:pPr>
          </w:p>
        </w:tc>
        <w:tc>
          <w:tcPr>
            <w:tcW w:w="727" w:type="dxa"/>
            <w:vAlign w:val="center"/>
          </w:tcPr>
          <w:p w14:paraId="0B311990">
            <w:pPr>
              <w:jc w:val="center"/>
              <w:rPr>
                <w:rFonts w:hint="eastAsia" w:ascii="宋体" w:hAnsi="宋体" w:cs="宋体"/>
                <w:b/>
                <w:bCs/>
                <w:color w:val="000000" w:themeColor="text1"/>
                <w:sz w:val="18"/>
                <w:szCs w:val="18"/>
              </w:rPr>
            </w:pPr>
          </w:p>
        </w:tc>
        <w:tc>
          <w:tcPr>
            <w:tcW w:w="726" w:type="dxa"/>
            <w:vAlign w:val="center"/>
          </w:tcPr>
          <w:p w14:paraId="75AE6CE5">
            <w:pPr>
              <w:jc w:val="center"/>
              <w:rPr>
                <w:rFonts w:hint="eastAsia" w:ascii="宋体" w:hAnsi="宋体" w:cs="宋体"/>
                <w:b/>
                <w:bCs/>
                <w:color w:val="000000" w:themeColor="text1"/>
                <w:sz w:val="18"/>
                <w:szCs w:val="18"/>
              </w:rPr>
            </w:pPr>
          </w:p>
        </w:tc>
        <w:tc>
          <w:tcPr>
            <w:tcW w:w="709" w:type="dxa"/>
            <w:vAlign w:val="center"/>
          </w:tcPr>
          <w:p w14:paraId="3F948740">
            <w:pPr>
              <w:jc w:val="center"/>
              <w:rPr>
                <w:rFonts w:hint="eastAsia" w:ascii="宋体" w:hAnsi="宋体" w:cs="宋体"/>
                <w:b/>
                <w:bCs/>
                <w:color w:val="000000" w:themeColor="text1"/>
                <w:sz w:val="18"/>
                <w:szCs w:val="18"/>
              </w:rPr>
            </w:pPr>
          </w:p>
        </w:tc>
        <w:tc>
          <w:tcPr>
            <w:tcW w:w="2034" w:type="dxa"/>
            <w:vAlign w:val="center"/>
          </w:tcPr>
          <w:p w14:paraId="4015780B">
            <w:pPr>
              <w:jc w:val="left"/>
              <w:rPr>
                <w:rFonts w:hint="eastAsia" w:ascii="宋体" w:hAnsi="宋体" w:cs="宋体"/>
                <w:color w:val="000000" w:themeColor="text1"/>
                <w:sz w:val="18"/>
                <w:szCs w:val="18"/>
              </w:rPr>
            </w:pPr>
          </w:p>
        </w:tc>
        <w:tc>
          <w:tcPr>
            <w:tcW w:w="3633" w:type="dxa"/>
            <w:gridSpan w:val="2"/>
            <w:vMerge w:val="restart"/>
            <w:vAlign w:val="center"/>
          </w:tcPr>
          <w:p w14:paraId="12AB1704">
            <w:pPr>
              <w:jc w:val="left"/>
              <w:rPr>
                <w:rFonts w:hint="eastAsia" w:ascii="宋体" w:hAnsi="宋体" w:cs="宋体"/>
                <w:color w:val="000000" w:themeColor="text1"/>
                <w:sz w:val="18"/>
                <w:szCs w:val="18"/>
              </w:rPr>
            </w:pPr>
          </w:p>
        </w:tc>
      </w:tr>
      <w:tr w14:paraId="5E4B6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0866B51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673E708C">
            <w:pPr>
              <w:widowControl/>
              <w:jc w:val="center"/>
              <w:rPr>
                <w:rFonts w:hint="eastAsia" w:ascii="宋体" w:hAnsi="宋体" w:cs="宋体"/>
                <w:color w:val="000000" w:themeColor="text1"/>
                <w:sz w:val="18"/>
                <w:szCs w:val="18"/>
              </w:rPr>
            </w:pPr>
          </w:p>
        </w:tc>
        <w:tc>
          <w:tcPr>
            <w:tcW w:w="780" w:type="dxa"/>
            <w:vAlign w:val="center"/>
          </w:tcPr>
          <w:p w14:paraId="61709D59">
            <w:pPr>
              <w:jc w:val="center"/>
              <w:rPr>
                <w:rFonts w:hint="eastAsia" w:ascii="宋体" w:hAnsi="宋体" w:cs="宋体"/>
                <w:b/>
                <w:bCs/>
                <w:color w:val="000000" w:themeColor="text1"/>
                <w:sz w:val="18"/>
                <w:szCs w:val="18"/>
              </w:rPr>
            </w:pPr>
          </w:p>
        </w:tc>
        <w:tc>
          <w:tcPr>
            <w:tcW w:w="727" w:type="dxa"/>
            <w:vAlign w:val="center"/>
          </w:tcPr>
          <w:p w14:paraId="38514E27">
            <w:pPr>
              <w:jc w:val="center"/>
              <w:rPr>
                <w:rFonts w:hint="eastAsia" w:ascii="宋体" w:hAnsi="宋体" w:cs="宋体"/>
                <w:b/>
                <w:bCs/>
                <w:color w:val="000000" w:themeColor="text1"/>
                <w:sz w:val="18"/>
                <w:szCs w:val="18"/>
              </w:rPr>
            </w:pPr>
          </w:p>
        </w:tc>
        <w:tc>
          <w:tcPr>
            <w:tcW w:w="726" w:type="dxa"/>
            <w:vAlign w:val="center"/>
          </w:tcPr>
          <w:p w14:paraId="222FFA72">
            <w:pPr>
              <w:jc w:val="center"/>
              <w:rPr>
                <w:rFonts w:hint="eastAsia" w:ascii="宋体" w:hAnsi="宋体" w:cs="宋体"/>
                <w:b/>
                <w:bCs/>
                <w:color w:val="000000" w:themeColor="text1"/>
                <w:sz w:val="18"/>
                <w:szCs w:val="18"/>
              </w:rPr>
            </w:pPr>
          </w:p>
        </w:tc>
        <w:tc>
          <w:tcPr>
            <w:tcW w:w="709" w:type="dxa"/>
            <w:vAlign w:val="center"/>
          </w:tcPr>
          <w:p w14:paraId="25A7BDCF">
            <w:pPr>
              <w:jc w:val="center"/>
              <w:rPr>
                <w:rFonts w:hint="eastAsia" w:ascii="宋体" w:hAnsi="宋体" w:cs="宋体"/>
                <w:b/>
                <w:bCs/>
                <w:color w:val="000000" w:themeColor="text1"/>
                <w:sz w:val="18"/>
                <w:szCs w:val="18"/>
              </w:rPr>
            </w:pPr>
          </w:p>
        </w:tc>
        <w:tc>
          <w:tcPr>
            <w:tcW w:w="2034" w:type="dxa"/>
            <w:vAlign w:val="center"/>
          </w:tcPr>
          <w:p w14:paraId="2F29723C">
            <w:pPr>
              <w:jc w:val="left"/>
              <w:rPr>
                <w:rFonts w:hint="eastAsia" w:ascii="宋体" w:hAnsi="宋体" w:cs="宋体"/>
                <w:color w:val="000000" w:themeColor="text1"/>
                <w:sz w:val="18"/>
                <w:szCs w:val="18"/>
              </w:rPr>
            </w:pPr>
          </w:p>
        </w:tc>
        <w:tc>
          <w:tcPr>
            <w:tcW w:w="3633" w:type="dxa"/>
            <w:gridSpan w:val="2"/>
            <w:vMerge w:val="continue"/>
            <w:vAlign w:val="center"/>
          </w:tcPr>
          <w:p w14:paraId="64103EF0">
            <w:pPr>
              <w:jc w:val="left"/>
              <w:rPr>
                <w:rFonts w:hint="eastAsia" w:ascii="宋体" w:hAnsi="宋体" w:cs="宋体"/>
                <w:color w:val="000000" w:themeColor="text1"/>
                <w:sz w:val="18"/>
                <w:szCs w:val="18"/>
              </w:rPr>
            </w:pPr>
          </w:p>
        </w:tc>
      </w:tr>
      <w:tr w14:paraId="502E4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0CC388CB">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4463947C">
            <w:pPr>
              <w:widowControl/>
              <w:jc w:val="center"/>
              <w:rPr>
                <w:rFonts w:hint="eastAsia" w:ascii="宋体" w:hAnsi="宋体" w:cs="宋体"/>
                <w:color w:val="000000" w:themeColor="text1"/>
                <w:sz w:val="18"/>
                <w:szCs w:val="18"/>
              </w:rPr>
            </w:pPr>
          </w:p>
        </w:tc>
        <w:tc>
          <w:tcPr>
            <w:tcW w:w="780" w:type="dxa"/>
            <w:vAlign w:val="center"/>
          </w:tcPr>
          <w:p w14:paraId="3B44307D">
            <w:pPr>
              <w:jc w:val="center"/>
              <w:rPr>
                <w:rFonts w:hint="eastAsia" w:ascii="宋体" w:hAnsi="宋体" w:cs="宋体"/>
                <w:b/>
                <w:bCs/>
                <w:color w:val="000000" w:themeColor="text1"/>
                <w:sz w:val="18"/>
                <w:szCs w:val="18"/>
              </w:rPr>
            </w:pPr>
          </w:p>
        </w:tc>
        <w:tc>
          <w:tcPr>
            <w:tcW w:w="727" w:type="dxa"/>
            <w:vAlign w:val="center"/>
          </w:tcPr>
          <w:p w14:paraId="42050446">
            <w:pPr>
              <w:jc w:val="center"/>
              <w:rPr>
                <w:rFonts w:hint="eastAsia" w:ascii="宋体" w:hAnsi="宋体" w:cs="宋体"/>
                <w:b/>
                <w:bCs/>
                <w:color w:val="000000" w:themeColor="text1"/>
                <w:sz w:val="18"/>
                <w:szCs w:val="18"/>
              </w:rPr>
            </w:pPr>
          </w:p>
        </w:tc>
        <w:tc>
          <w:tcPr>
            <w:tcW w:w="726" w:type="dxa"/>
            <w:vAlign w:val="center"/>
          </w:tcPr>
          <w:p w14:paraId="5581DB9A">
            <w:pPr>
              <w:jc w:val="center"/>
              <w:rPr>
                <w:rFonts w:hint="eastAsia" w:ascii="宋体" w:hAnsi="宋体" w:cs="宋体"/>
                <w:b/>
                <w:bCs/>
                <w:color w:val="000000" w:themeColor="text1"/>
                <w:sz w:val="18"/>
                <w:szCs w:val="18"/>
              </w:rPr>
            </w:pPr>
          </w:p>
        </w:tc>
        <w:tc>
          <w:tcPr>
            <w:tcW w:w="709" w:type="dxa"/>
            <w:vAlign w:val="center"/>
          </w:tcPr>
          <w:p w14:paraId="71D28B8B">
            <w:pPr>
              <w:jc w:val="center"/>
              <w:rPr>
                <w:rFonts w:hint="eastAsia" w:ascii="宋体" w:hAnsi="宋体" w:cs="宋体"/>
                <w:b/>
                <w:bCs/>
                <w:color w:val="000000" w:themeColor="text1"/>
                <w:sz w:val="18"/>
                <w:szCs w:val="18"/>
              </w:rPr>
            </w:pPr>
          </w:p>
        </w:tc>
        <w:tc>
          <w:tcPr>
            <w:tcW w:w="2034" w:type="dxa"/>
            <w:vAlign w:val="center"/>
          </w:tcPr>
          <w:p w14:paraId="35404337">
            <w:pPr>
              <w:jc w:val="left"/>
              <w:rPr>
                <w:rFonts w:hint="eastAsia" w:ascii="宋体" w:hAnsi="宋体" w:cs="宋体"/>
                <w:color w:val="000000" w:themeColor="text1"/>
                <w:sz w:val="18"/>
                <w:szCs w:val="18"/>
              </w:rPr>
            </w:pPr>
          </w:p>
        </w:tc>
        <w:tc>
          <w:tcPr>
            <w:tcW w:w="3633" w:type="dxa"/>
            <w:gridSpan w:val="2"/>
            <w:vMerge w:val="continue"/>
            <w:vAlign w:val="center"/>
          </w:tcPr>
          <w:p w14:paraId="7D5F6839">
            <w:pPr>
              <w:jc w:val="left"/>
              <w:rPr>
                <w:rFonts w:hint="eastAsia" w:ascii="宋体" w:hAnsi="宋体" w:cs="宋体"/>
                <w:color w:val="000000" w:themeColor="text1"/>
                <w:sz w:val="18"/>
                <w:szCs w:val="18"/>
              </w:rPr>
            </w:pPr>
          </w:p>
        </w:tc>
      </w:tr>
      <w:tr w14:paraId="00BC4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24" w:hRule="atLeast"/>
          <w:jc w:val="center"/>
        </w:trPr>
        <w:tc>
          <w:tcPr>
            <w:tcW w:w="802" w:type="dxa"/>
            <w:vAlign w:val="center"/>
          </w:tcPr>
          <w:p w14:paraId="1B0D3388">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647EA399">
            <w:pPr>
              <w:widowControl/>
              <w:jc w:val="center"/>
              <w:rPr>
                <w:rFonts w:hint="eastAsia" w:ascii="宋体" w:hAnsi="宋体" w:cs="宋体"/>
                <w:color w:val="000000" w:themeColor="text1"/>
                <w:sz w:val="18"/>
                <w:szCs w:val="18"/>
              </w:rPr>
            </w:pPr>
          </w:p>
        </w:tc>
        <w:tc>
          <w:tcPr>
            <w:tcW w:w="780" w:type="dxa"/>
            <w:vAlign w:val="center"/>
          </w:tcPr>
          <w:p w14:paraId="69571173">
            <w:pPr>
              <w:jc w:val="center"/>
              <w:rPr>
                <w:rFonts w:hint="eastAsia" w:ascii="宋体" w:hAnsi="宋体" w:cs="宋体"/>
                <w:b/>
                <w:bCs/>
                <w:color w:val="000000" w:themeColor="text1"/>
                <w:sz w:val="18"/>
                <w:szCs w:val="18"/>
              </w:rPr>
            </w:pPr>
          </w:p>
        </w:tc>
        <w:tc>
          <w:tcPr>
            <w:tcW w:w="727" w:type="dxa"/>
            <w:vAlign w:val="center"/>
          </w:tcPr>
          <w:p w14:paraId="4C45660F">
            <w:pPr>
              <w:jc w:val="center"/>
              <w:rPr>
                <w:rFonts w:hint="eastAsia" w:ascii="宋体" w:hAnsi="宋体" w:cs="宋体"/>
                <w:b/>
                <w:bCs/>
                <w:color w:val="000000" w:themeColor="text1"/>
                <w:sz w:val="18"/>
                <w:szCs w:val="18"/>
              </w:rPr>
            </w:pPr>
          </w:p>
        </w:tc>
        <w:tc>
          <w:tcPr>
            <w:tcW w:w="726" w:type="dxa"/>
            <w:vAlign w:val="center"/>
          </w:tcPr>
          <w:p w14:paraId="1D691BE7">
            <w:pPr>
              <w:jc w:val="center"/>
              <w:rPr>
                <w:rFonts w:hint="eastAsia" w:ascii="宋体" w:hAnsi="宋体" w:cs="宋体"/>
                <w:b/>
                <w:bCs/>
                <w:color w:val="000000" w:themeColor="text1"/>
                <w:sz w:val="18"/>
                <w:szCs w:val="18"/>
              </w:rPr>
            </w:pPr>
          </w:p>
        </w:tc>
        <w:tc>
          <w:tcPr>
            <w:tcW w:w="709" w:type="dxa"/>
            <w:vAlign w:val="center"/>
          </w:tcPr>
          <w:p w14:paraId="64602736">
            <w:pPr>
              <w:jc w:val="center"/>
              <w:rPr>
                <w:rFonts w:hint="eastAsia" w:ascii="宋体" w:hAnsi="宋体" w:cs="宋体"/>
                <w:b/>
                <w:bCs/>
                <w:color w:val="000000" w:themeColor="text1"/>
                <w:sz w:val="18"/>
                <w:szCs w:val="18"/>
              </w:rPr>
            </w:pPr>
          </w:p>
        </w:tc>
        <w:tc>
          <w:tcPr>
            <w:tcW w:w="2034" w:type="dxa"/>
            <w:vAlign w:val="center"/>
          </w:tcPr>
          <w:p w14:paraId="57CD2898">
            <w:pPr>
              <w:jc w:val="left"/>
              <w:rPr>
                <w:rFonts w:hint="eastAsia" w:ascii="宋体" w:hAnsi="宋体" w:cs="宋体"/>
                <w:color w:val="000000" w:themeColor="text1"/>
                <w:sz w:val="18"/>
                <w:szCs w:val="18"/>
              </w:rPr>
            </w:pPr>
          </w:p>
        </w:tc>
        <w:tc>
          <w:tcPr>
            <w:tcW w:w="3633" w:type="dxa"/>
            <w:gridSpan w:val="2"/>
            <w:vMerge w:val="continue"/>
            <w:vAlign w:val="center"/>
          </w:tcPr>
          <w:p w14:paraId="749B3139">
            <w:pPr>
              <w:jc w:val="left"/>
              <w:rPr>
                <w:rFonts w:hint="eastAsia" w:ascii="宋体" w:hAnsi="宋体" w:cs="宋体"/>
                <w:color w:val="000000" w:themeColor="text1"/>
                <w:sz w:val="18"/>
                <w:szCs w:val="18"/>
              </w:rPr>
            </w:pPr>
          </w:p>
        </w:tc>
      </w:tr>
      <w:tr w14:paraId="3FAD2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7" w:hRule="atLeast"/>
          <w:jc w:val="center"/>
        </w:trPr>
        <w:tc>
          <w:tcPr>
            <w:tcW w:w="802" w:type="dxa"/>
            <w:vAlign w:val="center"/>
          </w:tcPr>
          <w:p w14:paraId="5223F2CF">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w:t>
            </w:r>
          </w:p>
        </w:tc>
        <w:tc>
          <w:tcPr>
            <w:tcW w:w="6452" w:type="dxa"/>
            <w:gridSpan w:val="7"/>
            <w:vAlign w:val="center"/>
          </w:tcPr>
          <w:p w14:paraId="4826C6DE">
            <w:pPr>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社保公积金</w:t>
            </w:r>
          </w:p>
        </w:tc>
        <w:tc>
          <w:tcPr>
            <w:tcW w:w="3633" w:type="dxa"/>
            <w:gridSpan w:val="2"/>
            <w:vAlign w:val="center"/>
          </w:tcPr>
          <w:p w14:paraId="12A80586">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供应商须在《投标报价明细表》中按照采购文件采购需求中安保服务人员岗位分别填报员工社保和公积金费用。</w:t>
            </w:r>
          </w:p>
          <w:p w14:paraId="52E8951C">
            <w:pPr>
              <w:widowControl/>
              <w:jc w:val="left"/>
              <w:rPr>
                <w:color w:val="000000" w:themeColor="text1"/>
              </w:rPr>
            </w:pPr>
            <w:r>
              <w:rPr>
                <w:rFonts w:hint="eastAsia" w:ascii="宋体" w:hAnsi="宋体" w:cs="宋体"/>
                <w:color w:val="000000" w:themeColor="text1"/>
                <w:sz w:val="18"/>
                <w:szCs w:val="18"/>
              </w:rPr>
              <w:t>供应商为投入本项目安保服务人员缴纳社保和公积金的人数不得低于33岗（人）（不包含享受社保公积金减免政策人员、退休返聘人员等）</w:t>
            </w:r>
          </w:p>
        </w:tc>
      </w:tr>
      <w:tr w14:paraId="6ACEC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jc w:val="center"/>
        </w:trPr>
        <w:tc>
          <w:tcPr>
            <w:tcW w:w="802" w:type="dxa"/>
            <w:vAlign w:val="center"/>
          </w:tcPr>
          <w:p w14:paraId="7184FF2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2.1</w:t>
            </w:r>
          </w:p>
        </w:tc>
        <w:tc>
          <w:tcPr>
            <w:tcW w:w="6452" w:type="dxa"/>
            <w:gridSpan w:val="7"/>
            <w:vAlign w:val="center"/>
          </w:tcPr>
          <w:p w14:paraId="163E8E6F">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社会保险</w:t>
            </w:r>
          </w:p>
        </w:tc>
        <w:tc>
          <w:tcPr>
            <w:tcW w:w="3633" w:type="dxa"/>
            <w:gridSpan w:val="2"/>
            <w:vAlign w:val="center"/>
          </w:tcPr>
          <w:p w14:paraId="78EB0293">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社保费用不得低于南京市最低标准，否则做无效投标处理。</w:t>
            </w:r>
          </w:p>
        </w:tc>
      </w:tr>
      <w:tr w14:paraId="76932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18EEC8B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1B97FC10">
            <w:pPr>
              <w:widowControl/>
              <w:jc w:val="center"/>
              <w:rPr>
                <w:rFonts w:hint="eastAsia" w:ascii="宋体" w:hAnsi="宋体" w:cs="宋体"/>
                <w:color w:val="000000" w:themeColor="text1"/>
                <w:sz w:val="18"/>
                <w:szCs w:val="18"/>
              </w:rPr>
            </w:pPr>
          </w:p>
        </w:tc>
        <w:tc>
          <w:tcPr>
            <w:tcW w:w="780" w:type="dxa"/>
            <w:vAlign w:val="center"/>
          </w:tcPr>
          <w:p w14:paraId="30ADBFE4">
            <w:pPr>
              <w:widowControl/>
              <w:jc w:val="center"/>
              <w:rPr>
                <w:rFonts w:hint="eastAsia" w:ascii="宋体" w:hAnsi="宋体" w:cs="宋体"/>
                <w:color w:val="000000" w:themeColor="text1"/>
                <w:sz w:val="18"/>
                <w:szCs w:val="18"/>
              </w:rPr>
            </w:pPr>
          </w:p>
        </w:tc>
        <w:tc>
          <w:tcPr>
            <w:tcW w:w="727" w:type="dxa"/>
            <w:vAlign w:val="center"/>
          </w:tcPr>
          <w:p w14:paraId="14A74BA6">
            <w:pPr>
              <w:widowControl/>
              <w:jc w:val="center"/>
              <w:rPr>
                <w:rFonts w:hint="eastAsia" w:ascii="宋体" w:hAnsi="宋体" w:cs="宋体"/>
                <w:color w:val="000000" w:themeColor="text1"/>
                <w:sz w:val="18"/>
                <w:szCs w:val="18"/>
              </w:rPr>
            </w:pPr>
          </w:p>
        </w:tc>
        <w:tc>
          <w:tcPr>
            <w:tcW w:w="726" w:type="dxa"/>
            <w:vAlign w:val="center"/>
          </w:tcPr>
          <w:p w14:paraId="710DCD28">
            <w:pPr>
              <w:widowControl/>
              <w:jc w:val="center"/>
              <w:rPr>
                <w:rFonts w:hint="eastAsia" w:ascii="宋体" w:hAnsi="宋体" w:cs="宋体"/>
                <w:color w:val="000000" w:themeColor="text1"/>
                <w:sz w:val="18"/>
                <w:szCs w:val="18"/>
              </w:rPr>
            </w:pPr>
          </w:p>
        </w:tc>
        <w:tc>
          <w:tcPr>
            <w:tcW w:w="709" w:type="dxa"/>
            <w:vAlign w:val="center"/>
          </w:tcPr>
          <w:p w14:paraId="39847E07">
            <w:pPr>
              <w:widowControl/>
              <w:jc w:val="center"/>
              <w:rPr>
                <w:rFonts w:hint="eastAsia" w:ascii="宋体" w:hAnsi="宋体" w:cs="宋体"/>
                <w:color w:val="000000" w:themeColor="text1"/>
                <w:sz w:val="18"/>
                <w:szCs w:val="18"/>
              </w:rPr>
            </w:pPr>
          </w:p>
        </w:tc>
        <w:tc>
          <w:tcPr>
            <w:tcW w:w="2034" w:type="dxa"/>
            <w:vAlign w:val="center"/>
          </w:tcPr>
          <w:p w14:paraId="2AE3AE2F">
            <w:pPr>
              <w:widowControl/>
              <w:jc w:val="left"/>
              <w:rPr>
                <w:rFonts w:hint="eastAsia" w:ascii="宋体" w:hAnsi="宋体" w:cs="宋体"/>
                <w:color w:val="000000" w:themeColor="text1"/>
                <w:sz w:val="18"/>
                <w:szCs w:val="18"/>
              </w:rPr>
            </w:pPr>
          </w:p>
        </w:tc>
        <w:tc>
          <w:tcPr>
            <w:tcW w:w="3633" w:type="dxa"/>
            <w:gridSpan w:val="2"/>
            <w:vMerge w:val="restart"/>
            <w:vAlign w:val="center"/>
          </w:tcPr>
          <w:p w14:paraId="7B9DFA2B">
            <w:pPr>
              <w:widowControl/>
              <w:jc w:val="left"/>
              <w:rPr>
                <w:rFonts w:hint="eastAsia" w:ascii="宋体" w:hAnsi="宋体" w:cs="宋体"/>
                <w:color w:val="000000" w:themeColor="text1"/>
                <w:sz w:val="18"/>
                <w:szCs w:val="18"/>
              </w:rPr>
            </w:pPr>
          </w:p>
        </w:tc>
      </w:tr>
      <w:tr w14:paraId="6456B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0739AE7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4AE68982">
            <w:pPr>
              <w:widowControl/>
              <w:jc w:val="center"/>
              <w:rPr>
                <w:rFonts w:hint="eastAsia" w:ascii="宋体" w:hAnsi="宋体" w:cs="宋体"/>
                <w:color w:val="000000" w:themeColor="text1"/>
                <w:sz w:val="18"/>
                <w:szCs w:val="18"/>
              </w:rPr>
            </w:pPr>
          </w:p>
        </w:tc>
        <w:tc>
          <w:tcPr>
            <w:tcW w:w="780" w:type="dxa"/>
            <w:vAlign w:val="center"/>
          </w:tcPr>
          <w:p w14:paraId="09361340">
            <w:pPr>
              <w:widowControl/>
              <w:jc w:val="center"/>
              <w:rPr>
                <w:rFonts w:hint="eastAsia" w:ascii="宋体" w:hAnsi="宋体" w:cs="宋体"/>
                <w:color w:val="000000" w:themeColor="text1"/>
                <w:sz w:val="18"/>
                <w:szCs w:val="18"/>
              </w:rPr>
            </w:pPr>
          </w:p>
        </w:tc>
        <w:tc>
          <w:tcPr>
            <w:tcW w:w="727" w:type="dxa"/>
            <w:vAlign w:val="center"/>
          </w:tcPr>
          <w:p w14:paraId="7A8D3B9D">
            <w:pPr>
              <w:widowControl/>
              <w:jc w:val="center"/>
              <w:rPr>
                <w:rFonts w:hint="eastAsia" w:ascii="宋体" w:hAnsi="宋体" w:cs="宋体"/>
                <w:color w:val="000000" w:themeColor="text1"/>
                <w:sz w:val="18"/>
                <w:szCs w:val="18"/>
              </w:rPr>
            </w:pPr>
          </w:p>
        </w:tc>
        <w:tc>
          <w:tcPr>
            <w:tcW w:w="726" w:type="dxa"/>
            <w:vAlign w:val="center"/>
          </w:tcPr>
          <w:p w14:paraId="1734ED2D">
            <w:pPr>
              <w:widowControl/>
              <w:jc w:val="center"/>
              <w:rPr>
                <w:rFonts w:hint="eastAsia" w:ascii="宋体" w:hAnsi="宋体" w:cs="宋体"/>
                <w:color w:val="000000" w:themeColor="text1"/>
                <w:sz w:val="18"/>
                <w:szCs w:val="18"/>
              </w:rPr>
            </w:pPr>
          </w:p>
        </w:tc>
        <w:tc>
          <w:tcPr>
            <w:tcW w:w="709" w:type="dxa"/>
            <w:vAlign w:val="center"/>
          </w:tcPr>
          <w:p w14:paraId="647B83A1">
            <w:pPr>
              <w:widowControl/>
              <w:jc w:val="center"/>
              <w:rPr>
                <w:rFonts w:hint="eastAsia" w:ascii="宋体" w:hAnsi="宋体" w:cs="宋体"/>
                <w:color w:val="000000" w:themeColor="text1"/>
                <w:sz w:val="18"/>
                <w:szCs w:val="18"/>
              </w:rPr>
            </w:pPr>
          </w:p>
        </w:tc>
        <w:tc>
          <w:tcPr>
            <w:tcW w:w="2034" w:type="dxa"/>
            <w:vAlign w:val="center"/>
          </w:tcPr>
          <w:p w14:paraId="71759EBD">
            <w:pPr>
              <w:widowControl/>
              <w:jc w:val="left"/>
              <w:rPr>
                <w:rFonts w:hint="eastAsia" w:ascii="宋体" w:hAnsi="宋体" w:cs="宋体"/>
                <w:color w:val="000000" w:themeColor="text1"/>
                <w:sz w:val="18"/>
                <w:szCs w:val="18"/>
              </w:rPr>
            </w:pPr>
          </w:p>
        </w:tc>
        <w:tc>
          <w:tcPr>
            <w:tcW w:w="3633" w:type="dxa"/>
            <w:gridSpan w:val="2"/>
            <w:vMerge w:val="continue"/>
            <w:vAlign w:val="center"/>
          </w:tcPr>
          <w:p w14:paraId="48579E0A">
            <w:pPr>
              <w:widowControl/>
              <w:jc w:val="left"/>
              <w:rPr>
                <w:rFonts w:hint="eastAsia" w:ascii="宋体" w:hAnsi="宋体" w:cs="宋体"/>
                <w:color w:val="000000" w:themeColor="text1"/>
                <w:sz w:val="18"/>
                <w:szCs w:val="18"/>
              </w:rPr>
            </w:pPr>
          </w:p>
        </w:tc>
      </w:tr>
      <w:tr w14:paraId="65B3A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6D9DA66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5405C137">
            <w:pPr>
              <w:widowControl/>
              <w:jc w:val="center"/>
              <w:rPr>
                <w:rFonts w:hint="eastAsia" w:ascii="宋体" w:hAnsi="宋体" w:cs="宋体"/>
                <w:color w:val="000000" w:themeColor="text1"/>
                <w:sz w:val="18"/>
                <w:szCs w:val="18"/>
              </w:rPr>
            </w:pPr>
          </w:p>
        </w:tc>
        <w:tc>
          <w:tcPr>
            <w:tcW w:w="780" w:type="dxa"/>
            <w:vAlign w:val="center"/>
          </w:tcPr>
          <w:p w14:paraId="7BD2484C">
            <w:pPr>
              <w:widowControl/>
              <w:jc w:val="center"/>
              <w:rPr>
                <w:rFonts w:hint="eastAsia" w:ascii="宋体" w:hAnsi="宋体" w:cs="宋体"/>
                <w:color w:val="000000" w:themeColor="text1"/>
                <w:sz w:val="18"/>
                <w:szCs w:val="18"/>
              </w:rPr>
            </w:pPr>
          </w:p>
        </w:tc>
        <w:tc>
          <w:tcPr>
            <w:tcW w:w="727" w:type="dxa"/>
            <w:vAlign w:val="center"/>
          </w:tcPr>
          <w:p w14:paraId="4D2C8C56">
            <w:pPr>
              <w:widowControl/>
              <w:jc w:val="center"/>
              <w:rPr>
                <w:rFonts w:hint="eastAsia" w:ascii="宋体" w:hAnsi="宋体" w:cs="宋体"/>
                <w:color w:val="000000" w:themeColor="text1"/>
                <w:sz w:val="18"/>
                <w:szCs w:val="18"/>
              </w:rPr>
            </w:pPr>
          </w:p>
        </w:tc>
        <w:tc>
          <w:tcPr>
            <w:tcW w:w="726" w:type="dxa"/>
            <w:vAlign w:val="center"/>
          </w:tcPr>
          <w:p w14:paraId="41109B7B">
            <w:pPr>
              <w:widowControl/>
              <w:jc w:val="center"/>
              <w:rPr>
                <w:rFonts w:hint="eastAsia" w:ascii="宋体" w:hAnsi="宋体" w:cs="宋体"/>
                <w:color w:val="000000" w:themeColor="text1"/>
                <w:sz w:val="18"/>
                <w:szCs w:val="18"/>
              </w:rPr>
            </w:pPr>
          </w:p>
        </w:tc>
        <w:tc>
          <w:tcPr>
            <w:tcW w:w="709" w:type="dxa"/>
            <w:vAlign w:val="center"/>
          </w:tcPr>
          <w:p w14:paraId="3529882A">
            <w:pPr>
              <w:widowControl/>
              <w:jc w:val="center"/>
              <w:rPr>
                <w:rFonts w:hint="eastAsia" w:ascii="宋体" w:hAnsi="宋体" w:cs="宋体"/>
                <w:color w:val="000000" w:themeColor="text1"/>
                <w:sz w:val="18"/>
                <w:szCs w:val="18"/>
              </w:rPr>
            </w:pPr>
          </w:p>
        </w:tc>
        <w:tc>
          <w:tcPr>
            <w:tcW w:w="2034" w:type="dxa"/>
            <w:vAlign w:val="center"/>
          </w:tcPr>
          <w:p w14:paraId="15597BDE">
            <w:pPr>
              <w:widowControl/>
              <w:jc w:val="left"/>
              <w:rPr>
                <w:rFonts w:hint="eastAsia" w:ascii="宋体" w:hAnsi="宋体" w:cs="宋体"/>
                <w:color w:val="000000" w:themeColor="text1"/>
                <w:sz w:val="18"/>
                <w:szCs w:val="18"/>
              </w:rPr>
            </w:pPr>
          </w:p>
        </w:tc>
        <w:tc>
          <w:tcPr>
            <w:tcW w:w="3633" w:type="dxa"/>
            <w:gridSpan w:val="2"/>
            <w:vMerge w:val="continue"/>
            <w:vAlign w:val="center"/>
          </w:tcPr>
          <w:p w14:paraId="24F1A780">
            <w:pPr>
              <w:widowControl/>
              <w:jc w:val="left"/>
              <w:rPr>
                <w:rFonts w:hint="eastAsia" w:ascii="宋体" w:hAnsi="宋体" w:cs="宋体"/>
                <w:color w:val="000000" w:themeColor="text1"/>
                <w:sz w:val="18"/>
                <w:szCs w:val="18"/>
              </w:rPr>
            </w:pPr>
          </w:p>
        </w:tc>
      </w:tr>
      <w:tr w14:paraId="4464F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36" w:hRule="atLeast"/>
          <w:jc w:val="center"/>
        </w:trPr>
        <w:tc>
          <w:tcPr>
            <w:tcW w:w="802" w:type="dxa"/>
            <w:vAlign w:val="center"/>
          </w:tcPr>
          <w:p w14:paraId="3833767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2954103E">
            <w:pPr>
              <w:widowControl/>
              <w:jc w:val="center"/>
              <w:rPr>
                <w:rFonts w:hint="eastAsia" w:ascii="宋体" w:hAnsi="宋体" w:cs="宋体"/>
                <w:color w:val="000000" w:themeColor="text1"/>
                <w:sz w:val="18"/>
                <w:szCs w:val="18"/>
              </w:rPr>
            </w:pPr>
          </w:p>
        </w:tc>
        <w:tc>
          <w:tcPr>
            <w:tcW w:w="780" w:type="dxa"/>
            <w:vAlign w:val="center"/>
          </w:tcPr>
          <w:p w14:paraId="18FFD4AC">
            <w:pPr>
              <w:widowControl/>
              <w:jc w:val="center"/>
              <w:rPr>
                <w:rFonts w:hint="eastAsia" w:ascii="宋体" w:hAnsi="宋体" w:cs="宋体"/>
                <w:color w:val="000000" w:themeColor="text1"/>
                <w:sz w:val="18"/>
                <w:szCs w:val="18"/>
              </w:rPr>
            </w:pPr>
          </w:p>
        </w:tc>
        <w:tc>
          <w:tcPr>
            <w:tcW w:w="727" w:type="dxa"/>
            <w:vAlign w:val="center"/>
          </w:tcPr>
          <w:p w14:paraId="298E7C2A">
            <w:pPr>
              <w:widowControl/>
              <w:jc w:val="center"/>
              <w:rPr>
                <w:rFonts w:hint="eastAsia" w:ascii="宋体" w:hAnsi="宋体" w:cs="宋体"/>
                <w:color w:val="000000" w:themeColor="text1"/>
                <w:sz w:val="18"/>
                <w:szCs w:val="18"/>
              </w:rPr>
            </w:pPr>
          </w:p>
        </w:tc>
        <w:tc>
          <w:tcPr>
            <w:tcW w:w="726" w:type="dxa"/>
            <w:vAlign w:val="center"/>
          </w:tcPr>
          <w:p w14:paraId="5A3E1B24">
            <w:pPr>
              <w:widowControl/>
              <w:jc w:val="center"/>
              <w:rPr>
                <w:rFonts w:hint="eastAsia" w:ascii="宋体" w:hAnsi="宋体" w:cs="宋体"/>
                <w:color w:val="000000" w:themeColor="text1"/>
                <w:sz w:val="18"/>
                <w:szCs w:val="18"/>
              </w:rPr>
            </w:pPr>
          </w:p>
        </w:tc>
        <w:tc>
          <w:tcPr>
            <w:tcW w:w="709" w:type="dxa"/>
            <w:vAlign w:val="center"/>
          </w:tcPr>
          <w:p w14:paraId="1BA423A6">
            <w:pPr>
              <w:widowControl/>
              <w:jc w:val="center"/>
              <w:rPr>
                <w:rFonts w:hint="eastAsia" w:ascii="宋体" w:hAnsi="宋体" w:cs="宋体"/>
                <w:color w:val="000000" w:themeColor="text1"/>
                <w:sz w:val="18"/>
                <w:szCs w:val="18"/>
              </w:rPr>
            </w:pPr>
          </w:p>
        </w:tc>
        <w:tc>
          <w:tcPr>
            <w:tcW w:w="2034" w:type="dxa"/>
            <w:vAlign w:val="center"/>
          </w:tcPr>
          <w:p w14:paraId="02F85C8B">
            <w:pPr>
              <w:widowControl/>
              <w:jc w:val="left"/>
              <w:rPr>
                <w:rFonts w:hint="eastAsia" w:ascii="宋体" w:hAnsi="宋体" w:cs="宋体"/>
                <w:color w:val="000000" w:themeColor="text1"/>
                <w:sz w:val="18"/>
                <w:szCs w:val="18"/>
              </w:rPr>
            </w:pPr>
          </w:p>
        </w:tc>
        <w:tc>
          <w:tcPr>
            <w:tcW w:w="3633" w:type="dxa"/>
            <w:gridSpan w:val="2"/>
            <w:vMerge w:val="continue"/>
            <w:vAlign w:val="center"/>
          </w:tcPr>
          <w:p w14:paraId="0D02EDAE">
            <w:pPr>
              <w:widowControl/>
              <w:jc w:val="left"/>
              <w:rPr>
                <w:rFonts w:hint="eastAsia" w:ascii="宋体" w:hAnsi="宋体" w:cs="宋体"/>
                <w:color w:val="000000" w:themeColor="text1"/>
                <w:sz w:val="18"/>
                <w:szCs w:val="18"/>
              </w:rPr>
            </w:pPr>
          </w:p>
        </w:tc>
      </w:tr>
      <w:tr w14:paraId="59B5D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jc w:val="center"/>
        </w:trPr>
        <w:tc>
          <w:tcPr>
            <w:tcW w:w="802" w:type="dxa"/>
            <w:vAlign w:val="center"/>
          </w:tcPr>
          <w:p w14:paraId="6FF1488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2.2</w:t>
            </w:r>
          </w:p>
        </w:tc>
        <w:tc>
          <w:tcPr>
            <w:tcW w:w="6452" w:type="dxa"/>
            <w:gridSpan w:val="7"/>
            <w:vAlign w:val="center"/>
          </w:tcPr>
          <w:p w14:paraId="167952B8">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公积金</w:t>
            </w:r>
          </w:p>
        </w:tc>
        <w:tc>
          <w:tcPr>
            <w:tcW w:w="3633" w:type="dxa"/>
            <w:gridSpan w:val="2"/>
            <w:vAlign w:val="center"/>
          </w:tcPr>
          <w:p w14:paraId="47671C4F">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公积金不得低于南京市最低标准，且最低工资不包含劳动者按下限缴存的住房公积金，由用人单位按规定另行支付，须测算在公积金报价中，否则做无效投标处理。</w:t>
            </w:r>
          </w:p>
        </w:tc>
      </w:tr>
      <w:tr w14:paraId="56702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2FFD15C4">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1B38BDA6">
            <w:pPr>
              <w:widowControl/>
              <w:jc w:val="center"/>
              <w:rPr>
                <w:rFonts w:hint="eastAsia" w:ascii="宋体" w:hAnsi="宋体" w:cs="宋体"/>
                <w:b/>
                <w:bCs/>
                <w:color w:val="000000" w:themeColor="text1"/>
                <w:sz w:val="18"/>
                <w:szCs w:val="18"/>
              </w:rPr>
            </w:pPr>
          </w:p>
        </w:tc>
        <w:tc>
          <w:tcPr>
            <w:tcW w:w="780" w:type="dxa"/>
            <w:vAlign w:val="center"/>
          </w:tcPr>
          <w:p w14:paraId="6AD03AAE">
            <w:pPr>
              <w:widowControl/>
              <w:jc w:val="center"/>
              <w:rPr>
                <w:rFonts w:hint="eastAsia" w:ascii="宋体" w:hAnsi="宋体" w:cs="宋体"/>
                <w:color w:val="000000" w:themeColor="text1"/>
                <w:sz w:val="18"/>
                <w:szCs w:val="18"/>
              </w:rPr>
            </w:pPr>
          </w:p>
        </w:tc>
        <w:tc>
          <w:tcPr>
            <w:tcW w:w="727" w:type="dxa"/>
            <w:vAlign w:val="center"/>
          </w:tcPr>
          <w:p w14:paraId="516819F3">
            <w:pPr>
              <w:widowControl/>
              <w:jc w:val="center"/>
              <w:rPr>
                <w:rFonts w:hint="eastAsia" w:ascii="宋体" w:hAnsi="宋体" w:cs="宋体"/>
                <w:color w:val="000000" w:themeColor="text1"/>
                <w:sz w:val="18"/>
                <w:szCs w:val="18"/>
              </w:rPr>
            </w:pPr>
          </w:p>
        </w:tc>
        <w:tc>
          <w:tcPr>
            <w:tcW w:w="726" w:type="dxa"/>
            <w:vAlign w:val="center"/>
          </w:tcPr>
          <w:p w14:paraId="21B8591E">
            <w:pPr>
              <w:widowControl/>
              <w:jc w:val="center"/>
              <w:rPr>
                <w:rFonts w:hint="eastAsia" w:ascii="宋体" w:hAnsi="宋体" w:cs="宋体"/>
                <w:color w:val="000000" w:themeColor="text1"/>
                <w:sz w:val="18"/>
                <w:szCs w:val="18"/>
              </w:rPr>
            </w:pPr>
          </w:p>
        </w:tc>
        <w:tc>
          <w:tcPr>
            <w:tcW w:w="709" w:type="dxa"/>
            <w:vAlign w:val="center"/>
          </w:tcPr>
          <w:p w14:paraId="383FA592">
            <w:pPr>
              <w:widowControl/>
              <w:jc w:val="center"/>
              <w:rPr>
                <w:rFonts w:hint="eastAsia" w:ascii="宋体" w:hAnsi="宋体" w:cs="宋体"/>
                <w:color w:val="000000" w:themeColor="text1"/>
                <w:sz w:val="18"/>
                <w:szCs w:val="18"/>
              </w:rPr>
            </w:pPr>
          </w:p>
        </w:tc>
        <w:tc>
          <w:tcPr>
            <w:tcW w:w="2034" w:type="dxa"/>
            <w:vAlign w:val="center"/>
          </w:tcPr>
          <w:p w14:paraId="7CBFAB6D">
            <w:pPr>
              <w:widowControl/>
              <w:jc w:val="left"/>
              <w:rPr>
                <w:rFonts w:hint="eastAsia" w:ascii="宋体" w:hAnsi="宋体" w:cs="宋体"/>
                <w:color w:val="000000" w:themeColor="text1"/>
                <w:sz w:val="18"/>
                <w:szCs w:val="18"/>
              </w:rPr>
            </w:pPr>
          </w:p>
        </w:tc>
        <w:tc>
          <w:tcPr>
            <w:tcW w:w="3633" w:type="dxa"/>
            <w:gridSpan w:val="2"/>
            <w:vMerge w:val="restart"/>
            <w:vAlign w:val="center"/>
          </w:tcPr>
          <w:p w14:paraId="6020692F">
            <w:pPr>
              <w:widowControl/>
              <w:jc w:val="left"/>
              <w:rPr>
                <w:rFonts w:hint="eastAsia" w:ascii="宋体" w:hAnsi="宋体" w:cs="宋体"/>
                <w:color w:val="000000" w:themeColor="text1"/>
                <w:sz w:val="18"/>
                <w:szCs w:val="18"/>
              </w:rPr>
            </w:pPr>
          </w:p>
        </w:tc>
      </w:tr>
      <w:tr w14:paraId="2FB94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26DC7DC8">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73D21C2C">
            <w:pPr>
              <w:widowControl/>
              <w:jc w:val="center"/>
              <w:rPr>
                <w:rFonts w:hint="eastAsia" w:ascii="宋体" w:hAnsi="宋体" w:cs="宋体"/>
                <w:b/>
                <w:bCs/>
                <w:color w:val="000000" w:themeColor="text1"/>
                <w:sz w:val="18"/>
                <w:szCs w:val="18"/>
              </w:rPr>
            </w:pPr>
          </w:p>
        </w:tc>
        <w:tc>
          <w:tcPr>
            <w:tcW w:w="780" w:type="dxa"/>
            <w:vAlign w:val="center"/>
          </w:tcPr>
          <w:p w14:paraId="5E8FBEDD">
            <w:pPr>
              <w:widowControl/>
              <w:jc w:val="center"/>
              <w:rPr>
                <w:rFonts w:hint="eastAsia" w:ascii="宋体" w:hAnsi="宋体" w:cs="宋体"/>
                <w:color w:val="000000" w:themeColor="text1"/>
                <w:sz w:val="18"/>
                <w:szCs w:val="18"/>
              </w:rPr>
            </w:pPr>
          </w:p>
        </w:tc>
        <w:tc>
          <w:tcPr>
            <w:tcW w:w="727" w:type="dxa"/>
            <w:vAlign w:val="center"/>
          </w:tcPr>
          <w:p w14:paraId="4B9A204B">
            <w:pPr>
              <w:widowControl/>
              <w:jc w:val="center"/>
              <w:rPr>
                <w:rFonts w:hint="eastAsia" w:ascii="宋体" w:hAnsi="宋体" w:cs="宋体"/>
                <w:color w:val="000000" w:themeColor="text1"/>
                <w:sz w:val="18"/>
                <w:szCs w:val="18"/>
              </w:rPr>
            </w:pPr>
          </w:p>
        </w:tc>
        <w:tc>
          <w:tcPr>
            <w:tcW w:w="726" w:type="dxa"/>
            <w:vAlign w:val="center"/>
          </w:tcPr>
          <w:p w14:paraId="72D5A852">
            <w:pPr>
              <w:widowControl/>
              <w:jc w:val="center"/>
              <w:rPr>
                <w:rFonts w:hint="eastAsia" w:ascii="宋体" w:hAnsi="宋体" w:cs="宋体"/>
                <w:color w:val="000000" w:themeColor="text1"/>
                <w:sz w:val="18"/>
                <w:szCs w:val="18"/>
              </w:rPr>
            </w:pPr>
          </w:p>
        </w:tc>
        <w:tc>
          <w:tcPr>
            <w:tcW w:w="709" w:type="dxa"/>
            <w:vAlign w:val="center"/>
          </w:tcPr>
          <w:p w14:paraId="09A75225">
            <w:pPr>
              <w:widowControl/>
              <w:jc w:val="center"/>
              <w:rPr>
                <w:rFonts w:hint="eastAsia" w:ascii="宋体" w:hAnsi="宋体" w:cs="宋体"/>
                <w:color w:val="000000" w:themeColor="text1"/>
                <w:sz w:val="18"/>
                <w:szCs w:val="18"/>
              </w:rPr>
            </w:pPr>
          </w:p>
        </w:tc>
        <w:tc>
          <w:tcPr>
            <w:tcW w:w="2034" w:type="dxa"/>
            <w:vAlign w:val="center"/>
          </w:tcPr>
          <w:p w14:paraId="73070EC2">
            <w:pPr>
              <w:widowControl/>
              <w:jc w:val="left"/>
              <w:rPr>
                <w:rFonts w:hint="eastAsia" w:ascii="宋体" w:hAnsi="宋体" w:cs="宋体"/>
                <w:color w:val="000000" w:themeColor="text1"/>
                <w:sz w:val="18"/>
                <w:szCs w:val="18"/>
              </w:rPr>
            </w:pPr>
          </w:p>
        </w:tc>
        <w:tc>
          <w:tcPr>
            <w:tcW w:w="3633" w:type="dxa"/>
            <w:gridSpan w:val="2"/>
            <w:vMerge w:val="continue"/>
            <w:vAlign w:val="center"/>
          </w:tcPr>
          <w:p w14:paraId="70CE26F4">
            <w:pPr>
              <w:widowControl/>
              <w:jc w:val="left"/>
              <w:rPr>
                <w:rFonts w:hint="eastAsia" w:ascii="宋体" w:hAnsi="宋体" w:cs="宋体"/>
                <w:color w:val="000000" w:themeColor="text1"/>
                <w:sz w:val="18"/>
                <w:szCs w:val="18"/>
              </w:rPr>
            </w:pPr>
          </w:p>
        </w:tc>
      </w:tr>
      <w:tr w14:paraId="2C6E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99" w:hRule="atLeast"/>
          <w:jc w:val="center"/>
        </w:trPr>
        <w:tc>
          <w:tcPr>
            <w:tcW w:w="802" w:type="dxa"/>
            <w:vAlign w:val="center"/>
          </w:tcPr>
          <w:p w14:paraId="73397014">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7D8DA234">
            <w:pPr>
              <w:widowControl/>
              <w:jc w:val="center"/>
              <w:rPr>
                <w:rFonts w:hint="eastAsia" w:ascii="宋体" w:hAnsi="宋体" w:cs="宋体"/>
                <w:b/>
                <w:bCs/>
                <w:color w:val="000000" w:themeColor="text1"/>
                <w:sz w:val="18"/>
                <w:szCs w:val="18"/>
              </w:rPr>
            </w:pPr>
          </w:p>
        </w:tc>
        <w:tc>
          <w:tcPr>
            <w:tcW w:w="780" w:type="dxa"/>
            <w:vAlign w:val="center"/>
          </w:tcPr>
          <w:p w14:paraId="3D94974E">
            <w:pPr>
              <w:widowControl/>
              <w:jc w:val="center"/>
              <w:rPr>
                <w:rFonts w:hint="eastAsia" w:ascii="宋体" w:hAnsi="宋体" w:cs="宋体"/>
                <w:color w:val="000000" w:themeColor="text1"/>
                <w:sz w:val="18"/>
                <w:szCs w:val="18"/>
              </w:rPr>
            </w:pPr>
          </w:p>
        </w:tc>
        <w:tc>
          <w:tcPr>
            <w:tcW w:w="727" w:type="dxa"/>
            <w:vAlign w:val="center"/>
          </w:tcPr>
          <w:p w14:paraId="087D7344">
            <w:pPr>
              <w:widowControl/>
              <w:jc w:val="center"/>
              <w:rPr>
                <w:rFonts w:hint="eastAsia" w:ascii="宋体" w:hAnsi="宋体" w:cs="宋体"/>
                <w:color w:val="000000" w:themeColor="text1"/>
                <w:sz w:val="18"/>
                <w:szCs w:val="18"/>
              </w:rPr>
            </w:pPr>
          </w:p>
        </w:tc>
        <w:tc>
          <w:tcPr>
            <w:tcW w:w="726" w:type="dxa"/>
            <w:vAlign w:val="center"/>
          </w:tcPr>
          <w:p w14:paraId="4FBBA8B5">
            <w:pPr>
              <w:widowControl/>
              <w:jc w:val="center"/>
              <w:rPr>
                <w:rFonts w:hint="eastAsia" w:ascii="宋体" w:hAnsi="宋体" w:cs="宋体"/>
                <w:color w:val="000000" w:themeColor="text1"/>
                <w:sz w:val="18"/>
                <w:szCs w:val="18"/>
              </w:rPr>
            </w:pPr>
          </w:p>
        </w:tc>
        <w:tc>
          <w:tcPr>
            <w:tcW w:w="709" w:type="dxa"/>
            <w:vAlign w:val="center"/>
          </w:tcPr>
          <w:p w14:paraId="6D43F9A6">
            <w:pPr>
              <w:widowControl/>
              <w:jc w:val="center"/>
              <w:rPr>
                <w:rFonts w:hint="eastAsia" w:ascii="宋体" w:hAnsi="宋体" w:cs="宋体"/>
                <w:color w:val="000000" w:themeColor="text1"/>
                <w:sz w:val="18"/>
                <w:szCs w:val="18"/>
              </w:rPr>
            </w:pPr>
          </w:p>
        </w:tc>
        <w:tc>
          <w:tcPr>
            <w:tcW w:w="2034" w:type="dxa"/>
            <w:vAlign w:val="center"/>
          </w:tcPr>
          <w:p w14:paraId="63CD4399">
            <w:pPr>
              <w:widowControl/>
              <w:jc w:val="left"/>
              <w:rPr>
                <w:rFonts w:hint="eastAsia" w:ascii="宋体" w:hAnsi="宋体" w:cs="宋体"/>
                <w:color w:val="000000" w:themeColor="text1"/>
                <w:sz w:val="18"/>
                <w:szCs w:val="18"/>
              </w:rPr>
            </w:pPr>
          </w:p>
        </w:tc>
        <w:tc>
          <w:tcPr>
            <w:tcW w:w="3633" w:type="dxa"/>
            <w:gridSpan w:val="2"/>
            <w:vMerge w:val="continue"/>
            <w:vAlign w:val="center"/>
          </w:tcPr>
          <w:p w14:paraId="54A72CCE">
            <w:pPr>
              <w:widowControl/>
              <w:jc w:val="left"/>
              <w:rPr>
                <w:rFonts w:hint="eastAsia" w:ascii="宋体" w:hAnsi="宋体" w:cs="宋体"/>
                <w:color w:val="000000" w:themeColor="text1"/>
                <w:sz w:val="18"/>
                <w:szCs w:val="18"/>
              </w:rPr>
            </w:pPr>
          </w:p>
        </w:tc>
      </w:tr>
      <w:tr w14:paraId="61B20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440" w:hRule="atLeast"/>
          <w:jc w:val="center"/>
        </w:trPr>
        <w:tc>
          <w:tcPr>
            <w:tcW w:w="802" w:type="dxa"/>
            <w:vAlign w:val="center"/>
          </w:tcPr>
          <w:p w14:paraId="31E496AE">
            <w:pPr>
              <w:widowControl/>
              <w:jc w:val="center"/>
              <w:rPr>
                <w:rFonts w:hint="eastAsia" w:ascii="宋体" w:hAnsi="宋体" w:cs="宋体"/>
                <w:b/>
                <w:bCs/>
                <w:color w:val="000000" w:themeColor="text1"/>
                <w:sz w:val="18"/>
                <w:szCs w:val="18"/>
              </w:rPr>
            </w:pPr>
            <w:r>
              <w:rPr>
                <w:rFonts w:hint="eastAsia" w:ascii="宋体" w:hAnsi="宋体" w:cs="宋体"/>
                <w:color w:val="000000" w:themeColor="text1"/>
                <w:sz w:val="18"/>
                <w:szCs w:val="18"/>
              </w:rPr>
              <w:t>...</w:t>
            </w:r>
          </w:p>
        </w:tc>
        <w:tc>
          <w:tcPr>
            <w:tcW w:w="1465" w:type="dxa"/>
            <w:vAlign w:val="center"/>
          </w:tcPr>
          <w:p w14:paraId="29755AA4">
            <w:pPr>
              <w:widowControl/>
              <w:jc w:val="center"/>
              <w:rPr>
                <w:rFonts w:hint="eastAsia" w:ascii="宋体" w:hAnsi="宋体" w:cs="宋体"/>
                <w:b/>
                <w:bCs/>
                <w:color w:val="000000" w:themeColor="text1"/>
                <w:sz w:val="18"/>
                <w:szCs w:val="18"/>
              </w:rPr>
            </w:pPr>
          </w:p>
        </w:tc>
        <w:tc>
          <w:tcPr>
            <w:tcW w:w="780" w:type="dxa"/>
            <w:vAlign w:val="center"/>
          </w:tcPr>
          <w:p w14:paraId="16231FB8">
            <w:pPr>
              <w:widowControl/>
              <w:jc w:val="center"/>
              <w:rPr>
                <w:rFonts w:hint="eastAsia" w:ascii="宋体" w:hAnsi="宋体" w:cs="宋体"/>
                <w:color w:val="000000" w:themeColor="text1"/>
                <w:sz w:val="18"/>
                <w:szCs w:val="18"/>
              </w:rPr>
            </w:pPr>
          </w:p>
        </w:tc>
        <w:tc>
          <w:tcPr>
            <w:tcW w:w="727" w:type="dxa"/>
            <w:vAlign w:val="center"/>
          </w:tcPr>
          <w:p w14:paraId="5C849D06">
            <w:pPr>
              <w:widowControl/>
              <w:jc w:val="center"/>
              <w:rPr>
                <w:rFonts w:hint="eastAsia" w:ascii="宋体" w:hAnsi="宋体" w:cs="宋体"/>
                <w:color w:val="000000" w:themeColor="text1"/>
                <w:sz w:val="18"/>
                <w:szCs w:val="18"/>
              </w:rPr>
            </w:pPr>
          </w:p>
        </w:tc>
        <w:tc>
          <w:tcPr>
            <w:tcW w:w="726" w:type="dxa"/>
            <w:vAlign w:val="center"/>
          </w:tcPr>
          <w:p w14:paraId="6688DE72">
            <w:pPr>
              <w:widowControl/>
              <w:jc w:val="center"/>
              <w:rPr>
                <w:rFonts w:hint="eastAsia" w:ascii="宋体" w:hAnsi="宋体" w:cs="宋体"/>
                <w:color w:val="000000" w:themeColor="text1"/>
                <w:sz w:val="18"/>
                <w:szCs w:val="18"/>
              </w:rPr>
            </w:pPr>
          </w:p>
        </w:tc>
        <w:tc>
          <w:tcPr>
            <w:tcW w:w="709" w:type="dxa"/>
            <w:vAlign w:val="center"/>
          </w:tcPr>
          <w:p w14:paraId="2BCAB181">
            <w:pPr>
              <w:widowControl/>
              <w:jc w:val="center"/>
              <w:rPr>
                <w:rFonts w:hint="eastAsia" w:ascii="宋体" w:hAnsi="宋体" w:cs="宋体"/>
                <w:color w:val="000000" w:themeColor="text1"/>
                <w:sz w:val="18"/>
                <w:szCs w:val="18"/>
              </w:rPr>
            </w:pPr>
          </w:p>
        </w:tc>
        <w:tc>
          <w:tcPr>
            <w:tcW w:w="2034" w:type="dxa"/>
            <w:vAlign w:val="center"/>
          </w:tcPr>
          <w:p w14:paraId="1A085F88">
            <w:pPr>
              <w:widowControl/>
              <w:jc w:val="left"/>
              <w:rPr>
                <w:rFonts w:hint="eastAsia" w:ascii="宋体" w:hAnsi="宋体" w:cs="宋体"/>
                <w:color w:val="000000" w:themeColor="text1"/>
                <w:sz w:val="18"/>
                <w:szCs w:val="18"/>
              </w:rPr>
            </w:pPr>
          </w:p>
        </w:tc>
        <w:tc>
          <w:tcPr>
            <w:tcW w:w="3633" w:type="dxa"/>
            <w:gridSpan w:val="2"/>
            <w:vMerge w:val="continue"/>
            <w:vAlign w:val="center"/>
          </w:tcPr>
          <w:p w14:paraId="4E45AAB0">
            <w:pPr>
              <w:widowControl/>
              <w:jc w:val="left"/>
              <w:rPr>
                <w:rFonts w:hint="eastAsia" w:ascii="宋体" w:hAnsi="宋体" w:cs="宋体"/>
                <w:color w:val="000000" w:themeColor="text1"/>
                <w:sz w:val="18"/>
                <w:szCs w:val="18"/>
              </w:rPr>
            </w:pPr>
          </w:p>
        </w:tc>
      </w:tr>
      <w:tr w14:paraId="31E82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90" w:hRule="atLeast"/>
          <w:jc w:val="center"/>
        </w:trPr>
        <w:tc>
          <w:tcPr>
            <w:tcW w:w="802" w:type="dxa"/>
            <w:vMerge w:val="restart"/>
            <w:vAlign w:val="center"/>
          </w:tcPr>
          <w:p w14:paraId="064279E1">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3</w:t>
            </w:r>
          </w:p>
        </w:tc>
        <w:tc>
          <w:tcPr>
            <w:tcW w:w="1465" w:type="dxa"/>
            <w:vMerge w:val="restart"/>
            <w:vAlign w:val="center"/>
          </w:tcPr>
          <w:p w14:paraId="3F4A65E9">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法定节假日人员加班费</w:t>
            </w:r>
          </w:p>
        </w:tc>
        <w:tc>
          <w:tcPr>
            <w:tcW w:w="780" w:type="dxa"/>
            <w:vAlign w:val="center"/>
          </w:tcPr>
          <w:p w14:paraId="243465D3">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岗位（</w:t>
            </w:r>
            <w:r>
              <w:rPr>
                <w:rFonts w:hint="eastAsia" w:ascii="宋体" w:hAnsi="宋体" w:cs="宋体"/>
                <w:color w:val="000000" w:themeColor="text1"/>
                <w:sz w:val="18"/>
                <w:szCs w:val="18"/>
              </w:rPr>
              <w:t>人）</w:t>
            </w:r>
          </w:p>
        </w:tc>
        <w:tc>
          <w:tcPr>
            <w:tcW w:w="727" w:type="dxa"/>
            <w:vAlign w:val="center"/>
          </w:tcPr>
          <w:p w14:paraId="093322C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09C8E41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法定节假日天数</w:t>
            </w:r>
          </w:p>
        </w:tc>
        <w:tc>
          <w:tcPr>
            <w:tcW w:w="709" w:type="dxa"/>
            <w:vAlign w:val="center"/>
          </w:tcPr>
          <w:p w14:paraId="7AE2ECA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6E9D48CF">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22FF2982">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法定节假日安排劳动者工作的，支付不低于正常工资的百分之三百的工资报酬。本项目安保服务法定节假日在岗人数不少于33岗（人），报价中的“法定节假日人员加班费”不得低于上述要求，并按照本项目合同履行期内的法定节假日天数进行测算，否则做无效投标处理。</w:t>
            </w:r>
          </w:p>
        </w:tc>
      </w:tr>
      <w:tr w14:paraId="39940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31429B4D">
            <w:pPr>
              <w:widowControl/>
              <w:jc w:val="center"/>
              <w:rPr>
                <w:rFonts w:hint="eastAsia" w:ascii="宋体" w:hAnsi="宋体" w:cs="宋体"/>
                <w:b/>
                <w:bCs/>
                <w:color w:val="000000" w:themeColor="text1"/>
                <w:sz w:val="18"/>
                <w:szCs w:val="18"/>
              </w:rPr>
            </w:pPr>
          </w:p>
        </w:tc>
        <w:tc>
          <w:tcPr>
            <w:tcW w:w="1465" w:type="dxa"/>
            <w:vMerge w:val="continue"/>
            <w:vAlign w:val="center"/>
          </w:tcPr>
          <w:p w14:paraId="634CB5F5">
            <w:pPr>
              <w:widowControl/>
              <w:jc w:val="center"/>
              <w:rPr>
                <w:rFonts w:hint="eastAsia" w:ascii="宋体" w:hAnsi="宋体" w:cs="宋体"/>
                <w:b/>
                <w:bCs/>
                <w:color w:val="000000" w:themeColor="text1"/>
                <w:sz w:val="18"/>
                <w:szCs w:val="18"/>
              </w:rPr>
            </w:pPr>
          </w:p>
        </w:tc>
        <w:tc>
          <w:tcPr>
            <w:tcW w:w="780" w:type="dxa"/>
            <w:vAlign w:val="center"/>
          </w:tcPr>
          <w:p w14:paraId="10ED61CE">
            <w:pPr>
              <w:widowControl/>
              <w:jc w:val="center"/>
              <w:rPr>
                <w:rFonts w:hint="eastAsia" w:ascii="宋体" w:hAnsi="宋体" w:cs="宋体"/>
                <w:color w:val="000000" w:themeColor="text1"/>
                <w:sz w:val="18"/>
                <w:szCs w:val="18"/>
              </w:rPr>
            </w:pPr>
          </w:p>
        </w:tc>
        <w:tc>
          <w:tcPr>
            <w:tcW w:w="727" w:type="dxa"/>
            <w:vAlign w:val="center"/>
          </w:tcPr>
          <w:p w14:paraId="7DCDE197">
            <w:pPr>
              <w:widowControl/>
              <w:jc w:val="center"/>
              <w:rPr>
                <w:rFonts w:hint="eastAsia" w:ascii="宋体" w:hAnsi="宋体" w:cs="宋体"/>
                <w:color w:val="000000" w:themeColor="text1"/>
                <w:sz w:val="18"/>
                <w:szCs w:val="18"/>
              </w:rPr>
            </w:pPr>
          </w:p>
        </w:tc>
        <w:tc>
          <w:tcPr>
            <w:tcW w:w="726" w:type="dxa"/>
            <w:vAlign w:val="center"/>
          </w:tcPr>
          <w:p w14:paraId="5E54622D">
            <w:pPr>
              <w:widowControl/>
              <w:jc w:val="center"/>
              <w:rPr>
                <w:rFonts w:hint="eastAsia" w:ascii="宋体" w:hAnsi="宋体" w:cs="宋体"/>
                <w:color w:val="000000" w:themeColor="text1"/>
                <w:sz w:val="18"/>
                <w:szCs w:val="18"/>
              </w:rPr>
            </w:pPr>
          </w:p>
        </w:tc>
        <w:tc>
          <w:tcPr>
            <w:tcW w:w="709" w:type="dxa"/>
            <w:vAlign w:val="center"/>
          </w:tcPr>
          <w:p w14:paraId="66475028">
            <w:pPr>
              <w:widowControl/>
              <w:jc w:val="center"/>
              <w:rPr>
                <w:rFonts w:hint="eastAsia" w:ascii="宋体" w:hAnsi="宋体" w:cs="宋体"/>
                <w:color w:val="000000" w:themeColor="text1"/>
                <w:sz w:val="18"/>
                <w:szCs w:val="18"/>
              </w:rPr>
            </w:pPr>
          </w:p>
        </w:tc>
        <w:tc>
          <w:tcPr>
            <w:tcW w:w="2034" w:type="dxa"/>
            <w:vAlign w:val="center"/>
          </w:tcPr>
          <w:p w14:paraId="58DAF961">
            <w:pPr>
              <w:widowControl/>
              <w:jc w:val="left"/>
              <w:rPr>
                <w:rFonts w:hint="eastAsia" w:ascii="宋体" w:hAnsi="宋体" w:cs="宋体"/>
                <w:color w:val="000000" w:themeColor="text1"/>
                <w:sz w:val="18"/>
                <w:szCs w:val="18"/>
              </w:rPr>
            </w:pPr>
          </w:p>
        </w:tc>
        <w:tc>
          <w:tcPr>
            <w:tcW w:w="3633" w:type="dxa"/>
            <w:gridSpan w:val="2"/>
            <w:vAlign w:val="center"/>
          </w:tcPr>
          <w:p w14:paraId="639DD8D3">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参考计算公式：人员工资÷21.75天（平均月计薪天数）×3×人数×合同履行期内法定节假日天数(13天/年）</w:t>
            </w:r>
          </w:p>
        </w:tc>
      </w:tr>
      <w:tr w14:paraId="2289C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7EF61B7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4</w:t>
            </w:r>
          </w:p>
        </w:tc>
        <w:tc>
          <w:tcPr>
            <w:tcW w:w="1465" w:type="dxa"/>
            <w:vMerge w:val="restart"/>
            <w:vAlign w:val="center"/>
          </w:tcPr>
          <w:p w14:paraId="42893605">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平时超时加班工资</w:t>
            </w:r>
          </w:p>
        </w:tc>
        <w:tc>
          <w:tcPr>
            <w:tcW w:w="780" w:type="dxa"/>
            <w:vAlign w:val="center"/>
          </w:tcPr>
          <w:p w14:paraId="24EA2CDE">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46C80C53">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clear="all"/>
            </w:r>
            <w:r>
              <w:rPr>
                <w:rFonts w:hint="eastAsia" w:ascii="宋体" w:hAnsi="宋体" w:cs="宋体"/>
                <w:color w:val="000000" w:themeColor="text1"/>
                <w:sz w:val="18"/>
                <w:szCs w:val="18"/>
              </w:rPr>
              <w:t>（元/人*月）</w:t>
            </w:r>
          </w:p>
        </w:tc>
        <w:tc>
          <w:tcPr>
            <w:tcW w:w="726" w:type="dxa"/>
            <w:vAlign w:val="center"/>
          </w:tcPr>
          <w:p w14:paraId="038DB78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月超时加班时间</w:t>
            </w:r>
          </w:p>
        </w:tc>
        <w:tc>
          <w:tcPr>
            <w:tcW w:w="709" w:type="dxa"/>
            <w:vAlign w:val="center"/>
          </w:tcPr>
          <w:p w14:paraId="6EC674AE">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分项小计（元）</w:t>
            </w:r>
          </w:p>
        </w:tc>
        <w:tc>
          <w:tcPr>
            <w:tcW w:w="2034" w:type="dxa"/>
            <w:vAlign w:val="center"/>
          </w:tcPr>
          <w:p w14:paraId="4E7731B8">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费用计算公式</w:t>
            </w:r>
          </w:p>
        </w:tc>
        <w:tc>
          <w:tcPr>
            <w:tcW w:w="3633" w:type="dxa"/>
            <w:gridSpan w:val="2"/>
            <w:vAlign w:val="center"/>
          </w:tcPr>
          <w:p w14:paraId="4DBB3915">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安排劳动者延长工作时间的，支付不低于工资的百分之一百五十的工资报酬。本项目安保服务每天不少于33岗（人）的工作时长为10小时，即每天延长</w:t>
            </w:r>
            <w:r>
              <w:rPr>
                <w:rFonts w:ascii="宋体" w:hAnsi="宋体" w:cs="宋体"/>
                <w:color w:val="000000" w:themeColor="text1"/>
                <w:sz w:val="18"/>
                <w:szCs w:val="18"/>
              </w:rPr>
              <w:t>2</w:t>
            </w:r>
            <w:r>
              <w:rPr>
                <w:rFonts w:hint="eastAsia" w:ascii="宋体" w:hAnsi="宋体" w:cs="宋体"/>
                <w:color w:val="000000" w:themeColor="text1"/>
                <w:sz w:val="18"/>
                <w:szCs w:val="18"/>
              </w:rPr>
              <w:t>小时，报价中的“平时超时加班工资”不得低于上述要求，否则做无效投标处理。</w:t>
            </w:r>
          </w:p>
        </w:tc>
      </w:tr>
      <w:tr w14:paraId="157C4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19C8BB27">
            <w:pPr>
              <w:widowControl/>
              <w:jc w:val="center"/>
              <w:rPr>
                <w:rFonts w:hint="eastAsia" w:ascii="宋体" w:hAnsi="宋体" w:cs="宋体"/>
                <w:b/>
                <w:bCs/>
                <w:color w:val="000000" w:themeColor="text1"/>
                <w:sz w:val="18"/>
                <w:szCs w:val="18"/>
              </w:rPr>
            </w:pPr>
          </w:p>
        </w:tc>
        <w:tc>
          <w:tcPr>
            <w:tcW w:w="1465" w:type="dxa"/>
            <w:vMerge w:val="continue"/>
            <w:vAlign w:val="center"/>
          </w:tcPr>
          <w:p w14:paraId="44C09265">
            <w:pPr>
              <w:widowControl/>
              <w:jc w:val="center"/>
              <w:rPr>
                <w:rFonts w:hint="eastAsia" w:ascii="宋体" w:hAnsi="宋体" w:cs="宋体"/>
                <w:b/>
                <w:bCs/>
                <w:color w:val="000000" w:themeColor="text1"/>
                <w:sz w:val="18"/>
                <w:szCs w:val="18"/>
              </w:rPr>
            </w:pPr>
          </w:p>
        </w:tc>
        <w:tc>
          <w:tcPr>
            <w:tcW w:w="780" w:type="dxa"/>
            <w:vAlign w:val="center"/>
          </w:tcPr>
          <w:p w14:paraId="2ABD149E">
            <w:pPr>
              <w:widowControl/>
              <w:jc w:val="center"/>
              <w:rPr>
                <w:rFonts w:hint="eastAsia" w:ascii="宋体" w:hAnsi="宋体" w:cs="宋体"/>
                <w:b/>
                <w:bCs/>
                <w:color w:val="000000" w:themeColor="text1"/>
                <w:sz w:val="18"/>
                <w:szCs w:val="18"/>
              </w:rPr>
            </w:pPr>
          </w:p>
        </w:tc>
        <w:tc>
          <w:tcPr>
            <w:tcW w:w="727" w:type="dxa"/>
            <w:vAlign w:val="center"/>
          </w:tcPr>
          <w:p w14:paraId="32CCC8C4">
            <w:pPr>
              <w:widowControl/>
              <w:jc w:val="center"/>
              <w:rPr>
                <w:rFonts w:hint="eastAsia" w:ascii="宋体" w:hAnsi="宋体" w:cs="宋体"/>
                <w:color w:val="000000" w:themeColor="text1"/>
                <w:sz w:val="18"/>
                <w:szCs w:val="18"/>
              </w:rPr>
            </w:pPr>
          </w:p>
        </w:tc>
        <w:tc>
          <w:tcPr>
            <w:tcW w:w="726" w:type="dxa"/>
            <w:vAlign w:val="center"/>
          </w:tcPr>
          <w:p w14:paraId="753ED919">
            <w:pPr>
              <w:widowControl/>
              <w:jc w:val="center"/>
              <w:rPr>
                <w:rFonts w:hint="eastAsia" w:ascii="宋体" w:hAnsi="宋体" w:cs="宋体"/>
                <w:color w:val="000000" w:themeColor="text1"/>
                <w:sz w:val="18"/>
                <w:szCs w:val="18"/>
              </w:rPr>
            </w:pPr>
          </w:p>
        </w:tc>
        <w:tc>
          <w:tcPr>
            <w:tcW w:w="709" w:type="dxa"/>
            <w:vAlign w:val="center"/>
          </w:tcPr>
          <w:p w14:paraId="071B8261">
            <w:pPr>
              <w:widowControl/>
              <w:jc w:val="center"/>
              <w:rPr>
                <w:rFonts w:hint="eastAsia" w:ascii="宋体" w:hAnsi="宋体" w:cs="宋体"/>
                <w:color w:val="000000" w:themeColor="text1"/>
                <w:sz w:val="18"/>
                <w:szCs w:val="18"/>
              </w:rPr>
            </w:pPr>
          </w:p>
        </w:tc>
        <w:tc>
          <w:tcPr>
            <w:tcW w:w="2034" w:type="dxa"/>
            <w:vAlign w:val="center"/>
          </w:tcPr>
          <w:p w14:paraId="4565851A">
            <w:pPr>
              <w:widowControl/>
              <w:jc w:val="left"/>
              <w:rPr>
                <w:rFonts w:hint="eastAsia" w:ascii="宋体" w:hAnsi="宋体" w:cs="宋体"/>
                <w:color w:val="000000" w:themeColor="text1"/>
                <w:sz w:val="18"/>
                <w:szCs w:val="18"/>
              </w:rPr>
            </w:pPr>
          </w:p>
        </w:tc>
        <w:tc>
          <w:tcPr>
            <w:tcW w:w="3633" w:type="dxa"/>
            <w:gridSpan w:val="2"/>
            <w:vAlign w:val="center"/>
          </w:tcPr>
          <w:p w14:paraId="62B00352">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参考计算公式：平时上班天数×超时小时数×（人员工资÷174×1.5倍）：（365-104-13）×2×（人员工资÷174×1.5）</w:t>
            </w:r>
          </w:p>
        </w:tc>
      </w:tr>
      <w:tr w14:paraId="63C0A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restart"/>
            <w:vAlign w:val="center"/>
          </w:tcPr>
          <w:p w14:paraId="5BF8AC1B">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5</w:t>
            </w:r>
          </w:p>
        </w:tc>
        <w:tc>
          <w:tcPr>
            <w:tcW w:w="1465" w:type="dxa"/>
            <w:vMerge w:val="restart"/>
            <w:vAlign w:val="center"/>
          </w:tcPr>
          <w:p w14:paraId="6DEF61F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双休日</w:t>
            </w:r>
            <w:r>
              <w:rPr>
                <w:rFonts w:ascii="宋体" w:hAnsi="宋体" w:cs="宋体"/>
                <w:b/>
                <w:bCs/>
                <w:color w:val="000000" w:themeColor="text1"/>
                <w:sz w:val="18"/>
                <w:szCs w:val="18"/>
              </w:rPr>
              <w:t>加班</w:t>
            </w:r>
            <w:r>
              <w:rPr>
                <w:rFonts w:hint="eastAsia" w:ascii="宋体" w:hAnsi="宋体" w:cs="宋体"/>
                <w:b/>
                <w:bCs/>
                <w:color w:val="000000" w:themeColor="text1"/>
                <w:sz w:val="18"/>
                <w:szCs w:val="18"/>
              </w:rPr>
              <w:t>工资</w:t>
            </w:r>
          </w:p>
        </w:tc>
        <w:tc>
          <w:tcPr>
            <w:tcW w:w="780" w:type="dxa"/>
            <w:vAlign w:val="center"/>
          </w:tcPr>
          <w:p w14:paraId="138D6E76">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岗位（人）</w:t>
            </w:r>
          </w:p>
        </w:tc>
        <w:tc>
          <w:tcPr>
            <w:tcW w:w="727" w:type="dxa"/>
            <w:vAlign w:val="center"/>
          </w:tcPr>
          <w:p w14:paraId="33D36DEC">
            <w:pPr>
              <w:widowControl/>
              <w:jc w:val="center"/>
              <w:rPr>
                <w:rFonts w:hint="eastAsia" w:ascii="宋体" w:hAnsi="宋体" w:cs="宋体"/>
                <w:color w:val="000000" w:themeColor="text1"/>
              </w:rPr>
            </w:pPr>
            <w:r>
              <w:rPr>
                <w:rFonts w:hint="eastAsia" w:ascii="宋体" w:hAnsi="宋体" w:cs="宋体"/>
                <w:color w:val="000000" w:themeColor="text1"/>
                <w:sz w:val="18"/>
                <w:szCs w:val="18"/>
              </w:rPr>
              <w:t>人员工资</w:t>
            </w:r>
            <w:r>
              <w:rPr>
                <w:rFonts w:hint="eastAsia" w:ascii="宋体" w:hAnsi="宋体" w:cs="宋体"/>
                <w:color w:val="000000" w:themeColor="text1"/>
                <w:sz w:val="18"/>
                <w:szCs w:val="18"/>
              </w:rPr>
              <w:br w:type="textWrapping"/>
            </w:r>
            <w:r>
              <w:rPr>
                <w:rFonts w:hint="eastAsia" w:ascii="宋体" w:hAnsi="宋体" w:cs="宋体"/>
                <w:color w:val="000000" w:themeColor="text1"/>
                <w:sz w:val="18"/>
                <w:szCs w:val="18"/>
              </w:rPr>
              <w:t>（元/人*月）</w:t>
            </w:r>
          </w:p>
        </w:tc>
        <w:tc>
          <w:tcPr>
            <w:tcW w:w="726" w:type="dxa"/>
            <w:vAlign w:val="center"/>
          </w:tcPr>
          <w:p w14:paraId="512CD465">
            <w:pPr>
              <w:widowControl/>
              <w:jc w:val="center"/>
              <w:rPr>
                <w:rFonts w:hint="eastAsia" w:ascii="宋体" w:hAnsi="宋体" w:cs="宋体"/>
                <w:color w:val="000000" w:themeColor="text1"/>
              </w:rPr>
            </w:pPr>
            <w:r>
              <w:rPr>
                <w:rFonts w:hint="eastAsia" w:ascii="宋体" w:hAnsi="宋体" w:cs="宋体"/>
                <w:color w:val="000000" w:themeColor="text1"/>
                <w:sz w:val="18"/>
                <w:szCs w:val="18"/>
              </w:rPr>
              <w:t>双休日加班天数</w:t>
            </w:r>
          </w:p>
        </w:tc>
        <w:tc>
          <w:tcPr>
            <w:tcW w:w="709" w:type="dxa"/>
            <w:vAlign w:val="center"/>
          </w:tcPr>
          <w:p w14:paraId="3FDD027B">
            <w:pPr>
              <w:widowControl/>
              <w:jc w:val="center"/>
              <w:rPr>
                <w:rFonts w:hint="eastAsia" w:ascii="宋体" w:hAnsi="宋体" w:cs="宋体"/>
                <w:color w:val="000000" w:themeColor="text1"/>
              </w:rPr>
            </w:pPr>
            <w:r>
              <w:rPr>
                <w:rFonts w:hint="eastAsia" w:ascii="宋体" w:hAnsi="宋体" w:cs="宋体"/>
                <w:color w:val="000000" w:themeColor="text1"/>
                <w:sz w:val="18"/>
                <w:szCs w:val="18"/>
              </w:rPr>
              <w:t>分项小计（元）</w:t>
            </w:r>
          </w:p>
        </w:tc>
        <w:tc>
          <w:tcPr>
            <w:tcW w:w="2034" w:type="dxa"/>
            <w:vAlign w:val="center"/>
          </w:tcPr>
          <w:p w14:paraId="1CB4EFB8">
            <w:pPr>
              <w:widowControl/>
              <w:jc w:val="left"/>
              <w:rPr>
                <w:rFonts w:hint="eastAsia" w:ascii="宋体" w:hAnsi="宋体" w:cs="宋体"/>
                <w:color w:val="000000" w:themeColor="text1"/>
              </w:rPr>
            </w:pPr>
            <w:r>
              <w:rPr>
                <w:rFonts w:hint="eastAsia" w:ascii="宋体" w:hAnsi="宋体" w:cs="宋体"/>
                <w:color w:val="000000" w:themeColor="text1"/>
                <w:sz w:val="18"/>
                <w:szCs w:val="18"/>
              </w:rPr>
              <w:t>费用计算公式</w:t>
            </w:r>
          </w:p>
        </w:tc>
        <w:tc>
          <w:tcPr>
            <w:tcW w:w="3633" w:type="dxa"/>
            <w:gridSpan w:val="2"/>
            <w:vAlign w:val="center"/>
          </w:tcPr>
          <w:p w14:paraId="645D20CF">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休息日安排劳动者工作又不能安排补休的，支付不低于正常工资的百分之二百的工资报酬。本项目安保服务双休日在岗人数不少于33人，报价中的“双休日加班工资”不得低于上述要求，并按照本项目合同履行期内的周末加班天数进行测算，否则做无效投标处理。</w:t>
            </w:r>
          </w:p>
        </w:tc>
      </w:tr>
      <w:tr w14:paraId="5FE69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1" w:type="dxa"/>
          <w:trHeight w:val="534" w:hRule="atLeast"/>
          <w:jc w:val="center"/>
        </w:trPr>
        <w:tc>
          <w:tcPr>
            <w:tcW w:w="802" w:type="dxa"/>
            <w:vMerge w:val="continue"/>
            <w:vAlign w:val="center"/>
          </w:tcPr>
          <w:p w14:paraId="704E5552">
            <w:pPr>
              <w:rPr>
                <w:color w:val="000000" w:themeColor="text1"/>
              </w:rPr>
            </w:pPr>
          </w:p>
        </w:tc>
        <w:tc>
          <w:tcPr>
            <w:tcW w:w="1465" w:type="dxa"/>
            <w:vMerge w:val="continue"/>
            <w:vAlign w:val="center"/>
          </w:tcPr>
          <w:p w14:paraId="082C1E7B">
            <w:pPr>
              <w:rPr>
                <w:color w:val="000000" w:themeColor="text1"/>
              </w:rPr>
            </w:pPr>
          </w:p>
        </w:tc>
        <w:tc>
          <w:tcPr>
            <w:tcW w:w="780" w:type="dxa"/>
            <w:vAlign w:val="center"/>
          </w:tcPr>
          <w:p w14:paraId="1F9A198C">
            <w:pPr>
              <w:widowControl/>
              <w:jc w:val="center"/>
              <w:rPr>
                <w:rFonts w:hint="eastAsia" w:ascii="宋体" w:hAnsi="宋体" w:cs="宋体"/>
                <w:color w:val="000000" w:themeColor="text1"/>
                <w:sz w:val="18"/>
                <w:szCs w:val="18"/>
              </w:rPr>
            </w:pPr>
          </w:p>
        </w:tc>
        <w:tc>
          <w:tcPr>
            <w:tcW w:w="727" w:type="dxa"/>
            <w:vAlign w:val="center"/>
          </w:tcPr>
          <w:p w14:paraId="75D2C08F">
            <w:pPr>
              <w:widowControl/>
              <w:jc w:val="center"/>
              <w:rPr>
                <w:rFonts w:hint="eastAsia" w:ascii="宋体" w:hAnsi="宋体" w:cs="宋体"/>
                <w:color w:val="000000" w:themeColor="text1"/>
                <w:sz w:val="18"/>
                <w:szCs w:val="18"/>
              </w:rPr>
            </w:pPr>
          </w:p>
        </w:tc>
        <w:tc>
          <w:tcPr>
            <w:tcW w:w="726" w:type="dxa"/>
            <w:vAlign w:val="center"/>
          </w:tcPr>
          <w:p w14:paraId="313230B3">
            <w:pPr>
              <w:widowControl/>
              <w:jc w:val="center"/>
              <w:rPr>
                <w:rFonts w:hint="eastAsia" w:ascii="宋体" w:hAnsi="宋体" w:cs="宋体"/>
                <w:color w:val="000000" w:themeColor="text1"/>
                <w:sz w:val="18"/>
                <w:szCs w:val="18"/>
              </w:rPr>
            </w:pPr>
          </w:p>
        </w:tc>
        <w:tc>
          <w:tcPr>
            <w:tcW w:w="709" w:type="dxa"/>
            <w:vAlign w:val="center"/>
          </w:tcPr>
          <w:p w14:paraId="6D831B84">
            <w:pPr>
              <w:widowControl/>
              <w:jc w:val="center"/>
              <w:rPr>
                <w:rFonts w:hint="eastAsia" w:ascii="宋体" w:hAnsi="宋体" w:cs="宋体"/>
                <w:color w:val="000000" w:themeColor="text1"/>
                <w:sz w:val="18"/>
                <w:szCs w:val="18"/>
              </w:rPr>
            </w:pPr>
          </w:p>
        </w:tc>
        <w:tc>
          <w:tcPr>
            <w:tcW w:w="2034" w:type="dxa"/>
            <w:vAlign w:val="center"/>
          </w:tcPr>
          <w:p w14:paraId="59C384A6">
            <w:pPr>
              <w:widowControl/>
              <w:jc w:val="left"/>
              <w:rPr>
                <w:rFonts w:hint="eastAsia" w:ascii="宋体" w:hAnsi="宋体" w:cs="宋体"/>
                <w:color w:val="000000" w:themeColor="text1"/>
                <w:sz w:val="18"/>
                <w:szCs w:val="18"/>
              </w:rPr>
            </w:pPr>
          </w:p>
        </w:tc>
        <w:tc>
          <w:tcPr>
            <w:tcW w:w="3633" w:type="dxa"/>
            <w:gridSpan w:val="2"/>
            <w:vAlign w:val="center"/>
          </w:tcPr>
          <w:p w14:paraId="3CC4AB26">
            <w:pPr>
              <w:widowControl/>
              <w:jc w:val="left"/>
              <w:rPr>
                <w:color w:val="000000" w:themeColor="text1"/>
              </w:rPr>
            </w:pPr>
            <w:r>
              <w:rPr>
                <w:rFonts w:hint="eastAsia" w:ascii="宋体" w:hAnsi="宋体" w:cs="宋体"/>
                <w:color w:val="000000" w:themeColor="text1"/>
                <w:sz w:val="18"/>
                <w:szCs w:val="18"/>
              </w:rPr>
              <w:t>参考计算公式：周末上班天数×超时小时数×人员工资÷174×2）：102×10×(人员工资÷174×2)</w:t>
            </w:r>
          </w:p>
        </w:tc>
      </w:tr>
      <w:tr w14:paraId="24F5B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2C6D0D4D">
            <w:pPr>
              <w:widowControl/>
              <w:jc w:val="center"/>
              <w:rPr>
                <w:rFonts w:hint="eastAsia" w:ascii="宋体" w:hAnsi="宋体" w:cs="宋体"/>
                <w:color w:val="000000" w:themeColor="text1"/>
                <w:sz w:val="18"/>
                <w:szCs w:val="18"/>
              </w:rPr>
            </w:pPr>
            <w:r>
              <w:rPr>
                <w:rFonts w:hint="eastAsia" w:ascii="宋体" w:hAnsi="宋体" w:cs="宋体"/>
                <w:b/>
                <w:bCs/>
                <w:color w:val="000000" w:themeColor="text1"/>
                <w:sz w:val="18"/>
                <w:szCs w:val="18"/>
              </w:rPr>
              <w:t>6</w:t>
            </w:r>
          </w:p>
        </w:tc>
        <w:tc>
          <w:tcPr>
            <w:tcW w:w="10085" w:type="dxa"/>
            <w:gridSpan w:val="9"/>
            <w:vAlign w:val="center"/>
          </w:tcPr>
          <w:p w14:paraId="6EA40236">
            <w:pPr>
              <w:widowControl/>
              <w:jc w:val="left"/>
              <w:rPr>
                <w:rFonts w:hint="eastAsia" w:ascii="宋体" w:hAnsi="宋体" w:cs="宋体"/>
                <w:color w:val="000000" w:themeColor="text1"/>
                <w:sz w:val="18"/>
                <w:szCs w:val="18"/>
              </w:rPr>
            </w:pPr>
            <w:r>
              <w:rPr>
                <w:rFonts w:hint="eastAsia" w:ascii="宋体" w:hAnsi="宋体" w:cs="宋体"/>
                <w:b/>
                <w:bCs/>
                <w:color w:val="000000" w:themeColor="text1"/>
                <w:sz w:val="18"/>
                <w:szCs w:val="18"/>
              </w:rPr>
              <w:t>其他待遇费用</w:t>
            </w:r>
          </w:p>
        </w:tc>
      </w:tr>
      <w:tr w14:paraId="63E67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802" w:type="dxa"/>
            <w:vAlign w:val="center"/>
          </w:tcPr>
          <w:p w14:paraId="017FE51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（1）</w:t>
            </w:r>
          </w:p>
        </w:tc>
        <w:tc>
          <w:tcPr>
            <w:tcW w:w="1465" w:type="dxa"/>
            <w:vAlign w:val="center"/>
          </w:tcPr>
          <w:p w14:paraId="2283F38E">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高温费</w:t>
            </w:r>
          </w:p>
        </w:tc>
        <w:tc>
          <w:tcPr>
            <w:tcW w:w="4987" w:type="dxa"/>
            <w:gridSpan w:val="6"/>
            <w:vAlign w:val="center"/>
          </w:tcPr>
          <w:p w14:paraId="3B234669">
            <w:pPr>
              <w:widowControl/>
              <w:jc w:val="left"/>
              <w:rPr>
                <w:rFonts w:hint="eastAsia" w:ascii="宋体" w:hAnsi="宋体" w:cs="宋体"/>
                <w:color w:val="000000" w:themeColor="text1"/>
                <w:sz w:val="18"/>
                <w:szCs w:val="18"/>
              </w:rPr>
            </w:pPr>
          </w:p>
        </w:tc>
        <w:tc>
          <w:tcPr>
            <w:tcW w:w="3633" w:type="dxa"/>
            <w:gridSpan w:val="2"/>
            <w:vAlign w:val="center"/>
          </w:tcPr>
          <w:p w14:paraId="5350F57C">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6、7、8、9月，每月300元，共1200元/年。报价中的“高温费”不得低于上述要求，岗位数不得低于33岗（人），否则做无效投标处理。</w:t>
            </w:r>
          </w:p>
        </w:tc>
      </w:tr>
      <w:tr w14:paraId="5782C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1B2B3FF5">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（2）</w:t>
            </w:r>
          </w:p>
        </w:tc>
        <w:tc>
          <w:tcPr>
            <w:tcW w:w="1465" w:type="dxa"/>
            <w:vAlign w:val="center"/>
          </w:tcPr>
          <w:p w14:paraId="65415B5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服装</w:t>
            </w:r>
          </w:p>
        </w:tc>
        <w:tc>
          <w:tcPr>
            <w:tcW w:w="4987" w:type="dxa"/>
            <w:gridSpan w:val="6"/>
            <w:vAlign w:val="center"/>
          </w:tcPr>
          <w:p w14:paraId="175A016F">
            <w:pPr>
              <w:widowControl/>
              <w:jc w:val="left"/>
              <w:rPr>
                <w:rFonts w:hint="eastAsia" w:ascii="宋体" w:hAnsi="宋体" w:cs="宋体"/>
                <w:color w:val="000000" w:themeColor="text1"/>
                <w:sz w:val="18"/>
                <w:szCs w:val="18"/>
              </w:rPr>
            </w:pPr>
          </w:p>
        </w:tc>
        <w:tc>
          <w:tcPr>
            <w:tcW w:w="3633" w:type="dxa"/>
            <w:gridSpan w:val="2"/>
            <w:vAlign w:val="center"/>
          </w:tcPr>
          <w:p w14:paraId="72F5B738">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春秋服装、大衣、雨衣和全套配饰等，每人每季节至少2套。</w:t>
            </w:r>
          </w:p>
        </w:tc>
      </w:tr>
      <w:tr w14:paraId="2C022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4FECB07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（3）</w:t>
            </w:r>
          </w:p>
        </w:tc>
        <w:tc>
          <w:tcPr>
            <w:tcW w:w="1465" w:type="dxa"/>
            <w:vAlign w:val="center"/>
          </w:tcPr>
          <w:p w14:paraId="463A3D70">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设备费</w:t>
            </w:r>
          </w:p>
        </w:tc>
        <w:tc>
          <w:tcPr>
            <w:tcW w:w="4987" w:type="dxa"/>
            <w:gridSpan w:val="6"/>
            <w:vAlign w:val="center"/>
          </w:tcPr>
          <w:p w14:paraId="4353CFB9">
            <w:pPr>
              <w:widowControl/>
              <w:jc w:val="left"/>
              <w:rPr>
                <w:rFonts w:hint="eastAsia" w:ascii="宋体" w:hAnsi="宋体" w:cs="宋体"/>
                <w:color w:val="000000" w:themeColor="text1"/>
                <w:sz w:val="18"/>
                <w:szCs w:val="18"/>
              </w:rPr>
            </w:pPr>
          </w:p>
        </w:tc>
        <w:tc>
          <w:tcPr>
            <w:tcW w:w="3633" w:type="dxa"/>
            <w:gridSpan w:val="2"/>
            <w:vAlign w:val="center"/>
          </w:tcPr>
          <w:p w14:paraId="0154C47A">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对讲机、执法记录仪设备费。配备数量不得低于在岗人数的50%。</w:t>
            </w:r>
          </w:p>
        </w:tc>
      </w:tr>
      <w:tr w14:paraId="69381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6AC83897">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（4）</w:t>
            </w:r>
          </w:p>
        </w:tc>
        <w:tc>
          <w:tcPr>
            <w:tcW w:w="1465" w:type="dxa"/>
            <w:vAlign w:val="center"/>
          </w:tcPr>
          <w:p w14:paraId="1E2FF115">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培训费</w:t>
            </w:r>
          </w:p>
        </w:tc>
        <w:tc>
          <w:tcPr>
            <w:tcW w:w="4987" w:type="dxa"/>
            <w:gridSpan w:val="6"/>
            <w:vAlign w:val="center"/>
          </w:tcPr>
          <w:p w14:paraId="30406402">
            <w:pPr>
              <w:widowControl/>
              <w:jc w:val="left"/>
              <w:rPr>
                <w:rFonts w:hint="eastAsia" w:ascii="宋体" w:hAnsi="宋体" w:cs="宋体"/>
                <w:color w:val="000000" w:themeColor="text1"/>
                <w:sz w:val="18"/>
                <w:szCs w:val="18"/>
              </w:rPr>
            </w:pPr>
          </w:p>
        </w:tc>
        <w:tc>
          <w:tcPr>
            <w:tcW w:w="3633" w:type="dxa"/>
            <w:gridSpan w:val="2"/>
            <w:vAlign w:val="center"/>
          </w:tcPr>
          <w:p w14:paraId="31496F1A">
            <w:pPr>
              <w:widowControl/>
              <w:jc w:val="left"/>
              <w:rPr>
                <w:rFonts w:hint="eastAsia" w:ascii="宋体" w:hAnsi="宋体" w:cs="宋体"/>
                <w:color w:val="000000" w:themeColor="text1"/>
                <w:sz w:val="18"/>
                <w:szCs w:val="18"/>
              </w:rPr>
            </w:pPr>
          </w:p>
        </w:tc>
      </w:tr>
      <w:tr w14:paraId="5983F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271C8C7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（5）</w:t>
            </w:r>
          </w:p>
        </w:tc>
        <w:tc>
          <w:tcPr>
            <w:tcW w:w="1465" w:type="dxa"/>
            <w:vAlign w:val="center"/>
          </w:tcPr>
          <w:p w14:paraId="0D44F96A">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餐费</w:t>
            </w:r>
          </w:p>
        </w:tc>
        <w:tc>
          <w:tcPr>
            <w:tcW w:w="4987" w:type="dxa"/>
            <w:gridSpan w:val="6"/>
            <w:vAlign w:val="center"/>
          </w:tcPr>
          <w:p w14:paraId="2A20FE9F">
            <w:pPr>
              <w:widowControl/>
              <w:jc w:val="left"/>
              <w:rPr>
                <w:rFonts w:hint="eastAsia" w:ascii="宋体" w:hAnsi="宋体" w:cs="宋体"/>
                <w:color w:val="000000" w:themeColor="text1"/>
                <w:sz w:val="18"/>
                <w:szCs w:val="18"/>
              </w:rPr>
            </w:pPr>
          </w:p>
        </w:tc>
        <w:tc>
          <w:tcPr>
            <w:tcW w:w="3633" w:type="dxa"/>
            <w:gridSpan w:val="2"/>
            <w:vAlign w:val="center"/>
          </w:tcPr>
          <w:p w14:paraId="4ED4EC8F">
            <w:pPr>
              <w:widowControl/>
              <w:jc w:val="left"/>
              <w:rPr>
                <w:rFonts w:hint="eastAsia" w:ascii="宋体" w:hAnsi="宋体" w:cs="宋体"/>
                <w:color w:val="000000" w:themeColor="text1"/>
                <w:sz w:val="18"/>
                <w:szCs w:val="18"/>
              </w:rPr>
            </w:pPr>
          </w:p>
        </w:tc>
      </w:tr>
      <w:tr w14:paraId="79EF6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36EBA111">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（6）</w:t>
            </w:r>
          </w:p>
        </w:tc>
        <w:tc>
          <w:tcPr>
            <w:tcW w:w="1465" w:type="dxa"/>
            <w:vAlign w:val="center"/>
          </w:tcPr>
          <w:p w14:paraId="088EDA8D">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交通费</w:t>
            </w:r>
          </w:p>
        </w:tc>
        <w:tc>
          <w:tcPr>
            <w:tcW w:w="4987" w:type="dxa"/>
            <w:gridSpan w:val="6"/>
            <w:vAlign w:val="center"/>
          </w:tcPr>
          <w:p w14:paraId="6B6310BD">
            <w:pPr>
              <w:widowControl/>
              <w:jc w:val="left"/>
              <w:rPr>
                <w:rFonts w:hint="eastAsia" w:ascii="宋体" w:hAnsi="宋体" w:cs="宋体"/>
                <w:color w:val="000000" w:themeColor="text1"/>
                <w:sz w:val="18"/>
                <w:szCs w:val="18"/>
              </w:rPr>
            </w:pPr>
          </w:p>
        </w:tc>
        <w:tc>
          <w:tcPr>
            <w:tcW w:w="3633" w:type="dxa"/>
            <w:gridSpan w:val="2"/>
            <w:vAlign w:val="center"/>
          </w:tcPr>
          <w:p w14:paraId="5286015E">
            <w:pPr>
              <w:widowControl/>
              <w:jc w:val="left"/>
              <w:rPr>
                <w:rFonts w:hint="eastAsia" w:ascii="宋体" w:hAnsi="宋体" w:cs="宋体"/>
                <w:color w:val="000000" w:themeColor="text1"/>
                <w:sz w:val="18"/>
                <w:szCs w:val="18"/>
              </w:rPr>
            </w:pPr>
          </w:p>
        </w:tc>
      </w:tr>
      <w:tr w14:paraId="7BB48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6FD33044">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（7）</w:t>
            </w:r>
          </w:p>
        </w:tc>
        <w:tc>
          <w:tcPr>
            <w:tcW w:w="1465" w:type="dxa"/>
            <w:vAlign w:val="center"/>
          </w:tcPr>
          <w:p w14:paraId="13EF876F">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通讯费</w:t>
            </w:r>
          </w:p>
        </w:tc>
        <w:tc>
          <w:tcPr>
            <w:tcW w:w="4987" w:type="dxa"/>
            <w:gridSpan w:val="6"/>
            <w:vAlign w:val="center"/>
          </w:tcPr>
          <w:p w14:paraId="672B61FF">
            <w:pPr>
              <w:widowControl/>
              <w:jc w:val="left"/>
              <w:rPr>
                <w:rFonts w:hint="eastAsia" w:ascii="宋体" w:hAnsi="宋体" w:cs="宋体"/>
                <w:color w:val="000000" w:themeColor="text1"/>
                <w:sz w:val="18"/>
                <w:szCs w:val="18"/>
              </w:rPr>
            </w:pPr>
          </w:p>
        </w:tc>
        <w:tc>
          <w:tcPr>
            <w:tcW w:w="3633" w:type="dxa"/>
            <w:gridSpan w:val="2"/>
            <w:vAlign w:val="center"/>
          </w:tcPr>
          <w:p w14:paraId="065B6814">
            <w:pPr>
              <w:widowControl/>
              <w:jc w:val="left"/>
              <w:rPr>
                <w:rFonts w:hint="eastAsia" w:ascii="宋体" w:hAnsi="宋体" w:cs="宋体"/>
                <w:color w:val="000000" w:themeColor="text1"/>
                <w:sz w:val="18"/>
                <w:szCs w:val="18"/>
              </w:rPr>
            </w:pPr>
          </w:p>
        </w:tc>
      </w:tr>
      <w:tr w14:paraId="1FDEE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57624AD9">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（8）</w:t>
            </w:r>
          </w:p>
        </w:tc>
        <w:tc>
          <w:tcPr>
            <w:tcW w:w="1465" w:type="dxa"/>
            <w:vAlign w:val="center"/>
          </w:tcPr>
          <w:p w14:paraId="70DE46F6">
            <w:pPr>
              <w:widowControl/>
              <w:jc w:val="center"/>
              <w:rPr>
                <w:rFonts w:hint="eastAsia" w:ascii="宋体" w:hAnsi="宋体" w:cs="宋体"/>
                <w:color w:val="000000" w:themeColor="text1"/>
                <w:sz w:val="18"/>
                <w:szCs w:val="18"/>
              </w:rPr>
            </w:pPr>
            <w:r>
              <w:rPr>
                <w:rFonts w:hint="eastAsia" w:ascii="宋体" w:hAnsi="宋体" w:cs="宋体"/>
                <w:color w:val="000000" w:themeColor="text1"/>
                <w:sz w:val="18"/>
                <w:szCs w:val="18"/>
              </w:rPr>
              <w:t>商业险</w:t>
            </w:r>
          </w:p>
        </w:tc>
        <w:tc>
          <w:tcPr>
            <w:tcW w:w="4987" w:type="dxa"/>
            <w:gridSpan w:val="6"/>
            <w:vAlign w:val="center"/>
          </w:tcPr>
          <w:p w14:paraId="1A554D4C">
            <w:pPr>
              <w:widowControl/>
              <w:jc w:val="left"/>
              <w:rPr>
                <w:rFonts w:hint="eastAsia" w:ascii="宋体" w:hAnsi="宋体" w:cs="宋体"/>
                <w:color w:val="000000" w:themeColor="text1"/>
                <w:sz w:val="18"/>
                <w:szCs w:val="18"/>
              </w:rPr>
            </w:pPr>
          </w:p>
        </w:tc>
        <w:tc>
          <w:tcPr>
            <w:tcW w:w="3633" w:type="dxa"/>
            <w:gridSpan w:val="2"/>
            <w:vAlign w:val="center"/>
          </w:tcPr>
          <w:p w14:paraId="55830EE3">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雇住责任险和人身意外伤害险（员工伤亡最高赔付80万元/人），人数不得低于本项目最低岗位配置数。</w:t>
            </w:r>
          </w:p>
        </w:tc>
      </w:tr>
      <w:tr w14:paraId="34D65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jc w:val="center"/>
        </w:trPr>
        <w:tc>
          <w:tcPr>
            <w:tcW w:w="802" w:type="dxa"/>
            <w:vAlign w:val="center"/>
          </w:tcPr>
          <w:p w14:paraId="469FCDE6">
            <w:pPr>
              <w:widowControl/>
              <w:jc w:val="center"/>
              <w:rPr>
                <w:rFonts w:hint="eastAsia" w:ascii="宋体" w:hAnsi="宋体" w:cs="宋体"/>
                <w:color w:val="000000" w:themeColor="text1"/>
                <w:sz w:val="18"/>
                <w:szCs w:val="18"/>
              </w:rPr>
            </w:pPr>
            <w:r>
              <w:rPr>
                <w:rFonts w:ascii="宋体" w:hAnsi="宋体" w:cs="宋体"/>
                <w:color w:val="000000" w:themeColor="text1"/>
                <w:sz w:val="18"/>
                <w:szCs w:val="18"/>
              </w:rPr>
              <w:t>...</w:t>
            </w:r>
          </w:p>
        </w:tc>
        <w:tc>
          <w:tcPr>
            <w:tcW w:w="1465" w:type="dxa"/>
            <w:vAlign w:val="center"/>
          </w:tcPr>
          <w:p w14:paraId="7BAAB8C8">
            <w:pPr>
              <w:widowControl/>
              <w:jc w:val="center"/>
              <w:rPr>
                <w:rFonts w:hint="eastAsia" w:ascii="宋体" w:hAnsi="宋体" w:cs="宋体"/>
                <w:color w:val="000000" w:themeColor="text1"/>
                <w:sz w:val="18"/>
                <w:szCs w:val="18"/>
              </w:rPr>
            </w:pPr>
          </w:p>
        </w:tc>
        <w:tc>
          <w:tcPr>
            <w:tcW w:w="4987" w:type="dxa"/>
            <w:gridSpan w:val="6"/>
            <w:vAlign w:val="center"/>
          </w:tcPr>
          <w:p w14:paraId="5F7FD4C1">
            <w:pPr>
              <w:widowControl/>
              <w:jc w:val="left"/>
              <w:rPr>
                <w:rFonts w:hint="eastAsia" w:ascii="宋体" w:hAnsi="宋体" w:cs="宋体"/>
                <w:color w:val="000000" w:themeColor="text1"/>
                <w:sz w:val="18"/>
                <w:szCs w:val="18"/>
              </w:rPr>
            </w:pPr>
          </w:p>
        </w:tc>
        <w:tc>
          <w:tcPr>
            <w:tcW w:w="3633" w:type="dxa"/>
            <w:gridSpan w:val="2"/>
            <w:vAlign w:val="center"/>
          </w:tcPr>
          <w:p w14:paraId="4611D2F2">
            <w:pPr>
              <w:widowControl/>
              <w:jc w:val="left"/>
              <w:rPr>
                <w:rFonts w:hint="eastAsia" w:ascii="宋体" w:hAnsi="宋体" w:cs="宋体"/>
                <w:color w:val="000000" w:themeColor="text1"/>
                <w:sz w:val="18"/>
                <w:szCs w:val="18"/>
              </w:rPr>
            </w:pPr>
          </w:p>
        </w:tc>
      </w:tr>
      <w:tr w14:paraId="05241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1DF2E455">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7</w:t>
            </w:r>
          </w:p>
        </w:tc>
        <w:tc>
          <w:tcPr>
            <w:tcW w:w="1465" w:type="dxa"/>
            <w:vAlign w:val="center"/>
          </w:tcPr>
          <w:p w14:paraId="0A2E65B4">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管理费</w:t>
            </w:r>
          </w:p>
        </w:tc>
        <w:tc>
          <w:tcPr>
            <w:tcW w:w="4987" w:type="dxa"/>
            <w:gridSpan w:val="6"/>
            <w:vAlign w:val="center"/>
          </w:tcPr>
          <w:p w14:paraId="31004F2F">
            <w:pPr>
              <w:widowControl/>
              <w:rPr>
                <w:rFonts w:hint="eastAsia" w:ascii="宋体" w:hAnsi="宋体" w:cs="宋体"/>
                <w:color w:val="000000" w:themeColor="text1"/>
                <w:sz w:val="18"/>
                <w:szCs w:val="18"/>
              </w:rPr>
            </w:pPr>
          </w:p>
        </w:tc>
        <w:tc>
          <w:tcPr>
            <w:tcW w:w="3633" w:type="dxa"/>
            <w:gridSpan w:val="2"/>
            <w:vAlign w:val="center"/>
          </w:tcPr>
          <w:p w14:paraId="73EA78AA">
            <w:pPr>
              <w:widowControl/>
              <w:rPr>
                <w:rFonts w:hint="eastAsia" w:ascii="宋体" w:hAnsi="宋体" w:cs="宋体"/>
                <w:color w:val="000000" w:themeColor="text1"/>
                <w:sz w:val="18"/>
                <w:szCs w:val="18"/>
              </w:rPr>
            </w:pPr>
          </w:p>
        </w:tc>
      </w:tr>
      <w:tr w14:paraId="078FD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802" w:type="dxa"/>
            <w:vAlign w:val="center"/>
          </w:tcPr>
          <w:p w14:paraId="54111945">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8</w:t>
            </w:r>
          </w:p>
        </w:tc>
        <w:tc>
          <w:tcPr>
            <w:tcW w:w="1465" w:type="dxa"/>
            <w:vAlign w:val="center"/>
          </w:tcPr>
          <w:p w14:paraId="2F033E7D">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法定税费</w:t>
            </w:r>
          </w:p>
        </w:tc>
        <w:tc>
          <w:tcPr>
            <w:tcW w:w="4987" w:type="dxa"/>
            <w:gridSpan w:val="6"/>
            <w:noWrap/>
            <w:vAlign w:val="center"/>
          </w:tcPr>
          <w:p w14:paraId="2A8113C2">
            <w:pPr>
              <w:widowControl/>
              <w:jc w:val="left"/>
              <w:rPr>
                <w:rFonts w:hint="eastAsia" w:ascii="宋体" w:hAnsi="宋体" w:cs="宋体"/>
                <w:color w:val="000000" w:themeColor="text1"/>
                <w:sz w:val="18"/>
                <w:szCs w:val="18"/>
              </w:rPr>
            </w:pPr>
          </w:p>
        </w:tc>
        <w:tc>
          <w:tcPr>
            <w:tcW w:w="3633" w:type="dxa"/>
            <w:gridSpan w:val="2"/>
            <w:noWrap/>
            <w:vAlign w:val="center"/>
          </w:tcPr>
          <w:p w14:paraId="34DFC4DB">
            <w:pPr>
              <w:widowControl/>
              <w:jc w:val="left"/>
              <w:rPr>
                <w:rFonts w:hint="eastAsia" w:ascii="宋体" w:hAnsi="宋体" w:cs="宋体"/>
                <w:color w:val="000000" w:themeColor="text1"/>
                <w:sz w:val="18"/>
                <w:szCs w:val="18"/>
              </w:rPr>
            </w:pPr>
            <w:r>
              <w:rPr>
                <w:rFonts w:hint="eastAsia" w:ascii="宋体" w:hAnsi="宋体" w:cs="宋体"/>
                <w:color w:val="000000" w:themeColor="text1"/>
                <w:sz w:val="18"/>
                <w:szCs w:val="18"/>
              </w:rPr>
              <w:t>填报税费。</w:t>
            </w:r>
          </w:p>
        </w:tc>
      </w:tr>
      <w:tr w14:paraId="3BD09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02" w:type="dxa"/>
            <w:vAlign w:val="center"/>
          </w:tcPr>
          <w:p w14:paraId="33ED6F93">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9</w:t>
            </w:r>
          </w:p>
        </w:tc>
        <w:tc>
          <w:tcPr>
            <w:tcW w:w="1465" w:type="dxa"/>
            <w:vAlign w:val="center"/>
          </w:tcPr>
          <w:p w14:paraId="36DE2D0D">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其他费用</w:t>
            </w:r>
          </w:p>
        </w:tc>
        <w:tc>
          <w:tcPr>
            <w:tcW w:w="4987" w:type="dxa"/>
            <w:gridSpan w:val="6"/>
            <w:noWrap/>
            <w:vAlign w:val="center"/>
          </w:tcPr>
          <w:p w14:paraId="04730C9D">
            <w:pPr>
              <w:widowControl/>
              <w:jc w:val="left"/>
              <w:rPr>
                <w:rFonts w:hint="eastAsia" w:ascii="宋体" w:hAnsi="宋体" w:cs="宋体"/>
                <w:color w:val="000000" w:themeColor="text1"/>
                <w:sz w:val="18"/>
                <w:szCs w:val="18"/>
              </w:rPr>
            </w:pPr>
          </w:p>
        </w:tc>
        <w:tc>
          <w:tcPr>
            <w:tcW w:w="3633" w:type="dxa"/>
            <w:gridSpan w:val="2"/>
            <w:noWrap/>
            <w:vAlign w:val="center"/>
          </w:tcPr>
          <w:p w14:paraId="4CB7A20D">
            <w:pPr>
              <w:widowControl/>
              <w:jc w:val="left"/>
              <w:rPr>
                <w:rFonts w:hint="eastAsia" w:ascii="宋体" w:hAnsi="宋体" w:cs="宋体"/>
                <w:b/>
                <w:bCs/>
                <w:color w:val="000000" w:themeColor="text1"/>
                <w:sz w:val="18"/>
                <w:szCs w:val="18"/>
              </w:rPr>
            </w:pPr>
            <w:r>
              <w:rPr>
                <w:rFonts w:hint="eastAsia" w:ascii="宋体" w:hAnsi="宋体" w:cs="宋体"/>
                <w:color w:val="000000" w:themeColor="text1"/>
                <w:sz w:val="18"/>
                <w:szCs w:val="18"/>
              </w:rPr>
              <w:t>供应商认为可能发生的其他费用。</w:t>
            </w:r>
          </w:p>
        </w:tc>
      </w:tr>
      <w:tr w14:paraId="5368B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802" w:type="dxa"/>
            <w:vAlign w:val="center"/>
          </w:tcPr>
          <w:p w14:paraId="4D3123E4">
            <w:pPr>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10</w:t>
            </w:r>
          </w:p>
        </w:tc>
        <w:tc>
          <w:tcPr>
            <w:tcW w:w="1465" w:type="dxa"/>
            <w:vAlign w:val="center"/>
          </w:tcPr>
          <w:p w14:paraId="713AC362">
            <w:pPr>
              <w:widowControl/>
              <w:jc w:val="center"/>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投标总价（元）</w:t>
            </w:r>
          </w:p>
        </w:tc>
        <w:tc>
          <w:tcPr>
            <w:tcW w:w="8620" w:type="dxa"/>
            <w:gridSpan w:val="8"/>
            <w:vAlign w:val="center"/>
          </w:tcPr>
          <w:p w14:paraId="76667378">
            <w:pPr>
              <w:jc w:val="center"/>
              <w:rPr>
                <w:rFonts w:hint="eastAsia" w:ascii="宋体" w:hAnsi="宋体" w:cs="宋体"/>
                <w:b/>
                <w:bCs/>
                <w:color w:val="000000" w:themeColor="text1"/>
                <w:sz w:val="18"/>
                <w:szCs w:val="18"/>
              </w:rPr>
            </w:pPr>
          </w:p>
        </w:tc>
      </w:tr>
      <w:tr w14:paraId="1EA94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9" w:hRule="atLeast"/>
          <w:jc w:val="center"/>
        </w:trPr>
        <w:tc>
          <w:tcPr>
            <w:tcW w:w="10887" w:type="dxa"/>
            <w:gridSpan w:val="10"/>
            <w:vAlign w:val="center"/>
          </w:tcPr>
          <w:p w14:paraId="7498A2C5">
            <w:pPr>
              <w:jc w:val="left"/>
              <w:rPr>
                <w:rFonts w:hint="eastAsia" w:ascii="宋体" w:hAnsi="宋体" w:cs="宋体"/>
                <w:b/>
                <w:bCs/>
                <w:color w:val="000000" w:themeColor="text1"/>
                <w:sz w:val="18"/>
                <w:szCs w:val="18"/>
              </w:rPr>
            </w:pPr>
            <w:r>
              <w:rPr>
                <w:rFonts w:hint="eastAsia" w:ascii="宋体" w:hAnsi="宋体" w:cs="宋体"/>
                <w:b/>
                <w:bCs/>
                <w:color w:val="000000" w:themeColor="text1"/>
                <w:sz w:val="18"/>
                <w:szCs w:val="18"/>
              </w:rPr>
              <w:t>注：（1）此表为样表，行数可自行添加，但表式不变。如有其他费用，供应商自行计算填列。（2）报价中的各分项报价均不得为“零”或负数（其他费用可以为“零”但不得为负数），否则做无效投标处理。（3）服务时间不足一年的，按照采购文件规定服务时间测算。（4）《投标报价明细表》“投标总价”应当与《开标一览表》中“投标总报价”一致。（5）此表中所有数值保留小数点后两位进行计算。</w:t>
            </w:r>
          </w:p>
        </w:tc>
      </w:tr>
    </w:tbl>
    <w:p w14:paraId="5E7EEBC5">
      <w:pPr>
        <w:pStyle w:val="44"/>
        <w:rPr>
          <w:color w:val="000000" w:themeColor="text1"/>
        </w:rPr>
      </w:pPr>
    </w:p>
    <w:p w14:paraId="4627C36D">
      <w:pPr>
        <w:pStyle w:val="44"/>
        <w:rPr>
          <w:color w:val="000000" w:themeColor="text1"/>
        </w:rPr>
      </w:pPr>
      <w:r>
        <w:rPr>
          <w:color w:val="000000" w:themeColor="text1"/>
        </w:rPr>
        <w:br w:type="page"/>
      </w:r>
    </w:p>
    <w:p w14:paraId="7E8104C9">
      <w:pPr>
        <w:spacing w:line="360" w:lineRule="auto"/>
        <w:jc w:val="left"/>
        <w:rPr>
          <w:rFonts w:hint="eastAsia" w:ascii="宋体" w:hAnsi="宋体" w:cs="宋体"/>
          <w:b/>
          <w:bCs/>
          <w:color w:val="000000" w:themeColor="text1"/>
        </w:rPr>
      </w:pPr>
      <w:r>
        <w:rPr>
          <w:rFonts w:hint="eastAsia" w:ascii="宋体" w:hAnsi="宋体" w:cs="宋体"/>
          <w:b/>
          <w:bCs/>
          <w:color w:val="000000" w:themeColor="text1"/>
        </w:rPr>
        <w:t>附：最低工资标准、社保及公积金相关规定</w:t>
      </w:r>
    </w:p>
    <w:p w14:paraId="36A18B35">
      <w:pPr>
        <w:spacing w:line="360" w:lineRule="auto"/>
        <w:ind w:firstLine="422"/>
        <w:jc w:val="left"/>
        <w:rPr>
          <w:rFonts w:hint="eastAsia" w:ascii="宋体" w:hAnsi="宋体" w:cs="宋体"/>
          <w:color w:val="000000" w:themeColor="text1"/>
        </w:rPr>
      </w:pPr>
      <w:r>
        <w:rPr>
          <w:rFonts w:hint="eastAsia" w:ascii="宋体" w:hAnsi="宋体" w:cs="宋体"/>
          <w:b/>
          <w:bCs/>
          <w:color w:val="000000" w:themeColor="text1"/>
        </w:rPr>
        <w:t>下表为目前南京市最低工资标准、社会保险、住房公积金的相关规定，作为测算报价和分析报价合理性的参考。若在投标截止前因国家政策原因导致以下基数改变，由供应商根据政策自行填报并承担相应风险。</w:t>
      </w:r>
    </w:p>
    <w:p w14:paraId="6E663137">
      <w:pPr>
        <w:jc w:val="center"/>
        <w:rPr>
          <w:rFonts w:hint="eastAsia" w:ascii="宋体" w:hAnsi="宋体" w:cs="宋体"/>
          <w:color w:val="000000" w:themeColor="text1"/>
          <w:sz w:val="24"/>
        </w:rPr>
      </w:pPr>
      <w:r>
        <w:rPr>
          <w:rFonts w:hint="eastAsia" w:ascii="宋体" w:hAnsi="宋体" w:cs="宋体"/>
          <w:color w:val="000000" w:themeColor="text1"/>
          <w:sz w:val="24"/>
        </w:rPr>
        <w:t>最低工资标准、社会保险及公积金（参考）</w:t>
      </w:r>
    </w:p>
    <w:tbl>
      <w:tblPr>
        <w:tblStyle w:val="45"/>
        <w:tblW w:w="99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6"/>
        <w:gridCol w:w="1748"/>
        <w:gridCol w:w="4111"/>
        <w:gridCol w:w="1701"/>
        <w:gridCol w:w="1609"/>
      </w:tblGrid>
      <w:tr w14:paraId="1CD44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exact"/>
        </w:trPr>
        <w:tc>
          <w:tcPr>
            <w:tcW w:w="736" w:type="dxa"/>
            <w:noWrap/>
            <w:vAlign w:val="center"/>
          </w:tcPr>
          <w:p w14:paraId="617AF753">
            <w:pPr>
              <w:widowControl/>
              <w:jc w:val="center"/>
              <w:rPr>
                <w:rFonts w:hint="eastAsia" w:ascii="宋体" w:hAnsi="宋体" w:cs="宋体"/>
                <w:b/>
                <w:bCs/>
                <w:color w:val="000000" w:themeColor="text1"/>
              </w:rPr>
            </w:pPr>
            <w:r>
              <w:rPr>
                <w:rFonts w:hint="eastAsia" w:ascii="宋体" w:hAnsi="宋体" w:cs="宋体"/>
                <w:b/>
                <w:bCs/>
                <w:color w:val="000000" w:themeColor="text1"/>
              </w:rPr>
              <w:t>序号</w:t>
            </w:r>
          </w:p>
        </w:tc>
        <w:tc>
          <w:tcPr>
            <w:tcW w:w="1748" w:type="dxa"/>
            <w:noWrap/>
            <w:vAlign w:val="center"/>
          </w:tcPr>
          <w:p w14:paraId="456F1E2B">
            <w:pPr>
              <w:widowControl/>
              <w:jc w:val="center"/>
              <w:rPr>
                <w:rFonts w:hint="eastAsia" w:ascii="宋体" w:hAnsi="宋体" w:cs="宋体"/>
                <w:b/>
                <w:bCs/>
                <w:color w:val="000000" w:themeColor="text1"/>
              </w:rPr>
            </w:pPr>
            <w:r>
              <w:rPr>
                <w:rFonts w:hint="eastAsia" w:ascii="宋体" w:hAnsi="宋体" w:cs="宋体"/>
                <w:b/>
                <w:bCs/>
                <w:color w:val="000000" w:themeColor="text1"/>
              </w:rPr>
              <w:t>名称</w:t>
            </w:r>
          </w:p>
        </w:tc>
        <w:tc>
          <w:tcPr>
            <w:tcW w:w="4111" w:type="dxa"/>
            <w:noWrap/>
            <w:vAlign w:val="center"/>
          </w:tcPr>
          <w:p w14:paraId="52E52A7E">
            <w:pPr>
              <w:widowControl/>
              <w:jc w:val="center"/>
              <w:rPr>
                <w:rFonts w:hint="eastAsia" w:ascii="宋体" w:hAnsi="宋体" w:cs="宋体"/>
                <w:b/>
                <w:bCs/>
                <w:color w:val="000000" w:themeColor="text1"/>
              </w:rPr>
            </w:pPr>
            <w:r>
              <w:rPr>
                <w:rFonts w:hint="eastAsia" w:ascii="宋体" w:hAnsi="宋体" w:cs="宋体"/>
                <w:b/>
                <w:bCs/>
                <w:color w:val="000000" w:themeColor="text1"/>
              </w:rPr>
              <w:t>计算公式</w:t>
            </w:r>
          </w:p>
        </w:tc>
        <w:tc>
          <w:tcPr>
            <w:tcW w:w="1701" w:type="dxa"/>
            <w:noWrap/>
            <w:vAlign w:val="center"/>
          </w:tcPr>
          <w:p w14:paraId="3C9BF991">
            <w:pPr>
              <w:widowControl/>
              <w:jc w:val="center"/>
              <w:rPr>
                <w:rFonts w:hint="eastAsia" w:ascii="宋体" w:hAnsi="宋体" w:cs="宋体"/>
                <w:b/>
                <w:bCs/>
                <w:color w:val="000000" w:themeColor="text1"/>
              </w:rPr>
            </w:pPr>
            <w:r>
              <w:rPr>
                <w:rFonts w:hint="eastAsia" w:ascii="宋体" w:hAnsi="宋体" w:cs="宋体"/>
                <w:b/>
                <w:bCs/>
                <w:color w:val="000000" w:themeColor="text1"/>
              </w:rPr>
              <w:t>金额（元/月）</w:t>
            </w:r>
          </w:p>
        </w:tc>
        <w:tc>
          <w:tcPr>
            <w:tcW w:w="1609" w:type="dxa"/>
            <w:noWrap/>
            <w:vAlign w:val="center"/>
          </w:tcPr>
          <w:p w14:paraId="46C208B1">
            <w:pPr>
              <w:widowControl/>
              <w:jc w:val="center"/>
              <w:rPr>
                <w:rFonts w:hint="eastAsia" w:ascii="宋体" w:hAnsi="宋体" w:cs="宋体"/>
                <w:b/>
                <w:bCs/>
                <w:color w:val="000000" w:themeColor="text1"/>
              </w:rPr>
            </w:pPr>
            <w:r>
              <w:rPr>
                <w:rFonts w:hint="eastAsia" w:ascii="宋体" w:hAnsi="宋体" w:cs="宋体"/>
                <w:b/>
                <w:bCs/>
                <w:color w:val="000000" w:themeColor="text1"/>
              </w:rPr>
              <w:t>备注</w:t>
            </w:r>
          </w:p>
        </w:tc>
      </w:tr>
      <w:tr w14:paraId="351E5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exact"/>
        </w:trPr>
        <w:tc>
          <w:tcPr>
            <w:tcW w:w="736" w:type="dxa"/>
            <w:noWrap/>
            <w:vAlign w:val="center"/>
          </w:tcPr>
          <w:p w14:paraId="15A9ECB8">
            <w:pPr>
              <w:jc w:val="center"/>
              <w:rPr>
                <w:rFonts w:hint="eastAsia" w:ascii="宋体" w:hAnsi="宋体" w:cs="宋体"/>
                <w:color w:val="000000" w:themeColor="text1"/>
              </w:rPr>
            </w:pPr>
            <w:r>
              <w:rPr>
                <w:rFonts w:hint="eastAsia" w:ascii="宋体" w:hAnsi="宋体" w:cs="宋体"/>
                <w:color w:val="000000" w:themeColor="text1"/>
              </w:rPr>
              <w:t>1</w:t>
            </w:r>
          </w:p>
        </w:tc>
        <w:tc>
          <w:tcPr>
            <w:tcW w:w="1748" w:type="dxa"/>
            <w:noWrap/>
            <w:vAlign w:val="center"/>
          </w:tcPr>
          <w:p w14:paraId="32EB18F3">
            <w:pPr>
              <w:jc w:val="center"/>
              <w:rPr>
                <w:rFonts w:hint="eastAsia" w:ascii="宋体" w:hAnsi="宋体" w:cs="宋体"/>
                <w:color w:val="000000" w:themeColor="text1"/>
              </w:rPr>
            </w:pPr>
            <w:r>
              <w:rPr>
                <w:rFonts w:hint="eastAsia" w:ascii="宋体" w:hAnsi="宋体" w:cs="宋体"/>
                <w:color w:val="000000" w:themeColor="text1"/>
              </w:rPr>
              <w:t>最低工资标准</w:t>
            </w:r>
          </w:p>
        </w:tc>
        <w:tc>
          <w:tcPr>
            <w:tcW w:w="4111" w:type="dxa"/>
            <w:noWrap/>
            <w:vAlign w:val="center"/>
          </w:tcPr>
          <w:p w14:paraId="0028EE69">
            <w:pPr>
              <w:jc w:val="center"/>
              <w:rPr>
                <w:rFonts w:hint="eastAsia" w:ascii="宋体" w:hAnsi="宋体" w:cs="宋体"/>
                <w:color w:val="000000" w:themeColor="text1"/>
              </w:rPr>
            </w:pPr>
            <w:r>
              <w:rPr>
                <w:rFonts w:hint="eastAsia" w:ascii="宋体" w:hAnsi="宋体" w:cs="宋体"/>
                <w:color w:val="000000" w:themeColor="text1"/>
              </w:rPr>
              <w:t>/</w:t>
            </w:r>
          </w:p>
        </w:tc>
        <w:tc>
          <w:tcPr>
            <w:tcW w:w="1701" w:type="dxa"/>
            <w:noWrap/>
            <w:vAlign w:val="center"/>
          </w:tcPr>
          <w:p w14:paraId="3D4ED43D">
            <w:pPr>
              <w:jc w:val="center"/>
              <w:rPr>
                <w:rFonts w:hint="eastAsia" w:ascii="宋体" w:hAnsi="宋体" w:cs="宋体"/>
                <w:color w:val="000000" w:themeColor="text1"/>
              </w:rPr>
            </w:pPr>
            <w:r>
              <w:rPr>
                <w:rFonts w:hint="eastAsia" w:ascii="宋体" w:hAnsi="宋体" w:cs="宋体"/>
                <w:color w:val="000000" w:themeColor="text1"/>
              </w:rPr>
              <w:t>2660</w:t>
            </w:r>
          </w:p>
        </w:tc>
        <w:tc>
          <w:tcPr>
            <w:tcW w:w="1609" w:type="dxa"/>
            <w:noWrap/>
            <w:vAlign w:val="center"/>
          </w:tcPr>
          <w:p w14:paraId="1430F471">
            <w:pPr>
              <w:jc w:val="center"/>
              <w:rPr>
                <w:rFonts w:hint="eastAsia" w:ascii="宋体" w:hAnsi="宋体" w:cs="宋体"/>
                <w:color w:val="000000" w:themeColor="text1"/>
              </w:rPr>
            </w:pPr>
          </w:p>
        </w:tc>
      </w:tr>
      <w:tr w14:paraId="3EA03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5" w:hRule="exact"/>
        </w:trPr>
        <w:tc>
          <w:tcPr>
            <w:tcW w:w="736" w:type="dxa"/>
            <w:noWrap/>
            <w:vAlign w:val="center"/>
          </w:tcPr>
          <w:p w14:paraId="672827D5">
            <w:pPr>
              <w:jc w:val="center"/>
              <w:rPr>
                <w:rFonts w:hint="eastAsia" w:ascii="宋体" w:hAnsi="宋体" w:cs="宋体"/>
                <w:color w:val="000000" w:themeColor="text1"/>
              </w:rPr>
            </w:pPr>
            <w:bookmarkStart w:id="52" w:name="OLE_LINK20"/>
            <w:r>
              <w:rPr>
                <w:rFonts w:hint="eastAsia" w:ascii="宋体" w:hAnsi="宋体" w:cs="宋体"/>
                <w:color w:val="000000" w:themeColor="text1"/>
              </w:rPr>
              <w:t>2</w:t>
            </w:r>
          </w:p>
        </w:tc>
        <w:tc>
          <w:tcPr>
            <w:tcW w:w="1748" w:type="dxa"/>
            <w:noWrap/>
            <w:vAlign w:val="center"/>
          </w:tcPr>
          <w:p w14:paraId="0A8CFBE9">
            <w:pPr>
              <w:jc w:val="center"/>
              <w:rPr>
                <w:rFonts w:hint="eastAsia" w:ascii="宋体" w:hAnsi="宋体" w:cs="宋体"/>
                <w:color w:val="000000" w:themeColor="text1"/>
              </w:rPr>
            </w:pPr>
            <w:r>
              <w:rPr>
                <w:rFonts w:hint="eastAsia" w:ascii="宋体" w:hAnsi="宋体" w:cs="宋体"/>
                <w:color w:val="000000" w:themeColor="text1"/>
              </w:rPr>
              <w:t>社保单位计提费用</w:t>
            </w:r>
          </w:p>
        </w:tc>
        <w:tc>
          <w:tcPr>
            <w:tcW w:w="4111" w:type="dxa"/>
            <w:noWrap/>
            <w:vAlign w:val="center"/>
          </w:tcPr>
          <w:p w14:paraId="5DA8D1D7">
            <w:pPr>
              <w:jc w:val="center"/>
              <w:rPr>
                <w:rFonts w:hint="eastAsia" w:ascii="宋体" w:hAnsi="宋体" w:cs="宋体"/>
                <w:color w:val="000000" w:themeColor="text1"/>
              </w:rPr>
            </w:pPr>
            <w:r>
              <w:rPr>
                <w:rFonts w:hint="eastAsia" w:ascii="宋体" w:hAnsi="宋体" w:cs="宋体"/>
                <w:color w:val="000000" w:themeColor="text1"/>
              </w:rPr>
              <w:t>缴费基数（≥5025）*缴费比例（≥24.7%）</w:t>
            </w:r>
          </w:p>
        </w:tc>
        <w:tc>
          <w:tcPr>
            <w:tcW w:w="1701" w:type="dxa"/>
            <w:noWrap/>
            <w:vAlign w:val="center"/>
          </w:tcPr>
          <w:p w14:paraId="308707CA">
            <w:pPr>
              <w:jc w:val="center"/>
              <w:rPr>
                <w:rFonts w:hint="eastAsia" w:ascii="宋体" w:hAnsi="宋体" w:cs="宋体"/>
                <w:color w:val="000000" w:themeColor="text1"/>
              </w:rPr>
            </w:pPr>
            <w:r>
              <w:rPr>
                <w:rFonts w:hint="eastAsia" w:ascii="宋体" w:hAnsi="宋体" w:cs="宋体"/>
                <w:color w:val="000000" w:themeColor="text1"/>
              </w:rPr>
              <w:t>≥1241.175</w:t>
            </w:r>
          </w:p>
        </w:tc>
        <w:tc>
          <w:tcPr>
            <w:tcW w:w="1609" w:type="dxa"/>
            <w:noWrap/>
            <w:vAlign w:val="center"/>
          </w:tcPr>
          <w:p w14:paraId="47428C53">
            <w:pPr>
              <w:jc w:val="left"/>
              <w:rPr>
                <w:rFonts w:hint="eastAsia" w:ascii="宋体" w:hAnsi="宋体" w:cs="宋体"/>
                <w:b/>
                <w:bCs/>
                <w:color w:val="000000" w:themeColor="text1"/>
              </w:rPr>
            </w:pPr>
            <w:r>
              <w:rPr>
                <w:rFonts w:hint="eastAsia" w:ascii="宋体" w:hAnsi="宋体" w:cs="宋体"/>
                <w:b/>
                <w:bCs/>
                <w:color w:val="000000" w:themeColor="text1"/>
              </w:rPr>
              <w:t>如保留小数点后两位测算，</w:t>
            </w:r>
          </w:p>
          <w:p w14:paraId="5F0E31FA">
            <w:pPr>
              <w:jc w:val="left"/>
              <w:rPr>
                <w:rFonts w:hint="eastAsia" w:ascii="宋体" w:hAnsi="宋体" w:cs="宋体"/>
                <w:color w:val="000000" w:themeColor="text1"/>
              </w:rPr>
            </w:pPr>
            <w:r>
              <w:rPr>
                <w:rFonts w:hint="eastAsia" w:ascii="宋体" w:hAnsi="宋体" w:cs="宋体"/>
                <w:b/>
                <w:bCs/>
                <w:color w:val="000000" w:themeColor="text1"/>
              </w:rPr>
              <w:t>金额≥1241.18</w:t>
            </w:r>
          </w:p>
        </w:tc>
      </w:tr>
      <w:tr w14:paraId="1A9EC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2" w:hRule="exact"/>
        </w:trPr>
        <w:tc>
          <w:tcPr>
            <w:tcW w:w="736" w:type="dxa"/>
            <w:noWrap/>
            <w:vAlign w:val="center"/>
          </w:tcPr>
          <w:p w14:paraId="248115D0">
            <w:pPr>
              <w:jc w:val="center"/>
              <w:rPr>
                <w:rFonts w:hint="eastAsia" w:ascii="宋体" w:hAnsi="宋体" w:cs="宋体"/>
                <w:color w:val="000000" w:themeColor="text1"/>
              </w:rPr>
            </w:pPr>
            <w:r>
              <w:rPr>
                <w:rFonts w:hint="eastAsia" w:ascii="宋体" w:hAnsi="宋体" w:cs="宋体"/>
                <w:color w:val="000000" w:themeColor="text1"/>
              </w:rPr>
              <w:t>3</w:t>
            </w:r>
          </w:p>
        </w:tc>
        <w:tc>
          <w:tcPr>
            <w:tcW w:w="1748" w:type="dxa"/>
            <w:noWrap/>
            <w:vAlign w:val="center"/>
          </w:tcPr>
          <w:p w14:paraId="072E8A02">
            <w:pPr>
              <w:jc w:val="center"/>
              <w:rPr>
                <w:rFonts w:hint="eastAsia" w:ascii="宋体" w:hAnsi="宋体" w:cs="宋体"/>
                <w:color w:val="000000" w:themeColor="text1"/>
              </w:rPr>
            </w:pPr>
            <w:r>
              <w:rPr>
                <w:rFonts w:hint="eastAsia" w:ascii="宋体" w:hAnsi="宋体" w:cs="宋体"/>
                <w:color w:val="000000" w:themeColor="text1"/>
              </w:rPr>
              <w:t>公积金单位计提费用</w:t>
            </w:r>
          </w:p>
        </w:tc>
        <w:tc>
          <w:tcPr>
            <w:tcW w:w="4111" w:type="dxa"/>
            <w:noWrap/>
            <w:vAlign w:val="center"/>
          </w:tcPr>
          <w:p w14:paraId="1F71201B">
            <w:pPr>
              <w:jc w:val="center"/>
              <w:rPr>
                <w:rFonts w:hint="eastAsia" w:ascii="宋体" w:hAnsi="宋体" w:cs="宋体"/>
                <w:color w:val="000000" w:themeColor="text1"/>
              </w:rPr>
            </w:pPr>
            <w:r>
              <w:rPr>
                <w:rFonts w:hint="eastAsia" w:ascii="宋体" w:hAnsi="宋体" w:cs="宋体"/>
                <w:color w:val="000000" w:themeColor="text1"/>
              </w:rPr>
              <w:t>缴存基数（≥2660）*缴存比例（≥5%）</w:t>
            </w:r>
          </w:p>
        </w:tc>
        <w:tc>
          <w:tcPr>
            <w:tcW w:w="1701" w:type="dxa"/>
            <w:noWrap/>
            <w:vAlign w:val="center"/>
          </w:tcPr>
          <w:p w14:paraId="51E97A2F">
            <w:pPr>
              <w:jc w:val="center"/>
              <w:rPr>
                <w:rFonts w:hint="eastAsia" w:ascii="宋体" w:hAnsi="宋体" w:cs="宋体"/>
                <w:color w:val="000000" w:themeColor="text1"/>
              </w:rPr>
            </w:pPr>
            <w:r>
              <w:rPr>
                <w:rFonts w:hint="eastAsia" w:ascii="宋体" w:hAnsi="宋体" w:cs="宋体"/>
                <w:color w:val="000000" w:themeColor="text1"/>
              </w:rPr>
              <w:t>≥133</w:t>
            </w:r>
          </w:p>
        </w:tc>
        <w:tc>
          <w:tcPr>
            <w:tcW w:w="1609" w:type="dxa"/>
            <w:noWrap/>
            <w:vAlign w:val="center"/>
          </w:tcPr>
          <w:p w14:paraId="050136C4">
            <w:pPr>
              <w:jc w:val="center"/>
              <w:rPr>
                <w:rFonts w:hint="eastAsia" w:ascii="宋体" w:hAnsi="宋体" w:cs="宋体"/>
                <w:color w:val="000000" w:themeColor="text1"/>
              </w:rPr>
            </w:pPr>
          </w:p>
        </w:tc>
      </w:tr>
      <w:tr w14:paraId="7BDC8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1" w:hRule="exact"/>
        </w:trPr>
        <w:tc>
          <w:tcPr>
            <w:tcW w:w="736" w:type="dxa"/>
            <w:noWrap/>
            <w:vAlign w:val="center"/>
          </w:tcPr>
          <w:p w14:paraId="575C98D1">
            <w:pPr>
              <w:jc w:val="center"/>
              <w:rPr>
                <w:rFonts w:hint="eastAsia" w:ascii="宋体" w:hAnsi="宋体" w:cs="宋体"/>
                <w:color w:val="000000" w:themeColor="text1"/>
              </w:rPr>
            </w:pPr>
            <w:r>
              <w:rPr>
                <w:rFonts w:hint="eastAsia" w:ascii="宋体" w:hAnsi="宋体" w:cs="宋体"/>
                <w:color w:val="000000" w:themeColor="text1"/>
              </w:rPr>
              <w:t>4</w:t>
            </w:r>
          </w:p>
        </w:tc>
        <w:tc>
          <w:tcPr>
            <w:tcW w:w="1748" w:type="dxa"/>
            <w:noWrap/>
            <w:vAlign w:val="center"/>
          </w:tcPr>
          <w:p w14:paraId="165F7DC5">
            <w:pPr>
              <w:jc w:val="center"/>
              <w:rPr>
                <w:rFonts w:hint="eastAsia" w:ascii="宋体" w:hAnsi="宋体" w:cs="宋体"/>
                <w:color w:val="000000" w:themeColor="text1"/>
              </w:rPr>
            </w:pPr>
            <w:r>
              <w:rPr>
                <w:rFonts w:hint="eastAsia" w:ascii="宋体" w:hAnsi="宋体" w:cs="宋体"/>
                <w:color w:val="000000" w:themeColor="text1"/>
              </w:rPr>
              <w:t>公积金个人计提费用</w:t>
            </w:r>
          </w:p>
        </w:tc>
        <w:tc>
          <w:tcPr>
            <w:tcW w:w="4111" w:type="dxa"/>
            <w:noWrap/>
            <w:vAlign w:val="center"/>
          </w:tcPr>
          <w:p w14:paraId="68689AFF">
            <w:pPr>
              <w:jc w:val="center"/>
              <w:rPr>
                <w:rFonts w:hint="eastAsia" w:ascii="宋体" w:hAnsi="宋体" w:cs="宋体"/>
                <w:color w:val="000000" w:themeColor="text1"/>
              </w:rPr>
            </w:pPr>
            <w:r>
              <w:rPr>
                <w:rFonts w:hint="eastAsia" w:ascii="宋体" w:hAnsi="宋体" w:cs="宋体"/>
                <w:color w:val="000000" w:themeColor="text1"/>
              </w:rPr>
              <w:t>缴存基数（≥2660）*缴存比例（≥5%）</w:t>
            </w:r>
          </w:p>
        </w:tc>
        <w:tc>
          <w:tcPr>
            <w:tcW w:w="1701" w:type="dxa"/>
            <w:noWrap/>
            <w:vAlign w:val="center"/>
          </w:tcPr>
          <w:p w14:paraId="100F1DD4">
            <w:pPr>
              <w:jc w:val="center"/>
              <w:rPr>
                <w:rFonts w:hint="eastAsia" w:ascii="宋体" w:hAnsi="宋体" w:cs="宋体"/>
                <w:color w:val="000000" w:themeColor="text1"/>
              </w:rPr>
            </w:pPr>
            <w:r>
              <w:rPr>
                <w:rFonts w:hint="eastAsia" w:ascii="宋体" w:hAnsi="宋体" w:cs="宋体"/>
                <w:color w:val="000000" w:themeColor="text1"/>
              </w:rPr>
              <w:t>≥133</w:t>
            </w:r>
          </w:p>
        </w:tc>
        <w:tc>
          <w:tcPr>
            <w:tcW w:w="1609" w:type="dxa"/>
            <w:noWrap/>
            <w:vAlign w:val="center"/>
          </w:tcPr>
          <w:p w14:paraId="2EF804CA">
            <w:pPr>
              <w:jc w:val="left"/>
              <w:rPr>
                <w:rFonts w:hint="eastAsia" w:ascii="宋体" w:hAnsi="宋体" w:cs="宋体"/>
                <w:color w:val="000000" w:themeColor="text1"/>
              </w:rPr>
            </w:pPr>
          </w:p>
        </w:tc>
      </w:tr>
      <w:bookmarkEnd w:id="52"/>
    </w:tbl>
    <w:p w14:paraId="56C3F1FE">
      <w:pPr>
        <w:ind w:firstLine="420"/>
        <w:jc w:val="left"/>
        <w:rPr>
          <w:rFonts w:hint="eastAsia" w:ascii="宋体" w:hAnsi="宋体" w:cs="宋体"/>
          <w:color w:val="000000" w:themeColor="text1"/>
        </w:rPr>
      </w:pPr>
    </w:p>
    <w:p w14:paraId="36277C0F">
      <w:pPr>
        <w:pStyle w:val="44"/>
        <w:rPr>
          <w:color w:val="000000" w:themeColor="text1"/>
        </w:rPr>
      </w:pPr>
    </w:p>
    <w:p w14:paraId="23CF1CAC">
      <w:pPr>
        <w:pStyle w:val="2"/>
        <w:rPr>
          <w:color w:val="000000" w:themeColor="text1"/>
        </w:rPr>
      </w:pPr>
    </w:p>
    <w:p w14:paraId="5B8BC86D">
      <w:pPr>
        <w:widowControl/>
        <w:shd w:val="clear" w:color="auto" w:fill="FFFFFF"/>
        <w:spacing w:line="360" w:lineRule="auto"/>
        <w:jc w:val="left"/>
        <w:rPr>
          <w:rFonts w:hint="eastAsia" w:ascii="宋体" w:hAnsi="宋体" w:cs="宋体"/>
          <w:color w:val="000000" w:themeColor="text1"/>
          <w:kern w:val="0"/>
          <w:szCs w:val="21"/>
        </w:rPr>
      </w:pPr>
    </w:p>
    <w:p w14:paraId="1C94E48D">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投标单位（加盖电子公章）：</w:t>
      </w:r>
      <w:r>
        <w:rPr>
          <w:rFonts w:hint="eastAsia" w:ascii="宋体" w:hAnsi="宋体" w:cs="宋体"/>
          <w:color w:val="000000" w:themeColor="text1"/>
          <w:kern w:val="0"/>
          <w:szCs w:val="21"/>
          <w:u w:val="single"/>
        </w:rPr>
        <w:t>                             </w:t>
      </w:r>
    </w:p>
    <w:p w14:paraId="1710BEBB">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br w:type="page"/>
      </w:r>
    </w:p>
    <w:p w14:paraId="7871C6AD">
      <w:pPr>
        <w:pStyle w:val="4"/>
        <w:jc w:val="center"/>
        <w:rPr>
          <w:rFonts w:hint="eastAsia" w:ascii="黑体" w:hAnsi="黑体" w:eastAsia="黑体"/>
          <w:b w:val="0"/>
          <w:bCs w:val="0"/>
          <w:color w:val="000000" w:themeColor="text1"/>
          <w:sz w:val="36"/>
          <w:szCs w:val="36"/>
        </w:rPr>
      </w:pPr>
      <w:r>
        <w:rPr>
          <w:rFonts w:hint="eastAsia" w:ascii="黑体" w:hAnsi="黑体" w:eastAsia="黑体"/>
          <w:b w:val="0"/>
          <w:bCs w:val="0"/>
          <w:color w:val="000000" w:themeColor="text1"/>
          <w:sz w:val="36"/>
          <w:szCs w:val="36"/>
        </w:rPr>
        <w:t>采购包5-8投标报价表</w:t>
      </w:r>
    </w:p>
    <w:tbl>
      <w:tblPr>
        <w:tblStyle w:val="45"/>
        <w:tblW w:w="90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7"/>
        <w:gridCol w:w="741"/>
        <w:gridCol w:w="1899"/>
        <w:gridCol w:w="1502"/>
        <w:gridCol w:w="2787"/>
      </w:tblGrid>
      <w:tr w14:paraId="240CD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gridSpan w:val="2"/>
            <w:vAlign w:val="center"/>
          </w:tcPr>
          <w:p w14:paraId="3FDFC446">
            <w:pPr>
              <w:widowControl/>
              <w:spacing w:line="360" w:lineRule="auto"/>
              <w:jc w:val="left"/>
              <w:rPr>
                <w:rFonts w:hint="eastAsia" w:ascii="宋体" w:hAnsi="宋体" w:cs="宋体"/>
                <w:color w:val="000000" w:themeColor="text1"/>
                <w:sz w:val="24"/>
                <w:lang w:val="zh-CN"/>
              </w:rPr>
            </w:pPr>
            <w:r>
              <w:rPr>
                <w:rFonts w:hint="eastAsia" w:ascii="宋体" w:hAnsi="宋体" w:cs="宋体"/>
                <w:color w:val="000000" w:themeColor="text1"/>
                <w:sz w:val="24"/>
                <w:lang w:val="zh-CN"/>
              </w:rPr>
              <w:t xml:space="preserve">项目名称： </w:t>
            </w:r>
          </w:p>
          <w:p w14:paraId="06797ACA">
            <w:pPr>
              <w:widowControl/>
              <w:spacing w:line="360" w:lineRule="auto"/>
              <w:jc w:val="left"/>
              <w:rPr>
                <w:rFonts w:hint="eastAsia" w:ascii="宋体" w:hAnsi="宋体" w:cs="宋体"/>
                <w:color w:val="000000" w:themeColor="text1"/>
                <w:sz w:val="24"/>
                <w:lang w:val="zh-CN"/>
              </w:rPr>
            </w:pPr>
            <w:r>
              <w:rPr>
                <w:rFonts w:hint="eastAsia" w:ascii="宋体" w:hAnsi="宋体" w:cs="宋体"/>
                <w:color w:val="000000" w:themeColor="text1"/>
                <w:sz w:val="24"/>
                <w:lang w:val="zh-CN"/>
              </w:rPr>
              <w:t>项目编号：</w:t>
            </w:r>
          </w:p>
        </w:tc>
        <w:tc>
          <w:tcPr>
            <w:tcW w:w="6188" w:type="dxa"/>
            <w:gridSpan w:val="3"/>
            <w:vAlign w:val="center"/>
          </w:tcPr>
          <w:p w14:paraId="7D684430">
            <w:pPr>
              <w:widowControl/>
              <w:spacing w:line="360" w:lineRule="auto"/>
              <w:jc w:val="left"/>
              <w:rPr>
                <w:rFonts w:hint="eastAsia" w:ascii="宋体" w:hAnsi="宋体" w:cs="宋体"/>
                <w:color w:val="000000" w:themeColor="text1"/>
                <w:sz w:val="24"/>
                <w:lang w:val="zh-CN"/>
              </w:rPr>
            </w:pPr>
            <w:r>
              <w:rPr>
                <w:rFonts w:hint="eastAsia" w:ascii="宋体" w:hAnsi="宋体" w:cs="宋体"/>
                <w:color w:val="000000" w:themeColor="text1"/>
                <w:sz w:val="24"/>
              </w:rPr>
              <w:t>包号：</w:t>
            </w:r>
          </w:p>
        </w:tc>
      </w:tr>
      <w:tr w14:paraId="188B2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gridSpan w:val="2"/>
            <w:vAlign w:val="center"/>
          </w:tcPr>
          <w:p w14:paraId="1BA4EF6B">
            <w:pPr>
              <w:widowControl/>
              <w:jc w:val="center"/>
              <w:rPr>
                <w:rFonts w:hint="eastAsia" w:ascii="宋体" w:hAnsi="宋体" w:cs="宋体"/>
                <w:color w:val="000000" w:themeColor="text1"/>
                <w:sz w:val="24"/>
                <w:lang w:val="zh-CN"/>
              </w:rPr>
            </w:pPr>
            <w:r>
              <w:rPr>
                <w:rFonts w:hint="eastAsia" w:ascii="宋体" w:hAnsi="宋体" w:cs="宋体"/>
                <w:color w:val="000000" w:themeColor="text1"/>
                <w:sz w:val="24"/>
                <w:lang w:val="zh-CN"/>
              </w:rPr>
              <w:t xml:space="preserve"> 序号 </w:t>
            </w:r>
          </w:p>
        </w:tc>
        <w:tc>
          <w:tcPr>
            <w:tcW w:w="1899" w:type="dxa"/>
            <w:vAlign w:val="center"/>
          </w:tcPr>
          <w:p w14:paraId="21818FB9">
            <w:pPr>
              <w:widowControl/>
              <w:jc w:val="center"/>
              <w:rPr>
                <w:rFonts w:hint="eastAsia" w:ascii="宋体" w:hAnsi="宋体" w:cs="宋体"/>
                <w:color w:val="000000" w:themeColor="text1"/>
                <w:sz w:val="24"/>
                <w:lang w:val="zh-CN"/>
              </w:rPr>
            </w:pPr>
            <w:r>
              <w:rPr>
                <w:rFonts w:hint="eastAsia" w:ascii="宋体" w:hAnsi="宋体" w:cs="宋体"/>
                <w:color w:val="000000" w:themeColor="text1"/>
                <w:sz w:val="24"/>
              </w:rPr>
              <w:t>人次</w:t>
            </w:r>
          </w:p>
        </w:tc>
        <w:tc>
          <w:tcPr>
            <w:tcW w:w="1502" w:type="dxa"/>
            <w:vAlign w:val="center"/>
          </w:tcPr>
          <w:p w14:paraId="02737A5C">
            <w:pPr>
              <w:widowControl/>
              <w:jc w:val="center"/>
              <w:rPr>
                <w:rFonts w:hint="eastAsia" w:ascii="宋体" w:hAnsi="宋体" w:cs="宋体"/>
                <w:color w:val="000000" w:themeColor="text1"/>
                <w:sz w:val="24"/>
                <w:lang w:val="zh-CN"/>
              </w:rPr>
            </w:pPr>
            <w:r>
              <w:rPr>
                <w:rFonts w:hint="eastAsia" w:ascii="宋体" w:hAnsi="宋体" w:cs="宋体"/>
                <w:color w:val="000000" w:themeColor="text1"/>
                <w:sz w:val="24"/>
                <w:lang w:val="zh-CN"/>
              </w:rPr>
              <w:t>单价</w:t>
            </w:r>
            <w:r>
              <w:rPr>
                <w:rFonts w:hint="eastAsia" w:ascii="宋体" w:hAnsi="宋体" w:cs="宋体"/>
                <w:bCs/>
                <w:color w:val="000000" w:themeColor="text1"/>
                <w:sz w:val="24"/>
              </w:rPr>
              <w:t>（元）</w:t>
            </w:r>
          </w:p>
        </w:tc>
        <w:tc>
          <w:tcPr>
            <w:tcW w:w="2787" w:type="dxa"/>
            <w:vAlign w:val="center"/>
          </w:tcPr>
          <w:p w14:paraId="2329E035">
            <w:pPr>
              <w:jc w:val="center"/>
              <w:rPr>
                <w:color w:val="000000" w:themeColor="text1"/>
                <w:sz w:val="24"/>
              </w:rPr>
            </w:pPr>
            <w:r>
              <w:rPr>
                <w:rFonts w:hint="eastAsia" w:ascii="宋体" w:hAnsi="宋体" w:cs="宋体"/>
                <w:color w:val="000000" w:themeColor="text1"/>
                <w:sz w:val="24"/>
                <w:lang w:val="zh-CN"/>
              </w:rPr>
              <w:t>总价（元）</w:t>
            </w:r>
          </w:p>
        </w:tc>
      </w:tr>
      <w:tr w14:paraId="5B1FA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gridSpan w:val="2"/>
          </w:tcPr>
          <w:p w14:paraId="2C8B7135">
            <w:pPr>
              <w:widowControl/>
              <w:jc w:val="left"/>
              <w:rPr>
                <w:rFonts w:hint="eastAsia" w:ascii="宋体" w:hAnsi="宋体" w:cs="宋体"/>
                <w:color w:val="000000" w:themeColor="text1"/>
                <w:sz w:val="24"/>
                <w:lang w:val="zh-CN"/>
              </w:rPr>
            </w:pPr>
          </w:p>
        </w:tc>
        <w:tc>
          <w:tcPr>
            <w:tcW w:w="1899" w:type="dxa"/>
          </w:tcPr>
          <w:p w14:paraId="7C82CD3A">
            <w:pPr>
              <w:widowControl/>
              <w:jc w:val="left"/>
              <w:rPr>
                <w:rFonts w:hint="eastAsia" w:ascii="宋体" w:hAnsi="宋体" w:cs="宋体"/>
                <w:color w:val="000000" w:themeColor="text1"/>
                <w:sz w:val="24"/>
                <w:lang w:val="zh-CN"/>
              </w:rPr>
            </w:pPr>
          </w:p>
        </w:tc>
        <w:tc>
          <w:tcPr>
            <w:tcW w:w="1502" w:type="dxa"/>
          </w:tcPr>
          <w:p w14:paraId="41081525">
            <w:pPr>
              <w:widowControl/>
              <w:jc w:val="left"/>
              <w:rPr>
                <w:rFonts w:hint="eastAsia" w:ascii="宋体" w:hAnsi="宋体" w:cs="宋体"/>
                <w:color w:val="000000" w:themeColor="text1"/>
                <w:sz w:val="24"/>
                <w:lang w:val="zh-CN"/>
              </w:rPr>
            </w:pPr>
          </w:p>
        </w:tc>
        <w:tc>
          <w:tcPr>
            <w:tcW w:w="2787" w:type="dxa"/>
          </w:tcPr>
          <w:p w14:paraId="6E1FF5A5">
            <w:pPr>
              <w:widowControl/>
              <w:jc w:val="left"/>
              <w:rPr>
                <w:rFonts w:hint="eastAsia" w:ascii="宋体" w:hAnsi="宋体" w:cs="宋体"/>
                <w:color w:val="000000" w:themeColor="text1"/>
                <w:sz w:val="24"/>
                <w:lang w:val="zh-CN"/>
              </w:rPr>
            </w:pPr>
          </w:p>
        </w:tc>
      </w:tr>
      <w:tr w14:paraId="59778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gridSpan w:val="2"/>
          </w:tcPr>
          <w:p w14:paraId="6844CFAD">
            <w:pPr>
              <w:widowControl/>
              <w:jc w:val="left"/>
              <w:rPr>
                <w:rFonts w:hint="eastAsia" w:ascii="宋体" w:hAnsi="宋体" w:cs="宋体"/>
                <w:color w:val="000000" w:themeColor="text1"/>
                <w:sz w:val="24"/>
                <w:lang w:val="zh-CN"/>
              </w:rPr>
            </w:pPr>
          </w:p>
        </w:tc>
        <w:tc>
          <w:tcPr>
            <w:tcW w:w="1899" w:type="dxa"/>
          </w:tcPr>
          <w:p w14:paraId="32E00DFE">
            <w:pPr>
              <w:widowControl/>
              <w:jc w:val="left"/>
              <w:rPr>
                <w:rFonts w:hint="eastAsia" w:ascii="宋体" w:hAnsi="宋体" w:cs="宋体"/>
                <w:color w:val="000000" w:themeColor="text1"/>
                <w:sz w:val="24"/>
                <w:lang w:val="zh-CN"/>
              </w:rPr>
            </w:pPr>
          </w:p>
        </w:tc>
        <w:tc>
          <w:tcPr>
            <w:tcW w:w="1502" w:type="dxa"/>
          </w:tcPr>
          <w:p w14:paraId="5885A390">
            <w:pPr>
              <w:widowControl/>
              <w:jc w:val="left"/>
              <w:rPr>
                <w:rFonts w:hint="eastAsia" w:ascii="宋体" w:hAnsi="宋体" w:cs="宋体"/>
                <w:color w:val="000000" w:themeColor="text1"/>
                <w:sz w:val="24"/>
                <w:lang w:val="zh-CN"/>
              </w:rPr>
            </w:pPr>
          </w:p>
        </w:tc>
        <w:tc>
          <w:tcPr>
            <w:tcW w:w="2787" w:type="dxa"/>
          </w:tcPr>
          <w:p w14:paraId="19E0A06F">
            <w:pPr>
              <w:widowControl/>
              <w:jc w:val="left"/>
              <w:rPr>
                <w:rFonts w:hint="eastAsia" w:ascii="宋体" w:hAnsi="宋体" w:cs="宋体"/>
                <w:color w:val="000000" w:themeColor="text1"/>
                <w:sz w:val="24"/>
                <w:lang w:val="zh-CN"/>
              </w:rPr>
            </w:pPr>
          </w:p>
        </w:tc>
      </w:tr>
      <w:tr w14:paraId="501A8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gridSpan w:val="2"/>
          </w:tcPr>
          <w:p w14:paraId="58E8F462">
            <w:pPr>
              <w:widowControl/>
              <w:jc w:val="left"/>
              <w:rPr>
                <w:rFonts w:hint="eastAsia" w:ascii="宋体" w:hAnsi="宋体" w:cs="宋体"/>
                <w:color w:val="000000" w:themeColor="text1"/>
                <w:sz w:val="24"/>
                <w:lang w:val="zh-CN"/>
              </w:rPr>
            </w:pPr>
          </w:p>
        </w:tc>
        <w:tc>
          <w:tcPr>
            <w:tcW w:w="1899" w:type="dxa"/>
          </w:tcPr>
          <w:p w14:paraId="7BF43096">
            <w:pPr>
              <w:widowControl/>
              <w:jc w:val="left"/>
              <w:rPr>
                <w:rFonts w:hint="eastAsia" w:ascii="宋体" w:hAnsi="宋体" w:cs="宋体"/>
                <w:color w:val="000000" w:themeColor="text1"/>
                <w:sz w:val="24"/>
                <w:lang w:val="zh-CN"/>
              </w:rPr>
            </w:pPr>
          </w:p>
        </w:tc>
        <w:tc>
          <w:tcPr>
            <w:tcW w:w="1502" w:type="dxa"/>
          </w:tcPr>
          <w:p w14:paraId="61F8D44A">
            <w:pPr>
              <w:widowControl/>
              <w:jc w:val="left"/>
              <w:rPr>
                <w:rFonts w:hint="eastAsia" w:ascii="宋体" w:hAnsi="宋体" w:cs="宋体"/>
                <w:color w:val="000000" w:themeColor="text1"/>
                <w:sz w:val="24"/>
                <w:lang w:val="zh-CN"/>
              </w:rPr>
            </w:pPr>
          </w:p>
        </w:tc>
        <w:tc>
          <w:tcPr>
            <w:tcW w:w="2787" w:type="dxa"/>
          </w:tcPr>
          <w:p w14:paraId="21F50702">
            <w:pPr>
              <w:widowControl/>
              <w:jc w:val="left"/>
              <w:rPr>
                <w:rFonts w:hint="eastAsia" w:ascii="宋体" w:hAnsi="宋体" w:cs="宋体"/>
                <w:color w:val="000000" w:themeColor="text1"/>
                <w:sz w:val="24"/>
                <w:lang w:val="zh-CN"/>
              </w:rPr>
            </w:pPr>
          </w:p>
        </w:tc>
      </w:tr>
      <w:tr w14:paraId="04B3C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2157" w:type="dxa"/>
          </w:tcPr>
          <w:p w14:paraId="25F93474">
            <w:pPr>
              <w:widowControl/>
              <w:jc w:val="left"/>
              <w:rPr>
                <w:rFonts w:hint="eastAsia" w:ascii="宋体" w:hAnsi="宋体" w:cs="宋体"/>
                <w:color w:val="000000" w:themeColor="text1"/>
                <w:sz w:val="24"/>
                <w:lang w:val="zh-CN"/>
              </w:rPr>
            </w:pPr>
            <w:r>
              <w:rPr>
                <w:rFonts w:hint="eastAsia" w:ascii="宋体" w:hAnsi="宋体" w:cs="宋体"/>
                <w:color w:val="000000" w:themeColor="text1"/>
                <w:sz w:val="24"/>
                <w:lang w:val="zh-CN"/>
              </w:rPr>
              <w:t>总价</w:t>
            </w:r>
            <w:r>
              <w:rPr>
                <w:rFonts w:ascii="宋体" w:hAnsi="宋体" w:cs="宋体"/>
                <w:color w:val="000000" w:themeColor="text1"/>
                <w:sz w:val="24"/>
                <w:lang w:val="zh-CN"/>
              </w:rPr>
              <w:t>小计</w:t>
            </w:r>
            <w:r>
              <w:rPr>
                <w:rFonts w:hint="eastAsia" w:ascii="宋体" w:hAnsi="宋体" w:cs="宋体"/>
                <w:color w:val="000000" w:themeColor="text1"/>
                <w:sz w:val="24"/>
                <w:lang w:val="zh-CN"/>
              </w:rPr>
              <w:t>：</w:t>
            </w:r>
          </w:p>
        </w:tc>
        <w:tc>
          <w:tcPr>
            <w:tcW w:w="6929" w:type="dxa"/>
            <w:gridSpan w:val="4"/>
          </w:tcPr>
          <w:p w14:paraId="645DFCB0">
            <w:pPr>
              <w:widowControl/>
              <w:jc w:val="left"/>
              <w:rPr>
                <w:rFonts w:hint="eastAsia" w:ascii="宋体" w:hAnsi="宋体" w:cs="宋体"/>
                <w:color w:val="000000" w:themeColor="text1"/>
                <w:sz w:val="24"/>
                <w:lang w:val="zh-CN"/>
              </w:rPr>
            </w:pPr>
          </w:p>
        </w:tc>
      </w:tr>
    </w:tbl>
    <w:p w14:paraId="01102573">
      <w:pPr>
        <w:widowControl/>
        <w:spacing w:line="360" w:lineRule="auto"/>
        <w:jc w:val="left"/>
        <w:rPr>
          <w:rFonts w:ascii="宋体" w:cs="宋体"/>
          <w:color w:val="000000" w:themeColor="text1"/>
          <w:sz w:val="24"/>
          <w:lang w:val="zh-CN"/>
        </w:rPr>
      </w:pPr>
      <w:r>
        <w:rPr>
          <w:rFonts w:hint="eastAsia" w:ascii="宋体" w:hAnsi="宋体" w:cs="宋体"/>
          <w:color w:val="000000" w:themeColor="text1"/>
          <w:sz w:val="24"/>
          <w:lang w:val="zh-CN"/>
        </w:rPr>
        <w:t>供应商名称：（盖章）</w:t>
      </w:r>
    </w:p>
    <w:p w14:paraId="637963FF">
      <w:pPr>
        <w:widowControl/>
        <w:spacing w:line="360" w:lineRule="auto"/>
        <w:jc w:val="left"/>
        <w:rPr>
          <w:rFonts w:hint="eastAsia" w:ascii="宋体" w:hAnsi="宋体" w:cs="宋体"/>
          <w:color w:val="000000" w:themeColor="text1"/>
          <w:sz w:val="24"/>
          <w:lang w:val="zh-CN"/>
        </w:rPr>
      </w:pPr>
      <w:r>
        <w:rPr>
          <w:rFonts w:hint="eastAsia" w:cs="宋体"/>
          <w:color w:val="000000" w:themeColor="text1"/>
          <w:sz w:val="24"/>
          <w:lang w:val="zh-CN"/>
        </w:rPr>
        <w:t>说明：1、</w:t>
      </w:r>
      <w:r>
        <w:rPr>
          <w:rFonts w:hint="eastAsia" w:ascii="宋体" w:hAnsi="宋体" w:cs="宋体"/>
          <w:color w:val="000000" w:themeColor="text1"/>
          <w:sz w:val="24"/>
          <w:lang w:val="zh-CN"/>
        </w:rPr>
        <w:t>如果行数不够，请自行增加。</w:t>
      </w:r>
    </w:p>
    <w:p w14:paraId="42FE28D2">
      <w:pPr>
        <w:widowControl/>
        <w:spacing w:line="240" w:lineRule="atLeast"/>
        <w:jc w:val="left"/>
        <w:rPr>
          <w:rFonts w:hint="eastAsia" w:ascii="宋体" w:hAnsi="宋体" w:cs="宋体"/>
          <w:color w:val="000000" w:themeColor="text1"/>
          <w:sz w:val="24"/>
          <w:lang w:val="zh-CN"/>
        </w:rPr>
      </w:pPr>
    </w:p>
    <w:p w14:paraId="2B70D6E8">
      <w:pPr>
        <w:widowControl/>
        <w:spacing w:line="240" w:lineRule="atLeast"/>
        <w:jc w:val="center"/>
        <w:rPr>
          <w:rFonts w:hint="eastAsia" w:ascii="宋体" w:hAnsi="宋体" w:cs="宋体"/>
          <w:color w:val="000000" w:themeColor="text1"/>
          <w:sz w:val="24"/>
        </w:rPr>
      </w:pPr>
    </w:p>
    <w:p w14:paraId="22F15B39">
      <w:pPr>
        <w:widowControl/>
        <w:spacing w:line="240" w:lineRule="atLeast"/>
        <w:jc w:val="center"/>
        <w:rPr>
          <w:rFonts w:hint="eastAsia" w:ascii="宋体" w:hAnsi="宋体" w:cs="宋体"/>
          <w:color w:val="000000" w:themeColor="text1"/>
          <w:sz w:val="24"/>
        </w:rPr>
      </w:pPr>
      <w:r>
        <w:rPr>
          <w:rFonts w:hint="eastAsia" w:ascii="宋体" w:hAnsi="宋体" w:cs="宋体"/>
          <w:color w:val="000000" w:themeColor="text1"/>
          <w:sz w:val="24"/>
        </w:rPr>
        <w:t>标段组成（报价时作为参考）</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2700"/>
        <w:gridCol w:w="3544"/>
        <w:gridCol w:w="1268"/>
      </w:tblGrid>
      <w:tr w14:paraId="0DBB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1548" w:type="dxa"/>
            <w:vAlign w:val="center"/>
          </w:tcPr>
          <w:p w14:paraId="2045647D">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采购包</w:t>
            </w:r>
          </w:p>
        </w:tc>
        <w:tc>
          <w:tcPr>
            <w:tcW w:w="2700" w:type="dxa"/>
            <w:vAlign w:val="center"/>
          </w:tcPr>
          <w:p w14:paraId="212CCD87">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内容</w:t>
            </w:r>
          </w:p>
        </w:tc>
        <w:tc>
          <w:tcPr>
            <w:tcW w:w="3544" w:type="dxa"/>
            <w:vAlign w:val="center"/>
          </w:tcPr>
          <w:p w14:paraId="4ED57DC6">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区域</w:t>
            </w:r>
          </w:p>
        </w:tc>
        <w:tc>
          <w:tcPr>
            <w:tcW w:w="1268" w:type="dxa"/>
            <w:vAlign w:val="center"/>
          </w:tcPr>
          <w:p w14:paraId="6F46E493">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人次</w:t>
            </w:r>
          </w:p>
        </w:tc>
      </w:tr>
      <w:tr w14:paraId="3AE1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7B603591">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5</w:t>
            </w:r>
          </w:p>
        </w:tc>
        <w:tc>
          <w:tcPr>
            <w:tcW w:w="2700" w:type="dxa"/>
            <w:vAlign w:val="center"/>
          </w:tcPr>
          <w:p w14:paraId="34F3F19D">
            <w:pPr>
              <w:spacing w:line="360" w:lineRule="exact"/>
              <w:jc w:val="center"/>
              <w:rPr>
                <w:rFonts w:hint="eastAsia" w:ascii="仿宋" w:hAnsi="仿宋" w:eastAsia="仿宋" w:cs="仿宋"/>
                <w:bCs/>
                <w:color w:val="000000" w:themeColor="text1"/>
                <w:sz w:val="24"/>
              </w:rPr>
            </w:pPr>
            <w:r>
              <w:rPr>
                <w:rFonts w:ascii="仿宋" w:hAnsi="仿宋" w:eastAsia="仿宋" w:cs="仿宋"/>
                <w:bCs/>
                <w:color w:val="000000" w:themeColor="text1"/>
                <w:sz w:val="24"/>
              </w:rPr>
              <w:t>元旦、春节等假期安保服务(陵园路以西)</w:t>
            </w:r>
          </w:p>
        </w:tc>
        <w:tc>
          <w:tcPr>
            <w:tcW w:w="3544" w:type="dxa"/>
            <w:vAlign w:val="center"/>
          </w:tcPr>
          <w:p w14:paraId="0D88EA48">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陵园路以西片区（五大队）</w:t>
            </w:r>
          </w:p>
        </w:tc>
        <w:tc>
          <w:tcPr>
            <w:tcW w:w="1268" w:type="dxa"/>
            <w:vAlign w:val="center"/>
          </w:tcPr>
          <w:p w14:paraId="58908241">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1550</w:t>
            </w:r>
          </w:p>
        </w:tc>
      </w:tr>
      <w:tr w14:paraId="74A3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0501D73F">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6</w:t>
            </w:r>
          </w:p>
        </w:tc>
        <w:tc>
          <w:tcPr>
            <w:tcW w:w="2700" w:type="dxa"/>
            <w:vAlign w:val="center"/>
          </w:tcPr>
          <w:p w14:paraId="32AB40DD">
            <w:pPr>
              <w:spacing w:line="360" w:lineRule="exact"/>
              <w:jc w:val="center"/>
              <w:rPr>
                <w:rFonts w:hint="eastAsia" w:ascii="仿宋" w:hAnsi="仿宋" w:eastAsia="仿宋" w:cs="仿宋"/>
                <w:bCs/>
                <w:color w:val="000000" w:themeColor="text1"/>
                <w:sz w:val="24"/>
              </w:rPr>
            </w:pPr>
            <w:r>
              <w:rPr>
                <w:rFonts w:ascii="仿宋" w:hAnsi="仿宋" w:eastAsia="仿宋" w:cs="仿宋"/>
                <w:bCs/>
                <w:color w:val="000000" w:themeColor="text1"/>
                <w:sz w:val="24"/>
              </w:rPr>
              <w:t>元旦、春节等假期安保服务(陵园路以东)</w:t>
            </w:r>
          </w:p>
        </w:tc>
        <w:tc>
          <w:tcPr>
            <w:tcW w:w="3544" w:type="dxa"/>
            <w:vAlign w:val="center"/>
          </w:tcPr>
          <w:p w14:paraId="6EE421DE">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陵园路以东片区（一二大队）</w:t>
            </w:r>
          </w:p>
        </w:tc>
        <w:tc>
          <w:tcPr>
            <w:tcW w:w="1268" w:type="dxa"/>
            <w:vAlign w:val="center"/>
          </w:tcPr>
          <w:p w14:paraId="40F43BB5">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1350</w:t>
            </w:r>
          </w:p>
        </w:tc>
      </w:tr>
      <w:tr w14:paraId="4331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3B5527E0">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7</w:t>
            </w:r>
          </w:p>
        </w:tc>
        <w:tc>
          <w:tcPr>
            <w:tcW w:w="2700" w:type="dxa"/>
            <w:vAlign w:val="center"/>
          </w:tcPr>
          <w:p w14:paraId="4CE78E1F">
            <w:pPr>
              <w:spacing w:line="360" w:lineRule="exact"/>
              <w:jc w:val="center"/>
              <w:rPr>
                <w:rFonts w:hint="eastAsia" w:ascii="仿宋" w:hAnsi="仿宋" w:eastAsia="仿宋" w:cs="仿宋"/>
                <w:bCs/>
                <w:color w:val="000000" w:themeColor="text1"/>
                <w:sz w:val="24"/>
              </w:rPr>
            </w:pPr>
            <w:r>
              <w:rPr>
                <w:rFonts w:ascii="仿宋" w:hAnsi="仿宋" w:eastAsia="仿宋" w:cs="仿宋"/>
                <w:bCs/>
                <w:color w:val="000000" w:themeColor="text1"/>
                <w:sz w:val="24"/>
              </w:rPr>
              <w:t>全年配合交警车辆管控安保服务</w:t>
            </w:r>
          </w:p>
        </w:tc>
        <w:tc>
          <w:tcPr>
            <w:tcW w:w="3544" w:type="dxa"/>
            <w:vAlign w:val="center"/>
          </w:tcPr>
          <w:p w14:paraId="6A441B9E">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全景区</w:t>
            </w:r>
          </w:p>
        </w:tc>
        <w:tc>
          <w:tcPr>
            <w:tcW w:w="1268" w:type="dxa"/>
            <w:vAlign w:val="center"/>
          </w:tcPr>
          <w:p w14:paraId="51E46CDD">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1078</w:t>
            </w:r>
          </w:p>
        </w:tc>
      </w:tr>
      <w:tr w14:paraId="4D5C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555B36BF">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8</w:t>
            </w:r>
          </w:p>
        </w:tc>
        <w:tc>
          <w:tcPr>
            <w:tcW w:w="2700" w:type="dxa"/>
            <w:vAlign w:val="center"/>
          </w:tcPr>
          <w:p w14:paraId="27503007">
            <w:pPr>
              <w:spacing w:line="360" w:lineRule="exact"/>
              <w:jc w:val="center"/>
              <w:rPr>
                <w:rFonts w:hint="eastAsia" w:ascii="仿宋" w:hAnsi="仿宋" w:eastAsia="仿宋" w:cs="仿宋"/>
                <w:bCs/>
                <w:color w:val="000000" w:themeColor="text1"/>
                <w:sz w:val="24"/>
              </w:rPr>
            </w:pPr>
            <w:r>
              <w:rPr>
                <w:rFonts w:ascii="仿宋" w:hAnsi="仿宋" w:eastAsia="仿宋" w:cs="仿宋"/>
                <w:bCs/>
                <w:color w:val="000000" w:themeColor="text1"/>
                <w:sz w:val="24"/>
              </w:rPr>
              <w:t>临时突击任务安保服务</w:t>
            </w:r>
          </w:p>
        </w:tc>
        <w:tc>
          <w:tcPr>
            <w:tcW w:w="3544" w:type="dxa"/>
            <w:vAlign w:val="center"/>
          </w:tcPr>
          <w:p w14:paraId="4A4F52EF">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全景区</w:t>
            </w:r>
          </w:p>
        </w:tc>
        <w:tc>
          <w:tcPr>
            <w:tcW w:w="1268" w:type="dxa"/>
            <w:vAlign w:val="center"/>
          </w:tcPr>
          <w:p w14:paraId="602D8539">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1000</w:t>
            </w:r>
          </w:p>
        </w:tc>
      </w:tr>
      <w:tr w14:paraId="428F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Align w:val="center"/>
          </w:tcPr>
          <w:p w14:paraId="7846122F">
            <w:pPr>
              <w:spacing w:line="360" w:lineRule="exact"/>
              <w:jc w:val="center"/>
              <w:rPr>
                <w:rFonts w:hint="eastAsia" w:ascii="仿宋" w:hAnsi="仿宋" w:eastAsia="仿宋" w:cs="仿宋"/>
                <w:bCs/>
                <w:color w:val="000000" w:themeColor="text1"/>
                <w:sz w:val="24"/>
              </w:rPr>
            </w:pPr>
          </w:p>
        </w:tc>
        <w:tc>
          <w:tcPr>
            <w:tcW w:w="2700" w:type="dxa"/>
            <w:vAlign w:val="center"/>
          </w:tcPr>
          <w:p w14:paraId="33348FBC">
            <w:pPr>
              <w:spacing w:line="360" w:lineRule="exact"/>
              <w:jc w:val="center"/>
              <w:rPr>
                <w:rFonts w:hint="eastAsia" w:ascii="仿宋" w:hAnsi="仿宋" w:eastAsia="仿宋" w:cs="仿宋"/>
                <w:bCs/>
                <w:color w:val="000000" w:themeColor="text1"/>
                <w:sz w:val="24"/>
              </w:rPr>
            </w:pPr>
          </w:p>
        </w:tc>
        <w:tc>
          <w:tcPr>
            <w:tcW w:w="3544" w:type="dxa"/>
            <w:vAlign w:val="center"/>
          </w:tcPr>
          <w:p w14:paraId="027AE01D">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t>合计</w:t>
            </w:r>
          </w:p>
        </w:tc>
        <w:tc>
          <w:tcPr>
            <w:tcW w:w="1268" w:type="dxa"/>
            <w:vAlign w:val="center"/>
          </w:tcPr>
          <w:p w14:paraId="3EF47095">
            <w:pPr>
              <w:spacing w:line="360" w:lineRule="exact"/>
              <w:jc w:val="center"/>
              <w:rPr>
                <w:rFonts w:hint="eastAsia" w:ascii="仿宋" w:hAnsi="仿宋" w:eastAsia="仿宋" w:cs="仿宋"/>
                <w:bCs/>
                <w:color w:val="000000" w:themeColor="text1"/>
                <w:sz w:val="24"/>
              </w:rPr>
            </w:pPr>
            <w:r>
              <w:rPr>
                <w:rFonts w:hint="eastAsia" w:ascii="仿宋" w:hAnsi="仿宋" w:eastAsia="仿宋" w:cs="仿宋"/>
                <w:bCs/>
                <w:color w:val="000000" w:themeColor="text1"/>
                <w:sz w:val="24"/>
              </w:rPr>
              <w:fldChar w:fldCharType="begin"/>
            </w:r>
            <w:r>
              <w:rPr>
                <w:rFonts w:hint="eastAsia" w:ascii="仿宋" w:hAnsi="仿宋" w:eastAsia="仿宋" w:cs="仿宋"/>
                <w:bCs/>
                <w:color w:val="000000" w:themeColor="text1"/>
                <w:sz w:val="24"/>
              </w:rPr>
              <w:instrText xml:space="preserve"> =SUM(ABOVE) </w:instrText>
            </w:r>
            <w:r>
              <w:rPr>
                <w:rFonts w:hint="eastAsia" w:ascii="仿宋" w:hAnsi="仿宋" w:eastAsia="仿宋" w:cs="仿宋"/>
                <w:bCs/>
                <w:color w:val="000000" w:themeColor="text1"/>
                <w:sz w:val="24"/>
              </w:rPr>
              <w:fldChar w:fldCharType="separate"/>
            </w:r>
            <w:r>
              <w:rPr>
                <w:rFonts w:hint="eastAsia" w:ascii="仿宋" w:hAnsi="仿宋" w:eastAsia="仿宋" w:cs="仿宋"/>
                <w:bCs/>
                <w:color w:val="000000" w:themeColor="text1"/>
                <w:sz w:val="24"/>
              </w:rPr>
              <w:t>4978</w:t>
            </w:r>
            <w:r>
              <w:rPr>
                <w:rFonts w:hint="eastAsia" w:ascii="仿宋" w:hAnsi="仿宋" w:eastAsia="仿宋" w:cs="仿宋"/>
                <w:bCs/>
                <w:color w:val="000000" w:themeColor="text1"/>
                <w:sz w:val="24"/>
              </w:rPr>
              <w:fldChar w:fldCharType="end"/>
            </w:r>
          </w:p>
        </w:tc>
      </w:tr>
    </w:tbl>
    <w:p w14:paraId="237FE491">
      <w:pPr>
        <w:rPr>
          <w:color w:val="000000" w:themeColor="text1"/>
        </w:rPr>
      </w:pPr>
    </w:p>
    <w:p w14:paraId="7C704452">
      <w:pPr>
        <w:widowControl/>
        <w:jc w:val="left"/>
        <w:rPr>
          <w:color w:val="000000" w:themeColor="text1"/>
        </w:rPr>
      </w:pPr>
      <w:r>
        <w:rPr>
          <w:color w:val="000000" w:themeColor="text1"/>
        </w:rPr>
        <w:br w:type="page"/>
      </w:r>
    </w:p>
    <w:p w14:paraId="2772F09D">
      <w:pPr>
        <w:widowControl/>
        <w:jc w:val="left"/>
        <w:rPr>
          <w:rFonts w:hint="eastAsia" w:ascii="宋体" w:hAnsi="宋体" w:cs="宋体"/>
          <w:b/>
          <w:bCs/>
          <w:color w:val="000000" w:themeColor="text1"/>
          <w:kern w:val="0"/>
          <w:szCs w:val="21"/>
        </w:rPr>
      </w:pPr>
    </w:p>
    <w:p w14:paraId="7F857200">
      <w:pPr>
        <w:pStyle w:val="4"/>
        <w:spacing w:before="0" w:after="0" w:line="240" w:lineRule="auto"/>
        <w:jc w:val="center"/>
        <w:rPr>
          <w:rFonts w:hint="eastAsia" w:ascii="黑体" w:hAnsi="黑体" w:eastAsia="黑体"/>
          <w:b w:val="0"/>
          <w:bCs w:val="0"/>
          <w:color w:val="000000" w:themeColor="text1"/>
          <w:sz w:val="36"/>
          <w:szCs w:val="36"/>
        </w:rPr>
      </w:pPr>
      <w:r>
        <w:rPr>
          <w:rFonts w:hint="eastAsia" w:ascii="黑体" w:hAnsi="黑体" w:eastAsia="黑体"/>
          <w:b w:val="0"/>
          <w:bCs w:val="0"/>
          <w:color w:val="000000" w:themeColor="text1"/>
          <w:sz w:val="36"/>
          <w:szCs w:val="36"/>
        </w:rPr>
        <w:t>采购包9报价明细表</w:t>
      </w:r>
    </w:p>
    <w:p w14:paraId="3D736854">
      <w:pPr>
        <w:jc w:val="center"/>
        <w:rPr>
          <w:color w:val="000000" w:themeColor="text1"/>
          <w:sz w:val="32"/>
          <w:szCs w:val="32"/>
        </w:rPr>
      </w:pPr>
      <w:r>
        <w:rPr>
          <w:rFonts w:hint="eastAsia"/>
          <w:color w:val="000000" w:themeColor="text1"/>
          <w:sz w:val="32"/>
          <w:szCs w:val="32"/>
        </w:rPr>
        <w:t>（</w:t>
      </w:r>
      <w:r>
        <w:rPr>
          <w:color w:val="000000" w:themeColor="text1"/>
          <w:sz w:val="32"/>
          <w:szCs w:val="32"/>
        </w:rPr>
        <w:t>消防安全服务</w:t>
      </w:r>
      <w:r>
        <w:rPr>
          <w:rFonts w:hint="eastAsia"/>
          <w:color w:val="000000" w:themeColor="text1"/>
          <w:sz w:val="32"/>
          <w:szCs w:val="32"/>
        </w:rPr>
        <w:t>）</w:t>
      </w:r>
    </w:p>
    <w:tbl>
      <w:tblPr>
        <w:tblStyle w:val="45"/>
        <w:tblW w:w="90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98"/>
        <w:gridCol w:w="6188"/>
      </w:tblGrid>
      <w:tr w14:paraId="00D77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vAlign w:val="center"/>
          </w:tcPr>
          <w:p w14:paraId="130B87A0">
            <w:pPr>
              <w:widowControl/>
              <w:spacing w:line="360" w:lineRule="auto"/>
              <w:jc w:val="left"/>
              <w:rPr>
                <w:rFonts w:hint="eastAsia" w:ascii="宋体" w:hAnsi="宋体" w:cs="宋体"/>
                <w:color w:val="000000" w:themeColor="text1"/>
                <w:sz w:val="24"/>
                <w:lang w:val="zh-CN"/>
              </w:rPr>
            </w:pPr>
            <w:r>
              <w:rPr>
                <w:rFonts w:hint="eastAsia" w:ascii="宋体" w:hAnsi="宋体" w:cs="宋体"/>
                <w:color w:val="000000" w:themeColor="text1"/>
                <w:sz w:val="24"/>
                <w:lang w:val="zh-CN"/>
              </w:rPr>
              <w:t xml:space="preserve">项目名称： </w:t>
            </w:r>
          </w:p>
          <w:p w14:paraId="3C5EBE72">
            <w:pPr>
              <w:widowControl/>
              <w:spacing w:line="360" w:lineRule="auto"/>
              <w:jc w:val="left"/>
              <w:rPr>
                <w:rFonts w:hint="eastAsia" w:ascii="宋体" w:hAnsi="宋体" w:cs="宋体"/>
                <w:color w:val="000000" w:themeColor="text1"/>
                <w:sz w:val="24"/>
                <w:lang w:val="zh-CN"/>
              </w:rPr>
            </w:pPr>
            <w:r>
              <w:rPr>
                <w:rFonts w:hint="eastAsia" w:ascii="宋体" w:hAnsi="宋体" w:cs="宋体"/>
                <w:color w:val="000000" w:themeColor="text1"/>
                <w:sz w:val="24"/>
                <w:lang w:val="zh-CN"/>
              </w:rPr>
              <w:t>项目编号：</w:t>
            </w:r>
          </w:p>
        </w:tc>
        <w:tc>
          <w:tcPr>
            <w:tcW w:w="6188" w:type="dxa"/>
            <w:vAlign w:val="center"/>
          </w:tcPr>
          <w:p w14:paraId="19BCF388">
            <w:pPr>
              <w:widowControl/>
              <w:spacing w:line="360" w:lineRule="auto"/>
              <w:jc w:val="left"/>
              <w:rPr>
                <w:rFonts w:hint="eastAsia" w:ascii="宋体" w:hAnsi="宋体" w:cs="宋体"/>
                <w:color w:val="000000" w:themeColor="text1"/>
                <w:sz w:val="24"/>
                <w:lang w:val="zh-CN"/>
              </w:rPr>
            </w:pPr>
            <w:r>
              <w:rPr>
                <w:rFonts w:hint="eastAsia" w:ascii="宋体" w:hAnsi="宋体" w:cs="宋体"/>
                <w:color w:val="000000" w:themeColor="text1"/>
                <w:sz w:val="24"/>
              </w:rPr>
              <w:t>包号：</w:t>
            </w:r>
          </w:p>
        </w:tc>
      </w:tr>
      <w:tr w14:paraId="4688D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98" w:type="dxa"/>
            <w:vAlign w:val="center"/>
          </w:tcPr>
          <w:p w14:paraId="646D966C">
            <w:pPr>
              <w:widowControl/>
              <w:jc w:val="left"/>
              <w:rPr>
                <w:rFonts w:hint="eastAsia" w:ascii="宋体" w:hAnsi="宋体" w:cs="宋体"/>
                <w:color w:val="000000" w:themeColor="text1"/>
                <w:sz w:val="24"/>
                <w:lang w:val="zh-CN"/>
              </w:rPr>
            </w:pPr>
            <w:r>
              <w:rPr>
                <w:rFonts w:hint="eastAsia" w:ascii="宋体" w:hAnsi="宋体" w:cs="宋体"/>
                <w:color w:val="000000" w:themeColor="text1"/>
                <w:sz w:val="24"/>
                <w:lang w:val="zh-CN"/>
              </w:rPr>
              <w:t>投标报价（元）</w:t>
            </w:r>
          </w:p>
        </w:tc>
        <w:tc>
          <w:tcPr>
            <w:tcW w:w="6188" w:type="dxa"/>
            <w:vAlign w:val="center"/>
          </w:tcPr>
          <w:p w14:paraId="291C878C">
            <w:pPr>
              <w:jc w:val="center"/>
              <w:rPr>
                <w:color w:val="000000" w:themeColor="text1"/>
                <w:sz w:val="24"/>
              </w:rPr>
            </w:pPr>
          </w:p>
        </w:tc>
      </w:tr>
    </w:tbl>
    <w:p w14:paraId="1E097927">
      <w:pPr>
        <w:jc w:val="center"/>
        <w:rPr>
          <w:rFonts w:hint="eastAsia" w:ascii="黑体" w:hAnsi="黑体" w:eastAsia="黑体" w:cs="黑体"/>
          <w:color w:val="000000" w:themeColor="text1"/>
          <w:sz w:val="36"/>
          <w:szCs w:val="36"/>
        </w:rPr>
      </w:pPr>
    </w:p>
    <w:p w14:paraId="6C79A13C">
      <w:pPr>
        <w:jc w:val="center"/>
        <w:rPr>
          <w:rFonts w:hint="eastAsia" w:ascii="黑体" w:hAnsi="黑体" w:eastAsia="黑体" w:cs="黑体"/>
          <w:color w:val="000000" w:themeColor="text1"/>
          <w:sz w:val="32"/>
          <w:szCs w:val="32"/>
        </w:rPr>
      </w:pPr>
      <w:r>
        <w:rPr>
          <w:rFonts w:ascii="黑体" w:hAnsi="黑体" w:eastAsia="黑体" w:cs="黑体"/>
          <w:color w:val="000000" w:themeColor="text1"/>
          <w:sz w:val="36"/>
          <w:szCs w:val="36"/>
        </w:rPr>
        <w:t>消防安全服务</w:t>
      </w:r>
      <w:r>
        <w:rPr>
          <w:rFonts w:hint="eastAsia" w:ascii="黑体" w:hAnsi="黑体" w:eastAsia="黑体" w:cs="黑体"/>
          <w:color w:val="000000" w:themeColor="text1"/>
          <w:sz w:val="36"/>
          <w:szCs w:val="36"/>
        </w:rPr>
        <w:t>排班参考表</w:t>
      </w:r>
    </w:p>
    <w:tbl>
      <w:tblPr>
        <w:tblStyle w:val="46"/>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3"/>
        <w:gridCol w:w="1198"/>
        <w:gridCol w:w="1810"/>
        <w:gridCol w:w="1844"/>
        <w:gridCol w:w="2081"/>
      </w:tblGrid>
      <w:tr w14:paraId="78D3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673" w:type="dxa"/>
            <w:vAlign w:val="center"/>
          </w:tcPr>
          <w:p w14:paraId="112B735C">
            <w:pPr>
              <w:pStyle w:val="14"/>
              <w:widowControl/>
              <w:spacing w:line="560" w:lineRule="exact"/>
              <w:jc w:val="center"/>
              <w:rPr>
                <w:rFonts w:hint="eastAsia" w:ascii="仿宋_GB2312" w:hAnsi="仿宋_GB2312" w:eastAsia="仿宋_GB2312" w:cs="仿宋_GB2312"/>
                <w:color w:val="000000" w:themeColor="text1"/>
              </w:rPr>
            </w:pPr>
            <w:r>
              <w:rPr>
                <w:rFonts w:hint="eastAsia" w:ascii="仿宋_GB2312" w:hAnsi="仿宋_GB2312" w:eastAsia="仿宋_GB2312" w:cs="仿宋_GB2312"/>
                <w:color w:val="000000" w:themeColor="text1"/>
                <w:szCs w:val="24"/>
              </w:rPr>
              <w:t>时段</w:t>
            </w:r>
          </w:p>
        </w:tc>
        <w:tc>
          <w:tcPr>
            <w:tcW w:w="1198" w:type="dxa"/>
            <w:vAlign w:val="center"/>
          </w:tcPr>
          <w:p w14:paraId="4AF54DF0">
            <w:pPr>
              <w:pStyle w:val="14"/>
              <w:widowControl/>
              <w:spacing w:line="560" w:lineRule="exact"/>
              <w:jc w:val="center"/>
              <w:rPr>
                <w:rFonts w:hint="eastAsia" w:ascii="仿宋_GB2312" w:hAnsi="仿宋_GB2312" w:eastAsia="仿宋_GB2312" w:cs="仿宋_GB2312"/>
                <w:color w:val="000000" w:themeColor="text1"/>
              </w:rPr>
            </w:pPr>
            <w:r>
              <w:rPr>
                <w:rFonts w:hint="eastAsia" w:ascii="仿宋_GB2312" w:hAnsi="仿宋_GB2312" w:eastAsia="仿宋_GB2312" w:cs="仿宋_GB2312"/>
                <w:color w:val="000000" w:themeColor="text1"/>
                <w:szCs w:val="24"/>
              </w:rPr>
              <w:t>天数</w:t>
            </w:r>
          </w:p>
        </w:tc>
        <w:tc>
          <w:tcPr>
            <w:tcW w:w="1810" w:type="dxa"/>
            <w:vAlign w:val="center"/>
          </w:tcPr>
          <w:p w14:paraId="3FBBCEE6">
            <w:pPr>
              <w:pStyle w:val="14"/>
              <w:widowControl/>
              <w:spacing w:line="560" w:lineRule="exact"/>
              <w:jc w:val="center"/>
              <w:rPr>
                <w:rFonts w:hint="eastAsia" w:ascii="仿宋_GB2312" w:hAnsi="仿宋_GB2312" w:eastAsia="仿宋_GB2312" w:cs="仿宋_GB2312"/>
                <w:color w:val="000000" w:themeColor="text1"/>
              </w:rPr>
            </w:pPr>
            <w:r>
              <w:rPr>
                <w:rFonts w:hint="eastAsia" w:ascii="仿宋_GB2312" w:hAnsi="仿宋_GB2312" w:eastAsia="仿宋_GB2312" w:cs="仿宋_GB2312"/>
                <w:color w:val="000000" w:themeColor="text1"/>
                <w:szCs w:val="24"/>
              </w:rPr>
              <w:t>排班类型</w:t>
            </w:r>
          </w:p>
        </w:tc>
        <w:tc>
          <w:tcPr>
            <w:tcW w:w="1844" w:type="dxa"/>
            <w:vAlign w:val="center"/>
          </w:tcPr>
          <w:p w14:paraId="22FD17D0">
            <w:pPr>
              <w:pStyle w:val="14"/>
              <w:widowControl/>
              <w:spacing w:line="560" w:lineRule="exact"/>
              <w:ind w:firstLine="0"/>
              <w:jc w:val="center"/>
              <w:rPr>
                <w:rFonts w:hint="eastAsia" w:ascii="仿宋_GB2312" w:hAnsi="仿宋_GB2312" w:eastAsia="仿宋_GB2312" w:cs="仿宋_GB2312"/>
                <w:color w:val="000000" w:themeColor="text1"/>
              </w:rPr>
            </w:pPr>
            <w:r>
              <w:rPr>
                <w:rFonts w:hint="eastAsia" w:ascii="仿宋_GB2312" w:hAnsi="仿宋_GB2312" w:eastAsia="仿宋_GB2312" w:cs="仿宋_GB2312"/>
                <w:color w:val="000000" w:themeColor="text1"/>
                <w:szCs w:val="24"/>
              </w:rPr>
              <w:t>日均在岗人数</w:t>
            </w:r>
          </w:p>
        </w:tc>
        <w:tc>
          <w:tcPr>
            <w:tcW w:w="2081" w:type="dxa"/>
          </w:tcPr>
          <w:p w14:paraId="62873A43">
            <w:pPr>
              <w:pStyle w:val="14"/>
              <w:widowControl/>
              <w:spacing w:line="560" w:lineRule="exact"/>
              <w:jc w:val="center"/>
              <w:rPr>
                <w:rFonts w:hint="eastAsia" w:ascii="仿宋_GB2312" w:hAnsi="仿宋_GB2312" w:eastAsia="仿宋_GB2312" w:cs="仿宋_GB2312"/>
                <w:color w:val="000000" w:themeColor="text1"/>
                <w:szCs w:val="24"/>
              </w:rPr>
            </w:pPr>
            <w:r>
              <w:rPr>
                <w:rFonts w:hint="eastAsia" w:ascii="仿宋_GB2312" w:hAnsi="仿宋_GB2312" w:eastAsia="仿宋_GB2312" w:cs="仿宋_GB2312"/>
                <w:color w:val="000000" w:themeColor="text1"/>
                <w:szCs w:val="24"/>
              </w:rPr>
              <w:t>备注</w:t>
            </w:r>
          </w:p>
        </w:tc>
      </w:tr>
      <w:tr w14:paraId="2A20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673" w:type="dxa"/>
            <w:vAlign w:val="center"/>
          </w:tcPr>
          <w:p w14:paraId="5223BE66">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2026、11-2027、04</w:t>
            </w:r>
          </w:p>
        </w:tc>
        <w:tc>
          <w:tcPr>
            <w:tcW w:w="1198" w:type="dxa"/>
            <w:vAlign w:val="center"/>
          </w:tcPr>
          <w:p w14:paraId="404C1E67">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181天</w:t>
            </w:r>
          </w:p>
        </w:tc>
        <w:tc>
          <w:tcPr>
            <w:tcW w:w="1810" w:type="dxa"/>
            <w:vAlign w:val="center"/>
          </w:tcPr>
          <w:p w14:paraId="43373CF8">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冬春两班制</w:t>
            </w:r>
          </w:p>
        </w:tc>
        <w:tc>
          <w:tcPr>
            <w:tcW w:w="1844" w:type="dxa"/>
            <w:vAlign w:val="center"/>
          </w:tcPr>
          <w:p w14:paraId="392AD0FC">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5人</w:t>
            </w:r>
          </w:p>
        </w:tc>
        <w:tc>
          <w:tcPr>
            <w:tcW w:w="2081" w:type="dxa"/>
            <w:vMerge w:val="restart"/>
            <w:vAlign w:val="center"/>
          </w:tcPr>
          <w:p w14:paraId="2F4CBF48">
            <w:pPr>
              <w:widowControl/>
              <w:spacing w:line="23" w:lineRule="atLeast"/>
              <w:jc w:val="center"/>
              <w:rPr>
                <w:rFonts w:hint="eastAsia" w:cs="仿宋_GB2312" w:asciiTheme="minorEastAsia" w:hAnsiTheme="minorEastAsia" w:eastAsiaTheme="minorEastAsia"/>
                <w:color w:val="000000" w:themeColor="text1"/>
                <w:kern w:val="0"/>
                <w:sz w:val="24"/>
              </w:rPr>
            </w:pPr>
            <w:bookmarkStart w:id="53" w:name="OLE_LINK6"/>
            <w:r>
              <w:rPr>
                <w:rFonts w:hint="eastAsia" w:cs="仿宋_GB2312" w:asciiTheme="minorEastAsia" w:hAnsiTheme="minorEastAsia" w:eastAsiaTheme="minorEastAsia"/>
                <w:color w:val="000000" w:themeColor="text1"/>
                <w:kern w:val="0"/>
                <w:sz w:val="24"/>
              </w:rPr>
              <w:t>全天24</w:t>
            </w:r>
            <w:bookmarkEnd w:id="53"/>
            <w:r>
              <w:rPr>
                <w:rFonts w:hint="eastAsia" w:cs="仿宋_GB2312" w:asciiTheme="minorEastAsia" w:hAnsiTheme="minorEastAsia" w:eastAsiaTheme="minorEastAsia"/>
                <w:color w:val="000000" w:themeColor="text1"/>
                <w:kern w:val="0"/>
                <w:sz w:val="24"/>
              </w:rPr>
              <w:t>小时值班（冬春：上一休一</w:t>
            </w:r>
          </w:p>
          <w:p w14:paraId="3AA013B0">
            <w:pPr>
              <w:widowControl/>
              <w:spacing w:line="23" w:lineRule="atLeast"/>
              <w:jc w:val="center"/>
              <w:rPr>
                <w:rFonts w:hint="eastAsia" w:cs="Calibri" w:asciiTheme="minorEastAsia" w:hAnsiTheme="minorEastAsia" w:eastAsiaTheme="minorEastAsia"/>
                <w:color w:val="000000" w:themeColor="text1"/>
                <w:kern w:val="0"/>
                <w:sz w:val="24"/>
              </w:rPr>
            </w:pPr>
            <w:r>
              <w:rPr>
                <w:rFonts w:hint="eastAsia" w:cs="仿宋_GB2312" w:asciiTheme="minorEastAsia" w:hAnsiTheme="minorEastAsia" w:eastAsiaTheme="minorEastAsia"/>
                <w:color w:val="000000" w:themeColor="text1"/>
                <w:kern w:val="0"/>
                <w:sz w:val="24"/>
              </w:rPr>
              <w:t>夏秋：上一休二）</w:t>
            </w:r>
          </w:p>
        </w:tc>
      </w:tr>
      <w:tr w14:paraId="1194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673" w:type="dxa"/>
            <w:vAlign w:val="center"/>
          </w:tcPr>
          <w:p w14:paraId="2A9F661C">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2027、05-2027、09</w:t>
            </w:r>
          </w:p>
        </w:tc>
        <w:tc>
          <w:tcPr>
            <w:tcW w:w="1198" w:type="dxa"/>
            <w:vAlign w:val="center"/>
          </w:tcPr>
          <w:p w14:paraId="401D00FC">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153天</w:t>
            </w:r>
          </w:p>
        </w:tc>
        <w:tc>
          <w:tcPr>
            <w:tcW w:w="1810" w:type="dxa"/>
            <w:vAlign w:val="center"/>
          </w:tcPr>
          <w:p w14:paraId="33BBA1F5">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夏秋三班制</w:t>
            </w:r>
          </w:p>
        </w:tc>
        <w:tc>
          <w:tcPr>
            <w:tcW w:w="1844" w:type="dxa"/>
            <w:vAlign w:val="center"/>
          </w:tcPr>
          <w:p w14:paraId="404108C0">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3-4人</w:t>
            </w:r>
          </w:p>
        </w:tc>
        <w:tc>
          <w:tcPr>
            <w:tcW w:w="2081" w:type="dxa"/>
            <w:vMerge w:val="continue"/>
          </w:tcPr>
          <w:p w14:paraId="19F971F0">
            <w:pPr>
              <w:widowControl/>
              <w:spacing w:line="23" w:lineRule="atLeast"/>
              <w:jc w:val="center"/>
              <w:rPr>
                <w:rFonts w:hint="eastAsia" w:cs="仿宋_GB2312" w:asciiTheme="minorEastAsia" w:hAnsiTheme="minorEastAsia" w:eastAsiaTheme="minorEastAsia"/>
                <w:color w:val="000000" w:themeColor="text1"/>
                <w:kern w:val="0"/>
                <w:sz w:val="24"/>
              </w:rPr>
            </w:pPr>
          </w:p>
        </w:tc>
      </w:tr>
      <w:tr w14:paraId="3A0D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673" w:type="dxa"/>
            <w:vAlign w:val="center"/>
          </w:tcPr>
          <w:p w14:paraId="1305F309">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2027、10-2027、11</w:t>
            </w:r>
          </w:p>
        </w:tc>
        <w:tc>
          <w:tcPr>
            <w:tcW w:w="1198" w:type="dxa"/>
            <w:vAlign w:val="center"/>
          </w:tcPr>
          <w:p w14:paraId="66494EF3">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61天</w:t>
            </w:r>
          </w:p>
        </w:tc>
        <w:tc>
          <w:tcPr>
            <w:tcW w:w="1810" w:type="dxa"/>
            <w:vAlign w:val="center"/>
          </w:tcPr>
          <w:p w14:paraId="2566A056">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冬春两班制</w:t>
            </w:r>
          </w:p>
        </w:tc>
        <w:tc>
          <w:tcPr>
            <w:tcW w:w="1844" w:type="dxa"/>
            <w:vAlign w:val="center"/>
          </w:tcPr>
          <w:p w14:paraId="6D21D7D5">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5人</w:t>
            </w:r>
          </w:p>
        </w:tc>
        <w:tc>
          <w:tcPr>
            <w:tcW w:w="2081" w:type="dxa"/>
            <w:vMerge w:val="continue"/>
          </w:tcPr>
          <w:p w14:paraId="4662095A">
            <w:pPr>
              <w:widowControl/>
              <w:spacing w:line="23" w:lineRule="atLeast"/>
              <w:jc w:val="center"/>
              <w:rPr>
                <w:rFonts w:hint="eastAsia" w:cs="仿宋_GB2312" w:asciiTheme="minorEastAsia" w:hAnsiTheme="minorEastAsia" w:eastAsiaTheme="minorEastAsia"/>
                <w:color w:val="000000" w:themeColor="text1"/>
                <w:kern w:val="0"/>
                <w:sz w:val="24"/>
              </w:rPr>
            </w:pPr>
          </w:p>
        </w:tc>
      </w:tr>
      <w:tr w14:paraId="60C6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2673" w:type="dxa"/>
            <w:vAlign w:val="center"/>
          </w:tcPr>
          <w:p w14:paraId="3A0006D1">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sz w:val="24"/>
              </w:rPr>
              <w:t>合计</w:t>
            </w:r>
          </w:p>
        </w:tc>
        <w:tc>
          <w:tcPr>
            <w:tcW w:w="1198" w:type="dxa"/>
            <w:vAlign w:val="center"/>
          </w:tcPr>
          <w:p w14:paraId="2E125C04">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sz w:val="24"/>
              </w:rPr>
              <w:t>394天</w:t>
            </w:r>
          </w:p>
        </w:tc>
        <w:tc>
          <w:tcPr>
            <w:tcW w:w="1810" w:type="dxa"/>
            <w:vAlign w:val="center"/>
          </w:tcPr>
          <w:p w14:paraId="1160C200">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w:t>
            </w:r>
          </w:p>
        </w:tc>
        <w:tc>
          <w:tcPr>
            <w:tcW w:w="1844" w:type="dxa"/>
            <w:vAlign w:val="center"/>
          </w:tcPr>
          <w:p w14:paraId="47FF247C">
            <w:pPr>
              <w:widowControl/>
              <w:spacing w:line="23" w:lineRule="atLeast"/>
              <w:jc w:val="center"/>
              <w:rPr>
                <w:rFonts w:hint="eastAsia" w:cs="仿宋_GB2312" w:asciiTheme="minorEastAsia" w:hAnsiTheme="minorEastAsia" w:eastAsiaTheme="minorEastAsia"/>
                <w:color w:val="000000" w:themeColor="text1"/>
                <w:sz w:val="24"/>
              </w:rPr>
            </w:pPr>
            <w:r>
              <w:rPr>
                <w:rFonts w:hint="eastAsia" w:cs="仿宋_GB2312" w:asciiTheme="minorEastAsia" w:hAnsiTheme="minorEastAsia" w:eastAsiaTheme="minorEastAsia"/>
                <w:color w:val="000000" w:themeColor="text1"/>
                <w:kern w:val="0"/>
                <w:sz w:val="24"/>
              </w:rPr>
              <w:t>-</w:t>
            </w:r>
          </w:p>
        </w:tc>
        <w:tc>
          <w:tcPr>
            <w:tcW w:w="2081" w:type="dxa"/>
          </w:tcPr>
          <w:p w14:paraId="22278283">
            <w:pPr>
              <w:widowControl/>
              <w:spacing w:line="23" w:lineRule="atLeast"/>
              <w:jc w:val="center"/>
              <w:rPr>
                <w:rFonts w:hint="eastAsia" w:cs="仿宋_GB2312" w:asciiTheme="minorEastAsia" w:hAnsiTheme="minorEastAsia" w:eastAsiaTheme="minorEastAsia"/>
                <w:color w:val="000000" w:themeColor="text1"/>
                <w:kern w:val="0"/>
                <w:sz w:val="24"/>
              </w:rPr>
            </w:pPr>
          </w:p>
        </w:tc>
      </w:tr>
    </w:tbl>
    <w:p w14:paraId="4178D6A7">
      <w:pPr>
        <w:pStyle w:val="44"/>
        <w:rPr>
          <w:rFonts w:hint="eastAsia" w:asciiTheme="minorEastAsia" w:hAnsiTheme="minorEastAsia" w:eastAsiaTheme="minorEastAsia"/>
          <w:color w:val="000000" w:themeColor="text1"/>
        </w:rPr>
      </w:pPr>
    </w:p>
    <w:p w14:paraId="53CF9105">
      <w:pPr>
        <w:widowControl/>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br w:type="page"/>
      </w:r>
    </w:p>
    <w:p w14:paraId="5CFB4A2D">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b/>
          <w:bCs/>
          <w:color w:val="000000" w:themeColor="text1"/>
          <w:kern w:val="0"/>
          <w:szCs w:val="21"/>
        </w:rPr>
        <w:t>附件五、采购需求偏离表格式</w:t>
      </w:r>
    </w:p>
    <w:p w14:paraId="2F5986A0">
      <w:pPr>
        <w:widowControl/>
        <w:shd w:val="clear" w:color="auto" w:fill="FFFFFF"/>
        <w:spacing w:line="360" w:lineRule="auto"/>
        <w:ind w:left="435"/>
        <w:jc w:val="left"/>
        <w:rPr>
          <w:rFonts w:hint="eastAsia" w:ascii="宋体" w:hAnsi="宋体" w:cs="宋体"/>
          <w:color w:val="000000" w:themeColor="text1"/>
          <w:kern w:val="0"/>
          <w:szCs w:val="21"/>
        </w:rPr>
      </w:pPr>
    </w:p>
    <w:p w14:paraId="188E7FA5">
      <w:pPr>
        <w:widowControl/>
        <w:shd w:val="clear" w:color="auto" w:fill="FFFFFF"/>
        <w:spacing w:line="360" w:lineRule="auto"/>
        <w:ind w:left="420"/>
        <w:jc w:val="center"/>
        <w:rPr>
          <w:rFonts w:hint="eastAsia" w:ascii="宋体" w:hAnsi="宋体" w:cs="宋体"/>
          <w:b/>
          <w:color w:val="000000" w:themeColor="text1"/>
          <w:kern w:val="0"/>
          <w:szCs w:val="21"/>
        </w:rPr>
      </w:pPr>
      <w:r>
        <w:rPr>
          <w:rFonts w:hint="eastAsia" w:ascii="宋体" w:hAnsi="宋体" w:cs="宋体"/>
          <w:b/>
          <w:color w:val="000000" w:themeColor="text1"/>
          <w:kern w:val="0"/>
          <w:sz w:val="36"/>
          <w:szCs w:val="36"/>
        </w:rPr>
        <w:t>采购需求偏离表</w:t>
      </w:r>
    </w:p>
    <w:p w14:paraId="2DC3966A">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436E2032">
      <w:pPr>
        <w:widowControl/>
        <w:tabs>
          <w:tab w:val="left" w:pos="5397"/>
        </w:tabs>
        <w:spacing w:line="360" w:lineRule="auto"/>
        <w:ind w:firstLine="84" w:firstLineChars="4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项目名称：</w:t>
      </w:r>
      <w:r>
        <w:rPr>
          <w:rFonts w:hint="eastAsia" w:ascii="宋体" w:hAnsi="宋体" w:cs="宋体"/>
          <w:color w:val="000000" w:themeColor="text1"/>
          <w:kern w:val="0"/>
          <w:szCs w:val="21"/>
        </w:rPr>
        <w:tab/>
      </w:r>
      <w:r>
        <w:rPr>
          <w:rFonts w:hint="eastAsia" w:ascii="宋体" w:hAnsi="宋体" w:cs="宋体"/>
          <w:color w:val="000000" w:themeColor="text1"/>
          <w:kern w:val="0"/>
          <w:szCs w:val="21"/>
        </w:rPr>
        <w:t>项目编号：  </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5"/>
        <w:gridCol w:w="1014"/>
        <w:gridCol w:w="3771"/>
        <w:gridCol w:w="2287"/>
        <w:gridCol w:w="1331"/>
      </w:tblGrid>
      <w:tr w14:paraId="41F2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72D60723">
            <w:pPr>
              <w:pStyle w:val="2"/>
              <w:spacing w:line="360" w:lineRule="auto"/>
              <w:ind w:firstLine="0" w:firstLineChars="0"/>
              <w:jc w:val="center"/>
              <w:rPr>
                <w:rFonts w:hint="eastAsia" w:ascii="宋体" w:hAnsi="宋体" w:cs="宋体"/>
                <w:b/>
                <w:bCs/>
                <w:color w:val="000000" w:themeColor="text1"/>
                <w:kern w:val="0"/>
                <w:szCs w:val="21"/>
              </w:rPr>
            </w:pPr>
            <w:r>
              <w:rPr>
                <w:rFonts w:hint="eastAsia"/>
                <w:b/>
                <w:bCs/>
                <w:color w:val="000000" w:themeColor="text1"/>
              </w:rPr>
              <w:t>序号</w:t>
            </w:r>
          </w:p>
        </w:tc>
        <w:tc>
          <w:tcPr>
            <w:tcW w:w="951" w:type="dxa"/>
            <w:tcMar>
              <w:top w:w="0" w:type="dxa"/>
              <w:left w:w="10" w:type="dxa"/>
              <w:bottom w:w="0" w:type="dxa"/>
              <w:right w:w="10" w:type="dxa"/>
            </w:tcMar>
            <w:vAlign w:val="center"/>
          </w:tcPr>
          <w:p w14:paraId="17DCB5EA">
            <w:pPr>
              <w:pStyle w:val="2"/>
              <w:spacing w:line="360" w:lineRule="auto"/>
              <w:ind w:firstLine="0" w:firstLineChars="0"/>
              <w:jc w:val="center"/>
              <w:rPr>
                <w:rFonts w:hint="eastAsia" w:ascii="宋体" w:hAnsi="宋体" w:cs="宋体"/>
                <w:b/>
                <w:bCs/>
                <w:color w:val="000000" w:themeColor="text1"/>
                <w:kern w:val="0"/>
                <w:szCs w:val="21"/>
              </w:rPr>
            </w:pPr>
            <w:r>
              <w:rPr>
                <w:rFonts w:hint="eastAsia"/>
                <w:b/>
                <w:bCs/>
                <w:color w:val="000000" w:themeColor="text1"/>
              </w:rPr>
              <w:t>产品名称</w:t>
            </w:r>
          </w:p>
        </w:tc>
        <w:tc>
          <w:tcPr>
            <w:tcW w:w="3537" w:type="dxa"/>
            <w:tcMar>
              <w:top w:w="0" w:type="dxa"/>
              <w:left w:w="10" w:type="dxa"/>
              <w:bottom w:w="0" w:type="dxa"/>
              <w:right w:w="10" w:type="dxa"/>
            </w:tcMar>
            <w:vAlign w:val="center"/>
          </w:tcPr>
          <w:p w14:paraId="093B9094">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招标要求</w:t>
            </w:r>
            <w:r>
              <w:rPr>
                <w:rFonts w:hint="eastAsia"/>
                <w:b/>
                <w:color w:val="000000" w:themeColor="text1"/>
              </w:rPr>
              <w:t>技术参数</w:t>
            </w:r>
          </w:p>
        </w:tc>
        <w:tc>
          <w:tcPr>
            <w:tcW w:w="2145" w:type="dxa"/>
            <w:tcMar>
              <w:top w:w="0" w:type="dxa"/>
              <w:left w:w="10" w:type="dxa"/>
              <w:bottom w:w="0" w:type="dxa"/>
              <w:right w:w="10" w:type="dxa"/>
            </w:tcMar>
            <w:vAlign w:val="center"/>
          </w:tcPr>
          <w:p w14:paraId="4D262494">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技术参数响应情况</w:t>
            </w:r>
          </w:p>
        </w:tc>
        <w:tc>
          <w:tcPr>
            <w:tcW w:w="1248" w:type="dxa"/>
            <w:tcMar>
              <w:top w:w="0" w:type="dxa"/>
              <w:left w:w="10" w:type="dxa"/>
              <w:bottom w:w="0" w:type="dxa"/>
              <w:right w:w="10" w:type="dxa"/>
            </w:tcMar>
            <w:vAlign w:val="center"/>
          </w:tcPr>
          <w:p w14:paraId="4B561F0D">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是否偏离</w:t>
            </w:r>
          </w:p>
        </w:tc>
      </w:tr>
      <w:tr w14:paraId="3E6E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7F1DAF8A">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1</w:t>
            </w:r>
          </w:p>
        </w:tc>
        <w:tc>
          <w:tcPr>
            <w:tcW w:w="951" w:type="dxa"/>
            <w:tcMar>
              <w:top w:w="0" w:type="dxa"/>
              <w:left w:w="10" w:type="dxa"/>
              <w:bottom w:w="0" w:type="dxa"/>
              <w:right w:w="10" w:type="dxa"/>
            </w:tcMar>
            <w:vAlign w:val="center"/>
          </w:tcPr>
          <w:p w14:paraId="30E446F5">
            <w:pPr>
              <w:widowControl/>
              <w:jc w:val="center"/>
              <w:textAlignment w:val="center"/>
              <w:rPr>
                <w:rFonts w:hint="eastAsia" w:ascii="宋体" w:hAnsi="宋体" w:cs="宋体"/>
                <w:color w:val="000000" w:themeColor="text1"/>
                <w:kern w:val="0"/>
                <w:szCs w:val="21"/>
              </w:rPr>
            </w:pPr>
            <w:r>
              <w:rPr>
                <w:rFonts w:hint="eastAsia"/>
                <w:color w:val="000000" w:themeColor="text1"/>
              </w:rPr>
              <w:t>★实质性要求</w:t>
            </w:r>
          </w:p>
        </w:tc>
        <w:tc>
          <w:tcPr>
            <w:tcW w:w="3537" w:type="dxa"/>
            <w:tcMar>
              <w:top w:w="0" w:type="dxa"/>
              <w:left w:w="10" w:type="dxa"/>
              <w:bottom w:w="0" w:type="dxa"/>
              <w:right w:w="10" w:type="dxa"/>
            </w:tcMar>
            <w:vAlign w:val="center"/>
          </w:tcPr>
          <w:p w14:paraId="4082E85D">
            <w:pPr>
              <w:pStyle w:val="2"/>
              <w:spacing w:line="360" w:lineRule="auto"/>
              <w:ind w:left="-2" w:firstLine="0" w:firstLineChars="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w:t>
            </w:r>
          </w:p>
        </w:tc>
        <w:tc>
          <w:tcPr>
            <w:tcW w:w="2145" w:type="dxa"/>
            <w:tcMar>
              <w:top w:w="0" w:type="dxa"/>
              <w:left w:w="10" w:type="dxa"/>
              <w:bottom w:w="0" w:type="dxa"/>
              <w:right w:w="10" w:type="dxa"/>
            </w:tcMar>
            <w:vAlign w:val="center"/>
          </w:tcPr>
          <w:p w14:paraId="79191CEF">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48" w:type="dxa"/>
            <w:tcMar>
              <w:top w:w="0" w:type="dxa"/>
              <w:left w:w="10" w:type="dxa"/>
              <w:bottom w:w="0" w:type="dxa"/>
              <w:right w:w="10" w:type="dxa"/>
            </w:tcMar>
            <w:vAlign w:val="center"/>
          </w:tcPr>
          <w:p w14:paraId="53780545">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无偏离 </w:t>
            </w:r>
          </w:p>
        </w:tc>
      </w:tr>
      <w:tr w14:paraId="74BA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4255C237">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2</w:t>
            </w:r>
          </w:p>
        </w:tc>
        <w:tc>
          <w:tcPr>
            <w:tcW w:w="951" w:type="dxa"/>
            <w:tcMar>
              <w:top w:w="0" w:type="dxa"/>
              <w:left w:w="10" w:type="dxa"/>
              <w:bottom w:w="0" w:type="dxa"/>
              <w:right w:w="10" w:type="dxa"/>
            </w:tcMar>
            <w:vAlign w:val="center"/>
          </w:tcPr>
          <w:p w14:paraId="6F0884EE">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34E08D35">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2595EFB7">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48" w:type="dxa"/>
            <w:tcMar>
              <w:top w:w="0" w:type="dxa"/>
              <w:left w:w="10" w:type="dxa"/>
              <w:bottom w:w="0" w:type="dxa"/>
              <w:right w:w="10" w:type="dxa"/>
            </w:tcMar>
            <w:vAlign w:val="center"/>
          </w:tcPr>
          <w:p w14:paraId="041A0192">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7308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4400D8EB">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3</w:t>
            </w:r>
          </w:p>
        </w:tc>
        <w:tc>
          <w:tcPr>
            <w:tcW w:w="951" w:type="dxa"/>
            <w:tcMar>
              <w:top w:w="0" w:type="dxa"/>
              <w:left w:w="10" w:type="dxa"/>
              <w:bottom w:w="0" w:type="dxa"/>
              <w:right w:w="10" w:type="dxa"/>
            </w:tcMar>
            <w:vAlign w:val="center"/>
          </w:tcPr>
          <w:p w14:paraId="6F8E79EC">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47E848AC">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3538C4BA">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48" w:type="dxa"/>
            <w:tcMar>
              <w:top w:w="0" w:type="dxa"/>
              <w:left w:w="10" w:type="dxa"/>
              <w:bottom w:w="0" w:type="dxa"/>
              <w:right w:w="10" w:type="dxa"/>
            </w:tcMar>
            <w:vAlign w:val="center"/>
          </w:tcPr>
          <w:p w14:paraId="5DDFF008">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7039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1EE3F37E">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4</w:t>
            </w:r>
          </w:p>
        </w:tc>
        <w:tc>
          <w:tcPr>
            <w:tcW w:w="951" w:type="dxa"/>
            <w:tcMar>
              <w:top w:w="0" w:type="dxa"/>
              <w:left w:w="10" w:type="dxa"/>
              <w:bottom w:w="0" w:type="dxa"/>
              <w:right w:w="10" w:type="dxa"/>
            </w:tcMar>
            <w:vAlign w:val="center"/>
          </w:tcPr>
          <w:p w14:paraId="2A00DDC0">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7E47D255">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245D00F0">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1EF9CCFC">
            <w:pPr>
              <w:widowControl/>
              <w:spacing w:line="360" w:lineRule="auto"/>
              <w:jc w:val="center"/>
              <w:rPr>
                <w:rFonts w:hint="eastAsia" w:ascii="宋体" w:hAnsi="宋体" w:cs="宋体"/>
                <w:color w:val="000000" w:themeColor="text1"/>
                <w:kern w:val="0"/>
                <w:szCs w:val="21"/>
              </w:rPr>
            </w:pPr>
          </w:p>
        </w:tc>
      </w:tr>
      <w:tr w14:paraId="530E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6BAA8046">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5</w:t>
            </w:r>
          </w:p>
        </w:tc>
        <w:tc>
          <w:tcPr>
            <w:tcW w:w="951" w:type="dxa"/>
            <w:tcMar>
              <w:top w:w="0" w:type="dxa"/>
              <w:left w:w="10" w:type="dxa"/>
              <w:bottom w:w="0" w:type="dxa"/>
              <w:right w:w="10" w:type="dxa"/>
            </w:tcMar>
            <w:vAlign w:val="center"/>
          </w:tcPr>
          <w:p w14:paraId="0707DDDE">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53D7386E">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029CC94D">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53E353AE">
            <w:pPr>
              <w:widowControl/>
              <w:spacing w:line="360" w:lineRule="auto"/>
              <w:jc w:val="center"/>
              <w:rPr>
                <w:rFonts w:hint="eastAsia" w:ascii="宋体" w:hAnsi="宋体" w:cs="宋体"/>
                <w:color w:val="000000" w:themeColor="text1"/>
                <w:kern w:val="0"/>
                <w:szCs w:val="21"/>
              </w:rPr>
            </w:pPr>
          </w:p>
        </w:tc>
      </w:tr>
      <w:tr w14:paraId="444D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6162DA05">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6</w:t>
            </w:r>
          </w:p>
        </w:tc>
        <w:tc>
          <w:tcPr>
            <w:tcW w:w="951" w:type="dxa"/>
            <w:tcMar>
              <w:top w:w="0" w:type="dxa"/>
              <w:left w:w="10" w:type="dxa"/>
              <w:bottom w:w="0" w:type="dxa"/>
              <w:right w:w="10" w:type="dxa"/>
            </w:tcMar>
            <w:vAlign w:val="center"/>
          </w:tcPr>
          <w:p w14:paraId="2852E6C8">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0F6C4EE4">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491B3833">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3447DF49">
            <w:pPr>
              <w:widowControl/>
              <w:spacing w:line="360" w:lineRule="auto"/>
              <w:jc w:val="center"/>
              <w:rPr>
                <w:rFonts w:hint="eastAsia" w:ascii="宋体" w:hAnsi="宋体" w:cs="宋体"/>
                <w:color w:val="000000" w:themeColor="text1"/>
                <w:kern w:val="0"/>
                <w:szCs w:val="21"/>
              </w:rPr>
            </w:pPr>
          </w:p>
        </w:tc>
      </w:tr>
      <w:tr w14:paraId="7391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745C7BAA">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7</w:t>
            </w:r>
          </w:p>
        </w:tc>
        <w:tc>
          <w:tcPr>
            <w:tcW w:w="951" w:type="dxa"/>
            <w:tcMar>
              <w:top w:w="0" w:type="dxa"/>
              <w:left w:w="10" w:type="dxa"/>
              <w:bottom w:w="0" w:type="dxa"/>
              <w:right w:w="10" w:type="dxa"/>
            </w:tcMar>
            <w:vAlign w:val="center"/>
          </w:tcPr>
          <w:p w14:paraId="1B012391">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15BE406E">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3EBA6BC4">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10C513B3">
            <w:pPr>
              <w:widowControl/>
              <w:spacing w:line="360" w:lineRule="auto"/>
              <w:jc w:val="center"/>
              <w:rPr>
                <w:rFonts w:hint="eastAsia" w:ascii="宋体" w:hAnsi="宋体" w:cs="宋体"/>
                <w:color w:val="000000" w:themeColor="text1"/>
                <w:kern w:val="0"/>
                <w:szCs w:val="21"/>
              </w:rPr>
            </w:pPr>
          </w:p>
        </w:tc>
      </w:tr>
      <w:tr w14:paraId="5A1A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2E958EDA">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8</w:t>
            </w:r>
          </w:p>
        </w:tc>
        <w:tc>
          <w:tcPr>
            <w:tcW w:w="951" w:type="dxa"/>
            <w:tcMar>
              <w:top w:w="0" w:type="dxa"/>
              <w:left w:w="10" w:type="dxa"/>
              <w:bottom w:w="0" w:type="dxa"/>
              <w:right w:w="10" w:type="dxa"/>
            </w:tcMar>
            <w:vAlign w:val="center"/>
          </w:tcPr>
          <w:p w14:paraId="3A962021">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2C5B7126">
            <w:pPr>
              <w:pStyle w:val="2"/>
              <w:spacing w:line="360" w:lineRule="auto"/>
              <w:ind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4B108C81">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54EB1890">
            <w:pPr>
              <w:widowControl/>
              <w:spacing w:line="360" w:lineRule="auto"/>
              <w:jc w:val="center"/>
              <w:rPr>
                <w:rFonts w:hint="eastAsia" w:ascii="宋体" w:hAnsi="宋体" w:cs="宋体"/>
                <w:color w:val="000000" w:themeColor="text1"/>
                <w:kern w:val="0"/>
                <w:szCs w:val="21"/>
              </w:rPr>
            </w:pPr>
          </w:p>
        </w:tc>
      </w:tr>
      <w:tr w14:paraId="45D9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3A755DFA">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9</w:t>
            </w:r>
          </w:p>
        </w:tc>
        <w:tc>
          <w:tcPr>
            <w:tcW w:w="951" w:type="dxa"/>
            <w:tcMar>
              <w:top w:w="0" w:type="dxa"/>
              <w:left w:w="10" w:type="dxa"/>
              <w:bottom w:w="0" w:type="dxa"/>
              <w:right w:w="10" w:type="dxa"/>
            </w:tcMar>
            <w:vAlign w:val="center"/>
          </w:tcPr>
          <w:p w14:paraId="43A306A1">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60421AEA">
            <w:pPr>
              <w:pStyle w:val="2"/>
              <w:spacing w:line="360" w:lineRule="auto"/>
              <w:ind w:left="-2"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630F6756">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60FC3066">
            <w:pPr>
              <w:widowControl/>
              <w:spacing w:line="360" w:lineRule="auto"/>
              <w:jc w:val="center"/>
              <w:rPr>
                <w:rFonts w:hint="eastAsia" w:ascii="宋体" w:hAnsi="宋体" w:cs="宋体"/>
                <w:color w:val="000000" w:themeColor="text1"/>
                <w:kern w:val="0"/>
                <w:szCs w:val="21"/>
              </w:rPr>
            </w:pPr>
          </w:p>
        </w:tc>
      </w:tr>
      <w:tr w14:paraId="1249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469A703A">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10</w:t>
            </w:r>
          </w:p>
        </w:tc>
        <w:tc>
          <w:tcPr>
            <w:tcW w:w="951" w:type="dxa"/>
            <w:tcMar>
              <w:top w:w="0" w:type="dxa"/>
              <w:left w:w="10" w:type="dxa"/>
              <w:bottom w:w="0" w:type="dxa"/>
              <w:right w:w="10" w:type="dxa"/>
            </w:tcMar>
            <w:vAlign w:val="center"/>
          </w:tcPr>
          <w:p w14:paraId="2DD03285">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272EDCCD">
            <w:pPr>
              <w:pStyle w:val="2"/>
              <w:spacing w:line="360" w:lineRule="auto"/>
              <w:ind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4BD97F10">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71EC5370">
            <w:pPr>
              <w:widowControl/>
              <w:spacing w:line="360" w:lineRule="auto"/>
              <w:jc w:val="center"/>
              <w:rPr>
                <w:rFonts w:hint="eastAsia" w:ascii="宋体" w:hAnsi="宋体" w:cs="宋体"/>
                <w:color w:val="000000" w:themeColor="text1"/>
                <w:kern w:val="0"/>
                <w:szCs w:val="21"/>
              </w:rPr>
            </w:pPr>
          </w:p>
        </w:tc>
      </w:tr>
      <w:tr w14:paraId="7A3D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tcMar>
              <w:top w:w="0" w:type="dxa"/>
              <w:left w:w="10" w:type="dxa"/>
              <w:bottom w:w="0" w:type="dxa"/>
              <w:right w:w="10" w:type="dxa"/>
            </w:tcMar>
            <w:vAlign w:val="center"/>
          </w:tcPr>
          <w:p w14:paraId="39065544">
            <w:pPr>
              <w:widowControl/>
              <w:jc w:val="center"/>
              <w:textAlignment w:val="center"/>
              <w:rPr>
                <w:rFonts w:hint="eastAsia" w:ascii="宋体" w:hAnsi="宋体" w:cs="宋体"/>
                <w:color w:val="000000" w:themeColor="text1"/>
                <w:kern w:val="0"/>
                <w:szCs w:val="21"/>
              </w:rPr>
            </w:pPr>
            <w:r>
              <w:rPr>
                <w:rFonts w:hint="eastAsia" w:ascii="宋体" w:hAnsi="宋体" w:cs="宋体"/>
                <w:color w:val="000000" w:themeColor="text1"/>
                <w:kern w:val="0"/>
                <w:szCs w:val="21"/>
              </w:rPr>
              <w:t>....</w:t>
            </w:r>
          </w:p>
        </w:tc>
        <w:tc>
          <w:tcPr>
            <w:tcW w:w="951" w:type="dxa"/>
            <w:tcMar>
              <w:top w:w="0" w:type="dxa"/>
              <w:left w:w="10" w:type="dxa"/>
              <w:bottom w:w="0" w:type="dxa"/>
              <w:right w:w="10" w:type="dxa"/>
            </w:tcMar>
            <w:vAlign w:val="center"/>
          </w:tcPr>
          <w:p w14:paraId="4301E792">
            <w:pPr>
              <w:widowControl/>
              <w:jc w:val="center"/>
              <w:textAlignment w:val="center"/>
              <w:rPr>
                <w:rFonts w:hint="eastAsia" w:ascii="宋体" w:hAnsi="宋体" w:cs="宋体"/>
                <w:color w:val="000000" w:themeColor="text1"/>
                <w:kern w:val="0"/>
                <w:szCs w:val="21"/>
              </w:rPr>
            </w:pPr>
          </w:p>
        </w:tc>
        <w:tc>
          <w:tcPr>
            <w:tcW w:w="3537" w:type="dxa"/>
            <w:tcMar>
              <w:top w:w="0" w:type="dxa"/>
              <w:left w:w="10" w:type="dxa"/>
              <w:bottom w:w="0" w:type="dxa"/>
              <w:right w:w="10" w:type="dxa"/>
            </w:tcMar>
            <w:vAlign w:val="center"/>
          </w:tcPr>
          <w:p w14:paraId="3B1DAC06">
            <w:pPr>
              <w:pStyle w:val="2"/>
              <w:spacing w:line="360" w:lineRule="auto"/>
              <w:ind w:firstLine="0" w:firstLineChars="0"/>
              <w:jc w:val="left"/>
              <w:rPr>
                <w:rFonts w:hint="eastAsia" w:ascii="宋体" w:hAnsi="宋体" w:cs="宋体"/>
                <w:color w:val="000000" w:themeColor="text1"/>
                <w:kern w:val="0"/>
                <w:szCs w:val="21"/>
              </w:rPr>
            </w:pPr>
          </w:p>
        </w:tc>
        <w:tc>
          <w:tcPr>
            <w:tcW w:w="2145" w:type="dxa"/>
            <w:tcMar>
              <w:top w:w="0" w:type="dxa"/>
              <w:left w:w="10" w:type="dxa"/>
              <w:bottom w:w="0" w:type="dxa"/>
              <w:right w:w="10" w:type="dxa"/>
            </w:tcMar>
            <w:vAlign w:val="center"/>
          </w:tcPr>
          <w:p w14:paraId="7C5D2FCD">
            <w:pPr>
              <w:widowControl/>
              <w:spacing w:line="360" w:lineRule="auto"/>
              <w:jc w:val="center"/>
              <w:rPr>
                <w:rFonts w:hint="eastAsia" w:ascii="宋体" w:hAnsi="宋体" w:cs="宋体"/>
                <w:color w:val="000000" w:themeColor="text1"/>
                <w:kern w:val="0"/>
                <w:szCs w:val="21"/>
              </w:rPr>
            </w:pPr>
          </w:p>
        </w:tc>
        <w:tc>
          <w:tcPr>
            <w:tcW w:w="1248" w:type="dxa"/>
            <w:tcMar>
              <w:top w:w="0" w:type="dxa"/>
              <w:left w:w="10" w:type="dxa"/>
              <w:bottom w:w="0" w:type="dxa"/>
              <w:right w:w="10" w:type="dxa"/>
            </w:tcMar>
            <w:vAlign w:val="center"/>
          </w:tcPr>
          <w:p w14:paraId="1DFFD292">
            <w:pPr>
              <w:widowControl/>
              <w:spacing w:line="360" w:lineRule="auto"/>
              <w:jc w:val="center"/>
              <w:rPr>
                <w:rFonts w:hint="eastAsia" w:ascii="宋体" w:hAnsi="宋体" w:cs="宋体"/>
                <w:color w:val="000000" w:themeColor="text1"/>
                <w:kern w:val="0"/>
                <w:szCs w:val="21"/>
              </w:rPr>
            </w:pPr>
          </w:p>
        </w:tc>
      </w:tr>
    </w:tbl>
    <w:p w14:paraId="356E1E85">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说明：如果行数不够，请自行增加。</w:t>
      </w:r>
    </w:p>
    <w:p w14:paraId="5C959AAC">
      <w:pPr>
        <w:widowControl/>
        <w:shd w:val="clear" w:color="auto" w:fill="FFFFFF"/>
        <w:spacing w:line="360" w:lineRule="auto"/>
        <w:ind w:firstLine="430"/>
        <w:jc w:val="left"/>
        <w:rPr>
          <w:rFonts w:ascii="Arial" w:hAnsi="Arial"/>
          <w:color w:val="000000" w:themeColor="text1"/>
          <w:kern w:val="0"/>
          <w:szCs w:val="21"/>
        </w:rPr>
      </w:pPr>
      <w:r>
        <w:rPr>
          <w:rFonts w:ascii="Arial" w:hAnsi="Arial"/>
          <w:color w:val="000000" w:themeColor="text1"/>
          <w:kern w:val="0"/>
          <w:szCs w:val="21"/>
        </w:rPr>
        <w:t>说明：</w:t>
      </w:r>
      <w:r>
        <w:rPr>
          <w:rFonts w:hint="eastAsia" w:ascii="Arial" w:hAnsi="Arial"/>
          <w:color w:val="000000" w:themeColor="text1"/>
          <w:kern w:val="0"/>
          <w:szCs w:val="21"/>
        </w:rPr>
        <w:t>投标文件的采购需求部分内容响应存在正偏离或负偏离或无偏离的，请在本表中逐条列出。未列出的，视为响应采购文件要求。</w:t>
      </w:r>
      <w:r>
        <w:rPr>
          <w:rFonts w:ascii="Arial" w:hAnsi="Arial"/>
          <w:color w:val="000000" w:themeColor="text1"/>
          <w:kern w:val="0"/>
          <w:szCs w:val="21"/>
        </w:rPr>
        <w:t>如果行数不够，请自行增加。</w:t>
      </w:r>
    </w:p>
    <w:p w14:paraId="725BA7D3">
      <w:pPr>
        <w:widowControl/>
        <w:shd w:val="clear" w:color="auto" w:fill="FFFFFF"/>
        <w:spacing w:line="360" w:lineRule="auto"/>
        <w:jc w:val="left"/>
        <w:rPr>
          <w:rFonts w:hint="eastAsia" w:ascii="宋体" w:hAnsi="宋体" w:cs="宋体"/>
          <w:b/>
          <w:bCs/>
          <w:color w:val="000000" w:themeColor="text1"/>
          <w:kern w:val="0"/>
          <w:szCs w:val="21"/>
        </w:rPr>
      </w:pPr>
    </w:p>
    <w:p w14:paraId="414246B5">
      <w:pPr>
        <w:widowControl/>
        <w:shd w:val="clear" w:color="auto" w:fill="FFFFFF"/>
        <w:spacing w:line="360" w:lineRule="auto"/>
        <w:jc w:val="left"/>
        <w:rPr>
          <w:rFonts w:hint="eastAsia" w:ascii="宋体" w:hAnsi="宋体" w:cs="宋体"/>
          <w:color w:val="000000" w:themeColor="text1"/>
          <w:kern w:val="0"/>
          <w:szCs w:val="21"/>
        </w:rPr>
      </w:pPr>
    </w:p>
    <w:p w14:paraId="269F6DBD">
      <w:pPr>
        <w:widowControl/>
        <w:shd w:val="clear" w:color="auto" w:fill="FFFFFF"/>
        <w:spacing w:line="360" w:lineRule="auto"/>
        <w:jc w:val="left"/>
        <w:rPr>
          <w:rFonts w:hint="eastAsia" w:ascii="宋体" w:hAnsi="宋体" w:cs="宋体"/>
          <w:color w:val="000000" w:themeColor="text1"/>
          <w:kern w:val="0"/>
          <w:szCs w:val="21"/>
        </w:rPr>
      </w:pPr>
    </w:p>
    <w:p w14:paraId="4D41B949">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投标单位（加盖电子公章）：</w:t>
      </w:r>
      <w:r>
        <w:rPr>
          <w:rFonts w:hint="eastAsia" w:ascii="宋体" w:hAnsi="宋体" w:cs="宋体"/>
          <w:color w:val="000000" w:themeColor="text1"/>
          <w:kern w:val="0"/>
          <w:szCs w:val="21"/>
          <w:u w:val="single"/>
        </w:rPr>
        <w:t>                             </w:t>
      </w:r>
    </w:p>
    <w:p w14:paraId="6D6E0640">
      <w:pPr>
        <w:widowControl/>
        <w:shd w:val="clear" w:color="auto" w:fill="FFFFFF"/>
        <w:spacing w:line="360" w:lineRule="auto"/>
        <w:jc w:val="left"/>
        <w:rPr>
          <w:rFonts w:hint="eastAsia" w:ascii="宋体" w:hAnsi="宋体" w:cs="宋体"/>
          <w:color w:val="000000" w:themeColor="text1"/>
          <w:kern w:val="0"/>
          <w:szCs w:val="21"/>
        </w:rPr>
      </w:pPr>
    </w:p>
    <w:p w14:paraId="30F2B232">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69AB0632">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6119AACB">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30BA068A">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6B9998F9">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b/>
          <w:bCs/>
          <w:color w:val="000000" w:themeColor="text1"/>
          <w:kern w:val="0"/>
          <w:szCs w:val="21"/>
        </w:rPr>
        <w:t>附件六、商务条款偏离表格式</w:t>
      </w:r>
    </w:p>
    <w:p w14:paraId="7E8E752D">
      <w:pPr>
        <w:widowControl/>
        <w:shd w:val="clear" w:color="auto" w:fill="FFFFFF"/>
        <w:spacing w:line="360" w:lineRule="auto"/>
        <w:ind w:firstLine="420"/>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3A322EC4">
      <w:pPr>
        <w:widowControl/>
        <w:shd w:val="clear" w:color="auto" w:fill="FFFFFF"/>
        <w:spacing w:line="360" w:lineRule="auto"/>
        <w:ind w:left="420"/>
        <w:jc w:val="center"/>
        <w:rPr>
          <w:rFonts w:hint="eastAsia" w:ascii="宋体" w:hAnsi="宋体" w:cs="宋体"/>
          <w:b/>
          <w:color w:val="000000" w:themeColor="text1"/>
          <w:kern w:val="0"/>
          <w:szCs w:val="21"/>
        </w:rPr>
      </w:pPr>
      <w:r>
        <w:rPr>
          <w:rFonts w:hint="eastAsia" w:ascii="宋体" w:hAnsi="宋体" w:cs="宋体"/>
          <w:b/>
          <w:color w:val="000000" w:themeColor="text1"/>
          <w:kern w:val="0"/>
          <w:sz w:val="36"/>
          <w:szCs w:val="36"/>
        </w:rPr>
        <w:t>商务条款偏离表</w:t>
      </w:r>
    </w:p>
    <w:p w14:paraId="3238F2F1">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 w:val="24"/>
        </w:rPr>
        <w:t> </w:t>
      </w:r>
    </w:p>
    <w:p w14:paraId="4DCCC3F1">
      <w:pPr>
        <w:widowControl/>
        <w:tabs>
          <w:tab w:val="left" w:pos="5366"/>
        </w:tabs>
        <w:spacing w:line="360" w:lineRule="auto"/>
        <w:ind w:firstLine="96" w:firstLineChars="46"/>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项目名称：</w:t>
      </w:r>
      <w:r>
        <w:rPr>
          <w:rFonts w:hint="eastAsia" w:ascii="宋体" w:hAnsi="宋体" w:cs="宋体"/>
          <w:color w:val="000000" w:themeColor="text1"/>
          <w:kern w:val="0"/>
          <w:szCs w:val="21"/>
        </w:rPr>
        <w:tab/>
      </w:r>
      <w:r>
        <w:rPr>
          <w:rFonts w:hint="eastAsia" w:ascii="宋体" w:hAnsi="宋体" w:cs="宋体"/>
          <w:color w:val="000000" w:themeColor="text1"/>
          <w:kern w:val="0"/>
          <w:szCs w:val="21"/>
        </w:rPr>
        <w:t>项目编号：         </w:t>
      </w:r>
    </w:p>
    <w:tbl>
      <w:tblPr>
        <w:tblStyle w:val="45"/>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0"/>
        <w:gridCol w:w="1679"/>
        <w:gridCol w:w="2488"/>
        <w:gridCol w:w="3004"/>
        <w:gridCol w:w="1201"/>
      </w:tblGrid>
      <w:tr w14:paraId="13C7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4385DDD3">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序号</w:t>
            </w:r>
          </w:p>
        </w:tc>
        <w:tc>
          <w:tcPr>
            <w:tcW w:w="1679" w:type="dxa"/>
            <w:tcMar>
              <w:top w:w="0" w:type="dxa"/>
              <w:left w:w="10" w:type="dxa"/>
              <w:bottom w:w="0" w:type="dxa"/>
              <w:right w:w="10" w:type="dxa"/>
            </w:tcMar>
            <w:vAlign w:val="center"/>
          </w:tcPr>
          <w:p w14:paraId="019BC95D">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招标文件条目号</w:t>
            </w:r>
          </w:p>
        </w:tc>
        <w:tc>
          <w:tcPr>
            <w:tcW w:w="2488" w:type="dxa"/>
            <w:tcMar>
              <w:top w:w="0" w:type="dxa"/>
              <w:left w:w="10" w:type="dxa"/>
              <w:bottom w:w="0" w:type="dxa"/>
              <w:right w:w="10" w:type="dxa"/>
            </w:tcMar>
            <w:vAlign w:val="center"/>
          </w:tcPr>
          <w:p w14:paraId="5088A2DE">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招标文件要求的商务条款</w:t>
            </w:r>
          </w:p>
        </w:tc>
        <w:tc>
          <w:tcPr>
            <w:tcW w:w="3004" w:type="dxa"/>
            <w:tcMar>
              <w:top w:w="0" w:type="dxa"/>
              <w:left w:w="10" w:type="dxa"/>
              <w:bottom w:w="0" w:type="dxa"/>
              <w:right w:w="10" w:type="dxa"/>
            </w:tcMar>
            <w:vAlign w:val="center"/>
          </w:tcPr>
          <w:p w14:paraId="24DCED54">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投标响应</w:t>
            </w:r>
          </w:p>
        </w:tc>
        <w:tc>
          <w:tcPr>
            <w:tcW w:w="1201" w:type="dxa"/>
            <w:tcMar>
              <w:top w:w="0" w:type="dxa"/>
              <w:left w:w="10" w:type="dxa"/>
              <w:bottom w:w="0" w:type="dxa"/>
              <w:right w:w="10" w:type="dxa"/>
            </w:tcMar>
            <w:vAlign w:val="center"/>
          </w:tcPr>
          <w:p w14:paraId="4A8963D1">
            <w:pPr>
              <w:widowControl/>
              <w:spacing w:line="360" w:lineRule="auto"/>
              <w:jc w:val="center"/>
              <w:rPr>
                <w:rFonts w:hint="eastAsia" w:ascii="宋体" w:hAnsi="宋体" w:cs="宋体"/>
                <w:b/>
                <w:color w:val="000000" w:themeColor="text1"/>
                <w:kern w:val="0"/>
                <w:szCs w:val="21"/>
              </w:rPr>
            </w:pPr>
            <w:r>
              <w:rPr>
                <w:rFonts w:hint="eastAsia" w:ascii="宋体" w:hAnsi="宋体" w:cs="宋体"/>
                <w:b/>
                <w:color w:val="000000" w:themeColor="text1"/>
                <w:kern w:val="0"/>
                <w:szCs w:val="21"/>
              </w:rPr>
              <w:t>偏离</w:t>
            </w:r>
          </w:p>
        </w:tc>
      </w:tr>
      <w:tr w14:paraId="436E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5851591A">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679" w:type="dxa"/>
            <w:tcMar>
              <w:top w:w="0" w:type="dxa"/>
              <w:left w:w="10" w:type="dxa"/>
              <w:bottom w:w="0" w:type="dxa"/>
              <w:right w:w="10" w:type="dxa"/>
            </w:tcMar>
            <w:vAlign w:val="center"/>
          </w:tcPr>
          <w:p w14:paraId="43D40CCB">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2488" w:type="dxa"/>
            <w:tcMar>
              <w:top w:w="0" w:type="dxa"/>
              <w:left w:w="10" w:type="dxa"/>
              <w:bottom w:w="0" w:type="dxa"/>
              <w:right w:w="10" w:type="dxa"/>
            </w:tcMar>
            <w:vAlign w:val="center"/>
          </w:tcPr>
          <w:p w14:paraId="38FB9320">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3004" w:type="dxa"/>
            <w:tcMar>
              <w:top w:w="0" w:type="dxa"/>
              <w:left w:w="10" w:type="dxa"/>
              <w:bottom w:w="0" w:type="dxa"/>
              <w:right w:w="10" w:type="dxa"/>
            </w:tcMar>
            <w:vAlign w:val="center"/>
          </w:tcPr>
          <w:p w14:paraId="26480220">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01" w:type="dxa"/>
            <w:tcMar>
              <w:top w:w="0" w:type="dxa"/>
              <w:left w:w="10" w:type="dxa"/>
              <w:bottom w:w="0" w:type="dxa"/>
              <w:right w:w="10" w:type="dxa"/>
            </w:tcMar>
            <w:vAlign w:val="center"/>
          </w:tcPr>
          <w:p w14:paraId="338654C0">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6B76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724435F1">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679" w:type="dxa"/>
            <w:tcMar>
              <w:top w:w="0" w:type="dxa"/>
              <w:left w:w="10" w:type="dxa"/>
              <w:bottom w:w="0" w:type="dxa"/>
              <w:right w:w="10" w:type="dxa"/>
            </w:tcMar>
            <w:vAlign w:val="center"/>
          </w:tcPr>
          <w:p w14:paraId="3DD643EE">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2488" w:type="dxa"/>
            <w:tcMar>
              <w:top w:w="0" w:type="dxa"/>
              <w:left w:w="10" w:type="dxa"/>
              <w:bottom w:w="0" w:type="dxa"/>
              <w:right w:w="10" w:type="dxa"/>
            </w:tcMar>
            <w:vAlign w:val="center"/>
          </w:tcPr>
          <w:p w14:paraId="5FF8D228">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3004" w:type="dxa"/>
            <w:tcMar>
              <w:top w:w="0" w:type="dxa"/>
              <w:left w:w="10" w:type="dxa"/>
              <w:bottom w:w="0" w:type="dxa"/>
              <w:right w:w="10" w:type="dxa"/>
            </w:tcMar>
            <w:vAlign w:val="center"/>
          </w:tcPr>
          <w:p w14:paraId="67A33A6C">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01" w:type="dxa"/>
            <w:tcMar>
              <w:top w:w="0" w:type="dxa"/>
              <w:left w:w="10" w:type="dxa"/>
              <w:bottom w:w="0" w:type="dxa"/>
              <w:right w:w="10" w:type="dxa"/>
            </w:tcMar>
            <w:vAlign w:val="center"/>
          </w:tcPr>
          <w:p w14:paraId="7C051EAB">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5894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3A34B0B2">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679" w:type="dxa"/>
            <w:tcMar>
              <w:top w:w="0" w:type="dxa"/>
              <w:left w:w="10" w:type="dxa"/>
              <w:bottom w:w="0" w:type="dxa"/>
              <w:right w:w="10" w:type="dxa"/>
            </w:tcMar>
            <w:vAlign w:val="center"/>
          </w:tcPr>
          <w:p w14:paraId="126B6486">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2488" w:type="dxa"/>
            <w:tcMar>
              <w:top w:w="0" w:type="dxa"/>
              <w:left w:w="10" w:type="dxa"/>
              <w:bottom w:w="0" w:type="dxa"/>
              <w:right w:w="10" w:type="dxa"/>
            </w:tcMar>
            <w:vAlign w:val="center"/>
          </w:tcPr>
          <w:p w14:paraId="3CFC2393">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3004" w:type="dxa"/>
            <w:tcMar>
              <w:top w:w="0" w:type="dxa"/>
              <w:left w:w="10" w:type="dxa"/>
              <w:bottom w:w="0" w:type="dxa"/>
              <w:right w:w="10" w:type="dxa"/>
            </w:tcMar>
            <w:vAlign w:val="center"/>
          </w:tcPr>
          <w:p w14:paraId="2FED8F67">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01" w:type="dxa"/>
            <w:tcMar>
              <w:top w:w="0" w:type="dxa"/>
              <w:left w:w="10" w:type="dxa"/>
              <w:bottom w:w="0" w:type="dxa"/>
              <w:right w:w="10" w:type="dxa"/>
            </w:tcMar>
            <w:vAlign w:val="center"/>
          </w:tcPr>
          <w:p w14:paraId="47A32375">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3FA7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42AEACE3">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679" w:type="dxa"/>
            <w:tcMar>
              <w:top w:w="0" w:type="dxa"/>
              <w:left w:w="10" w:type="dxa"/>
              <w:bottom w:w="0" w:type="dxa"/>
              <w:right w:w="10" w:type="dxa"/>
            </w:tcMar>
            <w:vAlign w:val="center"/>
          </w:tcPr>
          <w:p w14:paraId="422B45C6">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2488" w:type="dxa"/>
            <w:tcMar>
              <w:top w:w="0" w:type="dxa"/>
              <w:left w:w="10" w:type="dxa"/>
              <w:bottom w:w="0" w:type="dxa"/>
              <w:right w:w="10" w:type="dxa"/>
            </w:tcMar>
            <w:vAlign w:val="center"/>
          </w:tcPr>
          <w:p w14:paraId="11209772">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3004" w:type="dxa"/>
            <w:tcMar>
              <w:top w:w="0" w:type="dxa"/>
              <w:left w:w="10" w:type="dxa"/>
              <w:bottom w:w="0" w:type="dxa"/>
              <w:right w:w="10" w:type="dxa"/>
            </w:tcMar>
            <w:vAlign w:val="center"/>
          </w:tcPr>
          <w:p w14:paraId="2A5EB413">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01" w:type="dxa"/>
            <w:tcMar>
              <w:top w:w="0" w:type="dxa"/>
              <w:left w:w="10" w:type="dxa"/>
              <w:bottom w:w="0" w:type="dxa"/>
              <w:right w:w="10" w:type="dxa"/>
            </w:tcMar>
            <w:vAlign w:val="center"/>
          </w:tcPr>
          <w:p w14:paraId="0E2F1792">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1280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27603ADA">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679" w:type="dxa"/>
            <w:tcMar>
              <w:top w:w="0" w:type="dxa"/>
              <w:left w:w="10" w:type="dxa"/>
              <w:bottom w:w="0" w:type="dxa"/>
              <w:right w:w="10" w:type="dxa"/>
            </w:tcMar>
            <w:vAlign w:val="center"/>
          </w:tcPr>
          <w:p w14:paraId="31BE8F8B">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2488" w:type="dxa"/>
            <w:tcMar>
              <w:top w:w="0" w:type="dxa"/>
              <w:left w:w="10" w:type="dxa"/>
              <w:bottom w:w="0" w:type="dxa"/>
              <w:right w:w="10" w:type="dxa"/>
            </w:tcMar>
            <w:vAlign w:val="center"/>
          </w:tcPr>
          <w:p w14:paraId="769592DF">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3004" w:type="dxa"/>
            <w:tcMar>
              <w:top w:w="0" w:type="dxa"/>
              <w:left w:w="10" w:type="dxa"/>
              <w:bottom w:w="0" w:type="dxa"/>
              <w:right w:w="10" w:type="dxa"/>
            </w:tcMar>
            <w:vAlign w:val="center"/>
          </w:tcPr>
          <w:p w14:paraId="63306ADF">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c>
          <w:tcPr>
            <w:tcW w:w="1201" w:type="dxa"/>
            <w:tcMar>
              <w:top w:w="0" w:type="dxa"/>
              <w:left w:w="10" w:type="dxa"/>
              <w:bottom w:w="0" w:type="dxa"/>
              <w:right w:w="10" w:type="dxa"/>
            </w:tcMar>
            <w:vAlign w:val="center"/>
          </w:tcPr>
          <w:p w14:paraId="5380E293">
            <w:pPr>
              <w:widowControl/>
              <w:spacing w:line="360" w:lineRule="auto"/>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 </w:t>
            </w:r>
          </w:p>
        </w:tc>
      </w:tr>
      <w:tr w14:paraId="3964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792AAB95">
            <w:pPr>
              <w:widowControl/>
              <w:spacing w:line="360" w:lineRule="auto"/>
              <w:jc w:val="center"/>
              <w:rPr>
                <w:rFonts w:hint="eastAsia" w:ascii="宋体" w:hAnsi="宋体" w:cs="宋体"/>
                <w:color w:val="000000" w:themeColor="text1"/>
                <w:kern w:val="0"/>
                <w:szCs w:val="21"/>
              </w:rPr>
            </w:pPr>
          </w:p>
        </w:tc>
        <w:tc>
          <w:tcPr>
            <w:tcW w:w="1679" w:type="dxa"/>
            <w:tcMar>
              <w:top w:w="0" w:type="dxa"/>
              <w:left w:w="10" w:type="dxa"/>
              <w:bottom w:w="0" w:type="dxa"/>
              <w:right w:w="10" w:type="dxa"/>
            </w:tcMar>
            <w:vAlign w:val="center"/>
          </w:tcPr>
          <w:p w14:paraId="750558E1">
            <w:pPr>
              <w:widowControl/>
              <w:spacing w:line="360" w:lineRule="auto"/>
              <w:jc w:val="center"/>
              <w:rPr>
                <w:rFonts w:hint="eastAsia" w:ascii="宋体" w:hAnsi="宋体" w:cs="宋体"/>
                <w:color w:val="000000" w:themeColor="text1"/>
                <w:kern w:val="0"/>
                <w:szCs w:val="21"/>
              </w:rPr>
            </w:pPr>
          </w:p>
        </w:tc>
        <w:tc>
          <w:tcPr>
            <w:tcW w:w="2488" w:type="dxa"/>
            <w:tcMar>
              <w:top w:w="0" w:type="dxa"/>
              <w:left w:w="10" w:type="dxa"/>
              <w:bottom w:w="0" w:type="dxa"/>
              <w:right w:w="10" w:type="dxa"/>
            </w:tcMar>
            <w:vAlign w:val="center"/>
          </w:tcPr>
          <w:p w14:paraId="692FA35A">
            <w:pPr>
              <w:widowControl/>
              <w:spacing w:line="360" w:lineRule="auto"/>
              <w:jc w:val="center"/>
              <w:rPr>
                <w:rFonts w:hint="eastAsia" w:ascii="宋体" w:hAnsi="宋体" w:cs="宋体"/>
                <w:color w:val="000000" w:themeColor="text1"/>
                <w:kern w:val="0"/>
                <w:szCs w:val="21"/>
              </w:rPr>
            </w:pPr>
          </w:p>
        </w:tc>
        <w:tc>
          <w:tcPr>
            <w:tcW w:w="3004" w:type="dxa"/>
            <w:tcMar>
              <w:top w:w="0" w:type="dxa"/>
              <w:left w:w="10" w:type="dxa"/>
              <w:bottom w:w="0" w:type="dxa"/>
              <w:right w:w="10" w:type="dxa"/>
            </w:tcMar>
            <w:vAlign w:val="center"/>
          </w:tcPr>
          <w:p w14:paraId="639A9806">
            <w:pPr>
              <w:widowControl/>
              <w:spacing w:line="360" w:lineRule="auto"/>
              <w:jc w:val="center"/>
              <w:rPr>
                <w:rFonts w:hint="eastAsia" w:ascii="宋体" w:hAnsi="宋体" w:cs="宋体"/>
                <w:color w:val="000000" w:themeColor="text1"/>
                <w:kern w:val="0"/>
                <w:szCs w:val="21"/>
              </w:rPr>
            </w:pPr>
          </w:p>
        </w:tc>
        <w:tc>
          <w:tcPr>
            <w:tcW w:w="1201" w:type="dxa"/>
            <w:tcMar>
              <w:top w:w="0" w:type="dxa"/>
              <w:left w:w="10" w:type="dxa"/>
              <w:bottom w:w="0" w:type="dxa"/>
              <w:right w:w="10" w:type="dxa"/>
            </w:tcMar>
            <w:vAlign w:val="center"/>
          </w:tcPr>
          <w:p w14:paraId="3CC70056">
            <w:pPr>
              <w:widowControl/>
              <w:spacing w:line="360" w:lineRule="auto"/>
              <w:jc w:val="center"/>
              <w:rPr>
                <w:rFonts w:hint="eastAsia" w:ascii="宋体" w:hAnsi="宋体" w:cs="宋体"/>
                <w:color w:val="000000" w:themeColor="text1"/>
                <w:kern w:val="0"/>
                <w:szCs w:val="21"/>
              </w:rPr>
            </w:pPr>
          </w:p>
        </w:tc>
      </w:tr>
      <w:tr w14:paraId="1818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tcMar>
              <w:top w:w="0" w:type="dxa"/>
              <w:left w:w="10" w:type="dxa"/>
              <w:bottom w:w="0" w:type="dxa"/>
              <w:right w:w="10" w:type="dxa"/>
            </w:tcMar>
            <w:vAlign w:val="center"/>
          </w:tcPr>
          <w:p w14:paraId="686BE3A9">
            <w:pPr>
              <w:widowControl/>
              <w:spacing w:line="360" w:lineRule="auto"/>
              <w:jc w:val="center"/>
              <w:rPr>
                <w:rFonts w:hint="eastAsia" w:ascii="宋体" w:hAnsi="宋体" w:cs="宋体"/>
                <w:color w:val="000000" w:themeColor="text1"/>
                <w:kern w:val="0"/>
                <w:szCs w:val="21"/>
              </w:rPr>
            </w:pPr>
          </w:p>
        </w:tc>
        <w:tc>
          <w:tcPr>
            <w:tcW w:w="1679" w:type="dxa"/>
            <w:tcMar>
              <w:top w:w="0" w:type="dxa"/>
              <w:left w:w="10" w:type="dxa"/>
              <w:bottom w:w="0" w:type="dxa"/>
              <w:right w:w="10" w:type="dxa"/>
            </w:tcMar>
            <w:vAlign w:val="center"/>
          </w:tcPr>
          <w:p w14:paraId="0E09C235">
            <w:pPr>
              <w:widowControl/>
              <w:spacing w:line="360" w:lineRule="auto"/>
              <w:jc w:val="center"/>
              <w:rPr>
                <w:rFonts w:hint="eastAsia" w:ascii="宋体" w:hAnsi="宋体" w:cs="宋体"/>
                <w:color w:val="000000" w:themeColor="text1"/>
                <w:kern w:val="0"/>
                <w:szCs w:val="21"/>
              </w:rPr>
            </w:pPr>
          </w:p>
        </w:tc>
        <w:tc>
          <w:tcPr>
            <w:tcW w:w="2488" w:type="dxa"/>
            <w:tcMar>
              <w:top w:w="0" w:type="dxa"/>
              <w:left w:w="10" w:type="dxa"/>
              <w:bottom w:w="0" w:type="dxa"/>
              <w:right w:w="10" w:type="dxa"/>
            </w:tcMar>
            <w:vAlign w:val="center"/>
          </w:tcPr>
          <w:p w14:paraId="276C2FBD">
            <w:pPr>
              <w:widowControl/>
              <w:spacing w:line="360" w:lineRule="auto"/>
              <w:jc w:val="center"/>
              <w:rPr>
                <w:rFonts w:hint="eastAsia" w:ascii="宋体" w:hAnsi="宋体" w:cs="宋体"/>
                <w:color w:val="000000" w:themeColor="text1"/>
                <w:kern w:val="0"/>
                <w:szCs w:val="21"/>
              </w:rPr>
            </w:pPr>
          </w:p>
        </w:tc>
        <w:tc>
          <w:tcPr>
            <w:tcW w:w="3004" w:type="dxa"/>
            <w:tcMar>
              <w:top w:w="0" w:type="dxa"/>
              <w:left w:w="10" w:type="dxa"/>
              <w:bottom w:w="0" w:type="dxa"/>
              <w:right w:w="10" w:type="dxa"/>
            </w:tcMar>
            <w:vAlign w:val="center"/>
          </w:tcPr>
          <w:p w14:paraId="7C70403F">
            <w:pPr>
              <w:widowControl/>
              <w:spacing w:line="360" w:lineRule="auto"/>
              <w:jc w:val="center"/>
              <w:rPr>
                <w:rFonts w:hint="eastAsia" w:ascii="宋体" w:hAnsi="宋体" w:cs="宋体"/>
                <w:color w:val="000000" w:themeColor="text1"/>
                <w:kern w:val="0"/>
                <w:szCs w:val="21"/>
              </w:rPr>
            </w:pPr>
          </w:p>
        </w:tc>
        <w:tc>
          <w:tcPr>
            <w:tcW w:w="1201" w:type="dxa"/>
            <w:tcMar>
              <w:top w:w="0" w:type="dxa"/>
              <w:left w:w="10" w:type="dxa"/>
              <w:bottom w:w="0" w:type="dxa"/>
              <w:right w:w="10" w:type="dxa"/>
            </w:tcMar>
            <w:vAlign w:val="center"/>
          </w:tcPr>
          <w:p w14:paraId="795DA1E0">
            <w:pPr>
              <w:widowControl/>
              <w:spacing w:line="360" w:lineRule="auto"/>
              <w:jc w:val="center"/>
              <w:rPr>
                <w:rFonts w:hint="eastAsia" w:ascii="宋体" w:hAnsi="宋体" w:cs="宋体"/>
                <w:color w:val="000000" w:themeColor="text1"/>
                <w:kern w:val="0"/>
                <w:szCs w:val="21"/>
              </w:rPr>
            </w:pPr>
          </w:p>
        </w:tc>
      </w:tr>
    </w:tbl>
    <w:p w14:paraId="6D759B33">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说明：如果行数不够，请自行增加。</w:t>
      </w:r>
    </w:p>
    <w:p w14:paraId="53CFEFC2">
      <w:pPr>
        <w:widowControl/>
        <w:shd w:val="clear" w:color="auto" w:fill="FFFFFF"/>
        <w:spacing w:line="360" w:lineRule="auto"/>
        <w:ind w:firstLine="430"/>
        <w:jc w:val="left"/>
        <w:rPr>
          <w:rFonts w:ascii="Arial" w:hAnsi="Arial"/>
          <w:color w:val="000000" w:themeColor="text1"/>
          <w:kern w:val="0"/>
          <w:szCs w:val="21"/>
        </w:rPr>
      </w:pPr>
      <w:r>
        <w:rPr>
          <w:rFonts w:ascii="Arial" w:hAnsi="Arial"/>
          <w:color w:val="000000" w:themeColor="text1"/>
          <w:kern w:val="0"/>
          <w:szCs w:val="21"/>
        </w:rPr>
        <w:t>说明：</w:t>
      </w:r>
      <w:r>
        <w:rPr>
          <w:rFonts w:hint="eastAsia" w:ascii="Arial" w:hAnsi="Arial"/>
          <w:color w:val="000000" w:themeColor="text1"/>
          <w:kern w:val="0"/>
          <w:szCs w:val="21"/>
        </w:rPr>
        <w:t>投标文件的商务部分内容响应存在正偏离或负偏离或无偏离的，请在本表中逐条列出。未列出的，视为响应采购文件要求。</w:t>
      </w:r>
      <w:r>
        <w:rPr>
          <w:rFonts w:ascii="Arial" w:hAnsi="Arial"/>
          <w:color w:val="000000" w:themeColor="text1"/>
          <w:kern w:val="0"/>
          <w:szCs w:val="21"/>
        </w:rPr>
        <w:t>如果行数不够，请自行增加。</w:t>
      </w:r>
    </w:p>
    <w:p w14:paraId="6B2DC59B">
      <w:pPr>
        <w:widowControl/>
        <w:shd w:val="clear" w:color="auto" w:fill="FFFFFF"/>
        <w:spacing w:line="360" w:lineRule="auto"/>
        <w:jc w:val="left"/>
        <w:rPr>
          <w:rFonts w:hint="eastAsia" w:ascii="宋体" w:hAnsi="宋体" w:cs="宋体"/>
          <w:color w:val="000000" w:themeColor="text1"/>
          <w:kern w:val="0"/>
          <w:szCs w:val="21"/>
        </w:rPr>
      </w:pPr>
    </w:p>
    <w:p w14:paraId="5602CD3C">
      <w:pPr>
        <w:widowControl/>
        <w:shd w:val="clear" w:color="auto" w:fill="FFFFFF"/>
        <w:spacing w:line="360" w:lineRule="auto"/>
        <w:jc w:val="left"/>
        <w:rPr>
          <w:rFonts w:hint="eastAsia" w:ascii="宋体" w:hAnsi="宋体" w:cs="宋体"/>
          <w:color w:val="000000" w:themeColor="text1"/>
          <w:kern w:val="0"/>
          <w:szCs w:val="21"/>
        </w:rPr>
      </w:pPr>
    </w:p>
    <w:p w14:paraId="44884F70">
      <w:pPr>
        <w:widowControl/>
        <w:shd w:val="clear" w:color="auto" w:fill="FFFFFF"/>
        <w:spacing w:line="360" w:lineRule="auto"/>
        <w:jc w:val="left"/>
        <w:rPr>
          <w:rFonts w:hint="eastAsia" w:ascii="宋体" w:hAnsi="宋体" w:cs="宋体"/>
          <w:color w:val="000000" w:themeColor="text1"/>
          <w:kern w:val="0"/>
          <w:szCs w:val="21"/>
        </w:rPr>
      </w:pPr>
    </w:p>
    <w:p w14:paraId="3C5C50F5">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投标单位（加盖电子公章）：</w:t>
      </w:r>
      <w:r>
        <w:rPr>
          <w:rFonts w:hint="eastAsia" w:ascii="宋体" w:hAnsi="宋体" w:cs="宋体"/>
          <w:color w:val="000000" w:themeColor="text1"/>
          <w:kern w:val="0"/>
          <w:szCs w:val="21"/>
          <w:u w:val="single"/>
        </w:rPr>
        <w:t>                             </w:t>
      </w:r>
    </w:p>
    <w:p w14:paraId="3C9A959B">
      <w:pPr>
        <w:widowControl/>
        <w:shd w:val="clear" w:color="auto" w:fill="FFFFFF"/>
        <w:spacing w:line="360" w:lineRule="auto"/>
        <w:jc w:val="left"/>
        <w:rPr>
          <w:rFonts w:hint="eastAsia" w:ascii="宋体" w:hAnsi="宋体" w:cs="宋体"/>
          <w:color w:val="000000" w:themeColor="text1"/>
          <w:kern w:val="0"/>
          <w:szCs w:val="21"/>
        </w:rPr>
      </w:pPr>
    </w:p>
    <w:p w14:paraId="116A238B">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2FE242DF">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 </w:t>
      </w:r>
    </w:p>
    <w:p w14:paraId="162C2168">
      <w:pPr>
        <w:widowControl/>
        <w:shd w:val="clear" w:color="auto" w:fill="FFFFFF"/>
        <w:spacing w:line="360" w:lineRule="auto"/>
        <w:jc w:val="left"/>
        <w:rPr>
          <w:rFonts w:hint="eastAsia" w:ascii="宋体" w:hAnsi="宋体" w:cs="宋体"/>
          <w:color w:val="000000" w:themeColor="text1"/>
          <w:kern w:val="0"/>
          <w:szCs w:val="21"/>
        </w:rPr>
      </w:pPr>
    </w:p>
    <w:p w14:paraId="360A55B1">
      <w:pPr>
        <w:widowControl/>
        <w:shd w:val="clear" w:color="auto" w:fill="FFFFFF"/>
        <w:spacing w:line="360" w:lineRule="auto"/>
        <w:jc w:val="left"/>
        <w:rPr>
          <w:rFonts w:hint="eastAsia" w:ascii="宋体" w:hAnsi="宋体" w:cs="宋体"/>
          <w:b/>
          <w:color w:val="000000" w:themeColor="text1"/>
          <w:szCs w:val="21"/>
          <w:lang w:val="zh-CN"/>
        </w:rPr>
      </w:pPr>
      <w:r>
        <w:rPr>
          <w:rFonts w:hint="eastAsia" w:ascii="宋体" w:hAnsi="宋体" w:cs="宋体"/>
          <w:b/>
          <w:bCs/>
          <w:color w:val="000000" w:themeColor="text1"/>
          <w:kern w:val="0"/>
          <w:szCs w:val="21"/>
        </w:rPr>
        <w:br w:type="page"/>
      </w:r>
      <w:r>
        <w:rPr>
          <w:rFonts w:hint="eastAsia" w:ascii="宋体" w:hAnsi="宋体" w:cs="宋体"/>
          <w:b/>
          <w:bCs/>
          <w:color w:val="000000" w:themeColor="text1"/>
          <w:kern w:val="0"/>
          <w:szCs w:val="21"/>
        </w:rPr>
        <w:t>附件七、</w:t>
      </w:r>
      <w:r>
        <w:rPr>
          <w:rFonts w:hint="eastAsia" w:ascii="宋体" w:hAnsi="宋体" w:cs="宋体"/>
          <w:b/>
          <w:color w:val="000000" w:themeColor="text1"/>
          <w:szCs w:val="21"/>
          <w:lang w:val="zh-CN"/>
        </w:rPr>
        <w:t>技术说明与服务方案</w:t>
      </w:r>
    </w:p>
    <w:p w14:paraId="45864902">
      <w:pPr>
        <w:widowControl/>
        <w:shd w:val="clear" w:color="auto" w:fill="FFFFFF"/>
        <w:spacing w:line="360" w:lineRule="auto"/>
        <w:jc w:val="left"/>
        <w:rPr>
          <w:rFonts w:hint="eastAsia" w:ascii="宋体" w:hAnsi="宋体" w:cs="宋体"/>
          <w:b/>
          <w:color w:val="000000" w:themeColor="text1"/>
          <w:szCs w:val="21"/>
          <w:lang w:val="zh-CN"/>
        </w:rPr>
      </w:pPr>
    </w:p>
    <w:p w14:paraId="4BABA62C">
      <w:pPr>
        <w:pStyle w:val="190"/>
        <w:snapToGrid w:val="0"/>
        <w:spacing w:before="0" w:after="0"/>
        <w:ind w:firstLine="0"/>
        <w:rPr>
          <w:rFonts w:hint="eastAsia" w:ascii="宋体" w:hAnsi="宋体" w:cs="宋体"/>
          <w:color w:val="000000" w:themeColor="text1"/>
          <w:kern w:val="2"/>
          <w:sz w:val="21"/>
          <w:szCs w:val="21"/>
        </w:rPr>
      </w:pPr>
      <w:r>
        <w:rPr>
          <w:rFonts w:hint="eastAsia" w:ascii="宋体" w:hAnsi="宋体" w:cs="宋体"/>
          <w:color w:val="000000" w:themeColor="text1"/>
          <w:kern w:val="2"/>
          <w:sz w:val="21"/>
          <w:szCs w:val="21"/>
        </w:rPr>
        <w:t>技术方案及服务承诺应根据招标人对项目的要求、评标标准的要求及项目本身的特点编写。</w:t>
      </w:r>
    </w:p>
    <w:p w14:paraId="1312B4AA">
      <w:pPr>
        <w:widowControl/>
        <w:shd w:val="clear" w:color="auto" w:fill="FFFFFF"/>
        <w:spacing w:line="360" w:lineRule="auto"/>
        <w:jc w:val="left"/>
        <w:rPr>
          <w:rFonts w:hint="eastAsia" w:ascii="宋体" w:hAnsi="宋体" w:cs="宋体"/>
          <w:b/>
          <w:bCs/>
          <w:color w:val="000000" w:themeColor="text1"/>
          <w:kern w:val="0"/>
          <w:szCs w:val="21"/>
        </w:rPr>
      </w:pPr>
      <w:r>
        <w:rPr>
          <w:rFonts w:hint="eastAsia" w:ascii="宋体" w:hAnsi="宋体" w:cs="宋体"/>
          <w:b/>
          <w:bCs/>
          <w:color w:val="000000" w:themeColor="text1"/>
          <w:kern w:val="0"/>
          <w:szCs w:val="21"/>
        </w:rPr>
        <w:t> </w:t>
      </w:r>
    </w:p>
    <w:p w14:paraId="195575A2">
      <w:pPr>
        <w:widowControl/>
        <w:adjustRightInd w:val="0"/>
        <w:spacing w:line="460" w:lineRule="atLeast"/>
        <w:rPr>
          <w:rFonts w:hint="eastAsia" w:ascii="宋体" w:hAnsi="宋体" w:cs="宋体"/>
          <w:b/>
          <w:bCs/>
          <w:color w:val="000000" w:themeColor="text1"/>
          <w:kern w:val="0"/>
          <w:sz w:val="24"/>
        </w:rPr>
      </w:pPr>
      <w:r>
        <w:rPr>
          <w:rFonts w:hint="eastAsia" w:ascii="宋体" w:hAnsi="宋体" w:cs="宋体"/>
          <w:color w:val="000000" w:themeColor="text1"/>
        </w:rPr>
        <w:br w:type="page"/>
      </w:r>
      <w:r>
        <w:rPr>
          <w:rFonts w:hint="eastAsia" w:ascii="宋体" w:hAnsi="宋体" w:cs="宋体"/>
          <w:b/>
          <w:bCs/>
          <w:color w:val="000000" w:themeColor="text1"/>
          <w:kern w:val="0"/>
          <w:sz w:val="24"/>
        </w:rPr>
        <w:t>附件八、 投标人类似业绩情况表</w:t>
      </w:r>
    </w:p>
    <w:p w14:paraId="7E8E866A">
      <w:pPr>
        <w:widowControl/>
        <w:adjustRightInd w:val="0"/>
        <w:spacing w:line="360" w:lineRule="auto"/>
        <w:jc w:val="center"/>
        <w:rPr>
          <w:rFonts w:hint="eastAsia" w:ascii="宋体" w:hAnsi="宋体" w:cs="宋体"/>
          <w:b/>
          <w:bCs/>
          <w:color w:val="000000" w:themeColor="text1"/>
          <w:kern w:val="0"/>
          <w:sz w:val="24"/>
        </w:rPr>
      </w:pPr>
    </w:p>
    <w:p w14:paraId="3CC7840C">
      <w:pPr>
        <w:widowControl/>
        <w:adjustRightInd w:val="0"/>
        <w:spacing w:line="360" w:lineRule="auto"/>
        <w:jc w:val="center"/>
        <w:rPr>
          <w:rFonts w:hint="eastAsia" w:ascii="宋体" w:hAnsi="宋体" w:cs="宋体"/>
          <w:b/>
          <w:bCs/>
          <w:color w:val="000000" w:themeColor="text1"/>
          <w:kern w:val="0"/>
          <w:sz w:val="24"/>
        </w:rPr>
      </w:pPr>
      <w:r>
        <w:rPr>
          <w:rFonts w:hint="eastAsia" w:ascii="宋体" w:hAnsi="宋体" w:cs="宋体"/>
          <w:b/>
          <w:bCs/>
          <w:color w:val="000000" w:themeColor="text1"/>
          <w:kern w:val="0"/>
          <w:sz w:val="24"/>
        </w:rPr>
        <w:t>投标人类似业绩情况表</w:t>
      </w:r>
    </w:p>
    <w:tbl>
      <w:tblPr>
        <w:tblStyle w:val="45"/>
        <w:tblW w:w="8336" w:type="dxa"/>
        <w:jc w:val="center"/>
        <w:tblLayout w:type="fixed"/>
        <w:tblCellMar>
          <w:top w:w="0" w:type="dxa"/>
          <w:left w:w="108" w:type="dxa"/>
          <w:bottom w:w="0" w:type="dxa"/>
          <w:right w:w="108" w:type="dxa"/>
        </w:tblCellMar>
      </w:tblPr>
      <w:tblGrid>
        <w:gridCol w:w="682"/>
        <w:gridCol w:w="1559"/>
        <w:gridCol w:w="1418"/>
        <w:gridCol w:w="992"/>
        <w:gridCol w:w="1034"/>
        <w:gridCol w:w="1517"/>
        <w:gridCol w:w="1134"/>
      </w:tblGrid>
      <w:tr w14:paraId="41B2A30D">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4D219DCB">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序号</w:t>
            </w:r>
          </w:p>
        </w:tc>
        <w:tc>
          <w:tcPr>
            <w:tcW w:w="1559" w:type="dxa"/>
            <w:tcBorders>
              <w:top w:val="single" w:color="000000" w:sz="4" w:space="0"/>
              <w:left w:val="nil"/>
              <w:bottom w:val="single" w:color="000000" w:sz="4" w:space="0"/>
              <w:right w:val="single" w:color="000000" w:sz="4" w:space="0"/>
            </w:tcBorders>
            <w:vAlign w:val="center"/>
          </w:tcPr>
          <w:p w14:paraId="1DAF61FE">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项目名称</w:t>
            </w:r>
          </w:p>
        </w:tc>
        <w:tc>
          <w:tcPr>
            <w:tcW w:w="1418" w:type="dxa"/>
            <w:tcBorders>
              <w:top w:val="single" w:color="000000" w:sz="4" w:space="0"/>
              <w:left w:val="nil"/>
              <w:bottom w:val="single" w:color="000000" w:sz="4" w:space="0"/>
              <w:right w:val="single" w:color="000000" w:sz="4" w:space="0"/>
            </w:tcBorders>
            <w:vAlign w:val="center"/>
          </w:tcPr>
          <w:p w14:paraId="6C4F20AB">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业主单位</w:t>
            </w:r>
          </w:p>
        </w:tc>
        <w:tc>
          <w:tcPr>
            <w:tcW w:w="992" w:type="dxa"/>
            <w:tcBorders>
              <w:top w:val="single" w:color="000000" w:sz="4" w:space="0"/>
              <w:left w:val="nil"/>
              <w:bottom w:val="single" w:color="000000" w:sz="4" w:space="0"/>
              <w:right w:val="single" w:color="000000" w:sz="4" w:space="0"/>
            </w:tcBorders>
            <w:vAlign w:val="center"/>
          </w:tcPr>
          <w:p w14:paraId="32A52055">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项目</w:t>
            </w:r>
          </w:p>
          <w:p w14:paraId="03D6190D">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规模</w:t>
            </w:r>
          </w:p>
        </w:tc>
        <w:tc>
          <w:tcPr>
            <w:tcW w:w="1034" w:type="dxa"/>
            <w:tcBorders>
              <w:top w:val="single" w:color="000000" w:sz="4" w:space="0"/>
              <w:left w:val="nil"/>
              <w:bottom w:val="single" w:color="000000" w:sz="4" w:space="0"/>
              <w:right w:val="single" w:color="000000" w:sz="4" w:space="0"/>
            </w:tcBorders>
            <w:vAlign w:val="center"/>
          </w:tcPr>
          <w:p w14:paraId="478BB5BA">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获奖</w:t>
            </w:r>
          </w:p>
          <w:p w14:paraId="55C78EA4">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情况</w:t>
            </w:r>
          </w:p>
        </w:tc>
        <w:tc>
          <w:tcPr>
            <w:tcW w:w="1517" w:type="dxa"/>
            <w:tcBorders>
              <w:top w:val="single" w:color="000000" w:sz="4" w:space="0"/>
              <w:left w:val="nil"/>
              <w:bottom w:val="single" w:color="000000" w:sz="4" w:space="0"/>
              <w:right w:val="single" w:color="000000" w:sz="4" w:space="0"/>
            </w:tcBorders>
          </w:tcPr>
          <w:p w14:paraId="63B7FCE6">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签约及服务</w:t>
            </w:r>
          </w:p>
          <w:p w14:paraId="246DDCCC">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时间</w:t>
            </w:r>
          </w:p>
        </w:tc>
        <w:tc>
          <w:tcPr>
            <w:tcW w:w="1134" w:type="dxa"/>
            <w:tcBorders>
              <w:top w:val="single" w:color="000000" w:sz="4" w:space="0"/>
              <w:left w:val="nil"/>
              <w:bottom w:val="single" w:color="000000" w:sz="4" w:space="0"/>
              <w:right w:val="single" w:color="000000" w:sz="4" w:space="0"/>
            </w:tcBorders>
          </w:tcPr>
          <w:p w14:paraId="25BC3E66">
            <w:pPr>
              <w:widowControl/>
              <w:spacing w:line="400" w:lineRule="atLeast"/>
              <w:jc w:val="center"/>
              <w:rPr>
                <w:rFonts w:hint="eastAsia" w:ascii="宋体" w:hAnsi="宋体" w:cs="宋体"/>
                <w:color w:val="000000" w:themeColor="text1"/>
                <w:kern w:val="0"/>
                <w:szCs w:val="21"/>
              </w:rPr>
            </w:pPr>
            <w:r>
              <w:rPr>
                <w:rFonts w:hint="eastAsia" w:ascii="宋体" w:hAnsi="宋体" w:cs="宋体"/>
                <w:color w:val="000000" w:themeColor="text1"/>
                <w:kern w:val="0"/>
                <w:szCs w:val="21"/>
              </w:rPr>
              <w:t>备注</w:t>
            </w:r>
          </w:p>
        </w:tc>
      </w:tr>
      <w:tr w14:paraId="4C9D7332">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7D25F4F2">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3432F634">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221C0056">
            <w:pPr>
              <w:widowControl/>
              <w:spacing w:line="400" w:lineRule="atLeast"/>
              <w:ind w:firstLine="120"/>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274595BF">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338E8433">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7D725AC3">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2710DA8F">
            <w:pPr>
              <w:widowControl/>
              <w:spacing w:line="400" w:lineRule="atLeast"/>
              <w:jc w:val="center"/>
              <w:rPr>
                <w:rFonts w:hint="eastAsia" w:ascii="宋体" w:hAnsi="宋体" w:cs="宋体"/>
                <w:color w:val="000000" w:themeColor="text1"/>
                <w:kern w:val="0"/>
                <w:szCs w:val="21"/>
              </w:rPr>
            </w:pPr>
          </w:p>
        </w:tc>
      </w:tr>
      <w:tr w14:paraId="6921CE41">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4F59176F">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27E4E819">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13A8DAB4">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4FDAFA24">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1EBB0D3F">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08F7FF62">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2D0D0FBF">
            <w:pPr>
              <w:widowControl/>
              <w:spacing w:line="400" w:lineRule="atLeast"/>
              <w:jc w:val="center"/>
              <w:rPr>
                <w:rFonts w:hint="eastAsia" w:ascii="宋体" w:hAnsi="宋体" w:cs="宋体"/>
                <w:color w:val="000000" w:themeColor="text1"/>
                <w:kern w:val="0"/>
                <w:szCs w:val="21"/>
              </w:rPr>
            </w:pPr>
          </w:p>
        </w:tc>
      </w:tr>
      <w:tr w14:paraId="39F05CB4">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50F27279">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001E6427">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28F4D7A1">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5400FC74">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44E1C283">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23EFE34C">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44EFADEE">
            <w:pPr>
              <w:widowControl/>
              <w:spacing w:line="400" w:lineRule="atLeast"/>
              <w:jc w:val="center"/>
              <w:rPr>
                <w:rFonts w:hint="eastAsia" w:ascii="宋体" w:hAnsi="宋体" w:cs="宋体"/>
                <w:color w:val="000000" w:themeColor="text1"/>
                <w:kern w:val="0"/>
                <w:szCs w:val="21"/>
              </w:rPr>
            </w:pPr>
          </w:p>
        </w:tc>
      </w:tr>
      <w:tr w14:paraId="09590F41">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552125AE">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73AF5834">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28D7B47C">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7633BA9B">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398ACA0A">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1C75B3AF">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6A7AF014">
            <w:pPr>
              <w:widowControl/>
              <w:spacing w:line="400" w:lineRule="atLeast"/>
              <w:jc w:val="center"/>
              <w:rPr>
                <w:rFonts w:hint="eastAsia" w:ascii="宋体" w:hAnsi="宋体" w:cs="宋体"/>
                <w:color w:val="000000" w:themeColor="text1"/>
                <w:kern w:val="0"/>
                <w:szCs w:val="21"/>
              </w:rPr>
            </w:pPr>
          </w:p>
        </w:tc>
      </w:tr>
      <w:tr w14:paraId="2BDCE1D4">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38AAD7E0">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0D288D1C">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67BA31C1">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6D1396FF">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2394A555">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1897688D">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0392A552">
            <w:pPr>
              <w:widowControl/>
              <w:spacing w:line="400" w:lineRule="atLeast"/>
              <w:jc w:val="center"/>
              <w:rPr>
                <w:rFonts w:hint="eastAsia" w:ascii="宋体" w:hAnsi="宋体" w:cs="宋体"/>
                <w:color w:val="000000" w:themeColor="text1"/>
                <w:kern w:val="0"/>
                <w:szCs w:val="21"/>
              </w:rPr>
            </w:pPr>
          </w:p>
        </w:tc>
      </w:tr>
      <w:tr w14:paraId="3FB1896F">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53D04DD8">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79472A69">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3A330145">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51C4891C">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7BCCD73A">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7C69C706">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0105343C">
            <w:pPr>
              <w:widowControl/>
              <w:spacing w:line="400" w:lineRule="atLeast"/>
              <w:jc w:val="center"/>
              <w:rPr>
                <w:rFonts w:hint="eastAsia" w:ascii="宋体" w:hAnsi="宋体" w:cs="宋体"/>
                <w:color w:val="000000" w:themeColor="text1"/>
                <w:kern w:val="0"/>
                <w:szCs w:val="21"/>
              </w:rPr>
            </w:pPr>
          </w:p>
        </w:tc>
      </w:tr>
      <w:tr w14:paraId="3813B90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18F2448A">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213C1F94">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1A942225">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3FEEB3D1">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4375329D">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02239B23">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2B0348FC">
            <w:pPr>
              <w:widowControl/>
              <w:spacing w:line="400" w:lineRule="atLeast"/>
              <w:jc w:val="center"/>
              <w:rPr>
                <w:rFonts w:hint="eastAsia" w:ascii="宋体" w:hAnsi="宋体" w:cs="宋体"/>
                <w:color w:val="000000" w:themeColor="text1"/>
                <w:kern w:val="0"/>
                <w:szCs w:val="21"/>
              </w:rPr>
            </w:pPr>
          </w:p>
        </w:tc>
      </w:tr>
      <w:tr w14:paraId="4D5CB270">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67AE04FA">
            <w:pPr>
              <w:widowControl/>
              <w:spacing w:line="400" w:lineRule="atLeast"/>
              <w:jc w:val="center"/>
              <w:rPr>
                <w:rFonts w:hint="eastAsia" w:ascii="宋体" w:hAnsi="宋体" w:cs="宋体"/>
                <w:color w:val="000000" w:themeColor="text1"/>
                <w:kern w:val="0"/>
                <w:szCs w:val="21"/>
              </w:rPr>
            </w:pPr>
          </w:p>
        </w:tc>
        <w:tc>
          <w:tcPr>
            <w:tcW w:w="1559" w:type="dxa"/>
            <w:tcBorders>
              <w:top w:val="single" w:color="000000" w:sz="4" w:space="0"/>
              <w:left w:val="nil"/>
              <w:bottom w:val="single" w:color="000000" w:sz="4" w:space="0"/>
              <w:right w:val="single" w:color="000000" w:sz="4" w:space="0"/>
            </w:tcBorders>
          </w:tcPr>
          <w:p w14:paraId="1A01D6F2">
            <w:pPr>
              <w:widowControl/>
              <w:spacing w:line="400" w:lineRule="atLeast"/>
              <w:jc w:val="center"/>
              <w:rPr>
                <w:rFonts w:hint="eastAsia" w:ascii="宋体" w:hAnsi="宋体" w:cs="宋体"/>
                <w:color w:val="000000" w:themeColor="text1"/>
                <w:kern w:val="0"/>
                <w:szCs w:val="21"/>
              </w:rPr>
            </w:pPr>
          </w:p>
        </w:tc>
        <w:tc>
          <w:tcPr>
            <w:tcW w:w="1418" w:type="dxa"/>
            <w:tcBorders>
              <w:top w:val="single" w:color="000000" w:sz="4" w:space="0"/>
              <w:left w:val="nil"/>
              <w:bottom w:val="single" w:color="000000" w:sz="4" w:space="0"/>
              <w:right w:val="single" w:color="000000" w:sz="4" w:space="0"/>
            </w:tcBorders>
          </w:tcPr>
          <w:p w14:paraId="539FB983">
            <w:pPr>
              <w:widowControl/>
              <w:spacing w:line="400" w:lineRule="atLeast"/>
              <w:jc w:val="center"/>
              <w:rPr>
                <w:rFonts w:hint="eastAsia" w:ascii="宋体" w:hAnsi="宋体" w:cs="宋体"/>
                <w:color w:val="000000" w:themeColor="text1"/>
                <w:kern w:val="0"/>
                <w:szCs w:val="21"/>
              </w:rPr>
            </w:pPr>
          </w:p>
        </w:tc>
        <w:tc>
          <w:tcPr>
            <w:tcW w:w="992" w:type="dxa"/>
            <w:tcBorders>
              <w:top w:val="single" w:color="000000" w:sz="4" w:space="0"/>
              <w:left w:val="nil"/>
              <w:bottom w:val="single" w:color="000000" w:sz="4" w:space="0"/>
              <w:right w:val="single" w:color="000000" w:sz="4" w:space="0"/>
            </w:tcBorders>
          </w:tcPr>
          <w:p w14:paraId="319CA7E3">
            <w:pPr>
              <w:widowControl/>
              <w:spacing w:line="400" w:lineRule="atLeast"/>
              <w:jc w:val="center"/>
              <w:rPr>
                <w:rFonts w:hint="eastAsia" w:ascii="宋体" w:hAnsi="宋体" w:cs="宋体"/>
                <w:color w:val="000000" w:themeColor="text1"/>
                <w:kern w:val="0"/>
                <w:szCs w:val="21"/>
              </w:rPr>
            </w:pPr>
          </w:p>
        </w:tc>
        <w:tc>
          <w:tcPr>
            <w:tcW w:w="1034" w:type="dxa"/>
            <w:tcBorders>
              <w:top w:val="single" w:color="000000" w:sz="4" w:space="0"/>
              <w:left w:val="nil"/>
              <w:bottom w:val="single" w:color="000000" w:sz="4" w:space="0"/>
              <w:right w:val="single" w:color="000000" w:sz="4" w:space="0"/>
            </w:tcBorders>
          </w:tcPr>
          <w:p w14:paraId="61E18C60">
            <w:pPr>
              <w:widowControl/>
              <w:spacing w:line="400" w:lineRule="atLeast"/>
              <w:jc w:val="center"/>
              <w:rPr>
                <w:rFonts w:hint="eastAsia" w:ascii="宋体" w:hAnsi="宋体" w:cs="宋体"/>
                <w:color w:val="000000" w:themeColor="text1"/>
                <w:kern w:val="0"/>
                <w:szCs w:val="21"/>
              </w:rPr>
            </w:pPr>
          </w:p>
        </w:tc>
        <w:tc>
          <w:tcPr>
            <w:tcW w:w="1517" w:type="dxa"/>
            <w:tcBorders>
              <w:top w:val="single" w:color="000000" w:sz="4" w:space="0"/>
              <w:left w:val="nil"/>
              <w:bottom w:val="single" w:color="000000" w:sz="4" w:space="0"/>
              <w:right w:val="single" w:color="000000" w:sz="4" w:space="0"/>
            </w:tcBorders>
          </w:tcPr>
          <w:p w14:paraId="24D321B5">
            <w:pPr>
              <w:widowControl/>
              <w:spacing w:line="400" w:lineRule="atLeast"/>
              <w:jc w:val="center"/>
              <w:rPr>
                <w:rFonts w:hint="eastAsia" w:ascii="宋体" w:hAnsi="宋体" w:cs="宋体"/>
                <w:color w:val="000000" w:themeColor="text1"/>
                <w:kern w:val="0"/>
                <w:szCs w:val="21"/>
              </w:rPr>
            </w:pPr>
          </w:p>
        </w:tc>
        <w:tc>
          <w:tcPr>
            <w:tcW w:w="1134" w:type="dxa"/>
            <w:tcBorders>
              <w:top w:val="single" w:color="000000" w:sz="4" w:space="0"/>
              <w:left w:val="nil"/>
              <w:bottom w:val="single" w:color="000000" w:sz="4" w:space="0"/>
              <w:right w:val="single" w:color="000000" w:sz="4" w:space="0"/>
            </w:tcBorders>
          </w:tcPr>
          <w:p w14:paraId="52C0E6A2">
            <w:pPr>
              <w:widowControl/>
              <w:spacing w:line="400" w:lineRule="atLeast"/>
              <w:jc w:val="center"/>
              <w:rPr>
                <w:rFonts w:hint="eastAsia" w:ascii="宋体" w:hAnsi="宋体" w:cs="宋体"/>
                <w:color w:val="000000" w:themeColor="text1"/>
                <w:kern w:val="0"/>
                <w:szCs w:val="21"/>
              </w:rPr>
            </w:pPr>
          </w:p>
        </w:tc>
      </w:tr>
    </w:tbl>
    <w:p w14:paraId="78364781">
      <w:pPr>
        <w:widowControl/>
        <w:shd w:val="clear" w:color="auto" w:fill="FFFFFF"/>
        <w:spacing w:line="360" w:lineRule="auto"/>
        <w:jc w:val="left"/>
        <w:rPr>
          <w:rFonts w:hint="eastAsia" w:ascii="宋体" w:hAnsi="宋体" w:cs="宋体"/>
          <w:color w:val="000000" w:themeColor="text1"/>
          <w:kern w:val="0"/>
          <w:szCs w:val="21"/>
        </w:rPr>
      </w:pPr>
      <w:r>
        <w:rPr>
          <w:rFonts w:hint="eastAsia" w:ascii="宋体" w:hAnsi="宋体" w:cs="宋体"/>
          <w:color w:val="000000" w:themeColor="text1"/>
          <w:kern w:val="0"/>
          <w:szCs w:val="21"/>
        </w:rPr>
        <w:t>投标单位（加盖电子公章）：</w:t>
      </w:r>
      <w:r>
        <w:rPr>
          <w:rFonts w:hint="eastAsia" w:ascii="宋体" w:hAnsi="宋体" w:cs="宋体"/>
          <w:color w:val="000000" w:themeColor="text1"/>
          <w:kern w:val="0"/>
          <w:szCs w:val="21"/>
          <w:u w:val="single"/>
        </w:rPr>
        <w:t>                             </w:t>
      </w:r>
    </w:p>
    <w:p w14:paraId="55621161">
      <w:pPr>
        <w:widowControl/>
        <w:adjustRightInd w:val="0"/>
        <w:spacing w:line="360" w:lineRule="auto"/>
        <w:rPr>
          <w:rFonts w:hint="eastAsia" w:ascii="宋体" w:hAnsi="宋体" w:cs="宋体"/>
          <w:b/>
          <w:bCs/>
          <w:color w:val="000000" w:themeColor="text1"/>
          <w:kern w:val="0"/>
          <w:szCs w:val="21"/>
        </w:rPr>
      </w:pPr>
    </w:p>
    <w:p w14:paraId="2E419746">
      <w:pPr>
        <w:rPr>
          <w:rFonts w:hint="eastAsia" w:ascii="宋体" w:hAnsi="宋体" w:cs="宋体"/>
          <w:b/>
          <w:color w:val="000000" w:themeColor="text1"/>
        </w:rPr>
      </w:pPr>
    </w:p>
    <w:p w14:paraId="25551486">
      <w:pPr>
        <w:rPr>
          <w:rFonts w:hint="eastAsia" w:ascii="宋体" w:hAnsi="宋体" w:cs="宋体"/>
          <w:b/>
          <w:color w:val="000000" w:themeColor="text1"/>
        </w:rPr>
      </w:pPr>
    </w:p>
    <w:p w14:paraId="4C012615">
      <w:pPr>
        <w:rPr>
          <w:rFonts w:hint="eastAsia" w:ascii="宋体" w:hAnsi="宋体" w:cs="宋体"/>
          <w:b/>
          <w:color w:val="000000" w:themeColor="text1"/>
        </w:rPr>
      </w:pPr>
    </w:p>
    <w:p w14:paraId="631EBF74">
      <w:pPr>
        <w:rPr>
          <w:rFonts w:hint="eastAsia" w:ascii="宋体" w:hAnsi="宋体" w:cs="宋体"/>
          <w:b/>
          <w:color w:val="000000" w:themeColor="text1"/>
        </w:rPr>
      </w:pPr>
    </w:p>
    <w:p w14:paraId="2DA3BE73">
      <w:pPr>
        <w:rPr>
          <w:rFonts w:hint="eastAsia" w:ascii="宋体" w:hAnsi="宋体" w:cs="宋体"/>
          <w:b/>
          <w:color w:val="000000" w:themeColor="text1"/>
        </w:rPr>
      </w:pPr>
    </w:p>
    <w:p w14:paraId="7DCE1E89">
      <w:pPr>
        <w:rPr>
          <w:rFonts w:hint="eastAsia" w:ascii="宋体" w:hAnsi="宋体" w:cs="宋体"/>
          <w:b/>
          <w:color w:val="000000" w:themeColor="text1"/>
        </w:rPr>
      </w:pPr>
    </w:p>
    <w:p w14:paraId="67766906">
      <w:pPr>
        <w:rPr>
          <w:rFonts w:hint="eastAsia" w:ascii="宋体" w:hAnsi="宋体" w:cs="宋体"/>
          <w:b/>
          <w:color w:val="000000" w:themeColor="text1"/>
        </w:rPr>
      </w:pPr>
    </w:p>
    <w:p w14:paraId="44A803BD">
      <w:pPr>
        <w:rPr>
          <w:rFonts w:hint="eastAsia" w:ascii="宋体" w:hAnsi="宋体" w:cs="宋体"/>
          <w:b/>
          <w:color w:val="000000" w:themeColor="text1"/>
        </w:rPr>
      </w:pPr>
    </w:p>
    <w:p w14:paraId="7CA44D76">
      <w:pPr>
        <w:rPr>
          <w:rFonts w:hint="eastAsia" w:ascii="宋体" w:hAnsi="宋体" w:cs="宋体"/>
          <w:b/>
          <w:color w:val="000000" w:themeColor="text1"/>
        </w:rPr>
      </w:pPr>
    </w:p>
    <w:p w14:paraId="463CA5F9">
      <w:pPr>
        <w:rPr>
          <w:rFonts w:hint="eastAsia" w:ascii="宋体" w:hAnsi="宋体" w:cs="宋体"/>
          <w:b/>
          <w:color w:val="000000" w:themeColor="text1"/>
        </w:rPr>
      </w:pPr>
    </w:p>
    <w:p w14:paraId="1FB80FE9">
      <w:pPr>
        <w:rPr>
          <w:rFonts w:hint="eastAsia" w:ascii="宋体" w:hAnsi="宋体" w:cs="宋体"/>
          <w:b/>
          <w:color w:val="000000" w:themeColor="text1"/>
        </w:rPr>
      </w:pPr>
    </w:p>
    <w:p w14:paraId="734717F0">
      <w:pPr>
        <w:rPr>
          <w:rFonts w:hint="eastAsia" w:ascii="宋体" w:hAnsi="宋体" w:cs="宋体"/>
          <w:b/>
          <w:color w:val="000000" w:themeColor="text1"/>
        </w:rPr>
      </w:pPr>
    </w:p>
    <w:p w14:paraId="096E382B">
      <w:pPr>
        <w:rPr>
          <w:rFonts w:hint="eastAsia" w:ascii="宋体" w:hAnsi="宋体" w:cs="宋体"/>
          <w:b/>
          <w:color w:val="000000" w:themeColor="text1"/>
        </w:rPr>
      </w:pPr>
    </w:p>
    <w:p w14:paraId="646D8556">
      <w:pPr>
        <w:rPr>
          <w:rFonts w:hint="eastAsia" w:ascii="宋体" w:hAnsi="宋体" w:cs="宋体"/>
          <w:b/>
          <w:color w:val="000000" w:themeColor="text1"/>
        </w:rPr>
      </w:pPr>
    </w:p>
    <w:p w14:paraId="58A12B87">
      <w:pPr>
        <w:rPr>
          <w:rFonts w:hint="eastAsia" w:ascii="宋体" w:hAnsi="宋体" w:cs="宋体"/>
          <w:b/>
          <w:color w:val="000000" w:themeColor="text1"/>
        </w:rPr>
      </w:pPr>
    </w:p>
    <w:p w14:paraId="3A0FBA7A">
      <w:pPr>
        <w:rPr>
          <w:rFonts w:hint="eastAsia" w:ascii="宋体" w:hAnsi="宋体" w:cs="宋体"/>
          <w:b/>
          <w:color w:val="000000" w:themeColor="text1"/>
        </w:rPr>
      </w:pPr>
    </w:p>
    <w:p w14:paraId="0871AB65">
      <w:pPr>
        <w:rPr>
          <w:rFonts w:hint="eastAsia" w:ascii="宋体" w:hAnsi="宋体" w:cs="宋体"/>
          <w:b/>
          <w:color w:val="000000" w:themeColor="text1"/>
        </w:rPr>
      </w:pPr>
    </w:p>
    <w:p w14:paraId="0BC909B3">
      <w:pPr>
        <w:rPr>
          <w:rFonts w:hint="eastAsia" w:ascii="宋体" w:hAnsi="宋体" w:cs="宋体"/>
          <w:b/>
          <w:color w:val="000000" w:themeColor="text1"/>
        </w:rPr>
      </w:pPr>
    </w:p>
    <w:p w14:paraId="3A85E0DC">
      <w:pPr>
        <w:rPr>
          <w:rFonts w:hint="eastAsia" w:ascii="宋体" w:hAnsi="宋体" w:cs="宋体"/>
          <w:b/>
          <w:color w:val="000000" w:themeColor="text1"/>
        </w:rPr>
      </w:pPr>
    </w:p>
    <w:p w14:paraId="3D1020AE">
      <w:pPr>
        <w:rPr>
          <w:rFonts w:hint="eastAsia" w:ascii="宋体" w:hAnsi="宋体" w:cs="宋体"/>
          <w:b/>
          <w:color w:val="000000" w:themeColor="text1"/>
        </w:rPr>
      </w:pPr>
    </w:p>
    <w:p w14:paraId="2EC27500">
      <w:pPr>
        <w:rPr>
          <w:rFonts w:hint="eastAsia" w:ascii="宋体" w:hAnsi="宋体" w:cs="宋体"/>
          <w:b/>
          <w:color w:val="000000" w:themeColor="text1"/>
        </w:rPr>
      </w:pPr>
    </w:p>
    <w:p w14:paraId="750F46E8">
      <w:pPr>
        <w:spacing w:line="360" w:lineRule="auto"/>
        <w:rPr>
          <w:rFonts w:hint="eastAsia" w:ascii="宋体" w:hAnsi="宋体" w:cs="宋体"/>
          <w:b/>
          <w:color w:val="000000" w:themeColor="text1"/>
        </w:rPr>
        <w:sectPr>
          <w:pgSz w:w="11906" w:h="16838"/>
          <w:pgMar w:top="1417" w:right="1417" w:bottom="1417" w:left="1417" w:header="851" w:footer="992" w:gutter="0"/>
          <w:cols w:space="720" w:num="1"/>
          <w:titlePg/>
          <w:docGrid w:type="lines" w:linePitch="312" w:charSpace="0"/>
        </w:sectPr>
      </w:pPr>
    </w:p>
    <w:p w14:paraId="66201E2D">
      <w:pPr>
        <w:spacing w:line="360" w:lineRule="auto"/>
        <w:rPr>
          <w:rFonts w:hint="eastAsia" w:ascii="宋体" w:hAnsi="宋体" w:cs="宋体"/>
          <w:b/>
          <w:bCs/>
          <w:color w:val="000000" w:themeColor="text1"/>
        </w:rPr>
      </w:pPr>
      <w:r>
        <w:rPr>
          <w:rFonts w:hint="eastAsia" w:ascii="宋体" w:hAnsi="宋体" w:cs="宋体"/>
          <w:b/>
          <w:color w:val="000000" w:themeColor="text1"/>
        </w:rPr>
        <w:t>附件九</w:t>
      </w:r>
      <w:r>
        <w:rPr>
          <w:rFonts w:hint="eastAsia" w:ascii="宋体" w:hAnsi="宋体" w:cs="宋体"/>
          <w:b/>
          <w:bCs/>
          <w:color w:val="000000" w:themeColor="text1"/>
        </w:rPr>
        <w:t>企业声明函格式</w:t>
      </w:r>
    </w:p>
    <w:p w14:paraId="793293C3">
      <w:pPr>
        <w:spacing w:before="312" w:beforeLines="100" w:after="312" w:afterLines="100" w:line="480" w:lineRule="auto"/>
        <w:jc w:val="center"/>
        <w:rPr>
          <w:rFonts w:hint="eastAsia" w:ascii="宋体" w:hAnsi="宋体" w:cs="宋体"/>
          <w:b/>
          <w:bCs/>
          <w:color w:val="000000" w:themeColor="text1"/>
          <w:sz w:val="28"/>
          <w:szCs w:val="28"/>
        </w:rPr>
      </w:pPr>
      <w:bookmarkStart w:id="54" w:name="OLE_LINK13"/>
      <w:bookmarkStart w:id="55" w:name="OLE_LINK14"/>
      <w:r>
        <w:rPr>
          <w:rFonts w:hint="eastAsia" w:ascii="宋体" w:hAnsi="宋体" w:cs="宋体"/>
          <w:b/>
          <w:bCs/>
          <w:color w:val="000000" w:themeColor="text1"/>
          <w:sz w:val="28"/>
          <w:szCs w:val="28"/>
        </w:rPr>
        <w:t>中小企业声明函（工程、服务）</w:t>
      </w:r>
    </w:p>
    <w:p w14:paraId="245BA3DE">
      <w:pPr>
        <w:widowControl/>
        <w:spacing w:line="440" w:lineRule="exact"/>
        <w:ind w:firstLine="420" w:firstLineChars="200"/>
        <w:jc w:val="left"/>
        <w:rPr>
          <w:rFonts w:hint="eastAsia" w:ascii="宋体" w:hAnsi="宋体" w:cs="宋体"/>
          <w:color w:val="000000" w:themeColor="text1"/>
          <w:kern w:val="0"/>
          <w:szCs w:val="21"/>
        </w:rPr>
      </w:pPr>
      <w:r>
        <w:rPr>
          <w:rFonts w:hint="eastAsia" w:ascii="宋体" w:hAnsi="宋体" w:cs="宋体"/>
          <w:color w:val="000000" w:themeColor="text1"/>
          <w:kern w:val="0"/>
        </w:rPr>
        <w:t>本公司（联合体）郑重声明，根据《政府采购促进中小企业发展管理办法》（财库〔2020</w:t>
      </w:r>
      <w:r>
        <w:rPr>
          <w:rFonts w:hint="eastAsia" w:ascii="宋体" w:hAnsi="宋体" w:cs="宋体"/>
          <w:color w:val="000000" w:themeColor="text1"/>
        </w:rPr>
        <w:t>〕</w:t>
      </w:r>
      <w:r>
        <w:rPr>
          <w:rFonts w:hint="eastAsia" w:ascii="宋体" w:hAnsi="宋体" w:cs="宋体"/>
          <w:color w:val="000000" w:themeColor="text1"/>
          <w:kern w:val="0"/>
        </w:rPr>
        <w:t>） 46号）的规定，本公司 （联合体）参加（单位名称）的（项目名称）采购活动，工程的施工单位全部为符合政策要求的中小企业（或者：服务 全部由符合政策要求的中小企业承接）。相关企业（含联合 体中的中小企业、签订分包意向协议的中小企业）的具体情况如下：</w:t>
      </w:r>
    </w:p>
    <w:p w14:paraId="6AAA3138">
      <w:pPr>
        <w:widowControl/>
        <w:spacing w:line="440" w:lineRule="exact"/>
        <w:ind w:firstLine="420" w:firstLineChars="200"/>
        <w:jc w:val="left"/>
        <w:rPr>
          <w:rFonts w:hint="eastAsia" w:ascii="宋体" w:hAnsi="宋体" w:cs="宋体"/>
          <w:color w:val="000000" w:themeColor="text1"/>
          <w:kern w:val="0"/>
        </w:rPr>
      </w:pPr>
      <w:r>
        <w:rPr>
          <w:rFonts w:hint="eastAsia" w:ascii="宋体" w:hAnsi="宋体" w:cs="宋体"/>
          <w:color w:val="000000" w:themeColor="text1"/>
          <w:kern w:val="0"/>
          <w:u w:val="single"/>
        </w:rPr>
        <w:t>（标的名称）</w:t>
      </w:r>
      <w:r>
        <w:rPr>
          <w:rFonts w:hint="eastAsia" w:ascii="宋体" w:hAnsi="宋体" w:cs="宋体"/>
          <w:color w:val="000000" w:themeColor="text1"/>
          <w:kern w:val="0"/>
        </w:rPr>
        <w:t>,属于</w:t>
      </w:r>
      <w:r>
        <w:rPr>
          <w:rFonts w:hint="eastAsia" w:ascii="宋体" w:hAnsi="宋体" w:cs="宋体"/>
          <w:color w:val="000000" w:themeColor="text1"/>
          <w:kern w:val="0"/>
          <w:u w:val="single"/>
        </w:rPr>
        <w:t>（采购文件中明确的所属行业）</w:t>
      </w:r>
      <w:r>
        <w:rPr>
          <w:rFonts w:hint="eastAsia" w:ascii="宋体" w:hAnsi="宋体" w:cs="宋体"/>
          <w:color w:val="000000" w:themeColor="text1"/>
          <w:kern w:val="0"/>
        </w:rPr>
        <w:t>, 承建（承接）企业为（企业名称）,从业人员</w:t>
      </w:r>
      <w:r>
        <w:rPr>
          <w:rFonts w:hint="eastAsia" w:ascii="宋体" w:hAnsi="宋体" w:cs="宋体"/>
          <w:color w:val="000000" w:themeColor="text1"/>
          <w:kern w:val="0"/>
          <w:u w:val="single"/>
        </w:rPr>
        <w:tab/>
      </w:r>
      <w:r>
        <w:rPr>
          <w:rFonts w:hint="eastAsia" w:ascii="宋体" w:hAnsi="宋体" w:cs="宋体"/>
          <w:color w:val="000000" w:themeColor="text1"/>
          <w:kern w:val="0"/>
          <w:u w:val="single"/>
        </w:rPr>
        <w:t>人</w:t>
      </w:r>
      <w:r>
        <w:rPr>
          <w:rFonts w:hint="eastAsia" w:ascii="宋体" w:hAnsi="宋体" w:cs="宋体"/>
          <w:color w:val="000000" w:themeColor="text1"/>
          <w:kern w:val="0"/>
        </w:rPr>
        <w:t>，营业收入为</w:t>
      </w:r>
      <w:r>
        <w:rPr>
          <w:rFonts w:hint="eastAsia" w:ascii="宋体" w:hAnsi="宋体" w:cs="宋体"/>
          <w:color w:val="000000" w:themeColor="text1"/>
          <w:kern w:val="0"/>
          <w:u w:val="single"/>
        </w:rPr>
        <w:tab/>
      </w:r>
      <w:r>
        <w:rPr>
          <w:rFonts w:hint="eastAsia" w:ascii="宋体" w:hAnsi="宋体" w:cs="宋体"/>
          <w:color w:val="000000" w:themeColor="text1"/>
          <w:kern w:val="0"/>
        </w:rPr>
        <w:t>万元，资产总额为</w:t>
      </w:r>
      <w:r>
        <w:rPr>
          <w:rFonts w:hint="eastAsia" w:ascii="宋体" w:hAnsi="宋体" w:cs="宋体"/>
          <w:color w:val="000000" w:themeColor="text1"/>
          <w:kern w:val="0"/>
          <w:u w:val="single"/>
        </w:rPr>
        <w:tab/>
      </w:r>
      <w:r>
        <w:rPr>
          <w:rFonts w:hint="eastAsia" w:ascii="宋体" w:hAnsi="宋体" w:cs="宋体"/>
          <w:color w:val="000000" w:themeColor="text1"/>
          <w:kern w:val="0"/>
        </w:rPr>
        <w:t>万元，属于（中型企业、小型企业、微型企业）；</w:t>
      </w:r>
    </w:p>
    <w:p w14:paraId="1E2F2CAE">
      <w:pPr>
        <w:widowControl/>
        <w:spacing w:line="440" w:lineRule="exact"/>
        <w:ind w:firstLine="420" w:firstLineChars="200"/>
        <w:jc w:val="left"/>
        <w:rPr>
          <w:rFonts w:hint="eastAsia" w:ascii="宋体" w:hAnsi="宋体" w:cs="宋体"/>
          <w:color w:val="000000" w:themeColor="text1"/>
          <w:kern w:val="0"/>
        </w:rPr>
      </w:pPr>
      <w:r>
        <w:rPr>
          <w:rFonts w:hint="eastAsia" w:ascii="宋体" w:hAnsi="宋体" w:cs="宋体"/>
          <w:color w:val="000000" w:themeColor="text1"/>
          <w:kern w:val="0"/>
          <w:u w:val="single"/>
        </w:rPr>
        <w:t>（标的名称）,</w:t>
      </w:r>
      <w:r>
        <w:rPr>
          <w:rFonts w:hint="eastAsia" w:ascii="宋体" w:hAnsi="宋体" w:cs="宋体"/>
          <w:color w:val="000000" w:themeColor="text1"/>
          <w:kern w:val="0"/>
        </w:rPr>
        <w:t>属于（采购文件中明确的所属行业）, 承建（承接）企业为（企业名称）,从业人员</w:t>
      </w:r>
      <w:r>
        <w:rPr>
          <w:rFonts w:hint="eastAsia" w:ascii="宋体" w:hAnsi="宋体" w:cs="宋体"/>
          <w:color w:val="000000" w:themeColor="text1"/>
          <w:kern w:val="0"/>
          <w:u w:val="single"/>
        </w:rPr>
        <w:tab/>
      </w:r>
      <w:r>
        <w:rPr>
          <w:rFonts w:hint="eastAsia" w:ascii="宋体" w:hAnsi="宋体" w:cs="宋体"/>
          <w:color w:val="000000" w:themeColor="text1"/>
          <w:kern w:val="0"/>
          <w:u w:val="single"/>
        </w:rPr>
        <w:t>人</w:t>
      </w:r>
      <w:r>
        <w:rPr>
          <w:rFonts w:hint="eastAsia" w:ascii="宋体" w:hAnsi="宋体" w:cs="宋体"/>
          <w:color w:val="000000" w:themeColor="text1"/>
          <w:kern w:val="0"/>
        </w:rPr>
        <w:t>，营业收入为</w:t>
      </w:r>
      <w:r>
        <w:rPr>
          <w:rFonts w:hint="eastAsia" w:ascii="宋体" w:hAnsi="宋体" w:cs="宋体"/>
          <w:color w:val="000000" w:themeColor="text1"/>
          <w:kern w:val="0"/>
          <w:u w:val="single"/>
        </w:rPr>
        <w:tab/>
      </w:r>
      <w:r>
        <w:rPr>
          <w:rFonts w:hint="eastAsia" w:ascii="宋体" w:hAnsi="宋体" w:cs="宋体"/>
          <w:color w:val="000000" w:themeColor="text1"/>
          <w:kern w:val="0"/>
        </w:rPr>
        <w:t>万元，资产总额为</w:t>
      </w:r>
      <w:r>
        <w:rPr>
          <w:rFonts w:hint="eastAsia" w:ascii="宋体" w:hAnsi="宋体" w:cs="宋体"/>
          <w:color w:val="000000" w:themeColor="text1"/>
          <w:kern w:val="0"/>
          <w:u w:val="single"/>
        </w:rPr>
        <w:tab/>
      </w:r>
      <w:r>
        <w:rPr>
          <w:rFonts w:hint="eastAsia" w:ascii="宋体" w:hAnsi="宋体" w:cs="宋体"/>
          <w:color w:val="000000" w:themeColor="text1"/>
          <w:kern w:val="0"/>
        </w:rPr>
        <w:t>万元，属于（中型企业、小型企业、微型企业）；</w:t>
      </w:r>
      <w:r>
        <w:rPr>
          <w:rFonts w:hint="eastAsia" w:ascii="宋体" w:hAnsi="宋体" w:cs="宋体"/>
          <w:color w:val="000000" w:themeColor="text1"/>
          <w:kern w:val="0"/>
        </w:rPr>
        <w:tab/>
      </w:r>
    </w:p>
    <w:p w14:paraId="12D1C1F1">
      <w:pPr>
        <w:widowControl/>
        <w:spacing w:line="440" w:lineRule="exact"/>
        <w:ind w:firstLine="420" w:firstLineChars="200"/>
        <w:jc w:val="left"/>
        <w:rPr>
          <w:rFonts w:hint="eastAsia" w:ascii="宋体" w:hAnsi="宋体" w:cs="宋体"/>
          <w:color w:val="000000" w:themeColor="text1"/>
          <w:kern w:val="0"/>
        </w:rPr>
      </w:pPr>
      <w:r>
        <w:rPr>
          <w:rFonts w:hint="eastAsia" w:ascii="宋体" w:hAnsi="宋体" w:cs="宋体"/>
          <w:color w:val="000000" w:themeColor="text1"/>
          <w:kern w:val="0"/>
        </w:rPr>
        <w:t>以上企业，不属于大企业的分支机构，不存在控股股东为大企业的情形，也不存在与大企业的负责人为同一人的情形。</w:t>
      </w:r>
    </w:p>
    <w:p w14:paraId="1409ECE8">
      <w:pPr>
        <w:widowControl/>
        <w:spacing w:line="440" w:lineRule="exact"/>
        <w:ind w:firstLine="420" w:firstLineChars="200"/>
        <w:jc w:val="left"/>
        <w:rPr>
          <w:rFonts w:hint="eastAsia" w:ascii="宋体" w:hAnsi="宋体" w:cs="宋体"/>
          <w:color w:val="000000" w:themeColor="text1"/>
          <w:kern w:val="0"/>
        </w:rPr>
      </w:pPr>
      <w:r>
        <w:rPr>
          <w:rFonts w:hint="eastAsia" w:ascii="宋体" w:hAnsi="宋体" w:cs="宋体"/>
          <w:color w:val="000000" w:themeColor="text1"/>
          <w:kern w:val="0"/>
        </w:rPr>
        <w:t>本企业对上述声明内容的真实性负责。如有虚假，将依法承担相应责任。</w:t>
      </w:r>
    </w:p>
    <w:p w14:paraId="5BD23627">
      <w:pPr>
        <w:widowControl/>
        <w:spacing w:line="440" w:lineRule="exact"/>
        <w:ind w:firstLine="420" w:firstLineChars="200"/>
        <w:jc w:val="left"/>
        <w:rPr>
          <w:rFonts w:hint="eastAsia" w:ascii="宋体" w:hAnsi="宋体" w:cs="宋体"/>
          <w:color w:val="000000" w:themeColor="text1"/>
          <w:kern w:val="0"/>
        </w:rPr>
      </w:pPr>
    </w:p>
    <w:p w14:paraId="2A746703">
      <w:pPr>
        <w:widowControl/>
        <w:spacing w:line="440" w:lineRule="exact"/>
        <w:ind w:firstLine="420" w:firstLineChars="200"/>
        <w:jc w:val="left"/>
        <w:rPr>
          <w:rFonts w:hint="eastAsia" w:ascii="宋体" w:hAnsi="宋体" w:cs="宋体"/>
          <w:color w:val="000000" w:themeColor="text1"/>
          <w:kern w:val="0"/>
        </w:rPr>
      </w:pPr>
    </w:p>
    <w:p w14:paraId="4EA0A6B2">
      <w:pPr>
        <w:widowControl/>
        <w:spacing w:line="440" w:lineRule="exact"/>
        <w:ind w:firstLine="420" w:firstLineChars="200"/>
        <w:jc w:val="left"/>
        <w:rPr>
          <w:rFonts w:hint="eastAsia" w:ascii="宋体" w:hAnsi="宋体" w:cs="宋体"/>
          <w:color w:val="000000" w:themeColor="text1"/>
          <w:kern w:val="0"/>
        </w:rPr>
      </w:pPr>
    </w:p>
    <w:p w14:paraId="0427D4E2">
      <w:pPr>
        <w:widowControl/>
        <w:spacing w:line="440" w:lineRule="exact"/>
        <w:ind w:firstLine="420" w:firstLineChars="200"/>
        <w:jc w:val="right"/>
        <w:rPr>
          <w:rFonts w:hint="eastAsia" w:ascii="宋体" w:hAnsi="宋体" w:cs="宋体"/>
          <w:color w:val="000000" w:themeColor="text1"/>
          <w:kern w:val="0"/>
        </w:rPr>
      </w:pPr>
      <w:r>
        <w:rPr>
          <w:rFonts w:hint="eastAsia" w:ascii="宋体" w:hAnsi="宋体" w:cs="宋体"/>
          <w:color w:val="000000" w:themeColor="text1"/>
          <w:kern w:val="0"/>
        </w:rPr>
        <w:t>企业名称</w:t>
      </w:r>
      <w:r>
        <w:rPr>
          <w:rFonts w:hint="eastAsia" w:ascii="宋体" w:hAnsi="宋体" w:cs="宋体"/>
          <w:color w:val="000000" w:themeColor="text1"/>
          <w:kern w:val="0"/>
          <w:szCs w:val="21"/>
        </w:rPr>
        <w:t>（加盖电子公章）</w:t>
      </w:r>
      <w:r>
        <w:rPr>
          <w:rFonts w:hint="eastAsia" w:ascii="宋体" w:hAnsi="宋体" w:cs="宋体"/>
          <w:color w:val="000000" w:themeColor="text1"/>
          <w:kern w:val="0"/>
        </w:rPr>
        <w:t>：</w:t>
      </w:r>
    </w:p>
    <w:p w14:paraId="071E89E4">
      <w:pPr>
        <w:widowControl/>
        <w:spacing w:line="360" w:lineRule="auto"/>
        <w:ind w:firstLine="420" w:firstLineChars="200"/>
        <w:jc w:val="left"/>
        <w:rPr>
          <w:rFonts w:hint="eastAsia" w:ascii="宋体" w:hAnsi="宋体" w:cs="宋体"/>
          <w:color w:val="000000" w:themeColor="text1"/>
          <w:kern w:val="0"/>
        </w:rPr>
      </w:pPr>
      <w:r>
        <w:rPr>
          <w:rFonts w:hint="eastAsia" w:ascii="宋体" w:hAnsi="宋体" w:cs="宋体"/>
          <w:color w:val="000000" w:themeColor="text1"/>
          <w:kern w:val="0"/>
        </w:rPr>
        <w:t xml:space="preserve">                                                   日期：</w:t>
      </w:r>
    </w:p>
    <w:p w14:paraId="399CB49D">
      <w:pPr>
        <w:widowControl/>
        <w:spacing w:line="360" w:lineRule="auto"/>
        <w:ind w:firstLine="420" w:firstLineChars="200"/>
        <w:jc w:val="left"/>
        <w:rPr>
          <w:rFonts w:hint="eastAsia" w:ascii="宋体" w:hAnsi="宋体" w:cs="宋体"/>
          <w:color w:val="000000" w:themeColor="text1"/>
          <w:kern w:val="0"/>
        </w:rPr>
      </w:pPr>
    </w:p>
    <w:p w14:paraId="4BC9BB22">
      <w:pPr>
        <w:widowControl/>
        <w:spacing w:line="360" w:lineRule="auto"/>
        <w:ind w:firstLine="420" w:firstLineChars="200"/>
        <w:jc w:val="left"/>
        <w:rPr>
          <w:rFonts w:hint="eastAsia" w:ascii="宋体" w:hAnsi="宋体" w:cs="宋体"/>
          <w:color w:val="000000" w:themeColor="text1"/>
          <w:kern w:val="0"/>
        </w:rPr>
      </w:pPr>
    </w:p>
    <w:p w14:paraId="151CE7DD">
      <w:pPr>
        <w:widowControl/>
        <w:spacing w:line="360" w:lineRule="auto"/>
        <w:ind w:firstLine="422" w:firstLineChars="200"/>
        <w:jc w:val="left"/>
        <w:rPr>
          <w:rFonts w:hint="eastAsia" w:ascii="宋体" w:hAnsi="宋体" w:cs="宋体"/>
          <w:b/>
          <w:snapToGrid w:val="0"/>
          <w:color w:val="000000" w:themeColor="text1"/>
          <w:kern w:val="0"/>
          <w:szCs w:val="21"/>
        </w:rPr>
      </w:pPr>
      <w:r>
        <w:rPr>
          <w:rFonts w:hint="eastAsia" w:ascii="宋体" w:hAnsi="宋体" w:cs="宋体"/>
          <w:b/>
          <w:snapToGrid w:val="0"/>
          <w:color w:val="000000" w:themeColor="text1"/>
          <w:kern w:val="0"/>
          <w:szCs w:val="21"/>
        </w:rPr>
        <w:t>注：从业人员、营业收入、资产总额填报上一年度数据，无上一年度数据的新成立企业可不填报。</w:t>
      </w:r>
    </w:p>
    <w:p w14:paraId="10F7BAF7">
      <w:pPr>
        <w:spacing w:line="360" w:lineRule="auto"/>
        <w:jc w:val="center"/>
        <w:rPr>
          <w:rFonts w:hint="eastAsia" w:ascii="宋体" w:hAnsi="宋体" w:cs="宋体"/>
          <w:b/>
          <w:bCs/>
          <w:color w:val="000000" w:themeColor="text1"/>
          <w:sz w:val="28"/>
        </w:rPr>
      </w:pPr>
    </w:p>
    <w:p w14:paraId="0ACC599E">
      <w:pPr>
        <w:keepNext/>
        <w:keepLines/>
        <w:ind w:firstLine="420"/>
        <w:outlineLvl w:val="0"/>
        <w:rPr>
          <w:rFonts w:hint="eastAsia" w:ascii="宋体" w:hAnsi="宋体" w:cs="宋体"/>
          <w:color w:val="000000" w:themeColor="text1"/>
          <w:kern w:val="0"/>
        </w:rPr>
      </w:pPr>
      <w:bookmarkStart w:id="56" w:name="_Toc242444314"/>
      <w:bookmarkStart w:id="57" w:name="_Toc10552"/>
      <w:r>
        <w:rPr>
          <w:rFonts w:hint="eastAsia" w:ascii="宋体" w:hAnsi="宋体" w:cs="宋体"/>
          <w:color w:val="000000" w:themeColor="text1"/>
          <w:kern w:val="0"/>
        </w:rPr>
        <w:t>备注：</w:t>
      </w:r>
      <w:bookmarkEnd w:id="56"/>
      <w:bookmarkEnd w:id="57"/>
    </w:p>
    <w:p w14:paraId="5C96CB9A">
      <w:pPr>
        <w:keepNext/>
        <w:keepLines/>
        <w:ind w:firstLine="630" w:firstLineChars="300"/>
        <w:outlineLvl w:val="0"/>
        <w:rPr>
          <w:rFonts w:hint="eastAsia" w:ascii="宋体" w:hAnsi="宋体" w:cs="宋体"/>
          <w:color w:val="000000" w:themeColor="text1"/>
          <w:kern w:val="0"/>
        </w:rPr>
      </w:pPr>
      <w:bookmarkStart w:id="58" w:name="_Toc12731"/>
      <w:bookmarkStart w:id="59" w:name="_Toc242444315"/>
      <w:r>
        <w:rPr>
          <w:rFonts w:hint="eastAsia" w:ascii="宋体" w:hAnsi="宋体" w:cs="宋体"/>
          <w:color w:val="000000" w:themeColor="text1"/>
          <w:kern w:val="0"/>
        </w:rPr>
        <w:t>1.从业人员、营业收入、资产总额填报上一年度数据，无上一年度数据的新成立企业可不填报。</w:t>
      </w:r>
      <w:bookmarkEnd w:id="58"/>
      <w:bookmarkEnd w:id="59"/>
    </w:p>
    <w:p w14:paraId="200DBE8B">
      <w:pPr>
        <w:keepNext/>
        <w:keepLines/>
        <w:ind w:firstLine="630"/>
        <w:outlineLvl w:val="0"/>
        <w:rPr>
          <w:rFonts w:hint="eastAsia" w:ascii="宋体" w:hAnsi="宋体" w:cs="宋体"/>
          <w:b/>
          <w:bCs/>
          <w:color w:val="000000" w:themeColor="text1"/>
          <w:kern w:val="0"/>
        </w:rPr>
      </w:pPr>
      <w:bookmarkStart w:id="60" w:name="_Toc397"/>
      <w:bookmarkStart w:id="61" w:name="_Toc242444316"/>
      <w:r>
        <w:rPr>
          <w:rFonts w:hint="eastAsia" w:ascii="宋体" w:hAnsi="宋体" w:cs="宋体"/>
          <w:color w:val="000000" w:themeColor="text1"/>
          <w:kern w:val="0"/>
        </w:rPr>
        <w:t>2.在货物采购项目中，货物由中小企业制造，即货物由中小企业生产且使用该中小企业商号或者注册商标。</w:t>
      </w:r>
      <w:r>
        <w:rPr>
          <w:rFonts w:hint="eastAsia" w:ascii="宋体" w:hAnsi="宋体" w:cs="宋体"/>
          <w:b/>
          <w:bCs/>
          <w:color w:val="000000" w:themeColor="text1"/>
          <w:kern w:val="0"/>
        </w:rPr>
        <w:t>供应商提供的货物既有中小企业制造货物，也有大型企业制造货物的，不享受相应扶持政策。</w:t>
      </w:r>
      <w:bookmarkEnd w:id="60"/>
      <w:bookmarkEnd w:id="61"/>
    </w:p>
    <w:p w14:paraId="4A53AE0A">
      <w:pPr>
        <w:keepNext/>
        <w:keepLines/>
        <w:ind w:firstLine="630"/>
        <w:outlineLvl w:val="0"/>
        <w:rPr>
          <w:rFonts w:hint="eastAsia" w:ascii="宋体" w:hAnsi="宋体" w:cs="宋体"/>
          <w:b/>
          <w:bCs/>
          <w:color w:val="000000" w:themeColor="text1"/>
          <w:kern w:val="0"/>
        </w:rPr>
      </w:pPr>
      <w:bookmarkStart w:id="62" w:name="_Toc16566"/>
      <w:bookmarkStart w:id="63" w:name="_Toc242444317"/>
      <w:r>
        <w:rPr>
          <w:rFonts w:hint="eastAsia" w:ascii="宋体" w:hAnsi="宋体" w:cs="宋体"/>
          <w:color w:val="000000" w:themeColor="text1"/>
          <w:kern w:val="0"/>
        </w:rPr>
        <w:t>3.《中小企业声明函》中所填的行业应与本采购标的对应的中小企业划分标准所属行业一致，不一致的不可享受相应政策优惠。</w:t>
      </w:r>
      <w:r>
        <w:rPr>
          <w:rFonts w:hint="eastAsia" w:ascii="宋体" w:hAnsi="宋体" w:cs="宋体"/>
          <w:b/>
          <w:bCs/>
          <w:color w:val="000000" w:themeColor="text1"/>
          <w:kern w:val="0"/>
        </w:rPr>
        <w:t>本采购标的对应的中小企业划分标准所属行业，以采购文件中具体规定为准。</w:t>
      </w:r>
      <w:bookmarkEnd w:id="62"/>
      <w:bookmarkEnd w:id="63"/>
    </w:p>
    <w:p w14:paraId="0748A3C8">
      <w:pPr>
        <w:keepNext/>
        <w:keepLines/>
        <w:ind w:firstLine="632"/>
        <w:outlineLvl w:val="0"/>
        <w:rPr>
          <w:rFonts w:hint="eastAsia" w:ascii="宋体" w:hAnsi="宋体" w:cs="宋体"/>
          <w:b/>
          <w:bCs/>
          <w:color w:val="000000" w:themeColor="text1"/>
          <w:kern w:val="0"/>
        </w:rPr>
      </w:pPr>
      <w:bookmarkStart w:id="64" w:name="_Toc242444318"/>
      <w:bookmarkStart w:id="65" w:name="_Toc30543"/>
      <w:r>
        <w:rPr>
          <w:rFonts w:hint="eastAsia" w:ascii="宋体" w:hAnsi="宋体" w:cs="宋体"/>
          <w:b/>
          <w:bCs/>
          <w:color w:val="000000" w:themeColor="text1"/>
          <w:kern w:val="0"/>
        </w:rPr>
        <w:t>4.如未对（中型企业、小型企业、微型企业）进行勾选，视同非中小微企业，不可享受相应扶持政策。</w:t>
      </w:r>
      <w:bookmarkEnd w:id="64"/>
      <w:bookmarkEnd w:id="65"/>
    </w:p>
    <w:p w14:paraId="08BFE396">
      <w:pPr>
        <w:spacing w:line="360" w:lineRule="auto"/>
        <w:ind w:left="840" w:hanging="210"/>
        <w:rPr>
          <w:rFonts w:hint="eastAsia" w:ascii="宋体" w:hAnsi="宋体" w:cs="宋体"/>
          <w:color w:val="000000" w:themeColor="text1"/>
          <w:kern w:val="0"/>
          <w:lang w:val="zh-CN"/>
        </w:rPr>
      </w:pPr>
      <w:r>
        <w:rPr>
          <w:rFonts w:hint="eastAsia" w:ascii="宋体" w:hAnsi="宋体" w:cs="宋体"/>
          <w:color w:val="000000" w:themeColor="text1"/>
          <w:kern w:val="0"/>
        </w:rPr>
        <w:t>5.中标单位为中小企业的，《中小企业声明函》将随中标结果同时公告</w:t>
      </w:r>
      <w:r>
        <w:rPr>
          <w:rFonts w:hint="eastAsia" w:ascii="宋体" w:hAnsi="宋体" w:cs="宋体"/>
          <w:color w:val="000000" w:themeColor="text1"/>
          <w:kern w:val="0"/>
          <w:lang w:val="zh-CN"/>
        </w:rPr>
        <w:t>。</w:t>
      </w:r>
    </w:p>
    <w:p w14:paraId="448AA03F">
      <w:pPr>
        <w:spacing w:line="360" w:lineRule="auto"/>
        <w:ind w:left="840" w:hanging="210"/>
        <w:rPr>
          <w:rFonts w:hint="eastAsia" w:ascii="宋体" w:hAnsi="宋体" w:cs="宋体"/>
          <w:color w:val="000000" w:themeColor="text1"/>
          <w:kern w:val="0"/>
          <w:lang w:val="zh-CN"/>
        </w:rPr>
      </w:pPr>
    </w:p>
    <w:p w14:paraId="153277EB">
      <w:pPr>
        <w:rPr>
          <w:rFonts w:hint="eastAsia" w:ascii="宋体" w:hAnsi="宋体"/>
          <w:b/>
          <w:color w:val="000000" w:themeColor="text1"/>
          <w:kern w:val="0"/>
        </w:rPr>
      </w:pPr>
      <w:r>
        <w:rPr>
          <w:rFonts w:hint="eastAsia" w:ascii="宋体" w:hAnsi="宋体"/>
          <w:b/>
          <w:color w:val="000000" w:themeColor="text1"/>
          <w:kern w:val="0"/>
        </w:rPr>
        <w:t>附：</w:t>
      </w:r>
      <w:bookmarkStart w:id="66" w:name="OLE_LINK22"/>
      <w:r>
        <w:rPr>
          <w:rFonts w:hint="eastAsia" w:ascii="宋体" w:hAnsi="宋体"/>
          <w:b/>
          <w:color w:val="000000" w:themeColor="text1"/>
          <w:kern w:val="0"/>
        </w:rPr>
        <w:t>中小企业划型标准规定</w:t>
      </w:r>
      <w:bookmarkEnd w:id="66"/>
    </w:p>
    <w:p w14:paraId="4C2F1C7B">
      <w:pPr>
        <w:ind w:firstLine="422"/>
        <w:rPr>
          <w:rFonts w:hint="eastAsia" w:ascii="宋体" w:hAnsi="宋体"/>
          <w:color w:val="000000" w:themeColor="text1"/>
          <w:kern w:val="0"/>
        </w:rPr>
      </w:pPr>
      <w:r>
        <w:rPr>
          <w:rFonts w:hint="eastAsia" w:ascii="宋体" w:hAnsi="宋体"/>
          <w:b/>
          <w:color w:val="000000" w:themeColor="text1"/>
          <w:kern w:val="0"/>
        </w:rPr>
        <w:t>（一）农、林、牧、渔业。</w:t>
      </w:r>
      <w:r>
        <w:rPr>
          <w:rFonts w:hint="eastAsia" w:ascii="宋体" w:hAnsi="宋体"/>
          <w:color w:val="000000" w:themeColor="text1"/>
          <w:kern w:val="0"/>
        </w:rPr>
        <w:t>营业收入20000万元以下的为中小微型企业。其中，营业收入500万元及以上的为中型企业，营业收入50万元及以上的为小型企业，营业收入50万元以下的为微型企业。</w:t>
      </w:r>
    </w:p>
    <w:p w14:paraId="466477AB">
      <w:pPr>
        <w:ind w:firstLine="422"/>
        <w:rPr>
          <w:rFonts w:hint="eastAsia" w:ascii="宋体" w:hAnsi="宋体"/>
          <w:color w:val="000000" w:themeColor="text1"/>
          <w:kern w:val="0"/>
        </w:rPr>
      </w:pPr>
      <w:r>
        <w:rPr>
          <w:rFonts w:hint="eastAsia" w:ascii="宋体" w:hAnsi="宋体"/>
          <w:b/>
          <w:color w:val="000000" w:themeColor="text1"/>
          <w:kern w:val="0"/>
        </w:rPr>
        <w:t>（二）工业。</w:t>
      </w:r>
      <w:r>
        <w:rPr>
          <w:rFonts w:hint="eastAsia" w:ascii="宋体" w:hAnsi="宋体"/>
          <w:color w:val="000000" w:themeColor="text1"/>
          <w:kern w:val="0"/>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74FC4EC">
      <w:pPr>
        <w:ind w:firstLine="422"/>
        <w:rPr>
          <w:rFonts w:hint="eastAsia" w:ascii="宋体" w:hAnsi="宋体"/>
          <w:color w:val="000000" w:themeColor="text1"/>
          <w:kern w:val="0"/>
        </w:rPr>
      </w:pPr>
      <w:r>
        <w:rPr>
          <w:rFonts w:hint="eastAsia" w:ascii="宋体" w:hAnsi="宋体"/>
          <w:b/>
          <w:color w:val="000000" w:themeColor="text1"/>
          <w:kern w:val="0"/>
        </w:rPr>
        <w:t>（三）建筑业。</w:t>
      </w:r>
      <w:r>
        <w:rPr>
          <w:rFonts w:hint="eastAsia" w:ascii="宋体" w:hAnsi="宋体"/>
          <w:color w:val="000000" w:themeColor="text1"/>
          <w:kern w:val="0"/>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A42577E">
      <w:pPr>
        <w:ind w:firstLine="422"/>
        <w:rPr>
          <w:rFonts w:hint="eastAsia" w:ascii="宋体" w:hAnsi="宋体"/>
          <w:color w:val="000000" w:themeColor="text1"/>
          <w:kern w:val="0"/>
        </w:rPr>
      </w:pPr>
      <w:r>
        <w:rPr>
          <w:rFonts w:hint="eastAsia" w:ascii="宋体" w:hAnsi="宋体"/>
          <w:b/>
          <w:color w:val="000000" w:themeColor="text1"/>
          <w:kern w:val="0"/>
        </w:rPr>
        <w:t>（四）批发业。</w:t>
      </w:r>
      <w:r>
        <w:rPr>
          <w:rFonts w:hint="eastAsia" w:ascii="宋体" w:hAnsi="宋体"/>
          <w:color w:val="000000" w:themeColor="text1"/>
          <w:kern w:val="0"/>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E235ABD">
      <w:pPr>
        <w:ind w:firstLine="422"/>
        <w:rPr>
          <w:rFonts w:hint="eastAsia" w:ascii="宋体" w:hAnsi="宋体"/>
          <w:color w:val="000000" w:themeColor="text1"/>
          <w:kern w:val="0"/>
        </w:rPr>
      </w:pPr>
      <w:r>
        <w:rPr>
          <w:rFonts w:hint="eastAsia" w:ascii="宋体" w:hAnsi="宋体"/>
          <w:b/>
          <w:color w:val="000000" w:themeColor="text1"/>
          <w:kern w:val="0"/>
        </w:rPr>
        <w:t>（五）零售业。</w:t>
      </w:r>
      <w:r>
        <w:rPr>
          <w:rFonts w:hint="eastAsia" w:ascii="宋体" w:hAnsi="宋体"/>
          <w:color w:val="000000" w:themeColor="text1"/>
          <w:kern w:val="0"/>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D5CAF97">
      <w:pPr>
        <w:ind w:firstLine="422"/>
        <w:rPr>
          <w:rFonts w:hint="eastAsia" w:ascii="宋体" w:hAnsi="宋体"/>
          <w:color w:val="000000" w:themeColor="text1"/>
          <w:kern w:val="0"/>
        </w:rPr>
      </w:pPr>
      <w:r>
        <w:rPr>
          <w:rFonts w:hint="eastAsia" w:ascii="宋体" w:hAnsi="宋体"/>
          <w:b/>
          <w:color w:val="000000" w:themeColor="text1"/>
          <w:kern w:val="0"/>
        </w:rPr>
        <w:t>（六）交通运输业。</w:t>
      </w:r>
      <w:r>
        <w:rPr>
          <w:rFonts w:hint="eastAsia" w:ascii="宋体" w:hAnsi="宋体"/>
          <w:color w:val="000000" w:themeColor="text1"/>
          <w:kern w:val="0"/>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7C93721">
      <w:pPr>
        <w:ind w:firstLine="422"/>
        <w:rPr>
          <w:rFonts w:hint="eastAsia" w:ascii="宋体" w:hAnsi="宋体"/>
          <w:color w:val="000000" w:themeColor="text1"/>
          <w:kern w:val="0"/>
        </w:rPr>
      </w:pPr>
      <w:r>
        <w:rPr>
          <w:rFonts w:hint="eastAsia" w:ascii="宋体" w:hAnsi="宋体"/>
          <w:b/>
          <w:color w:val="000000" w:themeColor="text1"/>
          <w:kern w:val="0"/>
        </w:rPr>
        <w:t>（七）仓储业。</w:t>
      </w:r>
      <w:r>
        <w:rPr>
          <w:rFonts w:hint="eastAsia" w:ascii="宋体" w:hAnsi="宋体"/>
          <w:color w:val="000000" w:themeColor="text1"/>
          <w:kern w:val="0"/>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D54CFD2">
      <w:pPr>
        <w:ind w:firstLine="422"/>
        <w:rPr>
          <w:rFonts w:hint="eastAsia" w:ascii="宋体" w:hAnsi="宋体"/>
          <w:color w:val="000000" w:themeColor="text1"/>
          <w:kern w:val="0"/>
        </w:rPr>
      </w:pPr>
      <w:r>
        <w:rPr>
          <w:rFonts w:hint="eastAsia" w:ascii="宋体" w:hAnsi="宋体"/>
          <w:b/>
          <w:color w:val="000000" w:themeColor="text1"/>
          <w:kern w:val="0"/>
        </w:rPr>
        <w:t>（八）邮政业。</w:t>
      </w:r>
      <w:r>
        <w:rPr>
          <w:rFonts w:hint="eastAsia" w:ascii="宋体" w:hAnsi="宋体"/>
          <w:color w:val="000000" w:themeColor="text1"/>
          <w:kern w:val="0"/>
        </w:rPr>
        <w:t>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9B5752C">
      <w:pPr>
        <w:ind w:firstLine="422"/>
        <w:rPr>
          <w:rFonts w:hint="eastAsia" w:ascii="宋体" w:hAnsi="宋体"/>
          <w:color w:val="000000" w:themeColor="text1"/>
          <w:kern w:val="0"/>
        </w:rPr>
      </w:pPr>
      <w:r>
        <w:rPr>
          <w:rFonts w:hint="eastAsia" w:ascii="宋体" w:hAnsi="宋体"/>
          <w:b/>
          <w:color w:val="000000" w:themeColor="text1"/>
          <w:kern w:val="0"/>
        </w:rPr>
        <w:t>（九）住宿业。</w:t>
      </w:r>
      <w:r>
        <w:rPr>
          <w:rFonts w:hint="eastAsia" w:ascii="宋体" w:hAnsi="宋体"/>
          <w:color w:val="000000" w:themeColor="text1"/>
          <w:kern w:val="0"/>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15CD035">
      <w:pPr>
        <w:ind w:firstLine="422"/>
        <w:rPr>
          <w:rFonts w:hint="eastAsia" w:ascii="宋体" w:hAnsi="宋体"/>
          <w:color w:val="000000" w:themeColor="text1"/>
          <w:kern w:val="0"/>
        </w:rPr>
      </w:pPr>
      <w:r>
        <w:rPr>
          <w:rFonts w:hint="eastAsia" w:ascii="宋体" w:hAnsi="宋体"/>
          <w:b/>
          <w:color w:val="000000" w:themeColor="text1"/>
          <w:kern w:val="0"/>
        </w:rPr>
        <w:t>（十）餐饮业。</w:t>
      </w:r>
      <w:r>
        <w:rPr>
          <w:rFonts w:hint="eastAsia" w:ascii="宋体" w:hAnsi="宋体"/>
          <w:color w:val="000000" w:themeColor="text1"/>
          <w:kern w:val="0"/>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0AC5612">
      <w:pPr>
        <w:ind w:firstLine="422"/>
        <w:rPr>
          <w:rFonts w:hint="eastAsia" w:ascii="宋体" w:hAnsi="宋体"/>
          <w:color w:val="000000" w:themeColor="text1"/>
          <w:kern w:val="0"/>
        </w:rPr>
      </w:pPr>
      <w:r>
        <w:rPr>
          <w:rFonts w:hint="eastAsia" w:ascii="宋体" w:hAnsi="宋体"/>
          <w:b/>
          <w:color w:val="000000" w:themeColor="text1"/>
          <w:kern w:val="0"/>
        </w:rPr>
        <w:t>（十一）信息传输业。</w:t>
      </w:r>
      <w:r>
        <w:rPr>
          <w:rFonts w:hint="eastAsia" w:ascii="宋体" w:hAnsi="宋体"/>
          <w:color w:val="000000" w:themeColor="text1"/>
          <w:kern w:val="0"/>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E6EE20D">
      <w:pPr>
        <w:ind w:firstLine="422"/>
        <w:rPr>
          <w:rFonts w:hint="eastAsia" w:ascii="宋体" w:hAnsi="宋体"/>
          <w:color w:val="000000" w:themeColor="text1"/>
          <w:kern w:val="0"/>
        </w:rPr>
      </w:pPr>
      <w:r>
        <w:rPr>
          <w:rFonts w:hint="eastAsia" w:ascii="宋体" w:hAnsi="宋体"/>
          <w:b/>
          <w:color w:val="000000" w:themeColor="text1"/>
          <w:kern w:val="0"/>
        </w:rPr>
        <w:t>（十二）软件和信息技术服务业。</w:t>
      </w:r>
      <w:r>
        <w:rPr>
          <w:rFonts w:hint="eastAsia" w:ascii="宋体" w:hAnsi="宋体"/>
          <w:color w:val="000000" w:themeColor="text1"/>
          <w:kern w:val="0"/>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EE3140A">
      <w:pPr>
        <w:ind w:firstLine="422"/>
        <w:rPr>
          <w:rFonts w:hint="eastAsia" w:ascii="宋体" w:hAnsi="宋体"/>
          <w:color w:val="000000" w:themeColor="text1"/>
          <w:kern w:val="0"/>
        </w:rPr>
      </w:pPr>
      <w:r>
        <w:rPr>
          <w:rFonts w:hint="eastAsia" w:ascii="宋体" w:hAnsi="宋体"/>
          <w:b/>
          <w:color w:val="000000" w:themeColor="text1"/>
          <w:kern w:val="0"/>
        </w:rPr>
        <w:t>（十三）房地产开发经营。</w:t>
      </w:r>
      <w:r>
        <w:rPr>
          <w:rFonts w:hint="eastAsia" w:ascii="宋体" w:hAnsi="宋体"/>
          <w:color w:val="000000" w:themeColor="text1"/>
          <w:kern w:val="0"/>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884C5A2">
      <w:pPr>
        <w:ind w:firstLine="422"/>
        <w:rPr>
          <w:rFonts w:hint="eastAsia" w:ascii="宋体" w:hAnsi="宋体"/>
          <w:color w:val="000000" w:themeColor="text1"/>
          <w:kern w:val="0"/>
        </w:rPr>
      </w:pPr>
      <w:r>
        <w:rPr>
          <w:rFonts w:hint="eastAsia" w:ascii="宋体" w:hAnsi="宋体"/>
          <w:b/>
          <w:color w:val="000000" w:themeColor="text1"/>
          <w:kern w:val="0"/>
        </w:rPr>
        <w:t>（十四）物业管理。</w:t>
      </w:r>
      <w:r>
        <w:rPr>
          <w:rFonts w:hint="eastAsia" w:ascii="宋体" w:hAnsi="宋体"/>
          <w:color w:val="000000" w:themeColor="text1"/>
          <w:kern w:val="0"/>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89EB763">
      <w:pPr>
        <w:ind w:firstLine="422"/>
        <w:rPr>
          <w:rFonts w:hint="eastAsia" w:ascii="宋体" w:hAnsi="宋体"/>
          <w:color w:val="000000" w:themeColor="text1"/>
          <w:kern w:val="0"/>
        </w:rPr>
      </w:pPr>
      <w:r>
        <w:rPr>
          <w:rFonts w:hint="eastAsia" w:ascii="宋体" w:hAnsi="宋体"/>
          <w:b/>
          <w:color w:val="000000" w:themeColor="text1"/>
          <w:kern w:val="0"/>
        </w:rPr>
        <w:t>（十五）租赁和商务服务业。</w:t>
      </w:r>
      <w:r>
        <w:rPr>
          <w:rFonts w:hint="eastAsia" w:ascii="宋体" w:hAnsi="宋体"/>
          <w:color w:val="000000" w:themeColor="text1"/>
          <w:kern w:val="0"/>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BEE1B26">
      <w:pPr>
        <w:ind w:firstLine="422"/>
        <w:rPr>
          <w:rFonts w:hint="eastAsia" w:ascii="宋体" w:hAnsi="宋体"/>
          <w:color w:val="000000" w:themeColor="text1"/>
          <w:kern w:val="0"/>
        </w:rPr>
      </w:pPr>
      <w:r>
        <w:rPr>
          <w:rFonts w:hint="eastAsia" w:ascii="宋体" w:hAnsi="宋体"/>
          <w:b/>
          <w:color w:val="000000" w:themeColor="text1"/>
          <w:kern w:val="0"/>
        </w:rPr>
        <w:t>（十六）其他未列明行业。</w:t>
      </w:r>
      <w:r>
        <w:rPr>
          <w:rFonts w:hint="eastAsia" w:ascii="宋体" w:hAnsi="宋体"/>
          <w:color w:val="000000" w:themeColor="text1"/>
          <w:kern w:val="0"/>
        </w:rPr>
        <w:t>从业人员300人以下的为中小微型企业。其中，从业人员100人及以上的为中型企业；从业人员10人及以上的为小型企业；从业人员10人以下的为微型企业。</w:t>
      </w:r>
    </w:p>
    <w:p w14:paraId="48942D89">
      <w:pPr>
        <w:spacing w:line="360" w:lineRule="auto"/>
        <w:rPr>
          <w:rFonts w:hint="eastAsia" w:ascii="宋体" w:hAnsi="宋体" w:cs="宋体"/>
          <w:b/>
          <w:bCs/>
          <w:color w:val="000000" w:themeColor="text1"/>
          <w:sz w:val="28"/>
        </w:rPr>
      </w:pPr>
    </w:p>
    <w:p w14:paraId="77A3CB77">
      <w:pPr>
        <w:spacing w:line="360" w:lineRule="auto"/>
        <w:rPr>
          <w:rFonts w:hint="eastAsia" w:ascii="宋体" w:hAnsi="宋体" w:cs="宋体"/>
          <w:b/>
          <w:bCs/>
          <w:color w:val="000000" w:themeColor="text1"/>
          <w:sz w:val="28"/>
        </w:rPr>
      </w:pPr>
    </w:p>
    <w:p w14:paraId="61C1873E">
      <w:pPr>
        <w:spacing w:line="360" w:lineRule="auto"/>
        <w:jc w:val="center"/>
        <w:rPr>
          <w:rFonts w:hint="eastAsia" w:ascii="宋体" w:hAnsi="宋体" w:cs="宋体"/>
          <w:b/>
          <w:bCs/>
          <w:color w:val="000000" w:themeColor="text1"/>
          <w:sz w:val="28"/>
        </w:rPr>
      </w:pPr>
      <w:r>
        <w:rPr>
          <w:rFonts w:hint="eastAsia" w:ascii="宋体" w:hAnsi="宋体" w:cs="宋体"/>
          <w:b/>
          <w:bCs/>
          <w:color w:val="000000" w:themeColor="text1"/>
          <w:sz w:val="28"/>
        </w:rPr>
        <w:t>残疾人福利性单位声明函</w:t>
      </w:r>
    </w:p>
    <w:bookmarkEnd w:id="54"/>
    <w:bookmarkEnd w:id="55"/>
    <w:p w14:paraId="586E4ED5">
      <w:pPr>
        <w:widowControl/>
        <w:spacing w:line="440" w:lineRule="exact"/>
        <w:ind w:firstLine="420" w:firstLineChars="200"/>
        <w:jc w:val="left"/>
        <w:rPr>
          <w:rFonts w:hint="eastAsia" w:ascii="宋体" w:hAnsi="宋体" w:cs="宋体"/>
          <w:snapToGrid w:val="0"/>
          <w:color w:val="000000" w:themeColor="text1"/>
          <w:kern w:val="0"/>
          <w:szCs w:val="21"/>
        </w:rPr>
      </w:pPr>
      <w:r>
        <w:rPr>
          <w:rFonts w:hint="eastAsia" w:ascii="宋体" w:hAnsi="宋体" w:cs="宋体"/>
          <w:snapToGrid w:val="0"/>
          <w:color w:val="000000" w:themeColor="text1"/>
          <w:kern w:val="0"/>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AD31E25">
      <w:pPr>
        <w:widowControl/>
        <w:spacing w:line="440" w:lineRule="exact"/>
        <w:ind w:firstLine="420" w:firstLineChars="200"/>
        <w:jc w:val="left"/>
        <w:rPr>
          <w:rFonts w:hint="eastAsia" w:ascii="宋体" w:hAnsi="宋体" w:cs="宋体"/>
          <w:snapToGrid w:val="0"/>
          <w:color w:val="000000" w:themeColor="text1"/>
          <w:kern w:val="0"/>
          <w:szCs w:val="21"/>
        </w:rPr>
      </w:pPr>
      <w:r>
        <w:rPr>
          <w:rFonts w:hint="eastAsia" w:ascii="宋体" w:hAnsi="宋体" w:cs="宋体"/>
          <w:snapToGrid w:val="0"/>
          <w:color w:val="000000" w:themeColor="text1"/>
          <w:kern w:val="0"/>
          <w:szCs w:val="21"/>
        </w:rPr>
        <w:t>本单位对上述声明的真实性负责。如有虚假，将依法承担相应责任。</w:t>
      </w:r>
    </w:p>
    <w:p w14:paraId="30381FF9">
      <w:pPr>
        <w:widowControl/>
        <w:spacing w:line="440" w:lineRule="exact"/>
        <w:ind w:firstLine="5040" w:firstLineChars="2400"/>
        <w:jc w:val="left"/>
        <w:rPr>
          <w:rFonts w:hint="eastAsia" w:ascii="宋体" w:hAnsi="宋体" w:cs="宋体"/>
          <w:snapToGrid w:val="0"/>
          <w:color w:val="000000" w:themeColor="text1"/>
          <w:kern w:val="0"/>
          <w:szCs w:val="21"/>
        </w:rPr>
      </w:pPr>
      <w:r>
        <w:rPr>
          <w:rFonts w:hint="eastAsia" w:ascii="宋体" w:hAnsi="宋体" w:cs="宋体"/>
          <w:snapToGrid w:val="0"/>
          <w:color w:val="000000" w:themeColor="text1"/>
          <w:kern w:val="0"/>
          <w:szCs w:val="21"/>
        </w:rPr>
        <w:t>单位名称</w:t>
      </w:r>
      <w:r>
        <w:rPr>
          <w:rFonts w:hint="eastAsia" w:ascii="宋体" w:hAnsi="宋体" w:cs="宋体"/>
          <w:color w:val="000000" w:themeColor="text1"/>
          <w:kern w:val="0"/>
          <w:szCs w:val="21"/>
        </w:rPr>
        <w:t>（加盖电子公章）</w:t>
      </w:r>
      <w:r>
        <w:rPr>
          <w:rFonts w:hint="eastAsia" w:ascii="宋体" w:hAnsi="宋体" w:cs="宋体"/>
          <w:snapToGrid w:val="0"/>
          <w:color w:val="000000" w:themeColor="text1"/>
          <w:kern w:val="0"/>
          <w:szCs w:val="21"/>
        </w:rPr>
        <w:t>：</w:t>
      </w:r>
    </w:p>
    <w:p w14:paraId="742F6593">
      <w:pPr>
        <w:widowControl/>
        <w:spacing w:line="440" w:lineRule="exact"/>
        <w:ind w:firstLine="5040" w:firstLineChars="2400"/>
        <w:jc w:val="left"/>
        <w:rPr>
          <w:rFonts w:hint="eastAsia" w:ascii="宋体" w:hAnsi="宋体" w:cs="宋体"/>
          <w:snapToGrid w:val="0"/>
          <w:color w:val="000000" w:themeColor="text1"/>
          <w:kern w:val="0"/>
          <w:szCs w:val="21"/>
        </w:rPr>
      </w:pPr>
      <w:r>
        <w:rPr>
          <w:rFonts w:hint="eastAsia" w:ascii="宋体" w:hAnsi="宋体" w:cs="宋体"/>
          <w:snapToGrid w:val="0"/>
          <w:color w:val="000000" w:themeColor="text1"/>
          <w:kern w:val="0"/>
          <w:szCs w:val="21"/>
        </w:rPr>
        <w:t>日  期：</w:t>
      </w:r>
    </w:p>
    <w:p w14:paraId="5958BB9A">
      <w:pPr>
        <w:spacing w:line="360" w:lineRule="auto"/>
        <w:rPr>
          <w:rFonts w:hint="eastAsia" w:ascii="宋体" w:hAnsi="宋体" w:cs="宋体"/>
          <w:b/>
          <w:bCs/>
          <w:color w:val="000000" w:themeColor="text1"/>
        </w:rPr>
      </w:pPr>
    </w:p>
    <w:p w14:paraId="3C21DEE2">
      <w:pPr>
        <w:spacing w:line="360" w:lineRule="auto"/>
        <w:rPr>
          <w:rFonts w:hint="eastAsia" w:ascii="宋体" w:hAnsi="宋体" w:cs="宋体"/>
          <w:b/>
          <w:bCs/>
          <w:color w:val="000000" w:themeColor="text1"/>
        </w:rPr>
      </w:pPr>
    </w:p>
    <w:p w14:paraId="7A705911">
      <w:pPr>
        <w:spacing w:line="360" w:lineRule="auto"/>
        <w:jc w:val="center"/>
        <w:rPr>
          <w:rFonts w:hint="eastAsia" w:ascii="宋体" w:hAnsi="宋体" w:cs="宋体"/>
          <w:b/>
          <w:bCs/>
          <w:color w:val="000000" w:themeColor="text1"/>
          <w:sz w:val="28"/>
        </w:rPr>
      </w:pPr>
      <w:r>
        <w:rPr>
          <w:rFonts w:hint="eastAsia" w:ascii="宋体" w:hAnsi="宋体" w:cs="宋体"/>
          <w:b/>
          <w:bCs/>
          <w:color w:val="000000" w:themeColor="text1"/>
          <w:sz w:val="28"/>
        </w:rPr>
        <w:t>属于监狱企业的证明文件</w:t>
      </w:r>
    </w:p>
    <w:p w14:paraId="4315E0A1">
      <w:pPr>
        <w:spacing w:line="360" w:lineRule="auto"/>
        <w:rPr>
          <w:rFonts w:hint="eastAsia" w:ascii="宋体" w:hAnsi="宋体" w:cs="宋体"/>
          <w:color w:val="000000" w:themeColor="text1"/>
        </w:rPr>
      </w:pPr>
      <w:r>
        <w:rPr>
          <w:rFonts w:hint="eastAsia" w:ascii="宋体" w:hAnsi="宋体" w:cs="宋体"/>
          <w:color w:val="000000" w:themeColor="text1"/>
        </w:rPr>
        <w:t>（提供由省级以上监狱管理局、戒毒管理局(含新疆生产建设兵团)出具的属于监狱企业的证明文件）</w:t>
      </w:r>
    </w:p>
    <w:p w14:paraId="39575947">
      <w:pPr>
        <w:spacing w:line="360" w:lineRule="auto"/>
        <w:rPr>
          <w:rFonts w:hint="eastAsia" w:ascii="宋体" w:hAnsi="宋体" w:cs="宋体"/>
          <w:b/>
          <w:bCs/>
          <w:color w:val="000000" w:themeColor="text1"/>
        </w:rPr>
      </w:pPr>
    </w:p>
    <w:p w14:paraId="6708DBFF">
      <w:pPr>
        <w:spacing w:line="360" w:lineRule="auto"/>
        <w:rPr>
          <w:rFonts w:hint="eastAsia" w:ascii="宋体" w:hAnsi="宋体" w:cs="宋体"/>
          <w:b/>
          <w:bCs/>
          <w:color w:val="000000" w:themeColor="text1"/>
        </w:rPr>
      </w:pPr>
    </w:p>
    <w:p w14:paraId="59ECB25B">
      <w:pPr>
        <w:spacing w:line="360" w:lineRule="auto"/>
        <w:jc w:val="center"/>
        <w:rPr>
          <w:rFonts w:hint="eastAsia" w:ascii="宋体" w:hAnsi="宋体" w:cs="宋体"/>
          <w:b/>
          <w:bCs/>
          <w:color w:val="000000" w:themeColor="text1"/>
        </w:rPr>
      </w:pPr>
      <w:r>
        <w:rPr>
          <w:rFonts w:hint="eastAsia" w:ascii="宋体" w:hAnsi="宋体" w:cs="宋体"/>
          <w:b/>
          <w:bCs/>
          <w:color w:val="000000" w:themeColor="text1"/>
          <w:sz w:val="28"/>
        </w:rPr>
        <w:t>节能产品认证证书</w:t>
      </w:r>
    </w:p>
    <w:p w14:paraId="68833C66">
      <w:pPr>
        <w:spacing w:line="360" w:lineRule="auto"/>
        <w:rPr>
          <w:rFonts w:hint="eastAsia" w:ascii="宋体" w:hAnsi="宋体" w:cs="宋体"/>
          <w:bCs/>
          <w:color w:val="000000" w:themeColor="text1"/>
        </w:rPr>
      </w:pPr>
      <w:r>
        <w:rPr>
          <w:rFonts w:hint="eastAsia" w:ascii="宋体" w:hAnsi="宋体" w:cs="宋体"/>
          <w:bCs/>
          <w:color w:val="000000" w:themeColor="text1"/>
        </w:rPr>
        <w:t>（提供国家确定的认证机构出具的、处于有效期之内的产品认证证书）</w:t>
      </w:r>
    </w:p>
    <w:p w14:paraId="0DB1121D">
      <w:pPr>
        <w:spacing w:line="360" w:lineRule="auto"/>
        <w:rPr>
          <w:rFonts w:hint="eastAsia" w:ascii="宋体" w:hAnsi="宋体" w:cs="宋体"/>
          <w:b/>
          <w:bCs/>
          <w:color w:val="000000" w:themeColor="text1"/>
        </w:rPr>
      </w:pPr>
    </w:p>
    <w:p w14:paraId="5D109C14">
      <w:pPr>
        <w:spacing w:line="360" w:lineRule="auto"/>
        <w:rPr>
          <w:rFonts w:hint="eastAsia" w:ascii="宋体" w:hAnsi="宋体" w:cs="宋体"/>
          <w:b/>
          <w:bCs/>
          <w:color w:val="000000" w:themeColor="text1"/>
        </w:rPr>
      </w:pPr>
    </w:p>
    <w:p w14:paraId="61409849">
      <w:pPr>
        <w:spacing w:line="360" w:lineRule="auto"/>
        <w:rPr>
          <w:rFonts w:hint="eastAsia" w:ascii="宋体" w:hAnsi="宋体" w:cs="宋体"/>
          <w:b/>
          <w:bCs/>
          <w:color w:val="000000" w:themeColor="text1"/>
        </w:rPr>
      </w:pPr>
    </w:p>
    <w:p w14:paraId="061F0D60">
      <w:pPr>
        <w:spacing w:line="360" w:lineRule="auto"/>
        <w:jc w:val="center"/>
        <w:rPr>
          <w:rFonts w:hint="eastAsia" w:ascii="宋体" w:hAnsi="宋体" w:cs="宋体"/>
          <w:b/>
          <w:bCs/>
          <w:color w:val="000000" w:themeColor="text1"/>
        </w:rPr>
      </w:pPr>
      <w:r>
        <w:rPr>
          <w:rFonts w:hint="eastAsia" w:ascii="宋体" w:hAnsi="宋体" w:cs="宋体"/>
          <w:b/>
          <w:bCs/>
          <w:color w:val="000000" w:themeColor="text1"/>
          <w:sz w:val="28"/>
        </w:rPr>
        <w:t>环境标志产品认证证书</w:t>
      </w:r>
    </w:p>
    <w:p w14:paraId="7050E215">
      <w:pPr>
        <w:spacing w:line="360" w:lineRule="auto"/>
        <w:rPr>
          <w:rFonts w:hint="eastAsia" w:ascii="宋体" w:hAnsi="宋体" w:cs="宋体"/>
          <w:bCs/>
          <w:color w:val="000000" w:themeColor="text1"/>
        </w:rPr>
      </w:pPr>
      <w:r>
        <w:rPr>
          <w:rFonts w:hint="eastAsia" w:ascii="宋体" w:hAnsi="宋体" w:cs="宋体"/>
          <w:bCs/>
          <w:color w:val="000000" w:themeColor="text1"/>
        </w:rPr>
        <w:t>（提供国家确定的认证机构出具的、处于有效期之内的产品认证证书）</w:t>
      </w:r>
    </w:p>
    <w:p w14:paraId="69FE2109">
      <w:pPr>
        <w:pStyle w:val="82"/>
        <w:rPr>
          <w:rFonts w:hint="eastAsia" w:ascii="宋体" w:hAnsi="宋体" w:cs="宋体"/>
          <w:bCs/>
          <w:color w:val="000000" w:themeColor="text1"/>
        </w:rPr>
      </w:pPr>
    </w:p>
    <w:p w14:paraId="55463534">
      <w:pPr>
        <w:pStyle w:val="82"/>
        <w:rPr>
          <w:rFonts w:hint="eastAsia" w:ascii="宋体" w:hAnsi="宋体" w:cs="宋体"/>
          <w:bCs/>
          <w:color w:val="000000" w:themeColor="text1"/>
        </w:rPr>
      </w:pPr>
    </w:p>
    <w:p w14:paraId="0173EB0E">
      <w:pPr>
        <w:pStyle w:val="82"/>
        <w:rPr>
          <w:rFonts w:hint="eastAsia" w:ascii="宋体" w:hAnsi="宋体" w:cs="宋体"/>
          <w:bCs/>
          <w:color w:val="000000" w:themeColor="text1"/>
        </w:rPr>
      </w:pPr>
    </w:p>
    <w:p w14:paraId="570D1F6C">
      <w:pPr>
        <w:spacing w:line="360" w:lineRule="auto"/>
        <w:jc w:val="center"/>
        <w:rPr>
          <w:rFonts w:hint="eastAsia" w:ascii="宋体" w:hAnsi="宋体" w:cs="宋体"/>
          <w:b/>
          <w:bCs/>
          <w:color w:val="000000" w:themeColor="text1"/>
          <w:sz w:val="28"/>
        </w:rPr>
      </w:pPr>
      <w:r>
        <w:rPr>
          <w:rFonts w:hint="eastAsia" w:ascii="宋体" w:hAnsi="宋体" w:cs="宋体"/>
          <w:b/>
          <w:bCs/>
          <w:color w:val="000000" w:themeColor="text1"/>
          <w:sz w:val="28"/>
        </w:rPr>
        <w:t>进口产品转让技术、消化吸收再创新方案</w:t>
      </w:r>
    </w:p>
    <w:p w14:paraId="2D7B59F0">
      <w:pPr>
        <w:spacing w:line="360" w:lineRule="auto"/>
        <w:rPr>
          <w:rFonts w:hint="eastAsia" w:ascii="宋体" w:hAnsi="宋体" w:cs="宋体"/>
          <w:bCs/>
          <w:color w:val="000000" w:themeColor="text1"/>
        </w:rPr>
      </w:pPr>
      <w:r>
        <w:rPr>
          <w:rFonts w:hint="eastAsia" w:ascii="宋体" w:hAnsi="宋体" w:cs="宋体"/>
          <w:bCs/>
          <w:color w:val="000000" w:themeColor="text1"/>
        </w:rPr>
        <w:t>（对于允许进口产品参加的项目）</w:t>
      </w:r>
    </w:p>
    <w:p w14:paraId="70361A1C">
      <w:pPr>
        <w:rPr>
          <w:color w:val="000000" w:themeColor="text1"/>
        </w:rPr>
      </w:pPr>
      <w:r>
        <w:rPr>
          <w:color w:val="000000" w:themeColor="text1"/>
        </w:rPr>
        <w:br w:type="page"/>
      </w:r>
    </w:p>
    <w:p w14:paraId="6694A0C7">
      <w:pPr>
        <w:widowControl/>
        <w:shd w:val="clear" w:color="auto" w:fill="FFFFFF"/>
        <w:spacing w:before="24" w:after="24" w:line="360" w:lineRule="auto"/>
        <w:jc w:val="left"/>
        <w:rPr>
          <w:rFonts w:hint="eastAsia" w:ascii="宋体" w:hAnsi="宋体" w:cs="宋体"/>
          <w:b/>
          <w:bCs/>
          <w:color w:val="000000" w:themeColor="text1"/>
        </w:rPr>
      </w:pPr>
      <w:r>
        <w:rPr>
          <w:rFonts w:hint="eastAsia" w:ascii="宋体" w:hAnsi="宋体" w:cs="宋体"/>
          <w:b/>
          <w:color w:val="000000" w:themeColor="text1"/>
        </w:rPr>
        <w:t>附件十</w:t>
      </w:r>
      <w:r>
        <w:rPr>
          <w:rFonts w:hint="eastAsia" w:ascii="宋体" w:hAnsi="宋体" w:cs="宋体"/>
          <w:b/>
          <w:bCs/>
          <w:color w:val="000000" w:themeColor="text1"/>
        </w:rPr>
        <w:t>、关于符合本国产品标准的声明函</w:t>
      </w:r>
    </w:p>
    <w:p w14:paraId="6EE8CED4">
      <w:pPr>
        <w:widowControl/>
        <w:shd w:val="clear" w:color="auto" w:fill="FFFFFF"/>
        <w:spacing w:before="24" w:after="24" w:line="360" w:lineRule="auto"/>
        <w:jc w:val="center"/>
        <w:rPr>
          <w:rFonts w:hint="eastAsia" w:ascii="宋体" w:hAnsi="宋体" w:cs="宋体"/>
          <w:b/>
          <w:bCs/>
          <w:color w:val="000000" w:themeColor="text1"/>
          <w:sz w:val="28"/>
        </w:rPr>
      </w:pPr>
      <w:r>
        <w:rPr>
          <w:rFonts w:hint="eastAsia" w:ascii="宋体" w:hAnsi="宋体" w:cs="宋体"/>
          <w:b/>
          <w:bCs/>
          <w:color w:val="000000" w:themeColor="text1"/>
          <w:sz w:val="28"/>
        </w:rPr>
        <w:t>关于符合本国产品标准的声明函</w:t>
      </w:r>
    </w:p>
    <w:p w14:paraId="7453815D">
      <w:pPr>
        <w:pStyle w:val="41"/>
        <w:spacing w:before="0" w:beforeAutospacing="0" w:after="0" w:afterAutospacing="0" w:line="360" w:lineRule="auto"/>
        <w:ind w:firstLine="420"/>
        <w:rPr>
          <w:rFonts w:hint="eastAsia"/>
          <w:color w:val="000000" w:themeColor="text1"/>
        </w:rPr>
      </w:pPr>
      <w:r>
        <w:rPr>
          <w:rFonts w:hint="eastAsia"/>
          <w:color w:val="000000" w:themeColor="text1"/>
        </w:rPr>
        <w:t>本公司（单位）郑重声明，根据《国务院办公厅关于在政府采购中实施本国产品标准及相关政策的通知》（国办发〔2025〕34号）的规定，本公司（单位）提供的以下产品属于本国产品。具体情况如下：</w:t>
      </w:r>
    </w:p>
    <w:p w14:paraId="4296D1C8">
      <w:pPr>
        <w:pStyle w:val="41"/>
        <w:spacing w:before="30" w:beforeAutospacing="0" w:after="30" w:afterAutospacing="0" w:line="360" w:lineRule="auto"/>
        <w:ind w:firstLine="420"/>
        <w:rPr>
          <w:rFonts w:hint="eastAsia"/>
          <w:color w:val="000000" w:themeColor="text1"/>
        </w:rPr>
      </w:pPr>
      <w:r>
        <w:rPr>
          <w:rFonts w:hint="eastAsia"/>
          <w:color w:val="000000" w:themeColor="text1"/>
          <w:shd w:val="clear" w:color="auto" w:fill="FFFFFF"/>
        </w:rPr>
        <w:t>1.</w:t>
      </w:r>
      <w:r>
        <w:rPr>
          <w:rStyle w:val="51"/>
          <w:rFonts w:hint="eastAsia"/>
          <w:color w:val="000000" w:themeColor="text1"/>
          <w:u w:val="single"/>
          <w:shd w:val="clear" w:color="auto" w:fill="FFFFFF"/>
        </w:rPr>
        <w:t>（产品名称1）</w:t>
      </w:r>
      <w:r>
        <w:rPr>
          <w:rStyle w:val="51"/>
          <w:rFonts w:hint="eastAsia"/>
          <w:color w:val="000000" w:themeColor="text1"/>
          <w:shd w:val="clear" w:color="auto" w:fill="FFFFFF"/>
          <w:vertAlign w:val="superscript"/>
        </w:rPr>
        <w:t>1</w:t>
      </w:r>
      <w:r>
        <w:rPr>
          <w:rFonts w:hint="eastAsia"/>
          <w:color w:val="000000" w:themeColor="text1"/>
          <w:shd w:val="clear" w:color="auto" w:fill="FFFFFF"/>
        </w:rPr>
        <w:t>，生产厂为</w:t>
      </w:r>
      <w:r>
        <w:rPr>
          <w:rStyle w:val="51"/>
          <w:rFonts w:hint="eastAsia"/>
          <w:color w:val="000000" w:themeColor="text1"/>
          <w:u w:val="single"/>
          <w:shd w:val="clear" w:color="auto" w:fill="FFFFFF"/>
        </w:rPr>
        <w:t>（厂名）</w:t>
      </w:r>
      <w:r>
        <w:rPr>
          <w:rStyle w:val="51"/>
          <w:rFonts w:hint="eastAsia"/>
          <w:color w:val="000000" w:themeColor="text1"/>
          <w:shd w:val="clear" w:color="auto" w:fill="FFFFFF"/>
          <w:vertAlign w:val="superscript"/>
        </w:rPr>
        <w:t>2</w:t>
      </w:r>
      <w:r>
        <w:rPr>
          <w:rFonts w:hint="eastAsia"/>
          <w:color w:val="000000" w:themeColor="text1"/>
          <w:shd w:val="clear" w:color="auto" w:fill="FFFFFF"/>
        </w:rPr>
        <w:t>，厂址为</w:t>
      </w:r>
      <w:r>
        <w:rPr>
          <w:rStyle w:val="51"/>
          <w:rFonts w:hint="eastAsia"/>
          <w:color w:val="000000" w:themeColor="text1"/>
          <w:u w:val="single"/>
          <w:shd w:val="clear" w:color="auto" w:fill="FFFFFF"/>
        </w:rPr>
        <w:t>（生产厂址）</w:t>
      </w:r>
      <w:r>
        <w:rPr>
          <w:rFonts w:hint="eastAsia"/>
          <w:color w:val="000000" w:themeColor="text1"/>
          <w:shd w:val="clear" w:color="auto" w:fill="FFFFFF"/>
        </w:rPr>
        <w:t>。</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的中国境内生产的组件成本占比≥</w:t>
      </w:r>
      <w:r>
        <w:rPr>
          <w:rStyle w:val="51"/>
          <w:rFonts w:hint="eastAsia"/>
          <w:color w:val="000000" w:themeColor="text1"/>
          <w:u w:val="single"/>
          <w:shd w:val="clear" w:color="auto" w:fill="FFFFFF"/>
        </w:rPr>
        <w:t xml:space="preserve">/  </w:t>
      </w:r>
      <w:r>
        <w:rPr>
          <w:rStyle w:val="51"/>
          <w:rFonts w:hint="eastAsia"/>
          <w:color w:val="000000" w:themeColor="text1"/>
          <w:shd w:val="clear" w:color="auto" w:fill="FFFFFF"/>
          <w:vertAlign w:val="superscript"/>
        </w:rPr>
        <w:t>3</w:t>
      </w:r>
      <w:r>
        <w:rPr>
          <w:rFonts w:hint="eastAsia"/>
          <w:color w:val="000000" w:themeColor="text1"/>
          <w:shd w:val="clear" w:color="auto" w:fill="FFFFFF"/>
        </w:rPr>
        <w:t>。</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w:t>
      </w:r>
      <w:r>
        <w:rPr>
          <w:rStyle w:val="51"/>
          <w:rFonts w:hint="eastAsia"/>
          <w:color w:val="000000" w:themeColor="text1"/>
          <w:u w:val="single"/>
          <w:shd w:val="clear" w:color="auto" w:fill="FFFFFF"/>
        </w:rPr>
        <w:t xml:space="preserve">/  </w:t>
      </w:r>
      <w:r>
        <w:rPr>
          <w:rStyle w:val="51"/>
          <w:rFonts w:hint="eastAsia"/>
          <w:color w:val="000000" w:themeColor="text1"/>
          <w:shd w:val="clear" w:color="auto" w:fill="FFFFFF"/>
          <w:vertAlign w:val="superscript"/>
        </w:rPr>
        <w:t>4</w:t>
      </w:r>
      <w:r>
        <w:rPr>
          <w:rFonts w:hint="eastAsia"/>
          <w:color w:val="000000" w:themeColor="text1"/>
          <w:shd w:val="clear" w:color="auto" w:fill="FFFFFF"/>
        </w:rPr>
        <w:t>在中国境内生产。</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w:t>
      </w:r>
      <w:r>
        <w:rPr>
          <w:rStyle w:val="51"/>
          <w:rFonts w:hint="eastAsia"/>
          <w:color w:val="000000" w:themeColor="text1"/>
          <w:u w:val="single"/>
          <w:shd w:val="clear" w:color="auto" w:fill="FFFFFF"/>
        </w:rPr>
        <w:t xml:space="preserve">/  </w:t>
      </w:r>
      <w:r>
        <w:rPr>
          <w:rStyle w:val="51"/>
          <w:rFonts w:hint="eastAsia"/>
          <w:color w:val="000000" w:themeColor="text1"/>
          <w:shd w:val="clear" w:color="auto" w:fill="FFFFFF"/>
          <w:vertAlign w:val="superscript"/>
        </w:rPr>
        <w:t>5</w:t>
      </w:r>
      <w:r>
        <w:rPr>
          <w:rFonts w:hint="eastAsia"/>
          <w:color w:val="000000" w:themeColor="text1"/>
          <w:shd w:val="clear" w:color="auto" w:fill="FFFFFF"/>
        </w:rPr>
        <w:t>在中国境内完成。</w:t>
      </w:r>
    </w:p>
    <w:p w14:paraId="2EFACF62">
      <w:pPr>
        <w:pStyle w:val="41"/>
        <w:spacing w:before="30" w:beforeAutospacing="0" w:after="30" w:afterAutospacing="0" w:line="360" w:lineRule="auto"/>
        <w:ind w:firstLine="420"/>
        <w:rPr>
          <w:rFonts w:hint="eastAsia"/>
          <w:color w:val="000000" w:themeColor="text1"/>
        </w:rPr>
      </w:pPr>
      <w:r>
        <w:rPr>
          <w:rFonts w:hint="eastAsia"/>
          <w:color w:val="000000" w:themeColor="text1"/>
          <w:shd w:val="clear" w:color="auto" w:fill="FFFFFF"/>
        </w:rPr>
        <w:t>2.</w:t>
      </w:r>
      <w:r>
        <w:rPr>
          <w:rStyle w:val="51"/>
          <w:rFonts w:hint="eastAsia"/>
          <w:color w:val="000000" w:themeColor="text1"/>
          <w:u w:val="single"/>
          <w:shd w:val="clear" w:color="auto" w:fill="FFFFFF"/>
        </w:rPr>
        <w:t>（产品名称2）</w:t>
      </w:r>
      <w:r>
        <w:rPr>
          <w:rFonts w:hint="eastAsia"/>
          <w:color w:val="000000" w:themeColor="text1"/>
          <w:shd w:val="clear" w:color="auto" w:fill="FFFFFF"/>
        </w:rPr>
        <w:t>，生产厂为</w:t>
      </w:r>
      <w:r>
        <w:rPr>
          <w:rStyle w:val="51"/>
          <w:rFonts w:hint="eastAsia"/>
          <w:color w:val="000000" w:themeColor="text1"/>
          <w:u w:val="single"/>
          <w:shd w:val="clear" w:color="auto" w:fill="FFFFFF"/>
        </w:rPr>
        <w:t>（厂名）</w:t>
      </w:r>
      <w:r>
        <w:rPr>
          <w:rFonts w:hint="eastAsia"/>
          <w:color w:val="000000" w:themeColor="text1"/>
          <w:shd w:val="clear" w:color="auto" w:fill="FFFFFF"/>
        </w:rPr>
        <w:t>，厂址为</w:t>
      </w:r>
      <w:r>
        <w:rPr>
          <w:rStyle w:val="51"/>
          <w:rFonts w:hint="eastAsia"/>
          <w:color w:val="000000" w:themeColor="text1"/>
          <w:u w:val="single"/>
          <w:shd w:val="clear" w:color="auto" w:fill="FFFFFF"/>
        </w:rPr>
        <w:t>（生产厂址）</w:t>
      </w:r>
      <w:r>
        <w:rPr>
          <w:rFonts w:hint="eastAsia"/>
          <w:color w:val="000000" w:themeColor="text1"/>
          <w:shd w:val="clear" w:color="auto" w:fill="FFFFFF"/>
        </w:rPr>
        <w:t>。</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的中国境内生产的组件成本占比≥</w:t>
      </w:r>
      <w:r>
        <w:rPr>
          <w:rStyle w:val="51"/>
          <w:rFonts w:hint="eastAsia"/>
          <w:color w:val="000000" w:themeColor="text1"/>
          <w:u w:val="single"/>
          <w:shd w:val="clear" w:color="auto" w:fill="FFFFFF"/>
        </w:rPr>
        <w:t xml:space="preserve">/  </w:t>
      </w:r>
      <w:r>
        <w:rPr>
          <w:rFonts w:hint="eastAsia"/>
          <w:color w:val="000000" w:themeColor="text1"/>
          <w:shd w:val="clear" w:color="auto" w:fill="FFFFFF"/>
        </w:rPr>
        <w:t>。</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w:t>
      </w:r>
      <w:r>
        <w:rPr>
          <w:rStyle w:val="51"/>
          <w:rFonts w:hint="eastAsia"/>
          <w:color w:val="000000" w:themeColor="text1"/>
          <w:u w:val="single"/>
          <w:shd w:val="clear" w:color="auto" w:fill="FFFFFF"/>
        </w:rPr>
        <w:t xml:space="preserve">/  </w:t>
      </w:r>
      <w:r>
        <w:rPr>
          <w:rFonts w:hint="eastAsia"/>
          <w:color w:val="000000" w:themeColor="text1"/>
          <w:shd w:val="clear" w:color="auto" w:fill="FFFFFF"/>
        </w:rPr>
        <w:t>在中国境内生产。</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w:t>
      </w:r>
      <w:r>
        <w:rPr>
          <w:rStyle w:val="51"/>
          <w:rFonts w:hint="eastAsia"/>
          <w:color w:val="000000" w:themeColor="text1"/>
          <w:u w:val="single"/>
          <w:shd w:val="clear" w:color="auto" w:fill="FFFFFF"/>
        </w:rPr>
        <w:t xml:space="preserve">/  </w:t>
      </w:r>
      <w:r>
        <w:rPr>
          <w:rFonts w:hint="eastAsia"/>
          <w:color w:val="000000" w:themeColor="text1"/>
          <w:shd w:val="clear" w:color="auto" w:fill="FFFFFF"/>
        </w:rPr>
        <w:t>在中国境内完成。</w:t>
      </w:r>
    </w:p>
    <w:p w14:paraId="66F2A164">
      <w:pPr>
        <w:pStyle w:val="41"/>
        <w:spacing w:before="30" w:beforeAutospacing="0" w:after="30" w:afterAutospacing="0" w:line="360" w:lineRule="auto"/>
        <w:ind w:firstLine="420"/>
        <w:rPr>
          <w:rFonts w:hint="eastAsia"/>
          <w:color w:val="000000" w:themeColor="text1"/>
        </w:rPr>
      </w:pPr>
      <w:r>
        <w:rPr>
          <w:rFonts w:hint="eastAsia"/>
          <w:color w:val="000000" w:themeColor="text1"/>
          <w:shd w:val="clear" w:color="auto" w:fill="FFFFFF"/>
        </w:rPr>
        <w:t>……</w:t>
      </w:r>
    </w:p>
    <w:p w14:paraId="05265B6A">
      <w:pPr>
        <w:pStyle w:val="41"/>
        <w:spacing w:before="30" w:beforeAutospacing="0" w:after="30" w:afterAutospacing="0" w:line="360" w:lineRule="auto"/>
        <w:ind w:firstLine="420"/>
        <w:rPr>
          <w:rFonts w:hint="eastAsia"/>
          <w:color w:val="000000" w:themeColor="text1"/>
        </w:rPr>
      </w:pPr>
      <w:r>
        <w:rPr>
          <w:rFonts w:hint="eastAsia"/>
          <w:color w:val="000000" w:themeColor="text1"/>
          <w:shd w:val="clear" w:color="auto" w:fill="FFFFFF"/>
        </w:rPr>
        <w:t>本公司（单位）对上述声明内容的真实性负责。如有虚假，愿承担相应法律责任。</w:t>
      </w:r>
    </w:p>
    <w:p w14:paraId="2B8D9C12">
      <w:pPr>
        <w:pStyle w:val="41"/>
        <w:spacing w:before="30" w:beforeAutospacing="0" w:after="30" w:afterAutospacing="0" w:line="360" w:lineRule="auto"/>
        <w:jc w:val="right"/>
        <w:rPr>
          <w:rFonts w:hint="eastAsia"/>
          <w:color w:val="000000" w:themeColor="text1"/>
        </w:rPr>
      </w:pPr>
      <w:r>
        <w:rPr>
          <w:rFonts w:hint="eastAsia"/>
          <w:color w:val="000000" w:themeColor="text1"/>
          <w:shd w:val="clear" w:color="auto" w:fill="FFFFFF"/>
        </w:rPr>
        <w:t xml:space="preserve">   公司（单位）名称（加盖CA电子公章）：　        </w:t>
      </w:r>
    </w:p>
    <w:p w14:paraId="72A9189B">
      <w:pPr>
        <w:pStyle w:val="41"/>
        <w:spacing w:before="30" w:beforeAutospacing="0" w:after="30" w:afterAutospacing="0" w:line="360" w:lineRule="auto"/>
        <w:jc w:val="center"/>
        <w:rPr>
          <w:rFonts w:hint="eastAsia"/>
          <w:color w:val="000000" w:themeColor="text1"/>
        </w:rPr>
      </w:pPr>
      <w:r>
        <w:rPr>
          <w:rFonts w:hint="eastAsia"/>
          <w:color w:val="000000" w:themeColor="text1"/>
          <w:shd w:val="clear" w:color="auto" w:fill="FFFFFF"/>
        </w:rPr>
        <w:t xml:space="preserve">           日期：　     年　  月　  日         </w:t>
      </w:r>
    </w:p>
    <w:p w14:paraId="5C21E9BE">
      <w:pPr>
        <w:pStyle w:val="41"/>
        <w:spacing w:before="30" w:beforeAutospacing="0" w:after="30" w:afterAutospacing="0" w:line="0" w:lineRule="atLeast"/>
        <w:rPr>
          <w:rFonts w:hint="eastAsia"/>
          <w:color w:val="000000" w:themeColor="text1"/>
        </w:rPr>
      </w:pPr>
      <w:r>
        <w:rPr>
          <w:rFonts w:hint="eastAsia"/>
          <w:color w:val="000000" w:themeColor="text1"/>
          <w:shd w:val="clear" w:color="auto" w:fill="FFFFFF"/>
        </w:rPr>
        <w:t>_________________</w:t>
      </w:r>
    </w:p>
    <w:p w14:paraId="1C110C8C">
      <w:pPr>
        <w:pStyle w:val="41"/>
        <w:spacing w:before="30" w:beforeAutospacing="0" w:after="30" w:afterAutospacing="0" w:line="360" w:lineRule="auto"/>
        <w:rPr>
          <w:rFonts w:hint="eastAsia"/>
          <w:color w:val="000000" w:themeColor="text1"/>
        </w:rPr>
      </w:pPr>
      <w:r>
        <w:rPr>
          <w:rFonts w:hint="eastAsia"/>
          <w:color w:val="000000" w:themeColor="text1"/>
          <w:shd w:val="clear" w:color="auto" w:fill="FFFFFF"/>
        </w:rPr>
        <w:t>1.产品如有型号，请在“产品名称”栏一并填写。</w:t>
      </w:r>
    </w:p>
    <w:p w14:paraId="551B0743">
      <w:pPr>
        <w:pStyle w:val="41"/>
        <w:spacing w:before="30" w:beforeAutospacing="0" w:after="30" w:afterAutospacing="0" w:line="360" w:lineRule="auto"/>
        <w:rPr>
          <w:rFonts w:hint="eastAsia"/>
          <w:color w:val="000000" w:themeColor="text1"/>
        </w:rPr>
      </w:pPr>
      <w:r>
        <w:rPr>
          <w:rFonts w:hint="eastAsia"/>
          <w:color w:val="000000" w:themeColor="text1"/>
          <w:shd w:val="clear" w:color="auto" w:fill="FFFFFF"/>
        </w:rPr>
        <w:t>2.生产厂名与厂址应与生产厂营业执照载明的相关信息保持一致。</w:t>
      </w:r>
    </w:p>
    <w:p w14:paraId="08F27C38">
      <w:pPr>
        <w:pStyle w:val="41"/>
        <w:spacing w:before="30" w:beforeAutospacing="0" w:after="30" w:afterAutospacing="0" w:line="360" w:lineRule="auto"/>
        <w:rPr>
          <w:rFonts w:hint="eastAsia"/>
          <w:color w:val="000000" w:themeColor="text1"/>
        </w:rPr>
      </w:pPr>
      <w:r>
        <w:rPr>
          <w:rFonts w:hint="eastAsia"/>
          <w:color w:val="000000" w:themeColor="text1"/>
          <w:shd w:val="clear" w:color="auto" w:fill="FFFFFF"/>
        </w:rPr>
        <w:t>3.该产品的中国境内生产的组件成本占比相关要求实施前，“规定比例”栏可不填，下同。</w:t>
      </w:r>
    </w:p>
    <w:p w14:paraId="599432E1">
      <w:pPr>
        <w:pStyle w:val="41"/>
        <w:spacing w:before="30" w:beforeAutospacing="0" w:after="30" w:afterAutospacing="0" w:line="360" w:lineRule="auto"/>
        <w:rPr>
          <w:rFonts w:hint="eastAsia"/>
          <w:color w:val="000000" w:themeColor="text1"/>
        </w:rPr>
      </w:pPr>
      <w:r>
        <w:rPr>
          <w:rFonts w:hint="eastAsia"/>
          <w:color w:val="000000" w:themeColor="text1"/>
          <w:shd w:val="clear" w:color="auto" w:fill="FFFFFF"/>
        </w:rPr>
        <w:t>4.该产品的关键组件要求实施前，“关键组件”栏可不填，下同。</w:t>
      </w:r>
    </w:p>
    <w:p w14:paraId="2570C6F8">
      <w:pPr>
        <w:pStyle w:val="41"/>
        <w:spacing w:before="30" w:beforeAutospacing="0" w:after="30" w:afterAutospacing="0" w:line="360" w:lineRule="auto"/>
        <w:rPr>
          <w:rFonts w:hint="eastAsia"/>
          <w:color w:val="000000" w:themeColor="text1"/>
          <w:shd w:val="clear" w:color="auto" w:fill="FFFFFF"/>
        </w:rPr>
      </w:pPr>
      <w:r>
        <w:rPr>
          <w:rFonts w:hint="eastAsia"/>
          <w:color w:val="000000" w:themeColor="text1"/>
          <w:shd w:val="clear" w:color="auto" w:fill="FFFFFF"/>
        </w:rPr>
        <w:t>5.该产品的关键工序要求实施前，“关键工序”栏可不填，下同。</w:t>
      </w:r>
    </w:p>
    <w:p w14:paraId="728DDAC7">
      <w:pPr>
        <w:pStyle w:val="41"/>
        <w:spacing w:before="30" w:beforeAutospacing="0" w:after="30" w:afterAutospacing="0" w:line="360" w:lineRule="auto"/>
        <w:rPr>
          <w:rFonts w:hint="eastAsia"/>
          <w:color w:val="000000" w:themeColor="text1"/>
          <w:shd w:val="clear" w:color="auto" w:fill="FFFFFF"/>
        </w:rPr>
      </w:pPr>
      <w:r>
        <w:rPr>
          <w:rFonts w:hint="eastAsia"/>
          <w:color w:val="000000" w:themeColor="text1"/>
          <w:shd w:val="clear" w:color="auto" w:fill="FFFFFF"/>
        </w:rPr>
        <w:t>6.《声明函》中标注“</w:t>
      </w:r>
      <w:r>
        <w:rPr>
          <w:rStyle w:val="51"/>
          <w:rFonts w:hint="eastAsia"/>
          <w:color w:val="000000" w:themeColor="text1"/>
          <w:u w:val="single"/>
          <w:shd w:val="clear" w:color="auto" w:fill="FFFFFF"/>
        </w:rPr>
        <w:t xml:space="preserve">/  </w:t>
      </w:r>
      <w:r>
        <w:rPr>
          <w:rFonts w:hint="eastAsia"/>
          <w:color w:val="000000" w:themeColor="text1"/>
          <w:shd w:val="clear" w:color="auto" w:fill="FFFFFF"/>
        </w:rPr>
        <w:t>”的地方无需填写。</w:t>
      </w:r>
    </w:p>
    <w:p w14:paraId="470EF775">
      <w:pPr>
        <w:rPr>
          <w:rFonts w:hint="eastAsia" w:ascii="宋体" w:hAnsi="宋体" w:cs="宋体"/>
          <w:b/>
          <w:color w:val="000000" w:themeColor="text1"/>
        </w:rPr>
      </w:pPr>
    </w:p>
    <w:p w14:paraId="24382463">
      <w:pPr>
        <w:rPr>
          <w:rFonts w:hint="eastAsia" w:ascii="宋体" w:hAnsi="宋体" w:cs="宋体"/>
          <w:b/>
          <w:color w:val="000000" w:themeColor="text1"/>
        </w:rPr>
      </w:pPr>
      <w:r>
        <w:rPr>
          <w:rFonts w:hint="eastAsia" w:ascii="宋体" w:hAnsi="宋体" w:cs="宋体"/>
          <w:color w:val="000000" w:themeColor="text1"/>
          <w:kern w:val="0"/>
          <w:szCs w:val="21"/>
        </w:rPr>
        <w:t>本国产品标准适用于货物，包括政府采购货物项目和服务项目中涉及的货物。</w:t>
      </w:r>
      <w:r>
        <w:rPr>
          <w:rFonts w:hint="eastAsia" w:ascii="宋体" w:hAnsi="宋体" w:cs="宋体"/>
          <w:b/>
          <w:color w:val="000000" w:themeColor="text1"/>
        </w:rPr>
        <w:br w:type="page"/>
      </w:r>
    </w:p>
    <w:p w14:paraId="18D8BE7D">
      <w:pPr>
        <w:rPr>
          <w:color w:val="000000" w:themeColor="text1"/>
        </w:rPr>
      </w:pPr>
    </w:p>
    <w:p w14:paraId="4E1070B0">
      <w:pPr>
        <w:autoSpaceDE w:val="0"/>
        <w:autoSpaceDN w:val="0"/>
        <w:adjustRightInd w:val="0"/>
        <w:spacing w:line="360" w:lineRule="auto"/>
        <w:rPr>
          <w:rFonts w:hint="eastAsia" w:ascii="宋体" w:hAnsi="宋体" w:cs="宋体"/>
          <w:b/>
          <w:color w:val="000000" w:themeColor="text1"/>
        </w:rPr>
      </w:pPr>
      <w:r>
        <w:rPr>
          <w:rFonts w:hint="eastAsia" w:ascii="宋体" w:hAnsi="宋体" w:cs="宋体"/>
          <w:b/>
          <w:color w:val="000000" w:themeColor="text1"/>
        </w:rPr>
        <w:t>附件十一、无重大违法记录声明格式</w:t>
      </w:r>
    </w:p>
    <w:p w14:paraId="67C00160">
      <w:pPr>
        <w:spacing w:line="240" w:lineRule="atLeast"/>
        <w:jc w:val="center"/>
        <w:rPr>
          <w:rFonts w:hint="eastAsia" w:ascii="宋体" w:hAnsi="宋体" w:cs="宋体"/>
          <w:color w:val="000000" w:themeColor="text1"/>
          <w:sz w:val="28"/>
          <w:szCs w:val="36"/>
        </w:rPr>
      </w:pPr>
    </w:p>
    <w:p w14:paraId="4C01C03A">
      <w:pPr>
        <w:spacing w:line="240" w:lineRule="atLeast"/>
        <w:jc w:val="center"/>
        <w:rPr>
          <w:rFonts w:hint="eastAsia" w:ascii="宋体" w:hAnsi="宋体" w:cs="宋体"/>
          <w:color w:val="000000" w:themeColor="text1"/>
          <w:sz w:val="28"/>
          <w:szCs w:val="36"/>
        </w:rPr>
      </w:pPr>
      <w:r>
        <w:rPr>
          <w:rFonts w:hint="eastAsia" w:ascii="宋体" w:hAnsi="宋体" w:cs="宋体"/>
          <w:color w:val="000000" w:themeColor="text1"/>
          <w:sz w:val="28"/>
          <w:szCs w:val="36"/>
        </w:rPr>
        <w:t>无重大违法记录声明</w:t>
      </w:r>
    </w:p>
    <w:p w14:paraId="7A3850AD">
      <w:pPr>
        <w:spacing w:line="360" w:lineRule="auto"/>
        <w:rPr>
          <w:rFonts w:hint="eastAsia" w:ascii="宋体" w:hAnsi="宋体" w:cs="宋体"/>
          <w:color w:val="000000" w:themeColor="text1"/>
          <w:szCs w:val="21"/>
        </w:rPr>
      </w:pPr>
    </w:p>
    <w:p w14:paraId="5D7BF45B">
      <w:pPr>
        <w:spacing w:line="360" w:lineRule="auto"/>
        <w:rPr>
          <w:rFonts w:hint="eastAsia" w:ascii="宋体" w:hAnsi="宋体" w:cs="宋体"/>
          <w:color w:val="000000" w:themeColor="text1"/>
          <w:szCs w:val="21"/>
        </w:rPr>
      </w:pPr>
      <w:r>
        <w:rPr>
          <w:rFonts w:hint="eastAsia" w:ascii="宋体" w:hAnsi="宋体" w:cs="宋体"/>
          <w:color w:val="000000" w:themeColor="text1"/>
          <w:sz w:val="24"/>
        </w:rPr>
        <w:t>中山陵园管理局</w:t>
      </w:r>
      <w:r>
        <w:rPr>
          <w:rFonts w:hint="eastAsia" w:ascii="宋体" w:hAnsi="宋体" w:cs="宋体"/>
          <w:color w:val="000000" w:themeColor="text1"/>
          <w:szCs w:val="21"/>
        </w:rPr>
        <w:t>：</w:t>
      </w:r>
    </w:p>
    <w:p w14:paraId="775A3C78">
      <w:pPr>
        <w:spacing w:line="360" w:lineRule="auto"/>
        <w:rPr>
          <w:rFonts w:hint="eastAsia" w:ascii="宋体" w:hAnsi="宋体" w:cs="宋体"/>
          <w:color w:val="000000" w:themeColor="text1"/>
        </w:rPr>
      </w:pPr>
    </w:p>
    <w:p w14:paraId="5BCEB9A2">
      <w:pPr>
        <w:spacing w:line="360" w:lineRule="auto"/>
        <w:ind w:firstLine="336" w:firstLineChars="160"/>
        <w:rPr>
          <w:rFonts w:hint="eastAsia" w:ascii="宋体" w:hAnsi="宋体" w:cs="宋体"/>
          <w:color w:val="000000" w:themeColor="text1"/>
        </w:rPr>
      </w:pPr>
      <w:r>
        <w:rPr>
          <w:rFonts w:hint="eastAsia" w:ascii="宋体" w:hAnsi="宋体" w:cs="宋体"/>
          <w:color w:val="000000" w:themeColor="text1"/>
        </w:rPr>
        <w:t>我单位（供应商名称）郑重声明：</w:t>
      </w:r>
    </w:p>
    <w:p w14:paraId="24B46760">
      <w:pPr>
        <w:widowControl/>
        <w:shd w:val="clear" w:color="auto" w:fill="FFFFFF"/>
        <w:spacing w:line="360" w:lineRule="auto"/>
        <w:ind w:firstLine="308" w:firstLineChars="147"/>
        <w:rPr>
          <w:rFonts w:hint="eastAsia" w:ascii="宋体" w:hAnsi="宋体" w:cs="宋体"/>
          <w:b/>
          <w:color w:val="000000" w:themeColor="text1"/>
          <w:kern w:val="0"/>
          <w:szCs w:val="21"/>
        </w:rPr>
      </w:pPr>
      <w:r>
        <w:rPr>
          <w:rFonts w:hint="eastAsia" w:ascii="宋体" w:hAnsi="宋体" w:cs="宋体"/>
          <w:color w:val="000000" w:themeColor="text1"/>
          <w:kern w:val="0"/>
          <w:szCs w:val="21"/>
        </w:rPr>
        <w:t>我单位</w:t>
      </w:r>
      <w:r>
        <w:rPr>
          <w:rFonts w:hint="eastAsia" w:ascii="宋体" w:hAnsi="宋体" w:cs="宋体"/>
          <w:color w:val="000000" w:themeColor="text1"/>
        </w:rPr>
        <w:t>参加政府采购活动前3年内在经营活动中（</w:t>
      </w:r>
      <w:r>
        <w:rPr>
          <w:rFonts w:hint="eastAsia" w:ascii="宋体" w:hAnsi="宋体" w:cs="宋体"/>
          <w:b/>
          <w:i/>
          <w:color w:val="000000" w:themeColor="text1"/>
          <w:u w:val="single"/>
        </w:rPr>
        <w:t>在下划线上如实填写：有或没有</w:t>
      </w:r>
      <w:r>
        <w:rPr>
          <w:rFonts w:hint="eastAsia" w:ascii="宋体" w:hAnsi="宋体" w:cs="宋体"/>
          <w:color w:val="000000" w:themeColor="text1"/>
        </w:rPr>
        <w:t>）</w:t>
      </w:r>
      <w:r>
        <w:rPr>
          <w:rFonts w:hint="eastAsia" w:ascii="宋体" w:hAnsi="宋体" w:cs="宋体"/>
          <w:b/>
          <w:color w:val="000000" w:themeColor="text1"/>
        </w:rPr>
        <w:t>重大违法记录</w:t>
      </w:r>
      <w:r>
        <w:rPr>
          <w:rFonts w:hint="eastAsia" w:ascii="宋体" w:hAnsi="宋体" w:cs="宋体"/>
          <w:b/>
          <w:color w:val="000000" w:themeColor="text1"/>
          <w:kern w:val="0"/>
          <w:szCs w:val="21"/>
        </w:rPr>
        <w:t>，且不是失信被执行人、重大税收违法失信主体名单、政府采购严重违法失信行为记录名单的供应商。</w:t>
      </w:r>
    </w:p>
    <w:p w14:paraId="37EE9A74">
      <w:pPr>
        <w:spacing w:line="360" w:lineRule="auto"/>
        <w:ind w:firstLine="420" w:firstLineChars="200"/>
        <w:rPr>
          <w:rFonts w:hint="eastAsia" w:ascii="宋体" w:hAnsi="宋体" w:cs="宋体"/>
          <w:color w:val="000000" w:themeColor="text1"/>
        </w:rPr>
      </w:pPr>
    </w:p>
    <w:p w14:paraId="57A8200B">
      <w:pPr>
        <w:spacing w:line="360" w:lineRule="auto"/>
        <w:ind w:firstLine="315" w:firstLineChars="150"/>
        <w:rPr>
          <w:rFonts w:hint="eastAsia" w:ascii="宋体" w:hAnsi="宋体" w:cs="宋体"/>
          <w:color w:val="000000" w:themeColor="text1"/>
        </w:rPr>
      </w:pPr>
      <w:r>
        <w:rPr>
          <w:rFonts w:hint="eastAsia" w:ascii="宋体" w:hAnsi="宋体" w:cs="宋体"/>
          <w:color w:val="000000" w:themeColor="text1"/>
        </w:rPr>
        <w:t>（说明：政府采购法第二十二条第一款第五项所称重大违法记录，是指供应商因违法经营受到刑事处罚或者责令停产停业、吊销许可证或者执照、较大数额罚款等行政处罚。）</w:t>
      </w:r>
    </w:p>
    <w:p w14:paraId="67E21FE8">
      <w:pPr>
        <w:spacing w:line="360" w:lineRule="auto"/>
        <w:rPr>
          <w:rFonts w:hint="eastAsia" w:ascii="宋体" w:hAnsi="宋体" w:cs="宋体"/>
          <w:color w:val="000000" w:themeColor="text1"/>
        </w:rPr>
      </w:pPr>
    </w:p>
    <w:p w14:paraId="68EF0648">
      <w:pPr>
        <w:spacing w:line="360" w:lineRule="auto"/>
        <w:rPr>
          <w:rFonts w:hint="eastAsia" w:ascii="宋体" w:hAnsi="宋体" w:cs="宋体"/>
          <w:color w:val="000000" w:themeColor="text1"/>
        </w:rPr>
      </w:pPr>
    </w:p>
    <w:p w14:paraId="34D0F3CA">
      <w:pPr>
        <w:spacing w:line="360" w:lineRule="auto"/>
        <w:ind w:firstLine="5103" w:firstLineChars="2430"/>
        <w:rPr>
          <w:rFonts w:hint="eastAsia" w:ascii="宋体" w:hAnsi="宋体" w:cs="宋体"/>
          <w:color w:val="000000" w:themeColor="text1"/>
        </w:rPr>
      </w:pPr>
      <w:r>
        <w:rPr>
          <w:rFonts w:hint="eastAsia" w:ascii="宋体" w:hAnsi="宋体" w:cs="宋体"/>
          <w:color w:val="000000" w:themeColor="text1"/>
        </w:rPr>
        <w:t>声明人：（加盖电子公章）</w:t>
      </w:r>
    </w:p>
    <w:p w14:paraId="4F255AFB">
      <w:pPr>
        <w:autoSpaceDE w:val="0"/>
        <w:autoSpaceDN w:val="0"/>
        <w:adjustRightInd w:val="0"/>
        <w:spacing w:line="360" w:lineRule="auto"/>
        <w:ind w:firstLine="5040" w:firstLineChars="2400"/>
        <w:rPr>
          <w:rFonts w:hint="eastAsia" w:ascii="宋体" w:hAnsi="宋体" w:cs="宋体"/>
          <w:b/>
          <w:color w:val="000000" w:themeColor="text1"/>
        </w:rPr>
      </w:pPr>
      <w:r>
        <w:rPr>
          <w:rFonts w:hint="eastAsia" w:ascii="宋体" w:hAnsi="宋体" w:cs="宋体"/>
          <w:color w:val="000000" w:themeColor="text1"/>
          <w:szCs w:val="21"/>
          <w:lang w:val="zh-CN"/>
        </w:rPr>
        <w:t>日期：年月</w:t>
      </w:r>
      <w:r>
        <w:rPr>
          <w:rFonts w:hint="eastAsia" w:ascii="宋体" w:hAnsi="宋体" w:cs="宋体"/>
          <w:b/>
          <w:color w:val="000000" w:themeColor="text1"/>
          <w:szCs w:val="21"/>
          <w:lang w:val="zh-CN"/>
        </w:rPr>
        <w:br w:type="page"/>
      </w:r>
    </w:p>
    <w:p w14:paraId="67203DC7">
      <w:pPr>
        <w:autoSpaceDE w:val="0"/>
        <w:autoSpaceDN w:val="0"/>
        <w:adjustRightInd w:val="0"/>
        <w:spacing w:line="360" w:lineRule="auto"/>
        <w:rPr>
          <w:rFonts w:hint="eastAsia" w:ascii="宋体" w:hAnsi="宋体" w:cs="宋体"/>
          <w:b/>
          <w:color w:val="000000" w:themeColor="text1"/>
        </w:rPr>
      </w:pPr>
      <w:r>
        <w:rPr>
          <w:rFonts w:hint="eastAsia" w:ascii="宋体" w:hAnsi="宋体" w:cs="宋体"/>
          <w:b/>
          <w:color w:val="000000" w:themeColor="text1"/>
        </w:rPr>
        <w:t>附件十二、资格资信证明文件</w:t>
      </w:r>
    </w:p>
    <w:p w14:paraId="5AEED907">
      <w:pPr>
        <w:autoSpaceDE w:val="0"/>
        <w:autoSpaceDN w:val="0"/>
        <w:adjustRightInd w:val="0"/>
        <w:spacing w:line="360" w:lineRule="auto"/>
        <w:rPr>
          <w:rFonts w:hint="eastAsia" w:ascii="宋体" w:hAnsi="宋体" w:cs="宋体"/>
          <w:b/>
          <w:color w:val="000000" w:themeColor="text1"/>
        </w:rPr>
      </w:pPr>
    </w:p>
    <w:p w14:paraId="1808C44D">
      <w:pPr>
        <w:autoSpaceDE w:val="0"/>
        <w:autoSpaceDN w:val="0"/>
        <w:adjustRightInd w:val="0"/>
        <w:spacing w:line="360" w:lineRule="auto"/>
        <w:rPr>
          <w:rFonts w:hint="eastAsia" w:ascii="宋体" w:hAnsi="宋体" w:cs="宋体"/>
          <w:b/>
          <w:color w:val="000000" w:themeColor="text1"/>
        </w:rPr>
      </w:pPr>
      <w:r>
        <w:rPr>
          <w:rFonts w:hint="eastAsia" w:ascii="宋体" w:hAnsi="宋体" w:cs="宋体"/>
          <w:b/>
          <w:color w:val="000000" w:themeColor="text1"/>
        </w:rPr>
        <w:t>附件十三、联合体协议及联合体授权委托书（如允许联合体、格式自拟）</w:t>
      </w:r>
    </w:p>
    <w:p w14:paraId="235F80E3">
      <w:pPr>
        <w:pStyle w:val="82"/>
        <w:rPr>
          <w:color w:val="000000" w:themeColor="text1"/>
        </w:rPr>
      </w:pPr>
    </w:p>
    <w:p w14:paraId="21E03FCF">
      <w:pPr>
        <w:autoSpaceDE w:val="0"/>
        <w:autoSpaceDN w:val="0"/>
        <w:adjustRightInd w:val="0"/>
        <w:spacing w:line="360" w:lineRule="auto"/>
        <w:rPr>
          <w:rFonts w:hint="eastAsia" w:ascii="宋体" w:hAnsi="宋体" w:cs="宋体"/>
          <w:b/>
          <w:color w:val="000000" w:themeColor="text1"/>
        </w:rPr>
      </w:pPr>
    </w:p>
    <w:p w14:paraId="32FCBCA5">
      <w:pPr>
        <w:pStyle w:val="82"/>
        <w:spacing w:line="360" w:lineRule="auto"/>
        <w:ind w:firstLine="0" w:firstLineChars="0"/>
        <w:jc w:val="left"/>
        <w:rPr>
          <w:rFonts w:hint="eastAsia" w:ascii="宋体" w:hAnsi="宋体" w:cs="宋体"/>
          <w:b/>
          <w:color w:val="000000" w:themeColor="text1"/>
        </w:rPr>
      </w:pPr>
      <w:r>
        <w:rPr>
          <w:rFonts w:hint="eastAsia" w:ascii="宋体" w:hAnsi="宋体" w:cs="宋体"/>
          <w:b/>
          <w:color w:val="000000" w:themeColor="text1"/>
        </w:rPr>
        <w:t>附件十四、《南京市政府采购供应商信用记录表暨信用承诺书》（签字并盖章）</w:t>
      </w:r>
    </w:p>
    <w:p w14:paraId="24DDD49E">
      <w:pPr>
        <w:snapToGrid w:val="0"/>
        <w:spacing w:after="312" w:afterLines="100"/>
        <w:jc w:val="center"/>
        <w:rPr>
          <w:rFonts w:eastAsia="方正小标宋简体"/>
          <w:color w:val="000000" w:themeColor="text1"/>
          <w:sz w:val="44"/>
          <w:szCs w:val="52"/>
        </w:rPr>
      </w:pPr>
      <w:r>
        <w:rPr>
          <w:rFonts w:eastAsia="方正小标宋简体"/>
          <w:color w:val="000000" w:themeColor="text1"/>
          <w:sz w:val="44"/>
          <w:szCs w:val="52"/>
        </w:rPr>
        <w:t>南京市政府采购供应商信用承诺书</w:t>
      </w:r>
    </w:p>
    <w:p w14:paraId="6D328098">
      <w:pPr>
        <w:jc w:val="right"/>
        <w:rPr>
          <w:rFonts w:eastAsia="方正小标宋简体"/>
          <w:color w:val="000000" w:themeColor="text1"/>
          <w:sz w:val="22"/>
          <w:szCs w:val="28"/>
        </w:rPr>
      </w:pPr>
      <w:r>
        <w:rPr>
          <w:rFonts w:eastAsia="方正小标宋简体"/>
          <w:color w:val="000000" w:themeColor="text1"/>
          <w:sz w:val="22"/>
          <w:szCs w:val="28"/>
        </w:rPr>
        <w:t>年月日</w:t>
      </w:r>
    </w:p>
    <w:p w14:paraId="457C4732">
      <w:pPr>
        <w:jc w:val="center"/>
        <w:rPr>
          <w:color w:val="000000" w:themeColor="text1"/>
        </w:rPr>
      </w:pPr>
    </w:p>
    <w:tbl>
      <w:tblPr>
        <w:tblStyle w:val="46"/>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1412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4BC42C4B">
            <w:pPr>
              <w:tabs>
                <w:tab w:val="left" w:pos="2520"/>
              </w:tabs>
              <w:ind w:left="-420" w:leftChars="-200"/>
              <w:jc w:val="center"/>
              <w:rPr>
                <w:color w:val="000000" w:themeColor="text1"/>
                <w:sz w:val="24"/>
                <w:szCs w:val="32"/>
              </w:rPr>
            </w:pPr>
            <w:r>
              <w:rPr>
                <w:color w:val="000000" w:themeColor="text1"/>
                <w:sz w:val="24"/>
                <w:szCs w:val="32"/>
              </w:rPr>
              <w:t>单位名称</w:t>
            </w:r>
          </w:p>
        </w:tc>
        <w:tc>
          <w:tcPr>
            <w:tcW w:w="2284" w:type="dxa"/>
            <w:vAlign w:val="center"/>
          </w:tcPr>
          <w:p w14:paraId="3FE41F00">
            <w:pPr>
              <w:jc w:val="center"/>
              <w:rPr>
                <w:color w:val="000000" w:themeColor="text1"/>
                <w:sz w:val="24"/>
                <w:szCs w:val="32"/>
              </w:rPr>
            </w:pPr>
          </w:p>
        </w:tc>
        <w:tc>
          <w:tcPr>
            <w:tcW w:w="1833" w:type="dxa"/>
            <w:vAlign w:val="center"/>
          </w:tcPr>
          <w:p w14:paraId="2D86101A">
            <w:pPr>
              <w:jc w:val="center"/>
              <w:rPr>
                <w:color w:val="000000" w:themeColor="text1"/>
                <w:sz w:val="24"/>
                <w:szCs w:val="32"/>
              </w:rPr>
            </w:pPr>
            <w:r>
              <w:rPr>
                <w:color w:val="000000" w:themeColor="text1"/>
                <w:sz w:val="24"/>
                <w:szCs w:val="32"/>
              </w:rPr>
              <w:t>统一社会信用代码</w:t>
            </w:r>
          </w:p>
        </w:tc>
        <w:tc>
          <w:tcPr>
            <w:tcW w:w="3331" w:type="dxa"/>
            <w:vAlign w:val="center"/>
          </w:tcPr>
          <w:p w14:paraId="0B248BC4">
            <w:pPr>
              <w:tabs>
                <w:tab w:val="left" w:pos="2320"/>
              </w:tabs>
              <w:ind w:right="-678" w:rightChars="-323"/>
              <w:jc w:val="center"/>
              <w:rPr>
                <w:color w:val="000000" w:themeColor="text1"/>
              </w:rPr>
            </w:pPr>
          </w:p>
        </w:tc>
      </w:tr>
      <w:tr w14:paraId="7AEE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28DB8155">
            <w:pPr>
              <w:jc w:val="center"/>
              <w:rPr>
                <w:color w:val="000000" w:themeColor="text1"/>
                <w:sz w:val="24"/>
                <w:szCs w:val="32"/>
              </w:rPr>
            </w:pPr>
            <w:r>
              <w:rPr>
                <w:color w:val="000000" w:themeColor="text1"/>
                <w:sz w:val="24"/>
                <w:szCs w:val="32"/>
              </w:rPr>
              <w:t>法定代表人</w:t>
            </w:r>
          </w:p>
        </w:tc>
        <w:tc>
          <w:tcPr>
            <w:tcW w:w="2284" w:type="dxa"/>
            <w:vAlign w:val="center"/>
          </w:tcPr>
          <w:p w14:paraId="07FD5680">
            <w:pPr>
              <w:jc w:val="center"/>
              <w:rPr>
                <w:color w:val="000000" w:themeColor="text1"/>
                <w:sz w:val="24"/>
                <w:szCs w:val="32"/>
              </w:rPr>
            </w:pPr>
          </w:p>
        </w:tc>
        <w:tc>
          <w:tcPr>
            <w:tcW w:w="1833" w:type="dxa"/>
            <w:vAlign w:val="center"/>
          </w:tcPr>
          <w:p w14:paraId="1CEC1DF5">
            <w:pPr>
              <w:jc w:val="center"/>
              <w:rPr>
                <w:color w:val="000000" w:themeColor="text1"/>
                <w:sz w:val="24"/>
                <w:szCs w:val="32"/>
              </w:rPr>
            </w:pPr>
            <w:r>
              <w:rPr>
                <w:color w:val="000000" w:themeColor="text1"/>
                <w:sz w:val="24"/>
                <w:szCs w:val="32"/>
              </w:rPr>
              <w:t>联系人</w:t>
            </w:r>
          </w:p>
        </w:tc>
        <w:tc>
          <w:tcPr>
            <w:tcW w:w="3331" w:type="dxa"/>
            <w:vAlign w:val="center"/>
          </w:tcPr>
          <w:p w14:paraId="2945EEFC">
            <w:pPr>
              <w:jc w:val="center"/>
              <w:rPr>
                <w:color w:val="000000" w:themeColor="text1"/>
              </w:rPr>
            </w:pPr>
          </w:p>
        </w:tc>
      </w:tr>
      <w:tr w14:paraId="36D2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19C6B603">
            <w:pPr>
              <w:jc w:val="center"/>
              <w:rPr>
                <w:color w:val="000000" w:themeColor="text1"/>
                <w:sz w:val="24"/>
                <w:szCs w:val="32"/>
              </w:rPr>
            </w:pPr>
            <w:r>
              <w:rPr>
                <w:color w:val="000000" w:themeColor="text1"/>
                <w:sz w:val="24"/>
                <w:szCs w:val="32"/>
              </w:rPr>
              <w:t>联系地址</w:t>
            </w:r>
          </w:p>
        </w:tc>
        <w:tc>
          <w:tcPr>
            <w:tcW w:w="2284" w:type="dxa"/>
            <w:vAlign w:val="center"/>
          </w:tcPr>
          <w:p w14:paraId="774148E9">
            <w:pPr>
              <w:jc w:val="center"/>
              <w:rPr>
                <w:color w:val="000000" w:themeColor="text1"/>
                <w:sz w:val="24"/>
                <w:szCs w:val="32"/>
              </w:rPr>
            </w:pPr>
          </w:p>
        </w:tc>
        <w:tc>
          <w:tcPr>
            <w:tcW w:w="1833" w:type="dxa"/>
            <w:vAlign w:val="center"/>
          </w:tcPr>
          <w:p w14:paraId="1E96F8D9">
            <w:pPr>
              <w:jc w:val="center"/>
              <w:rPr>
                <w:color w:val="000000" w:themeColor="text1"/>
                <w:sz w:val="24"/>
                <w:szCs w:val="32"/>
              </w:rPr>
            </w:pPr>
            <w:r>
              <w:rPr>
                <w:color w:val="000000" w:themeColor="text1"/>
                <w:sz w:val="24"/>
                <w:szCs w:val="32"/>
              </w:rPr>
              <w:t>联系电话</w:t>
            </w:r>
          </w:p>
        </w:tc>
        <w:tc>
          <w:tcPr>
            <w:tcW w:w="3331" w:type="dxa"/>
            <w:vAlign w:val="center"/>
          </w:tcPr>
          <w:p w14:paraId="20D56D62">
            <w:pPr>
              <w:jc w:val="center"/>
              <w:rPr>
                <w:color w:val="000000" w:themeColor="text1"/>
              </w:rPr>
            </w:pPr>
          </w:p>
        </w:tc>
      </w:tr>
      <w:tr w14:paraId="6119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32446B7B">
            <w:pPr>
              <w:jc w:val="center"/>
              <w:rPr>
                <w:color w:val="000000" w:themeColor="text1"/>
                <w:sz w:val="24"/>
                <w:szCs w:val="32"/>
              </w:rPr>
            </w:pPr>
            <w:r>
              <w:rPr>
                <w:color w:val="000000" w:themeColor="text1"/>
                <w:sz w:val="24"/>
                <w:szCs w:val="32"/>
              </w:rPr>
              <w:t>信用承诺</w:t>
            </w:r>
          </w:p>
        </w:tc>
        <w:tc>
          <w:tcPr>
            <w:tcW w:w="7448" w:type="dxa"/>
            <w:gridSpan w:val="3"/>
            <w:vAlign w:val="center"/>
          </w:tcPr>
          <w:p w14:paraId="05DC13D2">
            <w:pPr>
              <w:snapToGrid w:val="0"/>
              <w:spacing w:before="156" w:beforeLines="50" w:line="360" w:lineRule="auto"/>
              <w:ind w:firstLine="420" w:firstLineChars="200"/>
              <w:rPr>
                <w:color w:val="000000" w:themeColor="text1"/>
              </w:rPr>
            </w:pPr>
            <w:r>
              <w:rPr>
                <w:color w:val="000000" w:themeColor="text1"/>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66F1135D">
            <w:pPr>
              <w:ind w:firstLine="420" w:firstLineChars="200"/>
              <w:rPr>
                <w:color w:val="000000" w:themeColor="text1"/>
              </w:rPr>
            </w:pPr>
          </w:p>
          <w:p w14:paraId="4980B9D7">
            <w:pPr>
              <w:ind w:firstLine="420" w:firstLineChars="200"/>
              <w:jc w:val="center"/>
              <w:rPr>
                <w:color w:val="000000" w:themeColor="text1"/>
              </w:rPr>
            </w:pPr>
            <w:r>
              <w:rPr>
                <w:color w:val="000000" w:themeColor="text1"/>
              </w:rPr>
              <w:t>供应商名称（盖章）：</w:t>
            </w:r>
          </w:p>
          <w:p w14:paraId="6A664BE3">
            <w:pPr>
              <w:ind w:firstLine="420" w:firstLineChars="200"/>
              <w:jc w:val="center"/>
              <w:rPr>
                <w:color w:val="000000" w:themeColor="text1"/>
              </w:rPr>
            </w:pPr>
          </w:p>
          <w:p w14:paraId="717A3B0C">
            <w:pPr>
              <w:ind w:firstLine="420" w:firstLineChars="200"/>
              <w:jc w:val="center"/>
              <w:rPr>
                <w:color w:val="000000" w:themeColor="text1"/>
              </w:rPr>
            </w:pPr>
            <w:r>
              <w:rPr>
                <w:color w:val="000000" w:themeColor="text1"/>
              </w:rPr>
              <w:t>法定代表人（签字）：</w:t>
            </w:r>
          </w:p>
          <w:p w14:paraId="793837AA">
            <w:pPr>
              <w:ind w:firstLine="420" w:firstLineChars="200"/>
              <w:jc w:val="center"/>
              <w:rPr>
                <w:color w:val="000000" w:themeColor="text1"/>
              </w:rPr>
            </w:pPr>
          </w:p>
          <w:p w14:paraId="7CBC5BC8">
            <w:pPr>
              <w:ind w:firstLine="420" w:firstLineChars="200"/>
              <w:jc w:val="center"/>
              <w:rPr>
                <w:color w:val="000000" w:themeColor="text1"/>
              </w:rPr>
            </w:pPr>
            <w:r>
              <w:rPr>
                <w:color w:val="000000" w:themeColor="text1"/>
              </w:rPr>
              <w:t>年月日</w:t>
            </w:r>
          </w:p>
        </w:tc>
      </w:tr>
    </w:tbl>
    <w:p w14:paraId="3D47E4B5">
      <w:pPr>
        <w:pStyle w:val="82"/>
        <w:spacing w:line="360" w:lineRule="auto"/>
        <w:ind w:firstLine="0" w:firstLineChars="0"/>
        <w:jc w:val="left"/>
        <w:rPr>
          <w:rFonts w:hint="eastAsia" w:ascii="宋体" w:hAnsi="宋体" w:cs="宋体"/>
          <w:b/>
          <w:color w:val="000000" w:themeColor="text1"/>
        </w:rPr>
      </w:pPr>
    </w:p>
    <w:p w14:paraId="0A1DBA0A">
      <w:pPr>
        <w:widowControl/>
        <w:jc w:val="left"/>
        <w:rPr>
          <w:rFonts w:hint="eastAsia" w:ascii="宋体" w:hAnsi="宋体" w:cs="宋体"/>
          <w:b/>
          <w:color w:val="000000" w:themeColor="text1"/>
        </w:rPr>
      </w:pPr>
      <w:r>
        <w:rPr>
          <w:rFonts w:hint="eastAsia" w:ascii="宋体" w:hAnsi="宋体" w:cs="宋体"/>
          <w:b/>
          <w:color w:val="000000" w:themeColor="text1"/>
        </w:rPr>
        <w:br w:type="page"/>
      </w:r>
    </w:p>
    <w:p w14:paraId="6769EE85">
      <w:pPr>
        <w:pStyle w:val="82"/>
        <w:spacing w:line="360" w:lineRule="auto"/>
        <w:ind w:firstLine="0" w:firstLineChars="0"/>
        <w:jc w:val="left"/>
        <w:rPr>
          <w:rFonts w:hint="eastAsia" w:ascii="宋体" w:hAnsi="宋体" w:cs="宋体"/>
          <w:b/>
          <w:color w:val="000000" w:themeColor="text1"/>
        </w:rPr>
      </w:pPr>
      <w:r>
        <w:rPr>
          <w:rFonts w:hint="eastAsia" w:ascii="宋体" w:hAnsi="宋体" w:cs="宋体"/>
          <w:b/>
          <w:color w:val="000000" w:themeColor="text1"/>
        </w:rPr>
        <w:t>附件十五、具备履行合同所必需的设备和专业技术能力的声明格式及证明材料</w:t>
      </w:r>
    </w:p>
    <w:p w14:paraId="65F05D06">
      <w:pPr>
        <w:spacing w:line="360" w:lineRule="auto"/>
        <w:jc w:val="center"/>
        <w:rPr>
          <w:rFonts w:hint="eastAsia" w:ascii="宋体" w:hAnsi="宋体" w:cs="宋体"/>
          <w:color w:val="000000" w:themeColor="text1"/>
          <w:sz w:val="24"/>
        </w:rPr>
      </w:pPr>
    </w:p>
    <w:p w14:paraId="512DA0EC">
      <w:pPr>
        <w:spacing w:line="360" w:lineRule="auto"/>
        <w:jc w:val="center"/>
        <w:rPr>
          <w:rFonts w:hint="eastAsia" w:ascii="宋体" w:hAnsi="宋体" w:cs="宋体"/>
          <w:color w:val="000000" w:themeColor="text1"/>
          <w:sz w:val="24"/>
        </w:rPr>
      </w:pPr>
      <w:r>
        <w:rPr>
          <w:rFonts w:hint="eastAsia" w:ascii="宋体" w:hAnsi="宋体" w:cs="宋体"/>
          <w:color w:val="000000" w:themeColor="text1"/>
          <w:sz w:val="24"/>
        </w:rPr>
        <w:t>具备履行合同所必需的设备和专业技术能力的声明格式</w:t>
      </w:r>
    </w:p>
    <w:p w14:paraId="5E834D3B">
      <w:pPr>
        <w:spacing w:line="360" w:lineRule="auto"/>
        <w:rPr>
          <w:rFonts w:hint="eastAsia" w:ascii="宋体" w:hAnsi="宋体" w:cs="宋体"/>
          <w:color w:val="000000" w:themeColor="text1"/>
          <w:sz w:val="24"/>
        </w:rPr>
      </w:pPr>
      <w:r>
        <w:rPr>
          <w:rFonts w:hint="eastAsia" w:ascii="宋体" w:hAnsi="宋体" w:cs="宋体"/>
          <w:color w:val="000000" w:themeColor="text1"/>
          <w:sz w:val="24"/>
        </w:rPr>
        <w:t>中山陵园管理局：</w:t>
      </w:r>
    </w:p>
    <w:p w14:paraId="6E36C5EB">
      <w:pPr>
        <w:spacing w:line="360" w:lineRule="auto"/>
        <w:ind w:firstLine="492"/>
        <w:rPr>
          <w:rFonts w:hint="eastAsia" w:ascii="宋体" w:hAnsi="宋体" w:cs="宋体"/>
          <w:color w:val="000000" w:themeColor="text1"/>
          <w:sz w:val="24"/>
        </w:rPr>
      </w:pPr>
      <w:r>
        <w:rPr>
          <w:rFonts w:hint="eastAsia" w:ascii="宋体" w:hAnsi="宋体" w:cs="宋体"/>
          <w:color w:val="000000" w:themeColor="text1"/>
          <w:sz w:val="24"/>
        </w:rPr>
        <w:t xml:space="preserve">我单位 </w:t>
      </w:r>
      <w:r>
        <w:rPr>
          <w:rFonts w:hint="eastAsia" w:ascii="宋体" w:hAnsi="宋体" w:cs="宋体"/>
          <w:color w:val="000000" w:themeColor="text1"/>
          <w:sz w:val="24"/>
          <w:u w:val="single"/>
        </w:rPr>
        <w:t xml:space="preserve">                            </w:t>
      </w:r>
      <w:r>
        <w:rPr>
          <w:rFonts w:hint="eastAsia" w:ascii="宋体" w:hAnsi="宋体" w:cs="宋体"/>
          <w:color w:val="000000" w:themeColor="text1"/>
          <w:sz w:val="24"/>
        </w:rPr>
        <w:t>（供应商名称）郑重声明：我公司具备履行本项采购合同所必需的设备和专业技术能力，为履行本项采购合同我单位具备如下主要设备和主要专业技术能力：</w:t>
      </w:r>
    </w:p>
    <w:p w14:paraId="4653C161">
      <w:pPr>
        <w:spacing w:line="360" w:lineRule="auto"/>
        <w:ind w:firstLine="492"/>
        <w:rPr>
          <w:rFonts w:hint="eastAsia" w:ascii="宋体" w:hAnsi="宋体" w:cs="宋体"/>
          <w:color w:val="000000" w:themeColor="text1"/>
          <w:sz w:val="24"/>
        </w:rPr>
      </w:pPr>
      <w:r>
        <w:rPr>
          <w:rFonts w:hint="eastAsia" w:ascii="宋体" w:hAnsi="宋体" w:cs="宋体"/>
          <w:color w:val="000000" w:themeColor="text1"/>
          <w:sz w:val="24"/>
        </w:rPr>
        <w:t>主要设备有：</w:t>
      </w:r>
      <w:r>
        <w:rPr>
          <w:rFonts w:hint="eastAsia" w:ascii="宋体" w:hAnsi="宋体" w:cs="宋体"/>
          <w:color w:val="000000" w:themeColor="text1"/>
          <w:sz w:val="24"/>
          <w:u w:val="single"/>
        </w:rPr>
        <w:t xml:space="preserve">                          </w:t>
      </w:r>
      <w:r>
        <w:rPr>
          <w:rFonts w:hint="eastAsia" w:ascii="宋体" w:hAnsi="宋体" w:cs="宋体"/>
          <w:color w:val="000000" w:themeColor="text1"/>
          <w:sz w:val="24"/>
        </w:rPr>
        <w:t>。( 若有 )</w:t>
      </w:r>
    </w:p>
    <w:p w14:paraId="162E8D91">
      <w:pPr>
        <w:spacing w:line="360" w:lineRule="auto"/>
        <w:ind w:firstLine="492"/>
        <w:rPr>
          <w:rFonts w:hint="eastAsia" w:ascii="宋体" w:hAnsi="宋体" w:cs="宋体"/>
          <w:color w:val="000000" w:themeColor="text1"/>
          <w:sz w:val="24"/>
        </w:rPr>
      </w:pPr>
      <w:r>
        <w:rPr>
          <w:rFonts w:hint="eastAsia" w:ascii="宋体" w:hAnsi="宋体" w:cs="宋体"/>
          <w:color w:val="000000" w:themeColor="text1"/>
          <w:sz w:val="24"/>
        </w:rPr>
        <w:t>主要专业技术能力有</w:t>
      </w:r>
      <w:r>
        <w:rPr>
          <w:rFonts w:hint="eastAsia" w:ascii="宋体" w:hAnsi="宋体" w:cs="宋体"/>
          <w:color w:val="000000" w:themeColor="text1"/>
          <w:sz w:val="24"/>
          <w:u w:val="single"/>
        </w:rPr>
        <w:t xml:space="preserve">：                  </w:t>
      </w:r>
      <w:r>
        <w:rPr>
          <w:rFonts w:hint="eastAsia" w:ascii="宋体" w:hAnsi="宋体" w:cs="宋体"/>
          <w:color w:val="000000" w:themeColor="text1"/>
          <w:sz w:val="24"/>
        </w:rPr>
        <w:t>。( 若有 )</w:t>
      </w:r>
    </w:p>
    <w:p w14:paraId="12F9B9A9">
      <w:pPr>
        <w:spacing w:line="360" w:lineRule="auto"/>
        <w:rPr>
          <w:rFonts w:hint="eastAsia" w:ascii="宋体" w:hAnsi="宋体" w:cs="宋体"/>
          <w:color w:val="000000" w:themeColor="text1"/>
          <w:sz w:val="24"/>
        </w:rPr>
      </w:pPr>
      <w:r>
        <w:rPr>
          <w:rFonts w:hint="eastAsia" w:ascii="宋体" w:hAnsi="宋体" w:cs="宋体"/>
          <w:color w:val="000000" w:themeColor="text1"/>
          <w:sz w:val="24"/>
        </w:rPr>
        <w:t xml:space="preserve">                                      </w:t>
      </w:r>
    </w:p>
    <w:p w14:paraId="115454E6">
      <w:pPr>
        <w:spacing w:line="360" w:lineRule="auto"/>
        <w:rPr>
          <w:rFonts w:hint="eastAsia" w:ascii="宋体" w:hAnsi="宋体" w:cs="宋体"/>
          <w:color w:val="000000" w:themeColor="text1"/>
          <w:sz w:val="24"/>
        </w:rPr>
      </w:pPr>
    </w:p>
    <w:p w14:paraId="6B49C07D">
      <w:pPr>
        <w:spacing w:line="360" w:lineRule="auto"/>
        <w:rPr>
          <w:rFonts w:hint="eastAsia" w:ascii="宋体" w:hAnsi="宋体" w:cs="宋体"/>
          <w:color w:val="000000" w:themeColor="text1"/>
          <w:sz w:val="24"/>
        </w:rPr>
      </w:pPr>
      <w:r>
        <w:rPr>
          <w:rFonts w:hint="eastAsia" w:ascii="宋体" w:hAnsi="宋体" w:cs="宋体"/>
          <w:color w:val="000000" w:themeColor="text1"/>
          <w:sz w:val="24"/>
        </w:rPr>
        <w:t xml:space="preserve">                                           声明人：（公章）</w:t>
      </w:r>
    </w:p>
    <w:p w14:paraId="076A5973">
      <w:pPr>
        <w:spacing w:line="360" w:lineRule="auto"/>
        <w:rPr>
          <w:rFonts w:hint="eastAsia" w:ascii="宋体" w:hAnsi="宋体" w:cs="宋体"/>
          <w:color w:val="000000" w:themeColor="text1"/>
          <w:sz w:val="24"/>
        </w:rPr>
      </w:pPr>
      <w:r>
        <w:rPr>
          <w:rFonts w:hint="eastAsia" w:ascii="宋体" w:hAnsi="宋体" w:cs="宋体"/>
          <w:bCs/>
          <w:color w:val="000000" w:themeColor="text1"/>
          <w:sz w:val="24"/>
        </w:rPr>
        <w:t xml:space="preserve">                                     </w:t>
      </w:r>
      <w:r>
        <w:rPr>
          <w:rFonts w:hint="eastAsia" w:ascii="宋体" w:hAnsi="宋体" w:cs="宋体"/>
          <w:color w:val="000000" w:themeColor="text1"/>
          <w:sz w:val="24"/>
        </w:rPr>
        <w:t>日期：______年</w:t>
      </w:r>
      <w:r>
        <w:rPr>
          <w:rFonts w:hint="eastAsia" w:ascii="宋体" w:hAnsi="宋体" w:cs="宋体"/>
          <w:color w:val="000000" w:themeColor="text1"/>
          <w:sz w:val="24"/>
          <w:u w:val="single"/>
        </w:rPr>
        <w:t xml:space="preserve">    </w:t>
      </w:r>
      <w:r>
        <w:rPr>
          <w:rFonts w:hint="eastAsia" w:ascii="宋体" w:hAnsi="宋体" w:cs="宋体"/>
          <w:color w:val="000000" w:themeColor="text1"/>
          <w:sz w:val="24"/>
        </w:rPr>
        <w:t>月</w:t>
      </w:r>
      <w:r>
        <w:rPr>
          <w:rFonts w:hint="eastAsia" w:ascii="宋体" w:hAnsi="宋体" w:cs="宋体"/>
          <w:color w:val="000000" w:themeColor="text1"/>
          <w:sz w:val="24"/>
          <w:u w:val="single"/>
        </w:rPr>
        <w:t xml:space="preserve">    </w:t>
      </w:r>
      <w:r>
        <w:rPr>
          <w:rFonts w:hint="eastAsia" w:ascii="宋体" w:hAnsi="宋体" w:cs="宋体"/>
          <w:color w:val="000000" w:themeColor="text1"/>
          <w:sz w:val="24"/>
        </w:rPr>
        <w:t>日</w:t>
      </w:r>
    </w:p>
    <w:p w14:paraId="15F642C2">
      <w:pPr>
        <w:spacing w:line="360" w:lineRule="auto"/>
        <w:rPr>
          <w:rFonts w:hint="eastAsia" w:ascii="宋体" w:hAnsi="宋体" w:cs="宋体"/>
          <w:color w:val="000000" w:themeColor="text1"/>
          <w:sz w:val="24"/>
        </w:rPr>
      </w:pPr>
    </w:p>
    <w:p w14:paraId="236BC5E0">
      <w:pPr>
        <w:spacing w:line="360" w:lineRule="auto"/>
        <w:ind w:firstLine="492"/>
        <w:rPr>
          <w:rFonts w:hint="eastAsia" w:ascii="宋体" w:hAnsi="宋体" w:cs="宋体"/>
          <w:color w:val="000000" w:themeColor="text1"/>
          <w:sz w:val="24"/>
        </w:rPr>
      </w:pPr>
      <w:r>
        <w:rPr>
          <w:rFonts w:hint="eastAsia" w:ascii="宋体" w:hAnsi="宋体" w:cs="宋体"/>
          <w:color w:val="000000" w:themeColor="text1"/>
          <w:sz w:val="24"/>
        </w:rPr>
        <w:t>其他证明材料及文件：（如果供应商认为需要提供的话）</w:t>
      </w:r>
    </w:p>
    <w:p w14:paraId="740E65F2">
      <w:pPr>
        <w:pStyle w:val="82"/>
        <w:spacing w:line="360" w:lineRule="auto"/>
        <w:ind w:firstLine="0" w:firstLineChars="0"/>
        <w:jc w:val="left"/>
        <w:rPr>
          <w:rFonts w:hint="eastAsia" w:ascii="宋体" w:hAnsi="宋体" w:cs="宋体"/>
          <w:b/>
          <w:color w:val="000000" w:themeColor="text1"/>
        </w:rPr>
      </w:pPr>
    </w:p>
    <w:p w14:paraId="3176D3A5">
      <w:pPr>
        <w:pStyle w:val="82"/>
        <w:spacing w:line="360" w:lineRule="auto"/>
        <w:ind w:firstLine="0" w:firstLineChars="0"/>
        <w:jc w:val="left"/>
        <w:rPr>
          <w:rFonts w:hint="eastAsia" w:ascii="宋体" w:hAnsi="宋体" w:cs="宋体"/>
          <w:b/>
          <w:color w:val="000000" w:themeColor="text1"/>
        </w:rPr>
      </w:pPr>
      <w:r>
        <w:rPr>
          <w:rFonts w:hint="eastAsia" w:ascii="宋体" w:hAnsi="宋体" w:cs="宋体"/>
          <w:b/>
          <w:color w:val="000000" w:themeColor="text1"/>
        </w:rPr>
        <w:t>附件十六、投标人需要提供的其他材料</w:t>
      </w:r>
    </w:p>
    <w:p w14:paraId="36A23BC1">
      <w:pPr>
        <w:pStyle w:val="17"/>
        <w:jc w:val="center"/>
        <w:rPr>
          <w:rFonts w:hint="eastAsia" w:ascii="宋体" w:hAnsi="宋体" w:cs="宋体"/>
          <w:b/>
          <w:color w:val="000000" w:themeColor="text1"/>
        </w:rPr>
      </w:pPr>
      <w:r>
        <w:rPr>
          <w:rFonts w:hint="eastAsia" w:ascii="宋体" w:hAnsi="宋体" w:cs="宋体"/>
          <w:b/>
          <w:color w:val="000000" w:themeColor="text1"/>
        </w:rPr>
        <w:t>承诺书</w:t>
      </w:r>
    </w:p>
    <w:p w14:paraId="22FCB425">
      <w:pPr>
        <w:pStyle w:val="17"/>
        <w:numPr>
          <w:ilvl w:val="0"/>
          <w:numId w:val="17"/>
        </w:numPr>
        <w:rPr>
          <w:rFonts w:hint="eastAsia" w:ascii="宋体" w:hAnsi="宋体" w:cs="宋体"/>
          <w:b/>
          <w:color w:val="000000" w:themeColor="text1"/>
        </w:rPr>
      </w:pPr>
      <w:r>
        <w:rPr>
          <w:rFonts w:hint="eastAsia" w:ascii="宋体" w:hAnsi="宋体" w:cs="宋体"/>
          <w:b/>
          <w:color w:val="000000" w:themeColor="text1"/>
        </w:rPr>
        <w:t>我单位承诺</w:t>
      </w:r>
      <w:r>
        <w:rPr>
          <w:rFonts w:ascii="宋体" w:hAnsi="宋体" w:cs="宋体"/>
          <w:b/>
          <w:color w:val="000000" w:themeColor="text1"/>
        </w:rPr>
        <w:t>投标人须承诺</w:t>
      </w:r>
      <w:r>
        <w:rPr>
          <w:rFonts w:ascii="宋体" w:hAnsi="宋体" w:cs="宋体"/>
          <w:b/>
          <w:bCs/>
          <w:color w:val="000000" w:themeColor="text1"/>
        </w:rPr>
        <w:t>具备独立完成交通指挥能力，并且具备与交管部门合作协调的能力与机制的能力</w:t>
      </w:r>
      <w:r>
        <w:rPr>
          <w:rFonts w:hint="eastAsia" w:ascii="宋体" w:hAnsi="宋体" w:cs="宋体"/>
          <w:b/>
          <w:color w:val="000000" w:themeColor="text1"/>
        </w:rPr>
        <w:t>。</w:t>
      </w:r>
    </w:p>
    <w:p w14:paraId="2E4D8C19">
      <w:pPr>
        <w:pStyle w:val="17"/>
        <w:numPr>
          <w:ilvl w:val="0"/>
          <w:numId w:val="17"/>
        </w:numPr>
        <w:rPr>
          <w:rFonts w:hint="eastAsia" w:ascii="宋体" w:hAnsi="宋体" w:cs="宋体"/>
          <w:b/>
          <w:color w:val="000000" w:themeColor="text1"/>
        </w:rPr>
      </w:pPr>
      <w:r>
        <w:rPr>
          <w:rFonts w:hint="eastAsia" w:ascii="宋体" w:hAnsi="宋体" w:cs="宋体"/>
          <w:b/>
          <w:color w:val="000000" w:themeColor="text1"/>
        </w:rPr>
        <w:t>我单位承诺中标后按照规定给用工人员</w:t>
      </w:r>
      <w:r>
        <w:rPr>
          <w:rFonts w:ascii="宋体" w:hAnsi="宋体" w:cs="宋体"/>
          <w:b/>
          <w:color w:val="000000" w:themeColor="text1"/>
        </w:rPr>
        <w:t>发放工资等</w:t>
      </w:r>
      <w:r>
        <w:rPr>
          <w:rFonts w:hint="eastAsia" w:ascii="宋体" w:hAnsi="宋体" w:cs="宋体"/>
          <w:b/>
          <w:color w:val="000000" w:themeColor="text1"/>
        </w:rPr>
        <w:t>其他</w:t>
      </w:r>
      <w:r>
        <w:rPr>
          <w:rFonts w:ascii="宋体" w:hAnsi="宋体" w:cs="宋体"/>
          <w:b/>
          <w:color w:val="000000" w:themeColor="text1"/>
        </w:rPr>
        <w:t>待遇</w:t>
      </w:r>
      <w:r>
        <w:rPr>
          <w:rFonts w:hint="eastAsia" w:ascii="宋体" w:hAnsi="宋体" w:cs="宋体"/>
          <w:b/>
          <w:color w:val="000000" w:themeColor="text1"/>
        </w:rPr>
        <w:t>。</w:t>
      </w:r>
    </w:p>
    <w:p w14:paraId="5397B3C6">
      <w:pPr>
        <w:widowControl/>
        <w:spacing w:line="440" w:lineRule="exact"/>
        <w:ind w:firstLine="5040" w:firstLineChars="2400"/>
        <w:jc w:val="left"/>
        <w:rPr>
          <w:rFonts w:hint="eastAsia" w:ascii="宋体" w:hAnsi="宋体" w:cs="宋体"/>
          <w:snapToGrid w:val="0"/>
          <w:color w:val="000000" w:themeColor="text1"/>
          <w:kern w:val="0"/>
          <w:szCs w:val="21"/>
        </w:rPr>
      </w:pPr>
      <w:r>
        <w:rPr>
          <w:rFonts w:hint="eastAsia" w:ascii="宋体" w:hAnsi="宋体" w:cs="宋体"/>
          <w:snapToGrid w:val="0"/>
          <w:color w:val="000000" w:themeColor="text1"/>
          <w:kern w:val="0"/>
          <w:szCs w:val="21"/>
        </w:rPr>
        <w:t>单位名称</w:t>
      </w:r>
      <w:r>
        <w:rPr>
          <w:rFonts w:hint="eastAsia" w:ascii="宋体" w:hAnsi="宋体" w:cs="宋体"/>
          <w:color w:val="000000" w:themeColor="text1"/>
          <w:kern w:val="0"/>
          <w:szCs w:val="21"/>
        </w:rPr>
        <w:t>（加盖电子公章）</w:t>
      </w:r>
      <w:r>
        <w:rPr>
          <w:rFonts w:hint="eastAsia" w:ascii="宋体" w:hAnsi="宋体" w:cs="宋体"/>
          <w:snapToGrid w:val="0"/>
          <w:color w:val="000000" w:themeColor="text1"/>
          <w:kern w:val="0"/>
          <w:szCs w:val="21"/>
        </w:rPr>
        <w:t>：</w:t>
      </w:r>
    </w:p>
    <w:p w14:paraId="7DD8A5F1">
      <w:pPr>
        <w:widowControl/>
        <w:spacing w:line="440" w:lineRule="exact"/>
        <w:ind w:firstLine="5040" w:firstLineChars="2400"/>
        <w:jc w:val="left"/>
        <w:rPr>
          <w:rFonts w:hint="eastAsia" w:ascii="宋体" w:hAnsi="宋体" w:cs="宋体"/>
          <w:snapToGrid w:val="0"/>
          <w:color w:val="000000" w:themeColor="text1"/>
          <w:kern w:val="0"/>
          <w:szCs w:val="21"/>
        </w:rPr>
      </w:pPr>
      <w:r>
        <w:rPr>
          <w:rFonts w:hint="eastAsia" w:ascii="宋体" w:hAnsi="宋体" w:cs="宋体"/>
          <w:snapToGrid w:val="0"/>
          <w:color w:val="000000" w:themeColor="text1"/>
          <w:kern w:val="0"/>
          <w:szCs w:val="21"/>
        </w:rPr>
        <w:t>日  期：</w:t>
      </w:r>
    </w:p>
    <w:p w14:paraId="7B6307C8">
      <w:pPr>
        <w:pStyle w:val="17"/>
        <w:rPr>
          <w:rFonts w:hint="eastAsia" w:ascii="宋体" w:hAnsi="宋体" w:cs="宋体"/>
          <w:b/>
          <w:color w:val="000000" w:themeColor="text1"/>
        </w:rPr>
      </w:pPr>
    </w:p>
    <w:sectPr>
      <w:pgSz w:w="11906" w:h="16838"/>
      <w:pgMar w:top="1417" w:right="1417" w:bottom="1417" w:left="141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0C173A-4913-4ED2-B263-D10BB6062E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8C4B4B0-CCAA-408A-9F26-5F2052F0AB39}"/>
  </w:font>
  <w:font w:name="Cambria">
    <w:panose1 w:val="02040503050406030204"/>
    <w:charset w:val="00"/>
    <w:family w:val="roman"/>
    <w:pitch w:val="default"/>
    <w:sig w:usb0="E00006FF" w:usb1="420024FF" w:usb2="02000000" w:usb3="00000000" w:csb0="2000019F" w:csb1="00000000"/>
  </w:font>
  <w:font w:name="幼圆">
    <w:panose1 w:val="02010509060101010101"/>
    <w:charset w:val="86"/>
    <w:family w:val="modern"/>
    <w:pitch w:val="default"/>
    <w:sig w:usb0="00000001" w:usb1="080E0000" w:usb2="00000000" w:usb3="00000000" w:csb0="00040000" w:csb1="00000000"/>
  </w:font>
  <w:font w:name="Ari">
    <w:altName w:val="Calibri"/>
    <w:panose1 w:val="00000000000000000000"/>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1" w:usb1="080E0000" w:usb2="00000000" w:usb3="00000000" w:csb0="00040000" w:csb1="00000000"/>
    <w:embedRegular r:id="rId3" w:fontKey="{85AE32E4-17EE-4807-9F65-02A1259D3DA2}"/>
  </w:font>
  <w:font w:name="Arial">
    <w:panose1 w:val="020B0604020202020204"/>
    <w:charset w:val="00"/>
    <w:family w:val="swiss"/>
    <w:pitch w:val="default"/>
    <w:sig w:usb0="E0002EFF" w:usb1="C000785B" w:usb2="00000009" w:usb3="00000000" w:csb0="400001FF" w:csb1="FFFF0000"/>
    <w:embedRegular r:id="rId4" w:fontKey="{CD23A2CA-F0C8-452E-B928-5C3A59954714}"/>
  </w:font>
  <w:font w:name="华文楷体">
    <w:altName w:val="宋体"/>
    <w:panose1 w:val="02010600040101010101"/>
    <w:charset w:val="86"/>
    <w:family w:val="auto"/>
    <w:pitch w:val="default"/>
    <w:sig w:usb0="00000000" w:usb1="00000000" w:usb2="00000010" w:usb3="00000000" w:csb0="0004009F" w:csb1="00000000"/>
  </w:font>
  <w:font w:name="KNLe">
    <w:altName w:val="宋体"/>
    <w:panose1 w:val="00000000000000000000"/>
    <w:charset w:val="00"/>
    <w:family w:val="auto"/>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embedRegular r:id="rId5" w:fontKey="{70A3ED3E-5572-4635-B72B-045A683D30C5}"/>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ヒラギノ角ゴ Pro W3">
    <w:altName w:val="FFont-Family"/>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embedRegular r:id="rId6" w:fontKey="{B03B68A2-4B7E-4D93-B5AC-33ADF8CF158C}"/>
  </w:font>
  <w:font w:name="___WRD_EMBED_SUB_50">
    <w:altName w:val="微软雅黑"/>
    <w:panose1 w:val="00000000000000000000"/>
    <w:charset w:val="86"/>
    <w:family w:val="modern"/>
    <w:pitch w:val="default"/>
    <w:sig w:usb0="00000000" w:usb1="00000000" w:usb2="00000000" w:usb3="00000000" w:csb0="00040000" w:csb1="00000000"/>
    <w:embedRegular r:id="rId7" w:fontKey="{2D5F3E36-484B-47B2-B075-F7D0D90792FC}"/>
  </w:font>
  <w:font w:name="仿宋">
    <w:panose1 w:val="02010609060101010101"/>
    <w:charset w:val="86"/>
    <w:family w:val="modern"/>
    <w:pitch w:val="default"/>
    <w:sig w:usb0="800002BF" w:usb1="38CF7CFA" w:usb2="00000016" w:usb3="00000000" w:csb0="00040001" w:csb1="00000000"/>
    <w:embedRegular r:id="rId8" w:fontKey="{EA1AC289-1EC8-43ED-BCA0-2420F272F86A}"/>
  </w:font>
  <w:font w:name="方正公文小标宋">
    <w:panose1 w:val="02000500000000000000"/>
    <w:charset w:val="86"/>
    <w:family w:val="auto"/>
    <w:pitch w:val="default"/>
    <w:sig w:usb0="A00002BF" w:usb1="38CF7CFA" w:usb2="00000016" w:usb3="00000000" w:csb0="00040001" w:csb1="00000000"/>
    <w:embedRegular r:id="rId9" w:fontKey="{36D5E2BD-5051-4BFA-B665-999A6911BBED}"/>
  </w:font>
  <w:font w:name="WPSEMBED11">
    <w:panose1 w:val="0201050906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WPSEMBED12">
    <w:panose1 w:val="02010609030101010101"/>
    <w:charset w:val="86"/>
    <w:family w:val="auto"/>
    <w:pitch w:val="default"/>
    <w:sig w:usb0="00000001" w:usb1="080E0000" w:usb2="00000000" w:usb3="00000000" w:csb0="00040000" w:csb1="00000000"/>
  </w:font>
  <w:font w:name="FFont-Family">
    <w:panose1 w:val="02000509000000000000"/>
    <w:charset w:val="00"/>
    <w:family w:val="auto"/>
    <w:pitch w:val="default"/>
    <w:sig w:usb0="00000001" w:usb1="00000000" w:usb2="00000000" w:usb3="00000000" w:csb0="00000001" w:csb1="00000000"/>
  </w:font>
  <w:font w:name="Segoe UI">
    <w:panose1 w:val="020B0502040204020203"/>
    <w:charset w:val="00"/>
    <w:family w:val="auto"/>
    <w:pitch w:val="default"/>
    <w:sig w:usb0="E4002EFF" w:usb1="C000E47F" w:usb2="00000009" w:usb3="00000000" w:csb0="200001FF" w:csb1="00000000"/>
    <w:embedRegular r:id="rId10" w:fontKey="{0F1B8DAB-3207-4517-ACD3-C9BBE1A49C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99460">
    <w:pPr>
      <w:pStyle w:val="29"/>
      <w:tabs>
        <w:tab w:val="center" w:pos="4819"/>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1A08E">
    <w:pPr>
      <w:pStyle w:val="29"/>
    </w:pP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D0C">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BF2716">
                          <w:pPr>
                            <w:pStyle w:val="29"/>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5BF2716">
                    <w:pPr>
                      <w:pStyle w:val="29"/>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DA85A">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4D2739">
                          <w:pPr>
                            <w:pStyle w:val="29"/>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iRqoyAgAAY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pJZopNPz84/v5&#10;5+/zr2/kKs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sLkWRa2&#10;+sHyCB3l8XZ1CJAzqRxF6ZRAd+IBs5f61O9JHO4/zynq6b9h+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JGqjICAABjBAAADgAAAAAAAAABACAAAAAfAQAAZHJzL2Uyb0RvYy54bWxQSwUG&#10;AAAAAAYABgBZAQAAwwUAAAAA&#10;">
              <v:fill on="f" focussize="0,0"/>
              <v:stroke on="f" weight="0.5pt"/>
              <v:imagedata o:title=""/>
              <o:lock v:ext="edit" aspectratio="f"/>
              <v:textbox inset="0mm,0mm,0mm,0mm" style="mso-fit-shape-to-text:t;">
                <w:txbxContent>
                  <w:p w14:paraId="534D2739">
                    <w:pPr>
                      <w:pStyle w:val="29"/>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E13E">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46E20"/>
    <w:multiLevelType w:val="singleLevel"/>
    <w:tmpl w:val="8FA46E20"/>
    <w:lvl w:ilvl="0" w:tentative="0">
      <w:start w:val="1"/>
      <w:numFmt w:val="decimalEnclosedCircleChinese"/>
      <w:suff w:val="nothing"/>
      <w:lvlText w:val="%1　"/>
      <w:lvlJc w:val="left"/>
      <w:pPr>
        <w:ind w:left="0" w:firstLine="400"/>
      </w:pPr>
      <w:rPr>
        <w:rFonts w:hint="eastAsia"/>
      </w:rPr>
    </w:lvl>
  </w:abstractNum>
  <w:abstractNum w:abstractNumId="1">
    <w:nsid w:val="ABAE5F95"/>
    <w:multiLevelType w:val="singleLevel"/>
    <w:tmpl w:val="ABAE5F95"/>
    <w:lvl w:ilvl="0" w:tentative="0">
      <w:start w:val="1"/>
      <w:numFmt w:val="decimalEnclosedCircleChinese"/>
      <w:suff w:val="nothing"/>
      <w:lvlText w:val="%1　"/>
      <w:lvlJc w:val="left"/>
      <w:pPr>
        <w:ind w:left="0" w:firstLine="400"/>
      </w:pPr>
      <w:rPr>
        <w:rFonts w:hint="eastAsia"/>
      </w:rPr>
    </w:lvl>
  </w:abstractNum>
  <w:abstractNum w:abstractNumId="2">
    <w:nsid w:val="B444F118"/>
    <w:multiLevelType w:val="singleLevel"/>
    <w:tmpl w:val="B444F118"/>
    <w:lvl w:ilvl="0" w:tentative="0">
      <w:start w:val="10"/>
      <w:numFmt w:val="chineseCounting"/>
      <w:suff w:val="space"/>
      <w:lvlText w:val="第%1条"/>
      <w:lvlJc w:val="left"/>
      <w:rPr>
        <w:rFonts w:hint="eastAsia"/>
      </w:rPr>
    </w:lvl>
  </w:abstractNum>
  <w:abstractNum w:abstractNumId="3">
    <w:nsid w:val="E945D0A5"/>
    <w:multiLevelType w:val="singleLevel"/>
    <w:tmpl w:val="E945D0A5"/>
    <w:lvl w:ilvl="0" w:tentative="0">
      <w:start w:val="1"/>
      <w:numFmt w:val="decimalEnclosedCircleChinese"/>
      <w:suff w:val="nothing"/>
      <w:lvlText w:val="%1　"/>
      <w:lvlJc w:val="left"/>
      <w:pPr>
        <w:ind w:left="0" w:firstLine="400"/>
      </w:pPr>
      <w:rPr>
        <w:rFonts w:hint="eastAsia"/>
      </w:rPr>
    </w:lvl>
  </w:abstractNum>
  <w:abstractNum w:abstractNumId="4">
    <w:nsid w:val="EA14E2B9"/>
    <w:multiLevelType w:val="singleLevel"/>
    <w:tmpl w:val="EA14E2B9"/>
    <w:lvl w:ilvl="0" w:tentative="0">
      <w:start w:val="1"/>
      <w:numFmt w:val="decimal"/>
      <w:lvlText w:val="%1."/>
      <w:lvlJc w:val="left"/>
      <w:pPr>
        <w:tabs>
          <w:tab w:val="left" w:pos="312"/>
        </w:tabs>
      </w:pPr>
    </w:lvl>
  </w:abstractNum>
  <w:abstractNum w:abstractNumId="5">
    <w:nsid w:val="FD743C4D"/>
    <w:multiLevelType w:val="singleLevel"/>
    <w:tmpl w:val="FD743C4D"/>
    <w:lvl w:ilvl="0" w:tentative="0">
      <w:start w:val="1"/>
      <w:numFmt w:val="decimalEnclosedCircleChinese"/>
      <w:suff w:val="nothing"/>
      <w:lvlText w:val="%1　"/>
      <w:lvlJc w:val="left"/>
      <w:pPr>
        <w:ind w:left="0" w:firstLine="400"/>
      </w:pPr>
      <w:rPr>
        <w:rFonts w:hint="eastAsia"/>
      </w:rPr>
    </w:lvl>
  </w:abstractNum>
  <w:abstractNum w:abstractNumId="6">
    <w:nsid w:val="FED26D68"/>
    <w:multiLevelType w:val="singleLevel"/>
    <w:tmpl w:val="FED26D68"/>
    <w:lvl w:ilvl="0" w:tentative="0">
      <w:start w:val="2"/>
      <w:numFmt w:val="chineseCounting"/>
      <w:suff w:val="nothing"/>
      <w:lvlText w:val="%1、"/>
      <w:lvlJc w:val="left"/>
      <w:rPr>
        <w:rFonts w:hint="eastAsia"/>
      </w:rPr>
    </w:lvl>
  </w:abstractNum>
  <w:abstractNum w:abstractNumId="7">
    <w:nsid w:val="00000006"/>
    <w:multiLevelType w:val="multilevel"/>
    <w:tmpl w:val="00000006"/>
    <w:lvl w:ilvl="0" w:tentative="0">
      <w:start w:val="1"/>
      <w:numFmt w:val="chineseCountingThousand"/>
      <w:pStyle w:val="3"/>
      <w:suff w:val="nothing"/>
      <w:lvlText w:val="第%1章"/>
      <w:lvlJc w:val="left"/>
      <w:pPr>
        <w:ind w:left="0" w:firstLine="0"/>
      </w:pPr>
    </w:lvl>
    <w:lvl w:ilvl="1" w:tentative="0">
      <w:start w:val="1"/>
      <w:numFmt w:val="none"/>
      <w:pStyle w:val="4"/>
      <w:suff w:val="nothing"/>
      <w:lvlText w:val=""/>
      <w:lvlJc w:val="left"/>
      <w:pPr>
        <w:ind w:left="0" w:firstLine="0"/>
      </w:pPr>
    </w:lvl>
    <w:lvl w:ilvl="2" w:tentative="0">
      <w:start w:val="1"/>
      <w:numFmt w:val="none"/>
      <w:pStyle w:val="5"/>
      <w:suff w:val="nothing"/>
      <w:lvlText w:val=""/>
      <w:lvlJc w:val="left"/>
      <w:pPr>
        <w:ind w:left="0" w:firstLine="0"/>
      </w:pPr>
    </w:lvl>
    <w:lvl w:ilvl="3" w:tentative="0">
      <w:start w:val="1"/>
      <w:numFmt w:val="none"/>
      <w:pStyle w:val="6"/>
      <w:suff w:val="nothing"/>
      <w:lvlText w:val=""/>
      <w:lvlJc w:val="left"/>
      <w:pPr>
        <w:ind w:left="0" w:firstLine="0"/>
      </w:pPr>
    </w:lvl>
    <w:lvl w:ilvl="4" w:tentative="0">
      <w:start w:val="1"/>
      <w:numFmt w:val="none"/>
      <w:pStyle w:val="7"/>
      <w:suff w:val="nothing"/>
      <w:lvlText w:val=""/>
      <w:lvlJc w:val="left"/>
      <w:pPr>
        <w:ind w:left="0" w:firstLine="0"/>
      </w:pPr>
    </w:lvl>
    <w:lvl w:ilvl="5" w:tentative="0">
      <w:start w:val="1"/>
      <w:numFmt w:val="none"/>
      <w:pStyle w:val="8"/>
      <w:suff w:val="nothing"/>
      <w:lvlText w:val=""/>
      <w:lvlJc w:val="left"/>
      <w:pPr>
        <w:ind w:left="0" w:firstLine="0"/>
      </w:pPr>
    </w:lvl>
    <w:lvl w:ilvl="6" w:tentative="0">
      <w:start w:val="1"/>
      <w:numFmt w:val="none"/>
      <w:pStyle w:val="9"/>
      <w:suff w:val="nothing"/>
      <w:lvlText w:val=""/>
      <w:lvlJc w:val="left"/>
      <w:pPr>
        <w:ind w:left="0" w:firstLine="0"/>
      </w:pPr>
    </w:lvl>
    <w:lvl w:ilvl="7" w:tentative="0">
      <w:start w:val="1"/>
      <w:numFmt w:val="none"/>
      <w:pStyle w:val="10"/>
      <w:suff w:val="nothing"/>
      <w:lvlText w:val=""/>
      <w:lvlJc w:val="left"/>
      <w:pPr>
        <w:ind w:left="0" w:firstLine="0"/>
      </w:pPr>
    </w:lvl>
    <w:lvl w:ilvl="8" w:tentative="0">
      <w:start w:val="1"/>
      <w:numFmt w:val="none"/>
      <w:pStyle w:val="11"/>
      <w:suff w:val="nothing"/>
      <w:lvlText w:val=""/>
      <w:lvlJc w:val="left"/>
      <w:pPr>
        <w:ind w:left="0" w:firstLine="0"/>
      </w:pPr>
    </w:lvl>
  </w:abstractNum>
  <w:abstractNum w:abstractNumId="8">
    <w:nsid w:val="085007CF"/>
    <w:multiLevelType w:val="multilevel"/>
    <w:tmpl w:val="085007CF"/>
    <w:lvl w:ilvl="0" w:tentative="0">
      <w:start w:val="1"/>
      <w:numFmt w:val="decimal"/>
      <w:lvlText w:val="%1."/>
      <w:lvlJc w:val="left"/>
      <w:pPr>
        <w:tabs>
          <w:tab w:val="left" w:pos="630"/>
        </w:tabs>
        <w:ind w:left="630" w:hanging="420"/>
      </w:pPr>
      <w:rPr>
        <w:rFonts w:cs="Times New Roman"/>
      </w:rPr>
    </w:lvl>
    <w:lvl w:ilvl="1" w:tentative="0">
      <w:start w:val="1"/>
      <w:numFmt w:val="decimal"/>
      <w:lvlText w:val="%2)"/>
      <w:lvlJc w:val="left"/>
      <w:pPr>
        <w:tabs>
          <w:tab w:val="left" w:pos="990"/>
        </w:tabs>
        <w:ind w:left="990" w:hanging="360"/>
      </w:pPr>
      <w:rPr>
        <w:color w:val="auto"/>
      </w:rPr>
    </w:lvl>
    <w:lvl w:ilvl="2" w:tentative="0">
      <w:start w:val="1"/>
      <w:numFmt w:val="lowerRoman"/>
      <w:lvlText w:val="%3."/>
      <w:lvlJc w:val="right"/>
      <w:pPr>
        <w:tabs>
          <w:tab w:val="left" w:pos="1470"/>
        </w:tabs>
        <w:ind w:left="1470" w:hanging="420"/>
      </w:pPr>
      <w:rPr>
        <w:rFonts w:cs="Times New Roman"/>
      </w:rPr>
    </w:lvl>
    <w:lvl w:ilvl="3" w:tentative="0">
      <w:start w:val="1"/>
      <w:numFmt w:val="decimal"/>
      <w:lvlText w:val="%4."/>
      <w:lvlJc w:val="left"/>
      <w:pPr>
        <w:tabs>
          <w:tab w:val="left" w:pos="1890"/>
        </w:tabs>
        <w:ind w:left="1890" w:hanging="420"/>
      </w:pPr>
      <w:rPr>
        <w:rFonts w:cs="Times New Roman"/>
      </w:rPr>
    </w:lvl>
    <w:lvl w:ilvl="4" w:tentative="0">
      <w:start w:val="1"/>
      <w:numFmt w:val="lowerLetter"/>
      <w:lvlText w:val="%5)"/>
      <w:lvlJc w:val="left"/>
      <w:pPr>
        <w:tabs>
          <w:tab w:val="left" w:pos="2310"/>
        </w:tabs>
        <w:ind w:left="2310" w:hanging="420"/>
      </w:pPr>
      <w:rPr>
        <w:rFonts w:cs="Times New Roman"/>
      </w:rPr>
    </w:lvl>
    <w:lvl w:ilvl="5" w:tentative="0">
      <w:start w:val="1"/>
      <w:numFmt w:val="lowerRoman"/>
      <w:lvlText w:val="%6."/>
      <w:lvlJc w:val="right"/>
      <w:pPr>
        <w:tabs>
          <w:tab w:val="left" w:pos="2730"/>
        </w:tabs>
        <w:ind w:left="2730" w:hanging="420"/>
      </w:pPr>
      <w:rPr>
        <w:rFonts w:cs="Times New Roman"/>
      </w:rPr>
    </w:lvl>
    <w:lvl w:ilvl="6" w:tentative="0">
      <w:start w:val="1"/>
      <w:numFmt w:val="decimal"/>
      <w:lvlText w:val="%7."/>
      <w:lvlJc w:val="left"/>
      <w:pPr>
        <w:tabs>
          <w:tab w:val="left" w:pos="3150"/>
        </w:tabs>
        <w:ind w:left="3150" w:hanging="420"/>
      </w:pPr>
      <w:rPr>
        <w:rFonts w:cs="Times New Roman"/>
      </w:rPr>
    </w:lvl>
    <w:lvl w:ilvl="7" w:tentative="0">
      <w:start w:val="1"/>
      <w:numFmt w:val="lowerLetter"/>
      <w:lvlText w:val="%8)"/>
      <w:lvlJc w:val="left"/>
      <w:pPr>
        <w:tabs>
          <w:tab w:val="left" w:pos="3570"/>
        </w:tabs>
        <w:ind w:left="3570" w:hanging="420"/>
      </w:pPr>
      <w:rPr>
        <w:rFonts w:cs="Times New Roman"/>
      </w:rPr>
    </w:lvl>
    <w:lvl w:ilvl="8" w:tentative="0">
      <w:start w:val="1"/>
      <w:numFmt w:val="lowerRoman"/>
      <w:lvlText w:val="%9."/>
      <w:lvlJc w:val="right"/>
      <w:pPr>
        <w:tabs>
          <w:tab w:val="left" w:pos="3990"/>
        </w:tabs>
        <w:ind w:left="3990" w:hanging="420"/>
      </w:pPr>
      <w:rPr>
        <w:rFonts w:cs="Times New Roman"/>
      </w:rPr>
    </w:lvl>
  </w:abstractNum>
  <w:abstractNum w:abstractNumId="9">
    <w:nsid w:val="130A2188"/>
    <w:multiLevelType w:val="multilevel"/>
    <w:tmpl w:val="130A2188"/>
    <w:lvl w:ilvl="0" w:tentative="0">
      <w:start w:val="1"/>
      <w:numFmt w:val="chineseCountingThousand"/>
      <w:pStyle w:val="152"/>
      <w:lvlText w:val="%1"/>
      <w:lvlJc w:val="left"/>
      <w:pPr>
        <w:ind w:left="425" w:hanging="425"/>
      </w:pPr>
      <w:rPr>
        <w:rFonts w:hint="eastAsia" w:ascii="Arial Unicode MS" w:hAnsi="Arial Unicode MS" w:eastAsia="微软雅黑"/>
        <w:b/>
        <w:i w:val="0"/>
        <w:lang w:val="en-US"/>
      </w:rPr>
    </w:lvl>
    <w:lvl w:ilvl="1" w:tentative="0">
      <w:start w:val="1"/>
      <w:numFmt w:val="decimal"/>
      <w:pStyle w:val="173"/>
      <w:isLgl/>
      <w:lvlText w:val="%1.%2"/>
      <w:lvlJc w:val="left"/>
      <w:pPr>
        <w:ind w:left="425" w:hanging="425"/>
      </w:pPr>
      <w:rPr>
        <w:rFonts w:hint="eastAsia" w:ascii="Arial Unicode MS" w:hAnsi="Arial Unicode MS" w:eastAsia="微软雅黑"/>
        <w:b/>
        <w:i w:val="0"/>
      </w:rPr>
    </w:lvl>
    <w:lvl w:ilvl="2" w:tentative="0">
      <w:start w:val="1"/>
      <w:numFmt w:val="decimal"/>
      <w:pStyle w:val="187"/>
      <w:isLgl/>
      <w:lvlText w:val="%1.%2.%3"/>
      <w:lvlJc w:val="left"/>
      <w:pPr>
        <w:ind w:left="425" w:hanging="425"/>
      </w:pPr>
      <w:rPr>
        <w:rFonts w:hint="eastAsia" w:ascii="Arial Unicode MS" w:hAnsi="Arial Unicode MS" w:eastAsia="微软雅黑"/>
        <w:b/>
        <w:i w:val="0"/>
      </w:rPr>
    </w:lvl>
    <w:lvl w:ilvl="3" w:tentative="0">
      <w:start w:val="1"/>
      <w:numFmt w:val="decimal"/>
      <w:isLgl/>
      <w:lvlText w:val="%1.%2.%3.%4"/>
      <w:lvlJc w:val="left"/>
      <w:pPr>
        <w:ind w:left="425" w:hanging="425"/>
      </w:pPr>
      <w:rPr>
        <w:rFonts w:hint="eastAsia" w:ascii="Arial Unicode MS" w:hAnsi="Arial Unicode MS" w:eastAsia="微软雅黑"/>
        <w:b/>
        <w:i w:val="0"/>
      </w:rPr>
    </w:lvl>
    <w:lvl w:ilvl="4" w:tentative="0">
      <w:start w:val="1"/>
      <w:numFmt w:val="decimal"/>
      <w:isLgl/>
      <w:lvlText w:val="%1.%2.%3.%4.%5"/>
      <w:lvlJc w:val="left"/>
      <w:pPr>
        <w:ind w:left="425" w:hanging="425"/>
      </w:pPr>
      <w:rPr>
        <w:rFonts w:hint="eastAsia" w:ascii="Arial Unicode MS" w:hAnsi="Arial Unicode MS" w:eastAsia="微软雅黑"/>
        <w:b/>
        <w:i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0">
    <w:nsid w:val="14590CD4"/>
    <w:multiLevelType w:val="singleLevel"/>
    <w:tmpl w:val="14590CD4"/>
    <w:lvl w:ilvl="0" w:tentative="0">
      <w:start w:val="5"/>
      <w:numFmt w:val="chineseCounting"/>
      <w:suff w:val="space"/>
      <w:lvlText w:val="第%1章"/>
      <w:lvlJc w:val="left"/>
      <w:rPr>
        <w:rFonts w:hint="eastAsia"/>
      </w:rPr>
    </w:lvl>
  </w:abstractNum>
  <w:abstractNum w:abstractNumId="11">
    <w:nsid w:val="1BFF32CC"/>
    <w:multiLevelType w:val="singleLevel"/>
    <w:tmpl w:val="1BFF32CC"/>
    <w:lvl w:ilvl="0" w:tentative="0">
      <w:start w:val="1"/>
      <w:numFmt w:val="decimalEnclosedCircleChinese"/>
      <w:suff w:val="nothing"/>
      <w:lvlText w:val="%1　"/>
      <w:lvlJc w:val="left"/>
      <w:pPr>
        <w:ind w:left="0" w:firstLine="400"/>
      </w:pPr>
      <w:rPr>
        <w:rFonts w:hint="eastAsia"/>
      </w:rPr>
    </w:lvl>
  </w:abstractNum>
  <w:abstractNum w:abstractNumId="12">
    <w:nsid w:val="5915610C"/>
    <w:multiLevelType w:val="singleLevel"/>
    <w:tmpl w:val="5915610C"/>
    <w:lvl w:ilvl="0" w:tentative="0">
      <w:start w:val="1"/>
      <w:numFmt w:val="decimal"/>
      <w:suff w:val="nothing"/>
      <w:lvlText w:val="%1、"/>
      <w:lvlJc w:val="left"/>
    </w:lvl>
  </w:abstractNum>
  <w:abstractNum w:abstractNumId="13">
    <w:nsid w:val="59ADCABA"/>
    <w:multiLevelType w:val="multilevel"/>
    <w:tmpl w:val="59ADCABA"/>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44"/>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4">
    <w:nsid w:val="59EDFC03"/>
    <w:multiLevelType w:val="singleLevel"/>
    <w:tmpl w:val="59EDFC03"/>
    <w:lvl w:ilvl="0" w:tentative="0">
      <w:start w:val="1"/>
      <w:numFmt w:val="decimalEnclosedCircleChinese"/>
      <w:suff w:val="nothing"/>
      <w:lvlText w:val="%1　"/>
      <w:lvlJc w:val="left"/>
      <w:pPr>
        <w:ind w:left="0" w:firstLine="400"/>
      </w:pPr>
      <w:rPr>
        <w:rFonts w:hint="eastAsia"/>
      </w:rPr>
    </w:lvl>
  </w:abstractNum>
  <w:abstractNum w:abstractNumId="15">
    <w:nsid w:val="64B0665D"/>
    <w:multiLevelType w:val="singleLevel"/>
    <w:tmpl w:val="64B0665D"/>
    <w:lvl w:ilvl="0" w:tentative="0">
      <w:start w:val="7"/>
      <w:numFmt w:val="decimal"/>
      <w:suff w:val="nothing"/>
      <w:lvlText w:val="%1、"/>
      <w:lvlJc w:val="left"/>
    </w:lvl>
  </w:abstractNum>
  <w:abstractNum w:abstractNumId="16">
    <w:nsid w:val="77DD7D0A"/>
    <w:multiLevelType w:val="singleLevel"/>
    <w:tmpl w:val="77DD7D0A"/>
    <w:lvl w:ilvl="0" w:tentative="0">
      <w:start w:val="1"/>
      <w:numFmt w:val="decimalEnclosedCircleChinese"/>
      <w:suff w:val="nothing"/>
      <w:lvlText w:val="%1　"/>
      <w:lvlJc w:val="left"/>
      <w:pPr>
        <w:ind w:left="0" w:firstLine="400"/>
      </w:pPr>
      <w:rPr>
        <w:rFonts w:hint="eastAsia"/>
      </w:rPr>
    </w:lvl>
  </w:abstractNum>
  <w:num w:numId="1">
    <w:abstractNumId w:val="7"/>
  </w:num>
  <w:num w:numId="2">
    <w:abstractNumId w:val="9"/>
  </w:num>
  <w:num w:numId="3">
    <w:abstractNumId w:val="13"/>
  </w:num>
  <w:num w:numId="4">
    <w:abstractNumId w:val="15"/>
  </w:num>
  <w:num w:numId="5">
    <w:abstractNumId w:val="8"/>
  </w:num>
  <w:num w:numId="6">
    <w:abstractNumId w:val="6"/>
  </w:num>
  <w:num w:numId="7">
    <w:abstractNumId w:val="10"/>
  </w:num>
  <w:num w:numId="8">
    <w:abstractNumId w:val="2"/>
  </w:num>
  <w:num w:numId="9">
    <w:abstractNumId w:val="5"/>
  </w:num>
  <w:num w:numId="10">
    <w:abstractNumId w:val="11"/>
  </w:num>
  <w:num w:numId="11">
    <w:abstractNumId w:val="14"/>
  </w:num>
  <w:num w:numId="12">
    <w:abstractNumId w:val="3"/>
  </w:num>
  <w:num w:numId="13">
    <w:abstractNumId w:val="1"/>
  </w:num>
  <w:num w:numId="14">
    <w:abstractNumId w:val="0"/>
  </w:num>
  <w:num w:numId="15">
    <w:abstractNumId w:val="16"/>
  </w:num>
  <w:num w:numId="16">
    <w:abstractNumId w:val="1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196839F7"/>
    <w:rsid w:val="000012DD"/>
    <w:rsid w:val="00001B79"/>
    <w:rsid w:val="00001E00"/>
    <w:rsid w:val="000033BC"/>
    <w:rsid w:val="000037BA"/>
    <w:rsid w:val="00003E09"/>
    <w:rsid w:val="00004ADD"/>
    <w:rsid w:val="00004D90"/>
    <w:rsid w:val="00010961"/>
    <w:rsid w:val="00013EE1"/>
    <w:rsid w:val="00013F16"/>
    <w:rsid w:val="000144FE"/>
    <w:rsid w:val="00016168"/>
    <w:rsid w:val="000207B3"/>
    <w:rsid w:val="00020AA1"/>
    <w:rsid w:val="00020F19"/>
    <w:rsid w:val="000240F2"/>
    <w:rsid w:val="00024385"/>
    <w:rsid w:val="0002464E"/>
    <w:rsid w:val="00024AB3"/>
    <w:rsid w:val="00025BBC"/>
    <w:rsid w:val="00026D12"/>
    <w:rsid w:val="00030D4C"/>
    <w:rsid w:val="00031EC9"/>
    <w:rsid w:val="00032595"/>
    <w:rsid w:val="00032B4A"/>
    <w:rsid w:val="00032EB2"/>
    <w:rsid w:val="00033F13"/>
    <w:rsid w:val="00035A5A"/>
    <w:rsid w:val="000364A2"/>
    <w:rsid w:val="000373CB"/>
    <w:rsid w:val="00037558"/>
    <w:rsid w:val="000402D0"/>
    <w:rsid w:val="0004062C"/>
    <w:rsid w:val="0004209E"/>
    <w:rsid w:val="000427E1"/>
    <w:rsid w:val="00042948"/>
    <w:rsid w:val="00043A61"/>
    <w:rsid w:val="00044757"/>
    <w:rsid w:val="00044D8D"/>
    <w:rsid w:val="00044FB9"/>
    <w:rsid w:val="000458DD"/>
    <w:rsid w:val="000458FE"/>
    <w:rsid w:val="00045B12"/>
    <w:rsid w:val="000460E7"/>
    <w:rsid w:val="00046607"/>
    <w:rsid w:val="000473B7"/>
    <w:rsid w:val="00047F5E"/>
    <w:rsid w:val="00051706"/>
    <w:rsid w:val="00051ABD"/>
    <w:rsid w:val="00051BCC"/>
    <w:rsid w:val="00051C2B"/>
    <w:rsid w:val="00051EB2"/>
    <w:rsid w:val="000527C8"/>
    <w:rsid w:val="0005443E"/>
    <w:rsid w:val="000547D0"/>
    <w:rsid w:val="00054F7D"/>
    <w:rsid w:val="00056485"/>
    <w:rsid w:val="0005651C"/>
    <w:rsid w:val="00056572"/>
    <w:rsid w:val="00056E6B"/>
    <w:rsid w:val="0006006F"/>
    <w:rsid w:val="00060B89"/>
    <w:rsid w:val="0006160D"/>
    <w:rsid w:val="0006183C"/>
    <w:rsid w:val="00061A29"/>
    <w:rsid w:val="00062472"/>
    <w:rsid w:val="00062AC5"/>
    <w:rsid w:val="000632AD"/>
    <w:rsid w:val="00063394"/>
    <w:rsid w:val="00063B66"/>
    <w:rsid w:val="000640E2"/>
    <w:rsid w:val="0006476D"/>
    <w:rsid w:val="00064BCC"/>
    <w:rsid w:val="00067D84"/>
    <w:rsid w:val="00071CBC"/>
    <w:rsid w:val="00071CEA"/>
    <w:rsid w:val="00072185"/>
    <w:rsid w:val="00072C82"/>
    <w:rsid w:val="00081250"/>
    <w:rsid w:val="00084D2A"/>
    <w:rsid w:val="000851FF"/>
    <w:rsid w:val="0008631F"/>
    <w:rsid w:val="00086705"/>
    <w:rsid w:val="00087396"/>
    <w:rsid w:val="00090FE4"/>
    <w:rsid w:val="00095306"/>
    <w:rsid w:val="000963C4"/>
    <w:rsid w:val="00096BB7"/>
    <w:rsid w:val="00097207"/>
    <w:rsid w:val="00097293"/>
    <w:rsid w:val="00097411"/>
    <w:rsid w:val="000978F6"/>
    <w:rsid w:val="00097C5F"/>
    <w:rsid w:val="000A10EA"/>
    <w:rsid w:val="000A3341"/>
    <w:rsid w:val="000A45A0"/>
    <w:rsid w:val="000A4741"/>
    <w:rsid w:val="000A573E"/>
    <w:rsid w:val="000A60E7"/>
    <w:rsid w:val="000A64DD"/>
    <w:rsid w:val="000A6F9A"/>
    <w:rsid w:val="000A7DA8"/>
    <w:rsid w:val="000B086C"/>
    <w:rsid w:val="000B21A6"/>
    <w:rsid w:val="000B4AC4"/>
    <w:rsid w:val="000B562F"/>
    <w:rsid w:val="000B6C7A"/>
    <w:rsid w:val="000B6FEE"/>
    <w:rsid w:val="000C000B"/>
    <w:rsid w:val="000C010C"/>
    <w:rsid w:val="000C0834"/>
    <w:rsid w:val="000C3C47"/>
    <w:rsid w:val="000C5551"/>
    <w:rsid w:val="000C63C6"/>
    <w:rsid w:val="000D18A2"/>
    <w:rsid w:val="000D3AD4"/>
    <w:rsid w:val="000D4685"/>
    <w:rsid w:val="000D4CDD"/>
    <w:rsid w:val="000D632A"/>
    <w:rsid w:val="000D7DFA"/>
    <w:rsid w:val="000E0528"/>
    <w:rsid w:val="000E1979"/>
    <w:rsid w:val="000E513A"/>
    <w:rsid w:val="000E5792"/>
    <w:rsid w:val="000E595A"/>
    <w:rsid w:val="000E6BE6"/>
    <w:rsid w:val="000E70D0"/>
    <w:rsid w:val="000E72E0"/>
    <w:rsid w:val="000E7AEC"/>
    <w:rsid w:val="000F353A"/>
    <w:rsid w:val="000F3911"/>
    <w:rsid w:val="000F45D9"/>
    <w:rsid w:val="000F5460"/>
    <w:rsid w:val="000F64B8"/>
    <w:rsid w:val="00100C2D"/>
    <w:rsid w:val="001016C2"/>
    <w:rsid w:val="00101C22"/>
    <w:rsid w:val="00102973"/>
    <w:rsid w:val="001040C5"/>
    <w:rsid w:val="001043EE"/>
    <w:rsid w:val="00104FBB"/>
    <w:rsid w:val="001050E5"/>
    <w:rsid w:val="00105965"/>
    <w:rsid w:val="00106DF5"/>
    <w:rsid w:val="00107AD2"/>
    <w:rsid w:val="00112DE6"/>
    <w:rsid w:val="00113F99"/>
    <w:rsid w:val="001152DD"/>
    <w:rsid w:val="00115C20"/>
    <w:rsid w:val="0011699D"/>
    <w:rsid w:val="00116AB7"/>
    <w:rsid w:val="00121249"/>
    <w:rsid w:val="00122077"/>
    <w:rsid w:val="00123A13"/>
    <w:rsid w:val="001248E8"/>
    <w:rsid w:val="00124DDA"/>
    <w:rsid w:val="00125FE2"/>
    <w:rsid w:val="001265CD"/>
    <w:rsid w:val="0013061E"/>
    <w:rsid w:val="00130C01"/>
    <w:rsid w:val="001315EC"/>
    <w:rsid w:val="00132750"/>
    <w:rsid w:val="00132D0F"/>
    <w:rsid w:val="00133387"/>
    <w:rsid w:val="00133C84"/>
    <w:rsid w:val="0013431C"/>
    <w:rsid w:val="00135325"/>
    <w:rsid w:val="00137F26"/>
    <w:rsid w:val="0014045A"/>
    <w:rsid w:val="0014108C"/>
    <w:rsid w:val="00142258"/>
    <w:rsid w:val="001441C5"/>
    <w:rsid w:val="0014570A"/>
    <w:rsid w:val="00145B6B"/>
    <w:rsid w:val="00145CD4"/>
    <w:rsid w:val="00147B69"/>
    <w:rsid w:val="00150D69"/>
    <w:rsid w:val="00151059"/>
    <w:rsid w:val="00153691"/>
    <w:rsid w:val="001538BB"/>
    <w:rsid w:val="00154516"/>
    <w:rsid w:val="0015514F"/>
    <w:rsid w:val="00156B27"/>
    <w:rsid w:val="00156C22"/>
    <w:rsid w:val="00156DBE"/>
    <w:rsid w:val="00156ECE"/>
    <w:rsid w:val="00157602"/>
    <w:rsid w:val="001620DA"/>
    <w:rsid w:val="001638FC"/>
    <w:rsid w:val="00163D70"/>
    <w:rsid w:val="00165899"/>
    <w:rsid w:val="001661C4"/>
    <w:rsid w:val="001709AF"/>
    <w:rsid w:val="00172312"/>
    <w:rsid w:val="00172A27"/>
    <w:rsid w:val="00172BB0"/>
    <w:rsid w:val="00173F2B"/>
    <w:rsid w:val="00176ACB"/>
    <w:rsid w:val="0017756E"/>
    <w:rsid w:val="0018037C"/>
    <w:rsid w:val="0018038F"/>
    <w:rsid w:val="00180512"/>
    <w:rsid w:val="001808D5"/>
    <w:rsid w:val="00181811"/>
    <w:rsid w:val="00182D7D"/>
    <w:rsid w:val="00184409"/>
    <w:rsid w:val="0018475E"/>
    <w:rsid w:val="00184FCA"/>
    <w:rsid w:val="0018647C"/>
    <w:rsid w:val="00190367"/>
    <w:rsid w:val="00190B4C"/>
    <w:rsid w:val="001913AE"/>
    <w:rsid w:val="0019168F"/>
    <w:rsid w:val="001920E2"/>
    <w:rsid w:val="00193455"/>
    <w:rsid w:val="00193603"/>
    <w:rsid w:val="001938BE"/>
    <w:rsid w:val="00194058"/>
    <w:rsid w:val="00197E0F"/>
    <w:rsid w:val="001A0417"/>
    <w:rsid w:val="001A3314"/>
    <w:rsid w:val="001A38B9"/>
    <w:rsid w:val="001A38FF"/>
    <w:rsid w:val="001A3CFD"/>
    <w:rsid w:val="001A3F5F"/>
    <w:rsid w:val="001A42BD"/>
    <w:rsid w:val="001A7DAF"/>
    <w:rsid w:val="001B0329"/>
    <w:rsid w:val="001B46F2"/>
    <w:rsid w:val="001B4A81"/>
    <w:rsid w:val="001B689B"/>
    <w:rsid w:val="001B6ED1"/>
    <w:rsid w:val="001B77CB"/>
    <w:rsid w:val="001B7BDA"/>
    <w:rsid w:val="001B7C72"/>
    <w:rsid w:val="001C158D"/>
    <w:rsid w:val="001C15C2"/>
    <w:rsid w:val="001C1D3D"/>
    <w:rsid w:val="001C226C"/>
    <w:rsid w:val="001C23AF"/>
    <w:rsid w:val="001C25C9"/>
    <w:rsid w:val="001C29EE"/>
    <w:rsid w:val="001C2A87"/>
    <w:rsid w:val="001C34CC"/>
    <w:rsid w:val="001C66D0"/>
    <w:rsid w:val="001C6D1C"/>
    <w:rsid w:val="001D0268"/>
    <w:rsid w:val="001D031C"/>
    <w:rsid w:val="001D0EB2"/>
    <w:rsid w:val="001D3678"/>
    <w:rsid w:val="001D3D8E"/>
    <w:rsid w:val="001D431E"/>
    <w:rsid w:val="001D4C43"/>
    <w:rsid w:val="001D56B2"/>
    <w:rsid w:val="001D5E4E"/>
    <w:rsid w:val="001D77B7"/>
    <w:rsid w:val="001E059F"/>
    <w:rsid w:val="001E1864"/>
    <w:rsid w:val="001E19F6"/>
    <w:rsid w:val="001E4541"/>
    <w:rsid w:val="001E4DB5"/>
    <w:rsid w:val="001E4EF8"/>
    <w:rsid w:val="001E566C"/>
    <w:rsid w:val="001E6506"/>
    <w:rsid w:val="001E6577"/>
    <w:rsid w:val="001E72B7"/>
    <w:rsid w:val="001F2C9F"/>
    <w:rsid w:val="001F2EB7"/>
    <w:rsid w:val="001F2F97"/>
    <w:rsid w:val="001F3EF6"/>
    <w:rsid w:val="001F400C"/>
    <w:rsid w:val="001F52B2"/>
    <w:rsid w:val="00201A58"/>
    <w:rsid w:val="00201CD1"/>
    <w:rsid w:val="00201D97"/>
    <w:rsid w:val="00202386"/>
    <w:rsid w:val="002035A8"/>
    <w:rsid w:val="00203D38"/>
    <w:rsid w:val="00204EFF"/>
    <w:rsid w:val="00205638"/>
    <w:rsid w:val="00206E55"/>
    <w:rsid w:val="00207739"/>
    <w:rsid w:val="002079EB"/>
    <w:rsid w:val="00210C2B"/>
    <w:rsid w:val="00213F8B"/>
    <w:rsid w:val="00214634"/>
    <w:rsid w:val="00215B16"/>
    <w:rsid w:val="00216916"/>
    <w:rsid w:val="00216DE7"/>
    <w:rsid w:val="002172AE"/>
    <w:rsid w:val="0021753F"/>
    <w:rsid w:val="002179DE"/>
    <w:rsid w:val="0022040A"/>
    <w:rsid w:val="002215ED"/>
    <w:rsid w:val="00221829"/>
    <w:rsid w:val="00224E8F"/>
    <w:rsid w:val="00226A2F"/>
    <w:rsid w:val="00227213"/>
    <w:rsid w:val="002276B6"/>
    <w:rsid w:val="00227F51"/>
    <w:rsid w:val="002305DB"/>
    <w:rsid w:val="00232884"/>
    <w:rsid w:val="002332B9"/>
    <w:rsid w:val="00235694"/>
    <w:rsid w:val="00235A36"/>
    <w:rsid w:val="002368B0"/>
    <w:rsid w:val="00236BD4"/>
    <w:rsid w:val="00236FC9"/>
    <w:rsid w:val="0023761F"/>
    <w:rsid w:val="0024036C"/>
    <w:rsid w:val="00240DD8"/>
    <w:rsid w:val="00241C7D"/>
    <w:rsid w:val="002420BE"/>
    <w:rsid w:val="0024224D"/>
    <w:rsid w:val="0024462B"/>
    <w:rsid w:val="00245C13"/>
    <w:rsid w:val="0025007B"/>
    <w:rsid w:val="0025013B"/>
    <w:rsid w:val="00250D12"/>
    <w:rsid w:val="00250EDD"/>
    <w:rsid w:val="00253197"/>
    <w:rsid w:val="00256BEB"/>
    <w:rsid w:val="002570EE"/>
    <w:rsid w:val="002604F0"/>
    <w:rsid w:val="00261BCF"/>
    <w:rsid w:val="00262484"/>
    <w:rsid w:val="00263349"/>
    <w:rsid w:val="002662C5"/>
    <w:rsid w:val="002708AF"/>
    <w:rsid w:val="00273EDD"/>
    <w:rsid w:val="002740C3"/>
    <w:rsid w:val="00276023"/>
    <w:rsid w:val="0027735C"/>
    <w:rsid w:val="0027753E"/>
    <w:rsid w:val="00277763"/>
    <w:rsid w:val="0028108D"/>
    <w:rsid w:val="002810AC"/>
    <w:rsid w:val="002812CC"/>
    <w:rsid w:val="00285056"/>
    <w:rsid w:val="002867C5"/>
    <w:rsid w:val="00293EC3"/>
    <w:rsid w:val="00295A7F"/>
    <w:rsid w:val="002A1103"/>
    <w:rsid w:val="002A1705"/>
    <w:rsid w:val="002A22EA"/>
    <w:rsid w:val="002A2964"/>
    <w:rsid w:val="002A2F7D"/>
    <w:rsid w:val="002A3AF4"/>
    <w:rsid w:val="002A5F7E"/>
    <w:rsid w:val="002A74F1"/>
    <w:rsid w:val="002A7B32"/>
    <w:rsid w:val="002B2041"/>
    <w:rsid w:val="002B29BA"/>
    <w:rsid w:val="002B4F07"/>
    <w:rsid w:val="002B55CA"/>
    <w:rsid w:val="002B7B7D"/>
    <w:rsid w:val="002C0429"/>
    <w:rsid w:val="002C084A"/>
    <w:rsid w:val="002C1E10"/>
    <w:rsid w:val="002C24AF"/>
    <w:rsid w:val="002C4463"/>
    <w:rsid w:val="002C4A64"/>
    <w:rsid w:val="002C6711"/>
    <w:rsid w:val="002C67F5"/>
    <w:rsid w:val="002C6D74"/>
    <w:rsid w:val="002C6EE8"/>
    <w:rsid w:val="002D2894"/>
    <w:rsid w:val="002D5638"/>
    <w:rsid w:val="002D638E"/>
    <w:rsid w:val="002D64CD"/>
    <w:rsid w:val="002D696C"/>
    <w:rsid w:val="002D703B"/>
    <w:rsid w:val="002D75CC"/>
    <w:rsid w:val="002D7BA2"/>
    <w:rsid w:val="002E0562"/>
    <w:rsid w:val="002E0F59"/>
    <w:rsid w:val="002E0FD5"/>
    <w:rsid w:val="002E11DD"/>
    <w:rsid w:val="002E1DAD"/>
    <w:rsid w:val="002E35B5"/>
    <w:rsid w:val="002E3BC8"/>
    <w:rsid w:val="002E585D"/>
    <w:rsid w:val="002E5CD7"/>
    <w:rsid w:val="002E67FB"/>
    <w:rsid w:val="002E6D7C"/>
    <w:rsid w:val="002F0AE1"/>
    <w:rsid w:val="002F0C61"/>
    <w:rsid w:val="002F0D42"/>
    <w:rsid w:val="002F0DF0"/>
    <w:rsid w:val="002F2DA7"/>
    <w:rsid w:val="002F3872"/>
    <w:rsid w:val="002F4462"/>
    <w:rsid w:val="002F5066"/>
    <w:rsid w:val="002F5D82"/>
    <w:rsid w:val="002F6084"/>
    <w:rsid w:val="0030167A"/>
    <w:rsid w:val="003044E4"/>
    <w:rsid w:val="00304E56"/>
    <w:rsid w:val="00304F1B"/>
    <w:rsid w:val="0030680A"/>
    <w:rsid w:val="00306FBC"/>
    <w:rsid w:val="00310632"/>
    <w:rsid w:val="00311916"/>
    <w:rsid w:val="003120B1"/>
    <w:rsid w:val="003129FD"/>
    <w:rsid w:val="00312B26"/>
    <w:rsid w:val="00312B28"/>
    <w:rsid w:val="00313484"/>
    <w:rsid w:val="00313AEF"/>
    <w:rsid w:val="00313BF3"/>
    <w:rsid w:val="00313C21"/>
    <w:rsid w:val="003141CA"/>
    <w:rsid w:val="00314209"/>
    <w:rsid w:val="003154A3"/>
    <w:rsid w:val="00315858"/>
    <w:rsid w:val="00316B94"/>
    <w:rsid w:val="00316E42"/>
    <w:rsid w:val="003203E5"/>
    <w:rsid w:val="00320912"/>
    <w:rsid w:val="00322C45"/>
    <w:rsid w:val="00322CF0"/>
    <w:rsid w:val="00324049"/>
    <w:rsid w:val="003246D4"/>
    <w:rsid w:val="0032536C"/>
    <w:rsid w:val="00325C6A"/>
    <w:rsid w:val="00326C8C"/>
    <w:rsid w:val="00327533"/>
    <w:rsid w:val="0033085B"/>
    <w:rsid w:val="00330880"/>
    <w:rsid w:val="003309C5"/>
    <w:rsid w:val="0033139D"/>
    <w:rsid w:val="003335D3"/>
    <w:rsid w:val="00334124"/>
    <w:rsid w:val="003343C8"/>
    <w:rsid w:val="0033600E"/>
    <w:rsid w:val="00340850"/>
    <w:rsid w:val="00341869"/>
    <w:rsid w:val="0034210F"/>
    <w:rsid w:val="00342C52"/>
    <w:rsid w:val="0034418A"/>
    <w:rsid w:val="003443B7"/>
    <w:rsid w:val="00345C58"/>
    <w:rsid w:val="00345DB5"/>
    <w:rsid w:val="00346E30"/>
    <w:rsid w:val="0034735E"/>
    <w:rsid w:val="00351AFA"/>
    <w:rsid w:val="003527FB"/>
    <w:rsid w:val="00352E13"/>
    <w:rsid w:val="003564AA"/>
    <w:rsid w:val="00357CF7"/>
    <w:rsid w:val="00357DF1"/>
    <w:rsid w:val="003600F4"/>
    <w:rsid w:val="00360CB6"/>
    <w:rsid w:val="0036310F"/>
    <w:rsid w:val="00363602"/>
    <w:rsid w:val="003651BD"/>
    <w:rsid w:val="00365948"/>
    <w:rsid w:val="00367044"/>
    <w:rsid w:val="00367347"/>
    <w:rsid w:val="00367B81"/>
    <w:rsid w:val="0037007A"/>
    <w:rsid w:val="00371CD6"/>
    <w:rsid w:val="00372366"/>
    <w:rsid w:val="00372537"/>
    <w:rsid w:val="00374628"/>
    <w:rsid w:val="003762DA"/>
    <w:rsid w:val="003767C0"/>
    <w:rsid w:val="00380910"/>
    <w:rsid w:val="00381242"/>
    <w:rsid w:val="00382C57"/>
    <w:rsid w:val="0038766E"/>
    <w:rsid w:val="00387B4B"/>
    <w:rsid w:val="0039392C"/>
    <w:rsid w:val="00393EC0"/>
    <w:rsid w:val="00395F32"/>
    <w:rsid w:val="003969C7"/>
    <w:rsid w:val="003972B6"/>
    <w:rsid w:val="003A0E84"/>
    <w:rsid w:val="003A12C6"/>
    <w:rsid w:val="003A1936"/>
    <w:rsid w:val="003A2501"/>
    <w:rsid w:val="003A2F14"/>
    <w:rsid w:val="003A3E1F"/>
    <w:rsid w:val="003A477C"/>
    <w:rsid w:val="003A565F"/>
    <w:rsid w:val="003A6814"/>
    <w:rsid w:val="003B1470"/>
    <w:rsid w:val="003B177C"/>
    <w:rsid w:val="003B4711"/>
    <w:rsid w:val="003B57AF"/>
    <w:rsid w:val="003B5E57"/>
    <w:rsid w:val="003B6659"/>
    <w:rsid w:val="003B6BFB"/>
    <w:rsid w:val="003B6DB0"/>
    <w:rsid w:val="003C2D36"/>
    <w:rsid w:val="003C2F0C"/>
    <w:rsid w:val="003C2FFB"/>
    <w:rsid w:val="003C4ABE"/>
    <w:rsid w:val="003C4FA2"/>
    <w:rsid w:val="003C5B1B"/>
    <w:rsid w:val="003C5B5A"/>
    <w:rsid w:val="003C5EAC"/>
    <w:rsid w:val="003C7777"/>
    <w:rsid w:val="003D05A1"/>
    <w:rsid w:val="003D11A8"/>
    <w:rsid w:val="003D2612"/>
    <w:rsid w:val="003D37B5"/>
    <w:rsid w:val="003D568E"/>
    <w:rsid w:val="003D597F"/>
    <w:rsid w:val="003E1379"/>
    <w:rsid w:val="003E582E"/>
    <w:rsid w:val="003F0AE8"/>
    <w:rsid w:val="003F22CE"/>
    <w:rsid w:val="003F2F8E"/>
    <w:rsid w:val="003F2FB9"/>
    <w:rsid w:val="003F3268"/>
    <w:rsid w:val="003F374E"/>
    <w:rsid w:val="003F3D34"/>
    <w:rsid w:val="003F49F0"/>
    <w:rsid w:val="003F604B"/>
    <w:rsid w:val="003F785D"/>
    <w:rsid w:val="00400EF4"/>
    <w:rsid w:val="004013D9"/>
    <w:rsid w:val="00401780"/>
    <w:rsid w:val="00403DE1"/>
    <w:rsid w:val="00403E2E"/>
    <w:rsid w:val="00404155"/>
    <w:rsid w:val="0040420E"/>
    <w:rsid w:val="00404550"/>
    <w:rsid w:val="00405B33"/>
    <w:rsid w:val="00405C66"/>
    <w:rsid w:val="00405D48"/>
    <w:rsid w:val="00407BCE"/>
    <w:rsid w:val="00407F04"/>
    <w:rsid w:val="004112F7"/>
    <w:rsid w:val="004119C7"/>
    <w:rsid w:val="00412023"/>
    <w:rsid w:val="00413B7E"/>
    <w:rsid w:val="00413DA2"/>
    <w:rsid w:val="004144AC"/>
    <w:rsid w:val="004157AF"/>
    <w:rsid w:val="00420A4C"/>
    <w:rsid w:val="00425C97"/>
    <w:rsid w:val="004271E3"/>
    <w:rsid w:val="00427545"/>
    <w:rsid w:val="00431B6C"/>
    <w:rsid w:val="00432BCF"/>
    <w:rsid w:val="00434F67"/>
    <w:rsid w:val="00435AEC"/>
    <w:rsid w:val="004361EB"/>
    <w:rsid w:val="0043707B"/>
    <w:rsid w:val="00437FF5"/>
    <w:rsid w:val="0044096D"/>
    <w:rsid w:val="00440CD0"/>
    <w:rsid w:val="004413BD"/>
    <w:rsid w:val="00441933"/>
    <w:rsid w:val="00441F43"/>
    <w:rsid w:val="004421B5"/>
    <w:rsid w:val="0044226E"/>
    <w:rsid w:val="00442E81"/>
    <w:rsid w:val="00443704"/>
    <w:rsid w:val="00447E6A"/>
    <w:rsid w:val="00450222"/>
    <w:rsid w:val="0045029B"/>
    <w:rsid w:val="004506CC"/>
    <w:rsid w:val="0045107A"/>
    <w:rsid w:val="00451696"/>
    <w:rsid w:val="0045324A"/>
    <w:rsid w:val="00453FFF"/>
    <w:rsid w:val="0045464A"/>
    <w:rsid w:val="004550DE"/>
    <w:rsid w:val="0045557D"/>
    <w:rsid w:val="0045558F"/>
    <w:rsid w:val="00455E73"/>
    <w:rsid w:val="00455F44"/>
    <w:rsid w:val="0045792B"/>
    <w:rsid w:val="00457AF7"/>
    <w:rsid w:val="00460383"/>
    <w:rsid w:val="00460F31"/>
    <w:rsid w:val="00461AD6"/>
    <w:rsid w:val="00462998"/>
    <w:rsid w:val="0046330A"/>
    <w:rsid w:val="00463ACA"/>
    <w:rsid w:val="00463CB4"/>
    <w:rsid w:val="004642FE"/>
    <w:rsid w:val="00466CB7"/>
    <w:rsid w:val="00466E45"/>
    <w:rsid w:val="00470C69"/>
    <w:rsid w:val="004726C8"/>
    <w:rsid w:val="0047600F"/>
    <w:rsid w:val="00476AB1"/>
    <w:rsid w:val="00476ECA"/>
    <w:rsid w:val="00477202"/>
    <w:rsid w:val="00477B1A"/>
    <w:rsid w:val="004805DA"/>
    <w:rsid w:val="00480BE6"/>
    <w:rsid w:val="00480FAD"/>
    <w:rsid w:val="00483480"/>
    <w:rsid w:val="004845B3"/>
    <w:rsid w:val="00484798"/>
    <w:rsid w:val="004860C3"/>
    <w:rsid w:val="004869BE"/>
    <w:rsid w:val="00487E6F"/>
    <w:rsid w:val="004915AB"/>
    <w:rsid w:val="0049204E"/>
    <w:rsid w:val="00492FA1"/>
    <w:rsid w:val="00497549"/>
    <w:rsid w:val="00497EE8"/>
    <w:rsid w:val="004A199F"/>
    <w:rsid w:val="004A24F0"/>
    <w:rsid w:val="004A2CB0"/>
    <w:rsid w:val="004A5E41"/>
    <w:rsid w:val="004A7008"/>
    <w:rsid w:val="004B7596"/>
    <w:rsid w:val="004C145B"/>
    <w:rsid w:val="004C1E13"/>
    <w:rsid w:val="004C1E85"/>
    <w:rsid w:val="004C1F95"/>
    <w:rsid w:val="004C3D66"/>
    <w:rsid w:val="004C4DBA"/>
    <w:rsid w:val="004C543A"/>
    <w:rsid w:val="004C5EAB"/>
    <w:rsid w:val="004C6150"/>
    <w:rsid w:val="004C6A6C"/>
    <w:rsid w:val="004C6C8B"/>
    <w:rsid w:val="004C6F0B"/>
    <w:rsid w:val="004C6F22"/>
    <w:rsid w:val="004C7623"/>
    <w:rsid w:val="004D0287"/>
    <w:rsid w:val="004D07DF"/>
    <w:rsid w:val="004D1D0D"/>
    <w:rsid w:val="004D611F"/>
    <w:rsid w:val="004D7D51"/>
    <w:rsid w:val="004E0958"/>
    <w:rsid w:val="004E0B3C"/>
    <w:rsid w:val="004E392C"/>
    <w:rsid w:val="004E3F50"/>
    <w:rsid w:val="004E4028"/>
    <w:rsid w:val="004E4AF3"/>
    <w:rsid w:val="004E4E01"/>
    <w:rsid w:val="004E58AB"/>
    <w:rsid w:val="004E6188"/>
    <w:rsid w:val="004E635F"/>
    <w:rsid w:val="004E6DD2"/>
    <w:rsid w:val="004E6E76"/>
    <w:rsid w:val="004E7C2D"/>
    <w:rsid w:val="004F0A25"/>
    <w:rsid w:val="004F0BBC"/>
    <w:rsid w:val="004F316C"/>
    <w:rsid w:val="004F4F24"/>
    <w:rsid w:val="004F5161"/>
    <w:rsid w:val="004F7128"/>
    <w:rsid w:val="00501DC6"/>
    <w:rsid w:val="00502239"/>
    <w:rsid w:val="00502CFD"/>
    <w:rsid w:val="00502FF2"/>
    <w:rsid w:val="0050543E"/>
    <w:rsid w:val="005059F1"/>
    <w:rsid w:val="00506149"/>
    <w:rsid w:val="00507FE8"/>
    <w:rsid w:val="00511345"/>
    <w:rsid w:val="00511373"/>
    <w:rsid w:val="00511895"/>
    <w:rsid w:val="00512D9D"/>
    <w:rsid w:val="00512F5C"/>
    <w:rsid w:val="00513E68"/>
    <w:rsid w:val="00515D0C"/>
    <w:rsid w:val="00517586"/>
    <w:rsid w:val="00520554"/>
    <w:rsid w:val="00522024"/>
    <w:rsid w:val="0052251E"/>
    <w:rsid w:val="00522EB1"/>
    <w:rsid w:val="00525CC5"/>
    <w:rsid w:val="00526165"/>
    <w:rsid w:val="005261B8"/>
    <w:rsid w:val="005278AA"/>
    <w:rsid w:val="0053012F"/>
    <w:rsid w:val="005305AC"/>
    <w:rsid w:val="00530C19"/>
    <w:rsid w:val="00530D62"/>
    <w:rsid w:val="0053236E"/>
    <w:rsid w:val="005334EE"/>
    <w:rsid w:val="0053471D"/>
    <w:rsid w:val="00534E17"/>
    <w:rsid w:val="005358FA"/>
    <w:rsid w:val="00535C12"/>
    <w:rsid w:val="00537156"/>
    <w:rsid w:val="00540713"/>
    <w:rsid w:val="00542510"/>
    <w:rsid w:val="005430D6"/>
    <w:rsid w:val="00544833"/>
    <w:rsid w:val="005453CB"/>
    <w:rsid w:val="0054652E"/>
    <w:rsid w:val="00546580"/>
    <w:rsid w:val="00546F03"/>
    <w:rsid w:val="0054703C"/>
    <w:rsid w:val="0054706D"/>
    <w:rsid w:val="00550D42"/>
    <w:rsid w:val="00550DC4"/>
    <w:rsid w:val="005514AF"/>
    <w:rsid w:val="00551B4A"/>
    <w:rsid w:val="00552394"/>
    <w:rsid w:val="005525C3"/>
    <w:rsid w:val="00552860"/>
    <w:rsid w:val="005529A4"/>
    <w:rsid w:val="00553115"/>
    <w:rsid w:val="00554AFE"/>
    <w:rsid w:val="00555D65"/>
    <w:rsid w:val="00557436"/>
    <w:rsid w:val="00561149"/>
    <w:rsid w:val="00561903"/>
    <w:rsid w:val="0056234E"/>
    <w:rsid w:val="005627DD"/>
    <w:rsid w:val="0056374A"/>
    <w:rsid w:val="005638FC"/>
    <w:rsid w:val="005639F5"/>
    <w:rsid w:val="00566175"/>
    <w:rsid w:val="00566375"/>
    <w:rsid w:val="00567F95"/>
    <w:rsid w:val="00571F59"/>
    <w:rsid w:val="00572476"/>
    <w:rsid w:val="00573B5F"/>
    <w:rsid w:val="00573C88"/>
    <w:rsid w:val="005759AF"/>
    <w:rsid w:val="0057679B"/>
    <w:rsid w:val="005770BB"/>
    <w:rsid w:val="00577886"/>
    <w:rsid w:val="00580841"/>
    <w:rsid w:val="00580AB2"/>
    <w:rsid w:val="005810A2"/>
    <w:rsid w:val="00582092"/>
    <w:rsid w:val="00583701"/>
    <w:rsid w:val="0058396E"/>
    <w:rsid w:val="005847E1"/>
    <w:rsid w:val="005849C6"/>
    <w:rsid w:val="005852C9"/>
    <w:rsid w:val="00585A68"/>
    <w:rsid w:val="005868C9"/>
    <w:rsid w:val="00586A03"/>
    <w:rsid w:val="00586B6F"/>
    <w:rsid w:val="00586E84"/>
    <w:rsid w:val="005877F6"/>
    <w:rsid w:val="00591E3E"/>
    <w:rsid w:val="00592F71"/>
    <w:rsid w:val="00592FF1"/>
    <w:rsid w:val="005956EC"/>
    <w:rsid w:val="005A0878"/>
    <w:rsid w:val="005A0CDB"/>
    <w:rsid w:val="005A1246"/>
    <w:rsid w:val="005A1835"/>
    <w:rsid w:val="005A4791"/>
    <w:rsid w:val="005A495B"/>
    <w:rsid w:val="005A56EA"/>
    <w:rsid w:val="005A61D7"/>
    <w:rsid w:val="005B0153"/>
    <w:rsid w:val="005B0417"/>
    <w:rsid w:val="005B6FEE"/>
    <w:rsid w:val="005B7896"/>
    <w:rsid w:val="005C0FD4"/>
    <w:rsid w:val="005C1744"/>
    <w:rsid w:val="005C31E6"/>
    <w:rsid w:val="005C3479"/>
    <w:rsid w:val="005C4816"/>
    <w:rsid w:val="005C5854"/>
    <w:rsid w:val="005C5E8D"/>
    <w:rsid w:val="005C7888"/>
    <w:rsid w:val="005D00AF"/>
    <w:rsid w:val="005D0641"/>
    <w:rsid w:val="005D14B9"/>
    <w:rsid w:val="005D1798"/>
    <w:rsid w:val="005D1BB8"/>
    <w:rsid w:val="005D3E66"/>
    <w:rsid w:val="005D5118"/>
    <w:rsid w:val="005D5725"/>
    <w:rsid w:val="005D663D"/>
    <w:rsid w:val="005D6B82"/>
    <w:rsid w:val="005D7D02"/>
    <w:rsid w:val="005E04C9"/>
    <w:rsid w:val="005E0A69"/>
    <w:rsid w:val="005E2B4F"/>
    <w:rsid w:val="005E36B2"/>
    <w:rsid w:val="005E38AC"/>
    <w:rsid w:val="005E3B58"/>
    <w:rsid w:val="005E3D1E"/>
    <w:rsid w:val="005E3F62"/>
    <w:rsid w:val="005E4232"/>
    <w:rsid w:val="005E5029"/>
    <w:rsid w:val="005E5068"/>
    <w:rsid w:val="005E58CC"/>
    <w:rsid w:val="005E6299"/>
    <w:rsid w:val="005E7B4F"/>
    <w:rsid w:val="005F18FA"/>
    <w:rsid w:val="005F24F1"/>
    <w:rsid w:val="005F296C"/>
    <w:rsid w:val="005F35E4"/>
    <w:rsid w:val="005F46BB"/>
    <w:rsid w:val="005F4C92"/>
    <w:rsid w:val="005F5E49"/>
    <w:rsid w:val="005F64B4"/>
    <w:rsid w:val="00600CEF"/>
    <w:rsid w:val="00601094"/>
    <w:rsid w:val="00601559"/>
    <w:rsid w:val="00601B4B"/>
    <w:rsid w:val="00603813"/>
    <w:rsid w:val="00606EDF"/>
    <w:rsid w:val="00607818"/>
    <w:rsid w:val="006108D7"/>
    <w:rsid w:val="00611178"/>
    <w:rsid w:val="006122E1"/>
    <w:rsid w:val="006128AC"/>
    <w:rsid w:val="00613F4D"/>
    <w:rsid w:val="0061542D"/>
    <w:rsid w:val="0061567A"/>
    <w:rsid w:val="00616597"/>
    <w:rsid w:val="00620715"/>
    <w:rsid w:val="00621FFD"/>
    <w:rsid w:val="00622818"/>
    <w:rsid w:val="00622E44"/>
    <w:rsid w:val="00623A4D"/>
    <w:rsid w:val="00624187"/>
    <w:rsid w:val="00624ACA"/>
    <w:rsid w:val="006252AF"/>
    <w:rsid w:val="00626255"/>
    <w:rsid w:val="0063000A"/>
    <w:rsid w:val="006304CC"/>
    <w:rsid w:val="00631AA1"/>
    <w:rsid w:val="00631DEC"/>
    <w:rsid w:val="0063400A"/>
    <w:rsid w:val="00634CC2"/>
    <w:rsid w:val="00635435"/>
    <w:rsid w:val="00636109"/>
    <w:rsid w:val="00637F2B"/>
    <w:rsid w:val="00640B62"/>
    <w:rsid w:val="0064176B"/>
    <w:rsid w:val="00641807"/>
    <w:rsid w:val="00641BBC"/>
    <w:rsid w:val="006429BC"/>
    <w:rsid w:val="00644A48"/>
    <w:rsid w:val="006461E8"/>
    <w:rsid w:val="00646FBB"/>
    <w:rsid w:val="006474C7"/>
    <w:rsid w:val="006475C2"/>
    <w:rsid w:val="006476CE"/>
    <w:rsid w:val="006503D3"/>
    <w:rsid w:val="006526B7"/>
    <w:rsid w:val="006533FA"/>
    <w:rsid w:val="00654CF6"/>
    <w:rsid w:val="00654E23"/>
    <w:rsid w:val="00655583"/>
    <w:rsid w:val="0065579F"/>
    <w:rsid w:val="00656945"/>
    <w:rsid w:val="00657C9E"/>
    <w:rsid w:val="00657CDC"/>
    <w:rsid w:val="00661BA3"/>
    <w:rsid w:val="0066223F"/>
    <w:rsid w:val="00663C55"/>
    <w:rsid w:val="00664631"/>
    <w:rsid w:val="0066710A"/>
    <w:rsid w:val="006676B4"/>
    <w:rsid w:val="006713B7"/>
    <w:rsid w:val="0067163A"/>
    <w:rsid w:val="0067483E"/>
    <w:rsid w:val="006749D8"/>
    <w:rsid w:val="0067674F"/>
    <w:rsid w:val="00676AA0"/>
    <w:rsid w:val="00676B2B"/>
    <w:rsid w:val="006771E1"/>
    <w:rsid w:val="0067799C"/>
    <w:rsid w:val="00677F9B"/>
    <w:rsid w:val="006813A6"/>
    <w:rsid w:val="00681700"/>
    <w:rsid w:val="006834C6"/>
    <w:rsid w:val="0068437B"/>
    <w:rsid w:val="00687E44"/>
    <w:rsid w:val="00691E8C"/>
    <w:rsid w:val="00692195"/>
    <w:rsid w:val="006926CE"/>
    <w:rsid w:val="00692CAC"/>
    <w:rsid w:val="00692E82"/>
    <w:rsid w:val="0069348F"/>
    <w:rsid w:val="006935CB"/>
    <w:rsid w:val="0069514B"/>
    <w:rsid w:val="00697D38"/>
    <w:rsid w:val="006A0450"/>
    <w:rsid w:val="006A0758"/>
    <w:rsid w:val="006A2D08"/>
    <w:rsid w:val="006A2FA2"/>
    <w:rsid w:val="006A4FBF"/>
    <w:rsid w:val="006A588D"/>
    <w:rsid w:val="006A6A77"/>
    <w:rsid w:val="006A6B4F"/>
    <w:rsid w:val="006A76FC"/>
    <w:rsid w:val="006B0C4A"/>
    <w:rsid w:val="006B10BA"/>
    <w:rsid w:val="006B199A"/>
    <w:rsid w:val="006B21F9"/>
    <w:rsid w:val="006B4421"/>
    <w:rsid w:val="006B4C50"/>
    <w:rsid w:val="006B690E"/>
    <w:rsid w:val="006B6EB9"/>
    <w:rsid w:val="006B70FF"/>
    <w:rsid w:val="006B7DD7"/>
    <w:rsid w:val="006B7FF7"/>
    <w:rsid w:val="006C01BE"/>
    <w:rsid w:val="006C03EA"/>
    <w:rsid w:val="006C12E9"/>
    <w:rsid w:val="006C7231"/>
    <w:rsid w:val="006D0088"/>
    <w:rsid w:val="006D0379"/>
    <w:rsid w:val="006D0719"/>
    <w:rsid w:val="006D09F2"/>
    <w:rsid w:val="006D1409"/>
    <w:rsid w:val="006D3940"/>
    <w:rsid w:val="006D3D8B"/>
    <w:rsid w:val="006D5EE1"/>
    <w:rsid w:val="006E12FE"/>
    <w:rsid w:val="006E1B8C"/>
    <w:rsid w:val="006E1E89"/>
    <w:rsid w:val="006E25C2"/>
    <w:rsid w:val="006E71AD"/>
    <w:rsid w:val="006E7D40"/>
    <w:rsid w:val="006F0FCE"/>
    <w:rsid w:val="006F1273"/>
    <w:rsid w:val="006F164F"/>
    <w:rsid w:val="006F31BB"/>
    <w:rsid w:val="006F36D3"/>
    <w:rsid w:val="006F3E05"/>
    <w:rsid w:val="006F41E1"/>
    <w:rsid w:val="006F4253"/>
    <w:rsid w:val="006F6030"/>
    <w:rsid w:val="006F62A0"/>
    <w:rsid w:val="006F75C1"/>
    <w:rsid w:val="006F75D1"/>
    <w:rsid w:val="006F7B4F"/>
    <w:rsid w:val="00701F37"/>
    <w:rsid w:val="00703446"/>
    <w:rsid w:val="007045EC"/>
    <w:rsid w:val="00710AFC"/>
    <w:rsid w:val="007118A7"/>
    <w:rsid w:val="00711B4E"/>
    <w:rsid w:val="00711BF0"/>
    <w:rsid w:val="0071236C"/>
    <w:rsid w:val="007139E4"/>
    <w:rsid w:val="007169DC"/>
    <w:rsid w:val="0071771C"/>
    <w:rsid w:val="007177BB"/>
    <w:rsid w:val="00720E8A"/>
    <w:rsid w:val="007213DC"/>
    <w:rsid w:val="0072184F"/>
    <w:rsid w:val="007221B0"/>
    <w:rsid w:val="00723C04"/>
    <w:rsid w:val="007266CA"/>
    <w:rsid w:val="00727891"/>
    <w:rsid w:val="007305AB"/>
    <w:rsid w:val="0073090C"/>
    <w:rsid w:val="00731322"/>
    <w:rsid w:val="00731C48"/>
    <w:rsid w:val="0073200D"/>
    <w:rsid w:val="00732750"/>
    <w:rsid w:val="00732AE7"/>
    <w:rsid w:val="007341A1"/>
    <w:rsid w:val="00735E4B"/>
    <w:rsid w:val="007364B5"/>
    <w:rsid w:val="00736F50"/>
    <w:rsid w:val="0074143E"/>
    <w:rsid w:val="007422E5"/>
    <w:rsid w:val="00742ACC"/>
    <w:rsid w:val="00743003"/>
    <w:rsid w:val="007458B4"/>
    <w:rsid w:val="00746717"/>
    <w:rsid w:val="007467DE"/>
    <w:rsid w:val="007503CF"/>
    <w:rsid w:val="0075144E"/>
    <w:rsid w:val="00753361"/>
    <w:rsid w:val="007565EE"/>
    <w:rsid w:val="00757100"/>
    <w:rsid w:val="007571EB"/>
    <w:rsid w:val="007601D8"/>
    <w:rsid w:val="007631F5"/>
    <w:rsid w:val="007639EB"/>
    <w:rsid w:val="00764437"/>
    <w:rsid w:val="007644F0"/>
    <w:rsid w:val="00764ACE"/>
    <w:rsid w:val="00764D39"/>
    <w:rsid w:val="00764E53"/>
    <w:rsid w:val="0076575C"/>
    <w:rsid w:val="00765983"/>
    <w:rsid w:val="00767F86"/>
    <w:rsid w:val="00772B9E"/>
    <w:rsid w:val="007731F2"/>
    <w:rsid w:val="00773816"/>
    <w:rsid w:val="00773D1C"/>
    <w:rsid w:val="0077423A"/>
    <w:rsid w:val="00774A96"/>
    <w:rsid w:val="00774DB9"/>
    <w:rsid w:val="007752BE"/>
    <w:rsid w:val="00775C02"/>
    <w:rsid w:val="007763D4"/>
    <w:rsid w:val="00777BF5"/>
    <w:rsid w:val="0078097C"/>
    <w:rsid w:val="00781498"/>
    <w:rsid w:val="0078171F"/>
    <w:rsid w:val="00784A2B"/>
    <w:rsid w:val="00784A5B"/>
    <w:rsid w:val="00786755"/>
    <w:rsid w:val="007872EA"/>
    <w:rsid w:val="0079007B"/>
    <w:rsid w:val="007903B1"/>
    <w:rsid w:val="00791CC9"/>
    <w:rsid w:val="00792B85"/>
    <w:rsid w:val="00792F8B"/>
    <w:rsid w:val="00793211"/>
    <w:rsid w:val="00794502"/>
    <w:rsid w:val="0079589E"/>
    <w:rsid w:val="00795DE4"/>
    <w:rsid w:val="00797D23"/>
    <w:rsid w:val="007A1C98"/>
    <w:rsid w:val="007A3B1A"/>
    <w:rsid w:val="007A5697"/>
    <w:rsid w:val="007A6D30"/>
    <w:rsid w:val="007A7822"/>
    <w:rsid w:val="007B00C4"/>
    <w:rsid w:val="007B0587"/>
    <w:rsid w:val="007B0B0F"/>
    <w:rsid w:val="007B2825"/>
    <w:rsid w:val="007B389F"/>
    <w:rsid w:val="007B3C4A"/>
    <w:rsid w:val="007B4D43"/>
    <w:rsid w:val="007B4D6A"/>
    <w:rsid w:val="007B598E"/>
    <w:rsid w:val="007B6685"/>
    <w:rsid w:val="007C0C37"/>
    <w:rsid w:val="007C1804"/>
    <w:rsid w:val="007C3478"/>
    <w:rsid w:val="007C3C7B"/>
    <w:rsid w:val="007C5EC3"/>
    <w:rsid w:val="007C701D"/>
    <w:rsid w:val="007D13C6"/>
    <w:rsid w:val="007D23BF"/>
    <w:rsid w:val="007D24E4"/>
    <w:rsid w:val="007D3B46"/>
    <w:rsid w:val="007D60DB"/>
    <w:rsid w:val="007D615F"/>
    <w:rsid w:val="007D6E96"/>
    <w:rsid w:val="007E05FE"/>
    <w:rsid w:val="007E0C57"/>
    <w:rsid w:val="007E11B0"/>
    <w:rsid w:val="007E1BA9"/>
    <w:rsid w:val="007E20D4"/>
    <w:rsid w:val="007E2390"/>
    <w:rsid w:val="007E2642"/>
    <w:rsid w:val="007E33C5"/>
    <w:rsid w:val="007E4D28"/>
    <w:rsid w:val="007E5512"/>
    <w:rsid w:val="007F0DD0"/>
    <w:rsid w:val="007F0F4F"/>
    <w:rsid w:val="007F13A2"/>
    <w:rsid w:val="007F280D"/>
    <w:rsid w:val="007F2DDE"/>
    <w:rsid w:val="007F403B"/>
    <w:rsid w:val="007F6632"/>
    <w:rsid w:val="00800176"/>
    <w:rsid w:val="00800E36"/>
    <w:rsid w:val="00801136"/>
    <w:rsid w:val="00801882"/>
    <w:rsid w:val="00802408"/>
    <w:rsid w:val="00802BF6"/>
    <w:rsid w:val="008100C8"/>
    <w:rsid w:val="00810978"/>
    <w:rsid w:val="00811F5E"/>
    <w:rsid w:val="00813ACF"/>
    <w:rsid w:val="008147C8"/>
    <w:rsid w:val="00817F79"/>
    <w:rsid w:val="00822199"/>
    <w:rsid w:val="0082320B"/>
    <w:rsid w:val="00825B11"/>
    <w:rsid w:val="0082761A"/>
    <w:rsid w:val="00830124"/>
    <w:rsid w:val="008303FB"/>
    <w:rsid w:val="008309D2"/>
    <w:rsid w:val="00831067"/>
    <w:rsid w:val="00831313"/>
    <w:rsid w:val="00831A1E"/>
    <w:rsid w:val="00832600"/>
    <w:rsid w:val="00832C51"/>
    <w:rsid w:val="0083386A"/>
    <w:rsid w:val="00833882"/>
    <w:rsid w:val="00833C7A"/>
    <w:rsid w:val="00834FF3"/>
    <w:rsid w:val="00835672"/>
    <w:rsid w:val="00836244"/>
    <w:rsid w:val="008371D1"/>
    <w:rsid w:val="008372B2"/>
    <w:rsid w:val="0084071A"/>
    <w:rsid w:val="0084216B"/>
    <w:rsid w:val="00842EDD"/>
    <w:rsid w:val="0084342C"/>
    <w:rsid w:val="00844D9B"/>
    <w:rsid w:val="00845109"/>
    <w:rsid w:val="008453C5"/>
    <w:rsid w:val="00845AC4"/>
    <w:rsid w:val="00846FB4"/>
    <w:rsid w:val="008504EA"/>
    <w:rsid w:val="008579A3"/>
    <w:rsid w:val="008608E6"/>
    <w:rsid w:val="00860972"/>
    <w:rsid w:val="00861FDD"/>
    <w:rsid w:val="0086227A"/>
    <w:rsid w:val="00865AFA"/>
    <w:rsid w:val="00866831"/>
    <w:rsid w:val="0086783C"/>
    <w:rsid w:val="00867CFE"/>
    <w:rsid w:val="008700E4"/>
    <w:rsid w:val="008707AC"/>
    <w:rsid w:val="00870D02"/>
    <w:rsid w:val="00870D28"/>
    <w:rsid w:val="00871391"/>
    <w:rsid w:val="00871B7A"/>
    <w:rsid w:val="00872E0F"/>
    <w:rsid w:val="00873448"/>
    <w:rsid w:val="008737FC"/>
    <w:rsid w:val="00874A8B"/>
    <w:rsid w:val="008756EE"/>
    <w:rsid w:val="008763EA"/>
    <w:rsid w:val="008773F3"/>
    <w:rsid w:val="008775F5"/>
    <w:rsid w:val="00880F39"/>
    <w:rsid w:val="00881BD6"/>
    <w:rsid w:val="00882499"/>
    <w:rsid w:val="00882726"/>
    <w:rsid w:val="00882AB7"/>
    <w:rsid w:val="00885063"/>
    <w:rsid w:val="0088575E"/>
    <w:rsid w:val="00885CAF"/>
    <w:rsid w:val="00891589"/>
    <w:rsid w:val="008922BB"/>
    <w:rsid w:val="008925D2"/>
    <w:rsid w:val="00892ACF"/>
    <w:rsid w:val="008934EB"/>
    <w:rsid w:val="0089353F"/>
    <w:rsid w:val="00895C29"/>
    <w:rsid w:val="00896EAB"/>
    <w:rsid w:val="0089706A"/>
    <w:rsid w:val="008A00CC"/>
    <w:rsid w:val="008A0210"/>
    <w:rsid w:val="008A1A08"/>
    <w:rsid w:val="008A2A0A"/>
    <w:rsid w:val="008A3C15"/>
    <w:rsid w:val="008A53D0"/>
    <w:rsid w:val="008A54A0"/>
    <w:rsid w:val="008A62FC"/>
    <w:rsid w:val="008A68C5"/>
    <w:rsid w:val="008B0795"/>
    <w:rsid w:val="008B0C0F"/>
    <w:rsid w:val="008B1E31"/>
    <w:rsid w:val="008B2F18"/>
    <w:rsid w:val="008B30E9"/>
    <w:rsid w:val="008B4CAA"/>
    <w:rsid w:val="008B558C"/>
    <w:rsid w:val="008B5E97"/>
    <w:rsid w:val="008B6C7E"/>
    <w:rsid w:val="008B75D5"/>
    <w:rsid w:val="008B7A42"/>
    <w:rsid w:val="008C113C"/>
    <w:rsid w:val="008C1984"/>
    <w:rsid w:val="008C30C4"/>
    <w:rsid w:val="008C3218"/>
    <w:rsid w:val="008C36BC"/>
    <w:rsid w:val="008C3BF5"/>
    <w:rsid w:val="008C502A"/>
    <w:rsid w:val="008C6649"/>
    <w:rsid w:val="008C7C5E"/>
    <w:rsid w:val="008D0BF3"/>
    <w:rsid w:val="008D2503"/>
    <w:rsid w:val="008D288C"/>
    <w:rsid w:val="008D3D88"/>
    <w:rsid w:val="008D556A"/>
    <w:rsid w:val="008D682A"/>
    <w:rsid w:val="008D74A4"/>
    <w:rsid w:val="008E09D9"/>
    <w:rsid w:val="008E17BA"/>
    <w:rsid w:val="008E411E"/>
    <w:rsid w:val="008E4653"/>
    <w:rsid w:val="008E6170"/>
    <w:rsid w:val="008E6BE3"/>
    <w:rsid w:val="008E7A24"/>
    <w:rsid w:val="008F1C48"/>
    <w:rsid w:val="008F37E5"/>
    <w:rsid w:val="008F4627"/>
    <w:rsid w:val="008F5326"/>
    <w:rsid w:val="008F5667"/>
    <w:rsid w:val="008F57E9"/>
    <w:rsid w:val="008F5D95"/>
    <w:rsid w:val="008F67CB"/>
    <w:rsid w:val="008F6901"/>
    <w:rsid w:val="008F78DA"/>
    <w:rsid w:val="00900399"/>
    <w:rsid w:val="009003BF"/>
    <w:rsid w:val="00902DC4"/>
    <w:rsid w:val="0090324B"/>
    <w:rsid w:val="00904E11"/>
    <w:rsid w:val="009079A9"/>
    <w:rsid w:val="00907A41"/>
    <w:rsid w:val="009108B8"/>
    <w:rsid w:val="00910F76"/>
    <w:rsid w:val="009131A9"/>
    <w:rsid w:val="00915A2F"/>
    <w:rsid w:val="00917E2A"/>
    <w:rsid w:val="0092097B"/>
    <w:rsid w:val="0092280C"/>
    <w:rsid w:val="00923223"/>
    <w:rsid w:val="009238FC"/>
    <w:rsid w:val="00927116"/>
    <w:rsid w:val="00927BA0"/>
    <w:rsid w:val="00927D79"/>
    <w:rsid w:val="00927E3C"/>
    <w:rsid w:val="009300DD"/>
    <w:rsid w:val="00930CF2"/>
    <w:rsid w:val="00930FF5"/>
    <w:rsid w:val="00931288"/>
    <w:rsid w:val="00931461"/>
    <w:rsid w:val="00931DEC"/>
    <w:rsid w:val="0093266C"/>
    <w:rsid w:val="0093485E"/>
    <w:rsid w:val="00935B11"/>
    <w:rsid w:val="009361D3"/>
    <w:rsid w:val="00936F46"/>
    <w:rsid w:val="00941D2D"/>
    <w:rsid w:val="0094375E"/>
    <w:rsid w:val="00953CE9"/>
    <w:rsid w:val="00954C60"/>
    <w:rsid w:val="00955A1E"/>
    <w:rsid w:val="00956004"/>
    <w:rsid w:val="00957045"/>
    <w:rsid w:val="00957839"/>
    <w:rsid w:val="00960ACF"/>
    <w:rsid w:val="00961017"/>
    <w:rsid w:val="00961335"/>
    <w:rsid w:val="009627DA"/>
    <w:rsid w:val="00963A0D"/>
    <w:rsid w:val="00964046"/>
    <w:rsid w:val="00964EE9"/>
    <w:rsid w:val="00965C05"/>
    <w:rsid w:val="009676CA"/>
    <w:rsid w:val="0096792B"/>
    <w:rsid w:val="009719E9"/>
    <w:rsid w:val="009723B1"/>
    <w:rsid w:val="00976721"/>
    <w:rsid w:val="00980014"/>
    <w:rsid w:val="00981166"/>
    <w:rsid w:val="0098520D"/>
    <w:rsid w:val="00985AC0"/>
    <w:rsid w:val="009867A9"/>
    <w:rsid w:val="009873D2"/>
    <w:rsid w:val="00987D75"/>
    <w:rsid w:val="009914FD"/>
    <w:rsid w:val="00991DED"/>
    <w:rsid w:val="00992892"/>
    <w:rsid w:val="00995208"/>
    <w:rsid w:val="009A0D30"/>
    <w:rsid w:val="009A13B4"/>
    <w:rsid w:val="009A38F7"/>
    <w:rsid w:val="009A4FC9"/>
    <w:rsid w:val="009A5771"/>
    <w:rsid w:val="009A68A5"/>
    <w:rsid w:val="009A74B4"/>
    <w:rsid w:val="009B260F"/>
    <w:rsid w:val="009B4BC4"/>
    <w:rsid w:val="009B6F6E"/>
    <w:rsid w:val="009C052A"/>
    <w:rsid w:val="009C273F"/>
    <w:rsid w:val="009C2E52"/>
    <w:rsid w:val="009C4557"/>
    <w:rsid w:val="009C5742"/>
    <w:rsid w:val="009C6237"/>
    <w:rsid w:val="009C634D"/>
    <w:rsid w:val="009C66FB"/>
    <w:rsid w:val="009C6D6C"/>
    <w:rsid w:val="009C7108"/>
    <w:rsid w:val="009C756E"/>
    <w:rsid w:val="009D09B2"/>
    <w:rsid w:val="009D1894"/>
    <w:rsid w:val="009D2AF8"/>
    <w:rsid w:val="009D2CD3"/>
    <w:rsid w:val="009D3EB7"/>
    <w:rsid w:val="009D5C6C"/>
    <w:rsid w:val="009D7666"/>
    <w:rsid w:val="009D7A62"/>
    <w:rsid w:val="009D7E3A"/>
    <w:rsid w:val="009E032A"/>
    <w:rsid w:val="009E0575"/>
    <w:rsid w:val="009E42BB"/>
    <w:rsid w:val="009E4829"/>
    <w:rsid w:val="009E5803"/>
    <w:rsid w:val="009E5EE5"/>
    <w:rsid w:val="009E6C56"/>
    <w:rsid w:val="009E793F"/>
    <w:rsid w:val="009F005A"/>
    <w:rsid w:val="009F060E"/>
    <w:rsid w:val="009F4A60"/>
    <w:rsid w:val="009F62C3"/>
    <w:rsid w:val="00A009E1"/>
    <w:rsid w:val="00A03782"/>
    <w:rsid w:val="00A042D6"/>
    <w:rsid w:val="00A04CAD"/>
    <w:rsid w:val="00A058B7"/>
    <w:rsid w:val="00A05EBA"/>
    <w:rsid w:val="00A06538"/>
    <w:rsid w:val="00A119B5"/>
    <w:rsid w:val="00A131B5"/>
    <w:rsid w:val="00A13C48"/>
    <w:rsid w:val="00A149EC"/>
    <w:rsid w:val="00A15221"/>
    <w:rsid w:val="00A15434"/>
    <w:rsid w:val="00A174BA"/>
    <w:rsid w:val="00A17910"/>
    <w:rsid w:val="00A17E00"/>
    <w:rsid w:val="00A17E2D"/>
    <w:rsid w:val="00A20CE7"/>
    <w:rsid w:val="00A20D88"/>
    <w:rsid w:val="00A21FEB"/>
    <w:rsid w:val="00A23187"/>
    <w:rsid w:val="00A23AA3"/>
    <w:rsid w:val="00A23B5F"/>
    <w:rsid w:val="00A23F7E"/>
    <w:rsid w:val="00A24B8F"/>
    <w:rsid w:val="00A26C6A"/>
    <w:rsid w:val="00A3099C"/>
    <w:rsid w:val="00A31791"/>
    <w:rsid w:val="00A31B6F"/>
    <w:rsid w:val="00A323C7"/>
    <w:rsid w:val="00A33A06"/>
    <w:rsid w:val="00A33AF7"/>
    <w:rsid w:val="00A3443B"/>
    <w:rsid w:val="00A358EB"/>
    <w:rsid w:val="00A35C1A"/>
    <w:rsid w:val="00A35E8E"/>
    <w:rsid w:val="00A37343"/>
    <w:rsid w:val="00A42A9B"/>
    <w:rsid w:val="00A42C5D"/>
    <w:rsid w:val="00A4388C"/>
    <w:rsid w:val="00A448BE"/>
    <w:rsid w:val="00A44E81"/>
    <w:rsid w:val="00A451A3"/>
    <w:rsid w:val="00A4567F"/>
    <w:rsid w:val="00A45DC2"/>
    <w:rsid w:val="00A45F50"/>
    <w:rsid w:val="00A46004"/>
    <w:rsid w:val="00A46714"/>
    <w:rsid w:val="00A538D4"/>
    <w:rsid w:val="00A54843"/>
    <w:rsid w:val="00A549FE"/>
    <w:rsid w:val="00A54D2D"/>
    <w:rsid w:val="00A55710"/>
    <w:rsid w:val="00A5593E"/>
    <w:rsid w:val="00A56EC2"/>
    <w:rsid w:val="00A62D1E"/>
    <w:rsid w:val="00A64CCC"/>
    <w:rsid w:val="00A64FA1"/>
    <w:rsid w:val="00A66CA9"/>
    <w:rsid w:val="00A70562"/>
    <w:rsid w:val="00A709DE"/>
    <w:rsid w:val="00A70DAE"/>
    <w:rsid w:val="00A71AF3"/>
    <w:rsid w:val="00A722F2"/>
    <w:rsid w:val="00A75C0F"/>
    <w:rsid w:val="00A76434"/>
    <w:rsid w:val="00A76597"/>
    <w:rsid w:val="00A8274F"/>
    <w:rsid w:val="00A84BA1"/>
    <w:rsid w:val="00A87993"/>
    <w:rsid w:val="00A9000A"/>
    <w:rsid w:val="00A9111A"/>
    <w:rsid w:val="00A9275C"/>
    <w:rsid w:val="00A93998"/>
    <w:rsid w:val="00A939FC"/>
    <w:rsid w:val="00A93E3B"/>
    <w:rsid w:val="00A94B75"/>
    <w:rsid w:val="00A96D7B"/>
    <w:rsid w:val="00AA0741"/>
    <w:rsid w:val="00AA0DFF"/>
    <w:rsid w:val="00AA48DB"/>
    <w:rsid w:val="00AA644F"/>
    <w:rsid w:val="00AA6BEF"/>
    <w:rsid w:val="00AA6D6C"/>
    <w:rsid w:val="00AA7036"/>
    <w:rsid w:val="00AA76E0"/>
    <w:rsid w:val="00AA7A0C"/>
    <w:rsid w:val="00AA7DB5"/>
    <w:rsid w:val="00AB0544"/>
    <w:rsid w:val="00AB1DD8"/>
    <w:rsid w:val="00AB461E"/>
    <w:rsid w:val="00AB4B93"/>
    <w:rsid w:val="00AB578F"/>
    <w:rsid w:val="00AB5817"/>
    <w:rsid w:val="00AB58C3"/>
    <w:rsid w:val="00AB7BC7"/>
    <w:rsid w:val="00AC0555"/>
    <w:rsid w:val="00AC1DF7"/>
    <w:rsid w:val="00AC3CE1"/>
    <w:rsid w:val="00AC4EB7"/>
    <w:rsid w:val="00AD13C0"/>
    <w:rsid w:val="00AD2779"/>
    <w:rsid w:val="00AD357C"/>
    <w:rsid w:val="00AD5827"/>
    <w:rsid w:val="00AD5D52"/>
    <w:rsid w:val="00AD6419"/>
    <w:rsid w:val="00AD664C"/>
    <w:rsid w:val="00AE1C40"/>
    <w:rsid w:val="00AE1CDC"/>
    <w:rsid w:val="00AE23A1"/>
    <w:rsid w:val="00AE2C0C"/>
    <w:rsid w:val="00AE2CA9"/>
    <w:rsid w:val="00AE39BF"/>
    <w:rsid w:val="00AE3EEE"/>
    <w:rsid w:val="00AE4388"/>
    <w:rsid w:val="00AE4C19"/>
    <w:rsid w:val="00AE54BB"/>
    <w:rsid w:val="00AE5964"/>
    <w:rsid w:val="00AE6A73"/>
    <w:rsid w:val="00AF00AE"/>
    <w:rsid w:val="00AF0B47"/>
    <w:rsid w:val="00AF18E2"/>
    <w:rsid w:val="00AF2BD0"/>
    <w:rsid w:val="00AF2E74"/>
    <w:rsid w:val="00AF3849"/>
    <w:rsid w:val="00AF4078"/>
    <w:rsid w:val="00AF4596"/>
    <w:rsid w:val="00AF62B4"/>
    <w:rsid w:val="00AF67FB"/>
    <w:rsid w:val="00AF6ABB"/>
    <w:rsid w:val="00AF7580"/>
    <w:rsid w:val="00B00269"/>
    <w:rsid w:val="00B002AA"/>
    <w:rsid w:val="00B03653"/>
    <w:rsid w:val="00B0391E"/>
    <w:rsid w:val="00B04924"/>
    <w:rsid w:val="00B0516F"/>
    <w:rsid w:val="00B0648B"/>
    <w:rsid w:val="00B0788D"/>
    <w:rsid w:val="00B07FF4"/>
    <w:rsid w:val="00B11A36"/>
    <w:rsid w:val="00B128F3"/>
    <w:rsid w:val="00B12E42"/>
    <w:rsid w:val="00B14156"/>
    <w:rsid w:val="00B147A7"/>
    <w:rsid w:val="00B14835"/>
    <w:rsid w:val="00B15446"/>
    <w:rsid w:val="00B1744E"/>
    <w:rsid w:val="00B17468"/>
    <w:rsid w:val="00B174A4"/>
    <w:rsid w:val="00B17C6A"/>
    <w:rsid w:val="00B208FC"/>
    <w:rsid w:val="00B21CD1"/>
    <w:rsid w:val="00B23EBA"/>
    <w:rsid w:val="00B24B09"/>
    <w:rsid w:val="00B24C63"/>
    <w:rsid w:val="00B26556"/>
    <w:rsid w:val="00B26A86"/>
    <w:rsid w:val="00B3135E"/>
    <w:rsid w:val="00B313D5"/>
    <w:rsid w:val="00B31698"/>
    <w:rsid w:val="00B31905"/>
    <w:rsid w:val="00B3560A"/>
    <w:rsid w:val="00B35BA3"/>
    <w:rsid w:val="00B365D8"/>
    <w:rsid w:val="00B37451"/>
    <w:rsid w:val="00B40276"/>
    <w:rsid w:val="00B40CB7"/>
    <w:rsid w:val="00B41B5C"/>
    <w:rsid w:val="00B41E08"/>
    <w:rsid w:val="00B43298"/>
    <w:rsid w:val="00B4362D"/>
    <w:rsid w:val="00B43F73"/>
    <w:rsid w:val="00B43FC7"/>
    <w:rsid w:val="00B45742"/>
    <w:rsid w:val="00B45AEE"/>
    <w:rsid w:val="00B46B82"/>
    <w:rsid w:val="00B46C7A"/>
    <w:rsid w:val="00B52364"/>
    <w:rsid w:val="00B52ABC"/>
    <w:rsid w:val="00B52BCB"/>
    <w:rsid w:val="00B53034"/>
    <w:rsid w:val="00B558D0"/>
    <w:rsid w:val="00B60C6E"/>
    <w:rsid w:val="00B62C19"/>
    <w:rsid w:val="00B62D0C"/>
    <w:rsid w:val="00B63F27"/>
    <w:rsid w:val="00B6458E"/>
    <w:rsid w:val="00B646E8"/>
    <w:rsid w:val="00B656C2"/>
    <w:rsid w:val="00B668DE"/>
    <w:rsid w:val="00B70D16"/>
    <w:rsid w:val="00B721AC"/>
    <w:rsid w:val="00B72E84"/>
    <w:rsid w:val="00B73B6F"/>
    <w:rsid w:val="00B7421B"/>
    <w:rsid w:val="00B74BB5"/>
    <w:rsid w:val="00B7503C"/>
    <w:rsid w:val="00B827E3"/>
    <w:rsid w:val="00B82817"/>
    <w:rsid w:val="00B82FB3"/>
    <w:rsid w:val="00B83525"/>
    <w:rsid w:val="00B847F1"/>
    <w:rsid w:val="00B84AE4"/>
    <w:rsid w:val="00B84BE8"/>
    <w:rsid w:val="00B852CF"/>
    <w:rsid w:val="00B85599"/>
    <w:rsid w:val="00B86BF1"/>
    <w:rsid w:val="00B871C6"/>
    <w:rsid w:val="00B872C8"/>
    <w:rsid w:val="00B908D5"/>
    <w:rsid w:val="00B95578"/>
    <w:rsid w:val="00B96B13"/>
    <w:rsid w:val="00BA051E"/>
    <w:rsid w:val="00BA26E3"/>
    <w:rsid w:val="00BA2FC6"/>
    <w:rsid w:val="00BA5931"/>
    <w:rsid w:val="00BA643D"/>
    <w:rsid w:val="00BA77B1"/>
    <w:rsid w:val="00BB398F"/>
    <w:rsid w:val="00BB5965"/>
    <w:rsid w:val="00BB6E73"/>
    <w:rsid w:val="00BB7B16"/>
    <w:rsid w:val="00BC038F"/>
    <w:rsid w:val="00BC0808"/>
    <w:rsid w:val="00BC157F"/>
    <w:rsid w:val="00BC15EF"/>
    <w:rsid w:val="00BC1FEC"/>
    <w:rsid w:val="00BC4002"/>
    <w:rsid w:val="00BC4039"/>
    <w:rsid w:val="00BC4788"/>
    <w:rsid w:val="00BC538B"/>
    <w:rsid w:val="00BC712F"/>
    <w:rsid w:val="00BD11A5"/>
    <w:rsid w:val="00BD1BFA"/>
    <w:rsid w:val="00BD239B"/>
    <w:rsid w:val="00BD25D4"/>
    <w:rsid w:val="00BD2CBA"/>
    <w:rsid w:val="00BD361B"/>
    <w:rsid w:val="00BD424B"/>
    <w:rsid w:val="00BD75C8"/>
    <w:rsid w:val="00BD7A67"/>
    <w:rsid w:val="00BE14FC"/>
    <w:rsid w:val="00BE16F9"/>
    <w:rsid w:val="00BE18B2"/>
    <w:rsid w:val="00BE1F3A"/>
    <w:rsid w:val="00BE23BE"/>
    <w:rsid w:val="00BE32A9"/>
    <w:rsid w:val="00BE3415"/>
    <w:rsid w:val="00BE3452"/>
    <w:rsid w:val="00BE47A9"/>
    <w:rsid w:val="00BE646E"/>
    <w:rsid w:val="00BE73AA"/>
    <w:rsid w:val="00BF0506"/>
    <w:rsid w:val="00BF0E2E"/>
    <w:rsid w:val="00BF2DEB"/>
    <w:rsid w:val="00BF3BDE"/>
    <w:rsid w:val="00BF53AE"/>
    <w:rsid w:val="00BF58A6"/>
    <w:rsid w:val="00BF68AB"/>
    <w:rsid w:val="00BF6B51"/>
    <w:rsid w:val="00C0020E"/>
    <w:rsid w:val="00C00D89"/>
    <w:rsid w:val="00C00E3B"/>
    <w:rsid w:val="00C04B6F"/>
    <w:rsid w:val="00C063BE"/>
    <w:rsid w:val="00C07CE5"/>
    <w:rsid w:val="00C13041"/>
    <w:rsid w:val="00C1483C"/>
    <w:rsid w:val="00C14F4D"/>
    <w:rsid w:val="00C16E3A"/>
    <w:rsid w:val="00C16F7E"/>
    <w:rsid w:val="00C17EE9"/>
    <w:rsid w:val="00C20199"/>
    <w:rsid w:val="00C20E39"/>
    <w:rsid w:val="00C21472"/>
    <w:rsid w:val="00C22994"/>
    <w:rsid w:val="00C23428"/>
    <w:rsid w:val="00C24ADB"/>
    <w:rsid w:val="00C24B7D"/>
    <w:rsid w:val="00C24DB2"/>
    <w:rsid w:val="00C24F6E"/>
    <w:rsid w:val="00C24F81"/>
    <w:rsid w:val="00C25709"/>
    <w:rsid w:val="00C26254"/>
    <w:rsid w:val="00C33353"/>
    <w:rsid w:val="00C34E2D"/>
    <w:rsid w:val="00C368A2"/>
    <w:rsid w:val="00C40F64"/>
    <w:rsid w:val="00C42190"/>
    <w:rsid w:val="00C43FDA"/>
    <w:rsid w:val="00C44F54"/>
    <w:rsid w:val="00C459BA"/>
    <w:rsid w:val="00C45F02"/>
    <w:rsid w:val="00C5138C"/>
    <w:rsid w:val="00C51FE2"/>
    <w:rsid w:val="00C52F0D"/>
    <w:rsid w:val="00C536D8"/>
    <w:rsid w:val="00C55E63"/>
    <w:rsid w:val="00C55F5D"/>
    <w:rsid w:val="00C60C03"/>
    <w:rsid w:val="00C61906"/>
    <w:rsid w:val="00C63EB0"/>
    <w:rsid w:val="00C65A0F"/>
    <w:rsid w:val="00C66416"/>
    <w:rsid w:val="00C6720B"/>
    <w:rsid w:val="00C72249"/>
    <w:rsid w:val="00C72824"/>
    <w:rsid w:val="00C741B1"/>
    <w:rsid w:val="00C74F5D"/>
    <w:rsid w:val="00C777EC"/>
    <w:rsid w:val="00C7784E"/>
    <w:rsid w:val="00C77BAA"/>
    <w:rsid w:val="00C80836"/>
    <w:rsid w:val="00C808F4"/>
    <w:rsid w:val="00C85FB7"/>
    <w:rsid w:val="00C86EF1"/>
    <w:rsid w:val="00C87051"/>
    <w:rsid w:val="00C87653"/>
    <w:rsid w:val="00C965FC"/>
    <w:rsid w:val="00CA0A36"/>
    <w:rsid w:val="00CA0C53"/>
    <w:rsid w:val="00CA0CA0"/>
    <w:rsid w:val="00CA0EE4"/>
    <w:rsid w:val="00CA138A"/>
    <w:rsid w:val="00CA17E5"/>
    <w:rsid w:val="00CA18E3"/>
    <w:rsid w:val="00CA2B62"/>
    <w:rsid w:val="00CA3030"/>
    <w:rsid w:val="00CA3CD3"/>
    <w:rsid w:val="00CA5876"/>
    <w:rsid w:val="00CA79B8"/>
    <w:rsid w:val="00CA7FD0"/>
    <w:rsid w:val="00CB0495"/>
    <w:rsid w:val="00CB0644"/>
    <w:rsid w:val="00CB0CCF"/>
    <w:rsid w:val="00CB3E3D"/>
    <w:rsid w:val="00CB5B3C"/>
    <w:rsid w:val="00CC31CD"/>
    <w:rsid w:val="00CC3CBE"/>
    <w:rsid w:val="00CC3FAB"/>
    <w:rsid w:val="00CC4D44"/>
    <w:rsid w:val="00CC73FF"/>
    <w:rsid w:val="00CC7512"/>
    <w:rsid w:val="00CC7619"/>
    <w:rsid w:val="00CD062C"/>
    <w:rsid w:val="00CD15B3"/>
    <w:rsid w:val="00CD2834"/>
    <w:rsid w:val="00CD32CD"/>
    <w:rsid w:val="00CD345C"/>
    <w:rsid w:val="00CD751D"/>
    <w:rsid w:val="00CD76FF"/>
    <w:rsid w:val="00CE03A7"/>
    <w:rsid w:val="00CE49BC"/>
    <w:rsid w:val="00CE4A9A"/>
    <w:rsid w:val="00CE64EF"/>
    <w:rsid w:val="00CE6AB6"/>
    <w:rsid w:val="00CE6CBB"/>
    <w:rsid w:val="00CF07A6"/>
    <w:rsid w:val="00CF0B66"/>
    <w:rsid w:val="00CF0FFE"/>
    <w:rsid w:val="00CF459D"/>
    <w:rsid w:val="00CF4A84"/>
    <w:rsid w:val="00CF52B0"/>
    <w:rsid w:val="00CF586B"/>
    <w:rsid w:val="00CF68EF"/>
    <w:rsid w:val="00CF7CF7"/>
    <w:rsid w:val="00D00EAD"/>
    <w:rsid w:val="00D03886"/>
    <w:rsid w:val="00D03CFA"/>
    <w:rsid w:val="00D04600"/>
    <w:rsid w:val="00D046FD"/>
    <w:rsid w:val="00D047A7"/>
    <w:rsid w:val="00D04D43"/>
    <w:rsid w:val="00D06A29"/>
    <w:rsid w:val="00D0710E"/>
    <w:rsid w:val="00D1163E"/>
    <w:rsid w:val="00D13DFA"/>
    <w:rsid w:val="00D14A87"/>
    <w:rsid w:val="00D14BB3"/>
    <w:rsid w:val="00D15918"/>
    <w:rsid w:val="00D1596B"/>
    <w:rsid w:val="00D235F7"/>
    <w:rsid w:val="00D23B2E"/>
    <w:rsid w:val="00D250CE"/>
    <w:rsid w:val="00D26158"/>
    <w:rsid w:val="00D265FA"/>
    <w:rsid w:val="00D27127"/>
    <w:rsid w:val="00D32063"/>
    <w:rsid w:val="00D328DA"/>
    <w:rsid w:val="00D33ED6"/>
    <w:rsid w:val="00D34304"/>
    <w:rsid w:val="00D34579"/>
    <w:rsid w:val="00D34782"/>
    <w:rsid w:val="00D351D3"/>
    <w:rsid w:val="00D3564E"/>
    <w:rsid w:val="00D35870"/>
    <w:rsid w:val="00D36535"/>
    <w:rsid w:val="00D40353"/>
    <w:rsid w:val="00D409D4"/>
    <w:rsid w:val="00D419D7"/>
    <w:rsid w:val="00D4423F"/>
    <w:rsid w:val="00D459D7"/>
    <w:rsid w:val="00D4611E"/>
    <w:rsid w:val="00D4737E"/>
    <w:rsid w:val="00D473B7"/>
    <w:rsid w:val="00D47A8B"/>
    <w:rsid w:val="00D47EFF"/>
    <w:rsid w:val="00D5050A"/>
    <w:rsid w:val="00D510F6"/>
    <w:rsid w:val="00D5176F"/>
    <w:rsid w:val="00D52F4C"/>
    <w:rsid w:val="00D53374"/>
    <w:rsid w:val="00D534EF"/>
    <w:rsid w:val="00D55ABD"/>
    <w:rsid w:val="00D613DA"/>
    <w:rsid w:val="00D61A06"/>
    <w:rsid w:val="00D629B4"/>
    <w:rsid w:val="00D62A76"/>
    <w:rsid w:val="00D631A8"/>
    <w:rsid w:val="00D6475D"/>
    <w:rsid w:val="00D65CE2"/>
    <w:rsid w:val="00D674CF"/>
    <w:rsid w:val="00D6771B"/>
    <w:rsid w:val="00D67AB8"/>
    <w:rsid w:val="00D72480"/>
    <w:rsid w:val="00D7295D"/>
    <w:rsid w:val="00D73DB4"/>
    <w:rsid w:val="00D73DD0"/>
    <w:rsid w:val="00D75E66"/>
    <w:rsid w:val="00D76010"/>
    <w:rsid w:val="00D80A92"/>
    <w:rsid w:val="00D80DD9"/>
    <w:rsid w:val="00D81343"/>
    <w:rsid w:val="00D8210F"/>
    <w:rsid w:val="00D8559F"/>
    <w:rsid w:val="00D90327"/>
    <w:rsid w:val="00D90426"/>
    <w:rsid w:val="00D922E2"/>
    <w:rsid w:val="00D92CBB"/>
    <w:rsid w:val="00D93E34"/>
    <w:rsid w:val="00D94AEE"/>
    <w:rsid w:val="00D95BAC"/>
    <w:rsid w:val="00D96A6F"/>
    <w:rsid w:val="00D97D9D"/>
    <w:rsid w:val="00DA09EE"/>
    <w:rsid w:val="00DA1CA7"/>
    <w:rsid w:val="00DA1E4A"/>
    <w:rsid w:val="00DA3937"/>
    <w:rsid w:val="00DA41C2"/>
    <w:rsid w:val="00DA4E4E"/>
    <w:rsid w:val="00DA52CC"/>
    <w:rsid w:val="00DA79FF"/>
    <w:rsid w:val="00DB02DB"/>
    <w:rsid w:val="00DB1E2B"/>
    <w:rsid w:val="00DB2E4F"/>
    <w:rsid w:val="00DB408A"/>
    <w:rsid w:val="00DB4D5D"/>
    <w:rsid w:val="00DB506B"/>
    <w:rsid w:val="00DB5887"/>
    <w:rsid w:val="00DB724D"/>
    <w:rsid w:val="00DC360B"/>
    <w:rsid w:val="00DC3B3F"/>
    <w:rsid w:val="00DC426A"/>
    <w:rsid w:val="00DC4ED6"/>
    <w:rsid w:val="00DD1B9E"/>
    <w:rsid w:val="00DD3430"/>
    <w:rsid w:val="00DD4DEB"/>
    <w:rsid w:val="00DD5BAF"/>
    <w:rsid w:val="00DD5D0F"/>
    <w:rsid w:val="00DD7056"/>
    <w:rsid w:val="00DD763F"/>
    <w:rsid w:val="00DD7900"/>
    <w:rsid w:val="00DE1257"/>
    <w:rsid w:val="00DE1CA0"/>
    <w:rsid w:val="00DE3FD8"/>
    <w:rsid w:val="00DE48CE"/>
    <w:rsid w:val="00DE4A8D"/>
    <w:rsid w:val="00DE7B06"/>
    <w:rsid w:val="00DE7E64"/>
    <w:rsid w:val="00DE7E6E"/>
    <w:rsid w:val="00DF05DB"/>
    <w:rsid w:val="00DF1D11"/>
    <w:rsid w:val="00DF2164"/>
    <w:rsid w:val="00DF3393"/>
    <w:rsid w:val="00E00F42"/>
    <w:rsid w:val="00E0103D"/>
    <w:rsid w:val="00E014A6"/>
    <w:rsid w:val="00E02876"/>
    <w:rsid w:val="00E02CEA"/>
    <w:rsid w:val="00E03187"/>
    <w:rsid w:val="00E0387F"/>
    <w:rsid w:val="00E04D4B"/>
    <w:rsid w:val="00E04EC5"/>
    <w:rsid w:val="00E06192"/>
    <w:rsid w:val="00E06AB9"/>
    <w:rsid w:val="00E070B5"/>
    <w:rsid w:val="00E11E38"/>
    <w:rsid w:val="00E122BC"/>
    <w:rsid w:val="00E12A33"/>
    <w:rsid w:val="00E13411"/>
    <w:rsid w:val="00E1366E"/>
    <w:rsid w:val="00E13CF7"/>
    <w:rsid w:val="00E17DAE"/>
    <w:rsid w:val="00E219AA"/>
    <w:rsid w:val="00E23E63"/>
    <w:rsid w:val="00E246DD"/>
    <w:rsid w:val="00E24BEA"/>
    <w:rsid w:val="00E25853"/>
    <w:rsid w:val="00E26533"/>
    <w:rsid w:val="00E26D41"/>
    <w:rsid w:val="00E27569"/>
    <w:rsid w:val="00E303F7"/>
    <w:rsid w:val="00E30714"/>
    <w:rsid w:val="00E320A6"/>
    <w:rsid w:val="00E32B6F"/>
    <w:rsid w:val="00E334F0"/>
    <w:rsid w:val="00E35680"/>
    <w:rsid w:val="00E369B3"/>
    <w:rsid w:val="00E36EA5"/>
    <w:rsid w:val="00E374F0"/>
    <w:rsid w:val="00E41763"/>
    <w:rsid w:val="00E41B1C"/>
    <w:rsid w:val="00E503A3"/>
    <w:rsid w:val="00E53B1C"/>
    <w:rsid w:val="00E54BF6"/>
    <w:rsid w:val="00E56503"/>
    <w:rsid w:val="00E579FD"/>
    <w:rsid w:val="00E607AB"/>
    <w:rsid w:val="00E607E2"/>
    <w:rsid w:val="00E6082B"/>
    <w:rsid w:val="00E61798"/>
    <w:rsid w:val="00E617AD"/>
    <w:rsid w:val="00E62004"/>
    <w:rsid w:val="00E631CF"/>
    <w:rsid w:val="00E63D31"/>
    <w:rsid w:val="00E642DB"/>
    <w:rsid w:val="00E65123"/>
    <w:rsid w:val="00E658BE"/>
    <w:rsid w:val="00E66B9E"/>
    <w:rsid w:val="00E66D5B"/>
    <w:rsid w:val="00E7091A"/>
    <w:rsid w:val="00E7122E"/>
    <w:rsid w:val="00E71259"/>
    <w:rsid w:val="00E72B53"/>
    <w:rsid w:val="00E72BDB"/>
    <w:rsid w:val="00E82156"/>
    <w:rsid w:val="00E84978"/>
    <w:rsid w:val="00E85579"/>
    <w:rsid w:val="00E8630F"/>
    <w:rsid w:val="00E870B5"/>
    <w:rsid w:val="00E871F1"/>
    <w:rsid w:val="00E876F5"/>
    <w:rsid w:val="00E909B3"/>
    <w:rsid w:val="00E912FB"/>
    <w:rsid w:val="00E93650"/>
    <w:rsid w:val="00E94AE3"/>
    <w:rsid w:val="00E95FA5"/>
    <w:rsid w:val="00E968CF"/>
    <w:rsid w:val="00EA12B4"/>
    <w:rsid w:val="00EA152B"/>
    <w:rsid w:val="00EA34B8"/>
    <w:rsid w:val="00EA3DFF"/>
    <w:rsid w:val="00EA6AB7"/>
    <w:rsid w:val="00EB09D4"/>
    <w:rsid w:val="00EB0C2B"/>
    <w:rsid w:val="00EB1188"/>
    <w:rsid w:val="00EB15F0"/>
    <w:rsid w:val="00EB226C"/>
    <w:rsid w:val="00EB2802"/>
    <w:rsid w:val="00EB3109"/>
    <w:rsid w:val="00EB4048"/>
    <w:rsid w:val="00EB45F2"/>
    <w:rsid w:val="00EB5814"/>
    <w:rsid w:val="00EB5CC7"/>
    <w:rsid w:val="00EB6B3F"/>
    <w:rsid w:val="00EB77BA"/>
    <w:rsid w:val="00EB7F9C"/>
    <w:rsid w:val="00EC00DB"/>
    <w:rsid w:val="00EC0994"/>
    <w:rsid w:val="00EC0BBD"/>
    <w:rsid w:val="00EC1319"/>
    <w:rsid w:val="00EC157A"/>
    <w:rsid w:val="00EC276B"/>
    <w:rsid w:val="00EC2ACC"/>
    <w:rsid w:val="00EC40BC"/>
    <w:rsid w:val="00EC592F"/>
    <w:rsid w:val="00EC5FAB"/>
    <w:rsid w:val="00EC6044"/>
    <w:rsid w:val="00EC68FF"/>
    <w:rsid w:val="00EC6982"/>
    <w:rsid w:val="00ED016E"/>
    <w:rsid w:val="00ED05F1"/>
    <w:rsid w:val="00ED113C"/>
    <w:rsid w:val="00ED14D0"/>
    <w:rsid w:val="00ED2A85"/>
    <w:rsid w:val="00ED3AAA"/>
    <w:rsid w:val="00ED6C31"/>
    <w:rsid w:val="00ED72D9"/>
    <w:rsid w:val="00ED7533"/>
    <w:rsid w:val="00EE2DFB"/>
    <w:rsid w:val="00EE59C9"/>
    <w:rsid w:val="00EE5C32"/>
    <w:rsid w:val="00EE78B2"/>
    <w:rsid w:val="00EF119D"/>
    <w:rsid w:val="00EF3874"/>
    <w:rsid w:val="00EF3E00"/>
    <w:rsid w:val="00EF4553"/>
    <w:rsid w:val="00EF4558"/>
    <w:rsid w:val="00EF52AB"/>
    <w:rsid w:val="00EF725F"/>
    <w:rsid w:val="00EF7CE6"/>
    <w:rsid w:val="00F00286"/>
    <w:rsid w:val="00F006BA"/>
    <w:rsid w:val="00F00B4E"/>
    <w:rsid w:val="00F02B8A"/>
    <w:rsid w:val="00F02E6E"/>
    <w:rsid w:val="00F03651"/>
    <w:rsid w:val="00F03821"/>
    <w:rsid w:val="00F03AA8"/>
    <w:rsid w:val="00F05388"/>
    <w:rsid w:val="00F060AA"/>
    <w:rsid w:val="00F06B84"/>
    <w:rsid w:val="00F07268"/>
    <w:rsid w:val="00F07886"/>
    <w:rsid w:val="00F10C97"/>
    <w:rsid w:val="00F12552"/>
    <w:rsid w:val="00F135DB"/>
    <w:rsid w:val="00F137C2"/>
    <w:rsid w:val="00F13E17"/>
    <w:rsid w:val="00F144BB"/>
    <w:rsid w:val="00F15B03"/>
    <w:rsid w:val="00F15BB2"/>
    <w:rsid w:val="00F163AE"/>
    <w:rsid w:val="00F207DB"/>
    <w:rsid w:val="00F20F9C"/>
    <w:rsid w:val="00F23C2B"/>
    <w:rsid w:val="00F23DC8"/>
    <w:rsid w:val="00F23F72"/>
    <w:rsid w:val="00F273C3"/>
    <w:rsid w:val="00F300F7"/>
    <w:rsid w:val="00F305D6"/>
    <w:rsid w:val="00F305F9"/>
    <w:rsid w:val="00F3169A"/>
    <w:rsid w:val="00F31E88"/>
    <w:rsid w:val="00F3244D"/>
    <w:rsid w:val="00F32515"/>
    <w:rsid w:val="00F36590"/>
    <w:rsid w:val="00F40086"/>
    <w:rsid w:val="00F40680"/>
    <w:rsid w:val="00F40AD4"/>
    <w:rsid w:val="00F41C6E"/>
    <w:rsid w:val="00F429BE"/>
    <w:rsid w:val="00F42EFA"/>
    <w:rsid w:val="00F4340B"/>
    <w:rsid w:val="00F44E1D"/>
    <w:rsid w:val="00F45A1A"/>
    <w:rsid w:val="00F463BD"/>
    <w:rsid w:val="00F50BA2"/>
    <w:rsid w:val="00F50C4A"/>
    <w:rsid w:val="00F52175"/>
    <w:rsid w:val="00F52A69"/>
    <w:rsid w:val="00F531BF"/>
    <w:rsid w:val="00F56683"/>
    <w:rsid w:val="00F57129"/>
    <w:rsid w:val="00F574C7"/>
    <w:rsid w:val="00F602A9"/>
    <w:rsid w:val="00F60E76"/>
    <w:rsid w:val="00F613DF"/>
    <w:rsid w:val="00F61749"/>
    <w:rsid w:val="00F62E65"/>
    <w:rsid w:val="00F63A11"/>
    <w:rsid w:val="00F63B87"/>
    <w:rsid w:val="00F6439E"/>
    <w:rsid w:val="00F66A10"/>
    <w:rsid w:val="00F679E0"/>
    <w:rsid w:val="00F71DB1"/>
    <w:rsid w:val="00F72186"/>
    <w:rsid w:val="00F72600"/>
    <w:rsid w:val="00F7393B"/>
    <w:rsid w:val="00F73A04"/>
    <w:rsid w:val="00F75264"/>
    <w:rsid w:val="00F757A6"/>
    <w:rsid w:val="00F769DA"/>
    <w:rsid w:val="00F773C9"/>
    <w:rsid w:val="00F81440"/>
    <w:rsid w:val="00F82E84"/>
    <w:rsid w:val="00F83E4A"/>
    <w:rsid w:val="00F84879"/>
    <w:rsid w:val="00F86037"/>
    <w:rsid w:val="00F8613C"/>
    <w:rsid w:val="00F861DA"/>
    <w:rsid w:val="00F90B71"/>
    <w:rsid w:val="00F925CB"/>
    <w:rsid w:val="00F92C0F"/>
    <w:rsid w:val="00F92FA8"/>
    <w:rsid w:val="00F93B98"/>
    <w:rsid w:val="00F94557"/>
    <w:rsid w:val="00F967BC"/>
    <w:rsid w:val="00F96C3C"/>
    <w:rsid w:val="00F96DCA"/>
    <w:rsid w:val="00FA088D"/>
    <w:rsid w:val="00FA0D6C"/>
    <w:rsid w:val="00FA138F"/>
    <w:rsid w:val="00FA13CB"/>
    <w:rsid w:val="00FA180A"/>
    <w:rsid w:val="00FA1F84"/>
    <w:rsid w:val="00FA2696"/>
    <w:rsid w:val="00FA4A36"/>
    <w:rsid w:val="00FA56EA"/>
    <w:rsid w:val="00FA6257"/>
    <w:rsid w:val="00FA62AE"/>
    <w:rsid w:val="00FA63F1"/>
    <w:rsid w:val="00FA65FB"/>
    <w:rsid w:val="00FB0B5A"/>
    <w:rsid w:val="00FB1C45"/>
    <w:rsid w:val="00FB1D95"/>
    <w:rsid w:val="00FB2707"/>
    <w:rsid w:val="00FB2BDA"/>
    <w:rsid w:val="00FB2C77"/>
    <w:rsid w:val="00FB3057"/>
    <w:rsid w:val="00FB30DF"/>
    <w:rsid w:val="00FB3502"/>
    <w:rsid w:val="00FB433B"/>
    <w:rsid w:val="00FC0121"/>
    <w:rsid w:val="00FC1F29"/>
    <w:rsid w:val="00FC3309"/>
    <w:rsid w:val="00FC36B9"/>
    <w:rsid w:val="00FC3C0D"/>
    <w:rsid w:val="00FC4D67"/>
    <w:rsid w:val="00FC4F35"/>
    <w:rsid w:val="00FC6B88"/>
    <w:rsid w:val="00FD5D74"/>
    <w:rsid w:val="00FD6875"/>
    <w:rsid w:val="00FE0272"/>
    <w:rsid w:val="00FE04CE"/>
    <w:rsid w:val="00FE152C"/>
    <w:rsid w:val="00FE2990"/>
    <w:rsid w:val="00FE2D29"/>
    <w:rsid w:val="00FE3938"/>
    <w:rsid w:val="00FE3CC9"/>
    <w:rsid w:val="00FE4057"/>
    <w:rsid w:val="00FE42F7"/>
    <w:rsid w:val="00FE5193"/>
    <w:rsid w:val="00FE675C"/>
    <w:rsid w:val="00FF04AB"/>
    <w:rsid w:val="00FF0DB2"/>
    <w:rsid w:val="00FF1C8D"/>
    <w:rsid w:val="00FF2F69"/>
    <w:rsid w:val="00FF617C"/>
    <w:rsid w:val="01214A1E"/>
    <w:rsid w:val="012F3F7C"/>
    <w:rsid w:val="014D0B1B"/>
    <w:rsid w:val="014F1B49"/>
    <w:rsid w:val="0158318B"/>
    <w:rsid w:val="01610327"/>
    <w:rsid w:val="0161201C"/>
    <w:rsid w:val="01674AD8"/>
    <w:rsid w:val="017B15F7"/>
    <w:rsid w:val="01944B97"/>
    <w:rsid w:val="019B2A51"/>
    <w:rsid w:val="01A56261"/>
    <w:rsid w:val="01BB069A"/>
    <w:rsid w:val="01D71DBA"/>
    <w:rsid w:val="01DB6127"/>
    <w:rsid w:val="01DD029F"/>
    <w:rsid w:val="01EE6DBE"/>
    <w:rsid w:val="020E7F3F"/>
    <w:rsid w:val="021A6004"/>
    <w:rsid w:val="022E08B9"/>
    <w:rsid w:val="0238311C"/>
    <w:rsid w:val="023A07E4"/>
    <w:rsid w:val="02516244"/>
    <w:rsid w:val="025608A7"/>
    <w:rsid w:val="025D291A"/>
    <w:rsid w:val="02690B82"/>
    <w:rsid w:val="026B36AE"/>
    <w:rsid w:val="02711414"/>
    <w:rsid w:val="027202B1"/>
    <w:rsid w:val="02721F48"/>
    <w:rsid w:val="02805163"/>
    <w:rsid w:val="02815E8D"/>
    <w:rsid w:val="02964B6A"/>
    <w:rsid w:val="02B82E4C"/>
    <w:rsid w:val="02E41BF4"/>
    <w:rsid w:val="02F07CB0"/>
    <w:rsid w:val="030D75EF"/>
    <w:rsid w:val="031168BC"/>
    <w:rsid w:val="03143E06"/>
    <w:rsid w:val="031E451D"/>
    <w:rsid w:val="032D26C5"/>
    <w:rsid w:val="03426C59"/>
    <w:rsid w:val="03433AF1"/>
    <w:rsid w:val="03501AE4"/>
    <w:rsid w:val="036208AE"/>
    <w:rsid w:val="036D00A2"/>
    <w:rsid w:val="036F588B"/>
    <w:rsid w:val="03716722"/>
    <w:rsid w:val="037C5792"/>
    <w:rsid w:val="03803FCB"/>
    <w:rsid w:val="039B623A"/>
    <w:rsid w:val="03A8028B"/>
    <w:rsid w:val="03B1713F"/>
    <w:rsid w:val="03B44AA5"/>
    <w:rsid w:val="03C94F45"/>
    <w:rsid w:val="040020A7"/>
    <w:rsid w:val="04155920"/>
    <w:rsid w:val="04473247"/>
    <w:rsid w:val="044D2B93"/>
    <w:rsid w:val="044E5014"/>
    <w:rsid w:val="0468555E"/>
    <w:rsid w:val="04833676"/>
    <w:rsid w:val="04930DBB"/>
    <w:rsid w:val="04A2371F"/>
    <w:rsid w:val="04A26A62"/>
    <w:rsid w:val="04A53BA4"/>
    <w:rsid w:val="04AA1834"/>
    <w:rsid w:val="04D17C83"/>
    <w:rsid w:val="04E374DE"/>
    <w:rsid w:val="04FF00EB"/>
    <w:rsid w:val="0501459E"/>
    <w:rsid w:val="050F4EDE"/>
    <w:rsid w:val="05175FCF"/>
    <w:rsid w:val="052263A0"/>
    <w:rsid w:val="05253812"/>
    <w:rsid w:val="0533099F"/>
    <w:rsid w:val="054E23E8"/>
    <w:rsid w:val="05524952"/>
    <w:rsid w:val="05586075"/>
    <w:rsid w:val="058916A3"/>
    <w:rsid w:val="058E5789"/>
    <w:rsid w:val="059C5E7A"/>
    <w:rsid w:val="059F3F35"/>
    <w:rsid w:val="05A01219"/>
    <w:rsid w:val="05A24237"/>
    <w:rsid w:val="05A93EDA"/>
    <w:rsid w:val="05AB2DB2"/>
    <w:rsid w:val="05B431A7"/>
    <w:rsid w:val="05C127AF"/>
    <w:rsid w:val="05C342DE"/>
    <w:rsid w:val="05D56659"/>
    <w:rsid w:val="05DE4CD6"/>
    <w:rsid w:val="05E535CA"/>
    <w:rsid w:val="05E55267"/>
    <w:rsid w:val="05EB76F4"/>
    <w:rsid w:val="05EC4B85"/>
    <w:rsid w:val="05F56B6A"/>
    <w:rsid w:val="05F7106C"/>
    <w:rsid w:val="06027766"/>
    <w:rsid w:val="060F2C6D"/>
    <w:rsid w:val="06302DAA"/>
    <w:rsid w:val="06305727"/>
    <w:rsid w:val="06322461"/>
    <w:rsid w:val="063F5F20"/>
    <w:rsid w:val="06526B6D"/>
    <w:rsid w:val="06647C6C"/>
    <w:rsid w:val="06665E33"/>
    <w:rsid w:val="067B2FA9"/>
    <w:rsid w:val="068176F6"/>
    <w:rsid w:val="06936D88"/>
    <w:rsid w:val="06A31CA0"/>
    <w:rsid w:val="06A44898"/>
    <w:rsid w:val="06A64975"/>
    <w:rsid w:val="06AA4A28"/>
    <w:rsid w:val="06AD3CDC"/>
    <w:rsid w:val="06D31947"/>
    <w:rsid w:val="06D92562"/>
    <w:rsid w:val="06E760D7"/>
    <w:rsid w:val="06EA54F3"/>
    <w:rsid w:val="06F650AE"/>
    <w:rsid w:val="06F914EA"/>
    <w:rsid w:val="07075B45"/>
    <w:rsid w:val="070A76BD"/>
    <w:rsid w:val="072E5643"/>
    <w:rsid w:val="07300CC3"/>
    <w:rsid w:val="073D7196"/>
    <w:rsid w:val="07416BAE"/>
    <w:rsid w:val="074340EC"/>
    <w:rsid w:val="07504429"/>
    <w:rsid w:val="07612720"/>
    <w:rsid w:val="076D4D30"/>
    <w:rsid w:val="0772363D"/>
    <w:rsid w:val="07792B42"/>
    <w:rsid w:val="077E3D0B"/>
    <w:rsid w:val="078C511B"/>
    <w:rsid w:val="078D2D8A"/>
    <w:rsid w:val="07996868"/>
    <w:rsid w:val="07AC65D8"/>
    <w:rsid w:val="07AF2FE0"/>
    <w:rsid w:val="07BE2A34"/>
    <w:rsid w:val="07C172BE"/>
    <w:rsid w:val="07D43E3E"/>
    <w:rsid w:val="07DA124D"/>
    <w:rsid w:val="07DE782C"/>
    <w:rsid w:val="07DF1893"/>
    <w:rsid w:val="07E53F70"/>
    <w:rsid w:val="07F03CBF"/>
    <w:rsid w:val="07F42B67"/>
    <w:rsid w:val="07F61F13"/>
    <w:rsid w:val="08016B07"/>
    <w:rsid w:val="080D0CE3"/>
    <w:rsid w:val="083A1AF5"/>
    <w:rsid w:val="083D3D11"/>
    <w:rsid w:val="08447D35"/>
    <w:rsid w:val="086626CB"/>
    <w:rsid w:val="08790814"/>
    <w:rsid w:val="087B41C0"/>
    <w:rsid w:val="08817F9A"/>
    <w:rsid w:val="08830107"/>
    <w:rsid w:val="08933F38"/>
    <w:rsid w:val="089E56D2"/>
    <w:rsid w:val="08AB4E3F"/>
    <w:rsid w:val="08B338AC"/>
    <w:rsid w:val="08B472FE"/>
    <w:rsid w:val="08B614BD"/>
    <w:rsid w:val="08B937A7"/>
    <w:rsid w:val="08BB0F23"/>
    <w:rsid w:val="08CD671D"/>
    <w:rsid w:val="08D5688C"/>
    <w:rsid w:val="08D66EA5"/>
    <w:rsid w:val="08D83875"/>
    <w:rsid w:val="08EF118D"/>
    <w:rsid w:val="08F56067"/>
    <w:rsid w:val="08F56798"/>
    <w:rsid w:val="09012917"/>
    <w:rsid w:val="09072AF5"/>
    <w:rsid w:val="090D78C9"/>
    <w:rsid w:val="09101FB3"/>
    <w:rsid w:val="09192CB9"/>
    <w:rsid w:val="092103E2"/>
    <w:rsid w:val="09296C06"/>
    <w:rsid w:val="093522CB"/>
    <w:rsid w:val="093E1EFF"/>
    <w:rsid w:val="093E592B"/>
    <w:rsid w:val="09443C71"/>
    <w:rsid w:val="0946032A"/>
    <w:rsid w:val="0972155C"/>
    <w:rsid w:val="097D234D"/>
    <w:rsid w:val="0991369C"/>
    <w:rsid w:val="09F8752F"/>
    <w:rsid w:val="0A037C2D"/>
    <w:rsid w:val="0A0D439F"/>
    <w:rsid w:val="0A0E459B"/>
    <w:rsid w:val="0A0F0D09"/>
    <w:rsid w:val="0A1D4600"/>
    <w:rsid w:val="0A1F68B2"/>
    <w:rsid w:val="0A210F95"/>
    <w:rsid w:val="0A255506"/>
    <w:rsid w:val="0A275C51"/>
    <w:rsid w:val="0A2836E0"/>
    <w:rsid w:val="0A29194C"/>
    <w:rsid w:val="0A2C39C3"/>
    <w:rsid w:val="0A593073"/>
    <w:rsid w:val="0A8E5529"/>
    <w:rsid w:val="0A934F20"/>
    <w:rsid w:val="0AB44EF5"/>
    <w:rsid w:val="0AB85201"/>
    <w:rsid w:val="0AC159A6"/>
    <w:rsid w:val="0AD572BC"/>
    <w:rsid w:val="0AE34BB1"/>
    <w:rsid w:val="0AED0B6E"/>
    <w:rsid w:val="0B16461C"/>
    <w:rsid w:val="0B2A4738"/>
    <w:rsid w:val="0B3066BC"/>
    <w:rsid w:val="0B316DB7"/>
    <w:rsid w:val="0B3A680E"/>
    <w:rsid w:val="0B4B7099"/>
    <w:rsid w:val="0B747542"/>
    <w:rsid w:val="0B7C7FE2"/>
    <w:rsid w:val="0B9E1A60"/>
    <w:rsid w:val="0BAD70EA"/>
    <w:rsid w:val="0BBC2354"/>
    <w:rsid w:val="0BE60C5C"/>
    <w:rsid w:val="0BE64446"/>
    <w:rsid w:val="0BF92CAC"/>
    <w:rsid w:val="0C296CAE"/>
    <w:rsid w:val="0C326267"/>
    <w:rsid w:val="0C365370"/>
    <w:rsid w:val="0C442C80"/>
    <w:rsid w:val="0C4B30F1"/>
    <w:rsid w:val="0C5D71EC"/>
    <w:rsid w:val="0C7376A8"/>
    <w:rsid w:val="0C801F53"/>
    <w:rsid w:val="0C8076E1"/>
    <w:rsid w:val="0CA97841"/>
    <w:rsid w:val="0CCC58BA"/>
    <w:rsid w:val="0CF15084"/>
    <w:rsid w:val="0CF22F65"/>
    <w:rsid w:val="0CFD3771"/>
    <w:rsid w:val="0D001BEA"/>
    <w:rsid w:val="0D0A7F77"/>
    <w:rsid w:val="0D3A6B01"/>
    <w:rsid w:val="0D4945E7"/>
    <w:rsid w:val="0D4D0748"/>
    <w:rsid w:val="0D4D2094"/>
    <w:rsid w:val="0D5E0D3B"/>
    <w:rsid w:val="0D5F5515"/>
    <w:rsid w:val="0D61544F"/>
    <w:rsid w:val="0D713A3F"/>
    <w:rsid w:val="0D756522"/>
    <w:rsid w:val="0D7E3520"/>
    <w:rsid w:val="0D8943DC"/>
    <w:rsid w:val="0D8A04E4"/>
    <w:rsid w:val="0D932BB8"/>
    <w:rsid w:val="0D98461B"/>
    <w:rsid w:val="0DB904D9"/>
    <w:rsid w:val="0DBB0918"/>
    <w:rsid w:val="0DDD6D83"/>
    <w:rsid w:val="0DE25782"/>
    <w:rsid w:val="0DE72AC0"/>
    <w:rsid w:val="0DEC6468"/>
    <w:rsid w:val="0DEE271A"/>
    <w:rsid w:val="0DF148E8"/>
    <w:rsid w:val="0E210D90"/>
    <w:rsid w:val="0E280BF1"/>
    <w:rsid w:val="0E2A2732"/>
    <w:rsid w:val="0E2F7B01"/>
    <w:rsid w:val="0E39045D"/>
    <w:rsid w:val="0E4B5699"/>
    <w:rsid w:val="0E4D5CB6"/>
    <w:rsid w:val="0E512E80"/>
    <w:rsid w:val="0E6E1A32"/>
    <w:rsid w:val="0E7F25F5"/>
    <w:rsid w:val="0E915BD0"/>
    <w:rsid w:val="0E9E4C84"/>
    <w:rsid w:val="0EAA5D5A"/>
    <w:rsid w:val="0ECD4128"/>
    <w:rsid w:val="0EDC0ACC"/>
    <w:rsid w:val="0EE15926"/>
    <w:rsid w:val="0EEA08A5"/>
    <w:rsid w:val="0EF05635"/>
    <w:rsid w:val="0EF32DCC"/>
    <w:rsid w:val="0F0913A4"/>
    <w:rsid w:val="0F0A1DF9"/>
    <w:rsid w:val="0F106462"/>
    <w:rsid w:val="0F154AD4"/>
    <w:rsid w:val="0F1D1DB9"/>
    <w:rsid w:val="0F202CED"/>
    <w:rsid w:val="0F360DD3"/>
    <w:rsid w:val="0F6B1793"/>
    <w:rsid w:val="0F7B5DFB"/>
    <w:rsid w:val="0F9A0919"/>
    <w:rsid w:val="0FC11AFA"/>
    <w:rsid w:val="0FD75461"/>
    <w:rsid w:val="0FF00A2B"/>
    <w:rsid w:val="0FF37EF3"/>
    <w:rsid w:val="0FFE4C46"/>
    <w:rsid w:val="10064480"/>
    <w:rsid w:val="10090E16"/>
    <w:rsid w:val="100930B7"/>
    <w:rsid w:val="1010417D"/>
    <w:rsid w:val="10156FD1"/>
    <w:rsid w:val="10194746"/>
    <w:rsid w:val="10204305"/>
    <w:rsid w:val="10371F2F"/>
    <w:rsid w:val="10430A3B"/>
    <w:rsid w:val="105A6D80"/>
    <w:rsid w:val="105F0FA1"/>
    <w:rsid w:val="1073353A"/>
    <w:rsid w:val="10750971"/>
    <w:rsid w:val="107B23CF"/>
    <w:rsid w:val="107E1871"/>
    <w:rsid w:val="10824E25"/>
    <w:rsid w:val="10A10E2A"/>
    <w:rsid w:val="10B71B72"/>
    <w:rsid w:val="10BD5626"/>
    <w:rsid w:val="10C3255D"/>
    <w:rsid w:val="10C85301"/>
    <w:rsid w:val="10F5099F"/>
    <w:rsid w:val="10F84E57"/>
    <w:rsid w:val="11046680"/>
    <w:rsid w:val="110C53CD"/>
    <w:rsid w:val="111D5D9A"/>
    <w:rsid w:val="11333738"/>
    <w:rsid w:val="11423CF0"/>
    <w:rsid w:val="11450104"/>
    <w:rsid w:val="1159255C"/>
    <w:rsid w:val="115C1DEA"/>
    <w:rsid w:val="115D038D"/>
    <w:rsid w:val="116741A8"/>
    <w:rsid w:val="11887A9E"/>
    <w:rsid w:val="1189034F"/>
    <w:rsid w:val="11963731"/>
    <w:rsid w:val="119D4DFC"/>
    <w:rsid w:val="119E030F"/>
    <w:rsid w:val="11A622AD"/>
    <w:rsid w:val="11AC3296"/>
    <w:rsid w:val="11BF3764"/>
    <w:rsid w:val="11BF5D6D"/>
    <w:rsid w:val="11EF6486"/>
    <w:rsid w:val="11F75962"/>
    <w:rsid w:val="11FC0451"/>
    <w:rsid w:val="120C4EB8"/>
    <w:rsid w:val="122D760A"/>
    <w:rsid w:val="12311F5A"/>
    <w:rsid w:val="12396EDB"/>
    <w:rsid w:val="123D3153"/>
    <w:rsid w:val="12406C58"/>
    <w:rsid w:val="12425364"/>
    <w:rsid w:val="12427601"/>
    <w:rsid w:val="125352C6"/>
    <w:rsid w:val="125944FB"/>
    <w:rsid w:val="125D64D0"/>
    <w:rsid w:val="12624EB7"/>
    <w:rsid w:val="126A32DB"/>
    <w:rsid w:val="1282388F"/>
    <w:rsid w:val="128572E6"/>
    <w:rsid w:val="128A0F8B"/>
    <w:rsid w:val="129139EE"/>
    <w:rsid w:val="12B26461"/>
    <w:rsid w:val="12BF6F7B"/>
    <w:rsid w:val="12D228CA"/>
    <w:rsid w:val="12D442DB"/>
    <w:rsid w:val="12D546F4"/>
    <w:rsid w:val="12DF6E63"/>
    <w:rsid w:val="12E84200"/>
    <w:rsid w:val="12F36759"/>
    <w:rsid w:val="12F46D05"/>
    <w:rsid w:val="12FE2032"/>
    <w:rsid w:val="1300045E"/>
    <w:rsid w:val="130A6921"/>
    <w:rsid w:val="131E2317"/>
    <w:rsid w:val="131E269C"/>
    <w:rsid w:val="131E73CE"/>
    <w:rsid w:val="13201BEB"/>
    <w:rsid w:val="13312AE3"/>
    <w:rsid w:val="133D024F"/>
    <w:rsid w:val="133D6D87"/>
    <w:rsid w:val="136A4918"/>
    <w:rsid w:val="13716BB4"/>
    <w:rsid w:val="13821EE1"/>
    <w:rsid w:val="13890B9C"/>
    <w:rsid w:val="13944D7F"/>
    <w:rsid w:val="13B63C9C"/>
    <w:rsid w:val="13C75329"/>
    <w:rsid w:val="13CB4137"/>
    <w:rsid w:val="13D11AEC"/>
    <w:rsid w:val="13D57C19"/>
    <w:rsid w:val="13F27FD8"/>
    <w:rsid w:val="13FA3C10"/>
    <w:rsid w:val="14197590"/>
    <w:rsid w:val="141C7AF8"/>
    <w:rsid w:val="142D5867"/>
    <w:rsid w:val="14311C3C"/>
    <w:rsid w:val="1433458D"/>
    <w:rsid w:val="145A6A37"/>
    <w:rsid w:val="14823CB2"/>
    <w:rsid w:val="14A05CEA"/>
    <w:rsid w:val="14BA7BD0"/>
    <w:rsid w:val="14BE0DA8"/>
    <w:rsid w:val="14BF76D0"/>
    <w:rsid w:val="14CD5299"/>
    <w:rsid w:val="14D058B3"/>
    <w:rsid w:val="14DF2DE8"/>
    <w:rsid w:val="14E20E88"/>
    <w:rsid w:val="14E71B9C"/>
    <w:rsid w:val="14EC5270"/>
    <w:rsid w:val="14ED24C4"/>
    <w:rsid w:val="14FE6E45"/>
    <w:rsid w:val="15004976"/>
    <w:rsid w:val="15030DD2"/>
    <w:rsid w:val="150660C7"/>
    <w:rsid w:val="150B029C"/>
    <w:rsid w:val="151246C1"/>
    <w:rsid w:val="152F6F01"/>
    <w:rsid w:val="15300534"/>
    <w:rsid w:val="1542409B"/>
    <w:rsid w:val="15430081"/>
    <w:rsid w:val="1549179A"/>
    <w:rsid w:val="154A2F50"/>
    <w:rsid w:val="155855A0"/>
    <w:rsid w:val="155958EF"/>
    <w:rsid w:val="15760A82"/>
    <w:rsid w:val="15885993"/>
    <w:rsid w:val="158A38FE"/>
    <w:rsid w:val="158E4CB6"/>
    <w:rsid w:val="15943580"/>
    <w:rsid w:val="159E744E"/>
    <w:rsid w:val="159F71E4"/>
    <w:rsid w:val="15DA54BE"/>
    <w:rsid w:val="15DE1A29"/>
    <w:rsid w:val="15DF15B2"/>
    <w:rsid w:val="15E07A9A"/>
    <w:rsid w:val="15EF2D9A"/>
    <w:rsid w:val="1600559A"/>
    <w:rsid w:val="160C6213"/>
    <w:rsid w:val="1612444D"/>
    <w:rsid w:val="1615492F"/>
    <w:rsid w:val="16211C47"/>
    <w:rsid w:val="162C07E1"/>
    <w:rsid w:val="165027E8"/>
    <w:rsid w:val="167504A0"/>
    <w:rsid w:val="167B010A"/>
    <w:rsid w:val="16883ABF"/>
    <w:rsid w:val="16A05B48"/>
    <w:rsid w:val="16A411B1"/>
    <w:rsid w:val="16AA3EEF"/>
    <w:rsid w:val="16BB65F1"/>
    <w:rsid w:val="16BE59A3"/>
    <w:rsid w:val="16C30E50"/>
    <w:rsid w:val="16C6306C"/>
    <w:rsid w:val="16D301F3"/>
    <w:rsid w:val="16DA045E"/>
    <w:rsid w:val="16DF70C3"/>
    <w:rsid w:val="16E36A8E"/>
    <w:rsid w:val="16E74A90"/>
    <w:rsid w:val="16EF355C"/>
    <w:rsid w:val="17051824"/>
    <w:rsid w:val="170F5918"/>
    <w:rsid w:val="17174321"/>
    <w:rsid w:val="171B4C60"/>
    <w:rsid w:val="171B63E5"/>
    <w:rsid w:val="171E6164"/>
    <w:rsid w:val="17263548"/>
    <w:rsid w:val="17382C6C"/>
    <w:rsid w:val="173D57C7"/>
    <w:rsid w:val="176B64FB"/>
    <w:rsid w:val="17B2733D"/>
    <w:rsid w:val="17D32110"/>
    <w:rsid w:val="17DF02C7"/>
    <w:rsid w:val="17EF333D"/>
    <w:rsid w:val="17F736BA"/>
    <w:rsid w:val="17FE4C9B"/>
    <w:rsid w:val="180A017E"/>
    <w:rsid w:val="180B1C8C"/>
    <w:rsid w:val="18186FBF"/>
    <w:rsid w:val="182A0E16"/>
    <w:rsid w:val="184448A4"/>
    <w:rsid w:val="1856228A"/>
    <w:rsid w:val="185A2304"/>
    <w:rsid w:val="18655549"/>
    <w:rsid w:val="18811B0F"/>
    <w:rsid w:val="18883C96"/>
    <w:rsid w:val="18943D05"/>
    <w:rsid w:val="189D5730"/>
    <w:rsid w:val="18AE6BDF"/>
    <w:rsid w:val="18BC41FE"/>
    <w:rsid w:val="18C65572"/>
    <w:rsid w:val="18CE406A"/>
    <w:rsid w:val="18D255E8"/>
    <w:rsid w:val="18D71473"/>
    <w:rsid w:val="18E73115"/>
    <w:rsid w:val="18EF453A"/>
    <w:rsid w:val="190A6030"/>
    <w:rsid w:val="191206D3"/>
    <w:rsid w:val="192E2BD3"/>
    <w:rsid w:val="193470ED"/>
    <w:rsid w:val="19362545"/>
    <w:rsid w:val="195C14A3"/>
    <w:rsid w:val="196839F7"/>
    <w:rsid w:val="19756CCC"/>
    <w:rsid w:val="197B5636"/>
    <w:rsid w:val="197F7538"/>
    <w:rsid w:val="1987149D"/>
    <w:rsid w:val="198D30EC"/>
    <w:rsid w:val="199777B1"/>
    <w:rsid w:val="199C34C0"/>
    <w:rsid w:val="19A15CAB"/>
    <w:rsid w:val="19AB7BCA"/>
    <w:rsid w:val="19D74089"/>
    <w:rsid w:val="1A1D2006"/>
    <w:rsid w:val="1A200C49"/>
    <w:rsid w:val="1A2C7C12"/>
    <w:rsid w:val="1A382E26"/>
    <w:rsid w:val="1A3A2210"/>
    <w:rsid w:val="1A414F47"/>
    <w:rsid w:val="1A526576"/>
    <w:rsid w:val="1A5C16D9"/>
    <w:rsid w:val="1A5C6D63"/>
    <w:rsid w:val="1A604AA4"/>
    <w:rsid w:val="1A7636B6"/>
    <w:rsid w:val="1A7B17BE"/>
    <w:rsid w:val="1A8B4F58"/>
    <w:rsid w:val="1A907657"/>
    <w:rsid w:val="1AB772D9"/>
    <w:rsid w:val="1AE133EF"/>
    <w:rsid w:val="1AEF4DAE"/>
    <w:rsid w:val="1AF77FAB"/>
    <w:rsid w:val="1AFB020E"/>
    <w:rsid w:val="1B370B89"/>
    <w:rsid w:val="1B3B043B"/>
    <w:rsid w:val="1B492FF3"/>
    <w:rsid w:val="1B4950A4"/>
    <w:rsid w:val="1B5468D6"/>
    <w:rsid w:val="1B556620"/>
    <w:rsid w:val="1B636B19"/>
    <w:rsid w:val="1B6D5BEA"/>
    <w:rsid w:val="1B752047"/>
    <w:rsid w:val="1B7E5AA8"/>
    <w:rsid w:val="1B8A22F8"/>
    <w:rsid w:val="1BA324C2"/>
    <w:rsid w:val="1BA61267"/>
    <w:rsid w:val="1BAF2B44"/>
    <w:rsid w:val="1BD9327F"/>
    <w:rsid w:val="1BF105C9"/>
    <w:rsid w:val="1BFA7574"/>
    <w:rsid w:val="1C110922"/>
    <w:rsid w:val="1C1B6E90"/>
    <w:rsid w:val="1C213F72"/>
    <w:rsid w:val="1C2663BF"/>
    <w:rsid w:val="1C36433C"/>
    <w:rsid w:val="1C376E21"/>
    <w:rsid w:val="1C495776"/>
    <w:rsid w:val="1C607E4F"/>
    <w:rsid w:val="1C685144"/>
    <w:rsid w:val="1C721035"/>
    <w:rsid w:val="1C7246F1"/>
    <w:rsid w:val="1C887DF5"/>
    <w:rsid w:val="1C89288A"/>
    <w:rsid w:val="1CA47846"/>
    <w:rsid w:val="1CA64748"/>
    <w:rsid w:val="1CC40158"/>
    <w:rsid w:val="1CCB621E"/>
    <w:rsid w:val="1CD565D5"/>
    <w:rsid w:val="1CDF495F"/>
    <w:rsid w:val="1CDF6675"/>
    <w:rsid w:val="1CEF14EF"/>
    <w:rsid w:val="1CF061DA"/>
    <w:rsid w:val="1CF43006"/>
    <w:rsid w:val="1CF87542"/>
    <w:rsid w:val="1D032FA4"/>
    <w:rsid w:val="1D077570"/>
    <w:rsid w:val="1D0E51AB"/>
    <w:rsid w:val="1D3021C0"/>
    <w:rsid w:val="1D325942"/>
    <w:rsid w:val="1D454FF3"/>
    <w:rsid w:val="1D4C37A3"/>
    <w:rsid w:val="1D672B1F"/>
    <w:rsid w:val="1D8B3670"/>
    <w:rsid w:val="1DA35BF9"/>
    <w:rsid w:val="1DA6376A"/>
    <w:rsid w:val="1DA73124"/>
    <w:rsid w:val="1DAE0556"/>
    <w:rsid w:val="1DB1270C"/>
    <w:rsid w:val="1DB67C12"/>
    <w:rsid w:val="1DBE097F"/>
    <w:rsid w:val="1DD50B1E"/>
    <w:rsid w:val="1DEE0182"/>
    <w:rsid w:val="1E060554"/>
    <w:rsid w:val="1E0C1593"/>
    <w:rsid w:val="1E0F6E32"/>
    <w:rsid w:val="1E415560"/>
    <w:rsid w:val="1E5D18EA"/>
    <w:rsid w:val="1E604A81"/>
    <w:rsid w:val="1E706AC5"/>
    <w:rsid w:val="1E706D9C"/>
    <w:rsid w:val="1E841A5F"/>
    <w:rsid w:val="1E98379C"/>
    <w:rsid w:val="1E9B4962"/>
    <w:rsid w:val="1EA33881"/>
    <w:rsid w:val="1EA40105"/>
    <w:rsid w:val="1EA972F9"/>
    <w:rsid w:val="1EBC7CC4"/>
    <w:rsid w:val="1EC665E8"/>
    <w:rsid w:val="1EDC6093"/>
    <w:rsid w:val="1EFE3118"/>
    <w:rsid w:val="1F091197"/>
    <w:rsid w:val="1F276867"/>
    <w:rsid w:val="1F3868D2"/>
    <w:rsid w:val="1F494278"/>
    <w:rsid w:val="1F524DE1"/>
    <w:rsid w:val="1F583D4C"/>
    <w:rsid w:val="1F69585D"/>
    <w:rsid w:val="1F6B38B0"/>
    <w:rsid w:val="1F770DE5"/>
    <w:rsid w:val="1F85443C"/>
    <w:rsid w:val="1F966A87"/>
    <w:rsid w:val="1FB913DD"/>
    <w:rsid w:val="1FD0749B"/>
    <w:rsid w:val="1FE35ADC"/>
    <w:rsid w:val="1FF05470"/>
    <w:rsid w:val="201503A6"/>
    <w:rsid w:val="203A5250"/>
    <w:rsid w:val="203A5CDB"/>
    <w:rsid w:val="20497C75"/>
    <w:rsid w:val="204F1C56"/>
    <w:rsid w:val="204F514C"/>
    <w:rsid w:val="206823A1"/>
    <w:rsid w:val="207A43DF"/>
    <w:rsid w:val="207F6629"/>
    <w:rsid w:val="20833120"/>
    <w:rsid w:val="208539D6"/>
    <w:rsid w:val="209464F1"/>
    <w:rsid w:val="209B222F"/>
    <w:rsid w:val="20A35C0A"/>
    <w:rsid w:val="20A61DD6"/>
    <w:rsid w:val="20B24112"/>
    <w:rsid w:val="20CB4F5C"/>
    <w:rsid w:val="20D0522C"/>
    <w:rsid w:val="20D211A3"/>
    <w:rsid w:val="20D91DD8"/>
    <w:rsid w:val="20DD5762"/>
    <w:rsid w:val="20EE43F2"/>
    <w:rsid w:val="20F301B2"/>
    <w:rsid w:val="20F716A2"/>
    <w:rsid w:val="20F903BB"/>
    <w:rsid w:val="21011A51"/>
    <w:rsid w:val="21096B24"/>
    <w:rsid w:val="210B25F8"/>
    <w:rsid w:val="210B2A97"/>
    <w:rsid w:val="211A14DF"/>
    <w:rsid w:val="211E2099"/>
    <w:rsid w:val="2123675E"/>
    <w:rsid w:val="21637A27"/>
    <w:rsid w:val="216C08BA"/>
    <w:rsid w:val="2177570A"/>
    <w:rsid w:val="21A665AD"/>
    <w:rsid w:val="21B33C19"/>
    <w:rsid w:val="21BB34D8"/>
    <w:rsid w:val="21C44C50"/>
    <w:rsid w:val="21D722C1"/>
    <w:rsid w:val="21DF24FF"/>
    <w:rsid w:val="21F82FB6"/>
    <w:rsid w:val="22136A87"/>
    <w:rsid w:val="222C0C93"/>
    <w:rsid w:val="22466D0F"/>
    <w:rsid w:val="224B3D5F"/>
    <w:rsid w:val="2258252F"/>
    <w:rsid w:val="225B7657"/>
    <w:rsid w:val="225E4F1E"/>
    <w:rsid w:val="226B21EE"/>
    <w:rsid w:val="227305DB"/>
    <w:rsid w:val="227A396C"/>
    <w:rsid w:val="228B5121"/>
    <w:rsid w:val="228F63A9"/>
    <w:rsid w:val="22A177E6"/>
    <w:rsid w:val="22A42A1E"/>
    <w:rsid w:val="22A90AC1"/>
    <w:rsid w:val="22BD5CB7"/>
    <w:rsid w:val="22E6677E"/>
    <w:rsid w:val="22EC30DA"/>
    <w:rsid w:val="22ED0E76"/>
    <w:rsid w:val="2307412C"/>
    <w:rsid w:val="23103715"/>
    <w:rsid w:val="2318468D"/>
    <w:rsid w:val="231D3794"/>
    <w:rsid w:val="232C638A"/>
    <w:rsid w:val="233236E3"/>
    <w:rsid w:val="233B768D"/>
    <w:rsid w:val="2346752C"/>
    <w:rsid w:val="23500324"/>
    <w:rsid w:val="23585DD8"/>
    <w:rsid w:val="235B4AD3"/>
    <w:rsid w:val="23745CDE"/>
    <w:rsid w:val="237D05D8"/>
    <w:rsid w:val="239B1C02"/>
    <w:rsid w:val="23A50FD0"/>
    <w:rsid w:val="23AB3963"/>
    <w:rsid w:val="23BA793E"/>
    <w:rsid w:val="23BC4648"/>
    <w:rsid w:val="23C71178"/>
    <w:rsid w:val="23CB43ED"/>
    <w:rsid w:val="23D17044"/>
    <w:rsid w:val="23D172B3"/>
    <w:rsid w:val="23E40684"/>
    <w:rsid w:val="23F23381"/>
    <w:rsid w:val="23F60736"/>
    <w:rsid w:val="240115C5"/>
    <w:rsid w:val="2411563C"/>
    <w:rsid w:val="242447AF"/>
    <w:rsid w:val="24334C53"/>
    <w:rsid w:val="245F149B"/>
    <w:rsid w:val="24771FAD"/>
    <w:rsid w:val="247E49C4"/>
    <w:rsid w:val="24AB0389"/>
    <w:rsid w:val="24D055DB"/>
    <w:rsid w:val="24D75451"/>
    <w:rsid w:val="24DC47FF"/>
    <w:rsid w:val="24E345E4"/>
    <w:rsid w:val="24E41AC1"/>
    <w:rsid w:val="24EE12D8"/>
    <w:rsid w:val="24F31D24"/>
    <w:rsid w:val="25005256"/>
    <w:rsid w:val="250439EF"/>
    <w:rsid w:val="250A219B"/>
    <w:rsid w:val="250F386E"/>
    <w:rsid w:val="25107F16"/>
    <w:rsid w:val="251675CC"/>
    <w:rsid w:val="2557729C"/>
    <w:rsid w:val="255A6A4F"/>
    <w:rsid w:val="255D5845"/>
    <w:rsid w:val="257239B5"/>
    <w:rsid w:val="257A3E03"/>
    <w:rsid w:val="258C3DF5"/>
    <w:rsid w:val="25B132E6"/>
    <w:rsid w:val="25E1786F"/>
    <w:rsid w:val="25E8295B"/>
    <w:rsid w:val="25EB11E1"/>
    <w:rsid w:val="25F13423"/>
    <w:rsid w:val="25F252DE"/>
    <w:rsid w:val="25F453F1"/>
    <w:rsid w:val="25F574EA"/>
    <w:rsid w:val="260104CB"/>
    <w:rsid w:val="26055266"/>
    <w:rsid w:val="260B280F"/>
    <w:rsid w:val="260E417C"/>
    <w:rsid w:val="26154AF6"/>
    <w:rsid w:val="26257624"/>
    <w:rsid w:val="263E440B"/>
    <w:rsid w:val="263F3EBB"/>
    <w:rsid w:val="264B2BBF"/>
    <w:rsid w:val="26633C49"/>
    <w:rsid w:val="266E1364"/>
    <w:rsid w:val="268A4949"/>
    <w:rsid w:val="268E2249"/>
    <w:rsid w:val="2697027E"/>
    <w:rsid w:val="26A67D94"/>
    <w:rsid w:val="26AF355A"/>
    <w:rsid w:val="26B97F35"/>
    <w:rsid w:val="26BA4AE0"/>
    <w:rsid w:val="26C52C94"/>
    <w:rsid w:val="26C610CA"/>
    <w:rsid w:val="26C9037E"/>
    <w:rsid w:val="26D96963"/>
    <w:rsid w:val="26E51871"/>
    <w:rsid w:val="26EC2D0B"/>
    <w:rsid w:val="26EC52C4"/>
    <w:rsid w:val="26FD1062"/>
    <w:rsid w:val="27147861"/>
    <w:rsid w:val="271D527A"/>
    <w:rsid w:val="27224B0F"/>
    <w:rsid w:val="272F1E9F"/>
    <w:rsid w:val="273C1105"/>
    <w:rsid w:val="274E1A68"/>
    <w:rsid w:val="2764417B"/>
    <w:rsid w:val="27795A37"/>
    <w:rsid w:val="278476CC"/>
    <w:rsid w:val="27851DA0"/>
    <w:rsid w:val="27A34E59"/>
    <w:rsid w:val="27C617D8"/>
    <w:rsid w:val="27D36867"/>
    <w:rsid w:val="27DF33C8"/>
    <w:rsid w:val="27E81FE7"/>
    <w:rsid w:val="27EB411E"/>
    <w:rsid w:val="27EE3C0E"/>
    <w:rsid w:val="27EE40EE"/>
    <w:rsid w:val="27F710A0"/>
    <w:rsid w:val="28252233"/>
    <w:rsid w:val="282E0D0A"/>
    <w:rsid w:val="283659E1"/>
    <w:rsid w:val="284737DD"/>
    <w:rsid w:val="284F7247"/>
    <w:rsid w:val="28504F00"/>
    <w:rsid w:val="285401B9"/>
    <w:rsid w:val="2854115A"/>
    <w:rsid w:val="285919D0"/>
    <w:rsid w:val="285D758C"/>
    <w:rsid w:val="286744CD"/>
    <w:rsid w:val="28677614"/>
    <w:rsid w:val="28774B99"/>
    <w:rsid w:val="287B2854"/>
    <w:rsid w:val="28824CA3"/>
    <w:rsid w:val="2887096F"/>
    <w:rsid w:val="28891A68"/>
    <w:rsid w:val="28A67723"/>
    <w:rsid w:val="28B0142C"/>
    <w:rsid w:val="28B031C4"/>
    <w:rsid w:val="28B813D8"/>
    <w:rsid w:val="28BE5DFF"/>
    <w:rsid w:val="28C05393"/>
    <w:rsid w:val="28C15F16"/>
    <w:rsid w:val="28C668F3"/>
    <w:rsid w:val="28C8217E"/>
    <w:rsid w:val="28D13A25"/>
    <w:rsid w:val="28E23AA6"/>
    <w:rsid w:val="29053946"/>
    <w:rsid w:val="291433AE"/>
    <w:rsid w:val="291B15FB"/>
    <w:rsid w:val="292274D8"/>
    <w:rsid w:val="29291F9C"/>
    <w:rsid w:val="293A5D80"/>
    <w:rsid w:val="29432A42"/>
    <w:rsid w:val="29490B9E"/>
    <w:rsid w:val="294F62D4"/>
    <w:rsid w:val="2964577C"/>
    <w:rsid w:val="29652E48"/>
    <w:rsid w:val="29755B40"/>
    <w:rsid w:val="2976043F"/>
    <w:rsid w:val="29834CA6"/>
    <w:rsid w:val="298429E5"/>
    <w:rsid w:val="298A40CB"/>
    <w:rsid w:val="298B3897"/>
    <w:rsid w:val="29995F92"/>
    <w:rsid w:val="29AA7F26"/>
    <w:rsid w:val="29AB6C0F"/>
    <w:rsid w:val="29B54E3D"/>
    <w:rsid w:val="29C610A0"/>
    <w:rsid w:val="29D250A3"/>
    <w:rsid w:val="29D97152"/>
    <w:rsid w:val="29E346EC"/>
    <w:rsid w:val="29EA6773"/>
    <w:rsid w:val="29EB26F7"/>
    <w:rsid w:val="29F9147A"/>
    <w:rsid w:val="2A043B28"/>
    <w:rsid w:val="2A2622F9"/>
    <w:rsid w:val="2A2E7A7E"/>
    <w:rsid w:val="2A313BB1"/>
    <w:rsid w:val="2A413BB3"/>
    <w:rsid w:val="2A4735A8"/>
    <w:rsid w:val="2A5D63DB"/>
    <w:rsid w:val="2A5F40B6"/>
    <w:rsid w:val="2A72308A"/>
    <w:rsid w:val="2A7939ED"/>
    <w:rsid w:val="2A8A0D83"/>
    <w:rsid w:val="2AB557DB"/>
    <w:rsid w:val="2ADB2B81"/>
    <w:rsid w:val="2B1A174A"/>
    <w:rsid w:val="2B1C4F36"/>
    <w:rsid w:val="2B2141F9"/>
    <w:rsid w:val="2B225D30"/>
    <w:rsid w:val="2B332625"/>
    <w:rsid w:val="2B361A30"/>
    <w:rsid w:val="2B3C079E"/>
    <w:rsid w:val="2B3C1E41"/>
    <w:rsid w:val="2B4C2E44"/>
    <w:rsid w:val="2B4E156E"/>
    <w:rsid w:val="2B565E56"/>
    <w:rsid w:val="2B595843"/>
    <w:rsid w:val="2B7865F9"/>
    <w:rsid w:val="2B7A3C52"/>
    <w:rsid w:val="2B8C374E"/>
    <w:rsid w:val="2B8F46B6"/>
    <w:rsid w:val="2B977AEB"/>
    <w:rsid w:val="2B991DFF"/>
    <w:rsid w:val="2B9C1D21"/>
    <w:rsid w:val="2BA41097"/>
    <w:rsid w:val="2BA956BF"/>
    <w:rsid w:val="2BBE6370"/>
    <w:rsid w:val="2BF24C23"/>
    <w:rsid w:val="2BFC6B25"/>
    <w:rsid w:val="2C0646C5"/>
    <w:rsid w:val="2C1B0595"/>
    <w:rsid w:val="2C2F4BD1"/>
    <w:rsid w:val="2C300C99"/>
    <w:rsid w:val="2C421FD2"/>
    <w:rsid w:val="2C436E5C"/>
    <w:rsid w:val="2C567BB3"/>
    <w:rsid w:val="2C66510D"/>
    <w:rsid w:val="2C6B4093"/>
    <w:rsid w:val="2C8A3ED2"/>
    <w:rsid w:val="2C997AF3"/>
    <w:rsid w:val="2C997CDE"/>
    <w:rsid w:val="2C9E14E5"/>
    <w:rsid w:val="2CB84C7B"/>
    <w:rsid w:val="2CCF1D5F"/>
    <w:rsid w:val="2CCF1ECB"/>
    <w:rsid w:val="2CD25FF8"/>
    <w:rsid w:val="2CD466D2"/>
    <w:rsid w:val="2CE02358"/>
    <w:rsid w:val="2CE27DFB"/>
    <w:rsid w:val="2CE3244C"/>
    <w:rsid w:val="2CF30852"/>
    <w:rsid w:val="2CF3392B"/>
    <w:rsid w:val="2D0B78AE"/>
    <w:rsid w:val="2D1142CB"/>
    <w:rsid w:val="2D1A734B"/>
    <w:rsid w:val="2D2352B0"/>
    <w:rsid w:val="2D377655"/>
    <w:rsid w:val="2D403484"/>
    <w:rsid w:val="2D651E34"/>
    <w:rsid w:val="2D6F1178"/>
    <w:rsid w:val="2D9147ED"/>
    <w:rsid w:val="2DAB5DC1"/>
    <w:rsid w:val="2DB31B82"/>
    <w:rsid w:val="2DCF6FB5"/>
    <w:rsid w:val="2DD05EF0"/>
    <w:rsid w:val="2DD5614C"/>
    <w:rsid w:val="2DEC5D5C"/>
    <w:rsid w:val="2DED5CC6"/>
    <w:rsid w:val="2DF14475"/>
    <w:rsid w:val="2DF83CAE"/>
    <w:rsid w:val="2DFF1503"/>
    <w:rsid w:val="2E0A386D"/>
    <w:rsid w:val="2E1036F7"/>
    <w:rsid w:val="2E270F76"/>
    <w:rsid w:val="2E290D16"/>
    <w:rsid w:val="2E2D2691"/>
    <w:rsid w:val="2E2F76FC"/>
    <w:rsid w:val="2E36642A"/>
    <w:rsid w:val="2E3A56A0"/>
    <w:rsid w:val="2E3B3187"/>
    <w:rsid w:val="2E422DCC"/>
    <w:rsid w:val="2E427B73"/>
    <w:rsid w:val="2E642E7C"/>
    <w:rsid w:val="2E754540"/>
    <w:rsid w:val="2E767F3F"/>
    <w:rsid w:val="2E7C5342"/>
    <w:rsid w:val="2E905186"/>
    <w:rsid w:val="2E9F5029"/>
    <w:rsid w:val="2EA5128A"/>
    <w:rsid w:val="2EAF6BF3"/>
    <w:rsid w:val="2EBD7D6C"/>
    <w:rsid w:val="2ED2330B"/>
    <w:rsid w:val="2ED4221C"/>
    <w:rsid w:val="2EDA622A"/>
    <w:rsid w:val="2EDC447A"/>
    <w:rsid w:val="2EE5733A"/>
    <w:rsid w:val="2EEB6F16"/>
    <w:rsid w:val="2EEE11AC"/>
    <w:rsid w:val="2EFE35E8"/>
    <w:rsid w:val="2F0B779C"/>
    <w:rsid w:val="2F0D74C9"/>
    <w:rsid w:val="2F315682"/>
    <w:rsid w:val="2F416D1A"/>
    <w:rsid w:val="2F471C74"/>
    <w:rsid w:val="2F4E6128"/>
    <w:rsid w:val="2F50648D"/>
    <w:rsid w:val="2F562A39"/>
    <w:rsid w:val="2F593497"/>
    <w:rsid w:val="2F5F25EA"/>
    <w:rsid w:val="2F723875"/>
    <w:rsid w:val="2F80221D"/>
    <w:rsid w:val="2F8673B3"/>
    <w:rsid w:val="2F8B4222"/>
    <w:rsid w:val="2F963160"/>
    <w:rsid w:val="2FA6202F"/>
    <w:rsid w:val="2FAE240F"/>
    <w:rsid w:val="2FB84C7B"/>
    <w:rsid w:val="2FBA6381"/>
    <w:rsid w:val="2FCC6F2B"/>
    <w:rsid w:val="2FDA5341"/>
    <w:rsid w:val="2FDB47FA"/>
    <w:rsid w:val="2FE53B49"/>
    <w:rsid w:val="303A70C4"/>
    <w:rsid w:val="303F08C7"/>
    <w:rsid w:val="30412492"/>
    <w:rsid w:val="304704C5"/>
    <w:rsid w:val="30594C7A"/>
    <w:rsid w:val="30615FED"/>
    <w:rsid w:val="306857C7"/>
    <w:rsid w:val="309713C6"/>
    <w:rsid w:val="30A232E4"/>
    <w:rsid w:val="30A772E8"/>
    <w:rsid w:val="30C50C66"/>
    <w:rsid w:val="30C61120"/>
    <w:rsid w:val="30C77493"/>
    <w:rsid w:val="30CC7B5D"/>
    <w:rsid w:val="30ED1711"/>
    <w:rsid w:val="31167200"/>
    <w:rsid w:val="311A10B7"/>
    <w:rsid w:val="312C69BA"/>
    <w:rsid w:val="31393DCB"/>
    <w:rsid w:val="31526AA3"/>
    <w:rsid w:val="315C42DF"/>
    <w:rsid w:val="3162183F"/>
    <w:rsid w:val="31636DC3"/>
    <w:rsid w:val="31664D59"/>
    <w:rsid w:val="316A224B"/>
    <w:rsid w:val="316D2854"/>
    <w:rsid w:val="31712EBC"/>
    <w:rsid w:val="317465BC"/>
    <w:rsid w:val="317D5FB6"/>
    <w:rsid w:val="317F48CE"/>
    <w:rsid w:val="31886DD5"/>
    <w:rsid w:val="318A28BC"/>
    <w:rsid w:val="318B00D1"/>
    <w:rsid w:val="318C7F04"/>
    <w:rsid w:val="319C5AA7"/>
    <w:rsid w:val="319F465C"/>
    <w:rsid w:val="31A43C7A"/>
    <w:rsid w:val="31B14463"/>
    <w:rsid w:val="31C32FA3"/>
    <w:rsid w:val="31C854D0"/>
    <w:rsid w:val="31CD468B"/>
    <w:rsid w:val="31D91BE1"/>
    <w:rsid w:val="31E60856"/>
    <w:rsid w:val="31EA35E8"/>
    <w:rsid w:val="320D5A12"/>
    <w:rsid w:val="320E5A59"/>
    <w:rsid w:val="3216623C"/>
    <w:rsid w:val="32221592"/>
    <w:rsid w:val="322C0610"/>
    <w:rsid w:val="322E1BFD"/>
    <w:rsid w:val="323A3E96"/>
    <w:rsid w:val="323E22F7"/>
    <w:rsid w:val="323F17F0"/>
    <w:rsid w:val="32413CD9"/>
    <w:rsid w:val="32773851"/>
    <w:rsid w:val="327C20DC"/>
    <w:rsid w:val="32A02E1D"/>
    <w:rsid w:val="32A5173A"/>
    <w:rsid w:val="32BB148C"/>
    <w:rsid w:val="32BB6217"/>
    <w:rsid w:val="32DC365B"/>
    <w:rsid w:val="32EE71B8"/>
    <w:rsid w:val="32FB4F1E"/>
    <w:rsid w:val="33077BF3"/>
    <w:rsid w:val="33093FF2"/>
    <w:rsid w:val="330D5C4B"/>
    <w:rsid w:val="33204932"/>
    <w:rsid w:val="33291ACF"/>
    <w:rsid w:val="333D7CDA"/>
    <w:rsid w:val="3365548D"/>
    <w:rsid w:val="336C20F6"/>
    <w:rsid w:val="337630A8"/>
    <w:rsid w:val="337D6DD6"/>
    <w:rsid w:val="3382645E"/>
    <w:rsid w:val="33936F97"/>
    <w:rsid w:val="339670C9"/>
    <w:rsid w:val="339B1966"/>
    <w:rsid w:val="339E0DDD"/>
    <w:rsid w:val="33A23507"/>
    <w:rsid w:val="33B052F1"/>
    <w:rsid w:val="33BB04D5"/>
    <w:rsid w:val="33C1178D"/>
    <w:rsid w:val="33CD5CBF"/>
    <w:rsid w:val="33CF6A93"/>
    <w:rsid w:val="33D36847"/>
    <w:rsid w:val="33D52CF0"/>
    <w:rsid w:val="33E3198C"/>
    <w:rsid w:val="33F352AE"/>
    <w:rsid w:val="34051282"/>
    <w:rsid w:val="341663D8"/>
    <w:rsid w:val="3417159A"/>
    <w:rsid w:val="34207846"/>
    <w:rsid w:val="3436681E"/>
    <w:rsid w:val="34454F45"/>
    <w:rsid w:val="34491953"/>
    <w:rsid w:val="344E582D"/>
    <w:rsid w:val="344F1FA8"/>
    <w:rsid w:val="345721E6"/>
    <w:rsid w:val="346C2784"/>
    <w:rsid w:val="34751483"/>
    <w:rsid w:val="348002E4"/>
    <w:rsid w:val="34853B4C"/>
    <w:rsid w:val="3489757C"/>
    <w:rsid w:val="34983880"/>
    <w:rsid w:val="34B44B7E"/>
    <w:rsid w:val="34E75451"/>
    <w:rsid w:val="34F62354"/>
    <w:rsid w:val="35006659"/>
    <w:rsid w:val="35044A71"/>
    <w:rsid w:val="35056F41"/>
    <w:rsid w:val="35096F5D"/>
    <w:rsid w:val="350A4AD0"/>
    <w:rsid w:val="350D19BB"/>
    <w:rsid w:val="350F0702"/>
    <w:rsid w:val="351400AA"/>
    <w:rsid w:val="354D5BEB"/>
    <w:rsid w:val="35537C83"/>
    <w:rsid w:val="35555759"/>
    <w:rsid w:val="35645360"/>
    <w:rsid w:val="356E7175"/>
    <w:rsid w:val="3572001E"/>
    <w:rsid w:val="358F4C83"/>
    <w:rsid w:val="35A873D1"/>
    <w:rsid w:val="35AB6533"/>
    <w:rsid w:val="35B95A88"/>
    <w:rsid w:val="35C76FEA"/>
    <w:rsid w:val="3621472B"/>
    <w:rsid w:val="36312097"/>
    <w:rsid w:val="363B2715"/>
    <w:rsid w:val="36460B81"/>
    <w:rsid w:val="36495886"/>
    <w:rsid w:val="3656754F"/>
    <w:rsid w:val="36637A63"/>
    <w:rsid w:val="367F4F73"/>
    <w:rsid w:val="368D6448"/>
    <w:rsid w:val="36A83064"/>
    <w:rsid w:val="36D93CDC"/>
    <w:rsid w:val="36DF1B09"/>
    <w:rsid w:val="36F5558D"/>
    <w:rsid w:val="36FA75CB"/>
    <w:rsid w:val="36FC3DA7"/>
    <w:rsid w:val="36FE69CC"/>
    <w:rsid w:val="37077031"/>
    <w:rsid w:val="370A446C"/>
    <w:rsid w:val="37144D14"/>
    <w:rsid w:val="371521A7"/>
    <w:rsid w:val="37186290"/>
    <w:rsid w:val="371F5514"/>
    <w:rsid w:val="37236D14"/>
    <w:rsid w:val="372846AD"/>
    <w:rsid w:val="374A1271"/>
    <w:rsid w:val="37541C94"/>
    <w:rsid w:val="376806DB"/>
    <w:rsid w:val="37696240"/>
    <w:rsid w:val="377A101B"/>
    <w:rsid w:val="37846EE5"/>
    <w:rsid w:val="379461DF"/>
    <w:rsid w:val="379C5527"/>
    <w:rsid w:val="379F25AA"/>
    <w:rsid w:val="37A20977"/>
    <w:rsid w:val="37B7331B"/>
    <w:rsid w:val="37BE432D"/>
    <w:rsid w:val="37C0269B"/>
    <w:rsid w:val="37C12AB0"/>
    <w:rsid w:val="37C20289"/>
    <w:rsid w:val="37C36E66"/>
    <w:rsid w:val="37CA67B2"/>
    <w:rsid w:val="37CC113C"/>
    <w:rsid w:val="37CF73B3"/>
    <w:rsid w:val="37D15817"/>
    <w:rsid w:val="37DD3769"/>
    <w:rsid w:val="37FE4685"/>
    <w:rsid w:val="38083F02"/>
    <w:rsid w:val="380A48D8"/>
    <w:rsid w:val="380D623D"/>
    <w:rsid w:val="382A0185"/>
    <w:rsid w:val="38316343"/>
    <w:rsid w:val="38540962"/>
    <w:rsid w:val="386862CF"/>
    <w:rsid w:val="38727B02"/>
    <w:rsid w:val="38812AD7"/>
    <w:rsid w:val="389C6EEF"/>
    <w:rsid w:val="389F5CD8"/>
    <w:rsid w:val="38A0235A"/>
    <w:rsid w:val="38A87971"/>
    <w:rsid w:val="38AA6BDA"/>
    <w:rsid w:val="38AE7EF7"/>
    <w:rsid w:val="38B279EB"/>
    <w:rsid w:val="38B82AF5"/>
    <w:rsid w:val="38BF46CC"/>
    <w:rsid w:val="38C6289D"/>
    <w:rsid w:val="38C7204D"/>
    <w:rsid w:val="38E51F81"/>
    <w:rsid w:val="38EA6C83"/>
    <w:rsid w:val="38F23171"/>
    <w:rsid w:val="39020C1E"/>
    <w:rsid w:val="392B1828"/>
    <w:rsid w:val="394161FE"/>
    <w:rsid w:val="394D58E5"/>
    <w:rsid w:val="39507379"/>
    <w:rsid w:val="395E36CB"/>
    <w:rsid w:val="39765BB5"/>
    <w:rsid w:val="39933B19"/>
    <w:rsid w:val="39A33CED"/>
    <w:rsid w:val="39B63F14"/>
    <w:rsid w:val="39BA4298"/>
    <w:rsid w:val="39BB11C0"/>
    <w:rsid w:val="39BC364C"/>
    <w:rsid w:val="39C55488"/>
    <w:rsid w:val="39E81284"/>
    <w:rsid w:val="39ED5AEC"/>
    <w:rsid w:val="39F25C1A"/>
    <w:rsid w:val="3A094ECC"/>
    <w:rsid w:val="3A2B463D"/>
    <w:rsid w:val="3A2D4A6A"/>
    <w:rsid w:val="3A386A14"/>
    <w:rsid w:val="3A3C0A2C"/>
    <w:rsid w:val="3A3F6B21"/>
    <w:rsid w:val="3A453174"/>
    <w:rsid w:val="3A4F35AF"/>
    <w:rsid w:val="3A5133D0"/>
    <w:rsid w:val="3A52381C"/>
    <w:rsid w:val="3A58654F"/>
    <w:rsid w:val="3A5F2BA5"/>
    <w:rsid w:val="3A687E26"/>
    <w:rsid w:val="3A8322BE"/>
    <w:rsid w:val="3AB127B5"/>
    <w:rsid w:val="3AC7728A"/>
    <w:rsid w:val="3ACB380C"/>
    <w:rsid w:val="3AE21C17"/>
    <w:rsid w:val="3AED2353"/>
    <w:rsid w:val="3AED318F"/>
    <w:rsid w:val="3AF6205F"/>
    <w:rsid w:val="3B050D2B"/>
    <w:rsid w:val="3B0B42DF"/>
    <w:rsid w:val="3B0C468E"/>
    <w:rsid w:val="3B1D2FE9"/>
    <w:rsid w:val="3B1F566C"/>
    <w:rsid w:val="3B265D2B"/>
    <w:rsid w:val="3B2E6E59"/>
    <w:rsid w:val="3B497D60"/>
    <w:rsid w:val="3B4D0406"/>
    <w:rsid w:val="3B4F3729"/>
    <w:rsid w:val="3B5344E9"/>
    <w:rsid w:val="3B5C1C29"/>
    <w:rsid w:val="3B5C320A"/>
    <w:rsid w:val="3B5F4FC1"/>
    <w:rsid w:val="3B716F78"/>
    <w:rsid w:val="3B861B2F"/>
    <w:rsid w:val="3B8725C8"/>
    <w:rsid w:val="3B933D1F"/>
    <w:rsid w:val="3BA35552"/>
    <w:rsid w:val="3BA40D5C"/>
    <w:rsid w:val="3BB54638"/>
    <w:rsid w:val="3BBD597A"/>
    <w:rsid w:val="3BD62991"/>
    <w:rsid w:val="3BD95935"/>
    <w:rsid w:val="3BEC0523"/>
    <w:rsid w:val="3BF34A5A"/>
    <w:rsid w:val="3C112923"/>
    <w:rsid w:val="3C133C00"/>
    <w:rsid w:val="3C2A50F0"/>
    <w:rsid w:val="3C2B11E4"/>
    <w:rsid w:val="3C2D2BF0"/>
    <w:rsid w:val="3C2E3FB6"/>
    <w:rsid w:val="3C40286C"/>
    <w:rsid w:val="3C4373C4"/>
    <w:rsid w:val="3C501DAF"/>
    <w:rsid w:val="3C511010"/>
    <w:rsid w:val="3C5A3EF9"/>
    <w:rsid w:val="3C6978B0"/>
    <w:rsid w:val="3C7B7D0F"/>
    <w:rsid w:val="3C83545A"/>
    <w:rsid w:val="3C9508B9"/>
    <w:rsid w:val="3CBE1861"/>
    <w:rsid w:val="3CD06F1D"/>
    <w:rsid w:val="3CD9405C"/>
    <w:rsid w:val="3CDB019A"/>
    <w:rsid w:val="3CE83CA8"/>
    <w:rsid w:val="3CF672F5"/>
    <w:rsid w:val="3D11065F"/>
    <w:rsid w:val="3D2F4655"/>
    <w:rsid w:val="3D314067"/>
    <w:rsid w:val="3D32517E"/>
    <w:rsid w:val="3D340877"/>
    <w:rsid w:val="3D5B4B1B"/>
    <w:rsid w:val="3D7778E1"/>
    <w:rsid w:val="3DA509C7"/>
    <w:rsid w:val="3DBE32B1"/>
    <w:rsid w:val="3DC254CA"/>
    <w:rsid w:val="3DD64A42"/>
    <w:rsid w:val="3DD8521E"/>
    <w:rsid w:val="3DFF7691"/>
    <w:rsid w:val="3E0C1BA4"/>
    <w:rsid w:val="3E21293C"/>
    <w:rsid w:val="3E2140BF"/>
    <w:rsid w:val="3E30610D"/>
    <w:rsid w:val="3E3703FB"/>
    <w:rsid w:val="3E392133"/>
    <w:rsid w:val="3E6A644A"/>
    <w:rsid w:val="3E711D4C"/>
    <w:rsid w:val="3E7D113A"/>
    <w:rsid w:val="3E861F2A"/>
    <w:rsid w:val="3E865C72"/>
    <w:rsid w:val="3E886713"/>
    <w:rsid w:val="3E920965"/>
    <w:rsid w:val="3E92378D"/>
    <w:rsid w:val="3EA63B08"/>
    <w:rsid w:val="3EC57D85"/>
    <w:rsid w:val="3ED71DD3"/>
    <w:rsid w:val="3ED81093"/>
    <w:rsid w:val="3EED47C8"/>
    <w:rsid w:val="3EF76DEB"/>
    <w:rsid w:val="3F147322"/>
    <w:rsid w:val="3F1B7BDA"/>
    <w:rsid w:val="3F2B4F32"/>
    <w:rsid w:val="3F4F53D8"/>
    <w:rsid w:val="3F6009A6"/>
    <w:rsid w:val="3F606DFC"/>
    <w:rsid w:val="3F6D721C"/>
    <w:rsid w:val="3F7561FB"/>
    <w:rsid w:val="3F775701"/>
    <w:rsid w:val="3F7F15D7"/>
    <w:rsid w:val="3F8175A9"/>
    <w:rsid w:val="3F9110FB"/>
    <w:rsid w:val="3F970AC9"/>
    <w:rsid w:val="3F983970"/>
    <w:rsid w:val="3FA04C1F"/>
    <w:rsid w:val="3FAB3EF2"/>
    <w:rsid w:val="3FAB5DE3"/>
    <w:rsid w:val="3FB74B79"/>
    <w:rsid w:val="3FB97FE1"/>
    <w:rsid w:val="3FC62C11"/>
    <w:rsid w:val="3FC801AF"/>
    <w:rsid w:val="3FE10133"/>
    <w:rsid w:val="3FF03FC2"/>
    <w:rsid w:val="400F586A"/>
    <w:rsid w:val="401546BB"/>
    <w:rsid w:val="40175FA1"/>
    <w:rsid w:val="40225FCC"/>
    <w:rsid w:val="402C43AB"/>
    <w:rsid w:val="402D0F85"/>
    <w:rsid w:val="4031573F"/>
    <w:rsid w:val="403329CA"/>
    <w:rsid w:val="403645F3"/>
    <w:rsid w:val="403F51D3"/>
    <w:rsid w:val="40491F46"/>
    <w:rsid w:val="405A2AD0"/>
    <w:rsid w:val="407658B9"/>
    <w:rsid w:val="407F7AEC"/>
    <w:rsid w:val="409450AA"/>
    <w:rsid w:val="40A86353"/>
    <w:rsid w:val="40AC46DB"/>
    <w:rsid w:val="40CC47B9"/>
    <w:rsid w:val="40D07877"/>
    <w:rsid w:val="40E41DEF"/>
    <w:rsid w:val="40EA7211"/>
    <w:rsid w:val="40F17FA1"/>
    <w:rsid w:val="40F2485A"/>
    <w:rsid w:val="40F47F9D"/>
    <w:rsid w:val="40FC47E1"/>
    <w:rsid w:val="410F36BC"/>
    <w:rsid w:val="41345493"/>
    <w:rsid w:val="4138297C"/>
    <w:rsid w:val="415C1E5E"/>
    <w:rsid w:val="4188317F"/>
    <w:rsid w:val="41924FB9"/>
    <w:rsid w:val="41A623DC"/>
    <w:rsid w:val="41AD6698"/>
    <w:rsid w:val="41B34DF1"/>
    <w:rsid w:val="41BB0480"/>
    <w:rsid w:val="41BF708C"/>
    <w:rsid w:val="41CC6917"/>
    <w:rsid w:val="41DA6ADE"/>
    <w:rsid w:val="41F20E3F"/>
    <w:rsid w:val="42041BE8"/>
    <w:rsid w:val="42097713"/>
    <w:rsid w:val="420D42E6"/>
    <w:rsid w:val="42181B5C"/>
    <w:rsid w:val="42186FAF"/>
    <w:rsid w:val="42436B6D"/>
    <w:rsid w:val="42635B8E"/>
    <w:rsid w:val="426C67C4"/>
    <w:rsid w:val="426E724D"/>
    <w:rsid w:val="427007F8"/>
    <w:rsid w:val="427878A4"/>
    <w:rsid w:val="428B1B54"/>
    <w:rsid w:val="429D57CF"/>
    <w:rsid w:val="42A27557"/>
    <w:rsid w:val="42BB2A5D"/>
    <w:rsid w:val="42C172D0"/>
    <w:rsid w:val="42CB6444"/>
    <w:rsid w:val="42E20CF5"/>
    <w:rsid w:val="42E346A1"/>
    <w:rsid w:val="42EF3074"/>
    <w:rsid w:val="42F27836"/>
    <w:rsid w:val="42F531CE"/>
    <w:rsid w:val="42FF4BE0"/>
    <w:rsid w:val="430A6E5A"/>
    <w:rsid w:val="430F6EAD"/>
    <w:rsid w:val="431303D0"/>
    <w:rsid w:val="432809C5"/>
    <w:rsid w:val="432B4569"/>
    <w:rsid w:val="4330416F"/>
    <w:rsid w:val="433E2AAC"/>
    <w:rsid w:val="434A0B41"/>
    <w:rsid w:val="434D3A87"/>
    <w:rsid w:val="434F7A62"/>
    <w:rsid w:val="43633E12"/>
    <w:rsid w:val="436752A6"/>
    <w:rsid w:val="43804E58"/>
    <w:rsid w:val="43843FDD"/>
    <w:rsid w:val="439F0E69"/>
    <w:rsid w:val="43A221AB"/>
    <w:rsid w:val="43D67F21"/>
    <w:rsid w:val="43D7406A"/>
    <w:rsid w:val="43DC5799"/>
    <w:rsid w:val="43E531EC"/>
    <w:rsid w:val="43F42B17"/>
    <w:rsid w:val="441A3D23"/>
    <w:rsid w:val="441E1F6C"/>
    <w:rsid w:val="44284DFE"/>
    <w:rsid w:val="443B29FC"/>
    <w:rsid w:val="443B4DCB"/>
    <w:rsid w:val="443D5D23"/>
    <w:rsid w:val="44564AB1"/>
    <w:rsid w:val="445E3393"/>
    <w:rsid w:val="4464327A"/>
    <w:rsid w:val="446A3FBF"/>
    <w:rsid w:val="44BC57EA"/>
    <w:rsid w:val="44BD072C"/>
    <w:rsid w:val="44BF57D9"/>
    <w:rsid w:val="44C367B8"/>
    <w:rsid w:val="44D8473A"/>
    <w:rsid w:val="44DB259F"/>
    <w:rsid w:val="44E37827"/>
    <w:rsid w:val="44E701A5"/>
    <w:rsid w:val="44F1532A"/>
    <w:rsid w:val="44FD4B05"/>
    <w:rsid w:val="45080D22"/>
    <w:rsid w:val="450E74EC"/>
    <w:rsid w:val="45265484"/>
    <w:rsid w:val="452D1DC2"/>
    <w:rsid w:val="452D74E0"/>
    <w:rsid w:val="45392515"/>
    <w:rsid w:val="45396AC7"/>
    <w:rsid w:val="45536CBB"/>
    <w:rsid w:val="45606FDE"/>
    <w:rsid w:val="45756CBD"/>
    <w:rsid w:val="45777091"/>
    <w:rsid w:val="457C4123"/>
    <w:rsid w:val="45855844"/>
    <w:rsid w:val="458B69F6"/>
    <w:rsid w:val="45A40F60"/>
    <w:rsid w:val="45A647C9"/>
    <w:rsid w:val="45A84C46"/>
    <w:rsid w:val="45A94A5A"/>
    <w:rsid w:val="45C325DF"/>
    <w:rsid w:val="45C943D0"/>
    <w:rsid w:val="45CC116E"/>
    <w:rsid w:val="45DA04A4"/>
    <w:rsid w:val="45DA6D30"/>
    <w:rsid w:val="45DE14B8"/>
    <w:rsid w:val="45E16709"/>
    <w:rsid w:val="45EC271B"/>
    <w:rsid w:val="46116C98"/>
    <w:rsid w:val="46232DCE"/>
    <w:rsid w:val="462A12E7"/>
    <w:rsid w:val="463842DE"/>
    <w:rsid w:val="46386E53"/>
    <w:rsid w:val="4639036D"/>
    <w:rsid w:val="46395320"/>
    <w:rsid w:val="463A05A5"/>
    <w:rsid w:val="463A5557"/>
    <w:rsid w:val="4644686C"/>
    <w:rsid w:val="46460291"/>
    <w:rsid w:val="464A0A81"/>
    <w:rsid w:val="464F1E28"/>
    <w:rsid w:val="4662439C"/>
    <w:rsid w:val="46625A9D"/>
    <w:rsid w:val="4666004F"/>
    <w:rsid w:val="467873FB"/>
    <w:rsid w:val="46891645"/>
    <w:rsid w:val="469506DA"/>
    <w:rsid w:val="469B1818"/>
    <w:rsid w:val="469D0882"/>
    <w:rsid w:val="46A9385A"/>
    <w:rsid w:val="46C43C98"/>
    <w:rsid w:val="46CA4E0D"/>
    <w:rsid w:val="46CE3131"/>
    <w:rsid w:val="46DB7947"/>
    <w:rsid w:val="46E542E8"/>
    <w:rsid w:val="46F22A09"/>
    <w:rsid w:val="47040901"/>
    <w:rsid w:val="4709504A"/>
    <w:rsid w:val="470B23CA"/>
    <w:rsid w:val="471E70AB"/>
    <w:rsid w:val="471F573B"/>
    <w:rsid w:val="4727210E"/>
    <w:rsid w:val="472762D3"/>
    <w:rsid w:val="472B0748"/>
    <w:rsid w:val="472B2D63"/>
    <w:rsid w:val="47433D25"/>
    <w:rsid w:val="47454177"/>
    <w:rsid w:val="474F15D8"/>
    <w:rsid w:val="47521E8D"/>
    <w:rsid w:val="4754049B"/>
    <w:rsid w:val="47583095"/>
    <w:rsid w:val="475845FC"/>
    <w:rsid w:val="475E7C0D"/>
    <w:rsid w:val="476415D8"/>
    <w:rsid w:val="4768644E"/>
    <w:rsid w:val="47701558"/>
    <w:rsid w:val="477426A5"/>
    <w:rsid w:val="477779FF"/>
    <w:rsid w:val="477B49D4"/>
    <w:rsid w:val="47873BD6"/>
    <w:rsid w:val="47934980"/>
    <w:rsid w:val="47A56D2C"/>
    <w:rsid w:val="47B2336A"/>
    <w:rsid w:val="47BA4F6E"/>
    <w:rsid w:val="47C475D0"/>
    <w:rsid w:val="47C53A23"/>
    <w:rsid w:val="47C6198F"/>
    <w:rsid w:val="47D7366E"/>
    <w:rsid w:val="47E12DA0"/>
    <w:rsid w:val="486C3D94"/>
    <w:rsid w:val="487216E8"/>
    <w:rsid w:val="48773D46"/>
    <w:rsid w:val="487877F8"/>
    <w:rsid w:val="487E7587"/>
    <w:rsid w:val="4887459B"/>
    <w:rsid w:val="48A226AD"/>
    <w:rsid w:val="48B2699F"/>
    <w:rsid w:val="48B67D8D"/>
    <w:rsid w:val="48C260C0"/>
    <w:rsid w:val="48D26D9A"/>
    <w:rsid w:val="48DA7E13"/>
    <w:rsid w:val="4902628A"/>
    <w:rsid w:val="490B2882"/>
    <w:rsid w:val="49116A8B"/>
    <w:rsid w:val="4912008E"/>
    <w:rsid w:val="49134EAB"/>
    <w:rsid w:val="492412C0"/>
    <w:rsid w:val="49302BF1"/>
    <w:rsid w:val="494E7D53"/>
    <w:rsid w:val="49755E59"/>
    <w:rsid w:val="4988006D"/>
    <w:rsid w:val="498E0547"/>
    <w:rsid w:val="499646A6"/>
    <w:rsid w:val="499F4D25"/>
    <w:rsid w:val="49AC0AB2"/>
    <w:rsid w:val="49B26E0D"/>
    <w:rsid w:val="49B36FE4"/>
    <w:rsid w:val="49BB06FB"/>
    <w:rsid w:val="49BC2A68"/>
    <w:rsid w:val="49CE5884"/>
    <w:rsid w:val="49DD60C4"/>
    <w:rsid w:val="49E91D24"/>
    <w:rsid w:val="49EB7211"/>
    <w:rsid w:val="49F04BCB"/>
    <w:rsid w:val="49F17862"/>
    <w:rsid w:val="49FD451C"/>
    <w:rsid w:val="4A037F21"/>
    <w:rsid w:val="4A152F65"/>
    <w:rsid w:val="4A1A3486"/>
    <w:rsid w:val="4A3D4856"/>
    <w:rsid w:val="4A3E0914"/>
    <w:rsid w:val="4A3F1207"/>
    <w:rsid w:val="4A4200BE"/>
    <w:rsid w:val="4A4D4DB2"/>
    <w:rsid w:val="4A5527FC"/>
    <w:rsid w:val="4A57472F"/>
    <w:rsid w:val="4A6E0EB3"/>
    <w:rsid w:val="4A715E3D"/>
    <w:rsid w:val="4A9A1CA8"/>
    <w:rsid w:val="4AB72982"/>
    <w:rsid w:val="4AF42A0E"/>
    <w:rsid w:val="4AF64A04"/>
    <w:rsid w:val="4B17690E"/>
    <w:rsid w:val="4B1B2082"/>
    <w:rsid w:val="4B336491"/>
    <w:rsid w:val="4B60560D"/>
    <w:rsid w:val="4B630CDF"/>
    <w:rsid w:val="4B635F8B"/>
    <w:rsid w:val="4B643369"/>
    <w:rsid w:val="4B65032C"/>
    <w:rsid w:val="4B712A43"/>
    <w:rsid w:val="4B82202B"/>
    <w:rsid w:val="4B863FDA"/>
    <w:rsid w:val="4B97620C"/>
    <w:rsid w:val="4BA60D92"/>
    <w:rsid w:val="4BB56E75"/>
    <w:rsid w:val="4BBE1692"/>
    <w:rsid w:val="4BCA0C2B"/>
    <w:rsid w:val="4BCD1C09"/>
    <w:rsid w:val="4BD5655B"/>
    <w:rsid w:val="4BD65A7B"/>
    <w:rsid w:val="4BF43EA0"/>
    <w:rsid w:val="4C0B49E3"/>
    <w:rsid w:val="4C180EC0"/>
    <w:rsid w:val="4C2B4BD2"/>
    <w:rsid w:val="4C3E4345"/>
    <w:rsid w:val="4C40066C"/>
    <w:rsid w:val="4C4B6676"/>
    <w:rsid w:val="4C4D36BA"/>
    <w:rsid w:val="4C543AEB"/>
    <w:rsid w:val="4C696745"/>
    <w:rsid w:val="4C737423"/>
    <w:rsid w:val="4C792BE9"/>
    <w:rsid w:val="4C875B06"/>
    <w:rsid w:val="4C987A51"/>
    <w:rsid w:val="4C993ABE"/>
    <w:rsid w:val="4C9C4C72"/>
    <w:rsid w:val="4CA23144"/>
    <w:rsid w:val="4CAA2DCE"/>
    <w:rsid w:val="4CAD6AF7"/>
    <w:rsid w:val="4CB13E3B"/>
    <w:rsid w:val="4CB96EE9"/>
    <w:rsid w:val="4CD66C96"/>
    <w:rsid w:val="4CD859A2"/>
    <w:rsid w:val="4CDC4359"/>
    <w:rsid w:val="4CDC5A3B"/>
    <w:rsid w:val="4CDF0E5D"/>
    <w:rsid w:val="4CE376D5"/>
    <w:rsid w:val="4D0D3FCB"/>
    <w:rsid w:val="4D2A5D2C"/>
    <w:rsid w:val="4D2C67F8"/>
    <w:rsid w:val="4D31476E"/>
    <w:rsid w:val="4D3B1A90"/>
    <w:rsid w:val="4D416E20"/>
    <w:rsid w:val="4D547564"/>
    <w:rsid w:val="4D6C65CD"/>
    <w:rsid w:val="4D8217BA"/>
    <w:rsid w:val="4D9C1BB4"/>
    <w:rsid w:val="4DA43BF6"/>
    <w:rsid w:val="4DAA2DE6"/>
    <w:rsid w:val="4DC65A69"/>
    <w:rsid w:val="4DD038DE"/>
    <w:rsid w:val="4DDE4635"/>
    <w:rsid w:val="4DEF7E89"/>
    <w:rsid w:val="4DF4626D"/>
    <w:rsid w:val="4DFC20A2"/>
    <w:rsid w:val="4DFF1B97"/>
    <w:rsid w:val="4E01203E"/>
    <w:rsid w:val="4E020B1B"/>
    <w:rsid w:val="4E043535"/>
    <w:rsid w:val="4E1230F9"/>
    <w:rsid w:val="4E1362FB"/>
    <w:rsid w:val="4E211996"/>
    <w:rsid w:val="4E25360E"/>
    <w:rsid w:val="4E2719FC"/>
    <w:rsid w:val="4E41684D"/>
    <w:rsid w:val="4E5E12F1"/>
    <w:rsid w:val="4E62045F"/>
    <w:rsid w:val="4E731B38"/>
    <w:rsid w:val="4E783F31"/>
    <w:rsid w:val="4E881E17"/>
    <w:rsid w:val="4EAC689C"/>
    <w:rsid w:val="4EB25AA5"/>
    <w:rsid w:val="4ECC32FB"/>
    <w:rsid w:val="4EDD2691"/>
    <w:rsid w:val="4EF911E3"/>
    <w:rsid w:val="4EF94046"/>
    <w:rsid w:val="4F003827"/>
    <w:rsid w:val="4F0048E8"/>
    <w:rsid w:val="4F037C1C"/>
    <w:rsid w:val="4F0C760F"/>
    <w:rsid w:val="4F15188C"/>
    <w:rsid w:val="4F162F8C"/>
    <w:rsid w:val="4F255836"/>
    <w:rsid w:val="4F29165C"/>
    <w:rsid w:val="4F3C7E8D"/>
    <w:rsid w:val="4F3F24FD"/>
    <w:rsid w:val="4F4F67C3"/>
    <w:rsid w:val="4F542EE9"/>
    <w:rsid w:val="4F580453"/>
    <w:rsid w:val="4F602D94"/>
    <w:rsid w:val="4F647CAE"/>
    <w:rsid w:val="4F7F4759"/>
    <w:rsid w:val="4F85685A"/>
    <w:rsid w:val="4F883FE5"/>
    <w:rsid w:val="4F8A3560"/>
    <w:rsid w:val="4F8A6E9D"/>
    <w:rsid w:val="4FA00EA1"/>
    <w:rsid w:val="4FA703F4"/>
    <w:rsid w:val="4FA7410F"/>
    <w:rsid w:val="4FB10DBD"/>
    <w:rsid w:val="4FB1747E"/>
    <w:rsid w:val="4FBE30A4"/>
    <w:rsid w:val="4FD02150"/>
    <w:rsid w:val="4FD47514"/>
    <w:rsid w:val="4FDC31A9"/>
    <w:rsid w:val="4FE15CB0"/>
    <w:rsid w:val="4FE65959"/>
    <w:rsid w:val="4FF525AA"/>
    <w:rsid w:val="4FF63DCE"/>
    <w:rsid w:val="50096044"/>
    <w:rsid w:val="500A5543"/>
    <w:rsid w:val="501D01A2"/>
    <w:rsid w:val="501D19C7"/>
    <w:rsid w:val="50294D88"/>
    <w:rsid w:val="50372FFC"/>
    <w:rsid w:val="50381A05"/>
    <w:rsid w:val="504305E6"/>
    <w:rsid w:val="504C6018"/>
    <w:rsid w:val="50500C93"/>
    <w:rsid w:val="506E1264"/>
    <w:rsid w:val="508456FE"/>
    <w:rsid w:val="508B7406"/>
    <w:rsid w:val="509F73B0"/>
    <w:rsid w:val="50B26A6B"/>
    <w:rsid w:val="50C20F4E"/>
    <w:rsid w:val="50C51101"/>
    <w:rsid w:val="50CD4459"/>
    <w:rsid w:val="50D40C4B"/>
    <w:rsid w:val="50E46F54"/>
    <w:rsid w:val="50F27DC3"/>
    <w:rsid w:val="510E0858"/>
    <w:rsid w:val="510F5BEA"/>
    <w:rsid w:val="512978E2"/>
    <w:rsid w:val="512F07EA"/>
    <w:rsid w:val="5130002C"/>
    <w:rsid w:val="514054DD"/>
    <w:rsid w:val="5144267E"/>
    <w:rsid w:val="514D07CA"/>
    <w:rsid w:val="51604849"/>
    <w:rsid w:val="51747844"/>
    <w:rsid w:val="51777F08"/>
    <w:rsid w:val="51797862"/>
    <w:rsid w:val="51912DDA"/>
    <w:rsid w:val="51915487"/>
    <w:rsid w:val="519B7908"/>
    <w:rsid w:val="51AB47E1"/>
    <w:rsid w:val="51AD4828"/>
    <w:rsid w:val="51B047FE"/>
    <w:rsid w:val="51B204B9"/>
    <w:rsid w:val="51B56296"/>
    <w:rsid w:val="51BB3147"/>
    <w:rsid w:val="51C62CD8"/>
    <w:rsid w:val="51C72834"/>
    <w:rsid w:val="51E16066"/>
    <w:rsid w:val="51E74EF3"/>
    <w:rsid w:val="520C2961"/>
    <w:rsid w:val="522F500B"/>
    <w:rsid w:val="523852D6"/>
    <w:rsid w:val="523A7DCF"/>
    <w:rsid w:val="523E768F"/>
    <w:rsid w:val="5242577E"/>
    <w:rsid w:val="52530988"/>
    <w:rsid w:val="52631C79"/>
    <w:rsid w:val="527076ED"/>
    <w:rsid w:val="5278251C"/>
    <w:rsid w:val="52783884"/>
    <w:rsid w:val="52866565"/>
    <w:rsid w:val="529D66D8"/>
    <w:rsid w:val="52A5407B"/>
    <w:rsid w:val="52AC28BC"/>
    <w:rsid w:val="52B05067"/>
    <w:rsid w:val="52CC01AE"/>
    <w:rsid w:val="52CC23E6"/>
    <w:rsid w:val="52D05C12"/>
    <w:rsid w:val="52D7787C"/>
    <w:rsid w:val="52E07238"/>
    <w:rsid w:val="52EA11D5"/>
    <w:rsid w:val="52EF49AD"/>
    <w:rsid w:val="5329120F"/>
    <w:rsid w:val="536F68C7"/>
    <w:rsid w:val="537C1F2B"/>
    <w:rsid w:val="5382736B"/>
    <w:rsid w:val="539C09AC"/>
    <w:rsid w:val="539C6218"/>
    <w:rsid w:val="539D6771"/>
    <w:rsid w:val="539E491F"/>
    <w:rsid w:val="53B24EEA"/>
    <w:rsid w:val="53B97E84"/>
    <w:rsid w:val="53BF4F14"/>
    <w:rsid w:val="53C72845"/>
    <w:rsid w:val="53CA6414"/>
    <w:rsid w:val="53CC1436"/>
    <w:rsid w:val="53CD661E"/>
    <w:rsid w:val="53CF1DAE"/>
    <w:rsid w:val="53D00E36"/>
    <w:rsid w:val="53D31D47"/>
    <w:rsid w:val="53DD499C"/>
    <w:rsid w:val="53EF09CA"/>
    <w:rsid w:val="53F014B1"/>
    <w:rsid w:val="54057F46"/>
    <w:rsid w:val="5408182A"/>
    <w:rsid w:val="5411488E"/>
    <w:rsid w:val="54125F57"/>
    <w:rsid w:val="54187343"/>
    <w:rsid w:val="541C31AF"/>
    <w:rsid w:val="5420466B"/>
    <w:rsid w:val="5420540E"/>
    <w:rsid w:val="54280C0F"/>
    <w:rsid w:val="54317177"/>
    <w:rsid w:val="5433414C"/>
    <w:rsid w:val="54465F20"/>
    <w:rsid w:val="54497292"/>
    <w:rsid w:val="545D4199"/>
    <w:rsid w:val="54831B18"/>
    <w:rsid w:val="548F5C4F"/>
    <w:rsid w:val="54936AF0"/>
    <w:rsid w:val="549502FD"/>
    <w:rsid w:val="54AB09A6"/>
    <w:rsid w:val="54AF20D4"/>
    <w:rsid w:val="54B72A99"/>
    <w:rsid w:val="54BC49A0"/>
    <w:rsid w:val="54CC7AC8"/>
    <w:rsid w:val="54FE4EC4"/>
    <w:rsid w:val="55022976"/>
    <w:rsid w:val="551A2201"/>
    <w:rsid w:val="551C096F"/>
    <w:rsid w:val="55240097"/>
    <w:rsid w:val="552A0691"/>
    <w:rsid w:val="552C3D46"/>
    <w:rsid w:val="554D13EE"/>
    <w:rsid w:val="55651AA0"/>
    <w:rsid w:val="55797798"/>
    <w:rsid w:val="55854A5F"/>
    <w:rsid w:val="559341A6"/>
    <w:rsid w:val="5594298A"/>
    <w:rsid w:val="559F4616"/>
    <w:rsid w:val="55A0213D"/>
    <w:rsid w:val="55B17EA6"/>
    <w:rsid w:val="55C57ADE"/>
    <w:rsid w:val="55CE22F2"/>
    <w:rsid w:val="55F936EF"/>
    <w:rsid w:val="55FA0B36"/>
    <w:rsid w:val="56160365"/>
    <w:rsid w:val="561717F3"/>
    <w:rsid w:val="561E54E3"/>
    <w:rsid w:val="564D4072"/>
    <w:rsid w:val="566030D8"/>
    <w:rsid w:val="566539D0"/>
    <w:rsid w:val="566E6821"/>
    <w:rsid w:val="56812FF6"/>
    <w:rsid w:val="5697353F"/>
    <w:rsid w:val="569F32F8"/>
    <w:rsid w:val="56A8416C"/>
    <w:rsid w:val="56CA56C3"/>
    <w:rsid w:val="56DD5432"/>
    <w:rsid w:val="56DD747D"/>
    <w:rsid w:val="56EA5375"/>
    <w:rsid w:val="56EE039D"/>
    <w:rsid w:val="56F96728"/>
    <w:rsid w:val="571F273F"/>
    <w:rsid w:val="57224F31"/>
    <w:rsid w:val="572F7A73"/>
    <w:rsid w:val="5751212C"/>
    <w:rsid w:val="575B5634"/>
    <w:rsid w:val="575D464A"/>
    <w:rsid w:val="575D7EC0"/>
    <w:rsid w:val="576138FC"/>
    <w:rsid w:val="57621579"/>
    <w:rsid w:val="578736CD"/>
    <w:rsid w:val="578739BB"/>
    <w:rsid w:val="57893C0F"/>
    <w:rsid w:val="579601A7"/>
    <w:rsid w:val="5798256F"/>
    <w:rsid w:val="579840C7"/>
    <w:rsid w:val="57990C53"/>
    <w:rsid w:val="579B6A3A"/>
    <w:rsid w:val="57B95737"/>
    <w:rsid w:val="57C2221D"/>
    <w:rsid w:val="57C42129"/>
    <w:rsid w:val="57D52B76"/>
    <w:rsid w:val="57DC1CDA"/>
    <w:rsid w:val="57E1536E"/>
    <w:rsid w:val="57F23C5C"/>
    <w:rsid w:val="57F937DC"/>
    <w:rsid w:val="57FD673B"/>
    <w:rsid w:val="581224A2"/>
    <w:rsid w:val="58226EF1"/>
    <w:rsid w:val="583A7FA8"/>
    <w:rsid w:val="58440A79"/>
    <w:rsid w:val="58544955"/>
    <w:rsid w:val="58566AE7"/>
    <w:rsid w:val="585962B5"/>
    <w:rsid w:val="585F5B75"/>
    <w:rsid w:val="58615BB3"/>
    <w:rsid w:val="586A7801"/>
    <w:rsid w:val="587126D4"/>
    <w:rsid w:val="587A4269"/>
    <w:rsid w:val="588F43B7"/>
    <w:rsid w:val="589A5A5F"/>
    <w:rsid w:val="58B94375"/>
    <w:rsid w:val="58BA4A70"/>
    <w:rsid w:val="58DF11CE"/>
    <w:rsid w:val="58F537AF"/>
    <w:rsid w:val="58FD0793"/>
    <w:rsid w:val="5902444F"/>
    <w:rsid w:val="59043A09"/>
    <w:rsid w:val="591B5CBF"/>
    <w:rsid w:val="5927514C"/>
    <w:rsid w:val="592D7C37"/>
    <w:rsid w:val="594F610B"/>
    <w:rsid w:val="59600EE5"/>
    <w:rsid w:val="59634BDC"/>
    <w:rsid w:val="596D67DA"/>
    <w:rsid w:val="59766ED3"/>
    <w:rsid w:val="598A15DC"/>
    <w:rsid w:val="59941B20"/>
    <w:rsid w:val="599A4004"/>
    <w:rsid w:val="599B086D"/>
    <w:rsid w:val="59A10DD3"/>
    <w:rsid w:val="59B927ED"/>
    <w:rsid w:val="59BF5C8E"/>
    <w:rsid w:val="59C31511"/>
    <w:rsid w:val="59C50B91"/>
    <w:rsid w:val="59D43437"/>
    <w:rsid w:val="59D625D1"/>
    <w:rsid w:val="59D97EC2"/>
    <w:rsid w:val="59E27409"/>
    <w:rsid w:val="59E52BA1"/>
    <w:rsid w:val="59EB7343"/>
    <w:rsid w:val="59ED36DC"/>
    <w:rsid w:val="59F4376F"/>
    <w:rsid w:val="59FB5539"/>
    <w:rsid w:val="59FC781F"/>
    <w:rsid w:val="5A0724B1"/>
    <w:rsid w:val="5A3526A3"/>
    <w:rsid w:val="5A4A072C"/>
    <w:rsid w:val="5A4E41C1"/>
    <w:rsid w:val="5A6210CC"/>
    <w:rsid w:val="5A654D08"/>
    <w:rsid w:val="5A7348C9"/>
    <w:rsid w:val="5A7521D8"/>
    <w:rsid w:val="5A7E7218"/>
    <w:rsid w:val="5A7F4506"/>
    <w:rsid w:val="5A936069"/>
    <w:rsid w:val="5A961224"/>
    <w:rsid w:val="5A9725BE"/>
    <w:rsid w:val="5AC76508"/>
    <w:rsid w:val="5AD45AFB"/>
    <w:rsid w:val="5AD61113"/>
    <w:rsid w:val="5AF72A21"/>
    <w:rsid w:val="5AFC1624"/>
    <w:rsid w:val="5B095493"/>
    <w:rsid w:val="5B115BA8"/>
    <w:rsid w:val="5B235AE9"/>
    <w:rsid w:val="5B246A53"/>
    <w:rsid w:val="5B33382B"/>
    <w:rsid w:val="5B416E74"/>
    <w:rsid w:val="5B437EA2"/>
    <w:rsid w:val="5B534ED1"/>
    <w:rsid w:val="5B745D8C"/>
    <w:rsid w:val="5B750108"/>
    <w:rsid w:val="5B8859A0"/>
    <w:rsid w:val="5B886BD0"/>
    <w:rsid w:val="5B8E2674"/>
    <w:rsid w:val="5B8F6E7C"/>
    <w:rsid w:val="5B975D90"/>
    <w:rsid w:val="5B9932D2"/>
    <w:rsid w:val="5B9F7743"/>
    <w:rsid w:val="5BAC6AEC"/>
    <w:rsid w:val="5BB37628"/>
    <w:rsid w:val="5BB522B5"/>
    <w:rsid w:val="5BBA4618"/>
    <w:rsid w:val="5BC9548B"/>
    <w:rsid w:val="5BE16D34"/>
    <w:rsid w:val="5BF84DDB"/>
    <w:rsid w:val="5C036F81"/>
    <w:rsid w:val="5C111338"/>
    <w:rsid w:val="5C58107B"/>
    <w:rsid w:val="5C5D2B35"/>
    <w:rsid w:val="5C691941"/>
    <w:rsid w:val="5C6C44F3"/>
    <w:rsid w:val="5C7919DF"/>
    <w:rsid w:val="5C881C62"/>
    <w:rsid w:val="5C8B6E93"/>
    <w:rsid w:val="5C9038A6"/>
    <w:rsid w:val="5C9A78E6"/>
    <w:rsid w:val="5CB35D47"/>
    <w:rsid w:val="5CB50EF3"/>
    <w:rsid w:val="5CC85C68"/>
    <w:rsid w:val="5CDD7838"/>
    <w:rsid w:val="5CEC3A93"/>
    <w:rsid w:val="5CEF405D"/>
    <w:rsid w:val="5CF62188"/>
    <w:rsid w:val="5CFE5040"/>
    <w:rsid w:val="5D1341B2"/>
    <w:rsid w:val="5D1405A6"/>
    <w:rsid w:val="5D154AF0"/>
    <w:rsid w:val="5D251093"/>
    <w:rsid w:val="5D275A93"/>
    <w:rsid w:val="5D287B54"/>
    <w:rsid w:val="5D3047D1"/>
    <w:rsid w:val="5D483FF4"/>
    <w:rsid w:val="5D494018"/>
    <w:rsid w:val="5D6A7A02"/>
    <w:rsid w:val="5D6B14A2"/>
    <w:rsid w:val="5D816F8F"/>
    <w:rsid w:val="5D8A2AFF"/>
    <w:rsid w:val="5D9B0E6A"/>
    <w:rsid w:val="5D9E1AED"/>
    <w:rsid w:val="5D9E4E16"/>
    <w:rsid w:val="5DAF46CB"/>
    <w:rsid w:val="5DBA0135"/>
    <w:rsid w:val="5DCD5DE5"/>
    <w:rsid w:val="5DD437EF"/>
    <w:rsid w:val="5DF16302"/>
    <w:rsid w:val="5DFF4B46"/>
    <w:rsid w:val="5E20206C"/>
    <w:rsid w:val="5E384714"/>
    <w:rsid w:val="5E3B0A10"/>
    <w:rsid w:val="5E424B71"/>
    <w:rsid w:val="5E881A80"/>
    <w:rsid w:val="5E9200BF"/>
    <w:rsid w:val="5EA97545"/>
    <w:rsid w:val="5EAE75A4"/>
    <w:rsid w:val="5EB51AB3"/>
    <w:rsid w:val="5EC33621"/>
    <w:rsid w:val="5ECE5E6C"/>
    <w:rsid w:val="5ED13367"/>
    <w:rsid w:val="5EDE5813"/>
    <w:rsid w:val="5EE427C3"/>
    <w:rsid w:val="5EEF53E5"/>
    <w:rsid w:val="5EF05BA6"/>
    <w:rsid w:val="5EF31C67"/>
    <w:rsid w:val="5EF4004E"/>
    <w:rsid w:val="5EF76DC0"/>
    <w:rsid w:val="5EFA106E"/>
    <w:rsid w:val="5EFF06CD"/>
    <w:rsid w:val="5F010576"/>
    <w:rsid w:val="5F0251FA"/>
    <w:rsid w:val="5F0265AC"/>
    <w:rsid w:val="5F0E693E"/>
    <w:rsid w:val="5F4475AE"/>
    <w:rsid w:val="5F4A6799"/>
    <w:rsid w:val="5F6C2424"/>
    <w:rsid w:val="5F6E718C"/>
    <w:rsid w:val="5F946A7C"/>
    <w:rsid w:val="5F964E5F"/>
    <w:rsid w:val="5FBA79B0"/>
    <w:rsid w:val="5FC61813"/>
    <w:rsid w:val="5FD27396"/>
    <w:rsid w:val="5FD57CF6"/>
    <w:rsid w:val="5FDE7B88"/>
    <w:rsid w:val="5FF50EAD"/>
    <w:rsid w:val="5FFE6E0D"/>
    <w:rsid w:val="600676E3"/>
    <w:rsid w:val="601C5687"/>
    <w:rsid w:val="602219B8"/>
    <w:rsid w:val="602B7B91"/>
    <w:rsid w:val="60391C4C"/>
    <w:rsid w:val="603B021E"/>
    <w:rsid w:val="60524986"/>
    <w:rsid w:val="60584683"/>
    <w:rsid w:val="606F768E"/>
    <w:rsid w:val="6070328D"/>
    <w:rsid w:val="60733548"/>
    <w:rsid w:val="60741B68"/>
    <w:rsid w:val="6078526D"/>
    <w:rsid w:val="608D00E3"/>
    <w:rsid w:val="60957760"/>
    <w:rsid w:val="60992490"/>
    <w:rsid w:val="60A1419A"/>
    <w:rsid w:val="60A43A47"/>
    <w:rsid w:val="60A501AC"/>
    <w:rsid w:val="60A62CD1"/>
    <w:rsid w:val="60AB3CCD"/>
    <w:rsid w:val="60C15BBD"/>
    <w:rsid w:val="60C33C2B"/>
    <w:rsid w:val="60E97ACC"/>
    <w:rsid w:val="60F15F42"/>
    <w:rsid w:val="60F168D4"/>
    <w:rsid w:val="60F56FE3"/>
    <w:rsid w:val="61160E7E"/>
    <w:rsid w:val="61311E12"/>
    <w:rsid w:val="61412723"/>
    <w:rsid w:val="61637659"/>
    <w:rsid w:val="617C570B"/>
    <w:rsid w:val="61853804"/>
    <w:rsid w:val="618C0568"/>
    <w:rsid w:val="619B53CA"/>
    <w:rsid w:val="61A56DFA"/>
    <w:rsid w:val="61BB4BC5"/>
    <w:rsid w:val="61E77B08"/>
    <w:rsid w:val="61EB5F1D"/>
    <w:rsid w:val="61F2797D"/>
    <w:rsid w:val="61FC1ECB"/>
    <w:rsid w:val="62095D9E"/>
    <w:rsid w:val="621355E2"/>
    <w:rsid w:val="621B5631"/>
    <w:rsid w:val="62455E7F"/>
    <w:rsid w:val="624C125B"/>
    <w:rsid w:val="62612D73"/>
    <w:rsid w:val="626D1DCC"/>
    <w:rsid w:val="626D5F91"/>
    <w:rsid w:val="62787EEC"/>
    <w:rsid w:val="627E7D9D"/>
    <w:rsid w:val="628407FE"/>
    <w:rsid w:val="62880405"/>
    <w:rsid w:val="629073C4"/>
    <w:rsid w:val="62996318"/>
    <w:rsid w:val="62AA45FB"/>
    <w:rsid w:val="62AA6D2C"/>
    <w:rsid w:val="62B0179B"/>
    <w:rsid w:val="62CC094F"/>
    <w:rsid w:val="62D201FC"/>
    <w:rsid w:val="62F12CA6"/>
    <w:rsid w:val="62FB45CD"/>
    <w:rsid w:val="630334E9"/>
    <w:rsid w:val="631B72A6"/>
    <w:rsid w:val="63242B23"/>
    <w:rsid w:val="632D038D"/>
    <w:rsid w:val="63453DEB"/>
    <w:rsid w:val="63511C8D"/>
    <w:rsid w:val="635C73A1"/>
    <w:rsid w:val="63641914"/>
    <w:rsid w:val="63743838"/>
    <w:rsid w:val="637455EF"/>
    <w:rsid w:val="637509AF"/>
    <w:rsid w:val="638730C9"/>
    <w:rsid w:val="63A23228"/>
    <w:rsid w:val="63AB5D44"/>
    <w:rsid w:val="63AC528F"/>
    <w:rsid w:val="63B04CF8"/>
    <w:rsid w:val="63BA7188"/>
    <w:rsid w:val="63BF796E"/>
    <w:rsid w:val="63C8241B"/>
    <w:rsid w:val="63DF59C2"/>
    <w:rsid w:val="63E6136F"/>
    <w:rsid w:val="63EA625B"/>
    <w:rsid w:val="63EF5D9F"/>
    <w:rsid w:val="63FC6F31"/>
    <w:rsid w:val="642E4F72"/>
    <w:rsid w:val="64385E65"/>
    <w:rsid w:val="64405FB0"/>
    <w:rsid w:val="64497199"/>
    <w:rsid w:val="644B3B98"/>
    <w:rsid w:val="646469D4"/>
    <w:rsid w:val="647A419D"/>
    <w:rsid w:val="64846083"/>
    <w:rsid w:val="64851089"/>
    <w:rsid w:val="648C0E64"/>
    <w:rsid w:val="649445F6"/>
    <w:rsid w:val="64983CC9"/>
    <w:rsid w:val="64B109D5"/>
    <w:rsid w:val="64CB617B"/>
    <w:rsid w:val="64E43E7F"/>
    <w:rsid w:val="64EC2CA8"/>
    <w:rsid w:val="64FE5C71"/>
    <w:rsid w:val="65007BC5"/>
    <w:rsid w:val="650E58CD"/>
    <w:rsid w:val="65107E36"/>
    <w:rsid w:val="65183A9D"/>
    <w:rsid w:val="65354E1B"/>
    <w:rsid w:val="654E476E"/>
    <w:rsid w:val="65631B13"/>
    <w:rsid w:val="657B11CD"/>
    <w:rsid w:val="658A6BCD"/>
    <w:rsid w:val="659D0782"/>
    <w:rsid w:val="659D7C90"/>
    <w:rsid w:val="65A74CE3"/>
    <w:rsid w:val="65B07F96"/>
    <w:rsid w:val="65D04EEB"/>
    <w:rsid w:val="65D424B9"/>
    <w:rsid w:val="65DB6E4D"/>
    <w:rsid w:val="65F334C9"/>
    <w:rsid w:val="66001BA4"/>
    <w:rsid w:val="66025947"/>
    <w:rsid w:val="662303C6"/>
    <w:rsid w:val="662C6373"/>
    <w:rsid w:val="663C583B"/>
    <w:rsid w:val="663C7469"/>
    <w:rsid w:val="664D3C1B"/>
    <w:rsid w:val="66690859"/>
    <w:rsid w:val="666D1D58"/>
    <w:rsid w:val="667747F4"/>
    <w:rsid w:val="66A54030"/>
    <w:rsid w:val="66A71014"/>
    <w:rsid w:val="66B8269C"/>
    <w:rsid w:val="66DA6749"/>
    <w:rsid w:val="66F57243"/>
    <w:rsid w:val="671D46C8"/>
    <w:rsid w:val="671F22A3"/>
    <w:rsid w:val="67291A35"/>
    <w:rsid w:val="673669FF"/>
    <w:rsid w:val="67393CB7"/>
    <w:rsid w:val="673C6439"/>
    <w:rsid w:val="67406A12"/>
    <w:rsid w:val="676166A9"/>
    <w:rsid w:val="67624FF0"/>
    <w:rsid w:val="676A0B2B"/>
    <w:rsid w:val="676C3006"/>
    <w:rsid w:val="67827A7F"/>
    <w:rsid w:val="679C2007"/>
    <w:rsid w:val="67A667D3"/>
    <w:rsid w:val="67A74C82"/>
    <w:rsid w:val="67A95111"/>
    <w:rsid w:val="67B845F6"/>
    <w:rsid w:val="67C365BF"/>
    <w:rsid w:val="67D8341E"/>
    <w:rsid w:val="67E46FF5"/>
    <w:rsid w:val="67EB2D8A"/>
    <w:rsid w:val="67ED6C16"/>
    <w:rsid w:val="680A6C82"/>
    <w:rsid w:val="6824034C"/>
    <w:rsid w:val="68340E40"/>
    <w:rsid w:val="683A1C4F"/>
    <w:rsid w:val="683E3347"/>
    <w:rsid w:val="685E57CE"/>
    <w:rsid w:val="685F4AA0"/>
    <w:rsid w:val="68623D3F"/>
    <w:rsid w:val="68637725"/>
    <w:rsid w:val="68690D12"/>
    <w:rsid w:val="686920FE"/>
    <w:rsid w:val="686A7C53"/>
    <w:rsid w:val="686C7E0A"/>
    <w:rsid w:val="68757042"/>
    <w:rsid w:val="687D6111"/>
    <w:rsid w:val="6886166B"/>
    <w:rsid w:val="688C683F"/>
    <w:rsid w:val="68954A3C"/>
    <w:rsid w:val="689B0DF8"/>
    <w:rsid w:val="689E21E1"/>
    <w:rsid w:val="68B5096E"/>
    <w:rsid w:val="68C31F72"/>
    <w:rsid w:val="68CA16AC"/>
    <w:rsid w:val="68CC10BC"/>
    <w:rsid w:val="68CC52CB"/>
    <w:rsid w:val="68F44B09"/>
    <w:rsid w:val="68FA1B9A"/>
    <w:rsid w:val="691555DA"/>
    <w:rsid w:val="694A5AE0"/>
    <w:rsid w:val="694E046E"/>
    <w:rsid w:val="696279DD"/>
    <w:rsid w:val="69652D27"/>
    <w:rsid w:val="696F21D5"/>
    <w:rsid w:val="696F6B93"/>
    <w:rsid w:val="697269FC"/>
    <w:rsid w:val="697A0C4A"/>
    <w:rsid w:val="698E5CD2"/>
    <w:rsid w:val="69952A0C"/>
    <w:rsid w:val="699A1218"/>
    <w:rsid w:val="699B4BDB"/>
    <w:rsid w:val="69A51678"/>
    <w:rsid w:val="69BB329B"/>
    <w:rsid w:val="69BD4C61"/>
    <w:rsid w:val="69C06D04"/>
    <w:rsid w:val="69C14B59"/>
    <w:rsid w:val="69C229DF"/>
    <w:rsid w:val="69E623BC"/>
    <w:rsid w:val="69E629F3"/>
    <w:rsid w:val="69F5057B"/>
    <w:rsid w:val="69FC56C6"/>
    <w:rsid w:val="69FD3B6F"/>
    <w:rsid w:val="6A0065EF"/>
    <w:rsid w:val="6A0B281D"/>
    <w:rsid w:val="6A171637"/>
    <w:rsid w:val="6A1F1C32"/>
    <w:rsid w:val="6A2259D9"/>
    <w:rsid w:val="6A2C41C6"/>
    <w:rsid w:val="6A5062E2"/>
    <w:rsid w:val="6A5064B5"/>
    <w:rsid w:val="6A5D0E85"/>
    <w:rsid w:val="6A616283"/>
    <w:rsid w:val="6A641407"/>
    <w:rsid w:val="6A656882"/>
    <w:rsid w:val="6A8B60FB"/>
    <w:rsid w:val="6A8E035E"/>
    <w:rsid w:val="6A9674BF"/>
    <w:rsid w:val="6A9A37E0"/>
    <w:rsid w:val="6AA604CA"/>
    <w:rsid w:val="6AB67B97"/>
    <w:rsid w:val="6ADB41F3"/>
    <w:rsid w:val="6AFB4F4A"/>
    <w:rsid w:val="6AFC5C0F"/>
    <w:rsid w:val="6B12444F"/>
    <w:rsid w:val="6B2A12A7"/>
    <w:rsid w:val="6B2F1B41"/>
    <w:rsid w:val="6B301415"/>
    <w:rsid w:val="6B405AFC"/>
    <w:rsid w:val="6B4533C9"/>
    <w:rsid w:val="6B5C39DF"/>
    <w:rsid w:val="6B5E11EE"/>
    <w:rsid w:val="6B611EB1"/>
    <w:rsid w:val="6B643240"/>
    <w:rsid w:val="6B70119D"/>
    <w:rsid w:val="6B8C2AEF"/>
    <w:rsid w:val="6B961766"/>
    <w:rsid w:val="6BC8334A"/>
    <w:rsid w:val="6BD47294"/>
    <w:rsid w:val="6BD61A98"/>
    <w:rsid w:val="6BEA2426"/>
    <w:rsid w:val="6BF77F96"/>
    <w:rsid w:val="6BFE19E1"/>
    <w:rsid w:val="6C050A47"/>
    <w:rsid w:val="6C07486C"/>
    <w:rsid w:val="6C0B1A74"/>
    <w:rsid w:val="6C16659B"/>
    <w:rsid w:val="6C19105E"/>
    <w:rsid w:val="6C27235B"/>
    <w:rsid w:val="6C3342D8"/>
    <w:rsid w:val="6C394A8B"/>
    <w:rsid w:val="6C420156"/>
    <w:rsid w:val="6C4A4519"/>
    <w:rsid w:val="6C5142B7"/>
    <w:rsid w:val="6C554E54"/>
    <w:rsid w:val="6C5F4E8C"/>
    <w:rsid w:val="6C622720"/>
    <w:rsid w:val="6C7457E7"/>
    <w:rsid w:val="6C7D6E82"/>
    <w:rsid w:val="6C8311C3"/>
    <w:rsid w:val="6C8C5C8D"/>
    <w:rsid w:val="6C8E2897"/>
    <w:rsid w:val="6C924BA3"/>
    <w:rsid w:val="6CA5691E"/>
    <w:rsid w:val="6CA67251"/>
    <w:rsid w:val="6CB56076"/>
    <w:rsid w:val="6CC96475"/>
    <w:rsid w:val="6CD14E74"/>
    <w:rsid w:val="6CFC1EEB"/>
    <w:rsid w:val="6CFD2D93"/>
    <w:rsid w:val="6D06067F"/>
    <w:rsid w:val="6D0B5F7A"/>
    <w:rsid w:val="6D1B3C07"/>
    <w:rsid w:val="6D290842"/>
    <w:rsid w:val="6D334FAA"/>
    <w:rsid w:val="6D3B2F57"/>
    <w:rsid w:val="6D3C3588"/>
    <w:rsid w:val="6D614E24"/>
    <w:rsid w:val="6D680792"/>
    <w:rsid w:val="6DAB0FE0"/>
    <w:rsid w:val="6DB427D1"/>
    <w:rsid w:val="6DB7283B"/>
    <w:rsid w:val="6DBD7A7F"/>
    <w:rsid w:val="6DD30EA9"/>
    <w:rsid w:val="6DDC646C"/>
    <w:rsid w:val="6DEE7FF8"/>
    <w:rsid w:val="6DFA5DCC"/>
    <w:rsid w:val="6E0B6604"/>
    <w:rsid w:val="6E1E5CB1"/>
    <w:rsid w:val="6E360871"/>
    <w:rsid w:val="6E51496A"/>
    <w:rsid w:val="6E661CC1"/>
    <w:rsid w:val="6E713F3E"/>
    <w:rsid w:val="6E8555D0"/>
    <w:rsid w:val="6E876629"/>
    <w:rsid w:val="6E893B3A"/>
    <w:rsid w:val="6EA02DB6"/>
    <w:rsid w:val="6EB02F99"/>
    <w:rsid w:val="6ECE043D"/>
    <w:rsid w:val="6EDA7020"/>
    <w:rsid w:val="6EDF1C43"/>
    <w:rsid w:val="6F08338C"/>
    <w:rsid w:val="6F0E6B0E"/>
    <w:rsid w:val="6F492FDA"/>
    <w:rsid w:val="6F561A7D"/>
    <w:rsid w:val="6F6005AE"/>
    <w:rsid w:val="6F793301"/>
    <w:rsid w:val="6F843849"/>
    <w:rsid w:val="6FA629B9"/>
    <w:rsid w:val="6FB41CDF"/>
    <w:rsid w:val="6FE52B7F"/>
    <w:rsid w:val="6FE81560"/>
    <w:rsid w:val="6FE832DA"/>
    <w:rsid w:val="70047746"/>
    <w:rsid w:val="70090C45"/>
    <w:rsid w:val="701B22C2"/>
    <w:rsid w:val="704A18A5"/>
    <w:rsid w:val="70535193"/>
    <w:rsid w:val="705353D7"/>
    <w:rsid w:val="70595CFD"/>
    <w:rsid w:val="70731CBA"/>
    <w:rsid w:val="70761500"/>
    <w:rsid w:val="70AB2A5F"/>
    <w:rsid w:val="70AC08A3"/>
    <w:rsid w:val="70BB3FEA"/>
    <w:rsid w:val="70C40F6B"/>
    <w:rsid w:val="70CA1D71"/>
    <w:rsid w:val="70CD22E2"/>
    <w:rsid w:val="70E36810"/>
    <w:rsid w:val="70E43FFB"/>
    <w:rsid w:val="70E72450"/>
    <w:rsid w:val="70E909E4"/>
    <w:rsid w:val="70F27898"/>
    <w:rsid w:val="70FF2B52"/>
    <w:rsid w:val="70FF5135"/>
    <w:rsid w:val="71053071"/>
    <w:rsid w:val="710C10F0"/>
    <w:rsid w:val="710C4547"/>
    <w:rsid w:val="71146B3B"/>
    <w:rsid w:val="711E1A75"/>
    <w:rsid w:val="7128341B"/>
    <w:rsid w:val="713B6FC5"/>
    <w:rsid w:val="71530C93"/>
    <w:rsid w:val="71573ACB"/>
    <w:rsid w:val="715E5257"/>
    <w:rsid w:val="718176C8"/>
    <w:rsid w:val="718A6573"/>
    <w:rsid w:val="719C7804"/>
    <w:rsid w:val="71A315DF"/>
    <w:rsid w:val="71A416C3"/>
    <w:rsid w:val="71B8661B"/>
    <w:rsid w:val="71BB1264"/>
    <w:rsid w:val="71C14470"/>
    <w:rsid w:val="71C2123E"/>
    <w:rsid w:val="71D8375D"/>
    <w:rsid w:val="71DD01AD"/>
    <w:rsid w:val="71DD241B"/>
    <w:rsid w:val="71E01DDD"/>
    <w:rsid w:val="71E224FF"/>
    <w:rsid w:val="71F2621E"/>
    <w:rsid w:val="71F70091"/>
    <w:rsid w:val="722F679F"/>
    <w:rsid w:val="723A2626"/>
    <w:rsid w:val="723D68AF"/>
    <w:rsid w:val="724721AC"/>
    <w:rsid w:val="724E3C2C"/>
    <w:rsid w:val="72513DDF"/>
    <w:rsid w:val="72705108"/>
    <w:rsid w:val="727B38BE"/>
    <w:rsid w:val="729452D5"/>
    <w:rsid w:val="72B739A4"/>
    <w:rsid w:val="72EF0DCC"/>
    <w:rsid w:val="72F657B0"/>
    <w:rsid w:val="72FC409A"/>
    <w:rsid w:val="73032FC0"/>
    <w:rsid w:val="73054AAE"/>
    <w:rsid w:val="730F48D7"/>
    <w:rsid w:val="73253B84"/>
    <w:rsid w:val="73345810"/>
    <w:rsid w:val="733D0BED"/>
    <w:rsid w:val="734F4226"/>
    <w:rsid w:val="735321EF"/>
    <w:rsid w:val="73613DC2"/>
    <w:rsid w:val="73626265"/>
    <w:rsid w:val="738707F8"/>
    <w:rsid w:val="738754CA"/>
    <w:rsid w:val="738B6F89"/>
    <w:rsid w:val="739D3646"/>
    <w:rsid w:val="73AF1CC4"/>
    <w:rsid w:val="73B05913"/>
    <w:rsid w:val="73B24691"/>
    <w:rsid w:val="73C056D8"/>
    <w:rsid w:val="73C83268"/>
    <w:rsid w:val="73CB6AC4"/>
    <w:rsid w:val="73ED1A3A"/>
    <w:rsid w:val="73F05696"/>
    <w:rsid w:val="73F50B6F"/>
    <w:rsid w:val="74024213"/>
    <w:rsid w:val="74042527"/>
    <w:rsid w:val="740A4B39"/>
    <w:rsid w:val="74146799"/>
    <w:rsid w:val="741A1B16"/>
    <w:rsid w:val="741B3D04"/>
    <w:rsid w:val="741E67C6"/>
    <w:rsid w:val="742C5E27"/>
    <w:rsid w:val="7445283F"/>
    <w:rsid w:val="74551D23"/>
    <w:rsid w:val="745D7B18"/>
    <w:rsid w:val="745F299C"/>
    <w:rsid w:val="746915C4"/>
    <w:rsid w:val="746F1484"/>
    <w:rsid w:val="749F692E"/>
    <w:rsid w:val="74A14CC6"/>
    <w:rsid w:val="74B50BE4"/>
    <w:rsid w:val="74B800CA"/>
    <w:rsid w:val="74F55B27"/>
    <w:rsid w:val="74FC0CE6"/>
    <w:rsid w:val="752968DA"/>
    <w:rsid w:val="753D165B"/>
    <w:rsid w:val="75511543"/>
    <w:rsid w:val="75600E6A"/>
    <w:rsid w:val="756B2471"/>
    <w:rsid w:val="756B33ED"/>
    <w:rsid w:val="75726F76"/>
    <w:rsid w:val="75760D96"/>
    <w:rsid w:val="75875B4C"/>
    <w:rsid w:val="758D6086"/>
    <w:rsid w:val="758F1A33"/>
    <w:rsid w:val="75B04FED"/>
    <w:rsid w:val="75B94E29"/>
    <w:rsid w:val="75C13CDD"/>
    <w:rsid w:val="75CA4A2D"/>
    <w:rsid w:val="75E05B69"/>
    <w:rsid w:val="75E55443"/>
    <w:rsid w:val="75F8009A"/>
    <w:rsid w:val="760161F4"/>
    <w:rsid w:val="7614205F"/>
    <w:rsid w:val="761941D4"/>
    <w:rsid w:val="761D64FD"/>
    <w:rsid w:val="763A3819"/>
    <w:rsid w:val="76434DFC"/>
    <w:rsid w:val="76471DE8"/>
    <w:rsid w:val="764C1D57"/>
    <w:rsid w:val="76694A23"/>
    <w:rsid w:val="766C59F7"/>
    <w:rsid w:val="76700FC9"/>
    <w:rsid w:val="76701D3D"/>
    <w:rsid w:val="76935753"/>
    <w:rsid w:val="76951140"/>
    <w:rsid w:val="76974BD9"/>
    <w:rsid w:val="76977026"/>
    <w:rsid w:val="76A70C95"/>
    <w:rsid w:val="76A93CE9"/>
    <w:rsid w:val="76C03F95"/>
    <w:rsid w:val="76D15D09"/>
    <w:rsid w:val="76EB626F"/>
    <w:rsid w:val="76F57B1F"/>
    <w:rsid w:val="770E1875"/>
    <w:rsid w:val="771349E5"/>
    <w:rsid w:val="7714635C"/>
    <w:rsid w:val="771C30FA"/>
    <w:rsid w:val="77206134"/>
    <w:rsid w:val="77252166"/>
    <w:rsid w:val="772F3A61"/>
    <w:rsid w:val="77336738"/>
    <w:rsid w:val="773553A7"/>
    <w:rsid w:val="77524A58"/>
    <w:rsid w:val="77580A66"/>
    <w:rsid w:val="77692418"/>
    <w:rsid w:val="777D20D6"/>
    <w:rsid w:val="778D01FE"/>
    <w:rsid w:val="77A3436B"/>
    <w:rsid w:val="77B265EF"/>
    <w:rsid w:val="77B8295F"/>
    <w:rsid w:val="77B86288"/>
    <w:rsid w:val="77DD5D14"/>
    <w:rsid w:val="77F437B1"/>
    <w:rsid w:val="77F85931"/>
    <w:rsid w:val="780738D1"/>
    <w:rsid w:val="782226C6"/>
    <w:rsid w:val="78263974"/>
    <w:rsid w:val="783D4AFF"/>
    <w:rsid w:val="784D30F3"/>
    <w:rsid w:val="785031C4"/>
    <w:rsid w:val="78693C27"/>
    <w:rsid w:val="788A2C6A"/>
    <w:rsid w:val="789C1B98"/>
    <w:rsid w:val="78AD0D21"/>
    <w:rsid w:val="78B73B4F"/>
    <w:rsid w:val="78B934ED"/>
    <w:rsid w:val="78C37C8A"/>
    <w:rsid w:val="78DE2D7C"/>
    <w:rsid w:val="790744FA"/>
    <w:rsid w:val="7922596C"/>
    <w:rsid w:val="792F01A6"/>
    <w:rsid w:val="79382965"/>
    <w:rsid w:val="793B3189"/>
    <w:rsid w:val="794C1894"/>
    <w:rsid w:val="795161CA"/>
    <w:rsid w:val="79665BDF"/>
    <w:rsid w:val="79820F11"/>
    <w:rsid w:val="79981173"/>
    <w:rsid w:val="799E6545"/>
    <w:rsid w:val="799F228B"/>
    <w:rsid w:val="79A81252"/>
    <w:rsid w:val="79AC037E"/>
    <w:rsid w:val="79B4594A"/>
    <w:rsid w:val="79B978EA"/>
    <w:rsid w:val="79BC708D"/>
    <w:rsid w:val="79D77FF8"/>
    <w:rsid w:val="79DF4732"/>
    <w:rsid w:val="79EB1C7D"/>
    <w:rsid w:val="79FB1EE7"/>
    <w:rsid w:val="7A0349BA"/>
    <w:rsid w:val="7A146AD1"/>
    <w:rsid w:val="7A1B476E"/>
    <w:rsid w:val="7A2A5E86"/>
    <w:rsid w:val="7A3C3FD7"/>
    <w:rsid w:val="7A50702E"/>
    <w:rsid w:val="7A752301"/>
    <w:rsid w:val="7A8552D9"/>
    <w:rsid w:val="7A9722EA"/>
    <w:rsid w:val="7A99237D"/>
    <w:rsid w:val="7AA274F5"/>
    <w:rsid w:val="7AAD4830"/>
    <w:rsid w:val="7AB14807"/>
    <w:rsid w:val="7AE3462E"/>
    <w:rsid w:val="7AE959CB"/>
    <w:rsid w:val="7AEE2741"/>
    <w:rsid w:val="7AF27BF0"/>
    <w:rsid w:val="7AFC6FE5"/>
    <w:rsid w:val="7B095F0A"/>
    <w:rsid w:val="7B124498"/>
    <w:rsid w:val="7B13662A"/>
    <w:rsid w:val="7B1A6AB5"/>
    <w:rsid w:val="7B327BB5"/>
    <w:rsid w:val="7B33563C"/>
    <w:rsid w:val="7B4C0E94"/>
    <w:rsid w:val="7B5737ED"/>
    <w:rsid w:val="7B590B8D"/>
    <w:rsid w:val="7B594633"/>
    <w:rsid w:val="7B763FD0"/>
    <w:rsid w:val="7B8D6D12"/>
    <w:rsid w:val="7B8F2DE3"/>
    <w:rsid w:val="7B9147B3"/>
    <w:rsid w:val="7BAC1017"/>
    <w:rsid w:val="7BAD61AB"/>
    <w:rsid w:val="7BC5015F"/>
    <w:rsid w:val="7BDB40C8"/>
    <w:rsid w:val="7BE54EB8"/>
    <w:rsid w:val="7BFC639E"/>
    <w:rsid w:val="7C052E28"/>
    <w:rsid w:val="7C0663D3"/>
    <w:rsid w:val="7C067B78"/>
    <w:rsid w:val="7C075B78"/>
    <w:rsid w:val="7C08260A"/>
    <w:rsid w:val="7C1060A4"/>
    <w:rsid w:val="7C212B16"/>
    <w:rsid w:val="7C344D27"/>
    <w:rsid w:val="7C6034EF"/>
    <w:rsid w:val="7C6F0028"/>
    <w:rsid w:val="7C713B95"/>
    <w:rsid w:val="7C8F3841"/>
    <w:rsid w:val="7C927737"/>
    <w:rsid w:val="7C970076"/>
    <w:rsid w:val="7C991510"/>
    <w:rsid w:val="7CAB244D"/>
    <w:rsid w:val="7CB14283"/>
    <w:rsid w:val="7CC1754B"/>
    <w:rsid w:val="7CDD49A2"/>
    <w:rsid w:val="7CE055BA"/>
    <w:rsid w:val="7CFC1051"/>
    <w:rsid w:val="7D0304AC"/>
    <w:rsid w:val="7D135803"/>
    <w:rsid w:val="7D15058B"/>
    <w:rsid w:val="7D157DA1"/>
    <w:rsid w:val="7D213138"/>
    <w:rsid w:val="7D222D25"/>
    <w:rsid w:val="7D2406DD"/>
    <w:rsid w:val="7D2521B2"/>
    <w:rsid w:val="7D317598"/>
    <w:rsid w:val="7D3230DC"/>
    <w:rsid w:val="7D3F5A81"/>
    <w:rsid w:val="7D417612"/>
    <w:rsid w:val="7D436814"/>
    <w:rsid w:val="7D4C20DE"/>
    <w:rsid w:val="7D4D08D5"/>
    <w:rsid w:val="7D551F58"/>
    <w:rsid w:val="7D601119"/>
    <w:rsid w:val="7D676FBC"/>
    <w:rsid w:val="7D697BD3"/>
    <w:rsid w:val="7D6A282B"/>
    <w:rsid w:val="7D6B7FF7"/>
    <w:rsid w:val="7D7F5DD6"/>
    <w:rsid w:val="7DB97E53"/>
    <w:rsid w:val="7DCD17E7"/>
    <w:rsid w:val="7DCF14E3"/>
    <w:rsid w:val="7DD47173"/>
    <w:rsid w:val="7DF01BEF"/>
    <w:rsid w:val="7DF04831"/>
    <w:rsid w:val="7DF22A1C"/>
    <w:rsid w:val="7E0E1134"/>
    <w:rsid w:val="7E102EA3"/>
    <w:rsid w:val="7E282CD5"/>
    <w:rsid w:val="7E2A37DA"/>
    <w:rsid w:val="7E3672A9"/>
    <w:rsid w:val="7E4618EE"/>
    <w:rsid w:val="7E47133D"/>
    <w:rsid w:val="7E49452F"/>
    <w:rsid w:val="7E577B57"/>
    <w:rsid w:val="7E5A03C7"/>
    <w:rsid w:val="7E7A400D"/>
    <w:rsid w:val="7E834226"/>
    <w:rsid w:val="7E872237"/>
    <w:rsid w:val="7E873820"/>
    <w:rsid w:val="7E8C3F75"/>
    <w:rsid w:val="7E9832EF"/>
    <w:rsid w:val="7EA36676"/>
    <w:rsid w:val="7EA80241"/>
    <w:rsid w:val="7EAB6E1B"/>
    <w:rsid w:val="7ED378A3"/>
    <w:rsid w:val="7ED76DD4"/>
    <w:rsid w:val="7EE354CD"/>
    <w:rsid w:val="7EFD24F6"/>
    <w:rsid w:val="7F06366D"/>
    <w:rsid w:val="7F13011A"/>
    <w:rsid w:val="7F3814A3"/>
    <w:rsid w:val="7F4A08A0"/>
    <w:rsid w:val="7F536596"/>
    <w:rsid w:val="7F5456A0"/>
    <w:rsid w:val="7F5C0130"/>
    <w:rsid w:val="7F6F3664"/>
    <w:rsid w:val="7F79289E"/>
    <w:rsid w:val="7F880FE3"/>
    <w:rsid w:val="7F8F1F7C"/>
    <w:rsid w:val="7FA8445B"/>
    <w:rsid w:val="7FAB7D12"/>
    <w:rsid w:val="7FCA114D"/>
    <w:rsid w:val="7FD338C7"/>
    <w:rsid w:val="7FD422E4"/>
    <w:rsid w:val="7FEA0101"/>
    <w:rsid w:val="7FF157B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iPriority="99"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5"/>
    <w:qFormat/>
    <w:uiPriority w:val="9"/>
    <w:pPr>
      <w:keepNext/>
      <w:keepLines/>
      <w:numPr>
        <w:ilvl w:val="0"/>
        <w:numId w:val="1"/>
      </w:numPr>
      <w:spacing w:before="340" w:after="330" w:line="578" w:lineRule="auto"/>
      <w:jc w:val="center"/>
      <w:outlineLvl w:val="0"/>
    </w:pPr>
    <w:rPr>
      <w:b/>
      <w:bCs/>
      <w:kern w:val="44"/>
      <w:sz w:val="32"/>
      <w:szCs w:val="44"/>
    </w:rPr>
  </w:style>
  <w:style w:type="paragraph" w:styleId="4">
    <w:name w:val="heading 2"/>
    <w:basedOn w:val="1"/>
    <w:next w:val="1"/>
    <w:link w:val="56"/>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5">
    <w:name w:val="heading 3"/>
    <w:basedOn w:val="1"/>
    <w:next w:val="1"/>
    <w:link w:val="57"/>
    <w:qFormat/>
    <w:uiPriority w:val="9"/>
    <w:pPr>
      <w:keepNext/>
      <w:keepLines/>
      <w:numPr>
        <w:ilvl w:val="2"/>
        <w:numId w:val="1"/>
      </w:numPr>
      <w:spacing w:before="260" w:after="260" w:line="416" w:lineRule="auto"/>
      <w:outlineLvl w:val="2"/>
    </w:pPr>
    <w:rPr>
      <w:b/>
      <w:bCs/>
      <w:sz w:val="32"/>
      <w:szCs w:val="32"/>
    </w:rPr>
  </w:style>
  <w:style w:type="paragraph" w:styleId="6">
    <w:name w:val="heading 4"/>
    <w:basedOn w:val="1"/>
    <w:next w:val="1"/>
    <w:link w:val="58"/>
    <w:qFormat/>
    <w:uiPriority w:val="9"/>
    <w:pPr>
      <w:keepNext/>
      <w:keepLines/>
      <w:numPr>
        <w:ilvl w:val="3"/>
        <w:numId w:val="1"/>
      </w:numPr>
      <w:spacing w:before="280" w:after="290" w:line="376" w:lineRule="auto"/>
      <w:outlineLvl w:val="3"/>
    </w:pPr>
    <w:rPr>
      <w:rFonts w:ascii="Cambria" w:hAnsi="Cambria"/>
      <w:b/>
      <w:bCs/>
      <w:sz w:val="28"/>
      <w:szCs w:val="28"/>
    </w:rPr>
  </w:style>
  <w:style w:type="paragraph" w:styleId="7">
    <w:name w:val="heading 5"/>
    <w:basedOn w:val="1"/>
    <w:next w:val="1"/>
    <w:link w:val="59"/>
    <w:qFormat/>
    <w:uiPriority w:val="9"/>
    <w:pPr>
      <w:keepNext/>
      <w:keepLines/>
      <w:numPr>
        <w:ilvl w:val="4"/>
        <w:numId w:val="1"/>
      </w:numPr>
      <w:spacing w:before="280" w:after="290" w:line="376" w:lineRule="auto"/>
      <w:outlineLvl w:val="4"/>
    </w:pPr>
    <w:rPr>
      <w:b/>
      <w:bCs/>
      <w:sz w:val="28"/>
      <w:szCs w:val="28"/>
    </w:rPr>
  </w:style>
  <w:style w:type="paragraph" w:styleId="8">
    <w:name w:val="heading 6"/>
    <w:basedOn w:val="1"/>
    <w:next w:val="1"/>
    <w:link w:val="60"/>
    <w:qFormat/>
    <w:uiPriority w:val="9"/>
    <w:pPr>
      <w:keepNext/>
      <w:keepLines/>
      <w:numPr>
        <w:ilvl w:val="5"/>
        <w:numId w:val="1"/>
      </w:numPr>
      <w:spacing w:before="240" w:after="64" w:line="320" w:lineRule="auto"/>
      <w:outlineLvl w:val="5"/>
    </w:pPr>
    <w:rPr>
      <w:rFonts w:ascii="Cambria" w:hAnsi="Cambria"/>
      <w:b/>
      <w:bCs/>
      <w:sz w:val="24"/>
    </w:rPr>
  </w:style>
  <w:style w:type="paragraph" w:styleId="9">
    <w:name w:val="heading 7"/>
    <w:basedOn w:val="1"/>
    <w:next w:val="1"/>
    <w:link w:val="61"/>
    <w:qFormat/>
    <w:uiPriority w:val="9"/>
    <w:pPr>
      <w:keepNext/>
      <w:keepLines/>
      <w:numPr>
        <w:ilvl w:val="6"/>
        <w:numId w:val="1"/>
      </w:numPr>
      <w:spacing w:before="240" w:after="64" w:line="320" w:lineRule="auto"/>
      <w:outlineLvl w:val="6"/>
    </w:pPr>
    <w:rPr>
      <w:b/>
      <w:bCs/>
      <w:sz w:val="24"/>
    </w:rPr>
  </w:style>
  <w:style w:type="paragraph" w:styleId="10">
    <w:name w:val="heading 8"/>
    <w:basedOn w:val="1"/>
    <w:next w:val="1"/>
    <w:link w:val="62"/>
    <w:qFormat/>
    <w:uiPriority w:val="9"/>
    <w:pPr>
      <w:keepNext/>
      <w:keepLines/>
      <w:numPr>
        <w:ilvl w:val="7"/>
        <w:numId w:val="1"/>
      </w:numPr>
      <w:spacing w:before="240" w:after="64" w:line="320" w:lineRule="auto"/>
      <w:outlineLvl w:val="7"/>
    </w:pPr>
    <w:rPr>
      <w:rFonts w:ascii="Cambria" w:hAnsi="Cambria"/>
      <w:sz w:val="24"/>
    </w:rPr>
  </w:style>
  <w:style w:type="paragraph" w:styleId="11">
    <w:name w:val="heading 9"/>
    <w:basedOn w:val="1"/>
    <w:next w:val="1"/>
    <w:link w:val="63"/>
    <w:qFormat/>
    <w:uiPriority w:val="9"/>
    <w:pPr>
      <w:keepNext/>
      <w:keepLines/>
      <w:numPr>
        <w:ilvl w:val="8"/>
        <w:numId w:val="1"/>
      </w:numPr>
      <w:spacing w:before="240" w:after="64" w:line="320" w:lineRule="auto"/>
      <w:outlineLvl w:val="8"/>
    </w:pPr>
    <w:rPr>
      <w:rFonts w:ascii="Cambria" w:hAnsi="Cambria"/>
      <w:szCs w:val="21"/>
    </w:rPr>
  </w:style>
  <w:style w:type="character" w:default="1" w:styleId="47">
    <w:name w:val="Default Paragraph Font"/>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List Paragraph"/>
    <w:basedOn w:val="1"/>
    <w:qFormat/>
    <w:uiPriority w:val="34"/>
    <w:pPr>
      <w:ind w:firstLine="420" w:firstLineChars="200"/>
    </w:pPr>
  </w:style>
  <w:style w:type="paragraph" w:styleId="12">
    <w:name w:val="List 3"/>
    <w:basedOn w:val="1"/>
    <w:unhideWhenUsed/>
    <w:qFormat/>
    <w:uiPriority w:val="99"/>
    <w:pPr>
      <w:spacing w:before="100" w:beforeAutospacing="1" w:after="100" w:afterAutospacing="1"/>
      <w:ind w:left="1260" w:hanging="420"/>
    </w:pPr>
    <w:rPr>
      <w:szCs w:val="21"/>
    </w:rPr>
  </w:style>
  <w:style w:type="paragraph" w:styleId="13">
    <w:name w:val="toc 7"/>
    <w:basedOn w:val="1"/>
    <w:next w:val="1"/>
    <w:unhideWhenUsed/>
    <w:qFormat/>
    <w:uiPriority w:val="39"/>
    <w:pPr>
      <w:ind w:left="2520" w:leftChars="1200"/>
    </w:pPr>
    <w:rPr>
      <w:rFonts w:ascii="Calibri" w:hAnsi="Calibri"/>
      <w:szCs w:val="22"/>
    </w:rPr>
  </w:style>
  <w:style w:type="paragraph" w:styleId="14">
    <w:name w:val="Normal Indent"/>
    <w:basedOn w:val="1"/>
    <w:qFormat/>
    <w:uiPriority w:val="0"/>
    <w:pPr>
      <w:ind w:firstLine="420"/>
    </w:pPr>
    <w:rPr>
      <w:b/>
      <w:sz w:val="24"/>
      <w:szCs w:val="20"/>
    </w:rPr>
  </w:style>
  <w:style w:type="paragraph" w:styleId="15">
    <w:name w:val="caption"/>
    <w:basedOn w:val="1"/>
    <w:next w:val="1"/>
    <w:qFormat/>
    <w:uiPriority w:val="0"/>
    <w:rPr>
      <w:rFonts w:ascii="Cambria" w:hAnsi="Cambria" w:eastAsia="黑体"/>
      <w:sz w:val="20"/>
      <w:szCs w:val="22"/>
    </w:rPr>
  </w:style>
  <w:style w:type="paragraph" w:styleId="16">
    <w:name w:val="Document Map"/>
    <w:basedOn w:val="1"/>
    <w:link w:val="64"/>
    <w:qFormat/>
    <w:uiPriority w:val="0"/>
    <w:rPr>
      <w:rFonts w:ascii="宋体"/>
      <w:sz w:val="18"/>
      <w:szCs w:val="18"/>
    </w:rPr>
  </w:style>
  <w:style w:type="paragraph" w:styleId="17">
    <w:name w:val="annotation text"/>
    <w:basedOn w:val="1"/>
    <w:link w:val="65"/>
    <w:qFormat/>
    <w:uiPriority w:val="99"/>
    <w:pPr>
      <w:jc w:val="left"/>
    </w:pPr>
  </w:style>
  <w:style w:type="paragraph" w:styleId="18">
    <w:name w:val="Body Text 3"/>
    <w:basedOn w:val="1"/>
    <w:link w:val="66"/>
    <w:qFormat/>
    <w:uiPriority w:val="0"/>
    <w:rPr>
      <w:rFonts w:ascii="宋体"/>
      <w:sz w:val="24"/>
      <w:szCs w:val="20"/>
    </w:rPr>
  </w:style>
  <w:style w:type="paragraph" w:styleId="19">
    <w:name w:val="Body Text"/>
    <w:basedOn w:val="1"/>
    <w:next w:val="1"/>
    <w:link w:val="67"/>
    <w:qFormat/>
    <w:uiPriority w:val="0"/>
    <w:pPr>
      <w:jc w:val="center"/>
    </w:pPr>
    <w:rPr>
      <w:rFonts w:eastAsia="幼圆"/>
      <w:b/>
      <w:bCs/>
      <w:sz w:val="44"/>
    </w:rPr>
  </w:style>
  <w:style w:type="paragraph" w:styleId="20">
    <w:name w:val="Body Text Indent"/>
    <w:basedOn w:val="1"/>
    <w:link w:val="68"/>
    <w:qFormat/>
    <w:uiPriority w:val="99"/>
    <w:pPr>
      <w:spacing w:after="120"/>
      <w:ind w:left="420" w:leftChars="200"/>
    </w:pPr>
  </w:style>
  <w:style w:type="paragraph" w:styleId="21">
    <w:name w:val="index 4"/>
    <w:basedOn w:val="1"/>
    <w:next w:val="1"/>
    <w:qFormat/>
    <w:uiPriority w:val="0"/>
    <w:pPr>
      <w:ind w:left="600" w:leftChars="600"/>
    </w:pPr>
    <w:rPr>
      <w:rFonts w:ascii="Calibri" w:hAnsi="Calibri"/>
    </w:rPr>
  </w:style>
  <w:style w:type="paragraph" w:styleId="22">
    <w:name w:val="toc 5"/>
    <w:basedOn w:val="1"/>
    <w:next w:val="1"/>
    <w:unhideWhenUsed/>
    <w:qFormat/>
    <w:uiPriority w:val="39"/>
    <w:pPr>
      <w:ind w:left="1680" w:leftChars="800"/>
    </w:pPr>
    <w:rPr>
      <w:rFonts w:ascii="Calibri" w:hAnsi="Calibri"/>
      <w:szCs w:val="22"/>
    </w:rPr>
  </w:style>
  <w:style w:type="paragraph" w:styleId="23">
    <w:name w:val="toc 3"/>
    <w:basedOn w:val="1"/>
    <w:next w:val="1"/>
    <w:qFormat/>
    <w:uiPriority w:val="39"/>
    <w:pPr>
      <w:ind w:left="840" w:leftChars="400"/>
    </w:pPr>
    <w:rPr>
      <w:rFonts w:ascii="Calibri" w:hAnsi="Calibri"/>
      <w:szCs w:val="22"/>
    </w:rPr>
  </w:style>
  <w:style w:type="paragraph" w:styleId="24">
    <w:name w:val="Plain Text"/>
    <w:basedOn w:val="1"/>
    <w:link w:val="69"/>
    <w:qFormat/>
    <w:uiPriority w:val="0"/>
    <w:rPr>
      <w:rFonts w:ascii="Ari"/>
    </w:rPr>
  </w:style>
  <w:style w:type="paragraph" w:styleId="25">
    <w:name w:val="toc 8"/>
    <w:basedOn w:val="1"/>
    <w:next w:val="1"/>
    <w:unhideWhenUsed/>
    <w:qFormat/>
    <w:uiPriority w:val="39"/>
    <w:pPr>
      <w:ind w:left="2940" w:leftChars="1400"/>
    </w:pPr>
    <w:rPr>
      <w:rFonts w:ascii="Calibri" w:hAnsi="Calibri"/>
      <w:szCs w:val="22"/>
    </w:rPr>
  </w:style>
  <w:style w:type="paragraph" w:styleId="26">
    <w:name w:val="Date"/>
    <w:basedOn w:val="1"/>
    <w:next w:val="1"/>
    <w:link w:val="70"/>
    <w:unhideWhenUsed/>
    <w:qFormat/>
    <w:uiPriority w:val="0"/>
  </w:style>
  <w:style w:type="paragraph" w:styleId="27">
    <w:name w:val="Body Text Indent 2"/>
    <w:basedOn w:val="1"/>
    <w:link w:val="71"/>
    <w:unhideWhenUsed/>
    <w:qFormat/>
    <w:uiPriority w:val="99"/>
    <w:pPr>
      <w:spacing w:line="420" w:lineRule="exact"/>
      <w:ind w:firstLine="525"/>
    </w:pPr>
    <w:rPr>
      <w:rFonts w:ascii="宋体"/>
      <w:kern w:val="0"/>
      <w:sz w:val="20"/>
      <w:szCs w:val="20"/>
    </w:rPr>
  </w:style>
  <w:style w:type="paragraph" w:styleId="28">
    <w:name w:val="Balloon Text"/>
    <w:basedOn w:val="1"/>
    <w:link w:val="72"/>
    <w:qFormat/>
    <w:uiPriority w:val="0"/>
    <w:rPr>
      <w:sz w:val="18"/>
      <w:szCs w:val="18"/>
    </w:rPr>
  </w:style>
  <w:style w:type="paragraph" w:styleId="29">
    <w:name w:val="footer"/>
    <w:basedOn w:val="1"/>
    <w:link w:val="73"/>
    <w:qFormat/>
    <w:uiPriority w:val="99"/>
    <w:pPr>
      <w:tabs>
        <w:tab w:val="center" w:pos="4153"/>
        <w:tab w:val="right" w:pos="8306"/>
      </w:tabs>
      <w:snapToGrid w:val="0"/>
      <w:jc w:val="left"/>
    </w:pPr>
    <w:rPr>
      <w:sz w:val="18"/>
      <w:szCs w:val="18"/>
    </w:rPr>
  </w:style>
  <w:style w:type="paragraph" w:styleId="30">
    <w:name w:val="header"/>
    <w:basedOn w:val="1"/>
    <w:link w:val="74"/>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style>
  <w:style w:type="paragraph" w:styleId="32">
    <w:name w:val="toc 4"/>
    <w:basedOn w:val="1"/>
    <w:next w:val="1"/>
    <w:unhideWhenUsed/>
    <w:qFormat/>
    <w:uiPriority w:val="39"/>
    <w:pPr>
      <w:ind w:left="1260" w:leftChars="600"/>
    </w:pPr>
    <w:rPr>
      <w:rFonts w:ascii="Calibri" w:hAnsi="Calibri"/>
      <w:szCs w:val="22"/>
    </w:rPr>
  </w:style>
  <w:style w:type="paragraph" w:styleId="33">
    <w:name w:val="index heading"/>
    <w:basedOn w:val="1"/>
    <w:next w:val="34"/>
    <w:unhideWhenUsed/>
    <w:qFormat/>
    <w:uiPriority w:val="99"/>
    <w:pPr>
      <w:tabs>
        <w:tab w:val="left" w:pos="240"/>
      </w:tabs>
    </w:pPr>
  </w:style>
  <w:style w:type="paragraph" w:styleId="34">
    <w:name w:val="index 1"/>
    <w:basedOn w:val="1"/>
    <w:next w:val="1"/>
    <w:qFormat/>
    <w:uiPriority w:val="0"/>
    <w:pPr>
      <w:spacing w:line="220" w:lineRule="exact"/>
      <w:jc w:val="center"/>
    </w:pPr>
    <w:rPr>
      <w:rFonts w:ascii="仿宋_GB2312" w:hAnsi="Calibri" w:eastAsia="仿宋_GB2312"/>
      <w:szCs w:val="22"/>
    </w:rPr>
  </w:style>
  <w:style w:type="paragraph" w:styleId="35">
    <w:name w:val="Subtitle"/>
    <w:basedOn w:val="1"/>
    <w:next w:val="1"/>
    <w:link w:val="75"/>
    <w:qFormat/>
    <w:uiPriority w:val="11"/>
    <w:pPr>
      <w:spacing w:before="240" w:after="60" w:line="312" w:lineRule="auto"/>
      <w:jc w:val="center"/>
      <w:outlineLvl w:val="1"/>
    </w:pPr>
    <w:rPr>
      <w:rFonts w:ascii="Cambria" w:hAnsi="Cambria"/>
      <w:b/>
      <w:bCs/>
      <w:kern w:val="28"/>
      <w:sz w:val="32"/>
      <w:szCs w:val="32"/>
    </w:rPr>
  </w:style>
  <w:style w:type="paragraph" w:styleId="36">
    <w:name w:val="toc 6"/>
    <w:basedOn w:val="1"/>
    <w:next w:val="1"/>
    <w:unhideWhenUsed/>
    <w:qFormat/>
    <w:uiPriority w:val="39"/>
    <w:pPr>
      <w:ind w:left="2100" w:leftChars="1000"/>
    </w:pPr>
    <w:rPr>
      <w:rFonts w:ascii="Calibri" w:hAnsi="Calibri"/>
      <w:szCs w:val="22"/>
    </w:rPr>
  </w:style>
  <w:style w:type="paragraph" w:styleId="37">
    <w:name w:val="Body Text Indent 3"/>
    <w:basedOn w:val="1"/>
    <w:link w:val="76"/>
    <w:qFormat/>
    <w:uiPriority w:val="0"/>
    <w:pPr>
      <w:spacing w:after="120"/>
      <w:ind w:left="420" w:leftChars="200"/>
    </w:pPr>
    <w:rPr>
      <w:sz w:val="16"/>
      <w:szCs w:val="20"/>
    </w:rPr>
  </w:style>
  <w:style w:type="paragraph" w:styleId="38">
    <w:name w:val="toc 2"/>
    <w:basedOn w:val="1"/>
    <w:next w:val="1"/>
    <w:qFormat/>
    <w:uiPriority w:val="39"/>
    <w:pPr>
      <w:ind w:left="420" w:leftChars="200"/>
    </w:pPr>
    <w:rPr>
      <w:rFonts w:ascii="Calibri" w:hAnsi="Calibri"/>
      <w:szCs w:val="22"/>
    </w:rPr>
  </w:style>
  <w:style w:type="paragraph" w:styleId="39">
    <w:name w:val="toc 9"/>
    <w:basedOn w:val="1"/>
    <w:next w:val="1"/>
    <w:unhideWhenUsed/>
    <w:qFormat/>
    <w:uiPriority w:val="39"/>
    <w:pPr>
      <w:ind w:left="3360" w:leftChars="1600"/>
    </w:pPr>
    <w:rPr>
      <w:rFonts w:ascii="Calibri" w:hAnsi="Calibri"/>
      <w:szCs w:val="22"/>
    </w:rPr>
  </w:style>
  <w:style w:type="paragraph" w:styleId="40">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Title"/>
    <w:basedOn w:val="1"/>
    <w:next w:val="1"/>
    <w:link w:val="77"/>
    <w:qFormat/>
    <w:uiPriority w:val="10"/>
    <w:pPr>
      <w:adjustRightInd w:val="0"/>
      <w:spacing w:before="240" w:after="60" w:line="420" w:lineRule="atLeast"/>
      <w:jc w:val="center"/>
      <w:textAlignment w:val="baseline"/>
      <w:outlineLvl w:val="0"/>
    </w:pPr>
    <w:rPr>
      <w:rFonts w:ascii="Arial" w:hAnsi="Arial"/>
      <w:b/>
      <w:kern w:val="0"/>
      <w:sz w:val="32"/>
      <w:szCs w:val="20"/>
    </w:rPr>
  </w:style>
  <w:style w:type="paragraph" w:styleId="43">
    <w:name w:val="annotation subject"/>
    <w:basedOn w:val="17"/>
    <w:next w:val="17"/>
    <w:link w:val="78"/>
    <w:qFormat/>
    <w:uiPriority w:val="0"/>
    <w:rPr>
      <w:b/>
      <w:bCs/>
    </w:rPr>
  </w:style>
  <w:style w:type="paragraph" w:styleId="44">
    <w:name w:val="Body Text First Indent 2"/>
    <w:basedOn w:val="20"/>
    <w:link w:val="259"/>
    <w:qFormat/>
    <w:uiPriority w:val="99"/>
    <w:pPr>
      <w:ind w:firstLine="420" w:firstLineChars="200"/>
    </w:p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0"/>
    <w:rPr>
      <w:rFonts w:cs="Times New Roman"/>
      <w:b/>
    </w:rPr>
  </w:style>
  <w:style w:type="character" w:styleId="49">
    <w:name w:val="page number"/>
    <w:basedOn w:val="47"/>
    <w:qFormat/>
    <w:uiPriority w:val="0"/>
    <w:rPr>
      <w:rFonts w:eastAsia="宋体"/>
      <w:b/>
      <w:spacing w:val="0"/>
      <w:kern w:val="2"/>
      <w:sz w:val="24"/>
      <w:szCs w:val="24"/>
      <w:vertAlign w:val="baseline"/>
      <w:lang w:val="en-US" w:eastAsia="zh-CN" w:bidi="ar-SA"/>
    </w:rPr>
  </w:style>
  <w:style w:type="character" w:styleId="50">
    <w:name w:val="FollowedHyperlink"/>
    <w:qFormat/>
    <w:uiPriority w:val="0"/>
    <w:rPr>
      <w:color w:val="800080"/>
      <w:u w:val="single"/>
    </w:rPr>
  </w:style>
  <w:style w:type="character" w:styleId="51">
    <w:name w:val="Emphasis"/>
    <w:basedOn w:val="47"/>
    <w:qFormat/>
    <w:uiPriority w:val="0"/>
    <w:rPr>
      <w:color w:val="CC0000"/>
    </w:rPr>
  </w:style>
  <w:style w:type="character" w:styleId="52">
    <w:name w:val="Hyperlink"/>
    <w:basedOn w:val="47"/>
    <w:qFormat/>
    <w:uiPriority w:val="99"/>
    <w:rPr>
      <w:color w:val="0000FF"/>
      <w:u w:val="single"/>
    </w:rPr>
  </w:style>
  <w:style w:type="character" w:styleId="53">
    <w:name w:val="annotation reference"/>
    <w:basedOn w:val="47"/>
    <w:qFormat/>
    <w:uiPriority w:val="99"/>
    <w:rPr>
      <w:sz w:val="21"/>
      <w:szCs w:val="21"/>
    </w:rPr>
  </w:style>
  <w:style w:type="character" w:styleId="54">
    <w:name w:val="HTML Cite"/>
    <w:qFormat/>
    <w:uiPriority w:val="0"/>
    <w:rPr>
      <w:color w:val="008000"/>
    </w:rPr>
  </w:style>
  <w:style w:type="character" w:customStyle="1" w:styleId="55">
    <w:name w:val="标题 1 字符"/>
    <w:link w:val="3"/>
    <w:qFormat/>
    <w:uiPriority w:val="9"/>
    <w:rPr>
      <w:rFonts w:ascii="Times New Roman" w:hAnsi="Times New Roman" w:eastAsia="宋体" w:cs="Times New Roman"/>
      <w:b/>
      <w:bCs/>
      <w:kern w:val="44"/>
      <w:sz w:val="32"/>
      <w:szCs w:val="44"/>
    </w:rPr>
  </w:style>
  <w:style w:type="character" w:customStyle="1" w:styleId="56">
    <w:name w:val="标题 2 字符"/>
    <w:link w:val="4"/>
    <w:qFormat/>
    <w:uiPriority w:val="9"/>
    <w:rPr>
      <w:rFonts w:ascii="Cambria" w:hAnsi="Cambria"/>
      <w:b/>
      <w:bCs/>
      <w:kern w:val="2"/>
      <w:sz w:val="32"/>
      <w:szCs w:val="32"/>
    </w:rPr>
  </w:style>
  <w:style w:type="character" w:customStyle="1" w:styleId="57">
    <w:name w:val="标题 3 字符"/>
    <w:link w:val="5"/>
    <w:qFormat/>
    <w:uiPriority w:val="9"/>
    <w:rPr>
      <w:b/>
      <w:bCs/>
      <w:kern w:val="2"/>
      <w:sz w:val="32"/>
      <w:szCs w:val="32"/>
    </w:rPr>
  </w:style>
  <w:style w:type="character" w:customStyle="1" w:styleId="58">
    <w:name w:val="标题 4 字符"/>
    <w:link w:val="6"/>
    <w:qFormat/>
    <w:uiPriority w:val="9"/>
    <w:rPr>
      <w:rFonts w:ascii="Cambria" w:hAnsi="Cambria" w:eastAsia="宋体" w:cs="Times New Roman"/>
      <w:b/>
      <w:bCs/>
      <w:kern w:val="2"/>
      <w:sz w:val="28"/>
      <w:szCs w:val="28"/>
    </w:rPr>
  </w:style>
  <w:style w:type="character" w:customStyle="1" w:styleId="59">
    <w:name w:val="标题 5 字符"/>
    <w:link w:val="7"/>
    <w:qFormat/>
    <w:uiPriority w:val="9"/>
    <w:rPr>
      <w:b/>
      <w:bCs/>
      <w:kern w:val="2"/>
      <w:sz w:val="28"/>
      <w:szCs w:val="28"/>
    </w:rPr>
  </w:style>
  <w:style w:type="character" w:customStyle="1" w:styleId="60">
    <w:name w:val="标题 6 字符"/>
    <w:link w:val="8"/>
    <w:qFormat/>
    <w:uiPriority w:val="9"/>
    <w:rPr>
      <w:rFonts w:ascii="Cambria" w:hAnsi="Cambria" w:eastAsia="宋体" w:cs="Times New Roman"/>
      <w:b/>
      <w:bCs/>
      <w:kern w:val="2"/>
      <w:sz w:val="24"/>
      <w:szCs w:val="24"/>
    </w:rPr>
  </w:style>
  <w:style w:type="character" w:customStyle="1" w:styleId="61">
    <w:name w:val="标题 7 字符"/>
    <w:link w:val="9"/>
    <w:qFormat/>
    <w:uiPriority w:val="9"/>
    <w:rPr>
      <w:b/>
      <w:bCs/>
      <w:kern w:val="2"/>
      <w:sz w:val="24"/>
      <w:szCs w:val="24"/>
    </w:rPr>
  </w:style>
  <w:style w:type="character" w:customStyle="1" w:styleId="62">
    <w:name w:val="标题 8 字符"/>
    <w:link w:val="10"/>
    <w:qFormat/>
    <w:uiPriority w:val="9"/>
    <w:rPr>
      <w:rFonts w:ascii="Cambria" w:hAnsi="Cambria" w:eastAsia="宋体" w:cs="Times New Roman"/>
      <w:kern w:val="2"/>
      <w:sz w:val="24"/>
      <w:szCs w:val="24"/>
    </w:rPr>
  </w:style>
  <w:style w:type="character" w:customStyle="1" w:styleId="63">
    <w:name w:val="标题 9 字符"/>
    <w:link w:val="11"/>
    <w:qFormat/>
    <w:uiPriority w:val="9"/>
    <w:rPr>
      <w:rFonts w:ascii="Cambria" w:hAnsi="Cambria" w:eastAsia="宋体" w:cs="Times New Roman"/>
      <w:kern w:val="2"/>
      <w:sz w:val="21"/>
      <w:szCs w:val="21"/>
    </w:rPr>
  </w:style>
  <w:style w:type="character" w:customStyle="1" w:styleId="64">
    <w:name w:val="文档结构图 字符"/>
    <w:link w:val="16"/>
    <w:qFormat/>
    <w:uiPriority w:val="0"/>
    <w:rPr>
      <w:rFonts w:ascii="宋体"/>
      <w:kern w:val="2"/>
      <w:sz w:val="18"/>
      <w:szCs w:val="18"/>
    </w:rPr>
  </w:style>
  <w:style w:type="character" w:customStyle="1" w:styleId="65">
    <w:name w:val="批注文字 字符"/>
    <w:link w:val="17"/>
    <w:qFormat/>
    <w:uiPriority w:val="99"/>
    <w:rPr>
      <w:kern w:val="2"/>
      <w:sz w:val="21"/>
      <w:szCs w:val="24"/>
    </w:rPr>
  </w:style>
  <w:style w:type="character" w:customStyle="1" w:styleId="66">
    <w:name w:val="正文文本 3 字符"/>
    <w:link w:val="18"/>
    <w:qFormat/>
    <w:uiPriority w:val="0"/>
    <w:rPr>
      <w:rFonts w:ascii="宋体"/>
      <w:kern w:val="2"/>
      <w:sz w:val="24"/>
    </w:rPr>
  </w:style>
  <w:style w:type="character" w:customStyle="1" w:styleId="67">
    <w:name w:val="正文文本 字符"/>
    <w:link w:val="19"/>
    <w:qFormat/>
    <w:uiPriority w:val="0"/>
    <w:rPr>
      <w:rFonts w:eastAsia="幼圆"/>
      <w:b/>
      <w:bCs/>
      <w:kern w:val="2"/>
      <w:sz w:val="44"/>
      <w:szCs w:val="24"/>
    </w:rPr>
  </w:style>
  <w:style w:type="character" w:customStyle="1" w:styleId="68">
    <w:name w:val="正文文本缩进 字符"/>
    <w:link w:val="20"/>
    <w:qFormat/>
    <w:uiPriority w:val="99"/>
    <w:rPr>
      <w:kern w:val="2"/>
      <w:sz w:val="21"/>
      <w:szCs w:val="24"/>
    </w:rPr>
  </w:style>
  <w:style w:type="character" w:customStyle="1" w:styleId="69">
    <w:name w:val="纯文本 字符"/>
    <w:link w:val="24"/>
    <w:qFormat/>
    <w:uiPriority w:val="0"/>
    <w:rPr>
      <w:rFonts w:ascii="Ari"/>
      <w:lang w:val="en-US" w:eastAsia="zh-CN" w:bidi="ar-SA"/>
    </w:rPr>
  </w:style>
  <w:style w:type="character" w:customStyle="1" w:styleId="70">
    <w:name w:val="日期 字符"/>
    <w:link w:val="26"/>
    <w:qFormat/>
    <w:uiPriority w:val="0"/>
    <w:rPr>
      <w:kern w:val="2"/>
      <w:sz w:val="21"/>
      <w:szCs w:val="24"/>
    </w:rPr>
  </w:style>
  <w:style w:type="character" w:customStyle="1" w:styleId="71">
    <w:name w:val="正文文本缩进 2 字符"/>
    <w:link w:val="27"/>
    <w:qFormat/>
    <w:uiPriority w:val="99"/>
    <w:rPr>
      <w:rFonts w:ascii="宋体"/>
    </w:rPr>
  </w:style>
  <w:style w:type="character" w:customStyle="1" w:styleId="72">
    <w:name w:val="批注框文本 字符"/>
    <w:link w:val="28"/>
    <w:qFormat/>
    <w:uiPriority w:val="0"/>
    <w:rPr>
      <w:kern w:val="2"/>
      <w:sz w:val="18"/>
      <w:szCs w:val="18"/>
    </w:rPr>
  </w:style>
  <w:style w:type="character" w:customStyle="1" w:styleId="73">
    <w:name w:val="页脚 字符"/>
    <w:link w:val="29"/>
    <w:qFormat/>
    <w:uiPriority w:val="99"/>
    <w:rPr>
      <w:kern w:val="2"/>
      <w:sz w:val="18"/>
      <w:szCs w:val="18"/>
    </w:rPr>
  </w:style>
  <w:style w:type="character" w:customStyle="1" w:styleId="74">
    <w:name w:val="页眉 字符"/>
    <w:link w:val="30"/>
    <w:qFormat/>
    <w:uiPriority w:val="99"/>
    <w:rPr>
      <w:kern w:val="2"/>
      <w:sz w:val="18"/>
      <w:szCs w:val="18"/>
    </w:rPr>
  </w:style>
  <w:style w:type="character" w:customStyle="1" w:styleId="75">
    <w:name w:val="副标题 字符"/>
    <w:link w:val="35"/>
    <w:qFormat/>
    <w:uiPriority w:val="11"/>
    <w:rPr>
      <w:rFonts w:ascii="Cambria" w:hAnsi="Cambria"/>
      <w:b/>
      <w:bCs/>
      <w:kern w:val="28"/>
      <w:sz w:val="32"/>
      <w:szCs w:val="32"/>
    </w:rPr>
  </w:style>
  <w:style w:type="character" w:customStyle="1" w:styleId="76">
    <w:name w:val="正文文本缩进 3 字符"/>
    <w:link w:val="37"/>
    <w:qFormat/>
    <w:uiPriority w:val="0"/>
    <w:rPr>
      <w:kern w:val="2"/>
      <w:sz w:val="16"/>
    </w:rPr>
  </w:style>
  <w:style w:type="character" w:customStyle="1" w:styleId="77">
    <w:name w:val="标题 字符"/>
    <w:link w:val="42"/>
    <w:qFormat/>
    <w:uiPriority w:val="10"/>
    <w:rPr>
      <w:rFonts w:ascii="Arial" w:hAnsi="Arial"/>
      <w:b/>
      <w:sz w:val="32"/>
    </w:rPr>
  </w:style>
  <w:style w:type="character" w:customStyle="1" w:styleId="78">
    <w:name w:val="批注主题 字符"/>
    <w:link w:val="43"/>
    <w:qFormat/>
    <w:uiPriority w:val="0"/>
    <w:rPr>
      <w:b/>
      <w:bCs/>
      <w:kern w:val="2"/>
      <w:sz w:val="21"/>
      <w:szCs w:val="24"/>
    </w:rPr>
  </w:style>
  <w:style w:type="paragraph" w:customStyle="1" w:styleId="79">
    <w:name w:val="一级条标题"/>
    <w:basedOn w:val="80"/>
    <w:next w:val="81"/>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80">
    <w:name w:val="章标题"/>
    <w:basedOn w:val="1"/>
    <w:next w:val="1"/>
    <w:qFormat/>
    <w:uiPriority w:val="0"/>
    <w:pPr>
      <w:widowControl/>
      <w:spacing w:before="158" w:after="153" w:line="1292" w:lineRule="atLeast"/>
      <w:jc w:val="center"/>
    </w:pPr>
    <w:rPr>
      <w:rFonts w:ascii="Arial" w:hAnsi="Calibri" w:eastAsia="黑体" w:cs="黑体"/>
      <w:kern w:val="0"/>
      <w:sz w:val="31"/>
      <w:szCs w:val="22"/>
      <w:lang w:eastAsia="en-US" w:bidi="en-US"/>
    </w:rPr>
  </w:style>
  <w:style w:type="paragraph" w:customStyle="1" w:styleId="81">
    <w:name w:val="段"/>
    <w:basedOn w:val="1"/>
    <w:next w:val="1"/>
    <w:qFormat/>
    <w:uiPriority w:val="0"/>
    <w:pPr>
      <w:widowControl/>
      <w:autoSpaceDE w:val="0"/>
      <w:autoSpaceDN w:val="0"/>
      <w:ind w:firstLine="200" w:firstLineChars="200"/>
    </w:pPr>
    <w:rPr>
      <w:rFonts w:hint="eastAsia" w:ascii="宋体"/>
      <w:kern w:val="0"/>
      <w:szCs w:val="20"/>
    </w:rPr>
  </w:style>
  <w:style w:type="paragraph" w:customStyle="1" w:styleId="82">
    <w:name w:val="列表段落1"/>
    <w:basedOn w:val="1"/>
    <w:next w:val="17"/>
    <w:qFormat/>
    <w:uiPriority w:val="99"/>
    <w:pPr>
      <w:ind w:firstLine="420" w:firstLineChars="200"/>
    </w:pPr>
  </w:style>
  <w:style w:type="paragraph" w:customStyle="1" w:styleId="8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84">
    <w:name w:val="正文首行缩进 21"/>
    <w:basedOn w:val="85"/>
    <w:next w:val="1"/>
    <w:qFormat/>
    <w:uiPriority w:val="0"/>
    <w:pPr>
      <w:spacing w:before="100" w:beforeAutospacing="1"/>
      <w:ind w:firstLine="420"/>
    </w:pPr>
    <w:rPr>
      <w:rFonts w:ascii="宋体" w:hAnsi="宋体"/>
      <w:szCs w:val="21"/>
    </w:rPr>
  </w:style>
  <w:style w:type="paragraph" w:customStyle="1" w:styleId="85">
    <w:name w:val="正文文本缩进1"/>
    <w:basedOn w:val="1"/>
    <w:qFormat/>
    <w:uiPriority w:val="0"/>
    <w:pPr>
      <w:spacing w:line="500" w:lineRule="exact"/>
      <w:ind w:firstLine="880" w:firstLineChars="200"/>
    </w:pPr>
  </w:style>
  <w:style w:type="character" w:customStyle="1" w:styleId="86">
    <w:name w:val="明显强调1"/>
    <w:qFormat/>
    <w:uiPriority w:val="0"/>
    <w:rPr>
      <w:b/>
      <w:bCs/>
      <w:i/>
      <w:iCs/>
      <w:color w:val="4F81BD"/>
    </w:rPr>
  </w:style>
  <w:style w:type="character" w:customStyle="1" w:styleId="87">
    <w:name w:val="批注文字 Char2"/>
    <w:qFormat/>
    <w:uiPriority w:val="0"/>
    <w:rPr>
      <w:kern w:val="2"/>
      <w:sz w:val="21"/>
    </w:rPr>
  </w:style>
  <w:style w:type="character" w:customStyle="1" w:styleId="88">
    <w:name w:val="标题 3 Char_0"/>
    <w:link w:val="89"/>
    <w:qFormat/>
    <w:uiPriority w:val="0"/>
    <w:rPr>
      <w:b/>
      <w:bCs/>
      <w:sz w:val="32"/>
      <w:szCs w:val="32"/>
    </w:rPr>
  </w:style>
  <w:style w:type="paragraph" w:customStyle="1" w:styleId="89">
    <w:name w:val="标题 3_0"/>
    <w:basedOn w:val="90"/>
    <w:next w:val="90"/>
    <w:link w:val="88"/>
    <w:qFormat/>
    <w:uiPriority w:val="0"/>
    <w:pPr>
      <w:keepNext/>
      <w:keepLines/>
      <w:spacing w:before="260" w:after="260" w:line="416" w:lineRule="auto"/>
      <w:outlineLvl w:val="2"/>
    </w:pPr>
    <w:rPr>
      <w:b/>
      <w:bCs/>
      <w:kern w:val="0"/>
      <w:sz w:val="32"/>
      <w:szCs w:val="32"/>
    </w:rPr>
  </w:style>
  <w:style w:type="paragraph" w:customStyle="1" w:styleId="9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1">
    <w:name w:val="正文文本 Char2"/>
    <w:semiHidden/>
    <w:qFormat/>
    <w:uiPriority w:val="99"/>
    <w:rPr>
      <w:rFonts w:ascii="Calibri" w:hAnsi="Calibri" w:eastAsia="宋体" w:cs="Times New Roman"/>
    </w:rPr>
  </w:style>
  <w:style w:type="character" w:customStyle="1" w:styleId="92">
    <w:name w:val="页脚 Char1"/>
    <w:semiHidden/>
    <w:qFormat/>
    <w:uiPriority w:val="99"/>
    <w:rPr>
      <w:rFonts w:ascii="Calibri" w:hAnsi="Calibri" w:eastAsia="宋体" w:cs="Times New Roman"/>
      <w:sz w:val="18"/>
      <w:szCs w:val="18"/>
    </w:rPr>
  </w:style>
  <w:style w:type="character" w:customStyle="1" w:styleId="93">
    <w:name w:val="明显引用 Char2"/>
    <w:qFormat/>
    <w:uiPriority w:val="99"/>
    <w:rPr>
      <w:b/>
      <w:bCs/>
      <w:i/>
      <w:iCs/>
      <w:color w:val="4F81BD"/>
      <w:kern w:val="2"/>
      <w:sz w:val="21"/>
      <w:szCs w:val="24"/>
    </w:rPr>
  </w:style>
  <w:style w:type="character" w:customStyle="1" w:styleId="94">
    <w:name w:val="引用 Char"/>
    <w:link w:val="95"/>
    <w:qFormat/>
    <w:uiPriority w:val="0"/>
    <w:rPr>
      <w:i/>
      <w:iCs/>
      <w:color w:val="000000"/>
    </w:rPr>
  </w:style>
  <w:style w:type="paragraph" w:customStyle="1" w:styleId="95">
    <w:name w:val="引用1"/>
    <w:basedOn w:val="1"/>
    <w:next w:val="1"/>
    <w:link w:val="94"/>
    <w:qFormat/>
    <w:uiPriority w:val="0"/>
    <w:rPr>
      <w:i/>
      <w:iCs/>
      <w:color w:val="000000"/>
      <w:kern w:val="0"/>
      <w:sz w:val="20"/>
      <w:szCs w:val="20"/>
    </w:rPr>
  </w:style>
  <w:style w:type="character" w:customStyle="1" w:styleId="96">
    <w:name w:val="标题 1 Char_0"/>
    <w:link w:val="97"/>
    <w:qFormat/>
    <w:uiPriority w:val="0"/>
    <w:rPr>
      <w:b/>
      <w:bCs/>
      <w:kern w:val="44"/>
      <w:sz w:val="44"/>
      <w:szCs w:val="44"/>
    </w:rPr>
  </w:style>
  <w:style w:type="paragraph" w:customStyle="1" w:styleId="97">
    <w:name w:val="标题 1_0"/>
    <w:basedOn w:val="90"/>
    <w:next w:val="90"/>
    <w:link w:val="96"/>
    <w:qFormat/>
    <w:uiPriority w:val="0"/>
    <w:pPr>
      <w:keepNext/>
      <w:keepLines/>
      <w:spacing w:before="340" w:after="330" w:line="578" w:lineRule="auto"/>
      <w:outlineLvl w:val="0"/>
    </w:pPr>
    <w:rPr>
      <w:b/>
      <w:bCs/>
      <w:kern w:val="44"/>
      <w:sz w:val="44"/>
      <w:szCs w:val="44"/>
    </w:rPr>
  </w:style>
  <w:style w:type="character" w:customStyle="1" w:styleId="98">
    <w:name w:val="正文文本缩进 3 Char1"/>
    <w:semiHidden/>
    <w:qFormat/>
    <w:uiPriority w:val="99"/>
    <w:rPr>
      <w:kern w:val="2"/>
      <w:sz w:val="16"/>
      <w:szCs w:val="16"/>
    </w:rPr>
  </w:style>
  <w:style w:type="character" w:customStyle="1" w:styleId="99">
    <w:name w:val="引用 Char1"/>
    <w:qFormat/>
    <w:uiPriority w:val="29"/>
    <w:rPr>
      <w:i/>
      <w:iCs/>
      <w:color w:val="000000"/>
      <w:kern w:val="2"/>
      <w:sz w:val="21"/>
    </w:rPr>
  </w:style>
  <w:style w:type="character" w:customStyle="1" w:styleId="100">
    <w:name w:val="font161"/>
    <w:qFormat/>
    <w:uiPriority w:val="0"/>
    <w:rPr>
      <w:b/>
      <w:sz w:val="32"/>
    </w:rPr>
  </w:style>
  <w:style w:type="character" w:customStyle="1" w:styleId="101">
    <w:name w:val="标题 4 Char_0"/>
    <w:link w:val="102"/>
    <w:qFormat/>
    <w:uiPriority w:val="0"/>
    <w:rPr>
      <w:rFonts w:ascii="Arial" w:hAnsi="Arial" w:eastAsia="黑体"/>
      <w:b/>
      <w:bCs/>
      <w:sz w:val="28"/>
      <w:szCs w:val="28"/>
    </w:rPr>
  </w:style>
  <w:style w:type="paragraph" w:customStyle="1" w:styleId="102">
    <w:name w:val="标题 4_0"/>
    <w:basedOn w:val="90"/>
    <w:next w:val="90"/>
    <w:link w:val="101"/>
    <w:qFormat/>
    <w:uiPriority w:val="0"/>
    <w:pPr>
      <w:keepNext/>
      <w:keepLines/>
      <w:spacing w:before="280" w:after="290" w:line="376" w:lineRule="auto"/>
      <w:outlineLvl w:val="3"/>
    </w:pPr>
    <w:rPr>
      <w:rFonts w:ascii="Arial" w:hAnsi="Arial" w:eastAsia="黑体"/>
      <w:b/>
      <w:bCs/>
      <w:kern w:val="0"/>
      <w:sz w:val="28"/>
      <w:szCs w:val="28"/>
    </w:rPr>
  </w:style>
  <w:style w:type="character" w:customStyle="1" w:styleId="103">
    <w:name w:val="引用 Char2"/>
    <w:qFormat/>
    <w:uiPriority w:val="99"/>
    <w:rPr>
      <w:i/>
      <w:iCs/>
      <w:color w:val="000000"/>
      <w:kern w:val="2"/>
      <w:sz w:val="21"/>
      <w:szCs w:val="24"/>
    </w:rPr>
  </w:style>
  <w:style w:type="character" w:customStyle="1" w:styleId="104">
    <w:name w:val="rvts11"/>
    <w:qFormat/>
    <w:uiPriority w:val="0"/>
    <w:rPr>
      <w:rFonts w:hint="default" w:ascii="KNLe" w:hAnsi="KNLe"/>
      <w:sz w:val="24"/>
      <w:szCs w:val="24"/>
      <w:u w:val="single"/>
    </w:rPr>
  </w:style>
  <w:style w:type="character" w:customStyle="1" w:styleId="105">
    <w:name w:val="标题5 Char Char"/>
    <w:link w:val="106"/>
    <w:qFormat/>
    <w:uiPriority w:val="0"/>
    <w:rPr>
      <w:rFonts w:ascii="Arial" w:hAnsi="Arial"/>
      <w:b/>
      <w:bCs/>
      <w:sz w:val="24"/>
      <w:szCs w:val="32"/>
    </w:rPr>
  </w:style>
  <w:style w:type="paragraph" w:customStyle="1" w:styleId="106">
    <w:name w:val="标题5"/>
    <w:basedOn w:val="5"/>
    <w:link w:val="105"/>
    <w:qFormat/>
    <w:uiPriority w:val="0"/>
    <w:pPr>
      <w:numPr>
        <w:ilvl w:val="0"/>
        <w:numId w:val="0"/>
      </w:numPr>
      <w:spacing w:line="413" w:lineRule="auto"/>
    </w:pPr>
    <w:rPr>
      <w:rFonts w:ascii="Arial" w:hAnsi="Arial"/>
      <w:kern w:val="0"/>
      <w:sz w:val="24"/>
    </w:rPr>
  </w:style>
  <w:style w:type="character" w:customStyle="1" w:styleId="107">
    <w:name w:val="副标题 Char2"/>
    <w:qFormat/>
    <w:uiPriority w:val="11"/>
    <w:rPr>
      <w:rFonts w:ascii="Cambria" w:hAnsi="Cambria" w:cs="Times New Roman"/>
      <w:b/>
      <w:bCs/>
      <w:kern w:val="28"/>
      <w:sz w:val="32"/>
      <w:szCs w:val="32"/>
    </w:rPr>
  </w:style>
  <w:style w:type="character" w:customStyle="1" w:styleId="108">
    <w:name w:val="批注主题 Char1"/>
    <w:qFormat/>
    <w:uiPriority w:val="0"/>
    <w:rPr>
      <w:b/>
      <w:bCs/>
      <w:kern w:val="2"/>
      <w:sz w:val="21"/>
      <w:szCs w:val="22"/>
    </w:rPr>
  </w:style>
  <w:style w:type="character" w:customStyle="1" w:styleId="109">
    <w:name w:val="font31"/>
    <w:qFormat/>
    <w:uiPriority w:val="0"/>
    <w:rPr>
      <w:rFonts w:hint="eastAsia" w:ascii="宋体" w:hAnsi="宋体" w:eastAsia="宋体" w:cs="宋体"/>
      <w:color w:val="000000"/>
      <w:sz w:val="20"/>
      <w:szCs w:val="20"/>
      <w:u w:val="none"/>
    </w:rPr>
  </w:style>
  <w:style w:type="character" w:customStyle="1" w:styleId="110">
    <w:name w:val="明显引用 Char"/>
    <w:link w:val="111"/>
    <w:qFormat/>
    <w:uiPriority w:val="0"/>
    <w:rPr>
      <w:b/>
      <w:bCs/>
      <w:i/>
      <w:iCs/>
      <w:color w:val="4F81BD"/>
    </w:rPr>
  </w:style>
  <w:style w:type="paragraph" w:customStyle="1" w:styleId="111">
    <w:name w:val="明显引用1"/>
    <w:basedOn w:val="1"/>
    <w:next w:val="1"/>
    <w:link w:val="110"/>
    <w:qFormat/>
    <w:uiPriority w:val="0"/>
    <w:pPr>
      <w:pBdr>
        <w:bottom w:val="single" w:color="4F81BD" w:sz="4" w:space="4"/>
      </w:pBdr>
      <w:spacing w:before="200" w:after="280"/>
      <w:ind w:left="936" w:right="936"/>
    </w:pPr>
    <w:rPr>
      <w:b/>
      <w:bCs/>
      <w:i/>
      <w:iCs/>
      <w:color w:val="4F81BD"/>
      <w:kern w:val="0"/>
      <w:sz w:val="20"/>
      <w:szCs w:val="20"/>
    </w:rPr>
  </w:style>
  <w:style w:type="character" w:customStyle="1" w:styleId="112">
    <w:name w:val="日期 Char1"/>
    <w:qFormat/>
    <w:uiPriority w:val="0"/>
    <w:rPr>
      <w:rFonts w:ascii="Calibri" w:hAnsi="Calibri" w:eastAsia="宋体" w:cs="Times New Roman"/>
    </w:rPr>
  </w:style>
  <w:style w:type="character" w:customStyle="1" w:styleId="113">
    <w:name w:val="批注框文本 Char1"/>
    <w:qFormat/>
    <w:uiPriority w:val="0"/>
    <w:rPr>
      <w:kern w:val="2"/>
      <w:sz w:val="18"/>
      <w:szCs w:val="18"/>
    </w:rPr>
  </w:style>
  <w:style w:type="character" w:customStyle="1" w:styleId="114">
    <w:name w:val="标题 Char1"/>
    <w:qFormat/>
    <w:uiPriority w:val="10"/>
    <w:rPr>
      <w:rFonts w:ascii="Cambria" w:hAnsi="Cambria" w:eastAsia="宋体" w:cs="Times New Roman"/>
      <w:b/>
      <w:bCs/>
      <w:sz w:val="32"/>
      <w:szCs w:val="32"/>
    </w:rPr>
  </w:style>
  <w:style w:type="character" w:customStyle="1" w:styleId="115">
    <w:name w:val="不明显参考1"/>
    <w:qFormat/>
    <w:uiPriority w:val="0"/>
    <w:rPr>
      <w:smallCaps/>
      <w:color w:val="C0504D"/>
      <w:u w:val="single"/>
    </w:rPr>
  </w:style>
  <w:style w:type="character" w:customStyle="1" w:styleId="116">
    <w:name w:val="批注文字 Char1"/>
    <w:qFormat/>
    <w:uiPriority w:val="0"/>
    <w:rPr>
      <w:rFonts w:ascii="Calibri" w:hAnsi="Calibri" w:eastAsia="宋体" w:cs="Times New Roman"/>
    </w:rPr>
  </w:style>
  <w:style w:type="character" w:customStyle="1" w:styleId="117">
    <w:name w:val="标题 Char2"/>
    <w:qFormat/>
    <w:uiPriority w:val="10"/>
    <w:rPr>
      <w:rFonts w:ascii="Cambria" w:hAnsi="Cambria" w:cs="Times New Roman"/>
      <w:b/>
      <w:bCs/>
      <w:kern w:val="2"/>
      <w:sz w:val="32"/>
      <w:szCs w:val="32"/>
    </w:rPr>
  </w:style>
  <w:style w:type="character" w:customStyle="1" w:styleId="118">
    <w:name w:val="正文文本 3 Char1"/>
    <w:semiHidden/>
    <w:qFormat/>
    <w:uiPriority w:val="99"/>
    <w:rPr>
      <w:kern w:val="2"/>
      <w:sz w:val="16"/>
      <w:szCs w:val="16"/>
    </w:rPr>
  </w:style>
  <w:style w:type="character" w:customStyle="1" w:styleId="119">
    <w:name w:val="批注主题 Char2"/>
    <w:qFormat/>
    <w:uiPriority w:val="0"/>
    <w:rPr>
      <w:b/>
      <w:bCs/>
      <w:kern w:val="2"/>
      <w:sz w:val="21"/>
    </w:rPr>
  </w:style>
  <w:style w:type="character" w:customStyle="1" w:styleId="120">
    <w:name w:val="正文文本 Char_0"/>
    <w:link w:val="121"/>
    <w:qFormat/>
    <w:uiPriority w:val="0"/>
    <w:rPr>
      <w:szCs w:val="24"/>
    </w:rPr>
  </w:style>
  <w:style w:type="paragraph" w:customStyle="1" w:styleId="121">
    <w:name w:val="正文文本_0"/>
    <w:basedOn w:val="90"/>
    <w:link w:val="120"/>
    <w:qFormat/>
    <w:uiPriority w:val="0"/>
    <w:pPr>
      <w:spacing w:after="120"/>
    </w:pPr>
    <w:rPr>
      <w:kern w:val="0"/>
      <w:sz w:val="20"/>
    </w:rPr>
  </w:style>
  <w:style w:type="character" w:customStyle="1" w:styleId="122">
    <w:name w:val="bookmark"/>
    <w:basedOn w:val="47"/>
    <w:qFormat/>
    <w:uiPriority w:val="0"/>
  </w:style>
  <w:style w:type="character" w:customStyle="1" w:styleId="123">
    <w:name w:val="标题 5 Char_0"/>
    <w:link w:val="124"/>
    <w:qFormat/>
    <w:uiPriority w:val="0"/>
    <w:rPr>
      <w:rFonts w:ascii="Calibri" w:hAnsi="Calibri"/>
      <w:b/>
      <w:bCs/>
      <w:sz w:val="28"/>
      <w:szCs w:val="28"/>
    </w:rPr>
  </w:style>
  <w:style w:type="paragraph" w:customStyle="1" w:styleId="124">
    <w:name w:val="标题 5_0"/>
    <w:basedOn w:val="90"/>
    <w:next w:val="90"/>
    <w:link w:val="123"/>
    <w:qFormat/>
    <w:uiPriority w:val="0"/>
    <w:pPr>
      <w:keepNext/>
      <w:keepLines/>
      <w:spacing w:before="280" w:after="290" w:line="372" w:lineRule="auto"/>
      <w:outlineLvl w:val="4"/>
    </w:pPr>
    <w:rPr>
      <w:rFonts w:ascii="Calibri" w:hAnsi="Calibri"/>
      <w:b/>
      <w:bCs/>
      <w:kern w:val="0"/>
      <w:sz w:val="28"/>
      <w:szCs w:val="28"/>
    </w:rPr>
  </w:style>
  <w:style w:type="character" w:customStyle="1" w:styleId="125">
    <w:name w:val="font11"/>
    <w:qFormat/>
    <w:uiPriority w:val="0"/>
    <w:rPr>
      <w:rFonts w:hint="eastAsia" w:ascii="宋体" w:hAnsi="宋体" w:eastAsia="宋体" w:cs="宋体"/>
      <w:color w:val="000000"/>
      <w:sz w:val="20"/>
      <w:szCs w:val="20"/>
      <w:u w:val="none"/>
    </w:rPr>
  </w:style>
  <w:style w:type="character" w:customStyle="1" w:styleId="126">
    <w:name w:val="明显参考1"/>
    <w:qFormat/>
    <w:uiPriority w:val="0"/>
    <w:rPr>
      <w:b/>
      <w:bCs/>
      <w:smallCaps/>
      <w:color w:val="C0504D"/>
      <w:spacing w:val="5"/>
      <w:u w:val="single"/>
    </w:rPr>
  </w:style>
  <w:style w:type="character" w:customStyle="1" w:styleId="127">
    <w:name w:val="超链接_0"/>
    <w:qFormat/>
    <w:uiPriority w:val="99"/>
    <w:rPr>
      <w:rFonts w:ascii="Calibri" w:hAnsi="Calibri"/>
      <w:color w:val="0000FF"/>
      <w:u w:val="single"/>
    </w:rPr>
  </w:style>
  <w:style w:type="character" w:customStyle="1" w:styleId="128">
    <w:name w:val="文档结构图 Char2"/>
    <w:semiHidden/>
    <w:qFormat/>
    <w:uiPriority w:val="99"/>
    <w:rPr>
      <w:rFonts w:ascii="宋体" w:hAnsi="Calibri" w:eastAsia="宋体" w:cs="Times New Roman"/>
      <w:sz w:val="18"/>
      <w:szCs w:val="18"/>
    </w:rPr>
  </w:style>
  <w:style w:type="character" w:customStyle="1" w:styleId="129">
    <w:name w:val="textcontents"/>
    <w:qFormat/>
    <w:uiPriority w:val="0"/>
    <w:rPr>
      <w:rFonts w:cs="Times New Roman"/>
    </w:rPr>
  </w:style>
  <w:style w:type="character" w:customStyle="1" w:styleId="130">
    <w:name w:val="标题 1 Char"/>
    <w:qFormat/>
    <w:uiPriority w:val="0"/>
    <w:rPr>
      <w:b/>
      <w:bCs/>
      <w:kern w:val="44"/>
      <w:sz w:val="32"/>
      <w:szCs w:val="44"/>
    </w:rPr>
  </w:style>
  <w:style w:type="character" w:customStyle="1" w:styleId="131">
    <w:name w:val="副标题 Char1"/>
    <w:qFormat/>
    <w:uiPriority w:val="11"/>
    <w:rPr>
      <w:rFonts w:ascii="Cambria" w:hAnsi="Cambria" w:cs="Times New Roman"/>
      <w:b/>
      <w:bCs/>
      <w:kern w:val="28"/>
      <w:sz w:val="32"/>
      <w:szCs w:val="32"/>
    </w:rPr>
  </w:style>
  <w:style w:type="character" w:customStyle="1" w:styleId="132">
    <w:name w:val="书籍标题1"/>
    <w:qFormat/>
    <w:uiPriority w:val="0"/>
    <w:rPr>
      <w:b/>
      <w:bCs/>
      <w:smallCaps/>
      <w:spacing w:val="5"/>
    </w:rPr>
  </w:style>
  <w:style w:type="character" w:customStyle="1" w:styleId="133">
    <w:name w:val="标题4 Char Char"/>
    <w:link w:val="134"/>
    <w:qFormat/>
    <w:uiPriority w:val="0"/>
    <w:rPr>
      <w:rFonts w:ascii="Arial" w:hAnsi="Arial"/>
      <w:b/>
      <w:bCs/>
      <w:sz w:val="24"/>
      <w:szCs w:val="32"/>
    </w:rPr>
  </w:style>
  <w:style w:type="paragraph" w:customStyle="1" w:styleId="134">
    <w:name w:val="标题4"/>
    <w:basedOn w:val="4"/>
    <w:next w:val="21"/>
    <w:link w:val="133"/>
    <w:qFormat/>
    <w:uiPriority w:val="0"/>
    <w:pPr>
      <w:numPr>
        <w:ilvl w:val="0"/>
        <w:numId w:val="0"/>
      </w:numPr>
      <w:spacing w:line="413" w:lineRule="auto"/>
    </w:pPr>
    <w:rPr>
      <w:rFonts w:ascii="Arial" w:hAnsi="Arial"/>
      <w:kern w:val="0"/>
      <w:sz w:val="24"/>
    </w:rPr>
  </w:style>
  <w:style w:type="character" w:customStyle="1" w:styleId="135">
    <w:name w:val="正文文本 Char1"/>
    <w:qFormat/>
    <w:uiPriority w:val="0"/>
    <w:rPr>
      <w:rFonts w:ascii="Calibri" w:hAnsi="Calibri" w:eastAsia="宋体" w:cs="Times New Roman"/>
    </w:rPr>
  </w:style>
  <w:style w:type="character" w:customStyle="1" w:styleId="136">
    <w:name w:val="明显引用 Char1"/>
    <w:qFormat/>
    <w:uiPriority w:val="30"/>
    <w:rPr>
      <w:b/>
      <w:bCs/>
      <w:i/>
      <w:iCs/>
      <w:color w:val="4F81BD"/>
      <w:kern w:val="2"/>
      <w:sz w:val="21"/>
    </w:rPr>
  </w:style>
  <w:style w:type="character" w:customStyle="1" w:styleId="137">
    <w:name w:val="页眉 Char1"/>
    <w:semiHidden/>
    <w:qFormat/>
    <w:uiPriority w:val="99"/>
    <w:rPr>
      <w:rFonts w:ascii="Calibri" w:hAnsi="Calibri" w:eastAsia="宋体" w:cs="Times New Roman"/>
      <w:sz w:val="18"/>
      <w:szCs w:val="18"/>
    </w:rPr>
  </w:style>
  <w:style w:type="character" w:customStyle="1" w:styleId="138">
    <w:name w:val="不明显强调1"/>
    <w:qFormat/>
    <w:uiPriority w:val="0"/>
    <w:rPr>
      <w:i/>
      <w:iCs/>
      <w:color w:val="808080"/>
    </w:rPr>
  </w:style>
  <w:style w:type="character" w:customStyle="1" w:styleId="139">
    <w:name w:val="font21"/>
    <w:qFormat/>
    <w:uiPriority w:val="0"/>
    <w:rPr>
      <w:rFonts w:hint="eastAsia" w:ascii="宋体" w:hAnsi="宋体" w:eastAsia="宋体" w:cs="宋体"/>
      <w:color w:val="000000"/>
      <w:sz w:val="20"/>
      <w:szCs w:val="20"/>
      <w:u w:val="none"/>
    </w:rPr>
  </w:style>
  <w:style w:type="character" w:customStyle="1" w:styleId="140">
    <w:name w:val="文档结构图 Char1"/>
    <w:qFormat/>
    <w:uiPriority w:val="0"/>
    <w:rPr>
      <w:rFonts w:ascii="宋体" w:hAnsi="Calibri" w:eastAsia="宋体" w:cs="Times New Roman"/>
      <w:sz w:val="18"/>
      <w:szCs w:val="18"/>
    </w:rPr>
  </w:style>
  <w:style w:type="character" w:customStyle="1" w:styleId="141">
    <w:name w:val="标题 2 Char_0"/>
    <w:link w:val="142"/>
    <w:qFormat/>
    <w:uiPriority w:val="0"/>
    <w:rPr>
      <w:rFonts w:ascii="Cambria" w:hAnsi="Cambria"/>
      <w:b/>
      <w:bCs/>
      <w:sz w:val="32"/>
      <w:szCs w:val="32"/>
    </w:rPr>
  </w:style>
  <w:style w:type="paragraph" w:customStyle="1" w:styleId="142">
    <w:name w:val="标题 2_0"/>
    <w:basedOn w:val="90"/>
    <w:next w:val="90"/>
    <w:link w:val="141"/>
    <w:unhideWhenUsed/>
    <w:qFormat/>
    <w:uiPriority w:val="0"/>
    <w:pPr>
      <w:keepNext/>
      <w:keepLines/>
      <w:spacing w:before="260" w:after="260" w:line="416" w:lineRule="auto"/>
      <w:outlineLvl w:val="1"/>
    </w:pPr>
    <w:rPr>
      <w:rFonts w:ascii="Cambria" w:hAnsi="Cambria"/>
      <w:b/>
      <w:bCs/>
      <w:kern w:val="0"/>
      <w:sz w:val="32"/>
      <w:szCs w:val="32"/>
    </w:rPr>
  </w:style>
  <w:style w:type="character" w:customStyle="1" w:styleId="143">
    <w:name w:val="日期 Char2"/>
    <w:semiHidden/>
    <w:qFormat/>
    <w:uiPriority w:val="99"/>
    <w:rPr>
      <w:rFonts w:ascii="Calibri" w:hAnsi="Calibri" w:eastAsia="宋体" w:cs="Times New Roman"/>
    </w:rPr>
  </w:style>
  <w:style w:type="character" w:customStyle="1" w:styleId="144">
    <w:name w:val="批注框文本 Char2"/>
    <w:semiHidden/>
    <w:qFormat/>
    <w:uiPriority w:val="99"/>
    <w:rPr>
      <w:rFonts w:ascii="Calibri" w:hAnsi="Calibri" w:eastAsia="宋体" w:cs="Times New Roman"/>
      <w:sz w:val="18"/>
      <w:szCs w:val="18"/>
    </w:rPr>
  </w:style>
  <w:style w:type="character" w:customStyle="1" w:styleId="145">
    <w:name w:val="列出段落 Char"/>
    <w:link w:val="146"/>
    <w:qFormat/>
    <w:locked/>
    <w:uiPriority w:val="99"/>
    <w:rPr>
      <w:kern w:val="2"/>
      <w:sz w:val="21"/>
      <w:szCs w:val="24"/>
    </w:rPr>
  </w:style>
  <w:style w:type="paragraph" w:customStyle="1" w:styleId="146">
    <w:name w:val="List Paragraph1"/>
    <w:basedOn w:val="1"/>
    <w:link w:val="145"/>
    <w:qFormat/>
    <w:uiPriority w:val="99"/>
    <w:pPr>
      <w:ind w:firstLine="420" w:firstLineChars="200"/>
    </w:pPr>
  </w:style>
  <w:style w:type="paragraph" w:customStyle="1" w:styleId="147">
    <w:name w:val="样式 标题 3 + (中文) 黑体 小四 非加粗 段前: 7.8 磅 段后: 0 磅 行距: 固定值 20 磅"/>
    <w:basedOn w:val="5"/>
    <w:next w:val="1"/>
    <w:qFormat/>
    <w:uiPriority w:val="0"/>
    <w:pPr>
      <w:spacing w:before="0" w:after="0" w:line="400" w:lineRule="exact"/>
    </w:pPr>
    <w:rPr>
      <w:rFonts w:eastAsia="黑体" w:cs="宋体"/>
      <w:b w:val="0"/>
      <w:bCs w:val="0"/>
      <w:sz w:val="24"/>
      <w:szCs w:val="20"/>
    </w:rPr>
  </w:style>
  <w:style w:type="paragraph" w:customStyle="1" w:styleId="148">
    <w:name w:val="_Style 34"/>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0">
    <w:name w:val="_Style 36"/>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1">
    <w:name w:val="空半行"/>
    <w:basedOn w:val="1"/>
    <w:qFormat/>
    <w:uiPriority w:val="0"/>
    <w:pPr>
      <w:adjustRightInd w:val="0"/>
      <w:spacing w:line="120" w:lineRule="exact"/>
      <w:textAlignment w:val="baseline"/>
    </w:pPr>
    <w:rPr>
      <w:rFonts w:ascii="Calibri" w:hAnsi="Calibri" w:eastAsia="仿宋_GB2312"/>
      <w:color w:val="FFFFFF"/>
      <w:kern w:val="0"/>
      <w:sz w:val="30"/>
      <w:szCs w:val="22"/>
    </w:rPr>
  </w:style>
  <w:style w:type="paragraph" w:customStyle="1" w:styleId="152">
    <w:name w:val="1方案格式1"/>
    <w:basedOn w:val="3"/>
    <w:qFormat/>
    <w:uiPriority w:val="0"/>
    <w:pPr>
      <w:numPr>
        <w:numId w:val="2"/>
      </w:numPr>
      <w:tabs>
        <w:tab w:val="left" w:pos="360"/>
      </w:tabs>
      <w:spacing w:beforeLines="50" w:afterLines="50" w:line="360" w:lineRule="auto"/>
      <w:ind w:left="0" w:firstLine="0"/>
    </w:pPr>
    <w:rPr>
      <w:rFonts w:eastAsia="微软雅黑"/>
      <w:bCs w:val="0"/>
      <w:sz w:val="48"/>
    </w:rPr>
  </w:style>
  <w:style w:type="paragraph" w:customStyle="1" w:styleId="153">
    <w:name w:val="格式３"/>
    <w:basedOn w:val="1"/>
    <w:qFormat/>
    <w:uiPriority w:val="0"/>
    <w:pPr>
      <w:spacing w:line="420" w:lineRule="exact"/>
      <w:ind w:left="600" w:hanging="600" w:hangingChars="250"/>
    </w:pPr>
    <w:rPr>
      <w:rFonts w:ascii="宋体" w:hAnsi="宋体"/>
      <w:color w:val="000000"/>
      <w:sz w:val="24"/>
      <w:szCs w:val="20"/>
    </w:rPr>
  </w:style>
  <w:style w:type="paragraph" w:customStyle="1" w:styleId="154">
    <w:name w:val="正文1"/>
    <w:qFormat/>
    <w:uiPriority w:val="0"/>
    <w:pPr>
      <w:widowControl w:val="0"/>
      <w:jc w:val="both"/>
    </w:pPr>
    <w:rPr>
      <w:rFonts w:ascii="Calibri" w:hAnsi="Calibri" w:eastAsia="宋体" w:cs="Times New Roman"/>
      <w:lang w:val="en-US" w:eastAsia="zh-CN" w:bidi="ar-SA"/>
    </w:rPr>
  </w:style>
  <w:style w:type="paragraph" w:customStyle="1" w:styleId="155">
    <w:name w:val="列出段落1"/>
    <w:basedOn w:val="1"/>
    <w:qFormat/>
    <w:uiPriority w:val="34"/>
    <w:pPr>
      <w:widowControl/>
      <w:ind w:left="720"/>
      <w:contextualSpacing/>
      <w:jc w:val="left"/>
    </w:pPr>
    <w:rPr>
      <w:rFonts w:ascii="Arial" w:hAnsi="Arial" w:eastAsia="黑体"/>
      <w:kern w:val="0"/>
      <w:sz w:val="24"/>
      <w:lang w:eastAsia="en-US"/>
    </w:rPr>
  </w:style>
  <w:style w:type="paragraph" w:customStyle="1" w:styleId="156">
    <w:name w:val="正文空2字"/>
    <w:basedOn w:val="1"/>
    <w:qFormat/>
    <w:locked/>
    <w:uiPriority w:val="0"/>
    <w:pPr>
      <w:spacing w:beforeLines="40" w:afterLines="40" w:line="360" w:lineRule="auto"/>
      <w:ind w:firstLine="200" w:firstLineChars="200"/>
    </w:pPr>
    <w:rPr>
      <w:kern w:val="0"/>
      <w:sz w:val="24"/>
      <w:lang w:bidi="en-US"/>
    </w:rPr>
  </w:style>
  <w:style w:type="paragraph" w:customStyle="1" w:styleId="157">
    <w:name w:val="正文_0_0_0"/>
    <w:qFormat/>
    <w:uiPriority w:val="0"/>
    <w:pPr>
      <w:widowControl w:val="0"/>
      <w:jc w:val="both"/>
    </w:pPr>
    <w:rPr>
      <w:rFonts w:ascii="Times New Roman" w:hAnsi="Times New Roman" w:eastAsia="宋体" w:cs="Times New Roman"/>
      <w:lang w:val="en-US" w:eastAsia="zh-CN" w:bidi="ar-SA"/>
    </w:rPr>
  </w:style>
  <w:style w:type="paragraph" w:customStyle="1" w:styleId="158">
    <w:name w:val="目录 5_0"/>
    <w:basedOn w:val="90"/>
    <w:next w:val="90"/>
    <w:qFormat/>
    <w:uiPriority w:val="39"/>
    <w:pPr>
      <w:ind w:left="1680" w:leftChars="800"/>
    </w:pPr>
    <w:rPr>
      <w:rFonts w:ascii="Calibri" w:hAnsi="Calibri"/>
    </w:rPr>
  </w:style>
  <w:style w:type="paragraph" w:customStyle="1" w:styleId="159">
    <w:name w:val="修订1"/>
    <w:qFormat/>
    <w:uiPriority w:val="0"/>
    <w:rPr>
      <w:rFonts w:ascii="Times New Roman" w:hAnsi="Times New Roman" w:eastAsia="宋体" w:cs="Times New Roman"/>
      <w:kern w:val="2"/>
      <w:sz w:val="21"/>
      <w:szCs w:val="24"/>
      <w:lang w:val="en-US" w:eastAsia="zh-CN" w:bidi="ar-SA"/>
    </w:rPr>
  </w:style>
  <w:style w:type="paragraph" w:customStyle="1" w:styleId="160">
    <w:name w:val="标题 11"/>
    <w:basedOn w:val="154"/>
    <w:next w:val="154"/>
    <w:qFormat/>
    <w:uiPriority w:val="0"/>
    <w:pPr>
      <w:keepNext/>
      <w:keepLines/>
      <w:spacing w:before="340" w:after="330" w:line="576" w:lineRule="auto"/>
      <w:outlineLvl w:val="0"/>
    </w:pPr>
    <w:rPr>
      <w:rFonts w:ascii="Times New Roman" w:hAnsi="Times New Roman" w:eastAsia="Times New Roman"/>
      <w:b/>
      <w:kern w:val="44"/>
      <w:sz w:val="44"/>
      <w:lang w:val="zh-CN"/>
    </w:rPr>
  </w:style>
  <w:style w:type="paragraph" w:customStyle="1" w:styleId="161">
    <w:name w:val="正文 + 行距: 固定值 20 磅"/>
    <w:basedOn w:val="1"/>
    <w:qFormat/>
    <w:uiPriority w:val="0"/>
    <w:pPr>
      <w:spacing w:line="400" w:lineRule="exact"/>
      <w:ind w:firstLine="716" w:firstLineChars="341"/>
    </w:pPr>
    <w:rPr>
      <w:rFonts w:ascii="Calibri" w:hAnsi="Calibri"/>
      <w:szCs w:val="22"/>
    </w:rPr>
  </w:style>
  <w:style w:type="paragraph" w:customStyle="1" w:styleId="162">
    <w:name w:val="TOC 标题1"/>
    <w:basedOn w:val="3"/>
    <w:next w:val="1"/>
    <w:qFormat/>
    <w:uiPriority w:val="0"/>
    <w:pPr>
      <w:widowControl/>
      <w:numPr>
        <w:numId w:val="0"/>
      </w:numPr>
      <w:spacing w:before="480" w:after="0" w:line="276" w:lineRule="auto"/>
      <w:jc w:val="left"/>
      <w:outlineLvl w:val="9"/>
    </w:pPr>
    <w:rPr>
      <w:rFonts w:ascii="Cambria" w:hAnsi="Cambria"/>
      <w:color w:val="365F91"/>
      <w:kern w:val="0"/>
      <w:sz w:val="28"/>
      <w:szCs w:val="28"/>
    </w:rPr>
  </w:style>
  <w:style w:type="paragraph" w:customStyle="1" w:styleId="163">
    <w:name w:val="表格文字"/>
    <w:basedOn w:val="1"/>
    <w:link w:val="164"/>
    <w:qFormat/>
    <w:uiPriority w:val="0"/>
    <w:pPr>
      <w:adjustRightInd w:val="0"/>
      <w:spacing w:line="420" w:lineRule="atLeast"/>
      <w:jc w:val="left"/>
      <w:textAlignment w:val="baseline"/>
    </w:pPr>
    <w:rPr>
      <w:rFonts w:ascii="Calibri" w:hAnsi="Calibri"/>
      <w:kern w:val="0"/>
      <w:szCs w:val="22"/>
    </w:rPr>
  </w:style>
  <w:style w:type="character" w:customStyle="1" w:styleId="164">
    <w:name w:val="表格文字 字符"/>
    <w:link w:val="163"/>
    <w:qFormat/>
    <w:uiPriority w:val="0"/>
    <w:rPr>
      <w:rFonts w:ascii="Calibri" w:hAnsi="Calibri" w:eastAsia="宋体" w:cs="Times New Roman"/>
      <w:sz w:val="21"/>
      <w:szCs w:val="22"/>
    </w:rPr>
  </w:style>
  <w:style w:type="paragraph" w:customStyle="1" w:styleId="165">
    <w:name w:val="flNote"/>
    <w:basedOn w:val="1"/>
    <w:qFormat/>
    <w:uiPriority w:val="0"/>
    <w:pPr>
      <w:adjustRightInd w:val="0"/>
      <w:spacing w:before="320" w:after="160" w:line="360" w:lineRule="atLeast"/>
      <w:jc w:val="center"/>
      <w:textAlignment w:val="baseline"/>
    </w:pPr>
    <w:rPr>
      <w:rFonts w:ascii="Arial" w:hAnsi="Calibri" w:eastAsia="黑体"/>
      <w:kern w:val="0"/>
      <w:sz w:val="30"/>
      <w:szCs w:val="22"/>
    </w:rPr>
  </w:style>
  <w:style w:type="paragraph" w:customStyle="1" w:styleId="166">
    <w:name w:val="文章正文"/>
    <w:basedOn w:val="1"/>
    <w:qFormat/>
    <w:uiPriority w:val="99"/>
    <w:pPr>
      <w:adjustRightInd w:val="0"/>
      <w:snapToGrid w:val="0"/>
      <w:spacing w:line="360" w:lineRule="auto"/>
      <w:ind w:firstLine="480" w:firstLineChars="200"/>
    </w:pPr>
    <w:rPr>
      <w:rFonts w:ascii="仿宋_GB2312" w:hAnsi="宋体" w:eastAsia="仿宋_GB2312"/>
      <w:color w:val="FF0000"/>
      <w:sz w:val="24"/>
    </w:rPr>
  </w:style>
  <w:style w:type="paragraph" w:customStyle="1" w:styleId="167">
    <w:name w:val="表格"/>
    <w:basedOn w:val="1"/>
    <w:qFormat/>
    <w:uiPriority w:val="0"/>
    <w:pPr>
      <w:jc w:val="center"/>
      <w:textAlignment w:val="center"/>
    </w:pPr>
    <w:rPr>
      <w:rFonts w:ascii="华文细黑" w:hAnsi="华文细黑"/>
      <w:kern w:val="0"/>
      <w:szCs w:val="22"/>
    </w:rPr>
  </w:style>
  <w:style w:type="paragraph" w:customStyle="1" w:styleId="168">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0">
    <w:name w:val="列出段落2"/>
    <w:basedOn w:val="1"/>
    <w:qFormat/>
    <w:uiPriority w:val="99"/>
    <w:pPr>
      <w:ind w:firstLine="420" w:firstLineChars="200"/>
    </w:pPr>
  </w:style>
  <w:style w:type="paragraph" w:customStyle="1" w:styleId="171">
    <w:name w:val="6'"/>
    <w:basedOn w:val="1"/>
    <w:qFormat/>
    <w:uiPriority w:val="0"/>
    <w:pPr>
      <w:autoSpaceDE w:val="0"/>
      <w:autoSpaceDN w:val="0"/>
      <w:adjustRightInd w:val="0"/>
      <w:snapToGrid w:val="0"/>
      <w:spacing w:line="320" w:lineRule="exact"/>
      <w:jc w:val="center"/>
      <w:textAlignment w:val="baseline"/>
    </w:pPr>
    <w:rPr>
      <w:rFonts w:ascii="Calibri" w:hAnsi="Calibri"/>
      <w:spacing w:val="20"/>
      <w:kern w:val="28"/>
      <w:szCs w:val="22"/>
    </w:rPr>
  </w:style>
  <w:style w:type="paragraph" w:customStyle="1" w:styleId="172">
    <w:name w:val="Char Char Char Char Char Char Char"/>
    <w:basedOn w:val="1"/>
    <w:qFormat/>
    <w:uiPriority w:val="0"/>
    <w:pPr>
      <w:adjustRightInd w:val="0"/>
      <w:spacing w:line="360" w:lineRule="auto"/>
    </w:pPr>
    <w:rPr>
      <w:kern w:val="0"/>
      <w:sz w:val="24"/>
      <w:szCs w:val="20"/>
    </w:rPr>
  </w:style>
  <w:style w:type="paragraph" w:customStyle="1" w:styleId="173">
    <w:name w:val="2方案格式2"/>
    <w:basedOn w:val="152"/>
    <w:qFormat/>
    <w:uiPriority w:val="0"/>
    <w:pPr>
      <w:numPr>
        <w:ilvl w:val="1"/>
      </w:numPr>
      <w:spacing w:before="50" w:after="50" w:line="240" w:lineRule="auto"/>
      <w:outlineLvl w:val="1"/>
    </w:pPr>
    <w:rPr>
      <w:sz w:val="44"/>
    </w:rPr>
  </w:style>
  <w:style w:type="paragraph" w:customStyle="1" w:styleId="174">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5">
    <w:name w:val="文档正文"/>
    <w:basedOn w:val="1"/>
    <w:qFormat/>
    <w:uiPriority w:val="0"/>
    <w:pPr>
      <w:adjustRightInd w:val="0"/>
      <w:spacing w:line="480" w:lineRule="atLeast"/>
      <w:ind w:firstLine="567"/>
      <w:textAlignment w:val="baseline"/>
    </w:pPr>
    <w:rPr>
      <w:rFonts w:ascii="Ari" w:eastAsia="Ari"/>
      <w:kern w:val="0"/>
      <w:sz w:val="28"/>
      <w:szCs w:val="20"/>
    </w:rPr>
  </w:style>
  <w:style w:type="paragraph" w:customStyle="1" w:styleId="176">
    <w:name w:val="t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7">
    <w:name w:val="目录 4_0"/>
    <w:basedOn w:val="90"/>
    <w:next w:val="90"/>
    <w:qFormat/>
    <w:uiPriority w:val="39"/>
    <w:pPr>
      <w:ind w:left="1260" w:leftChars="600"/>
    </w:pPr>
    <w:rPr>
      <w:rFonts w:ascii="Calibri" w:hAnsi="Calibri"/>
    </w:rPr>
  </w:style>
  <w:style w:type="paragraph" w:customStyle="1" w:styleId="178">
    <w:name w:val="目录 3_0"/>
    <w:basedOn w:val="90"/>
    <w:next w:val="90"/>
    <w:qFormat/>
    <w:uiPriority w:val="39"/>
    <w:pPr>
      <w:ind w:left="840" w:leftChars="400"/>
    </w:pPr>
    <w:rPr>
      <w:rFonts w:ascii="Calibri" w:hAnsi="Calibri"/>
    </w:rPr>
  </w:style>
  <w:style w:type="paragraph" w:customStyle="1" w:styleId="179">
    <w:name w:val="样式 标题 1 + 黑体 三号 非加粗 居中 段前: 6 磅 段后: 6 磅 行距: 固定值 20 磅"/>
    <w:basedOn w:val="3"/>
    <w:qFormat/>
    <w:uiPriority w:val="0"/>
    <w:pPr>
      <w:numPr>
        <w:numId w:val="0"/>
      </w:numPr>
      <w:spacing w:before="120" w:after="120" w:line="400" w:lineRule="exact"/>
    </w:pPr>
    <w:rPr>
      <w:rFonts w:ascii="黑体" w:hAnsi="黑体" w:eastAsia="黑体"/>
      <w:b w:val="0"/>
      <w:bCs w:val="0"/>
      <w:szCs w:val="20"/>
    </w:rPr>
  </w:style>
  <w:style w:type="paragraph" w:customStyle="1" w:styleId="180">
    <w:name w:val="1"/>
    <w:basedOn w:val="1"/>
    <w:next w:val="1"/>
    <w:qFormat/>
    <w:uiPriority w:val="0"/>
    <w:rPr>
      <w:rFonts w:ascii="Calibri" w:hAnsi="Calibri"/>
      <w:szCs w:val="22"/>
    </w:rPr>
  </w:style>
  <w:style w:type="paragraph" w:customStyle="1" w:styleId="181">
    <w:name w:val="Blockquote_0"/>
    <w:basedOn w:val="90"/>
    <w:qFormat/>
    <w:uiPriority w:val="0"/>
    <w:pPr>
      <w:autoSpaceDE w:val="0"/>
      <w:autoSpaceDN w:val="0"/>
      <w:adjustRightInd w:val="0"/>
      <w:spacing w:before="100" w:after="100"/>
      <w:ind w:left="360" w:right="360"/>
      <w:jc w:val="left"/>
    </w:pPr>
    <w:rPr>
      <w:rFonts w:ascii="Calibri" w:hAnsi="Calibri" w:eastAsia="Times New Roman"/>
      <w:kern w:val="0"/>
      <w:sz w:val="24"/>
      <w:szCs w:val="20"/>
    </w:rPr>
  </w:style>
  <w:style w:type="paragraph" w:customStyle="1" w:styleId="182">
    <w:name w:val="列出段落11"/>
    <w:basedOn w:val="1"/>
    <w:qFormat/>
    <w:uiPriority w:val="0"/>
    <w:pPr>
      <w:widowControl/>
      <w:ind w:left="720"/>
      <w:contextualSpacing/>
      <w:jc w:val="left"/>
    </w:pPr>
    <w:rPr>
      <w:rFonts w:ascii="Arial" w:hAnsi="Arial" w:eastAsia="黑体"/>
      <w:kern w:val="0"/>
      <w:sz w:val="24"/>
      <w:lang w:eastAsia="en-US"/>
    </w:rPr>
  </w:style>
  <w:style w:type="paragraph" w:customStyle="1" w:styleId="183">
    <w:name w:val="样式 标题 2 + Times New Roman 四号 非加粗 段前: 5 磅 段后: 0 磅 行距: 固定值 20..._0"/>
    <w:basedOn w:val="1"/>
    <w:qFormat/>
    <w:uiPriority w:val="0"/>
    <w:pPr>
      <w:keepNext/>
      <w:keepLines/>
      <w:spacing w:before="100" w:line="360" w:lineRule="auto"/>
      <w:outlineLvl w:val="1"/>
    </w:pPr>
    <w:rPr>
      <w:rFonts w:eastAsia="Times New Roman" w:cs="宋体"/>
      <w:kern w:val="0"/>
      <w:sz w:val="28"/>
      <w:szCs w:val="20"/>
    </w:rPr>
  </w:style>
  <w:style w:type="paragraph" w:customStyle="1" w:styleId="184">
    <w:name w:val="op_mapdots_lef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5">
    <w:name w:val="p0"/>
    <w:basedOn w:val="1"/>
    <w:qFormat/>
    <w:uiPriority w:val="0"/>
    <w:pPr>
      <w:widowControl/>
    </w:pPr>
    <w:rPr>
      <w:b/>
      <w:bCs/>
      <w:kern w:val="0"/>
      <w:sz w:val="24"/>
    </w:rPr>
  </w:style>
  <w:style w:type="paragraph" w:customStyle="1" w:styleId="186">
    <w:name w:val="Blockquote"/>
    <w:basedOn w:val="1"/>
    <w:qFormat/>
    <w:uiPriority w:val="0"/>
    <w:pPr>
      <w:autoSpaceDE w:val="0"/>
      <w:autoSpaceDN w:val="0"/>
      <w:adjustRightInd w:val="0"/>
      <w:spacing w:before="100" w:after="100"/>
      <w:ind w:left="360" w:right="360"/>
      <w:jc w:val="left"/>
    </w:pPr>
    <w:rPr>
      <w:rFonts w:ascii="Calibri" w:hAnsi="Calibri"/>
      <w:kern w:val="0"/>
      <w:sz w:val="24"/>
      <w:szCs w:val="22"/>
    </w:rPr>
  </w:style>
  <w:style w:type="paragraph" w:customStyle="1" w:styleId="187">
    <w:name w:val="3方案格式3"/>
    <w:basedOn w:val="173"/>
    <w:qFormat/>
    <w:uiPriority w:val="0"/>
    <w:pPr>
      <w:numPr>
        <w:ilvl w:val="2"/>
      </w:numPr>
      <w:outlineLvl w:val="2"/>
    </w:pPr>
    <w:rPr>
      <w:sz w:val="32"/>
    </w:rPr>
  </w:style>
  <w:style w:type="paragraph" w:customStyle="1" w:styleId="188">
    <w:name w:val="样式 标题 2 + Times New Roman 四号 非加粗 段前: 5 磅 段后: 0 磅 行距: 固定值 20..."/>
    <w:basedOn w:val="4"/>
    <w:qFormat/>
    <w:uiPriority w:val="0"/>
    <w:pPr>
      <w:numPr>
        <w:ilvl w:val="0"/>
        <w:numId w:val="0"/>
      </w:numPr>
      <w:spacing w:before="100" w:after="0" w:line="400" w:lineRule="exact"/>
    </w:pPr>
    <w:rPr>
      <w:rFonts w:ascii="Times New Roman" w:hAnsi="Times New Roman" w:eastAsia="黑体"/>
      <w:b w:val="0"/>
      <w:bCs w:val="0"/>
      <w:sz w:val="28"/>
      <w:szCs w:val="20"/>
    </w:rPr>
  </w:style>
  <w:style w:type="paragraph" w:customStyle="1" w:styleId="189">
    <w:name w:val="标题2"/>
    <w:basedOn w:val="4"/>
    <w:next w:val="19"/>
    <w:qFormat/>
    <w:uiPriority w:val="0"/>
    <w:pPr>
      <w:spacing w:before="156" w:after="156" w:line="360" w:lineRule="auto"/>
    </w:pPr>
    <w:rPr>
      <w:bCs w:val="0"/>
      <w:sz w:val="24"/>
    </w:rPr>
  </w:style>
  <w:style w:type="paragraph" w:customStyle="1" w:styleId="190">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91">
    <w:name w:val="正文11"/>
    <w:qFormat/>
    <w:uiPriority w:val="0"/>
    <w:rPr>
      <w:rFonts w:ascii="Calibri" w:hAnsi="Calibri" w:eastAsia="宋体" w:cs="Calibri"/>
      <w:sz w:val="24"/>
      <w:szCs w:val="24"/>
      <w:lang w:val="en-US" w:eastAsia="zh-CN" w:bidi="ar-SA"/>
    </w:rPr>
  </w:style>
  <w:style w:type="paragraph" w:customStyle="1" w:styleId="192">
    <w:name w:val="正文2"/>
    <w:qFormat/>
    <w:uiPriority w:val="0"/>
    <w:rPr>
      <w:rFonts w:ascii="Times New Roman" w:hAnsi="Times New Roman" w:eastAsia="微软雅黑" w:cs="Times New Roman"/>
      <w:sz w:val="24"/>
      <w:szCs w:val="24"/>
      <w:lang w:val="en-US" w:eastAsia="zh-CN" w:bidi="ar-SA"/>
    </w:rPr>
  </w:style>
  <w:style w:type="paragraph" w:customStyle="1" w:styleId="193">
    <w:name w:val="列出段落3"/>
    <w:basedOn w:val="1"/>
    <w:qFormat/>
    <w:uiPriority w:val="34"/>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94">
    <w:name w:val="纯文本2"/>
    <w:basedOn w:val="1"/>
    <w:qFormat/>
    <w:uiPriority w:val="0"/>
    <w:pPr>
      <w:jc w:val="left"/>
    </w:pPr>
    <w:rPr>
      <w:rFonts w:hint="eastAsia" w:ascii="宋体" w:hAnsi="宋体" w:cs="Courier New"/>
      <w:kern w:val="1"/>
      <w:sz w:val="24"/>
      <w:szCs w:val="20"/>
      <w:lang w:bidi="hi-IN"/>
    </w:rPr>
  </w:style>
  <w:style w:type="paragraph" w:customStyle="1" w:styleId="195">
    <w:name w:val="trs_edito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6">
    <w:name w:val="标题二级"/>
    <w:basedOn w:val="1"/>
    <w:qFormat/>
    <w:uiPriority w:val="0"/>
    <w:pPr>
      <w:ind w:firstLine="412" w:firstLineChars="196"/>
    </w:pPr>
    <w:rPr>
      <w:rFonts w:ascii="宋体" w:hAnsi="宋体"/>
      <w:szCs w:val="21"/>
    </w:rPr>
  </w:style>
  <w:style w:type="paragraph" w:customStyle="1" w:styleId="197">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198">
    <w:name w:val="修订3"/>
    <w:semiHidden/>
    <w:qFormat/>
    <w:uiPriority w:val="99"/>
    <w:rPr>
      <w:rFonts w:ascii="Times New Roman" w:hAnsi="Times New Roman" w:eastAsia="宋体" w:cs="Times New Roman"/>
      <w:kern w:val="2"/>
      <w:sz w:val="21"/>
      <w:szCs w:val="24"/>
      <w:lang w:val="en-US" w:eastAsia="zh-CN" w:bidi="ar-SA"/>
    </w:rPr>
  </w:style>
  <w:style w:type="character" w:customStyle="1" w:styleId="199">
    <w:name w:val="无"/>
    <w:qFormat/>
    <w:uiPriority w:val="0"/>
  </w:style>
  <w:style w:type="paragraph" w:customStyle="1" w:styleId="200">
    <w:name w:val="Heading #2|1"/>
    <w:basedOn w:val="1"/>
    <w:qFormat/>
    <w:uiPriority w:val="0"/>
    <w:pPr>
      <w:spacing w:after="720" w:line="648" w:lineRule="exact"/>
      <w:ind w:firstLine="310"/>
      <w:jc w:val="center"/>
      <w:outlineLvl w:val="1"/>
    </w:pPr>
    <w:rPr>
      <w:rFonts w:ascii="宋体" w:hAnsi="宋体" w:cs="宋体"/>
      <w:sz w:val="42"/>
      <w:szCs w:val="42"/>
      <w:lang w:val="zh-TW" w:eastAsia="zh-TW" w:bidi="zh-TW"/>
    </w:rPr>
  </w:style>
  <w:style w:type="paragraph" w:customStyle="1" w:styleId="201">
    <w:name w:val="Body text|1"/>
    <w:basedOn w:val="1"/>
    <w:qFormat/>
    <w:uiPriority w:val="0"/>
    <w:pPr>
      <w:spacing w:line="401" w:lineRule="auto"/>
      <w:ind w:firstLine="400"/>
    </w:pPr>
    <w:rPr>
      <w:rFonts w:ascii="宋体" w:hAnsi="宋体" w:cs="宋体"/>
      <w:sz w:val="30"/>
      <w:szCs w:val="30"/>
      <w:lang w:val="zh-TW" w:eastAsia="zh-TW" w:bidi="zh-TW"/>
    </w:rPr>
  </w:style>
  <w:style w:type="paragraph" w:customStyle="1" w:styleId="202">
    <w:name w:val="_Style 1931"/>
    <w:basedOn w:val="1"/>
    <w:next w:val="2"/>
    <w:qFormat/>
    <w:uiPriority w:val="34"/>
    <w:pPr>
      <w:ind w:firstLine="420" w:firstLineChars="200"/>
    </w:pPr>
  </w:style>
  <w:style w:type="paragraph" w:customStyle="1" w:styleId="203">
    <w:name w:val="段落"/>
    <w:basedOn w:val="1"/>
    <w:qFormat/>
    <w:uiPriority w:val="0"/>
    <w:pPr>
      <w:spacing w:line="460" w:lineRule="exact"/>
      <w:ind w:firstLine="480"/>
    </w:pPr>
    <w:rPr>
      <w:rFonts w:ascii="Calibri" w:hAnsi="Calibri"/>
      <w:sz w:val="24"/>
      <w:szCs w:val="20"/>
    </w:rPr>
  </w:style>
  <w:style w:type="paragraph" w:customStyle="1" w:styleId="204">
    <w:name w:val="首行缩进"/>
    <w:basedOn w:val="1"/>
    <w:qFormat/>
    <w:uiPriority w:val="0"/>
    <w:pPr>
      <w:spacing w:line="360" w:lineRule="auto"/>
      <w:ind w:firstLine="480" w:firstLineChars="200"/>
    </w:pPr>
    <w:rPr>
      <w:rFonts w:ascii="宋体" w:hAnsi="宋体" w:cs="宋体"/>
      <w:kern w:val="0"/>
      <w:sz w:val="24"/>
    </w:rPr>
  </w:style>
  <w:style w:type="paragraph" w:customStyle="1" w:styleId="205">
    <w:name w:val="列出段落4"/>
    <w:basedOn w:val="1"/>
    <w:unhideWhenUsed/>
    <w:qFormat/>
    <w:uiPriority w:val="99"/>
    <w:pPr>
      <w:spacing w:line="360" w:lineRule="auto"/>
      <w:ind w:firstLine="420" w:firstLineChars="200"/>
    </w:pPr>
    <w:rPr>
      <w:rFonts w:ascii="Calibri" w:hAnsi="Calibri" w:eastAsia="仿宋_GB2312"/>
      <w:sz w:val="32"/>
      <w:szCs w:val="22"/>
    </w:rPr>
  </w:style>
  <w:style w:type="paragraph" w:customStyle="1" w:styleId="206">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207">
    <w:name w:val="正文 A"/>
    <w:next w:val="19"/>
    <w:qFormat/>
    <w:uiPriority w:val="0"/>
    <w:pPr>
      <w:widowControl w:val="0"/>
      <w:jc w:val="both"/>
    </w:pPr>
    <w:rPr>
      <w:rFonts w:ascii="Times New Roman" w:hAnsi="Times New Roman" w:eastAsia="ヒラギノ角ゴ Pro W3" w:cs="Times New Roman"/>
      <w:color w:val="000000"/>
      <w:kern w:val="2"/>
      <w:sz w:val="21"/>
      <w:lang w:val="en-US" w:eastAsia="zh-CN" w:bidi="ar-SA"/>
    </w:rPr>
  </w:style>
  <w:style w:type="paragraph" w:customStyle="1" w:styleId="208">
    <w:name w:val="无间距"/>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9">
    <w:name w:val="*正文"/>
    <w:basedOn w:val="1"/>
    <w:qFormat/>
    <w:uiPriority w:val="0"/>
    <w:pPr>
      <w:widowControl/>
      <w:spacing w:line="360" w:lineRule="auto"/>
    </w:pPr>
    <w:rPr>
      <w:rFonts w:ascii="仿宋_GB2312" w:eastAsia="仿宋_GB2312"/>
      <w:sz w:val="24"/>
      <w:szCs w:val="28"/>
    </w:rPr>
  </w:style>
  <w:style w:type="table" w:customStyle="1" w:styleId="210">
    <w:name w:val="Table Normal"/>
    <w:unhideWhenUsed/>
    <w:qFormat/>
    <w:uiPriority w:val="0"/>
    <w:tblPr>
      <w:tblCellMar>
        <w:top w:w="0" w:type="dxa"/>
        <w:left w:w="0" w:type="dxa"/>
        <w:bottom w:w="0" w:type="dxa"/>
        <w:right w:w="0" w:type="dxa"/>
      </w:tblCellMar>
    </w:tblPr>
  </w:style>
  <w:style w:type="character" w:customStyle="1" w:styleId="211">
    <w:name w:val="form-textarea-print1"/>
    <w:qFormat/>
    <w:uiPriority w:val="0"/>
    <w:rPr>
      <w:rFonts w:hint="default" w:ascii="微软雅黑" w:hAnsi="微软雅黑" w:eastAsia="宋体" w:cs="Times New Roman"/>
      <w:sz w:val="18"/>
      <w:szCs w:val="18"/>
    </w:rPr>
  </w:style>
  <w:style w:type="character" w:customStyle="1" w:styleId="212">
    <w:name w:val="cke_colorbox"/>
    <w:basedOn w:val="47"/>
    <w:qFormat/>
    <w:uiPriority w:val="0"/>
    <w:rPr>
      <w:bdr w:val="single" w:color="808080" w:sz="4" w:space="0"/>
    </w:rPr>
  </w:style>
  <w:style w:type="character" w:customStyle="1" w:styleId="213">
    <w:name w:val="cke_colorbox1"/>
    <w:basedOn w:val="47"/>
    <w:qFormat/>
    <w:uiPriority w:val="0"/>
  </w:style>
  <w:style w:type="character" w:customStyle="1" w:styleId="214">
    <w:name w:val="pwdtips_alert"/>
    <w:basedOn w:val="47"/>
    <w:qFormat/>
    <w:uiPriority w:val="0"/>
    <w:rPr>
      <w:bdr w:val="single" w:color="FFCB25" w:sz="4" w:space="0"/>
      <w:shd w:val="clear" w:color="auto" w:fill="FFEAA6"/>
    </w:rPr>
  </w:style>
  <w:style w:type="character" w:customStyle="1" w:styleId="215">
    <w:name w:val="l-btn-left"/>
    <w:basedOn w:val="47"/>
    <w:qFormat/>
    <w:uiPriority w:val="0"/>
  </w:style>
  <w:style w:type="character" w:customStyle="1" w:styleId="216">
    <w:name w:val="l-btn-left1"/>
    <w:basedOn w:val="47"/>
    <w:qFormat/>
    <w:uiPriority w:val="0"/>
  </w:style>
  <w:style w:type="character" w:customStyle="1" w:styleId="217">
    <w:name w:val="l-btn-left2"/>
    <w:basedOn w:val="47"/>
    <w:qFormat/>
    <w:uiPriority w:val="0"/>
  </w:style>
  <w:style w:type="character" w:customStyle="1" w:styleId="218">
    <w:name w:val="l-btn-left3"/>
    <w:basedOn w:val="47"/>
    <w:qFormat/>
    <w:uiPriority w:val="0"/>
  </w:style>
  <w:style w:type="character" w:customStyle="1" w:styleId="219">
    <w:name w:val="combo2"/>
    <w:basedOn w:val="47"/>
    <w:qFormat/>
    <w:uiPriority w:val="0"/>
  </w:style>
  <w:style w:type="character" w:customStyle="1" w:styleId="220">
    <w:name w:val="l-btn-empty"/>
    <w:basedOn w:val="47"/>
    <w:qFormat/>
    <w:uiPriority w:val="0"/>
  </w:style>
  <w:style w:type="character" w:customStyle="1" w:styleId="221">
    <w:name w:val="red"/>
    <w:basedOn w:val="47"/>
    <w:qFormat/>
    <w:uiPriority w:val="0"/>
    <w:rPr>
      <w:color w:val="FF0000"/>
    </w:rPr>
  </w:style>
  <w:style w:type="character" w:customStyle="1" w:styleId="222">
    <w:name w:val="l-btn-text"/>
    <w:basedOn w:val="47"/>
    <w:qFormat/>
    <w:uiPriority w:val="0"/>
    <w:rPr>
      <w:color w:val="1864AC"/>
      <w:sz w:val="14"/>
      <w:szCs w:val="14"/>
    </w:rPr>
  </w:style>
  <w:style w:type="character" w:customStyle="1" w:styleId="223">
    <w:name w:val="l-btn-text1"/>
    <w:basedOn w:val="47"/>
    <w:qFormat/>
    <w:uiPriority w:val="0"/>
  </w:style>
  <w:style w:type="character" w:customStyle="1" w:styleId="224">
    <w:name w:val="green"/>
    <w:basedOn w:val="47"/>
    <w:qFormat/>
    <w:uiPriority w:val="0"/>
    <w:rPr>
      <w:color w:val="00A521"/>
    </w:rPr>
  </w:style>
  <w:style w:type="character" w:customStyle="1" w:styleId="225">
    <w:name w:val="valueinfo"/>
    <w:basedOn w:val="47"/>
    <w:qFormat/>
    <w:uiPriority w:val="0"/>
    <w:rPr>
      <w:color w:val="666666"/>
    </w:rPr>
  </w:style>
  <w:style w:type="character" w:customStyle="1" w:styleId="226">
    <w:name w:val="tree-file2"/>
    <w:basedOn w:val="47"/>
    <w:qFormat/>
    <w:uiPriority w:val="0"/>
  </w:style>
  <w:style w:type="character" w:customStyle="1" w:styleId="227">
    <w:name w:val="vainfo"/>
    <w:basedOn w:val="47"/>
    <w:qFormat/>
    <w:uiPriority w:val="0"/>
    <w:rPr>
      <w:color w:val="FF0000"/>
      <w:bdr w:val="single" w:color="FCBCBC" w:sz="4" w:space="0"/>
      <w:shd w:val="clear" w:color="auto" w:fill="FFE4E4"/>
    </w:rPr>
  </w:style>
  <w:style w:type="character" w:customStyle="1" w:styleId="228">
    <w:name w:val="pwdtips_ok"/>
    <w:basedOn w:val="47"/>
    <w:qFormat/>
    <w:uiPriority w:val="0"/>
    <w:rPr>
      <w:bdr w:val="single" w:color="8EFF25" w:sz="4" w:space="0"/>
      <w:shd w:val="clear" w:color="auto" w:fill="B4FFA6"/>
    </w:rPr>
  </w:style>
  <w:style w:type="character" w:customStyle="1" w:styleId="229">
    <w:name w:val="pwdtips_error"/>
    <w:basedOn w:val="47"/>
    <w:qFormat/>
    <w:uiPriority w:val="0"/>
    <w:rPr>
      <w:bdr w:val="single" w:color="FF2525" w:sz="4" w:space="0"/>
      <w:shd w:val="clear" w:color="auto" w:fill="FFA6A6"/>
    </w:rPr>
  </w:style>
  <w:style w:type="character" w:customStyle="1" w:styleId="230">
    <w:name w:val="tree-title4"/>
    <w:basedOn w:val="47"/>
    <w:qFormat/>
    <w:uiPriority w:val="0"/>
    <w:rPr>
      <w:color w:val="1864AC"/>
    </w:rPr>
  </w:style>
  <w:style w:type="character" w:customStyle="1" w:styleId="231">
    <w:name w:val="tree-title5"/>
    <w:basedOn w:val="47"/>
    <w:qFormat/>
    <w:uiPriority w:val="0"/>
    <w:rPr>
      <w:color w:val="FFFFFF"/>
      <w:shd w:val="clear" w:color="auto" w:fill="3366CC"/>
    </w:rPr>
  </w:style>
  <w:style w:type="character" w:customStyle="1" w:styleId="232">
    <w:name w:val="info"/>
    <w:basedOn w:val="47"/>
    <w:qFormat/>
    <w:uiPriority w:val="0"/>
  </w:style>
  <w:style w:type="character" w:customStyle="1" w:styleId="233">
    <w:name w:val="topic"/>
    <w:basedOn w:val="47"/>
    <w:qFormat/>
    <w:uiPriority w:val="0"/>
    <w:rPr>
      <w:color w:val="FF0000"/>
    </w:rPr>
  </w:style>
  <w:style w:type="paragraph" w:customStyle="1" w:styleId="234">
    <w:name w:val="_Style 213"/>
    <w:basedOn w:val="1"/>
    <w:next w:val="2"/>
    <w:qFormat/>
    <w:uiPriority w:val="34"/>
    <w:pPr>
      <w:adjustRightInd w:val="0"/>
      <w:spacing w:line="360" w:lineRule="atLeast"/>
      <w:ind w:firstLine="420" w:firstLineChars="200"/>
      <w:jc w:val="left"/>
      <w:textAlignment w:val="baseline"/>
    </w:pPr>
    <w:rPr>
      <w:rFonts w:ascii="Arial" w:hAnsi="Arial"/>
      <w:kern w:val="0"/>
      <w:sz w:val="24"/>
    </w:rPr>
  </w:style>
  <w:style w:type="paragraph" w:customStyle="1" w:styleId="235">
    <w:name w:val="修订5"/>
    <w:semiHidden/>
    <w:qFormat/>
    <w:uiPriority w:val="99"/>
    <w:rPr>
      <w:rFonts w:ascii="Times New Roman" w:hAnsi="Times New Roman" w:eastAsia="宋体" w:cs="Times New Roman"/>
      <w:kern w:val="2"/>
      <w:sz w:val="21"/>
      <w:szCs w:val="24"/>
      <w:lang w:val="en-US" w:eastAsia="zh-CN" w:bidi="ar-SA"/>
    </w:rPr>
  </w:style>
  <w:style w:type="paragraph" w:customStyle="1" w:styleId="236">
    <w:name w:val="修订6"/>
    <w:semiHidden/>
    <w:qFormat/>
    <w:uiPriority w:val="99"/>
    <w:rPr>
      <w:rFonts w:ascii="Times New Roman" w:hAnsi="Times New Roman" w:eastAsia="宋体" w:cs="Times New Roman"/>
      <w:kern w:val="2"/>
      <w:sz w:val="21"/>
      <w:szCs w:val="24"/>
      <w:lang w:val="en-US" w:eastAsia="zh-CN" w:bidi="ar-SA"/>
    </w:rPr>
  </w:style>
  <w:style w:type="character" w:customStyle="1" w:styleId="237">
    <w:name w:val="NormalCharacter"/>
    <w:semiHidden/>
    <w:qFormat/>
    <w:uiPriority w:val="0"/>
    <w:rPr>
      <w:rFonts w:ascii="Calibri" w:hAnsi="Calibri" w:eastAsia="宋体"/>
      <w:kern w:val="2"/>
      <w:sz w:val="21"/>
      <w:szCs w:val="24"/>
      <w:lang w:val="en-US" w:eastAsia="zh-CN" w:bidi="ar-SA"/>
    </w:rPr>
  </w:style>
  <w:style w:type="paragraph" w:styleId="238">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239">
    <w:name w:val="列表段落2"/>
    <w:basedOn w:val="1"/>
    <w:qFormat/>
    <w:uiPriority w:val="0"/>
    <w:pPr>
      <w:ind w:firstLine="420"/>
    </w:pPr>
    <w:rPr>
      <w:szCs w:val="21"/>
    </w:rPr>
  </w:style>
  <w:style w:type="paragraph" w:customStyle="1" w:styleId="240">
    <w:name w:val="正文_9_0"/>
    <w:basedOn w:val="1"/>
    <w:qFormat/>
    <w:uiPriority w:val="0"/>
    <w:rPr>
      <w:szCs w:val="21"/>
    </w:rPr>
  </w:style>
  <w:style w:type="paragraph" w:customStyle="1" w:styleId="241">
    <w:name w:val="p15"/>
    <w:basedOn w:val="1"/>
    <w:qFormat/>
    <w:uiPriority w:val="0"/>
    <w:pPr>
      <w:widowControl/>
      <w:snapToGrid w:val="0"/>
      <w:jc w:val="left"/>
    </w:pPr>
    <w:rPr>
      <w:rFonts w:ascii="黑体" w:hAnsi="黑体" w:eastAsia="黑体" w:cs="宋体"/>
      <w:color w:val="000000"/>
      <w:kern w:val="0"/>
      <w:sz w:val="24"/>
    </w:rPr>
  </w:style>
  <w:style w:type="paragraph" w:customStyle="1" w:styleId="242">
    <w:name w:val="Table Text"/>
    <w:basedOn w:val="1"/>
    <w:semiHidden/>
    <w:qFormat/>
    <w:uiPriority w:val="0"/>
    <w:rPr>
      <w:rFonts w:ascii="宋体" w:hAnsi="宋体" w:cs="宋体"/>
      <w:szCs w:val="21"/>
      <w:lang w:eastAsia="en-US"/>
    </w:rPr>
  </w:style>
  <w:style w:type="paragraph" w:customStyle="1" w:styleId="243">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244">
    <w:name w:val="标题 5（有编号）（绿盟科技）"/>
    <w:next w:val="245"/>
    <w:qFormat/>
    <w:uiPriority w:val="0"/>
    <w:pPr>
      <w:keepNext/>
      <w:keepLines/>
      <w:widowControl w:val="0"/>
      <w:numPr>
        <w:ilvl w:val="4"/>
        <w:numId w:val="3"/>
      </w:numPr>
      <w:spacing w:before="280" w:after="156" w:line="377" w:lineRule="auto"/>
      <w:outlineLvl w:val="4"/>
    </w:pPr>
    <w:rPr>
      <w:rFonts w:ascii="Arial" w:hAnsi="Arial" w:eastAsia="黑体" w:cs="Times New Roman"/>
      <w:b/>
      <w:sz w:val="24"/>
      <w:szCs w:val="28"/>
      <w:lang w:val="en-US" w:eastAsia="zh-CN" w:bidi="ar-SA"/>
    </w:rPr>
  </w:style>
  <w:style w:type="paragraph" w:customStyle="1" w:styleId="245">
    <w:name w:val="正文（绿盟科技）"/>
    <w:qFormat/>
    <w:uiPriority w:val="0"/>
    <w:pPr>
      <w:spacing w:line="300" w:lineRule="auto"/>
    </w:pPr>
    <w:rPr>
      <w:rFonts w:ascii="Arial" w:hAnsi="Arial" w:eastAsia="宋体" w:cs="黑体"/>
      <w:sz w:val="21"/>
      <w:szCs w:val="21"/>
      <w:lang w:val="en-US" w:eastAsia="zh-CN" w:bidi="ar-SA"/>
    </w:rPr>
  </w:style>
  <w:style w:type="table" w:customStyle="1" w:styleId="246">
    <w:name w:val="Table Normal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47">
    <w:name w:val="普通(网站)1"/>
    <w:basedOn w:val="1"/>
    <w:qFormat/>
    <w:uiPriority w:val="0"/>
    <w:pPr>
      <w:widowControl/>
      <w:spacing w:before="100" w:beforeAutospacing="1" w:after="100" w:afterAutospacing="1"/>
      <w:jc w:val="left"/>
    </w:pPr>
    <w:rPr>
      <w:rFonts w:ascii="宋体" w:hAnsi="宋体"/>
      <w:sz w:val="24"/>
    </w:rPr>
  </w:style>
  <w:style w:type="paragraph" w:customStyle="1" w:styleId="248">
    <w:name w:val="正文缩进1"/>
    <w:basedOn w:val="1"/>
    <w:qFormat/>
    <w:uiPriority w:val="0"/>
    <w:pPr>
      <w:ind w:firstLine="420"/>
    </w:pPr>
  </w:style>
  <w:style w:type="character" w:customStyle="1" w:styleId="249">
    <w:name w:val="font81"/>
    <w:basedOn w:val="47"/>
    <w:qFormat/>
    <w:uiPriority w:val="0"/>
    <w:rPr>
      <w:rFonts w:hint="eastAsia" w:ascii="微软雅黑" w:hAnsi="微软雅黑" w:eastAsia="微软雅黑" w:cs="微软雅黑"/>
      <w:color w:val="000000"/>
      <w:sz w:val="28"/>
      <w:szCs w:val="28"/>
      <w:u w:val="none"/>
    </w:rPr>
  </w:style>
  <w:style w:type="character" w:customStyle="1" w:styleId="250">
    <w:name w:val="font101"/>
    <w:basedOn w:val="47"/>
    <w:qFormat/>
    <w:uiPriority w:val="0"/>
    <w:rPr>
      <w:rFonts w:hint="eastAsia" w:ascii="微软雅黑" w:hAnsi="微软雅黑" w:eastAsia="微软雅黑" w:cs="微软雅黑"/>
      <w:b/>
      <w:bCs/>
      <w:color w:val="000000"/>
      <w:sz w:val="28"/>
      <w:szCs w:val="28"/>
      <w:u w:val="none"/>
    </w:rPr>
  </w:style>
  <w:style w:type="character" w:customStyle="1" w:styleId="251">
    <w:name w:val="font91"/>
    <w:basedOn w:val="47"/>
    <w:qFormat/>
    <w:uiPriority w:val="0"/>
    <w:rPr>
      <w:rFonts w:hint="eastAsia" w:ascii="微软雅黑" w:hAnsi="微软雅黑" w:eastAsia="微软雅黑" w:cs="微软雅黑"/>
      <w:color w:val="000000"/>
      <w:sz w:val="28"/>
      <w:szCs w:val="28"/>
      <w:u w:val="none"/>
    </w:rPr>
  </w:style>
  <w:style w:type="character" w:customStyle="1" w:styleId="252">
    <w:name w:val="font111"/>
    <w:basedOn w:val="47"/>
    <w:qFormat/>
    <w:uiPriority w:val="0"/>
    <w:rPr>
      <w:rFonts w:hint="eastAsia" w:ascii="微软雅黑" w:hAnsi="微软雅黑" w:eastAsia="微软雅黑" w:cs="微软雅黑"/>
      <w:b/>
      <w:bCs/>
      <w:color w:val="000000"/>
      <w:sz w:val="28"/>
      <w:szCs w:val="28"/>
      <w:u w:val="none"/>
    </w:rPr>
  </w:style>
  <w:style w:type="paragraph" w:styleId="253">
    <w:name w:val="Quote"/>
    <w:basedOn w:val="1"/>
    <w:next w:val="1"/>
    <w:link w:val="254"/>
    <w:qFormat/>
    <w:uiPriority w:val="29"/>
    <w:pPr>
      <w:spacing w:before="160" w:after="160"/>
      <w:jc w:val="center"/>
    </w:pPr>
    <w:rPr>
      <w:rFonts w:asciiTheme="minorHAnsi" w:hAnsiTheme="minorHAnsi" w:eastAsiaTheme="minorEastAsia" w:cstheme="minorBidi"/>
      <w:i/>
      <w:iCs/>
      <w:color w:val="3F3F3F" w:themeColor="text1" w:themeTint="BF"/>
      <w:sz w:val="32"/>
      <w:szCs w:val="28"/>
    </w:rPr>
  </w:style>
  <w:style w:type="character" w:customStyle="1" w:styleId="254">
    <w:name w:val="引用 字符"/>
    <w:basedOn w:val="47"/>
    <w:link w:val="253"/>
    <w:uiPriority w:val="29"/>
    <w:rPr>
      <w:rFonts w:asciiTheme="minorHAnsi" w:hAnsiTheme="minorHAnsi" w:eastAsiaTheme="minorEastAsia" w:cstheme="minorBidi"/>
      <w:i/>
      <w:iCs/>
      <w:color w:val="3F3F3F" w:themeColor="text1" w:themeTint="BF"/>
      <w:kern w:val="2"/>
      <w:sz w:val="32"/>
      <w:szCs w:val="28"/>
    </w:rPr>
  </w:style>
  <w:style w:type="character" w:customStyle="1" w:styleId="255">
    <w:name w:val="Intense Emphasis"/>
    <w:basedOn w:val="47"/>
    <w:qFormat/>
    <w:uiPriority w:val="21"/>
    <w:rPr>
      <w:i/>
      <w:iCs/>
      <w:color w:val="366091" w:themeColor="accent1" w:themeShade="BF"/>
    </w:rPr>
  </w:style>
  <w:style w:type="paragraph" w:styleId="256">
    <w:name w:val="Intense Quote"/>
    <w:basedOn w:val="1"/>
    <w:next w:val="1"/>
    <w:link w:val="25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rFonts w:asciiTheme="minorHAnsi" w:hAnsiTheme="minorHAnsi" w:eastAsiaTheme="minorEastAsia" w:cstheme="minorBidi"/>
      <w:i/>
      <w:iCs/>
      <w:color w:val="366091" w:themeColor="accent1" w:themeShade="BF"/>
      <w:sz w:val="32"/>
      <w:szCs w:val="28"/>
    </w:rPr>
  </w:style>
  <w:style w:type="character" w:customStyle="1" w:styleId="257">
    <w:name w:val="明显引用 字符"/>
    <w:basedOn w:val="47"/>
    <w:link w:val="256"/>
    <w:uiPriority w:val="30"/>
    <w:rPr>
      <w:rFonts w:asciiTheme="minorHAnsi" w:hAnsiTheme="minorHAnsi" w:eastAsiaTheme="minorEastAsia" w:cstheme="minorBidi"/>
      <w:i/>
      <w:iCs/>
      <w:color w:val="366091" w:themeColor="accent1" w:themeShade="BF"/>
      <w:kern w:val="2"/>
      <w:sz w:val="32"/>
      <w:szCs w:val="28"/>
    </w:rPr>
  </w:style>
  <w:style w:type="character" w:customStyle="1" w:styleId="258">
    <w:name w:val="Intense Reference"/>
    <w:basedOn w:val="47"/>
    <w:qFormat/>
    <w:uiPriority w:val="32"/>
    <w:rPr>
      <w:b/>
      <w:bCs/>
      <w:smallCaps/>
      <w:color w:val="366091" w:themeColor="accent1" w:themeShade="BF"/>
      <w:spacing w:val="5"/>
    </w:rPr>
  </w:style>
  <w:style w:type="character" w:customStyle="1" w:styleId="259">
    <w:name w:val="正文文本首行缩进 2 字符"/>
    <w:basedOn w:val="68"/>
    <w:link w:val="44"/>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package" Target="embeddings/Workbook1.xlsx"/><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package" Target="embeddings/Workbook6.xlsx"/><Relationship Id="rId18" Type="http://schemas.openxmlformats.org/officeDocument/2006/relationships/image" Target="media/image5.emf"/><Relationship Id="rId17" Type="http://schemas.openxmlformats.org/officeDocument/2006/relationships/package" Target="embeddings/Workbook5.xlsx"/><Relationship Id="rId16" Type="http://schemas.openxmlformats.org/officeDocument/2006/relationships/image" Target="media/image4.emf"/><Relationship Id="rId15" Type="http://schemas.openxmlformats.org/officeDocument/2006/relationships/package" Target="embeddings/Workbook4.xlsx"/><Relationship Id="rId14" Type="http://schemas.openxmlformats.org/officeDocument/2006/relationships/image" Target="media/image3.emf"/><Relationship Id="rId13" Type="http://schemas.openxmlformats.org/officeDocument/2006/relationships/package" Target="embeddings/Workbook3.xlsx"/><Relationship Id="rId12" Type="http://schemas.openxmlformats.org/officeDocument/2006/relationships/image" Target="media/image2.emf"/><Relationship Id="rId11" Type="http://schemas.openxmlformats.org/officeDocument/2006/relationships/package" Target="embeddings/Workbook2.xlsx"/><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2026\&#25307;&#26631;\&#39033;&#30446;\&#21335;&#20140;&#24066;&#38081;&#36335;&#21335;&#20140;&#21335;&#31449;&#22320;&#21306;&#32508;&#21512;&#31649;&#29702;&#21150;&#20844;&#23460;\&#33258;&#25311;&#25991;&#20214;\&#65288;&#26368;&#32456;&#21487;&#23450;&#65289;&#21335;&#20140;&#24066;&#21335;&#20140;&#21335;&#31449;&#22320;&#21306;&#31038;&#20250;&#27835;&#23433;&#21327;&#31649;&#26381;&#21153;&#39033;&#30446;&#25307;&#26631;&#25991;&#20214;.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FF0360-F251-4ACB-9F83-CB19CD793BFC}">
  <ds:schemaRefs/>
</ds:datastoreItem>
</file>

<file path=docProps/app.xml><?xml version="1.0" encoding="utf-8"?>
<Properties xmlns="http://schemas.openxmlformats.org/officeDocument/2006/extended-properties" xmlns:vt="http://schemas.openxmlformats.org/officeDocument/2006/docPropsVTypes">
  <Template>（最终可定）南京市南京南站地区社会治安协管服务项目招标文件</Template>
  <Pages>105</Pages>
  <Words>23557</Words>
  <Characters>24894</Characters>
  <Lines>3143</Lines>
  <Paragraphs>2273</Paragraphs>
  <TotalTime>290</TotalTime>
  <ScaleCrop>false</ScaleCrop>
  <LinksUpToDate>false</LinksUpToDate>
  <CharactersWithSpaces>25006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2026-10-08T00:01:00Z</dcterms:created>
  <dc:creator>WoW</dc:creator>
  <cp:lastModifiedBy>凯</cp:lastModifiedBy>
  <dcterms:modified xsi:type="dcterms:W3CDTF">2026-10-09T06:49:57Z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4A3DE65D32674158A5C74695068D37A8_13</vt:lpwstr>
  </property>
  <property fmtid="{D5CDD505-2E9C-101B-9397-08002B2CF9AE}" pid="4" name="KSOTemplateDocerSaveRecord">
    <vt:lpwstr>eyJoZGlkIjoiYmMzYThlOThlYjYyMzUxYTExZTU2OGEwOTQ4NzhkNjEiLCJ1c2VySWQiOiIxNTQxMDE2ODc5In0=</vt:lpwstr>
  </property>
</Properties>
</file>