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spacing w:before="120" w:beforeAutospacing="0" w:after="120" w:afterAutospacing="0" w:line="360" w:lineRule="auto"/>
        <w:rPr>
          <w:color w:val="auto"/>
          <w:highlight w:val="none"/>
        </w:rPr>
      </w:pPr>
      <w:r>
        <w:rPr>
          <w:color w:val="auto"/>
          <w:highlight w:val="none"/>
        </w:rPr>
        <w:t xml:space="preserve"> </w:t>
      </w:r>
      <w:r/>
    </w:p>
    <w:p>
      <w:pPr>
        <w:pStyle w:val="90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0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905"/>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905"/>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905"/>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905"/>
        <w:ind w:left="4172" w:hanging="3534"/>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highlight w:val="none"/>
        </w:rPr>
      </w:pPr>
      <w:r>
        <w:rPr>
          <w:rFonts w:ascii="Arial" w:hAnsi="Arial" w:cs="Arial"/>
          <w:b/>
          <w:color w:val="auto"/>
          <w:sz w:val="32"/>
          <w:szCs w:val="32"/>
          <w:highlight w:val="none"/>
        </w:rPr>
        <w:t xml:space="preserve">项目名称：</w:t>
      </w:r>
      <w:r>
        <w:rPr>
          <w:rFonts w:hint="eastAsia" w:ascii="宋体" w:hAnsi="宋体" w:eastAsia="宋体" w:cs="宋体"/>
          <w:b/>
          <w:color w:val="auto"/>
          <w:sz w:val="32"/>
          <w:szCs w:val="32"/>
          <w:highlight w:val="none"/>
        </w:rPr>
        <w:t xml:space="preserve">盐城市第三人民医院</w:t>
      </w:r>
      <w:r>
        <w:rPr>
          <w:rFonts w:hint="eastAsia" w:ascii="宋体" w:hAnsi="宋体" w:eastAsia="宋体" w:cs="宋体"/>
          <w:b/>
          <w:color w:val="auto"/>
          <w:sz w:val="32"/>
          <w:szCs w:val="32"/>
          <w:highlight w:val="none"/>
          <w:lang w:val="en-US" w:eastAsia="zh-CN"/>
        </w:rPr>
        <w:t xml:space="preserve">南院</w:t>
      </w:r>
      <w:r>
        <w:rPr>
          <w:rFonts w:hint="eastAsia" w:ascii="宋体" w:hAnsi="宋体" w:eastAsia="宋体" w:cs="宋体"/>
          <w:b/>
          <w:color w:val="auto"/>
          <w:sz w:val="32"/>
          <w:szCs w:val="32"/>
          <w:highlight w:val="none"/>
        </w:rPr>
        <w:t xml:space="preserve">一期病房改造提升</w:t>
      </w:r>
      <w:r>
        <w:rPr>
          <w:rFonts w:hint="eastAsia" w:ascii="宋体" w:hAnsi="宋体" w:eastAsia="宋体" w:cs="宋体"/>
          <w:b/>
          <w:color w:val="auto"/>
          <w:sz w:val="32"/>
          <w:szCs w:val="32"/>
          <w:highlight w:val="none"/>
          <w:lang w:eastAsia="zh-CN"/>
        </w:rPr>
        <w:t xml:space="preserve">腹腔镜设备</w:t>
      </w:r>
      <w:r>
        <w:rPr>
          <w:rFonts w:hint="eastAsia" w:ascii="宋体" w:hAnsi="宋体" w:eastAsia="宋体" w:cs="宋体"/>
          <w:b/>
          <w:color w:val="auto"/>
          <w:sz w:val="32"/>
          <w:szCs w:val="32"/>
          <w:highlight w:val="none"/>
        </w:rPr>
        <w:t xml:space="preserve">采购</w:t>
      </w:r>
      <w:r/>
    </w:p>
    <w:p>
      <w:pPr>
        <w:pStyle w:val="905"/>
        <w:ind w:firstLine="643"/>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JSZC-320903-RHHH-G2026-0073</w:t>
      </w:r>
      <w:r/>
    </w:p>
    <w:p>
      <w:pPr>
        <w:pStyle w:val="905"/>
        <w:spacing w:beforeAutospacing="0" w:afterAutospacing="0" w:line="360" w:lineRule="auto"/>
        <w:rPr>
          <w:color w:val="auto"/>
          <w:highlight w:val="none"/>
        </w:rPr>
      </w:pPr>
      <w:r>
        <w:rPr>
          <w:color w:val="auto"/>
          <w:highlight w:val="none"/>
        </w:rPr>
        <w:t xml:space="preserve">  </w:t>
      </w:r>
      <w:r/>
    </w:p>
    <w:p>
      <w:pPr>
        <w:pStyle w:val="905"/>
        <w:spacing w:beforeAutospacing="0" w:afterAutospacing="0" w:line="360" w:lineRule="auto"/>
        <w:rPr>
          <w:color w:val="auto"/>
          <w:highlight w:val="none"/>
        </w:rPr>
      </w:pPr>
      <w:r>
        <w:rPr>
          <w:color w:val="auto"/>
          <w:highlight w:val="none"/>
        </w:rPr>
        <w:t xml:space="preserve"> </w:t>
      </w:r>
      <w:r/>
    </w:p>
    <w:p>
      <w:pPr>
        <w:pStyle w:val="905"/>
        <w:spacing w:beforeAutospacing="0" w:afterAutospacing="0" w:line="360" w:lineRule="auto"/>
        <w:rPr>
          <w:color w:val="auto"/>
          <w:highlight w:val="none"/>
        </w:rPr>
      </w:pPr>
      <w:r>
        <w:rPr>
          <w:color w:val="auto"/>
          <w:highlight w:val="none"/>
        </w:rPr>
        <w:t xml:space="preserve"> </w:t>
      </w:r>
      <w:r/>
    </w:p>
    <w:p>
      <w:pPr>
        <w:pStyle w:val="905"/>
        <w:spacing w:beforeAutospacing="0" w:afterAutospacing="0" w:line="360" w:lineRule="auto"/>
        <w:rPr>
          <w:color w:val="auto"/>
          <w:highlight w:val="none"/>
        </w:rPr>
      </w:pPr>
      <w:r>
        <w:rPr>
          <w:color w:val="auto"/>
          <w:highlight w:val="none"/>
        </w:rPr>
        <w:t xml:space="preserve"> </w:t>
      </w:r>
      <w:r/>
    </w:p>
    <w:p>
      <w:pPr>
        <w:pStyle w:val="905"/>
        <w:spacing w:beforeAutospacing="0" w:afterAutospacing="0" w:line="360" w:lineRule="auto"/>
        <w:rPr>
          <w:color w:val="auto"/>
          <w:highlight w:val="none"/>
        </w:rPr>
      </w:pPr>
      <w:r>
        <w:rPr>
          <w:color w:val="auto"/>
          <w:highlight w:val="none"/>
        </w:rPr>
        <w:t xml:space="preserve"> </w:t>
      </w:r>
      <w:r/>
    </w:p>
    <w:p>
      <w:pPr>
        <w:pStyle w:val="905"/>
        <w:spacing w:beforeAutospacing="0" w:afterAutospacing="0" w:line="360" w:lineRule="auto"/>
        <w:rPr>
          <w:color w:val="auto"/>
          <w:highlight w:val="none"/>
        </w:rPr>
      </w:pPr>
      <w:r>
        <w:rPr>
          <w:color w:val="auto"/>
          <w:highlight w:val="none"/>
        </w:rPr>
        <w:t xml:space="preserve"> </w:t>
      </w:r>
      <w:r/>
    </w:p>
    <w:p>
      <w:pPr>
        <w:pStyle w:val="905"/>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盐城市第三人民医院</w:t>
      </w:r>
      <w:r/>
    </w:p>
    <w:p>
      <w:pPr>
        <w:pStyle w:val="905"/>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2026年10月</w:t>
      </w:r>
      <w:r/>
    </w:p>
    <w:p>
      <w:pPr>
        <w:pStyle w:val="905"/>
        <w:jc w:val="center"/>
        <w:spacing w:before="120" w:beforeAutospacing="0" w:after="120" w:afterAutospacing="0" w:line="360" w:lineRule="auto"/>
        <w:rPr>
          <w:color w:val="auto"/>
          <w:highlight w:val="none"/>
        </w:rPr>
      </w:pPr>
      <w:r>
        <w:rPr>
          <w:color w:val="auto"/>
          <w:highlight w:val="none"/>
        </w:rPr>
        <w:t xml:space="preserve"> </w:t>
      </w:r>
      <w:r/>
    </w:p>
    <w:p>
      <w:pPr>
        <w:pStyle w:val="905"/>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color w:val="auto"/>
          <w:sz w:val="21"/>
          <w:szCs w:val="21"/>
          <w:highlight w:val="none"/>
        </w:rPr>
      </w:r>
      <w:r/>
    </w:p>
    <w:p>
      <w:pPr>
        <w:pStyle w:val="905"/>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120614210"/>
      <w:r/>
      <w:bookmarkStart w:id="2" w:name="_Toc523127445"/>
      <w:r/>
      <w:bookmarkStart w:id="3" w:name="_Toc479757206"/>
      <w:r/>
      <w:bookmarkStart w:id="4" w:name="_Toc20823272"/>
      <w:r/>
      <w:bookmarkStart w:id="5" w:name="_Toc1693851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05"/>
        <w:jc w:val="both"/>
        <w:spacing w:beforeAutospacing="0" w:afterAutospacing="0" w:line="480" w:lineRule="auto"/>
        <w:rPr>
          <w:color w:val="auto"/>
          <w:highlight w:val="none"/>
        </w:rPr>
      </w:pPr>
      <w:r>
        <w:rPr>
          <w:color w:val="auto"/>
          <w:highlight w:val="none"/>
        </w:rPr>
        <w:t xml:space="preserve"> </w:t>
      </w:r>
      <w:r/>
    </w:p>
    <w:p>
      <w:pPr>
        <w:pStyle w:val="90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一</w:t>
      </w:r>
      <w:r>
        <w:rPr>
          <w:rFonts w:hint="eastAsia" w:ascii="黑体" w:hAnsi="宋体" w:eastAsia="黑体" w:cs="黑体"/>
          <w:color w:val="auto"/>
          <w:sz w:val="36"/>
          <w:szCs w:val="36"/>
          <w:highlight w:val="none"/>
          <w:lang w:val="en-US" w:eastAsia="zh-CN"/>
        </w:rPr>
        <w:t xml:space="preserve">、</w:t>
      </w: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90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二</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90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三</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pStyle w:val="90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四</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27</w:t>
      </w:r>
      <w:r/>
    </w:p>
    <w:p>
      <w:pPr>
        <w:pStyle w:val="90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五</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36</w:t>
      </w:r>
      <w:r/>
    </w:p>
    <w:p>
      <w:pPr>
        <w:pStyle w:val="90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六</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40</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center"/>
        <w:keepNext/>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6" w:name="_Toc28359086"/>
      <w:r/>
      <w:r/>
    </w:p>
    <w:p>
      <w:pPr>
        <w:pStyle w:val="905"/>
        <w:jc w:val="center"/>
        <w:keepNext/>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905"/>
        <w:jc w:val="center"/>
        <w:keepNext/>
        <w:spacing w:beforeAutospacing="0" w:afterAutospacing="0"/>
        <w:rPr>
          <w:rFonts w:hint="default" w:ascii="黑体" w:hAnsi="宋体" w:eastAsia="黑体" w:cs="黑体"/>
          <w:color w:val="auto"/>
          <w:sz w:val="44"/>
          <w:szCs w:val="44"/>
          <w:highlight w:val="none"/>
          <w:lang w:val="en-US" w:eastAsia="zh-CN"/>
        </w:rPr>
      </w:pPr>
      <w:r>
        <w:rPr>
          <w:rFonts w:hint="default" w:ascii="黑体" w:hAnsi="宋体" w:eastAsia="黑体" w:cs="黑体"/>
          <w:color w:val="auto"/>
          <w:sz w:val="44"/>
          <w:szCs w:val="44"/>
          <w:highlight w:val="none"/>
          <w:lang w:val="en-US" w:eastAsia="zh-CN"/>
        </w:rPr>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05"/>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盐城市第三人民医院南院一期病房改造提升</w:t>
      </w:r>
      <w:r>
        <w:rPr>
          <w:rFonts w:hint="eastAsia" w:ascii="宋体" w:hAnsi="宋体" w:eastAsia="宋体" w:cs="宋体"/>
          <w:color w:val="auto"/>
          <w:sz w:val="24"/>
          <w:szCs w:val="24"/>
          <w:highlight w:val="none"/>
          <w:u w:val="single"/>
          <w:lang w:eastAsia="zh-CN"/>
        </w:rPr>
        <w:t xml:space="preserve">腹腔镜设备</w:t>
      </w:r>
      <w:r>
        <w:rPr>
          <w:rFonts w:hint="eastAsia" w:ascii="宋体" w:hAnsi="宋体" w:eastAsia="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905"/>
        <w:ind w:firstLine="499"/>
        <w:jc w:val="both"/>
        <w:keepLines/>
        <w:keepNext/>
        <w:pageBreakBefore w:val="0"/>
        <w:spacing w:beforeAutospacing="0" w:afterAutospacing="0" w:line="240" w:lineRule="auto"/>
        <w:widowControl w:val="off"/>
        <w:rPr>
          <w:rFonts w:hint="eastAsia" w:ascii="宋体" w:hAnsi="宋体" w:eastAsia="宋体" w:cs="宋体"/>
          <w:b/>
          <w:color w:val="auto"/>
          <w:sz w:val="24"/>
          <w:szCs w:val="24"/>
          <w:highlight w:val="none"/>
        </w:rPr>
      </w:pPr>
      <w:r/>
      <w:bookmarkStart w:id="7" w:name="_Toc28359079"/>
      <w:r/>
      <w:bookmarkStart w:id="8" w:name="_Toc38985263"/>
      <w:r/>
      <w:bookmarkStart w:id="9" w:name="_Toc28359002"/>
      <w:r/>
      <w:bookmarkStart w:id="10" w:name="_Toc35393790"/>
      <w:r/>
      <w:bookmarkStart w:id="11" w:name="_Toc35393621"/>
      <w:r/>
      <w:bookmarkStart w:id="12" w:name="_Hlk24379207"/>
      <w:r/>
      <w:r/>
    </w:p>
    <w:p>
      <w:pPr>
        <w:pStyle w:val="905"/>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1.项目编号：JSZC-320903-RHHH-G2026-0073</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目名称：盐城市第三人民医院南院一期病房改造提升</w:t>
      </w:r>
      <w:r>
        <w:rPr>
          <w:rFonts w:hint="eastAsia" w:ascii="宋体" w:hAnsi="宋体" w:eastAsia="宋体" w:cs="宋体"/>
          <w:color w:val="auto"/>
          <w:sz w:val="24"/>
          <w:szCs w:val="24"/>
          <w:highlight w:val="none"/>
          <w:shd w:val="clear" w:color="auto" w:fill="auto"/>
          <w:lang w:eastAsia="zh-CN"/>
        </w:rPr>
        <w:t xml:space="preserve">腹腔镜设备</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项目</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05"/>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450万元</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450万元</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.采购需求（简介）：盐城市第三人民医院南院一期病房改造提升</w:t>
      </w:r>
      <w:r>
        <w:rPr>
          <w:rFonts w:hint="eastAsia" w:ascii="宋体" w:hAnsi="宋体" w:eastAsia="宋体" w:cs="宋体"/>
          <w:color w:val="auto"/>
          <w:sz w:val="24"/>
          <w:szCs w:val="24"/>
          <w:highlight w:val="none"/>
          <w:shd w:val="clear" w:color="auto" w:fill="auto"/>
          <w:lang w:eastAsia="zh-CN"/>
        </w:rPr>
        <w:t xml:space="preserve">腹腔镜设备</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tbl>
      <w:tblPr>
        <w:tblStyle w:val="899"/>
        <w:tblW w:w="4755"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18"/>
        <w:gridCol w:w="2390"/>
        <w:gridCol w:w="1344"/>
        <w:gridCol w:w="2852"/>
      </w:tblGrid>
      <w:tr>
        <w:trPr>
          <w:jc w:val="center"/>
          <w:trHeight w:val="690"/>
        </w:trPr>
        <w:tc>
          <w:tcPr>
            <w:tcBorders>
              <w:top w:val="single" w:color="auto" w:sz="8" w:space="0"/>
              <w:left w:val="single" w:color="auto" w:sz="8" w:space="0"/>
              <w:bottom w:val="single" w:color="auto" w:sz="8" w:space="0"/>
              <w:right w:val="single" w:color="auto" w:sz="8" w:space="0"/>
            </w:tcBorders>
            <w:tcW w:w="937"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bookmarkStart w:id="13" w:name="_Hlk192844174"/>
            <w:r>
              <w:rPr>
                <w:rFonts w:hint="eastAsia" w:ascii="宋体" w:hAnsi="宋体" w:eastAsia="宋体" w:cs="宋体"/>
                <w:b w:val="0"/>
                <w:color w:val="auto"/>
                <w:position w:val="0"/>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829"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759"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937"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color w:val="auto"/>
                <w:sz w:val="24"/>
                <w:szCs w:val="24"/>
                <w:highlight w:val="none"/>
                <w:shd w:val="clear" w:color="auto" w:fill="auto"/>
                <w:lang w:eastAsia="zh-CN"/>
              </w:rPr>
              <w:t xml:space="preserve">4K腹腔镜系统</w:t>
            </w:r>
            <w:r/>
          </w:p>
        </w:tc>
        <w:tc>
          <w:tcPr>
            <w:tcBorders>
              <w:top w:val="single" w:color="auto" w:sz="8" w:space="0"/>
              <w:left w:val="single" w:color="auto" w:sz="8" w:space="0"/>
              <w:bottom w:val="single" w:color="auto" w:sz="8" w:space="0"/>
              <w:right w:val="single" w:color="auto" w:sz="8" w:space="0"/>
            </w:tcBorders>
            <w:tcW w:w="829" w:type="pct"/>
            <w:vAlign w:val="center"/>
            <w:textDirection w:val="lrTb"/>
            <w:noWrap w:val="false"/>
          </w:tcPr>
          <w:p>
            <w:pPr>
              <w:jc w:val="center"/>
              <w:spacing w:line="360" w:lineRule="auto"/>
              <w:rPr>
                <w:rFonts w:hint="default" w:ascii="宋体" w:hAnsi="宋体" w:eastAsia="宋体" w:cs="宋体"/>
                <w:b w:val="0"/>
                <w:color w:val="auto"/>
                <w:position w:val="0"/>
                <w:sz w:val="24"/>
                <w:szCs w:val="24"/>
                <w:highlight w:val="none"/>
                <w:lang w:val="en-US"/>
              </w:rPr>
            </w:pPr>
            <w:r>
              <w:rPr>
                <w:rFonts w:hint="eastAsia" w:ascii="宋体" w:hAnsi="宋体" w:eastAsia="宋体" w:cs="宋体"/>
                <w:b w:val="0"/>
                <w:color w:val="auto"/>
                <w:position w:val="0"/>
                <w:sz w:val="24"/>
                <w:szCs w:val="24"/>
                <w:highlight w:val="none"/>
                <w:lang w:val="en-US" w:eastAsia="zh-CN"/>
              </w:rPr>
              <w:t xml:space="preserve">2套</w:t>
            </w:r>
            <w:r/>
          </w:p>
        </w:tc>
        <w:tc>
          <w:tcPr>
            <w:tcBorders>
              <w:top w:val="single" w:color="auto" w:sz="8" w:space="0"/>
              <w:left w:val="single" w:color="auto" w:sz="8" w:space="0"/>
              <w:bottom w:val="single" w:color="auto" w:sz="8" w:space="0"/>
              <w:right w:val="single" w:color="auto" w:sz="8" w:space="0"/>
            </w:tcBorders>
            <w:tcW w:w="1759"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否</w:t>
            </w:r>
            <w:r/>
          </w:p>
        </w:tc>
      </w:tr>
      <w:tr>
        <w:trPr>
          <w:jc w:val="center"/>
          <w:trHeight w:val="713"/>
        </w:trPr>
        <w:tc>
          <w:tcPr>
            <w:tcBorders>
              <w:top w:val="single" w:color="auto" w:sz="8" w:space="0"/>
              <w:left w:val="single" w:color="auto" w:sz="8" w:space="0"/>
              <w:bottom w:val="single" w:color="auto" w:sz="8" w:space="0"/>
              <w:right w:val="single" w:color="auto" w:sz="8" w:space="0"/>
            </w:tcBorders>
            <w:tcW w:w="937"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4K荧光腹腔镜系统</w:t>
            </w:r>
            <w:r/>
          </w:p>
        </w:tc>
        <w:tc>
          <w:tcPr>
            <w:tcBorders>
              <w:top w:val="single" w:color="auto" w:sz="8" w:space="0"/>
              <w:left w:val="single" w:color="auto" w:sz="8" w:space="0"/>
              <w:bottom w:val="single" w:color="auto" w:sz="8" w:space="0"/>
              <w:right w:val="single" w:color="auto" w:sz="8" w:space="0"/>
            </w:tcBorders>
            <w:tcW w:w="829"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1套</w:t>
            </w:r>
            <w:r/>
          </w:p>
        </w:tc>
        <w:tc>
          <w:tcPr>
            <w:tcBorders>
              <w:top w:val="single" w:color="auto" w:sz="8" w:space="0"/>
              <w:left w:val="single" w:color="auto" w:sz="8" w:space="0"/>
              <w:bottom w:val="single" w:color="auto" w:sz="8" w:space="0"/>
              <w:right w:val="single" w:color="auto" w:sz="8" w:space="0"/>
            </w:tcBorders>
            <w:tcW w:w="1759"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否</w:t>
            </w:r>
            <w:bookmarkEnd w:id="13"/>
            <w:r/>
            <w:r/>
          </w:p>
        </w:tc>
      </w:tr>
    </w:tbl>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05"/>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w:t>
      </w:r>
      <w:r>
        <w:rPr>
          <w:rFonts w:hint="eastAsia" w:ascii="宋体" w:hAnsi="宋体" w:eastAsia="宋体" w:cs="宋体"/>
          <w:color w:val="auto"/>
          <w:sz w:val="24"/>
          <w:szCs w:val="24"/>
          <w:highlight w:val="none"/>
          <w:u w:val="none"/>
          <w:lang w:val="en-US" w:eastAsia="zh-CN"/>
        </w:rPr>
        <w:t xml:space="preserve">自采购人书面通知之日起30日内交付。</w:t>
      </w:r>
      <w:r/>
    </w:p>
    <w:p>
      <w:pPr>
        <w:pStyle w:val="905"/>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p>
    <w:p>
      <w:pPr>
        <w:pStyle w:val="905"/>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 w:name="_Toc28359080"/>
      <w:r/>
      <w:bookmarkStart w:id="15" w:name="_Toc28359003"/>
      <w:r/>
      <w:bookmarkStart w:id="16" w:name="_Toc35393622"/>
      <w:r/>
      <w:bookmarkStart w:id="17" w:name="_Toc35393791"/>
      <w:r/>
      <w:bookmarkStart w:id="18" w:name="_Toc38985264"/>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1.满足《中华人民共和国政府采购法》第二十二条规定，并提供下列材料：</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1.1 法人或者其他组织的营业执照等证明文件，自然人的身份证明；</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1.2上一年度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2025年度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的财务状况报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表</w:t>
      </w:r>
      <w:r>
        <w:rPr>
          <w:rFonts w:hint="eastAsia" w:ascii="宋体" w:hAnsi="宋体" w:eastAsia="宋体" w:cs="宋体"/>
          <w:i w:val="0"/>
          <w:iCs w:val="0"/>
          <w:caps w:val="0"/>
          <w:color w:val="auto"/>
          <w:spacing w:val="0"/>
          <w:sz w:val="24"/>
          <w:szCs w:val="24"/>
          <w:highlight w:val="none"/>
          <w:shd w:val="clear" w:color="auto" w:fill="ffffff"/>
        </w:rPr>
        <w:t xml:space="preserve">（至少包含资产负债表、利润表、现金流量表，成立不满一年无需提供）；</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ffffff"/>
        </w:rPr>
        <w:t xml:space="preserve">具备履行合同所必需的设备和专业技术能力的书面声明；</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.5参加政府采购活动前3年内在经营活动中没有重大违法记录的书面声明。</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1.6法律、行政法规规定的其他条件。</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ffffff"/>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ffffff"/>
        </w:rPr>
        <w:t xml:space="preserve">单位负责人为同一人或者存在直接控股、管理关系的不同供应商，不得参加同一合同项下的政府采购活动。</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2.落实政府采购政策需满足的资格要求：无。</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3.本项目的特定资格要求：</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(1)投标人须提供所投产品有效的医疗器械产品注册证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（投标时需提供证书复印件并加盖投标人公章）。</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若投标人为投标产品制造商，须提供有效的《医疗器械生产许可证》；若投标人为代理商或销售商，须根据所投产品类别，提供有效的《医疗器械经营许可证》或《医疗器械经营备案凭证》。（投标时需提供证书复印件并加盖投标人公章）。</w:t>
      </w:r>
      <w:r/>
    </w:p>
    <w:p>
      <w:pPr>
        <w:pStyle w:val="905"/>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4.本项目不接受进口产品投标。</w:t>
      </w:r>
      <w:r/>
    </w:p>
    <w:p>
      <w:pPr>
        <w:pStyle w:val="9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9" w:name="_Toc28359082"/>
      <w:r/>
      <w:bookmarkStart w:id="20" w:name="_Toc35393793"/>
      <w:r/>
      <w:bookmarkStart w:id="21" w:name="_Toc28359005"/>
      <w:r/>
      <w:bookmarkStart w:id="22" w:name="_Toc38985266"/>
      <w:r/>
      <w:bookmarkStart w:id="23" w:name="_Toc3539362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9"/>
      <w:r/>
      <w:bookmarkEnd w:id="20"/>
      <w:r/>
      <w:bookmarkEnd w:id="21"/>
      <w:r/>
      <w:bookmarkEnd w:id="22"/>
      <w:r/>
      <w:bookmarkEnd w:id="2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pStyle w:val="9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905"/>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24</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shd w:val="clear" w:color="auto" w:fill="auto"/>
        </w:rPr>
        <w:t xml:space="preserve">（北京时间）。</w:t>
      </w:r>
      <w:bookmarkStart w:id="196" w:name="_GoBack"/>
      <w:r/>
      <w:bookmarkEnd w:id="196"/>
      <w:r/>
      <w:r/>
    </w:p>
    <w:p>
      <w:pPr>
        <w:pStyle w:val="905"/>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9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4" w:name="_Toc28359084"/>
      <w:r/>
      <w:bookmarkStart w:id="25" w:name="_Toc38985267"/>
      <w:r/>
      <w:bookmarkStart w:id="26" w:name="_Toc28359007"/>
      <w:r/>
      <w:bookmarkStart w:id="27" w:name="_Toc35393794"/>
      <w:r/>
      <w:bookmarkStart w:id="28" w:name="_Toc35393625"/>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90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5393795"/>
      <w:r/>
      <w:bookmarkStart w:id="31"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9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3.有关本次招标的事项若存在变动或修改，敬请及时关注在“中国政府采购网”“江苏政府采购网”“盐城市政府采购网”发布的更正公告。</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七、对本次招标提出询问，请按以下方式联系。</w:t>
      </w:r>
      <w:bookmarkEnd w:id="32"/>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称：盐城市第三人民医院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地址：盐城市新都西路2号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联系人：肖老师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联系方式：0515-81600117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905"/>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称：江苏仁禾中衡工程咨询房地产估价有限公司</w:t>
      </w:r>
      <w:r/>
    </w:p>
    <w:p>
      <w:pPr>
        <w:pStyle w:val="905"/>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址：盐城市青年西路8号</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联系人：胡女士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28359087"/>
      <w:r/>
      <w:bookmarkStart w:id="34"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0515-69057406       </w:t>
      </w:r>
      <w:bookmarkEnd w:id="33"/>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5"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项目联系人：胡女士</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话：0515-69057406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6" w:name="_Toc120614211"/>
      <w:r/>
      <w:r/>
    </w:p>
    <w:p>
      <w:pPr>
        <w:pStyle w:val="905"/>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6"/>
      <w:r/>
      <w:bookmarkStart w:id="37" w:name="_Toc20823274"/>
      <w:r/>
      <w:bookmarkStart w:id="38" w:name="_Toc513029202"/>
      <w:r/>
      <w:bookmarkStart w:id="39" w:name="_Toc120614213"/>
      <w:r/>
      <w:bookmarkStart w:id="40" w:name="_Toc16938518"/>
      <w:r>
        <w:rPr>
          <w:rFonts w:hint="eastAsia" w:ascii="黑体" w:hAnsi="宋体" w:eastAsia="黑体" w:cs="黑体"/>
          <w:b/>
          <w:color w:val="auto"/>
          <w:sz w:val="44"/>
          <w:szCs w:val="44"/>
          <w:highlight w:val="none"/>
        </w:rPr>
        <w:t xml:space="preserve">投标人须知</w:t>
      </w:r>
      <w:bookmarkEnd w:id="37"/>
      <w:r/>
      <w:bookmarkEnd w:id="38"/>
      <w:r/>
      <w:bookmarkEnd w:id="39"/>
      <w:r/>
      <w:bookmarkEnd w:id="40"/>
      <w:r/>
      <w:r/>
    </w:p>
    <w:p>
      <w:pPr>
        <w:pStyle w:val="9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1" w:name="_Toc16938519"/>
      <w:r/>
      <w:bookmarkStart w:id="42" w:name="_Toc120614214"/>
      <w:r/>
      <w:bookmarkStart w:id="43" w:name="_Toc20823275"/>
      <w:r/>
      <w:bookmarkStart w:id="44" w:name="_Toc513029203"/>
      <w:r>
        <w:rPr>
          <w:rFonts w:hint="eastAsia" w:ascii="宋体" w:hAnsi="宋体" w:eastAsia="宋体" w:cs="宋体"/>
          <w:b/>
          <w:color w:val="auto"/>
          <w:sz w:val="24"/>
          <w:szCs w:val="24"/>
          <w:highlight w:val="none"/>
        </w:rPr>
        <w:t xml:space="preserve">一、总则</w:t>
      </w:r>
      <w:bookmarkEnd w:id="41"/>
      <w:r/>
      <w:bookmarkEnd w:id="42"/>
      <w:r/>
      <w:bookmarkEnd w:id="43"/>
      <w:r/>
      <w:bookmarkEnd w:id="44"/>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5" w:name="_Toc20823276"/>
      <w:r/>
      <w:bookmarkStart w:id="46" w:name="_Toc458694821"/>
      <w:r/>
      <w:bookmarkStart w:id="47" w:name="_Toc513029204"/>
      <w:r/>
      <w:bookmarkStart w:id="48" w:name="_Toc16938520"/>
      <w:r/>
      <w:bookmarkStart w:id="49" w:name="_Hlt16619475"/>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、招标方式</w:t>
      </w:r>
      <w:bookmarkEnd w:id="46"/>
      <w:r/>
      <w:bookmarkEnd w:id="47"/>
      <w:r/>
      <w:bookmarkEnd w:id="48"/>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0" w:name="_Toc513029205"/>
      <w:r/>
      <w:bookmarkStart w:id="51" w:name="_Toc20823277"/>
      <w:r/>
      <w:bookmarkStart w:id="52" w:name="_Toc16938521"/>
      <w:r>
        <w:rPr>
          <w:rFonts w:hint="eastAsia" w:ascii="宋体" w:hAnsi="宋体" w:eastAsia="宋体" w:cs="宋体"/>
          <w:color w:val="auto"/>
          <w:sz w:val="24"/>
          <w:szCs w:val="24"/>
          <w:highlight w:val="none"/>
        </w:rPr>
        <w:t xml:space="preserve">2、合格的投标人</w:t>
      </w:r>
      <w:bookmarkEnd w:id="50"/>
      <w:r/>
      <w:bookmarkEnd w:id="51"/>
      <w:r/>
      <w:bookmarkEnd w:id="52"/>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left="0" w:firstLine="480"/>
        <w:pageBreakBefore w:val="0"/>
        <w:spacing w:line="360" w:lineRule="auto"/>
        <w:widowControl w:val="off"/>
        <w:rPr>
          <w:rFonts w:hint="eastAsia" w:ascii="方正魏碑_GBK" w:hAnsi="方正魏碑_GBK" w:eastAsia="方正魏碑_GBK" w:cs="方正魏碑_GBK"/>
          <w:color w:val="auto"/>
          <w:sz w:val="24"/>
          <w:szCs w:val="21"/>
          <w:highlight w:val="none"/>
        </w:rPr>
      </w:pPr>
      <w:r/>
      <w:bookmarkStart w:id="53" w:name="_Toc513029206"/>
      <w:r/>
      <w:bookmarkStart w:id="54" w:name="_Toc16938522"/>
      <w:r/>
      <w:bookmarkStart w:id="55" w:name="_Toc20823278"/>
      <w:r>
        <w:rPr>
          <w:rFonts w:hint="eastAsia" w:ascii="方正魏碑_GBK" w:hAnsi="方正魏碑_GBK" w:eastAsia="方正魏碑_GBK" w:cs="方正魏碑_GBK"/>
          <w:color w:val="auto"/>
          <w:sz w:val="24"/>
          <w:szCs w:val="21"/>
          <w:highlight w:val="none"/>
        </w:rPr>
        <w:t xml:space="preserve">3、适用法律</w:t>
      </w:r>
      <w:bookmarkEnd w:id="53"/>
      <w:r/>
      <w:bookmarkEnd w:id="54"/>
      <w:r/>
      <w:bookmarkEnd w:id="55"/>
      <w:r>
        <w:rPr>
          <w:rFonts w:hint="eastAsia" w:ascii="方正魏碑_GBK" w:hAnsi="方正魏碑_GBK" w:eastAsia="方正魏碑_GBK" w:cs="方正魏碑_GBK"/>
          <w:color w:val="auto"/>
          <w:sz w:val="24"/>
          <w:szCs w:val="21"/>
          <w:highlight w:val="none"/>
        </w:rPr>
        <w:t xml:space="preserve">和标准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6" w:name="_Toc513029207"/>
      <w:r/>
      <w:bookmarkStart w:id="57" w:name="_Toc20823279"/>
      <w:r/>
      <w:bookmarkStart w:id="58" w:name="_Toc16938523"/>
      <w:r/>
      <w:bookmarkStart w:id="59" w:name="_Toc462564067"/>
      <w:r>
        <w:rPr>
          <w:rFonts w:hint="eastAsia" w:ascii="宋体" w:hAnsi="宋体" w:eastAsia="宋体" w:cs="宋体"/>
          <w:color w:val="auto"/>
          <w:sz w:val="24"/>
          <w:szCs w:val="24"/>
          <w:highlight w:val="none"/>
        </w:rPr>
        <w:t xml:space="preserve">4、投标费用</w:t>
      </w:r>
      <w:bookmarkEnd w:id="56"/>
      <w:r/>
      <w:bookmarkEnd w:id="57"/>
      <w:r/>
      <w:bookmarkEnd w:id="58"/>
      <w:r/>
      <w:bookmarkEnd w:id="59"/>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采购人和代理机构</w:t>
      </w:r>
      <w:r>
        <w:rPr>
          <w:rFonts w:hint="eastAsia" w:ascii="宋体" w:hAnsi="宋体" w:eastAsia="宋体" w:cs="宋体"/>
          <w:color w:val="auto"/>
          <w:sz w:val="24"/>
          <w:szCs w:val="24"/>
          <w:highlight w:val="none"/>
        </w:rPr>
        <w:t xml:space="preserve">在任何情况下均无义务和责任承担这些费用。</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4.2本次不收取标书工本费与中标服务费。</w:t>
      </w:r>
      <w:r/>
    </w:p>
    <w:p>
      <w:pPr>
        <w:pStyle w:val="90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90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0" w:name="_Toc513029209"/>
      <w:r/>
      <w:bookmarkStart w:id="61" w:name="_Toc16938525"/>
      <w:r/>
      <w:bookmarkStart w:id="62" w:name="_Toc20823281"/>
      <w:r/>
      <w:bookmarkStart w:id="63" w:name="_Toc120614215"/>
      <w:r>
        <w:rPr>
          <w:rFonts w:hint="eastAsia" w:ascii="宋体" w:hAnsi="宋体" w:eastAsia="宋体" w:cs="宋体"/>
          <w:b/>
          <w:color w:val="auto"/>
          <w:sz w:val="24"/>
          <w:szCs w:val="24"/>
          <w:highlight w:val="none"/>
        </w:rPr>
        <w:t xml:space="preserve">二、招标文件</w:t>
      </w:r>
      <w:bookmarkEnd w:id="60"/>
      <w:r/>
      <w:bookmarkEnd w:id="61"/>
      <w:r/>
      <w:bookmarkEnd w:id="62"/>
      <w:r/>
      <w:bookmarkEnd w:id="63"/>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4" w:name="_Toc16938526"/>
      <w:r/>
      <w:bookmarkStart w:id="65" w:name="_Toc20823282"/>
      <w:r/>
      <w:bookmarkStart w:id="66" w:name="_Toc513029210"/>
      <w:r>
        <w:rPr>
          <w:rFonts w:hint="eastAsia" w:ascii="宋体" w:hAnsi="宋体" w:eastAsia="宋体" w:cs="宋体"/>
          <w:color w:val="auto"/>
          <w:sz w:val="24"/>
          <w:szCs w:val="24"/>
          <w:highlight w:val="none"/>
        </w:rPr>
        <w:t xml:space="preserve">6、招标文件构成</w:t>
      </w:r>
      <w:bookmarkEnd w:id="64"/>
      <w:r/>
      <w:bookmarkEnd w:id="65"/>
      <w:r/>
      <w:bookmarkEnd w:id="66"/>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7" w:name="_Toc20823283"/>
      <w:r/>
      <w:bookmarkStart w:id="68" w:name="_Toc462564070"/>
      <w:r/>
      <w:bookmarkStart w:id="69" w:name="_Toc513029211"/>
      <w:r/>
      <w:bookmarkStart w:id="70" w:name="_Toc16938527"/>
      <w:r>
        <w:rPr>
          <w:rFonts w:hint="eastAsia" w:ascii="宋体" w:hAnsi="宋体" w:eastAsia="宋体" w:cs="宋体"/>
          <w:color w:val="auto"/>
          <w:sz w:val="24"/>
          <w:szCs w:val="24"/>
          <w:highlight w:val="none"/>
        </w:rPr>
        <w:t xml:space="preserve">7、招标文件的澄清</w:t>
      </w:r>
      <w:bookmarkEnd w:id="67"/>
      <w:r/>
      <w:bookmarkEnd w:id="68"/>
      <w:r/>
      <w:bookmarkEnd w:id="69"/>
      <w:r/>
      <w:bookmarkEnd w:id="70"/>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1" w:name="_Toc16938528"/>
      <w:r/>
      <w:bookmarkStart w:id="72" w:name="_Toc462564071"/>
      <w:r/>
      <w:bookmarkStart w:id="73" w:name="_Toc513029212"/>
      <w:r/>
      <w:bookmarkStart w:id="74" w:name="_Toc20823284"/>
      <w:r>
        <w:rPr>
          <w:rFonts w:hint="eastAsia" w:ascii="宋体" w:hAnsi="宋体" w:eastAsia="宋体" w:cs="宋体"/>
          <w:color w:val="auto"/>
          <w:sz w:val="24"/>
          <w:szCs w:val="24"/>
          <w:highlight w:val="none"/>
        </w:rPr>
        <w:t xml:space="preserve">8、招标文件的修改</w:t>
      </w:r>
      <w:bookmarkEnd w:id="71"/>
      <w:r/>
      <w:bookmarkEnd w:id="72"/>
      <w:r/>
      <w:bookmarkEnd w:id="73"/>
      <w:r/>
      <w:bookmarkEnd w:id="74"/>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90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5" w:name="_Toc513029213"/>
      <w:r/>
      <w:bookmarkStart w:id="76" w:name="_Toc462564072"/>
      <w:r/>
      <w:bookmarkStart w:id="77" w:name="_Toc16938529"/>
      <w:r/>
      <w:bookmarkStart w:id="78" w:name="_Toc120614216"/>
      <w:r/>
      <w:bookmarkStart w:id="79" w:name="_Toc20823285"/>
      <w:r>
        <w:rPr>
          <w:rFonts w:hint="eastAsia" w:ascii="宋体" w:hAnsi="宋体" w:eastAsia="宋体" w:cs="宋体"/>
          <w:b/>
          <w:color w:val="auto"/>
          <w:sz w:val="24"/>
          <w:szCs w:val="24"/>
          <w:highlight w:val="none"/>
        </w:rPr>
        <w:t xml:space="preserve">三、投标文件的编制</w:t>
      </w:r>
      <w:bookmarkEnd w:id="75"/>
      <w:r/>
      <w:bookmarkEnd w:id="76"/>
      <w:r/>
      <w:bookmarkEnd w:id="77"/>
      <w:r/>
      <w:bookmarkEnd w:id="78"/>
      <w:r/>
      <w:bookmarkEnd w:id="79"/>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0" w:name="_Toc513029214"/>
      <w:r/>
      <w:bookmarkStart w:id="81" w:name="_Toc462564073"/>
      <w:r/>
      <w:bookmarkStart w:id="82" w:name="_Toc16938530"/>
      <w:r/>
      <w:bookmarkStart w:id="83" w:name="_Toc20823286"/>
      <w:r>
        <w:rPr>
          <w:rFonts w:hint="eastAsia" w:ascii="宋体" w:hAnsi="宋体" w:eastAsia="宋体" w:cs="宋体"/>
          <w:color w:val="auto"/>
          <w:sz w:val="24"/>
          <w:szCs w:val="24"/>
          <w:highlight w:val="none"/>
        </w:rPr>
        <w:t xml:space="preserve">9、投标文件的语言及度量衡单位</w:t>
      </w:r>
      <w:bookmarkEnd w:id="80"/>
      <w:r/>
      <w:bookmarkEnd w:id="81"/>
      <w:r/>
      <w:bookmarkEnd w:id="82"/>
      <w:r/>
      <w:bookmarkEnd w:id="83"/>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4" w:name="_Toc462564074"/>
      <w:r/>
      <w:bookmarkStart w:id="85" w:name="_Toc20823287"/>
      <w:r/>
      <w:bookmarkStart w:id="86" w:name="_Toc513029215"/>
      <w:r/>
      <w:bookmarkStart w:id="87" w:name="_Toc16938531"/>
      <w:r>
        <w:rPr>
          <w:rFonts w:hint="eastAsia" w:ascii="宋体" w:hAnsi="宋体" w:eastAsia="宋体" w:cs="宋体"/>
          <w:color w:val="auto"/>
          <w:sz w:val="24"/>
          <w:szCs w:val="24"/>
          <w:highlight w:val="none"/>
        </w:rPr>
        <w:t xml:space="preserve">10、投标文件构成</w:t>
      </w:r>
      <w:bookmarkEnd w:id="84"/>
      <w:r/>
      <w:bookmarkEnd w:id="85"/>
      <w:r/>
      <w:bookmarkEnd w:id="86"/>
      <w:r/>
      <w:bookmarkEnd w:id="87"/>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8" w:name="_Toc49090507"/>
      <w:r/>
      <w:bookmarkStart w:id="89" w:name="_Toc49090509"/>
      <w:r/>
      <w:bookmarkStart w:id="90" w:name="_Toc49090508"/>
      <w:r/>
      <w:bookmarkStart w:id="91" w:name="_Toc14577357"/>
      <w:r/>
      <w:bookmarkStart w:id="92" w:name="_Toc513029219"/>
      <w:r/>
      <w:bookmarkStart w:id="93" w:name="_Toc14577354"/>
      <w:r/>
      <w:bookmarkStart w:id="94" w:name="_Toc513029216"/>
      <w:r/>
      <w:bookmarkStart w:id="95" w:name="_Toc14577355"/>
      <w:r/>
      <w:bookmarkStart w:id="96" w:name="_Hlt26954838"/>
      <w:r/>
      <w:bookmarkStart w:id="97" w:name="_Hlt26670360"/>
      <w:r/>
      <w:bookmarkStart w:id="98" w:name="_Hlt26668975"/>
      <w:r>
        <w:rPr>
          <w:rFonts w:hint="eastAsia" w:ascii="宋体" w:hAnsi="宋体" w:eastAsia="宋体" w:cs="宋体"/>
          <w:color w:val="auto"/>
          <w:sz w:val="24"/>
          <w:szCs w:val="24"/>
          <w:highlight w:val="none"/>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905"/>
        <w:ind w:left="0" w:firstLine="482"/>
        <w:jc w:val="both"/>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12.3中标人按采购人要求将设备运输到场，放置于采购人指定场地，中标人承担保管设备责任，如有二次搬运，由中标人负责承担。请投标人报价时综合考虑上述因素，并计入报价。结算时，采购人不另行增加费用。</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9" w:name="_Hlt26954731"/>
      <w:r/>
      <w:bookmarkStart w:id="100" w:name="_Hlt26954848"/>
      <w:r/>
      <w:bookmarkStart w:id="101" w:name="_Hlt26954846"/>
      <w:r/>
      <w:bookmarkStart w:id="102" w:name="_Hlt26670486"/>
      <w:r/>
      <w:bookmarkStart w:id="103" w:name="_Hlt26670482"/>
      <w:r>
        <w:rPr>
          <w:rFonts w:hint="eastAsia" w:ascii="宋体" w:hAnsi="宋体" w:eastAsia="宋体" w:cs="宋体"/>
          <w:color w:val="auto"/>
          <w:sz w:val="24"/>
          <w:szCs w:val="24"/>
          <w:highlight w:val="none"/>
        </w:rPr>
        <w:t xml:space="preserve">13、技术要求响应及偏离表、商务要求响应及偏离表</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4" w:name="_Toc49090510"/>
      <w:r/>
      <w:bookmarkStart w:id="105" w:name="_Toc14577359"/>
      <w:r>
        <w:rPr>
          <w:rFonts w:hint="eastAsia" w:ascii="宋体" w:hAnsi="宋体" w:eastAsia="宋体" w:cs="宋体"/>
          <w:color w:val="auto"/>
          <w:sz w:val="24"/>
          <w:szCs w:val="24"/>
          <w:highlight w:val="none"/>
        </w:rPr>
        <w:t xml:space="preserve">15、投标函和开标一览表</w:t>
      </w:r>
      <w:bookmarkEnd w:id="104"/>
      <w:r/>
      <w:bookmarkEnd w:id="105"/>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6" w:name="_Toc14577360"/>
      <w:r/>
      <w:bookmarkStart w:id="107" w:name="_Toc49090511"/>
      <w:r>
        <w:rPr>
          <w:rFonts w:hint="eastAsia" w:ascii="宋体" w:hAnsi="宋体" w:eastAsia="宋体" w:cs="宋体"/>
          <w:color w:val="auto"/>
          <w:sz w:val="24"/>
          <w:szCs w:val="24"/>
          <w:highlight w:val="none"/>
        </w:rPr>
        <w:t xml:space="preserve">16、投标有效期</w:t>
      </w:r>
      <w:bookmarkEnd w:id="106"/>
      <w:r/>
      <w:bookmarkEnd w:id="107"/>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90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8" w:name="_Toc16938540"/>
      <w:r/>
      <w:bookmarkStart w:id="109" w:name="_Toc20823296"/>
      <w:r/>
      <w:bookmarkStart w:id="110" w:name="_Toc120614217"/>
      <w:r/>
      <w:bookmarkStart w:id="111" w:name="_Toc513029224"/>
      <w:r/>
      <w:bookmarkStart w:id="112" w:name="_Hlt26954852"/>
      <w:r/>
      <w:bookmarkStart w:id="113" w:name="_Hlt26954739"/>
      <w:r>
        <w:rPr>
          <w:rFonts w:hint="eastAsia" w:ascii="宋体" w:hAnsi="宋体" w:eastAsia="宋体" w:cs="宋体"/>
          <w:b/>
          <w:color w:val="auto"/>
          <w:sz w:val="24"/>
          <w:szCs w:val="24"/>
          <w:highlight w:val="none"/>
        </w:rPr>
        <w:t xml:space="preserve">四、投标文件的递交</w:t>
      </w:r>
      <w:bookmarkEnd w:id="108"/>
      <w:r/>
      <w:bookmarkEnd w:id="109"/>
      <w:r/>
      <w:bookmarkEnd w:id="110"/>
      <w:r/>
      <w:bookmarkEnd w:id="111"/>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4" w:name="_Toc16938541"/>
      <w:r/>
      <w:bookmarkStart w:id="115" w:name="_Toc462564084"/>
      <w:r/>
      <w:bookmarkStart w:id="116" w:name="_Toc513029225"/>
      <w:r/>
      <w:bookmarkStart w:id="117" w:name="_Toc20823297"/>
      <w:r>
        <w:rPr>
          <w:rFonts w:hint="eastAsia" w:ascii="宋体" w:hAnsi="宋体" w:eastAsia="宋体" w:cs="宋体"/>
          <w:color w:val="auto"/>
          <w:sz w:val="24"/>
          <w:szCs w:val="24"/>
          <w:highlight w:val="none"/>
        </w:rPr>
        <w:t xml:space="preserve">18、电子投标文件</w:t>
      </w:r>
      <w:bookmarkEnd w:id="114"/>
      <w:r/>
      <w:bookmarkEnd w:id="115"/>
      <w:r/>
      <w:bookmarkEnd w:id="116"/>
      <w:r/>
      <w:bookmarkEnd w:id="117"/>
      <w:r>
        <w:rPr>
          <w:rFonts w:hint="eastAsia" w:ascii="宋体" w:hAnsi="宋体" w:eastAsia="宋体" w:cs="宋体"/>
          <w:color w:val="auto"/>
          <w:sz w:val="24"/>
          <w:szCs w:val="24"/>
          <w:highlight w:val="none"/>
        </w:rPr>
        <w:t xml:space="preserve">的递交</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8" w:name="_Toc16938542"/>
      <w:r/>
      <w:bookmarkEnd w:id="118"/>
      <w:r/>
      <w:bookmarkStart w:id="119" w:name="_Toc20823298"/>
      <w:r/>
      <w:bookmarkEnd w:id="119"/>
      <w:r/>
      <w:bookmarkStart w:id="120" w:name="_Toc513029226"/>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1" w:name="_Toc513029227"/>
      <w:r/>
      <w:bookmarkStart w:id="122" w:name="_Toc16938543"/>
      <w:r/>
      <w:bookmarkStart w:id="123" w:name="_Toc20823299"/>
      <w:r>
        <w:rPr>
          <w:rFonts w:hint="eastAsia" w:ascii="宋体" w:hAnsi="宋体" w:eastAsia="宋体" w:cs="宋体"/>
          <w:color w:val="auto"/>
          <w:sz w:val="24"/>
          <w:szCs w:val="24"/>
          <w:highlight w:val="none"/>
        </w:rPr>
        <w:t xml:space="preserve">20、投标文件</w:t>
      </w:r>
      <w:bookmarkEnd w:id="121"/>
      <w:r/>
      <w:bookmarkEnd w:id="122"/>
      <w:r/>
      <w:bookmarkEnd w:id="123"/>
      <w:r>
        <w:rPr>
          <w:rFonts w:hint="eastAsia" w:ascii="宋体" w:hAnsi="宋体" w:eastAsia="宋体" w:cs="宋体"/>
          <w:color w:val="auto"/>
          <w:sz w:val="24"/>
          <w:szCs w:val="24"/>
          <w:highlight w:val="none"/>
        </w:rPr>
        <w:t xml:space="preserve">的拒收</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4" w:name="_Toc16938544"/>
      <w:r/>
      <w:bookmarkStart w:id="125" w:name="_Toc20823300"/>
      <w:r/>
      <w:bookmarkStart w:id="126" w:name="_Toc513029228"/>
      <w:r>
        <w:rPr>
          <w:rFonts w:hint="eastAsia" w:ascii="宋体" w:hAnsi="宋体" w:eastAsia="宋体" w:cs="宋体"/>
          <w:color w:val="auto"/>
          <w:sz w:val="24"/>
          <w:szCs w:val="24"/>
          <w:highlight w:val="none"/>
        </w:rPr>
        <w:t xml:space="preserve">21、投标文件的撤回和修改</w:t>
      </w:r>
      <w:bookmarkEnd w:id="124"/>
      <w:r/>
      <w:bookmarkEnd w:id="125"/>
      <w:r/>
      <w:bookmarkEnd w:id="126"/>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90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7" w:name="_Toc20823301"/>
      <w:r/>
      <w:bookmarkStart w:id="128" w:name="_Toc513029229"/>
      <w:r/>
      <w:bookmarkStart w:id="129" w:name="_Toc16938545"/>
      <w:r/>
      <w:bookmarkStart w:id="130" w:name="_Toc120614218"/>
      <w:r>
        <w:rPr>
          <w:rFonts w:hint="eastAsia" w:ascii="宋体" w:hAnsi="宋体" w:eastAsia="宋体" w:cs="宋体"/>
          <w:b/>
          <w:color w:val="auto"/>
          <w:sz w:val="24"/>
          <w:szCs w:val="24"/>
          <w:highlight w:val="none"/>
        </w:rPr>
        <w:t xml:space="preserve">五、开标与评标</w:t>
      </w:r>
      <w:bookmarkEnd w:id="127"/>
      <w:r/>
      <w:bookmarkEnd w:id="128"/>
      <w:r/>
      <w:bookmarkEnd w:id="129"/>
      <w:r/>
      <w:bookmarkEnd w:id="130"/>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20823302"/>
      <w:r/>
      <w:bookmarkStart w:id="132" w:name="_Toc16938546"/>
      <w:r/>
      <w:bookmarkStart w:id="133" w:name="_Toc513029230"/>
      <w:r>
        <w:rPr>
          <w:rFonts w:hint="eastAsia" w:ascii="宋体" w:hAnsi="宋体" w:eastAsia="宋体" w:cs="宋体"/>
          <w:color w:val="auto"/>
          <w:sz w:val="24"/>
          <w:szCs w:val="24"/>
          <w:highlight w:val="none"/>
        </w:rPr>
        <w:t xml:space="preserve">22、开标</w:t>
      </w:r>
      <w:bookmarkEnd w:id="131"/>
      <w:r/>
      <w:bookmarkEnd w:id="132"/>
      <w:r/>
      <w:bookmarkEnd w:id="133"/>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4" w:name="_Toc20823303"/>
      <w:r/>
      <w:bookmarkStart w:id="135" w:name="_Toc513029231"/>
      <w:r/>
      <w:bookmarkStart w:id="136" w:name="_Toc16938547"/>
      <w:r>
        <w:rPr>
          <w:rFonts w:hint="eastAsia" w:ascii="宋体" w:hAnsi="宋体" w:eastAsia="宋体" w:cs="宋体"/>
          <w:color w:val="auto"/>
          <w:sz w:val="24"/>
          <w:szCs w:val="24"/>
          <w:highlight w:val="none"/>
        </w:rPr>
        <w:t xml:space="preserve">23、评标委员会</w:t>
      </w:r>
      <w:bookmarkEnd w:id="134"/>
      <w:r/>
      <w:bookmarkEnd w:id="135"/>
      <w:r/>
      <w:bookmarkEnd w:id="136"/>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7" w:name="_Toc513029232"/>
      <w:r/>
      <w:bookmarkStart w:id="138" w:name="_Toc20823304"/>
      <w:r/>
      <w:bookmarkStart w:id="139" w:name="_Toc16938548"/>
      <w:r>
        <w:rPr>
          <w:rFonts w:hint="eastAsia" w:ascii="宋体" w:hAnsi="宋体" w:eastAsia="宋体" w:cs="宋体"/>
          <w:color w:val="auto"/>
          <w:sz w:val="24"/>
          <w:szCs w:val="24"/>
          <w:highlight w:val="none"/>
        </w:rPr>
        <w:t xml:space="preserve">25．投标文件的澄清</w:t>
      </w:r>
      <w:bookmarkEnd w:id="137"/>
      <w:r/>
      <w:bookmarkEnd w:id="138"/>
      <w:r/>
      <w:bookmarkEnd w:id="139"/>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0" w:name="_Toc513029233"/>
      <w:r/>
      <w:bookmarkStart w:id="141" w:name="_Toc16938549"/>
      <w:r/>
      <w:bookmarkStart w:id="142"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40"/>
      <w:r/>
      <w:bookmarkEnd w:id="141"/>
      <w:r/>
      <w:bookmarkEnd w:id="142"/>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将不再告知未通过资格审查或符合性审查的原因。</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3" w:name="_Toc16938550"/>
      <w:r/>
      <w:bookmarkStart w:id="144" w:name="_Toc20823306"/>
      <w:r/>
      <w:bookmarkStart w:id="145" w:name="_Toc513029234"/>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6" w:name="_Toc16938551"/>
      <w:r/>
      <w:bookmarkStart w:id="147" w:name="_Toc513029235"/>
      <w:r/>
      <w:bookmarkStart w:id="148" w:name="_Toc20823307"/>
      <w:r>
        <w:rPr>
          <w:rFonts w:hint="eastAsia" w:ascii="宋体" w:hAnsi="宋体" w:eastAsia="宋体" w:cs="宋体"/>
          <w:color w:val="auto"/>
          <w:sz w:val="24"/>
          <w:szCs w:val="24"/>
          <w:highlight w:val="none"/>
        </w:rPr>
        <w:t xml:space="preserve">27.1无效投标条款</w:t>
      </w:r>
      <w:bookmarkEnd w:id="146"/>
      <w:r/>
      <w:bookmarkEnd w:id="147"/>
      <w:r/>
      <w:bookmarkEnd w:id="148"/>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05"/>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0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120614219"/>
      <w:r>
        <w:rPr>
          <w:rFonts w:hint="eastAsia" w:ascii="宋体" w:hAnsi="宋体" w:eastAsia="宋体" w:cs="宋体"/>
          <w:b/>
          <w:color w:val="auto"/>
          <w:sz w:val="24"/>
          <w:szCs w:val="24"/>
          <w:highlight w:val="none"/>
        </w:rPr>
        <w:t xml:space="preserve">六、定标</w:t>
      </w:r>
      <w:bookmarkEnd w:id="149"/>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20823310"/>
      <w:r/>
      <w:bookmarkStart w:id="151" w:name="_Toc513029238"/>
      <w:r/>
      <w:bookmarkStart w:id="152" w:name="_Toc16938554"/>
      <w:r>
        <w:rPr>
          <w:rFonts w:hint="eastAsia" w:ascii="宋体" w:hAnsi="宋体" w:eastAsia="宋体" w:cs="宋体"/>
          <w:color w:val="auto"/>
          <w:sz w:val="24"/>
          <w:szCs w:val="24"/>
          <w:highlight w:val="none"/>
        </w:rPr>
        <w:t xml:space="preserve">28、</w:t>
      </w:r>
      <w:bookmarkEnd w:id="150"/>
      <w:r>
        <w:rPr>
          <w:rFonts w:hint="eastAsia" w:ascii="宋体" w:hAnsi="宋体" w:eastAsia="宋体" w:cs="宋体"/>
          <w:color w:val="auto"/>
          <w:sz w:val="24"/>
          <w:szCs w:val="24"/>
          <w:highlight w:val="none"/>
        </w:rPr>
        <w:t xml:space="preserve">确定</w:t>
      </w:r>
      <w:bookmarkEnd w:id="151"/>
      <w:r/>
      <w:bookmarkEnd w:id="152"/>
      <w:r>
        <w:rPr>
          <w:rFonts w:hint="eastAsia" w:ascii="宋体" w:hAnsi="宋体" w:eastAsia="宋体" w:cs="宋体"/>
          <w:color w:val="auto"/>
          <w:sz w:val="24"/>
          <w:szCs w:val="24"/>
          <w:highlight w:val="none"/>
        </w:rPr>
        <w:t xml:space="preserve">中标单位</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200451960"/>
      <w:r>
        <w:rPr>
          <w:rFonts w:hint="eastAsia" w:ascii="宋体" w:hAnsi="宋体" w:eastAsia="宋体" w:cs="宋体"/>
          <w:color w:val="auto"/>
          <w:sz w:val="24"/>
          <w:szCs w:val="24"/>
          <w:highlight w:val="none"/>
        </w:rPr>
        <w:t xml:space="preserve">28.5. 有下列情形之一的，视为投标人串通投标，投标无效：</w:t>
      </w:r>
      <w:bookmarkEnd w:id="153"/>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不接受未填写快递运单的快件。质疑接收，联系地址：盐城市</w:t>
      </w:r>
      <w:r>
        <w:rPr>
          <w:rFonts w:hint="eastAsia" w:ascii="宋体" w:hAnsi="宋体" w:eastAsia="宋体" w:cs="宋体"/>
          <w:color w:val="auto"/>
          <w:sz w:val="24"/>
          <w:szCs w:val="24"/>
          <w:highlight w:val="none"/>
          <w:lang w:val="en-US" w:eastAsia="zh-CN"/>
        </w:rPr>
        <w:t xml:space="preserve">青年西路8号8楼808</w:t>
      </w: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69057406</w:t>
      </w:r>
      <w:r>
        <w:rPr>
          <w:rFonts w:hint="eastAsia" w:ascii="宋体" w:hAnsi="宋体" w:eastAsia="宋体" w:cs="宋体"/>
          <w:color w:val="auto"/>
          <w:sz w:val="24"/>
          <w:szCs w:val="24"/>
          <w:highlight w:val="none"/>
        </w:rPr>
        <w:t xml:space="preserve">。</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90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05"/>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4" w:name="_Toc120614220"/>
      <w:r/>
      <w:bookmarkStart w:id="155" w:name="_Toc16938552"/>
      <w:r/>
      <w:bookmarkStart w:id="156" w:name="_Toc513029236"/>
      <w:r/>
      <w:bookmarkStart w:id="157" w:name="_Toc20823308"/>
      <w:r>
        <w:rPr>
          <w:rFonts w:hint="eastAsia" w:ascii="宋体" w:hAnsi="宋体" w:eastAsia="宋体" w:cs="宋体"/>
          <w:b/>
          <w:color w:val="auto"/>
          <w:sz w:val="24"/>
          <w:szCs w:val="24"/>
          <w:highlight w:val="none"/>
        </w:rPr>
        <w:t xml:space="preserve">七、授予合同</w:t>
      </w:r>
      <w:bookmarkEnd w:id="154"/>
      <w:r/>
      <w:bookmarkEnd w:id="155"/>
      <w:r/>
      <w:bookmarkEnd w:id="156"/>
      <w:r/>
      <w:bookmarkEnd w:id="157"/>
      <w:r/>
      <w:r/>
    </w:p>
    <w:p>
      <w:pPr>
        <w:pStyle w:val="90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8" w:name="_Toc513029237"/>
      <w:r/>
      <w:bookmarkStart w:id="159" w:name="_Toc16938553"/>
      <w:r/>
      <w:bookmarkStart w:id="160" w:name="_Toc20823309"/>
      <w:r>
        <w:rPr>
          <w:rFonts w:hint="eastAsia" w:ascii="宋体" w:hAnsi="宋体" w:eastAsia="宋体" w:cs="宋体"/>
          <w:color w:val="auto"/>
          <w:sz w:val="24"/>
          <w:szCs w:val="24"/>
          <w:highlight w:val="none"/>
        </w:rPr>
        <w:t xml:space="preserve">31. 签订合同</w:t>
      </w:r>
      <w:bookmarkEnd w:id="158"/>
      <w:r/>
      <w:bookmarkEnd w:id="159"/>
      <w:r/>
      <w:bookmarkEnd w:id="160"/>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90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5"/>
        <w:numPr>
          <w:ilvl w:val="0"/>
          <w:numId w:val="0"/>
        </w:numPr>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90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90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360" w:lineRule="auto"/>
        <w:widowControl w:val="off"/>
        <w:rPr>
          <w:rFonts w:hint="eastAsia" w:ascii="宋体" w:hAnsi="宋体" w:eastAsia="宋体" w:cs="宋体"/>
          <w:b w:val="0"/>
          <w:i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如属政府强制采购产品未提供认证证书的或认证证书提供不全的将视为未实质性响应采购要求。其他条件相同情况下，应当优先采购节能产品、环境标志产品。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i w:val="0"/>
          <w:color w:val="auto"/>
          <w:sz w:val="24"/>
          <w:szCs w:val="24"/>
          <w:highlight w:val="none"/>
        </w:rPr>
        <w:t xml:space="preserve">3</w:t>
      </w:r>
      <w:r>
        <w:rPr>
          <w:rFonts w:hint="eastAsia" w:ascii="宋体" w:hAnsi="宋体" w:eastAsia="宋体" w:cs="宋体"/>
          <w:b w:val="0"/>
          <w:i w:val="0"/>
          <w:color w:val="auto"/>
          <w:sz w:val="24"/>
          <w:szCs w:val="24"/>
          <w:highlight w:val="none"/>
          <w:lang w:val="en-US" w:eastAsia="zh-CN"/>
        </w:rPr>
        <w:t xml:space="preserve">3</w:t>
      </w:r>
      <w:r>
        <w:rPr>
          <w:rFonts w:hint="eastAsia" w:ascii="宋体" w:hAnsi="宋体" w:eastAsia="宋体" w:cs="宋体"/>
          <w:b w:val="0"/>
          <w:i w:val="0"/>
          <w:color w:val="auto"/>
          <w:sz w:val="24"/>
          <w:szCs w:val="24"/>
          <w:highlight w:val="none"/>
        </w:rPr>
        <w:t xml:space="preserve">.4.2</w:t>
      </w:r>
      <w:r>
        <w:rPr>
          <w:rFonts w:hint="eastAsia" w:ascii="宋体" w:hAnsi="宋体" w:eastAsia="宋体" w:cs="宋体"/>
          <w:b w:val="0"/>
          <w:i w:val="0"/>
          <w:color w:val="auto"/>
          <w:sz w:val="24"/>
          <w:szCs w:val="24"/>
          <w:highlight w:val="none"/>
        </w:rPr>
        <w:t xml:space="preserve">节能、环保产品的品目清单按照《关于印发环境标志产品政府采购</w:t>
      </w:r>
      <w:r>
        <w:rPr>
          <w:rFonts w:hint="eastAsia" w:ascii="宋体" w:hAnsi="宋体" w:eastAsia="宋体" w:cs="宋体"/>
          <w:color w:val="auto"/>
          <w:sz w:val="24"/>
          <w:szCs w:val="24"/>
          <w:highlight w:val="none"/>
        </w:rPr>
        <w:t xml:space="preserve">品目清单的通知》（财库〔2019〕18号）、《关于印发节能产品政府采购品目清单的通知》（财库〔2019〕19号）执行。国家对品目清单进行调整的，按照最新调整的品目清单执行。</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non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25"/>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925"/>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0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line="0" w:lineRule="atLeast"/>
        <w:rPr>
          <w:color w:val="auto"/>
          <w:highlight w:val="none"/>
        </w:rPr>
      </w:pPr>
      <w:r>
        <w:rPr>
          <w:color w:val="auto"/>
          <w:highlight w:val="none"/>
        </w:rPr>
        <w:t xml:space="preserve"> </w:t>
      </w:r>
      <w:r/>
    </w:p>
    <w:p>
      <w:pPr>
        <w:pStyle w:val="905"/>
        <w:jc w:val="both"/>
        <w:spacing w:beforeAutospacing="0" w:afterAutospacing="0" w:line="0" w:lineRule="atLeast"/>
        <w:rPr>
          <w:color w:val="auto"/>
          <w:highlight w:val="none"/>
        </w:rPr>
      </w:pPr>
      <w:r>
        <w:rPr>
          <w:color w:val="auto"/>
          <w:highlight w:val="none"/>
        </w:rPr>
        <w:t xml:space="preserve"> </w:t>
      </w:r>
      <w:r/>
    </w:p>
    <w:p>
      <w:pPr>
        <w:pStyle w:val="905"/>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61" w:name="_Toc479757211"/>
      <w:r/>
      <w:bookmarkStart w:id="162" w:name="_Hlt16619350"/>
      <w:r/>
      <w:bookmarkStart w:id="163" w:name="_Toc16938590"/>
      <w:r/>
      <w:bookmarkStart w:id="164" w:name="_Toc20823346"/>
      <w:r/>
      <w:bookmarkStart w:id="165" w:name="_Toc462564139"/>
      <w:r/>
      <w:bookmarkStart w:id="166" w:name="_Toc120614244"/>
      <w:r/>
      <w:bookmarkStart w:id="167"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8" w:name="EB6d2006462e294de090c16e672cecc3bd"/>
      <w:r/>
      <w:bookmarkEnd w:id="168"/>
      <w:r/>
      <w:r/>
    </w:p>
    <w:p>
      <w:pPr>
        <w:pStyle w:val="905"/>
        <w:ind w:firstLine="361"/>
        <w:jc w:val="center"/>
        <w:spacing w:line="360" w:lineRule="exact"/>
        <w:rPr>
          <w:rFonts w:hint="eastAsia" w:ascii="宋体" w:hAnsi="宋体" w:eastAsia="宋体" w:cs="宋体"/>
          <w:b/>
          <w:bCs/>
          <w:color w:val="auto"/>
          <w:sz w:val="36"/>
          <w:szCs w:val="36"/>
          <w:highlight w:val="none"/>
        </w:rPr>
      </w:pPr>
      <w:r/>
      <w:bookmarkStart w:id="169" w:name="_Toc3995"/>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本项目合同条款，中标人不得提出实质性的修改。</w:t>
      </w:r>
      <w:r/>
    </w:p>
    <w:p>
      <w:pPr>
        <w:pStyle w:val="905"/>
        <w:ind w:firstLine="361"/>
        <w:jc w:val="center"/>
        <w:spacing w:line="36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购  销  合  同</w:t>
      </w:r>
      <w:r/>
    </w:p>
    <w:p>
      <w:pPr>
        <w:pStyle w:val="905"/>
        <w:ind w:firstLine="241"/>
        <w:jc w:val="both"/>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05"/>
        <w:ind w:firstLine="241"/>
        <w:jc w:val="both"/>
        <w:spacing w:line="360" w:lineRule="exact"/>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签订地点：</w:t>
      </w:r>
      <w:r>
        <w:rPr>
          <w:rFonts w:hint="eastAsia" w:ascii="宋体" w:hAnsi="宋体" w:eastAsia="宋体" w:cs="宋体"/>
          <w:b/>
          <w:color w:val="auto"/>
          <w:highlight w:val="none"/>
          <w:u w:val="single"/>
        </w:rPr>
        <w:t xml:space="preserve">      盐    城           　</w:t>
      </w:r>
      <w:r>
        <w:rPr>
          <w:rFonts w:hint="eastAsia" w:ascii="宋体" w:hAnsi="宋体" w:eastAsia="宋体" w:cs="宋体"/>
          <w:b/>
          <w:color w:val="auto"/>
          <w:highlight w:val="none"/>
        </w:rPr>
        <w:t xml:space="preserve">　合同编号：</w:t>
      </w:r>
      <w:r>
        <w:rPr>
          <w:rFonts w:hint="eastAsia" w:ascii="宋体" w:hAnsi="宋体" w:eastAsia="宋体" w:cs="宋体"/>
          <w:b/>
          <w:color w:val="auto"/>
          <w:highlight w:val="none"/>
          <w:u w:val="single"/>
        </w:rPr>
        <w:t xml:space="preserve">                </w:t>
      </w:r>
      <w:r/>
    </w:p>
    <w:p>
      <w:pPr>
        <w:pStyle w:val="905"/>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购货单位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盐城市第三人民医院          </w:t>
      </w:r>
      <w:r>
        <w:rPr>
          <w:rFonts w:hint="eastAsia" w:ascii="宋体" w:hAnsi="宋体" w:eastAsia="宋体" w:cs="宋体"/>
          <w:color w:val="auto"/>
          <w:highlight w:val="none"/>
        </w:rPr>
        <w:t xml:space="preserve">（以下简称甲方）（盖章）  </w:t>
      </w:r>
      <w:r/>
    </w:p>
    <w:p>
      <w:pPr>
        <w:pStyle w:val="905"/>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供货单位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（以下简称乙方）（盖章）</w:t>
      </w:r>
      <w:r/>
    </w:p>
    <w:p>
      <w:pPr>
        <w:pStyle w:val="905"/>
        <w:ind w:firstLine="210"/>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　根据《中华人民共和国民法典》，经双方协商，本着平等互利、协商一致的原则，签订</w:t>
      </w:r>
      <w:r>
        <w:rPr>
          <w:rFonts w:hint="eastAsia" w:ascii="宋体" w:hAnsi="宋体" w:eastAsia="宋体" w:cs="宋体"/>
          <w:color w:val="auto"/>
          <w:highlight w:val="none"/>
          <w:lang w:val="en-US" w:eastAsia="zh-CN"/>
        </w:rPr>
        <w:t xml:space="preserve">本</w:t>
      </w:r>
      <w:r>
        <w:rPr>
          <w:rFonts w:hint="eastAsia" w:ascii="宋体" w:hAnsi="宋体" w:eastAsia="宋体" w:cs="宋体"/>
          <w:color w:val="auto"/>
          <w:highlight w:val="none"/>
          <w:lang w:eastAsia="zh-CN"/>
        </w:rPr>
        <w:t xml:space="preserve">合</w:t>
      </w:r>
      <w:r>
        <w:rPr>
          <w:rFonts w:hint="eastAsia" w:ascii="宋体" w:hAnsi="宋体" w:eastAsia="宋体" w:cs="宋体"/>
          <w:color w:val="auto"/>
          <w:highlight w:val="none"/>
        </w:rPr>
        <w:t xml:space="preserve">同： </w:t>
      </w:r>
      <w:r/>
    </w:p>
    <w:p>
      <w:pPr>
        <w:ind w:firstLine="482"/>
        <w:spacing w:line="360" w:lineRule="exact"/>
        <w:rPr>
          <w:rStyle w:val="927"/>
          <w:rFonts w:hint="eastAsia" w:ascii="宋体" w:hAnsi="宋体" w:eastAsia="宋体" w:cs="宋体"/>
          <w:b/>
          <w:color w:val="auto"/>
          <w:sz w:val="24"/>
          <w:szCs w:val="24"/>
          <w:highlight w:val="none"/>
        </w:rPr>
      </w:pPr>
      <w:r>
        <w:rPr>
          <w:rStyle w:val="927"/>
          <w:rFonts w:hint="eastAsia" w:ascii="宋体" w:hAnsi="宋体" w:eastAsia="宋体" w:cs="宋体"/>
          <w:b/>
          <w:color w:val="auto"/>
          <w:sz w:val="24"/>
          <w:szCs w:val="24"/>
          <w:highlight w:val="none"/>
        </w:rPr>
        <w:t xml:space="preserve">第一条 商品的名称、种类、规格、数量及价款</w:t>
      </w:r>
      <w:r/>
    </w:p>
    <w:tbl>
      <w:tblPr>
        <w:tblStyle w:val="899"/>
        <w:tblW w:w="9312"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612"/>
      </w:tblGrid>
      <w:tr>
        <w:trPr>
          <w:tblCellSpacing w:w="0" w:type="dxa"/>
          <w:trHeight w:val="701" w:hRule="exact"/>
        </w:trPr>
        <w:tc>
          <w:tcPr>
            <w:tcW w:w="188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Style w:val="927"/>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highlight w:val="none"/>
              </w:rPr>
              <w:t xml:space="preserve">名称</w:t>
            </w:r>
            <w:r/>
          </w:p>
        </w:tc>
        <w:tc>
          <w:tcPr>
            <w:tcW w:w="1404"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规格型号</w:t>
            </w:r>
            <w:r/>
          </w:p>
        </w:tc>
        <w:tc>
          <w:tcPr>
            <w:tcW w:w="1447"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生产厂家</w:t>
            </w:r>
            <w:r/>
          </w:p>
        </w:tc>
        <w:tc>
          <w:tcPr>
            <w:tcW w:w="946"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731"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290"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W w:w="161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金额（元）</w:t>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84"/>
        </w:trPr>
        <w:tc>
          <w:tcPr>
            <w:gridSpan w:val="7"/>
            <w:tcW w:w="9312" w:type="dxa"/>
            <w:vAlign w:val="center"/>
            <w:textDirection w:val="lrTb"/>
            <w:noWrap w:val="false"/>
          </w:tcPr>
          <w:p>
            <w:pPr>
              <w:ind w:left="480" w:hanging="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合计人民币金额：</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元                   （大写）： </w:t>
            </w:r>
            <w:r/>
          </w:p>
        </w:tc>
      </w:tr>
    </w:tbl>
    <w:p>
      <w:pPr>
        <w:pStyle w:val="90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说明：本合同</w:t>
      </w:r>
      <w:r>
        <w:rPr>
          <w:rFonts w:hint="eastAsia" w:ascii="宋体" w:hAnsi="宋体" w:eastAsia="宋体" w:cs="宋体"/>
          <w:color w:val="auto"/>
          <w:highlight w:val="none"/>
          <w:lang w:val="en-US" w:eastAsia="zh-CN"/>
        </w:rPr>
        <w:t xml:space="preserve">为固定单价合同，合同</w:t>
      </w:r>
      <w:r>
        <w:rPr>
          <w:rFonts w:hint="eastAsia" w:ascii="宋体" w:hAnsi="宋体" w:eastAsia="宋体" w:cs="宋体"/>
          <w:color w:val="auto"/>
          <w:highlight w:val="none"/>
        </w:rPr>
        <w:t xml:space="preserve">金额包括但不限于商品的价格、包装费、装卸费、运输费、人工费、增值税金、管理费、税金等乙方为完成本合同约定内容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 xml:space="preserve">所需</w:t>
      </w:r>
      <w:r>
        <w:rPr>
          <w:rFonts w:hint="eastAsia" w:ascii="宋体" w:hAnsi="宋体" w:eastAsia="宋体" w:cs="宋体"/>
          <w:color w:val="auto"/>
          <w:highlight w:val="none"/>
        </w:rPr>
        <w:t xml:space="preserve">的所有费用。合同期限内，合同</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rPr>
        <w:t xml:space="preserve">不因任何因素予以调整。</w:t>
      </w:r>
      <w:r/>
    </w:p>
    <w:p>
      <w:pPr>
        <w:pStyle w:val="90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备注：详见配置清单。</w:t>
      </w:r>
      <w:r/>
    </w:p>
    <w:p>
      <w:pPr>
        <w:pStyle w:val="905"/>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第二条 交货方式 </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1、交货时间：乙方应在甲方书面通知之日起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日内完成交付。</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：乙方负责将设备安全运至甲方指定地点，经甲方验收交付之前设备的毁损、灭失风险及运输费用由乙方承担。乙方负责产品的包装，包装应确保货物安全，装卸、运输方便，由此产生的费用由乙方承担。</w:t>
      </w:r>
      <w:r/>
    </w:p>
    <w:p>
      <w:pPr>
        <w:ind w:left="420"/>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第三条 售后质量保证、安全和服务承诺</w:t>
      </w:r>
      <w:r/>
    </w:p>
    <w:p>
      <w:pPr>
        <w:ind w:firstLine="480"/>
        <w:spacing w:line="520" w:lineRule="exact"/>
        <w:rPr>
          <w:rStyle w:val="928"/>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乙方</w:t>
      </w:r>
      <w:r>
        <w:rPr>
          <w:rStyle w:val="928"/>
          <w:rFonts w:hint="eastAsia" w:ascii="宋体" w:hAnsi="宋体" w:eastAsia="宋体" w:cs="宋体"/>
          <w:color w:val="auto"/>
          <w:sz w:val="24"/>
          <w:szCs w:val="24"/>
          <w:highlight w:val="none"/>
        </w:rPr>
        <w:t xml:space="preserve">保证所售出货物符合国家规定的质量、包装等要求。</w:t>
      </w:r>
      <w:r/>
    </w:p>
    <w:p>
      <w:pPr>
        <w:ind w:firstLine="480"/>
        <w:spacing w:line="520" w:lineRule="exact"/>
        <w:rPr>
          <w:rStyle w:val="928"/>
          <w:rFonts w:hint="eastAsia" w:ascii="宋体" w:hAnsi="宋体" w:eastAsia="宋体" w:cs="宋体"/>
          <w:color w:val="auto"/>
          <w:sz w:val="24"/>
          <w:szCs w:val="24"/>
          <w:highlight w:val="none"/>
        </w:rPr>
      </w:pPr>
      <w:r>
        <w:rPr>
          <w:rStyle w:val="928"/>
          <w:rFonts w:hint="eastAsia" w:ascii="宋体" w:hAnsi="宋体" w:eastAsia="宋体" w:cs="宋体"/>
          <w:color w:val="auto"/>
          <w:sz w:val="24"/>
          <w:szCs w:val="24"/>
          <w:highlight w:val="none"/>
          <w:lang w:val="en-US" w:eastAsia="zh-CN"/>
        </w:rPr>
        <w:t xml:space="preserve">2、</w:t>
      </w:r>
      <w:r>
        <w:rPr>
          <w:rStyle w:val="928"/>
          <w:rFonts w:hint="eastAsia" w:ascii="宋体" w:hAnsi="宋体" w:eastAsia="宋体" w:cs="宋体"/>
          <w:color w:val="auto"/>
          <w:sz w:val="24"/>
          <w:szCs w:val="24"/>
          <w:highlight w:val="none"/>
        </w:rPr>
        <w:t xml:space="preserve">除另有约定外，合同范围的商品，应由乙方直接供应，不得转让他人供应。</w:t>
      </w:r>
      <w:r/>
    </w:p>
    <w:p>
      <w:pPr>
        <w:ind w:firstLine="480"/>
        <w:spacing w:line="520" w:lineRule="exact"/>
        <w:rPr>
          <w:rStyle w:val="928"/>
          <w:rFonts w:hint="eastAsia" w:ascii="宋体" w:hAnsi="宋体" w:eastAsia="宋体" w:cs="宋体"/>
          <w:color w:val="auto"/>
          <w:sz w:val="24"/>
          <w:szCs w:val="24"/>
          <w:highlight w:val="none"/>
        </w:rPr>
      </w:pPr>
      <w:r>
        <w:rPr>
          <w:rStyle w:val="928"/>
          <w:rFonts w:hint="eastAsia" w:ascii="宋体" w:hAnsi="宋体" w:eastAsia="宋体" w:cs="宋体"/>
          <w:color w:val="auto"/>
          <w:sz w:val="24"/>
          <w:szCs w:val="24"/>
          <w:highlight w:val="none"/>
          <w:lang w:val="en-US" w:eastAsia="zh-CN"/>
        </w:rPr>
        <w:t xml:space="preserve">3、</w:t>
      </w:r>
      <w:r>
        <w:rPr>
          <w:rStyle w:val="928"/>
          <w:rFonts w:hint="eastAsia" w:ascii="宋体" w:hAnsi="宋体" w:eastAsia="宋体" w:cs="宋体"/>
          <w:color w:val="auto"/>
          <w:sz w:val="24"/>
          <w:szCs w:val="24"/>
          <w:highlight w:val="none"/>
        </w:rPr>
        <w:t xml:space="preserve">产品的保修期</w:t>
      </w:r>
      <w:r>
        <w:rPr>
          <w:rFonts w:hint="eastAsia" w:ascii="宋体" w:hAnsi="宋体" w:eastAsia="宋体" w:cs="宋体"/>
          <w:color w:val="auto"/>
          <w:sz w:val="24"/>
          <w:highlight w:val="none"/>
        </w:rPr>
        <w:t xml:space="preserve">（以验收合格日算起）</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lang w:val="en-US" w:eastAsia="zh-CN"/>
        </w:rPr>
        <w:t xml:space="preserve">年</w:t>
      </w:r>
      <w:r>
        <w:rPr>
          <w:rFonts w:hint="eastAsia" w:ascii="宋体" w:hAnsi="宋体" w:eastAsia="宋体" w:cs="宋体"/>
          <w:color w:val="auto"/>
          <w:sz w:val="24"/>
          <w:highlight w:val="none"/>
        </w:rPr>
        <w:t xml:space="preserve">，保修期内免费维修。保修期满后，维修只收取维修配</w:t>
      </w:r>
      <w:r>
        <w:rPr>
          <w:rStyle w:val="928"/>
          <w:rFonts w:hint="eastAsia" w:ascii="宋体" w:hAnsi="宋体" w:eastAsia="宋体" w:cs="宋体"/>
          <w:color w:val="auto"/>
          <w:sz w:val="24"/>
          <w:szCs w:val="24"/>
          <w:highlight w:val="none"/>
        </w:rPr>
        <w:t xml:space="preserve">件的成本费。</w:t>
      </w:r>
      <w:r/>
    </w:p>
    <w:p>
      <w:pPr>
        <w:ind w:firstLine="482"/>
        <w:spacing w:line="520" w:lineRule="exact"/>
        <w:rPr>
          <w:rStyle w:val="928"/>
          <w:rFonts w:hint="eastAsia" w:ascii="宋体" w:hAnsi="宋体" w:eastAsia="宋体" w:cs="宋体"/>
          <w:color w:val="auto"/>
          <w:sz w:val="24"/>
          <w:szCs w:val="24"/>
          <w:highlight w:val="none"/>
          <w:u w:val="single"/>
        </w:rPr>
      </w:pPr>
      <w:r>
        <w:rPr>
          <w:rStyle w:val="928"/>
          <w:rFonts w:hint="eastAsia" w:ascii="宋体" w:hAnsi="宋体" w:eastAsia="宋体" w:cs="宋体"/>
          <w:color w:val="auto"/>
          <w:sz w:val="24"/>
          <w:szCs w:val="24"/>
          <w:highlight w:val="none"/>
          <w:lang w:val="en-US" w:eastAsia="zh-CN"/>
        </w:rPr>
        <w:t xml:space="preserve">4、</w:t>
      </w:r>
      <w:r>
        <w:rPr>
          <w:rStyle w:val="928"/>
          <w:rFonts w:hint="eastAsia" w:ascii="宋体" w:hAnsi="宋体" w:eastAsia="宋体" w:cs="宋体"/>
          <w:color w:val="auto"/>
          <w:sz w:val="24"/>
          <w:szCs w:val="24"/>
          <w:highlight w:val="none"/>
        </w:rPr>
        <w:t xml:space="preserve">售后服务响应时间：</w:t>
      </w:r>
      <w:r>
        <w:rPr>
          <w:rStyle w:val="928"/>
          <w:rFonts w:hint="eastAsia" w:ascii="宋体" w:hAnsi="宋体" w:eastAsia="宋体" w:cs="宋体"/>
          <w:color w:val="auto"/>
          <w:sz w:val="24"/>
          <w:szCs w:val="24"/>
          <w:highlight w:val="none"/>
          <w:u w:val="single"/>
        </w:rPr>
        <w:t xml:space="preserve">   24小时   </w:t>
      </w:r>
      <w:r/>
    </w:p>
    <w:p>
      <w:pPr>
        <w:ind w:firstLine="482"/>
        <w:spacing w:line="520" w:lineRule="exact"/>
        <w:rPr>
          <w:rStyle w:val="928"/>
          <w:rFonts w:hint="eastAsia" w:ascii="宋体" w:hAnsi="宋体" w:eastAsia="宋体" w:cs="宋体"/>
          <w:color w:val="auto"/>
          <w:sz w:val="24"/>
          <w:szCs w:val="24"/>
          <w:highlight w:val="none"/>
        </w:rPr>
      </w:pPr>
      <w:r>
        <w:rPr>
          <w:rStyle w:val="928"/>
          <w:rFonts w:hint="eastAsia" w:ascii="宋体" w:hAnsi="宋体" w:eastAsia="宋体" w:cs="宋体"/>
          <w:color w:val="auto"/>
          <w:sz w:val="24"/>
          <w:szCs w:val="24"/>
          <w:highlight w:val="none"/>
          <w:lang w:val="en-US" w:eastAsia="zh-CN"/>
        </w:rPr>
        <w:t xml:space="preserve">5、</w:t>
      </w:r>
      <w:r>
        <w:rPr>
          <w:rStyle w:val="928"/>
          <w:rFonts w:hint="eastAsia" w:ascii="宋体" w:hAnsi="宋体" w:eastAsia="宋体" w:cs="宋体"/>
          <w:color w:val="auto"/>
          <w:sz w:val="24"/>
          <w:szCs w:val="24"/>
          <w:highlight w:val="none"/>
        </w:rPr>
        <w:t xml:space="preserve">其 他  承 诺：</w:t>
      </w:r>
      <w:r>
        <w:rPr>
          <w:rStyle w:val="928"/>
          <w:rFonts w:hint="eastAsia" w:ascii="宋体" w:hAnsi="宋体" w:eastAsia="宋体" w:cs="宋体"/>
          <w:color w:val="auto"/>
          <w:sz w:val="24"/>
          <w:szCs w:val="24"/>
          <w:highlight w:val="none"/>
          <w:u w:val="single"/>
        </w:rPr>
        <w:t xml:space="preserve">      /      </w:t>
      </w:r>
      <w:r>
        <w:rPr>
          <w:rStyle w:val="928"/>
          <w:rFonts w:hint="eastAsia" w:ascii="宋体" w:hAnsi="宋体" w:eastAsia="宋体" w:cs="宋体"/>
          <w:color w:val="auto"/>
          <w:sz w:val="24"/>
          <w:szCs w:val="24"/>
          <w:highlight w:val="none"/>
        </w:rPr>
        <w:t xml:space="preserve">  </w:t>
      </w:r>
      <w:r/>
    </w:p>
    <w:p>
      <w:pPr>
        <w:pStyle w:val="905"/>
        <w:ind w:firstLine="482"/>
        <w:spacing w:beforeAutospacing="0" w:afterAutospacing="0" w:line="520" w:lineRule="exact"/>
        <w:rPr>
          <w:rStyle w:val="927"/>
          <w:rFonts w:hint="eastAsia" w:ascii="宋体" w:hAnsi="宋体" w:eastAsia="宋体" w:cs="宋体"/>
          <w:b/>
          <w:color w:val="auto"/>
          <w:sz w:val="24"/>
          <w:szCs w:val="24"/>
          <w:highlight w:val="none"/>
        </w:rPr>
      </w:pPr>
      <w:r>
        <w:rPr>
          <w:rFonts w:hint="eastAsia" w:ascii="宋体" w:hAnsi="宋体" w:eastAsia="宋体" w:cs="宋体"/>
          <w:b/>
          <w:color w:val="auto"/>
          <w:highlight w:val="none"/>
        </w:rPr>
        <w:t xml:space="preserve">第四条 </w:t>
      </w:r>
      <w:r>
        <w:rPr>
          <w:rStyle w:val="927"/>
          <w:rFonts w:hint="eastAsia" w:ascii="宋体" w:hAnsi="宋体" w:eastAsia="宋体" w:cs="宋体"/>
          <w:b/>
          <w:color w:val="auto"/>
          <w:sz w:val="24"/>
          <w:szCs w:val="24"/>
          <w:highlight w:val="none"/>
        </w:rPr>
        <w:t xml:space="preserve">验收与安装</w:t>
      </w:r>
      <w:r/>
    </w:p>
    <w:p>
      <w:pPr>
        <w:pStyle w:val="90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第五条 货款的结算</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1、合同签订后，甲方收到预付款发票后10个工作日内甲方支付合同价30%的预付款。</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2、货物进场，经甲方验收后，甲方支付合同金额的40%。</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3、项目验收合格，临床使用3个月内，甲方支付至合同金额的90%。（扣除已支付预付款）</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4、其余的10%尾款，项目验收合格满12个月后付清。</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p>
    <w:p>
      <w:pPr>
        <w:pStyle w:val="905"/>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第六条 对产品提出异议的时间和办法</w:t>
      </w:r>
      <w:r/>
    </w:p>
    <w:p>
      <w:pPr>
        <w:pStyle w:val="90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highlight w:val="none"/>
          <w:u w:val="single"/>
        </w:rPr>
        <w:t xml:space="preserve">30日</w:t>
      </w:r>
      <w:r>
        <w:rPr>
          <w:rFonts w:hint="eastAsia" w:ascii="宋体" w:hAnsi="宋体" w:eastAsia="宋体" w:cs="宋体"/>
          <w:color w:val="auto"/>
          <w:highlight w:val="none"/>
        </w:rPr>
        <w:t xml:space="preserve">内，必须安装使用后才能发现内在质量缺陷的产品，从使用之日起</w:t>
      </w:r>
      <w:r>
        <w:rPr>
          <w:rFonts w:hint="eastAsia" w:ascii="宋体" w:hAnsi="宋体" w:eastAsia="宋体" w:cs="宋体"/>
          <w:color w:val="auto"/>
          <w:highlight w:val="none"/>
          <w:u w:val="single"/>
        </w:rPr>
        <w:t xml:space="preserve">6个月</w:t>
      </w:r>
      <w:r>
        <w:rPr>
          <w:rFonts w:hint="eastAsia" w:ascii="宋体" w:hAnsi="宋体" w:eastAsia="宋体" w:cs="宋体"/>
          <w:color w:val="auto"/>
          <w:highlight w:val="none"/>
        </w:rPr>
        <w:t xml:space="preserve">内向乙方提出书面异议。政府主管部门另有规定的从其规定。</w:t>
      </w:r>
      <w:r/>
    </w:p>
    <w:p>
      <w:pPr>
        <w:pStyle w:val="90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2、乙方在接到甲方书面异议后，应在</w:t>
      </w:r>
      <w:r>
        <w:rPr>
          <w:rFonts w:hint="eastAsia" w:ascii="宋体" w:hAnsi="宋体" w:eastAsia="宋体" w:cs="宋体"/>
          <w:color w:val="auto"/>
          <w:highlight w:val="none"/>
          <w:u w:val="single"/>
        </w:rPr>
        <w:t xml:space="preserve">10日</w:t>
      </w:r>
      <w:r>
        <w:rPr>
          <w:rFonts w:hint="eastAsia" w:ascii="宋体" w:hAnsi="宋体" w:eastAsia="宋体" w:cs="宋体"/>
          <w:color w:val="auto"/>
          <w:highlight w:val="none"/>
        </w:rPr>
        <w:t xml:space="preserve">内（另有规定或当事人另行商定期限者除外）负责处理，否则，即视为默认甲方提出的异议和处理意见。</w:t>
      </w:r>
      <w:r/>
    </w:p>
    <w:p>
      <w:pPr>
        <w:pStyle w:val="905"/>
        <w:ind w:firstLine="240"/>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第七条 违约责任 </w:t>
      </w:r>
      <w:r/>
    </w:p>
    <w:p>
      <w:pPr>
        <w:pStyle w:val="905"/>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highlight w:val="none"/>
          <w:u w:val="single"/>
        </w:rPr>
        <w:t xml:space="preserve">3天</w:t>
      </w:r>
      <w:r>
        <w:rPr>
          <w:rFonts w:hint="eastAsia" w:ascii="宋体" w:hAnsi="宋体" w:eastAsia="宋体" w:cs="宋体"/>
          <w:color w:val="auto"/>
          <w:highlight w:val="none"/>
        </w:rPr>
        <w:t xml:space="preserve">，乙方不能纠正时，甲方可以终止全部或部分合同，终止部分不予支付货款。同时，乙方应向甲方按总货款的</w:t>
      </w:r>
      <w:r>
        <w:rPr>
          <w:rFonts w:hint="eastAsia" w:ascii="宋体" w:hAnsi="宋体" w:eastAsia="宋体" w:cs="宋体"/>
          <w:color w:val="auto"/>
          <w:highlight w:val="none"/>
          <w:u w:val="single"/>
        </w:rPr>
        <w:t xml:space="preserve"> 20%  </w:t>
      </w:r>
      <w:r>
        <w:rPr>
          <w:rFonts w:hint="eastAsia" w:ascii="宋体" w:hAnsi="宋体" w:eastAsia="宋体" w:cs="宋体"/>
          <w:color w:val="auto"/>
          <w:highlight w:val="none"/>
        </w:rPr>
        <w:t xml:space="preserve">支付违约金，并赔偿因此造成的损失。 </w:t>
      </w:r>
      <w:r/>
    </w:p>
    <w:p>
      <w:pPr>
        <w:pStyle w:val="905"/>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2、乙方所交产品品种、型号、规格、花色质量不符合合同规定的，甲方有权拒绝付款，因此所发生的一切费用损失，由乙方负责。 </w:t>
      </w:r>
      <w:r/>
    </w:p>
    <w:p>
      <w:pPr>
        <w:pStyle w:val="905"/>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90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4、甲方未按合同规定的时间和要求提供相应的技术资料等，交货日期得以顺延。</w:t>
      </w:r>
      <w:r/>
    </w:p>
    <w:p>
      <w:pPr>
        <w:pStyle w:val="90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905"/>
        <w:ind w:firstLine="516"/>
        <w:spacing w:beforeAutospacing="0" w:afterAutospacing="0" w:line="5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第八条 履约保证金</w:t>
      </w:r>
      <w:r/>
    </w:p>
    <w:p>
      <w:pPr>
        <w:pStyle w:val="905"/>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1、是否需要缴纳履约保证金：</w:t>
      </w:r>
      <w:r>
        <w:rPr>
          <w:rFonts w:hint="eastAsia" w:ascii="宋体" w:hAnsi="宋体" w:eastAsia="宋体" w:cs="宋体"/>
          <w:color w:val="auto"/>
          <w:highlight w:val="none"/>
          <w:u w:val="single"/>
          <w:lang w:val="en-US" w:eastAsia="zh-CN"/>
        </w:rPr>
        <w:t xml:space="preserve"> 否 </w:t>
      </w:r>
      <w:r/>
    </w:p>
    <w:p>
      <w:pPr>
        <w:pStyle w:val="905"/>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2、如需缴纳履约保证金的，按下列条款执行：</w:t>
      </w:r>
      <w:r/>
    </w:p>
    <w:p>
      <w:pPr>
        <w:pStyle w:val="905"/>
        <w:ind w:firstLine="513"/>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乙方交纳人民币</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color w:val="auto"/>
          <w:highlight w:val="none"/>
        </w:rPr>
        <w:t xml:space="preserve">元作为本合同的履约保证金。待设备安装验收合格后，无息退还履约保证金。</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乙方自主选择以支票、汇票、本票或者金融机构、担保机构出具的保函等非现金形式提交履约保证金</w:t>
      </w:r>
      <w:r>
        <w:rPr>
          <w:rFonts w:hint="eastAsia" w:ascii="宋体" w:hAnsi="宋体" w:eastAsia="宋体" w:cs="宋体"/>
          <w:color w:val="auto"/>
          <w:sz w:val="24"/>
          <w:highlight w:val="none"/>
          <w:lang w:eastAsia="zh-CN"/>
        </w:rPr>
        <w:t xml:space="preserve">，鼓励使用电子履约保函（保险）缴纳履约保证金</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如乙方具有AA评级及以上信用等级（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履约保证金的退还：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2.4.1</w:t>
      </w:r>
      <w:r>
        <w:rPr>
          <w:rFonts w:hint="eastAsia" w:ascii="宋体" w:hAnsi="宋体" w:eastAsia="宋体" w:cs="宋体"/>
          <w:color w:val="auto"/>
          <w:sz w:val="24"/>
          <w:highlight w:val="none"/>
        </w:rPr>
        <w:t xml:space="preserve">方式：无息退还至投标人缴纳履约保证金的账户。如为保函，在到期时自行失效。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2.4.2</w:t>
      </w:r>
      <w:r>
        <w:rPr>
          <w:rFonts w:hint="eastAsia" w:ascii="宋体" w:hAnsi="宋体" w:eastAsia="宋体" w:cs="宋体"/>
          <w:color w:val="auto"/>
          <w:sz w:val="24"/>
          <w:highlight w:val="none"/>
        </w:rPr>
        <w:t xml:space="preserve">时间：验收合格且采购人收到发票后30日内。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2.4.3</w:t>
      </w:r>
      <w:r>
        <w:rPr>
          <w:rFonts w:hint="eastAsia" w:ascii="宋体" w:hAnsi="宋体" w:eastAsia="宋体" w:cs="宋体"/>
          <w:color w:val="auto"/>
          <w:sz w:val="24"/>
          <w:highlight w:val="none"/>
        </w:rPr>
        <w:t xml:space="preserve">条件：按合同要求全部履约完成并经采购人验收合格，且采购人收到中标人出具的发票。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2.4.4</w:t>
      </w:r>
      <w:r>
        <w:rPr>
          <w:rFonts w:hint="eastAsia" w:ascii="宋体" w:hAnsi="宋体" w:eastAsia="宋体" w:cs="宋体"/>
          <w:color w:val="auto"/>
          <w:sz w:val="24"/>
          <w:highlight w:val="none"/>
        </w:rPr>
        <w:t xml:space="preserve">不予退还情形：</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无正当理由拒绝签订合同的，或者在签订合同时向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提出附加条件或者更改合同实质性内容要求的；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不履行与采购人订立的合同的；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所供货物或服务不符合招标文件规定要求的；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采取欺骗、弄虚作假方式投标的或与其它投标人串通投标的；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将合同内容转包、违法分包的；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故意捏造事实或伪造证明材料，进行虚假恶意投诉或反映的。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逾期退还的违约责任：</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逾期无故未退还履约保证金的，按中国人民银行同期贷款基准利率上浮20%后的利率支付超期资金占用费，但因供应商自身原因导致无法及时退还的除外。</w:t>
      </w:r>
      <w:r/>
    </w:p>
    <w:p>
      <w:pPr>
        <w:pStyle w:val="905"/>
        <w:ind w:firstLine="241"/>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第九条 其他</w:t>
      </w:r>
      <w:r/>
    </w:p>
    <w:p>
      <w:pPr>
        <w:pStyle w:val="90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当事人一方因不可抗力的原因不能履行合同时，应当及时通知对方，并在合理期限内提供有关机构出具的证明，可以全部或部分免除该方当事人的违约责任。 </w:t>
      </w:r>
      <w:r/>
    </w:p>
    <w:p>
      <w:pPr>
        <w:pStyle w:val="90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90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本合同自双方签字盖章之日起生效。本合同未尽事宜，须经双方共同协商，作出补充规定，其补充规定与本合同有同等法律效力。</w:t>
      </w:r>
      <w:r/>
    </w:p>
    <w:p>
      <w:pPr>
        <w:pStyle w:val="90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本合同一式四份，甲方三份，乙方一份。</w:t>
      </w:r>
      <w:r/>
    </w:p>
    <w:p>
      <w:pPr>
        <w:pStyle w:val="905"/>
        <w:ind w:firstLine="240"/>
        <w:spacing w:beforeAutospacing="0" w:after="156"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购货单位：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2"/>
          <w:sz w:val="24"/>
          <w:highlight w:val="none"/>
        </w:rPr>
        <w:t xml:space="preserve">（盖章）</w:t>
      </w:r>
      <w:r>
        <w:rPr>
          <w:rFonts w:hint="eastAsia" w:ascii="宋体" w:hAnsi="宋体" w:eastAsia="宋体" w:cs="宋体"/>
          <w:color w:val="auto"/>
          <w:sz w:val="24"/>
          <w:highlight w:val="none"/>
        </w:rPr>
        <w:t xml:space="preserve">    供货单位：</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（盖章）</w:t>
      </w:r>
      <w:r/>
    </w:p>
    <w:p>
      <w:pPr>
        <w:ind w:firstLine="482"/>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exact"/>
        <w:rPr>
          <w:rFonts w:hint="eastAsia" w:ascii="宋体" w:hAnsi="宋体" w:eastAsia="宋体" w:cs="宋体"/>
          <w:color w:val="auto"/>
          <w:sz w:val="24"/>
          <w:highlight w:val="none"/>
          <w:u w:val="single"/>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bookmarkEnd w:id="169"/>
      <w:r/>
      <w:r/>
    </w:p>
    <w:p>
      <w:pPr>
        <w:pStyle w:val="90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第</w:t>
      </w:r>
      <w:bookmarkEnd w:id="161"/>
      <w:r>
        <w:rPr>
          <w:rFonts w:hint="eastAsia" w:ascii="黑体" w:hAnsi="宋体" w:eastAsia="黑体" w:cs="黑体"/>
          <w:color w:val="auto"/>
          <w:sz w:val="44"/>
          <w:szCs w:val="44"/>
          <w:highlight w:val="none"/>
        </w:rPr>
        <w:t xml:space="preserve">四章 采购需求</w:t>
      </w:r>
      <w:bookmarkEnd w:id="162"/>
      <w:r/>
      <w:bookmarkEnd w:id="163"/>
      <w:r/>
      <w:bookmarkEnd w:id="164"/>
      <w:r/>
      <w:bookmarkEnd w:id="165"/>
      <w:r/>
      <w:bookmarkEnd w:id="166"/>
      <w:r/>
      <w:r/>
    </w:p>
    <w:p>
      <w:pPr>
        <w:keepLines w:val="0"/>
        <w:keepNext w:val="0"/>
        <w:pageBreakBefore w:val="0"/>
        <w:spacing w:line="360" w:lineRule="auto"/>
        <w:widowControl w:val="off"/>
        <w:rPr>
          <w:rFonts w:hint="eastAsia" w:ascii="宋体" w:hAnsi="宋体" w:eastAsia="宋体" w:cs="宋体"/>
          <w:bCs/>
          <w:sz w:val="24"/>
          <w:highlight w:val="none"/>
        </w:rPr>
      </w:pPr>
      <w:r/>
      <w:bookmarkStart w:id="170" w:name="_Toc120614281"/>
      <w:r/>
      <w:r/>
    </w:p>
    <w:p>
      <w:pPr>
        <w:keepLines w:val="0"/>
        <w:keepNext w:val="0"/>
        <w:pageBreakBefore w:val="0"/>
        <w:spacing w:line="360" w:lineRule="auto"/>
        <w:widowControl w:val="off"/>
        <w:rPr>
          <w:rFonts w:ascii="宋体" w:hAnsi="宋体" w:eastAsia="宋体" w:cs="宋体"/>
          <w:bCs/>
          <w:sz w:val="24"/>
          <w:highlight w:val="none"/>
        </w:rPr>
      </w:pPr>
      <w:r>
        <w:rPr>
          <w:rFonts w:hint="eastAsia" w:ascii="宋体" w:hAnsi="宋体" w:eastAsia="宋体" w:cs="宋体"/>
          <w:bCs/>
          <w:sz w:val="24"/>
          <w:highlight w:val="none"/>
        </w:rPr>
        <w:t xml:space="preserve">一、基本要求 </w:t>
      </w:r>
      <w:r/>
    </w:p>
    <w:p>
      <w:pPr>
        <w:keepLines w:val="0"/>
        <w:keepNext w:val="0"/>
        <w:pageBreakBefore w:val="0"/>
        <w:spacing w:line="360" w:lineRule="auto"/>
        <w:widowControl w:val="off"/>
        <w:rPr>
          <w:rFonts w:hint="default" w:ascii="宋体" w:hAnsi="宋体" w:eastAsia="宋体" w:cs="宋体"/>
          <w:bCs/>
          <w:sz w:val="24"/>
          <w:highlight w:val="none"/>
          <w:lang w:val="en-US"/>
        </w:rPr>
      </w:pP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设备</w:t>
      </w:r>
      <w:bookmarkStart w:id="171" w:name="OLE_LINK3"/>
      <w:r>
        <w:rPr>
          <w:rFonts w:hint="eastAsia" w:ascii="宋体" w:hAnsi="宋体" w:eastAsia="宋体" w:cs="宋体"/>
          <w:bCs/>
          <w:sz w:val="24"/>
          <w:highlight w:val="none"/>
        </w:rPr>
        <w:t xml:space="preserve">名称</w:t>
      </w:r>
      <w:bookmarkEnd w:id="171"/>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腹腔镜系统</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采购预算：</w:t>
      </w:r>
      <w:r>
        <w:rPr>
          <w:rFonts w:hint="eastAsia" w:ascii="宋体" w:hAnsi="宋体" w:eastAsia="宋体" w:cs="宋体"/>
          <w:bCs/>
          <w:sz w:val="24"/>
          <w:highlight w:val="none"/>
          <w:lang w:val="en-US" w:eastAsia="zh-CN"/>
        </w:rPr>
        <w:t xml:space="preserve">450</w:t>
      </w:r>
      <w:r>
        <w:rPr>
          <w:rFonts w:hint="eastAsia" w:ascii="宋体" w:hAnsi="宋体" w:eastAsia="宋体" w:cs="宋体"/>
          <w:bCs/>
          <w:sz w:val="24"/>
          <w:highlight w:val="none"/>
        </w:rPr>
        <w:t xml:space="preserve">万元</w:t>
      </w:r>
      <w:r/>
    </w:p>
    <w:p>
      <w:pPr>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3、采购清单</w:t>
      </w:r>
      <w:r/>
    </w:p>
    <w:tbl>
      <w:tblPr>
        <w:tblStyle w:val="899"/>
        <w:tblW w:w="4754"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13"/>
        <w:gridCol w:w="2882"/>
        <w:gridCol w:w="1691"/>
        <w:gridCol w:w="2617"/>
      </w:tblGrid>
      <w:tr>
        <w:trPr>
          <w:jc w:val="center"/>
          <w:trHeight w:val="690"/>
        </w:trPr>
        <w:tc>
          <w:tcPr>
            <w:tcBorders>
              <w:top w:val="single" w:color="auto" w:sz="8" w:space="0"/>
              <w:left w:val="single" w:color="auto" w:sz="8" w:space="0"/>
              <w:bottom w:val="single" w:color="auto" w:sz="8" w:space="0"/>
              <w:right w:val="single" w:color="auto" w:sz="8" w:space="0"/>
            </w:tcBorders>
            <w:tcW w:w="563"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1778"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1043"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614"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563"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778"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color w:val="auto"/>
                <w:sz w:val="24"/>
                <w:szCs w:val="24"/>
                <w:highlight w:val="none"/>
                <w:shd w:val="clear" w:color="auto" w:fill="auto"/>
                <w:lang w:eastAsia="zh-CN"/>
              </w:rPr>
              <w:t xml:space="preserve">4K腹腔镜系统</w:t>
            </w:r>
            <w:r/>
          </w:p>
        </w:tc>
        <w:tc>
          <w:tcPr>
            <w:tcBorders>
              <w:top w:val="single" w:color="auto" w:sz="8" w:space="0"/>
              <w:left w:val="single" w:color="auto" w:sz="8" w:space="0"/>
              <w:bottom w:val="single" w:color="auto" w:sz="8" w:space="0"/>
              <w:right w:val="single" w:color="auto" w:sz="8" w:space="0"/>
            </w:tcBorders>
            <w:tcW w:w="1043" w:type="pct"/>
            <w:vAlign w:val="center"/>
            <w:textDirection w:val="lrTb"/>
            <w:noWrap w:val="false"/>
          </w:tcPr>
          <w:p>
            <w:pPr>
              <w:jc w:val="center"/>
              <w:spacing w:line="360" w:lineRule="auto"/>
              <w:rPr>
                <w:rFonts w:hint="default" w:ascii="宋体" w:hAnsi="宋体" w:eastAsia="宋体" w:cs="宋体"/>
                <w:b w:val="0"/>
                <w:color w:val="auto"/>
                <w:position w:val="0"/>
                <w:sz w:val="24"/>
                <w:szCs w:val="24"/>
                <w:highlight w:val="none"/>
                <w:lang w:val="en-US"/>
              </w:rPr>
            </w:pPr>
            <w:r>
              <w:rPr>
                <w:rFonts w:hint="eastAsia" w:ascii="宋体" w:hAnsi="宋体" w:eastAsia="宋体" w:cs="宋体"/>
                <w:b w:val="0"/>
                <w:color w:val="auto"/>
                <w:position w:val="0"/>
                <w:sz w:val="24"/>
                <w:szCs w:val="24"/>
                <w:highlight w:val="none"/>
                <w:lang w:val="en-US" w:eastAsia="zh-CN"/>
              </w:rPr>
              <w:t xml:space="preserve">2套</w:t>
            </w:r>
            <w:r/>
          </w:p>
        </w:tc>
        <w:tc>
          <w:tcPr>
            <w:tcBorders>
              <w:top w:val="single" w:color="auto" w:sz="8" w:space="0"/>
              <w:left w:val="single" w:color="auto" w:sz="8" w:space="0"/>
              <w:bottom w:val="single" w:color="auto" w:sz="8" w:space="0"/>
              <w:right w:val="single" w:color="auto" w:sz="8" w:space="0"/>
            </w:tcBorders>
            <w:tcW w:w="1614"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否</w:t>
            </w:r>
            <w:r/>
          </w:p>
        </w:tc>
      </w:tr>
      <w:tr>
        <w:trPr>
          <w:jc w:val="center"/>
          <w:trHeight w:val="713"/>
        </w:trPr>
        <w:tc>
          <w:tcPr>
            <w:tcBorders>
              <w:top w:val="single" w:color="auto" w:sz="8" w:space="0"/>
              <w:left w:val="single" w:color="auto" w:sz="8" w:space="0"/>
              <w:bottom w:val="single" w:color="auto" w:sz="8" w:space="0"/>
              <w:right w:val="single" w:color="auto" w:sz="8" w:space="0"/>
            </w:tcBorders>
            <w:tcW w:w="563"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1778" w:type="pct"/>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4K荧光腹腔镜系统</w:t>
            </w:r>
            <w:r/>
          </w:p>
        </w:tc>
        <w:tc>
          <w:tcPr>
            <w:tcBorders>
              <w:top w:val="single" w:color="auto" w:sz="8" w:space="0"/>
              <w:left w:val="single" w:color="auto" w:sz="8" w:space="0"/>
              <w:bottom w:val="single" w:color="auto" w:sz="8" w:space="0"/>
              <w:right w:val="single" w:color="auto" w:sz="8" w:space="0"/>
            </w:tcBorders>
            <w:tcW w:w="1043"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1套</w:t>
            </w:r>
            <w:r/>
          </w:p>
        </w:tc>
        <w:tc>
          <w:tcPr>
            <w:tcBorders>
              <w:top w:val="single" w:color="auto" w:sz="8" w:space="0"/>
              <w:left w:val="single" w:color="auto" w:sz="8" w:space="0"/>
              <w:bottom w:val="single" w:color="auto" w:sz="8" w:space="0"/>
              <w:right w:val="single" w:color="auto" w:sz="8" w:space="0"/>
            </w:tcBorders>
            <w:tcW w:w="1614" w:type="pct"/>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否</w:t>
            </w:r>
            <w:r/>
          </w:p>
        </w:tc>
      </w:tr>
    </w:tbl>
    <w:p>
      <w:pPr>
        <w:numPr>
          <w:ilvl w:val="0"/>
          <w:numId w:val="1"/>
        </w:numPr>
        <w:keepLines w:val="0"/>
        <w:keepNext w:val="0"/>
        <w:pageBreakBefore w:val="0"/>
        <w:spacing w:line="360" w:lineRule="auto"/>
        <w:widowControl w:val="off"/>
        <w:rPr>
          <w:rFonts w:hint="eastAsia" w:ascii="Times New Roman" w:hAnsi="Times New Roman" w:eastAsia="宋体" w:cs="Times New Roman"/>
          <w:highlight w:val="none"/>
        </w:rPr>
      </w:pPr>
      <w:r>
        <w:rPr>
          <w:rFonts w:hint="eastAsia" w:ascii="宋体" w:hAnsi="宋体" w:eastAsia="宋体" w:cs="宋体"/>
          <w:bCs/>
          <w:sz w:val="24"/>
          <w:highlight w:val="none"/>
        </w:rPr>
        <w:t xml:space="preserve">技术参数与性能指标</w:t>
      </w:r>
      <w:r/>
    </w:p>
    <w:p>
      <w:pPr>
        <w:numPr>
          <w:ilvl w:val="0"/>
          <w:numId w:val="0"/>
        </w:numPr>
        <w:keepLines w:val="0"/>
        <w:keepNext w:val="0"/>
        <w:pageBreakBefore w:val="0"/>
        <w:spacing w:line="360" w:lineRule="auto"/>
        <w:widowControl w:val="off"/>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一</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4K腹腔镜系统</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2套</w:t>
      </w:r>
      <w:r>
        <w:rPr>
          <w:rFonts w:hint="eastAsia" w:ascii="宋体" w:hAnsi="宋体" w:eastAsia="宋体" w:cs="宋体"/>
          <w:b/>
          <w:bCs w:val="0"/>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摄像主机</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1.1主机输出分辨率不小于3840x2160，逐行扫描</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1.2主机可同时处理两路图像信号，进行标准画面与增强画面进行同屏对比显示</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Cs/>
          <w:sz w:val="24"/>
          <w:highlight w:val="none"/>
        </w:rPr>
        <w:t xml:space="preserve">▲1.3单摄像主机可同时连接同品牌宫腹腔镜摄像头，实现单主机的宫腹腔镜联合手术，两幅不同内镜图像在同一显示器分屏显示</w:t>
      </w:r>
      <w:r>
        <w:rPr>
          <w:rFonts w:hint="eastAsia" w:ascii="宋体" w:hAnsi="宋体" w:eastAsia="宋体" w:cs="宋体"/>
          <w:bCs/>
          <w:sz w:val="24"/>
          <w:highlight w:val="none"/>
          <w:lang w:eastAsia="zh-CN"/>
        </w:rPr>
        <w:t xml:space="preserve">。</w:t>
      </w:r>
      <w:r>
        <w:rPr>
          <w:rFonts w:hint="eastAsia" w:ascii="宋体" w:hAnsi="宋体" w:eastAsia="宋体" w:cs="宋体"/>
          <w:b/>
          <w:bCs w:val="0"/>
          <w:sz w:val="24"/>
          <w:highlight w:val="none"/>
        </w:rPr>
        <w:t xml:space="preserve">（提供</w:t>
      </w:r>
      <w:r>
        <w:rPr>
          <w:rFonts w:hint="eastAsia" w:ascii="宋体" w:hAnsi="宋体" w:eastAsia="宋体" w:cs="宋体"/>
          <w:b/>
          <w:bCs w:val="0"/>
          <w:sz w:val="24"/>
          <w:highlight w:val="none"/>
          <w:lang w:val="en-US" w:eastAsia="zh-CN"/>
        </w:rPr>
        <w:t xml:space="preserve">相关</w:t>
      </w:r>
      <w:r>
        <w:rPr>
          <w:rFonts w:hint="eastAsia" w:ascii="宋体" w:hAnsi="宋体" w:eastAsia="宋体" w:cs="宋体"/>
          <w:b/>
          <w:bCs w:val="0"/>
          <w:sz w:val="24"/>
          <w:highlight w:val="none"/>
        </w:rPr>
        <w:t xml:space="preserve">证明材料）</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1.4主机影像增强功能≥5种，可根据手术需要，动态调节画面亮度，暗处增亮并降低反光；可实现图像色彩增益；至少2种电子染色，可提高对血管及组织的辨识度</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1.5术野画面≥5级亮度可调；≥2种纤维镜图像优化功能</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▲1.6通过摄像头可操控手术设备，如调节气腹机流速、压力，调节冷光源的亮度等，并可实现与同品牌一体化手术室控制对接。</w:t>
      </w:r>
      <w:r/>
    </w:p>
    <w:p>
      <w:pPr>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Cs/>
          <w:sz w:val="24"/>
          <w:highlight w:val="none"/>
        </w:rPr>
        <w:t xml:space="preserve">▲1.7主机模块自带嵌入式同品牌图文工作站：摄像主机USB接口数量大于4个，支持U盘即插即拔及实时打印功能，可显示外接存储器剩余录制空间</w:t>
      </w:r>
      <w:r>
        <w:rPr>
          <w:rFonts w:hint="eastAsia" w:ascii="宋体" w:hAnsi="宋体" w:eastAsia="宋体" w:cs="宋体"/>
          <w:bCs/>
          <w:sz w:val="24"/>
          <w:highlight w:val="none"/>
          <w:lang w:eastAsia="zh-CN"/>
        </w:rPr>
        <w:t xml:space="preserve">。</w:t>
      </w:r>
      <w:r>
        <w:rPr>
          <w:rFonts w:hint="eastAsia" w:ascii="宋体" w:hAnsi="宋体" w:eastAsia="宋体" w:cs="宋体"/>
          <w:b/>
          <w:bCs w:val="0"/>
          <w:sz w:val="24"/>
          <w:highlight w:val="none"/>
        </w:rPr>
        <w:t xml:space="preserve">（提供</w:t>
      </w:r>
      <w:r>
        <w:rPr>
          <w:rFonts w:hint="eastAsia" w:ascii="宋体" w:hAnsi="宋体" w:eastAsia="宋体" w:cs="宋体"/>
          <w:b/>
          <w:bCs w:val="0"/>
          <w:sz w:val="24"/>
          <w:highlight w:val="none"/>
          <w:lang w:val="en-US" w:eastAsia="zh-CN"/>
        </w:rPr>
        <w:t xml:space="preserve">相关</w:t>
      </w:r>
      <w:r>
        <w:rPr>
          <w:rFonts w:hint="eastAsia" w:ascii="宋体" w:hAnsi="宋体" w:eastAsia="宋体" w:cs="宋体"/>
          <w:b/>
          <w:bCs w:val="0"/>
          <w:sz w:val="24"/>
          <w:highlight w:val="none"/>
        </w:rPr>
        <w:t xml:space="preserve">证明材料）</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▲1.8输出端口：DP数字端口1个，12G/3G-SDI数字端口1个，DVI-D数字端口1个</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1.9 电气安全：医用设备电气安全CF级别I类防护，可应用于心脏设备</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1.10主机模块化设计，可兼容不同功能的模块，包括3D模块、4K荧光模块等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1.11 术野画面3倍电子放大功能，≥7级可调，具有自适应缩放功能</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▲1.12主机使用寿命≥8年；</w:t>
      </w:r>
      <w:r/>
    </w:p>
    <w:p>
      <w:pPr>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bCs/>
          <w:sz w:val="24"/>
          <w:highlight w:val="none"/>
        </w:rPr>
        <w:t xml:space="preserve">▲1.13摄像主机支持拓展升级，兼容≥6种可连接光学硬镜的同品牌不同规格型号的2D摄像头</w:t>
      </w:r>
      <w:r>
        <w:rPr>
          <w:rFonts w:hint="eastAsia" w:ascii="宋体" w:hAnsi="宋体" w:eastAsia="宋体" w:cs="宋体"/>
          <w:bCs/>
          <w:sz w:val="24"/>
          <w:highlight w:val="none"/>
          <w:lang w:eastAsia="zh-CN"/>
        </w:rPr>
        <w:t xml:space="preserve">。</w:t>
      </w:r>
      <w:r>
        <w:rPr>
          <w:rFonts w:hint="eastAsia" w:ascii="宋体" w:hAnsi="宋体" w:eastAsia="宋体" w:cs="宋体"/>
          <w:b/>
          <w:bCs w:val="0"/>
          <w:sz w:val="24"/>
          <w:highlight w:val="none"/>
        </w:rPr>
        <w:t xml:space="preserve">（提供</w:t>
      </w:r>
      <w:r>
        <w:rPr>
          <w:rFonts w:hint="eastAsia" w:ascii="宋体" w:hAnsi="宋体" w:eastAsia="宋体" w:cs="宋体"/>
          <w:b/>
          <w:bCs w:val="0"/>
          <w:sz w:val="24"/>
          <w:highlight w:val="none"/>
          <w:lang w:val="en-US" w:eastAsia="zh-CN"/>
        </w:rPr>
        <w:t xml:space="preserve">相关</w:t>
      </w:r>
      <w:r>
        <w:rPr>
          <w:rFonts w:hint="eastAsia" w:ascii="宋体" w:hAnsi="宋体" w:eastAsia="宋体" w:cs="宋体"/>
          <w:b/>
          <w:bCs w:val="0"/>
          <w:sz w:val="24"/>
          <w:highlight w:val="none"/>
        </w:rPr>
        <w:t xml:space="preserve">证明材料）</w:t>
      </w:r>
      <w:r/>
    </w:p>
    <w:p>
      <w:pPr>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Cs/>
          <w:sz w:val="24"/>
          <w:highlight w:val="none"/>
        </w:rPr>
        <w:t xml:space="preserve">★1.14可兼容同品牌可复用电子软镜，满足后续升级需求。</w:t>
      </w:r>
      <w:r>
        <w:rPr>
          <w:rFonts w:hint="eastAsia" w:ascii="宋体" w:hAnsi="宋体" w:eastAsia="宋体" w:cs="宋体"/>
          <w:b/>
          <w:bCs w:val="0"/>
          <w:sz w:val="24"/>
          <w:highlight w:val="none"/>
        </w:rPr>
        <w:t xml:space="preserve">（提供</w:t>
      </w:r>
      <w:r>
        <w:rPr>
          <w:rFonts w:hint="eastAsia" w:ascii="宋体" w:hAnsi="宋体" w:eastAsia="宋体" w:cs="宋体"/>
          <w:b/>
          <w:bCs w:val="0"/>
          <w:sz w:val="24"/>
          <w:highlight w:val="none"/>
          <w:lang w:val="en-US" w:eastAsia="zh-CN"/>
        </w:rPr>
        <w:t xml:space="preserve">相关</w:t>
      </w:r>
      <w:r>
        <w:rPr>
          <w:rFonts w:hint="eastAsia" w:ascii="宋体" w:hAnsi="宋体" w:eastAsia="宋体" w:cs="宋体"/>
          <w:b/>
          <w:bCs w:val="0"/>
          <w:sz w:val="24"/>
          <w:highlight w:val="none"/>
        </w:rPr>
        <w:t xml:space="preserve">证明材料）</w:t>
      </w:r>
      <w:r/>
    </w:p>
    <w:p>
      <w:pPr>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Cs/>
          <w:sz w:val="24"/>
          <w:highlight w:val="none"/>
        </w:rPr>
        <w:t xml:space="preserve">▲1.15主机可兼容同品牌10mm 3D腹腔镜、≤5mm 3D镜满足多种手术场景，提高设备的利用率。</w:t>
      </w:r>
      <w:r>
        <w:rPr>
          <w:rFonts w:hint="eastAsia" w:ascii="宋体" w:hAnsi="宋体" w:eastAsia="宋体" w:cs="宋体"/>
          <w:b/>
          <w:bCs w:val="0"/>
          <w:sz w:val="24"/>
          <w:highlight w:val="none"/>
        </w:rPr>
        <w:t xml:space="preserve">（提供</w:t>
      </w:r>
      <w:r>
        <w:rPr>
          <w:rFonts w:hint="eastAsia" w:ascii="宋体" w:hAnsi="宋体" w:eastAsia="宋体" w:cs="宋体"/>
          <w:b/>
          <w:bCs w:val="0"/>
          <w:sz w:val="24"/>
          <w:highlight w:val="none"/>
          <w:lang w:val="en-US" w:eastAsia="zh-CN"/>
        </w:rPr>
        <w:t xml:space="preserve">相关</w:t>
      </w:r>
      <w:r>
        <w:rPr>
          <w:rFonts w:hint="eastAsia" w:ascii="宋体" w:hAnsi="宋体" w:eastAsia="宋体" w:cs="宋体"/>
          <w:b/>
          <w:bCs w:val="0"/>
          <w:sz w:val="24"/>
          <w:highlight w:val="none"/>
        </w:rPr>
        <w:t xml:space="preserve">证明材料）</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▲1.16 主机可兼容同品牌宫腔镜专用钟摆式摄像头及同品牌双极电切镜，满足多科室使用需求；</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摄像头</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2.1采集像素：摄像头像素不小于3840 x 2160，逐行扫描</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2.2图像格式16：9</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▲2.3重量≤210g，握持轻便</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2.4摄像头按键不少于3个，可预设功能至少包括术野录像、拍照、打印、调节白平衡等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2.5电气安全：医用设备电气安全CF-1类，可应用于心脏设备</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光学视管</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.1腹腔镜为柱状晶体镜，超广角，亮度高，无球形畸形、确保成像质量且直径5mm、10mm，视向角0°、30°多规格可选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.2腹腔镜视场角≥80°，腹腔镜长度≥31cm</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.3 有效景深范围不窄于3mm-100mm，光学镜分辨率(lp/mm)≥8</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.4可高温高压、浸泡、气熏或低温等离子消毒,设计使用期限不少于360次</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导光束</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4.1长度不小于300cm</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4.2直径不小于4.8mm</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LED冷光源</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5.1色温不少于5700K</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5.2灯泡寿命≥30000小时</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5.3触摸屏，图形直观，用户界面简单明了</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5.4持续输出恒定的光强度</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▲5.5 具有自动亮度控制功能，可根据手术画面的实际情况自动调节输出亮度</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 开机时光源亮度最低，确保术中使用安全</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6、气腹机</w:t>
      </w:r>
      <w:r/>
    </w:p>
    <w:p>
      <w:pPr>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6.1与摄像主机同品牌，最大灌注流速不低于40 L/min。</w:t>
      </w:r>
      <w:r>
        <w:rPr>
          <w:rFonts w:hint="eastAsia" w:ascii="宋体" w:hAnsi="宋体" w:eastAsia="宋体" w:cs="宋体"/>
          <w:bCs/>
          <w:sz w:val="24"/>
          <w:highlight w:val="none"/>
        </w:rPr>
        <w:br/>
      </w:r>
      <w:r>
        <w:rPr>
          <w:rFonts w:hint="eastAsia" w:ascii="宋体" w:hAnsi="宋体" w:eastAsia="宋体" w:cs="宋体"/>
          <w:bCs/>
          <w:sz w:val="24"/>
          <w:highlight w:val="none"/>
        </w:rPr>
        <w:t xml:space="preserve">▲6.2至少具备成人及儿童两种模式。成人模式压力调节范围：1-30 mmHg；流速调节范围：1-40 L/min。儿童模式下压力调节范围：1-15 mmHg；最小可调流速不高于0.1L/min。</w:t>
      </w:r>
      <w:r>
        <w:rPr>
          <w:rFonts w:hint="eastAsia" w:ascii="宋体" w:hAnsi="宋体" w:eastAsia="宋体" w:cs="宋体"/>
          <w:b/>
          <w:bCs w:val="0"/>
          <w:sz w:val="24"/>
          <w:highlight w:val="none"/>
        </w:rPr>
        <w:br/>
      </w:r>
      <w:r>
        <w:rPr>
          <w:rFonts w:hint="eastAsia" w:ascii="宋体" w:hAnsi="宋体" w:eastAsia="宋体" w:cs="宋体"/>
          <w:bCs/>
          <w:sz w:val="24"/>
          <w:highlight w:val="none"/>
        </w:rPr>
        <w:t xml:space="preserve">6.3应具备自动压力维持与补偿功能，防止因意外中断或泄漏导致腹压骤降；集成高压安全监测与自动泄压报警系统。</w:t>
      </w:r>
      <w:r>
        <w:rPr>
          <w:rFonts w:hint="eastAsia" w:ascii="宋体" w:hAnsi="宋体" w:eastAsia="宋体" w:cs="宋体"/>
          <w:bCs/>
          <w:sz w:val="24"/>
          <w:highlight w:val="none"/>
        </w:rPr>
        <w:br/>
      </w:r>
      <w:r>
        <w:rPr>
          <w:rFonts w:hint="eastAsia" w:ascii="宋体" w:hAnsi="宋体" w:eastAsia="宋体" w:cs="宋体"/>
          <w:bCs/>
          <w:sz w:val="24"/>
          <w:highlight w:val="none"/>
        </w:rPr>
        <w:t xml:space="preserve">6.4应配备液晶显示屏，实时显示流量、压力等关键工作参数。</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6.5电气安全最高等级为CF型，适用于佩戴心脏起搏器的患者。</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医用监视器</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7.1 4K监视器尺寸≥32英寸</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7.2</w:t>
      </w:r>
      <w:r>
        <w:rPr>
          <w:rFonts w:hint="eastAsia" w:ascii="宋体" w:hAnsi="宋体" w:eastAsia="宋体" w:cs="宋体"/>
          <w:bCs/>
          <w:sz w:val="24"/>
          <w:highlight w:val="none"/>
        </w:rPr>
        <w:t xml:space="preserve">分辨率不低于3840 x 2160</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7.3视角：不少于178°/ 178°</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7.4</w:t>
      </w:r>
      <w:r>
        <w:rPr>
          <w:rFonts w:hint="eastAsia" w:ascii="宋体" w:hAnsi="宋体" w:eastAsia="宋体" w:cs="宋体"/>
          <w:bCs/>
          <w:sz w:val="24"/>
          <w:highlight w:val="none"/>
        </w:rPr>
        <w:t xml:space="preserve">双屏显示功能，包括画中画、画外画模式等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刻录机</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8.1 提供可用于4K分辨率级别的专用刻录机</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8.2 支持HDMI、12G-SDI/4*3G-SDI等主流视频型号输入</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8.3 视频录制支持完整录制和按照时长分段录制</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8.4 搭载触摸屏，全中文、图像化界面设计，操作简单，易学易用</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冲洗吸引系统</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9.1 预设压力调节范围20-400mmHg</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9.2 流速调节范围100mL/min-1000mL/min</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9.3 压力超过预设的范围2.5mmHg时，在10秒内自动报警，报警声不小于50dB（A）</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9.4 搭配同品牌可重复使用管路</w:t>
      </w:r>
      <w:r>
        <w:rPr>
          <w:rFonts w:hint="eastAsia" w:ascii="宋体" w:hAnsi="宋体" w:eastAsia="宋体" w:cs="宋体"/>
          <w:bCs/>
          <w:sz w:val="24"/>
          <w:highlight w:val="none"/>
          <w:lang w:eastAsia="zh-CN"/>
        </w:rPr>
        <w:t xml:space="preserve">。</w:t>
      </w:r>
      <w:r/>
    </w:p>
    <w:p>
      <w:pP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10、单套</w:t>
      </w:r>
      <w:r>
        <w:rPr>
          <w:rFonts w:hint="eastAsia" w:ascii="宋体" w:hAnsi="宋体" w:eastAsia="宋体" w:cs="宋体"/>
          <w:bCs/>
          <w:sz w:val="24"/>
          <w:highlight w:val="none"/>
        </w:rPr>
        <w:t xml:space="preserve">配置</w:t>
      </w:r>
      <w:r>
        <w:rPr>
          <w:rFonts w:hint="eastAsia" w:ascii="宋体" w:hAnsi="宋体" w:eastAsia="宋体" w:cs="宋体"/>
          <w:bCs/>
          <w:sz w:val="24"/>
          <w:highlight w:val="none"/>
          <w:lang w:val="en-US" w:eastAsia="zh-CN"/>
        </w:rPr>
        <w:t xml:space="preserve">清单</w:t>
      </w:r>
      <w:r>
        <w:rPr>
          <w:rFonts w:hint="eastAsia" w:ascii="宋体" w:hAnsi="宋体" w:eastAsia="宋体" w:cs="宋体"/>
          <w:bCs/>
          <w:sz w:val="24"/>
          <w:highlight w:val="none"/>
        </w:rPr>
        <w:t xml:space="preserve">：</w:t>
      </w:r>
      <w:r/>
    </w:p>
    <w:p>
      <w:pPr>
        <w:pStyle w:val="908"/>
        <w:rPr>
          <w:rFonts w:hint="eastAsia"/>
          <w:highlight w:val="none"/>
        </w:rPr>
      </w:pPr>
      <w:r>
        <w:rPr>
          <w:rFonts w:hint="eastAsia"/>
          <w:highlight w:val="none"/>
        </w:rPr>
      </w:r>
      <w:r/>
    </w:p>
    <w:tbl>
      <w:tblPr>
        <w:tblStyle w:val="9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5"/>
        <w:gridCol w:w="3936"/>
        <w:gridCol w:w="2124"/>
      </w:tblGrid>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名称</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数量</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主机</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摄像头</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气腹机</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内窥镜冷光源</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32寸监视器</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4K光学视管</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7</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导光束</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5</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8</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消毒盒</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台车</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10</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刻录机</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165"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w:t>
            </w:r>
            <w:r/>
          </w:p>
        </w:tc>
        <w:tc>
          <w:tcPr>
            <w:tcW w:w="3936"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冲洗吸引系统</w:t>
            </w:r>
            <w:r/>
          </w:p>
        </w:tc>
        <w:tc>
          <w:tcPr>
            <w:tcW w:w="212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bl>
    <w:p>
      <w:pP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r>
      <w:r/>
    </w:p>
    <w:p>
      <w:pPr>
        <w:keepLines w:val="0"/>
        <w:keepNext w:val="0"/>
        <w:pageBreakBefore w:val="0"/>
        <w:spacing w:line="360" w:lineRule="auto"/>
        <w:widowControl w:val="off"/>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4K荧光腹腔镜系统</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1套</w:t>
      </w:r>
      <w:r>
        <w:rPr>
          <w:rFonts w:hint="eastAsia" w:ascii="宋体" w:hAnsi="宋体" w:eastAsia="宋体" w:cs="宋体"/>
          <w:b/>
          <w:bCs w:val="0"/>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1、摄像主机</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1.1 主机输出分辨率不小于3840x2160，逐行扫描</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1.2主机可同时处理两路图像信号，进行标准画面与增强画面进行同屏对比显示</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▲1.3单摄像主机可同时连接同品牌宫腹腔镜摄像头，实现单主机的宫腹腔镜联合手术，两幅不同内镜图像在同一显示器分屏显示</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▲1.4可同时处理可见光波段及近红外波段 </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1.5主机影像增强功能≥5种，可根据手术需要，动态调节画面亮度，暗处增亮并降低反光；可实现图像色彩增益；至少2种电子染色，可提高对血管及组织的辨识度</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1.6 不低于4种荧光显影模式：重叠荧光模式（绿/蓝可选）、黑白荧光模式、强度导航模式等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1.7术野画面≥5级亮度可调；≥2种纤维镜图像优化功能</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▲1.8通过摄像头可操控手术设备，如调节气腹机流速、压力，调节冷光源的亮度等，并可实现与同品牌一体化手术室控制对接。</w:t>
      </w:r>
      <w:r/>
    </w:p>
    <w:p>
      <w:pPr>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Cs/>
          <w:sz w:val="24"/>
          <w:highlight w:val="none"/>
        </w:rPr>
        <w:t xml:space="preserve">▲1.9 主机模块自带嵌入式同品牌图文工作站：摄像主机USB接口数量大于4个，支持U盘即插即拔及实时打印功能，可显示外接存储器剩余录制空间</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▲1.10输出端口：DP数字端口1个，12G/3G-SDI数字端口1个，DVI-D数字端口1个</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1.11主机模块化设计，可兼容不同功能的模块，包括3D模块、4K荧光模块等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1.12术野画面3倍电子放大功能，≥7级可调，具有自适应缩放功能</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▲1.13摄像主机支持拓展升级，兼容≥6种可连接光学硬镜的同品牌不同规格型号的2D摄像头；</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★1.14可兼容同品牌可复用电子软镜，满足后续升级需求。</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▲1.15主机可兼容同品牌10mm 3D腹腔镜、≤5mm 3D镜满足多种手术场景，提高设备的利用率。</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▲1.16 主机可兼容同品牌宫腔镜专用钟摆式摄像头及同品牌双极电切镜，满足多科室使用需求</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2、4K荧光摄像头</w:t>
      </w:r>
      <w:r/>
    </w:p>
    <w:p>
      <w:pPr>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2.1有效采集像素不低于3840 x 2160，逐行扫描。</w:t>
      </w:r>
      <w:r>
        <w:rPr>
          <w:rFonts w:hint="eastAsia" w:ascii="宋体" w:hAnsi="宋体" w:eastAsia="宋体" w:cs="宋体"/>
          <w:bCs/>
          <w:sz w:val="24"/>
          <w:highlight w:val="none"/>
        </w:rPr>
        <w:br/>
      </w:r>
      <w:r>
        <w:rPr>
          <w:rFonts w:hint="eastAsia" w:ascii="宋体" w:hAnsi="宋体" w:eastAsia="宋体" w:cs="宋体"/>
          <w:bCs/>
          <w:sz w:val="24"/>
          <w:highlight w:val="none"/>
        </w:rPr>
        <w:t xml:space="preserve">2.2摄像头应能同步接收并处理可见光及近红外荧光信号，实现独立的荧光成像。成像传感器应能支持4K分辨率。</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2.3应提供多种荧光显影模式，例如：彩色重叠荧光模式（颜色可选）、黑白荧光模式、荧光强度导航模式等。</w:t>
      </w:r>
      <w:r/>
    </w:p>
    <w:p>
      <w:pPr>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2.4摄像头按键应支持自定义快捷功能，可预设功能至少包括：术野录像、拍照、白平衡调节、荧光模式开关等。</w:t>
      </w:r>
      <w:r>
        <w:rPr>
          <w:rFonts w:hint="eastAsia" w:ascii="宋体" w:hAnsi="宋体" w:eastAsia="宋体" w:cs="宋体"/>
          <w:bCs/>
          <w:sz w:val="24"/>
          <w:highlight w:val="none"/>
        </w:rPr>
        <w:br/>
      </w:r>
      <w:r>
        <w:rPr>
          <w:rFonts w:hint="eastAsia" w:ascii="宋体" w:hAnsi="宋体" w:eastAsia="宋体" w:cs="宋体"/>
          <w:bCs/>
          <w:sz w:val="24"/>
          <w:highlight w:val="none"/>
        </w:rPr>
        <w:t xml:space="preserve">2.5电气安全：应符合医用电气设备安全标准，达到CF型应用部分，I类设备防护等级。</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▲2.6与摄像主机同一品牌，兼容4K及荧光成像且直径5mm、10mm，视向角0°、30°多规格可选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重量≤260g，握持轻便</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3、4K荧光光学视管</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3.1兼容4K及荧光成像且直径5mm、10mm，视向角0°、30°多规格可选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3.2具备4K成像认证</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3.3视场角≥80°</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3.4有效景深范围包含但不限于3mm-100mm</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3.5高温高压消毒，消毒次数≥360次</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4、光学视管</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▲4.1腹腔镜为柱状晶体镜，超广角，亮度高，无球形畸形、确保成像质量且直径5mm、10mm，视向角0°、30°多规格可选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4.2腹腔镜视场角≥80°，腹腔镜长度≥31cm</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4.3 有效景深范围不窄于3mm-100mm，光学镜分辨率(lp/mm)≥8</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▲4.4可高温高压、浸泡、气熏或低温等离子消毒,设计使用期限不少于360次</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LED冷光源</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5.1色温不少于5700K</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5.2灯泡寿命≥30000小时</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5.3触摸屏，图形直观，用户界面简单明了</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5.4持续输出恒定的光强度</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▲5.5 具有自动亮度控制功能，可根据手术画面的实际情况自动调节输出亮度</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s="Times New Roman"/>
          <w:highlight w:val="none"/>
          <w:lang w:eastAsia="zh-CN"/>
        </w:rPr>
      </w:pPr>
      <w:r>
        <w:rPr>
          <w:rFonts w:hint="eastAsia" w:ascii="宋体" w:hAnsi="宋体" w:eastAsia="宋体" w:cs="宋体"/>
          <w:bCs/>
          <w:sz w:val="24"/>
          <w:highlight w:val="none"/>
        </w:rPr>
        <w:t xml:space="preserve">▲5.</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 开机时光源亮度最低，确保术中使用安全</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6、气腹机</w:t>
      </w:r>
      <w:r/>
    </w:p>
    <w:p>
      <w:pPr>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6.1与摄像主机同品牌，最大灌注流速不低于40 L/min。</w:t>
      </w:r>
      <w:r>
        <w:rPr>
          <w:rFonts w:hint="eastAsia" w:ascii="宋体" w:hAnsi="宋体" w:eastAsia="宋体" w:cs="宋体"/>
          <w:bCs/>
          <w:sz w:val="24"/>
          <w:highlight w:val="none"/>
        </w:rPr>
        <w:br/>
      </w:r>
      <w:r>
        <w:rPr>
          <w:rFonts w:hint="eastAsia" w:ascii="宋体" w:hAnsi="宋体" w:eastAsia="宋体" w:cs="宋体"/>
          <w:bCs/>
          <w:sz w:val="24"/>
          <w:highlight w:val="none"/>
        </w:rPr>
        <w:t xml:space="preserve">▲6.2至少具备成人及儿童两种模式。成人模式压力调节范围：1-30 mmHg；流速调节范围：1-40 L/min。儿童模式下压力调节范围：1-15 mmHg；最小可调流速不高于0.1L/min。</w:t>
      </w:r>
      <w:r>
        <w:rPr>
          <w:rFonts w:hint="eastAsia" w:ascii="宋体" w:hAnsi="宋体" w:eastAsia="宋体" w:cs="宋体"/>
          <w:b/>
          <w:bCs w:val="0"/>
          <w:sz w:val="24"/>
          <w:highlight w:val="none"/>
        </w:rPr>
        <w:br/>
      </w:r>
      <w:r>
        <w:rPr>
          <w:rFonts w:hint="eastAsia" w:ascii="宋体" w:hAnsi="宋体" w:eastAsia="宋体" w:cs="宋体"/>
          <w:bCs/>
          <w:sz w:val="24"/>
          <w:highlight w:val="none"/>
        </w:rPr>
        <w:t xml:space="preserve">6.3应具备自动压力维持与补偿功能，防止因意外中断或泄漏导致腹压骤降；集成高压安全监测与自动泄压报警系统。</w:t>
      </w:r>
      <w:r>
        <w:rPr>
          <w:rFonts w:hint="eastAsia" w:ascii="宋体" w:hAnsi="宋体" w:eastAsia="宋体" w:cs="宋体"/>
          <w:bCs/>
          <w:sz w:val="24"/>
          <w:highlight w:val="none"/>
        </w:rPr>
        <w:br/>
      </w:r>
      <w:r>
        <w:rPr>
          <w:rFonts w:hint="eastAsia" w:ascii="宋体" w:hAnsi="宋体" w:eastAsia="宋体" w:cs="宋体"/>
          <w:bCs/>
          <w:sz w:val="24"/>
          <w:highlight w:val="none"/>
        </w:rPr>
        <w:t xml:space="preserve">6.4应配备液晶显示屏，实时显示流量、压力等关键工作参数。</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6.5电气安全最高等级为CF型，适用于佩戴心脏起搏器的患者。</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医用监视器</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7.1 4K监视器尺寸≥32英寸</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7.2</w:t>
      </w:r>
      <w:r>
        <w:rPr>
          <w:rFonts w:hint="eastAsia" w:ascii="宋体" w:hAnsi="宋体" w:eastAsia="宋体" w:cs="宋体"/>
          <w:bCs/>
          <w:sz w:val="24"/>
          <w:highlight w:val="none"/>
        </w:rPr>
        <w:t xml:space="preserve">分辨率不低于3840 x 2160</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7.3视角：不少于178°/ 178°</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7.4</w:t>
      </w:r>
      <w:r>
        <w:rPr>
          <w:rFonts w:hint="eastAsia" w:ascii="宋体" w:hAnsi="宋体" w:eastAsia="宋体" w:cs="宋体"/>
          <w:bCs/>
          <w:sz w:val="24"/>
          <w:highlight w:val="none"/>
        </w:rPr>
        <w:t xml:space="preserve">双屏显示功能，包括画中画、画外画模式等</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刻录机</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8.1 提供可用于4K分辨率级别的专用刻录机</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8.2 支持HDMI、12G-SDI/4*3G-SDI等主流视频型号输入</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8.3 视频录制支持完整录制和按照时长分段录制</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搭载触摸屏，全中文、图像化界面设计，操作简单，易学易用</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冲洗吸引系统</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9.1 预设压力调节范围20-400mmHg</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9.2 流速调节范围100mL/min-1000mL/min</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9.3 压力超过预设的范围2.5mmHg时，在10秒内自动报警，报警声不小于50dB（A）</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搭配同品牌可重复使用管路</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10</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导光束</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10.1长度不小于300cm</w:t>
      </w:r>
      <w:r>
        <w:rPr>
          <w:rFonts w:hint="eastAsia" w:ascii="宋体" w:hAnsi="宋体" w:eastAsia="宋体" w:cs="宋体"/>
          <w:bCs/>
          <w:sz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10.2直径不小于4.8mm</w:t>
      </w:r>
      <w:r>
        <w:rPr>
          <w:rFonts w:hint="eastAsia" w:ascii="宋体" w:hAnsi="宋体" w:eastAsia="宋体" w:cs="宋体"/>
          <w:bCs/>
          <w:sz w:val="24"/>
          <w:highlight w:val="none"/>
          <w:lang w:eastAsia="zh-CN"/>
        </w:rPr>
        <w:t xml:space="preserve">。</w:t>
      </w:r>
      <w:r/>
    </w:p>
    <w:p>
      <w:pPr>
        <w:keepLines w:val="0"/>
        <w:keepNext w:val="0"/>
        <w:pageBreakBefore w:val="0"/>
        <w:spacing w:line="400" w:lineRule="exact"/>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11、单套</w:t>
      </w:r>
      <w:r>
        <w:rPr>
          <w:rFonts w:hint="eastAsia" w:ascii="宋体" w:hAnsi="宋体" w:eastAsia="宋体" w:cs="宋体"/>
          <w:bCs/>
          <w:sz w:val="24"/>
          <w:highlight w:val="none"/>
        </w:rPr>
        <w:t xml:space="preserve">配置</w:t>
      </w:r>
      <w:r>
        <w:rPr>
          <w:rFonts w:hint="eastAsia" w:ascii="宋体" w:hAnsi="宋体" w:eastAsia="宋体" w:cs="宋体"/>
          <w:bCs/>
          <w:sz w:val="24"/>
          <w:highlight w:val="none"/>
          <w:lang w:val="en-US" w:eastAsia="zh-CN"/>
        </w:rPr>
        <w:t xml:space="preserve">清单：</w:t>
      </w:r>
      <w:r/>
    </w:p>
    <w:tbl>
      <w:tblPr>
        <w:tblStyle w:val="9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4"/>
        <w:gridCol w:w="3830"/>
        <w:gridCol w:w="1512"/>
      </w:tblGrid>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p>
        </w:tc>
        <w:tc>
          <w:tcPr>
            <w:tcW w:w="3830"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名称</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数量</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主机</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4K荧光摄像头</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气腹机</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内窥镜冷光源</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32寸监视器</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4K荧光光学视管</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7</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4K白光光学视管</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8</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导光束</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5</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消毒盒</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10</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台车</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刻录机</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r>
        <w:trPr/>
        <w:tc>
          <w:tcPr>
            <w:tcW w:w="1764"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12</w:t>
            </w:r>
            <w:r/>
          </w:p>
        </w:tc>
        <w:tc>
          <w:tcPr>
            <w:tcW w:w="3830" w:type="dxa"/>
            <w:textDirection w:val="lrTb"/>
            <w:noWrap w:val="false"/>
          </w:tcPr>
          <w:p>
            <w:pPr>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冲洗吸引系统</w:t>
            </w:r>
            <w:r/>
          </w:p>
        </w:tc>
        <w:tc>
          <w:tcPr>
            <w:tcW w:w="1512" w:type="dxa"/>
            <w:textDirection w:val="lrTb"/>
            <w:noWrap w:val="false"/>
          </w:tcPr>
          <w:p>
            <w:pPr>
              <w:jc w:val="center"/>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r>
    </w:tbl>
    <w:p>
      <w:pPr>
        <w:pStyle w:val="905"/>
        <w:ind w:firstLine="482"/>
        <w:jc w:val="both"/>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r>
      <w:r/>
    </w:p>
    <w:p>
      <w:pPr>
        <w:pStyle w:val="905"/>
        <w:ind w:firstLine="482"/>
        <w:jc w:val="both"/>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r>
      <w:r/>
    </w:p>
    <w:p>
      <w:pPr>
        <w:pStyle w:val="905"/>
        <w:ind w:firstLine="482"/>
        <w:jc w:val="both"/>
        <w:keepLines w:val="0"/>
        <w:keepNext w:val="0"/>
        <w:pageBreakBefore w:val="0"/>
        <w:spacing w:beforeAutospacing="0" w:afterAutospacing="0" w:line="360" w:lineRule="auto"/>
        <w:widowControl w:val="off"/>
        <w:rPr>
          <w:rFonts w:hint="eastAsia" w:ascii="宋体" w:hAnsi="宋体" w:eastAsia="宋体" w:cs="宋体"/>
          <w:b/>
          <w:bCs/>
          <w:i/>
          <w:iCs/>
          <w:sz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注：（1）以上技术参数中，标注“</w:t>
      </w:r>
      <w:r>
        <w:rPr>
          <w:rFonts w:hint="eastAsia" w:ascii="宋体" w:hAnsi="宋体" w:eastAsia="宋体" w:cs="宋体"/>
          <w:bCs/>
          <w:sz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”的</w:t>
      </w:r>
      <w:r>
        <w:rPr>
          <w:rFonts w:hint="eastAsia" w:ascii="宋体" w:hAnsi="宋体" w:eastAsia="宋体" w:cs="宋体"/>
          <w:b/>
          <w:bCs/>
          <w:i/>
          <w:iCs/>
          <w:sz w:val="24"/>
          <w:highlight w:val="none"/>
          <w:u w:val="single"/>
          <w:lang w:val="en-US" w:eastAsia="zh-CN"/>
        </w:rPr>
        <w:t xml:space="preserve">技术参数为实质性响应条款，需满足项目需求，不得有负偏离。投标人需按照本采购文件技术要求在“技术参数响应及偏离表”中如实逐条详细填列所投产品的参数响应。如采购文件要求提供相应材料的，须按要求提供材料加盖投标人公章。</w:t>
      </w:r>
      <w:r/>
    </w:p>
    <w:p>
      <w:pPr>
        <w:pStyle w:val="905"/>
        <w:ind w:firstLine="482"/>
        <w:jc w:val="both"/>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2）以上技术参数中，标注“▲”为重要参数（28项），每负偏离一项扣1分；其余技术参数为一般参数（75项），每负偏离一项扣0.04分；投标人需按照本采购文件技术要求在“技术参数响应及偏离表”中如实逐条详细填列所投产品的参数响应。如采购文件要求提供相应材料的，须按要求提供材料加盖投标人公章。</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三、商务要求</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交货时间：合同签订后，自采购人书面通知之日起30日内</w:t>
      </w:r>
      <w:r>
        <w:rPr>
          <w:rFonts w:hint="eastAsia" w:ascii="宋体" w:hAnsi="宋体" w:eastAsia="宋体" w:cs="宋体"/>
          <w:color w:val="auto"/>
          <w:sz w:val="24"/>
          <w:szCs w:val="24"/>
          <w:highlight w:val="none"/>
          <w:lang w:val="en-US" w:eastAsia="zh-CN"/>
        </w:rPr>
        <w:t xml:space="preserve">交付</w:t>
      </w:r>
      <w:r>
        <w:rPr>
          <w:rFonts w:hint="eastAsia" w:ascii="宋体" w:hAnsi="宋体" w:eastAsia="宋体" w:cs="宋体"/>
          <w:color w:val="auto"/>
          <w:sz w:val="24"/>
          <w:szCs w:val="24"/>
          <w:highlight w:val="none"/>
        </w:rPr>
        <w:t xml:space="preserve">。</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交货地点：根据采购人要求送达指定地点。</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合同签订后，甲方收到预付款发票后10个工作日内甲方支付合同价30%的预付款。2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货物进场，经甲方验收后，甲方支付合同金额的40%。3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项目验收合格，临床使用3个月内，甲方支付至合同金额的90%。（扣除已支付预付款）4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其余的10%尾款，项目验收合格满12个月后付清。</w:t>
      </w:r>
      <w:r/>
    </w:p>
    <w:p>
      <w:pPr>
        <w:pStyle w:val="905"/>
        <w:ind w:firstLine="480"/>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特别说明：采购人要求中标供应商供货设备运输到场，放置于采购人指定场地，中标供应商应承担保管责任，如有二次搬运，费用由中标供应商自行承担。上述费用包含在中标价中，采购人不另增加费用。请各供应商在投标报价时综合考虑此项因素，并计入报价中。</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免费保修期5年。</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根据该设备特点及技术要求对采购人的技术、管理人员进行培训。 </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进口产品投标</w:t>
      </w:r>
      <w:r>
        <w:rPr>
          <w:rFonts w:hint="eastAsia" w:ascii="宋体" w:hAnsi="宋体" w:eastAsia="宋体" w:cs="宋体"/>
          <w:color w:val="auto"/>
          <w:sz w:val="24"/>
          <w:szCs w:val="24"/>
          <w:highlight w:val="none"/>
          <w:lang w:eastAsia="zh-CN"/>
        </w:rPr>
        <w:t xml:space="preserve">。</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rPr>
        <w:t xml:space="preserve">采购标的的所属行业为</w:t>
      </w: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，投标人需按照采购文件的要求提供相应的《中小企业声明函》。企业标准请参照《关于印发中小企业划型标准规定的通知》（工信部联企业〔2011〕300号）文件规定自行填写。</w:t>
      </w:r>
      <w:r/>
    </w:p>
    <w:p>
      <w:pPr>
        <w:pStyle w:val="905"/>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、项目实施方案</w:t>
      </w:r>
      <w:r/>
    </w:p>
    <w:p>
      <w:pPr>
        <w:pStyle w:val="905"/>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（1）产品供货方案主要包含设备供货方案、设备运输方案。</w:t>
      </w:r>
      <w:r/>
    </w:p>
    <w:p>
      <w:pPr>
        <w:pStyle w:val="905"/>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（2）产品安装、调试方案主要包含产品安装、调试方案。</w:t>
      </w:r>
      <w:r/>
    </w:p>
    <w:p>
      <w:pPr>
        <w:pStyle w:val="905"/>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（3）项目验收方案，投标人应根据招标文件要求提供具体详实的项目验收方案。</w:t>
      </w:r>
      <w:r/>
    </w:p>
    <w:p>
      <w:pPr>
        <w:pStyle w:val="905"/>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（4）项目人员安排；故障响应时间、服务方案、系统重大故障的应急预案以及措施安排。</w:t>
      </w:r>
      <w:r/>
    </w:p>
    <w:p>
      <w:pPr>
        <w:pStyle w:val="905"/>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、售后服务及培训方案</w:t>
      </w:r>
      <w:r/>
    </w:p>
    <w:p>
      <w:pPr>
        <w:pStyle w:val="905"/>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（1）技术培训方案包括培训内容、培训方式、培训流程、培训时间等内容。</w:t>
      </w:r>
      <w:r/>
    </w:p>
    <w:p>
      <w:pPr>
        <w:pStyle w:val="905"/>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（2）售后支持及服务方案包括服务流程、服务内容、响应时间、保障措施等内容。</w:t>
      </w:r>
      <w:r/>
    </w:p>
    <w:p>
      <w:pPr>
        <w:pStyle w:val="905"/>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投标人具有自2023年1月1日(含)以来（以合同签订日期为准）所投产品的业绩</w:t>
      </w:r>
      <w:r>
        <w:rPr>
          <w:rFonts w:hint="eastAsia" w:ascii="宋体" w:hAnsi="宋体" w:eastAsia="宋体" w:cs="宋体"/>
          <w:color w:val="auto"/>
          <w:sz w:val="24"/>
          <w:szCs w:val="24"/>
          <w:highlight w:val="none"/>
        </w:rPr>
        <w:t xml:space="preserve">的优先。 </w:t>
      </w:r>
      <w:r/>
    </w:p>
    <w:p>
      <w:pPr>
        <w:pStyle w:val="905"/>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5"/>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905"/>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905"/>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24"/>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spacing w:line="360" w:lineRule="auto"/>
        <w:rPr>
          <w:rFonts w:hint="default" w:ascii="宋体" w:hAnsi="宋体" w:eastAsia="宋体" w:cs="Courier New"/>
          <w:b/>
          <w:bCs/>
          <w:color w:val="auto"/>
          <w:sz w:val="24"/>
          <w:szCs w:val="24"/>
          <w:highlight w:val="none"/>
        </w:rPr>
      </w:pPr>
      <w:r>
        <w:rPr>
          <w:rFonts w:hint="eastAsia" w:ascii="宋体" w:hAnsi="宋体" w:eastAsia="宋体" w:cs="Courier New"/>
          <w:b/>
          <w:bCs/>
          <w:color w:val="auto"/>
          <w:sz w:val="24"/>
          <w:szCs w:val="24"/>
          <w:highlight w:val="none"/>
        </w:rPr>
        <w:t xml:space="preserve">二、评标标准</w:t>
      </w:r>
      <w:r/>
    </w:p>
    <w:p>
      <w:pPr>
        <w:spacing w:line="360" w:lineRule="auto"/>
        <w:rPr>
          <w:rFonts w:hint="eastAsia"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本项目评分总分值为</w:t>
      </w:r>
      <w:r>
        <w:rPr>
          <w:rFonts w:hint="default" w:ascii="宋体" w:hAnsi="宋体" w:eastAsia="宋体" w:cs="Courier New"/>
          <w:bCs/>
          <w:color w:val="auto"/>
          <w:sz w:val="24"/>
          <w:szCs w:val="24"/>
          <w:highlight w:val="none"/>
        </w:rPr>
        <w:t xml:space="preserve">100</w:t>
      </w:r>
      <w:r>
        <w:rPr>
          <w:rFonts w:hint="eastAsia" w:ascii="宋体" w:hAnsi="宋体" w:eastAsia="宋体" w:cs="Courier New"/>
          <w:bCs/>
          <w:color w:val="auto"/>
          <w:sz w:val="24"/>
          <w:szCs w:val="24"/>
          <w:highlight w:val="none"/>
        </w:rPr>
        <w:t xml:space="preserve">分。</w:t>
      </w:r>
      <w:r/>
    </w:p>
    <w:tbl>
      <w:tblPr>
        <w:tblStyle w:val="899"/>
        <w:tblW w:w="9452"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54"/>
        <w:gridCol w:w="814"/>
        <w:gridCol w:w="7184"/>
      </w:tblGrid>
      <w:tr>
        <w:trPr>
          <w:trHeight w:val="48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bookmarkStart w:id="172" w:name="_Hlk196127052"/>
            <w:r>
              <w:rPr>
                <w:rFonts w:hint="eastAsia" w:ascii="宋体" w:hAnsi="宋体" w:eastAsia="宋体" w:cs="宋体"/>
                <w:b/>
                <w:color w:val="auto"/>
                <w:sz w:val="24"/>
                <w:szCs w:val="24"/>
                <w:highlight w:val="none"/>
                <w:lang w:bidi="ar"/>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评分标准</w:t>
            </w:r>
            <w:r/>
          </w:p>
        </w:tc>
      </w:tr>
      <w:tr>
        <w:trPr>
          <w:trHeight w:val="176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30</w:t>
            </w:r>
            <w:r>
              <w:rPr>
                <w:rFonts w:hint="eastAsia" w:ascii="宋体" w:hAnsi="宋体" w:eastAsia="宋体" w:cs="宋体"/>
                <w:color w:val="auto"/>
                <w:sz w:val="24"/>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ind w:firstLine="440"/>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投标报价得分=(评标基准价</w:t>
            </w:r>
            <w:r>
              <w:rPr>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bidi="ar"/>
              </w:rPr>
              <w:t xml:space="preserve">投标报价)×30 （该结果四舍五入，保留两位小数）</w:t>
            </w:r>
            <w:r/>
          </w:p>
        </w:tc>
      </w:tr>
      <w:tr>
        <w:trPr>
          <w:trHeight w:val="298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技术响应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31分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ind w:firstLine="480"/>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color w:val="auto"/>
                <w:sz w:val="24"/>
                <w:szCs w:val="24"/>
                <w:highlight w:val="none"/>
                <w:lang w:bidi="ar"/>
              </w:rPr>
              <w:t xml:space="preserve">投标</w:t>
            </w:r>
            <w:r>
              <w:rPr>
                <w:rFonts w:hint="eastAsia" w:ascii="宋体" w:hAnsi="宋体" w:eastAsia="宋体" w:cs="宋体"/>
                <w:color w:val="auto"/>
                <w:sz w:val="24"/>
                <w:szCs w:val="24"/>
                <w:highlight w:val="none"/>
                <w:lang w:val="en-US" w:eastAsia="zh-CN" w:bidi="ar"/>
              </w:rPr>
              <w:t xml:space="preserve">人根据</w:t>
            </w:r>
            <w:r>
              <w:rPr>
                <w:rFonts w:hint="eastAsia" w:ascii="宋体" w:hAnsi="宋体" w:eastAsia="宋体" w:cs="宋体"/>
                <w:color w:val="auto"/>
                <w:sz w:val="24"/>
                <w:szCs w:val="24"/>
                <w:highlight w:val="none"/>
                <w:lang w:bidi="ar"/>
              </w:rPr>
              <w:t xml:space="preserve">招标文件</w:t>
            </w:r>
            <w:r>
              <w:rPr>
                <w:rFonts w:hint="eastAsia" w:ascii="宋体" w:hAnsi="宋体" w:eastAsia="宋体" w:cs="宋体"/>
                <w:color w:val="auto"/>
                <w:sz w:val="24"/>
                <w:szCs w:val="24"/>
                <w:highlight w:val="none"/>
                <w:lang w:val="en-US" w:eastAsia="zh-CN" w:bidi="ar"/>
              </w:rPr>
              <w:t xml:space="preserve">项目</w:t>
            </w:r>
            <w:r>
              <w:rPr>
                <w:rFonts w:hint="eastAsia" w:ascii="宋体" w:hAnsi="宋体" w:eastAsia="宋体" w:cs="宋体"/>
                <w:color w:val="auto"/>
                <w:sz w:val="24"/>
                <w:szCs w:val="24"/>
                <w:highlight w:val="none"/>
                <w:lang w:bidi="ar"/>
              </w:rPr>
              <w:t xml:space="preserve">需求</w:t>
            </w:r>
            <w:r>
              <w:rPr>
                <w:rFonts w:hint="eastAsia" w:ascii="宋体" w:hAnsi="宋体" w:eastAsia="宋体" w:cs="宋体"/>
                <w:color w:val="auto"/>
                <w:sz w:val="24"/>
                <w:szCs w:val="24"/>
                <w:highlight w:val="none"/>
                <w:lang w:val="en-US" w:eastAsia="zh-CN" w:bidi="ar"/>
              </w:rPr>
              <w:t xml:space="preserve">技术参数</w:t>
            </w:r>
            <w:r>
              <w:rPr>
                <w:rFonts w:hint="eastAsia" w:ascii="宋体" w:hAnsi="宋体" w:eastAsia="宋体" w:cs="宋体"/>
                <w:color w:val="auto"/>
                <w:sz w:val="24"/>
                <w:szCs w:val="24"/>
                <w:highlight w:val="none"/>
                <w:lang w:bidi="ar"/>
              </w:rPr>
              <w:t xml:space="preserve">的响应程度：标注“▲”为重要参数（28项），每负偏离一项扣1分；其余技术参数为一般参数（75项），每负偏离一项扣0.04分；</w:t>
            </w:r>
            <w:r>
              <w:rPr>
                <w:rFonts w:hint="eastAsia" w:ascii="宋体" w:hAnsi="宋体" w:eastAsia="宋体" w:cs="宋体"/>
                <w:b/>
                <w:bCs/>
                <w:color w:val="auto"/>
                <w:sz w:val="24"/>
                <w:szCs w:val="24"/>
                <w:highlight w:val="none"/>
                <w:lang w:bidi="ar"/>
              </w:rPr>
              <w:t xml:space="preserve">投标人需按照本采购文件技术要求等在“技术参数响应及偏离表”中如实逐条详细填列所投产品的参数响应。如采购文件要求提供相应材料的，须按要求提供材料加盖投标人公章。</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业绩</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提供投标人自2023年1月1日(含)以来（以合同签订日期为准）所投产品的业绩，每有1个得2分，本项最高得6分。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注：投标时须提供合同原件扫描件（合同中合同主体名称、合同金额、合同范围、双方签字盖章等内容须体现）及验收合格证明原件扫描件，未提供或提供不全的不得分。</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项目实施</w:t>
            </w:r>
            <w:r/>
          </w:p>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24</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1、产品</w:t>
            </w:r>
            <w:r>
              <w:rPr>
                <w:rFonts w:hint="eastAsia" w:ascii="宋体" w:hAnsi="宋体" w:eastAsia="宋体" w:cs="宋体"/>
                <w:color w:val="auto"/>
                <w:sz w:val="22"/>
                <w:szCs w:val="22"/>
                <w:highlight w:val="none"/>
                <w:lang w:bidi="ar"/>
              </w:rPr>
              <w:t xml:space="preserve">供货方案（</w:t>
            </w: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分）：评委根据投标人提供的</w:t>
            </w:r>
            <w:r>
              <w:rPr>
                <w:rFonts w:hint="eastAsia" w:ascii="宋体" w:hAnsi="宋体" w:eastAsia="宋体" w:cs="宋体"/>
                <w:color w:val="auto"/>
                <w:sz w:val="22"/>
                <w:szCs w:val="22"/>
                <w:highlight w:val="none"/>
                <w:lang w:val="en-US" w:eastAsia="zh-CN" w:bidi="ar"/>
              </w:rPr>
              <w:t xml:space="preserve">设备供货方案</w:t>
            </w:r>
            <w:r>
              <w:rPr>
                <w:rFonts w:hint="eastAsia" w:ascii="宋体" w:hAnsi="宋体" w:eastAsia="宋体" w:cs="宋体"/>
                <w:color w:val="auto"/>
                <w:sz w:val="22"/>
                <w:szCs w:val="22"/>
                <w:highlight w:val="none"/>
                <w:lang w:bidi="ar"/>
              </w:rPr>
              <w:t xml:space="preserve">、设备运输方案进行评分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方案满足项目需求的得4分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2、产品安装、调试方案（6分）</w:t>
            </w:r>
            <w:r>
              <w:rPr>
                <w:rFonts w:hint="eastAsia"/>
                <w:color w:val="auto"/>
                <w:sz w:val="22"/>
                <w:szCs w:val="22"/>
                <w:highlight w:val="none"/>
                <w:lang w:val="en-US" w:eastAsia="zh-CN"/>
              </w:rPr>
              <w:t xml:space="preserve">：</w:t>
            </w:r>
            <w:r>
              <w:rPr>
                <w:rFonts w:hint="eastAsia" w:ascii="宋体" w:hAnsi="宋体" w:eastAsia="宋体" w:cs="宋体"/>
                <w:color w:val="auto"/>
                <w:sz w:val="22"/>
                <w:szCs w:val="22"/>
                <w:highlight w:val="none"/>
                <w:lang w:bidi="ar"/>
              </w:rPr>
              <w:t xml:space="preserve">评委根据投标人提供的</w:t>
            </w:r>
            <w:r>
              <w:rPr>
                <w:rFonts w:hint="eastAsia"/>
                <w:color w:val="auto"/>
                <w:sz w:val="22"/>
                <w:szCs w:val="22"/>
                <w:highlight w:val="none"/>
                <w:lang w:val="en-US" w:eastAsia="zh-CN"/>
              </w:rPr>
              <w:t xml:space="preserve">产品安装、调试方案进行评分。</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方案满足项目需求的得4分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项目验收方案</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6分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：投标人应根据招标文件要求提供具体详实的项目验收方案。</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方案满足项目需求的得4分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项目人员安排</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6分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；故障响应时间、服务方案、系统重大故障的应急预案以及措施安排。</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方案满足项目需求的得4分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售后服务及培训方案</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1、提供完整的技术培训方案（</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分），包括培训内容、培训方式、培训流程、培训时间等内容。</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方案满足项目需求的得3分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2"/>
                <w:szCs w:val="22"/>
                <w:highlight w:val="none"/>
                <w:lang w:bidi="ar"/>
              </w:rPr>
              <w:t xml:space="preserve">2、提供完整的售后支持及服务方案（</w:t>
            </w: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分），包括服务流程、服务内容、响应时间、保障措施等内容。</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方案满足项目需求的得2分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bookmarkEnd w:id="172"/>
            <w:r/>
            <w:r/>
          </w:p>
        </w:tc>
      </w:tr>
    </w:tbl>
    <w:p>
      <w:pPr>
        <w:pStyle w:val="90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905"/>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0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0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905"/>
        <w:jc w:val="center"/>
        <w:spacing w:beforeAutospacing="0" w:afterAutospacing="0"/>
        <w:rPr>
          <w:rFonts w:hint="eastAsia" w:ascii="宋体" w:hAnsi="宋体" w:eastAsia="宋体" w:cs="宋体"/>
          <w:b/>
          <w:color w:val="auto"/>
          <w:sz w:val="72"/>
          <w:szCs w:val="72"/>
          <w:highlight w:val="none"/>
        </w:rPr>
      </w:pPr>
      <w:r/>
      <w:bookmarkStart w:id="173" w:name="_Toc49090576"/>
      <w:r/>
      <w:bookmarkEnd w:id="173"/>
      <w:r/>
      <w:bookmarkStart w:id="174" w:name="_Toc120614282"/>
      <w:r/>
      <w:bookmarkEnd w:id="174"/>
      <w:r/>
      <w:bookmarkStart w:id="175" w:name="_Toc26554094"/>
      <w:r/>
      <w:bookmarkStart w:id="176" w:name="_Hlt26955039"/>
      <w:r/>
      <w:bookmarkStart w:id="177" w:name="_Hlt26671244"/>
      <w:r/>
      <w:r/>
    </w:p>
    <w:p>
      <w:pPr>
        <w:pStyle w:val="90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0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90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90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90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905"/>
        <w:jc w:val="center"/>
        <w:spacing w:beforeAutospacing="0" w:afterAutospacing="0" w:line="0" w:lineRule="atLeast"/>
        <w:rPr>
          <w:color w:val="auto"/>
          <w:highlight w:val="none"/>
        </w:rPr>
      </w:pPr>
      <w:r>
        <w:rPr>
          <w:color w:val="auto"/>
          <w:highlight w:val="none"/>
        </w:rPr>
        <w:t xml:space="preserve"> </w:t>
      </w:r>
      <w:r/>
    </w:p>
    <w:p>
      <w:pPr>
        <w:pStyle w:val="905"/>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90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90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w:t>
      </w:r>
      <w:r>
        <w:rPr>
          <w:rFonts w:hint="eastAsia" w:ascii="宋体" w:hAnsi="宋体" w:eastAsia="宋体" w:cs="宋体"/>
          <w:i w:val="0"/>
          <w:iCs w:val="0"/>
          <w:caps w:val="0"/>
          <w:color w:val="auto"/>
          <w:spacing w:val="0"/>
          <w:sz w:val="24"/>
          <w:szCs w:val="24"/>
          <w:highlight w:val="none"/>
          <w:shd w:val="clear" w:color="auto" w:fill="ffffff"/>
        </w:rPr>
        <w:t xml:space="preserve">上一年度（2025年度）的财务状况报表（至少包含资产负债表、利润表、现金流量表，成立不满一年无需提供）</w:t>
      </w:r>
      <w:r/>
    </w:p>
    <w:p>
      <w:pPr>
        <w:pStyle w:val="90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90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90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90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90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905"/>
        <w:ind w:left="0" w:firstLine="480"/>
        <w:jc w:val="both"/>
        <w:keepLines w:val="0"/>
        <w:keepNext w:val="0"/>
        <w:pageBreakBefore w:val="0"/>
        <w:spacing w:beforeAutospacing="0" w:afterAutospacing="0" w:line="360" w:lineRule="auto"/>
        <w:rPr>
          <w:rFonts w:hint="eastAsia" w:eastAsia="宋体"/>
          <w:i w:val="0"/>
          <w:iCs/>
          <w:color w:val="auto"/>
          <w:highlight w:val="none"/>
          <w:u w:val="none"/>
          <w:lang w:eastAsia="zh-CN"/>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0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0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05"/>
        <w:ind w:left="0" w:firstLine="480"/>
        <w:jc w:val="both"/>
        <w:keepLines w:val="0"/>
        <w:keepNext w:val="0"/>
        <w:pageBreakBefore w:val="0"/>
        <w:spacing w:beforeAutospacing="0" w:afterAutospacing="0" w:line="360" w:lineRule="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90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90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905"/>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、项目实施方案</w:t>
      </w:r>
      <w:r>
        <w:rPr>
          <w:rFonts w:hint="eastAsia" w:ascii="宋体" w:hAnsi="宋体" w:eastAsia="宋体" w:cs="宋体"/>
          <w:i w:val="0"/>
          <w:iCs/>
          <w:color w:val="auto"/>
          <w:sz w:val="24"/>
          <w:highlight w:val="none"/>
          <w:u w:val="none"/>
          <w:lang w:eastAsia="zh-CN"/>
        </w:rPr>
        <w:t xml:space="preserve">、</w:t>
      </w:r>
      <w:r>
        <w:rPr>
          <w:rFonts w:hint="eastAsia" w:ascii="宋体" w:hAnsi="宋体" w:eastAsia="宋体" w:cs="宋体"/>
          <w:i w:val="0"/>
          <w:iCs/>
          <w:color w:val="auto"/>
          <w:sz w:val="24"/>
          <w:highlight w:val="none"/>
          <w:u w:val="none"/>
        </w:rPr>
        <w:t xml:space="preserve">售后服务及培训方案以及投标人认为需要提供的其他资料等</w:t>
      </w:r>
      <w:r/>
    </w:p>
    <w:p>
      <w:pPr>
        <w:pStyle w:val="905"/>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color w:val="auto"/>
          <w:highlight w:val="none"/>
        </w:rPr>
      </w:r>
      <w:r/>
    </w:p>
    <w:p>
      <w:pPr>
        <w:pStyle w:val="905"/>
        <w:ind w:firstLine="480"/>
        <w:jc w:val="both"/>
        <w:spacing w:beforeAutospacing="0" w:afterAutospacing="0" w:line="0" w:lineRule="atLeast"/>
        <w:rPr>
          <w:color w:val="auto"/>
          <w:highlight w:val="none"/>
        </w:rPr>
      </w:pPr>
      <w:r>
        <w:rPr>
          <w:color w:val="auto"/>
          <w:highlight w:val="none"/>
        </w:rPr>
      </w:r>
      <w:r/>
    </w:p>
    <w:p>
      <w:pPr>
        <w:pStyle w:val="90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一、法人或者其他组织的营业执照等证明文件，自然人的身份证明</w:t>
      </w:r>
      <w:r/>
    </w:p>
    <w:p>
      <w:pPr>
        <w:pStyle w:val="905"/>
        <w:ind w:firstLine="480"/>
        <w:jc w:val="both"/>
        <w:spacing w:beforeAutospacing="0" w:afterAutospacing="0" w:line="0" w:lineRule="atLeast"/>
        <w:rPr>
          <w:i w:val="0"/>
          <w:iCs/>
          <w:color w:val="auto"/>
          <w:highlight w:val="none"/>
          <w:u w:val="none"/>
        </w:rPr>
      </w:pPr>
      <w:r>
        <w:rPr>
          <w:i w:val="0"/>
          <w:iCs/>
          <w:color w:val="auto"/>
          <w:highlight w:val="none"/>
          <w:u w:val="none"/>
        </w:rPr>
        <w:t xml:space="preserve"> </w:t>
      </w:r>
      <w:r/>
    </w:p>
    <w:p>
      <w:pPr>
        <w:pStyle w:val="905"/>
        <w:jc w:val="both"/>
        <w:spacing w:beforeAutospacing="0" w:afterAutospacing="0"/>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 xml:space="preserve">二、上一年度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lang w:val="en-US" w:eastAsia="zh-CN"/>
        </w:rPr>
        <w:t xml:space="preserve">2025年度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rPr>
        <w:t xml:space="preserve">的财务状况报</w:t>
      </w:r>
      <w:r>
        <w:rPr>
          <w:rFonts w:hint="eastAsia" w:ascii="黑体" w:hAnsi="宋体" w:eastAsia="黑体" w:cs="黑体"/>
          <w:i w:val="0"/>
          <w:iCs/>
          <w:color w:val="auto"/>
          <w:sz w:val="32"/>
          <w:szCs w:val="32"/>
          <w:highlight w:val="none"/>
          <w:u w:val="none"/>
          <w:lang w:val="en-US" w:eastAsia="zh-CN"/>
        </w:rPr>
        <w:t xml:space="preserve">表</w:t>
      </w:r>
      <w:r/>
    </w:p>
    <w:p>
      <w:pPr>
        <w:pStyle w:val="905"/>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（至少包含资产负债表、利润表、现金流量表，成立不满一年无需提供）</w:t>
      </w:r>
      <w:r/>
    </w:p>
    <w:p>
      <w:pPr>
        <w:pStyle w:val="905"/>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r>
      <w:r/>
    </w:p>
    <w:p>
      <w:pPr>
        <w:pStyle w:val="905"/>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r>
      <w:r/>
    </w:p>
    <w:p>
      <w:pPr>
        <w:pStyle w:val="905"/>
        <w:jc w:val="both"/>
        <w:spacing w:beforeAutospacing="0" w:afterAutospacing="0"/>
        <w:rPr>
          <w:i w:val="0"/>
          <w:iCs/>
          <w:color w:val="auto"/>
          <w:highlight w:val="none"/>
          <w:u w:val="none"/>
        </w:rPr>
      </w:pPr>
      <w:r>
        <w:rPr>
          <w:i w:val="0"/>
          <w:iCs/>
          <w:color w:val="auto"/>
          <w:highlight w:val="none"/>
          <w:u w:val="none"/>
        </w:rPr>
        <w:t xml:space="preserve"> </w:t>
      </w:r>
      <w:r/>
    </w:p>
    <w:p>
      <w:pPr>
        <w:pStyle w:val="90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三</w:t>
      </w:r>
      <w:r>
        <w:rPr>
          <w:rFonts w:hint="eastAsia" w:ascii="黑体" w:hAnsi="宋体" w:eastAsia="黑体" w:cs="黑体"/>
          <w:i w:val="0"/>
          <w:iCs/>
          <w:color w:val="auto"/>
          <w:sz w:val="32"/>
          <w:szCs w:val="32"/>
          <w:highlight w:val="none"/>
          <w:u w:val="none"/>
        </w:rPr>
        <w:t xml:space="preserve">、具备履行合同所必需的设备和专业技术能力的书面声明</w:t>
      </w:r>
      <w:r/>
    </w:p>
    <w:p>
      <w:pPr>
        <w:pStyle w:val="905"/>
        <w:ind w:firstLine="492"/>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我单位郑重声明：我单位具备履行本项采购合同所必需的设备和专业技术能力，为履行本项采购合同我公司具备如下主要设备和主要专业技术能力：</w:t>
      </w:r>
      <w:r/>
    </w:p>
    <w:p>
      <w:pPr>
        <w:pStyle w:val="905"/>
        <w:ind w:firstLine="492"/>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主要设备有：</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none"/>
        </w:rPr>
        <w:t xml:space="preserve">。</w:t>
      </w:r>
      <w:r/>
    </w:p>
    <w:p>
      <w:pPr>
        <w:pStyle w:val="905"/>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主要专业技术能力有：</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none"/>
        </w:rPr>
        <w:t xml:space="preserve">。</w:t>
      </w:r>
      <w:r/>
    </w:p>
    <w:p>
      <w:pPr>
        <w:pStyle w:val="905"/>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b/>
          <w:bCs/>
          <w:color w:val="auto"/>
          <w:sz w:val="28"/>
          <w:szCs w:val="28"/>
          <w:highlight w:val="none"/>
        </w:rPr>
        <w:t xml:space="preserve">日  期：</w:t>
      </w:r>
      <w:r/>
    </w:p>
    <w:p>
      <w:pPr>
        <w:pStyle w:val="905"/>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90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四</w:t>
      </w:r>
      <w:r>
        <w:rPr>
          <w:rFonts w:hint="eastAsia" w:ascii="黑体" w:hAnsi="宋体" w:eastAsia="黑体" w:cs="黑体"/>
          <w:i w:val="0"/>
          <w:iCs/>
          <w:color w:val="auto"/>
          <w:sz w:val="32"/>
          <w:szCs w:val="32"/>
          <w:highlight w:val="none"/>
          <w:u w:val="none"/>
        </w:rPr>
        <w:t xml:space="preserve">、依法缴纳税收和社会保障资金的相关材料</w:t>
      </w:r>
      <w:r/>
    </w:p>
    <w:p>
      <w:pPr>
        <w:pStyle w:val="905"/>
        <w:ind w:firstLine="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905"/>
        <w:jc w:val="both"/>
        <w:spacing w:beforeAutospacing="0" w:afterAutospacing="0"/>
        <w:rPr>
          <w:i w:val="0"/>
          <w:iCs/>
          <w:color w:val="auto"/>
          <w:highlight w:val="none"/>
          <w:u w:val="none"/>
        </w:rPr>
      </w:pPr>
      <w:r>
        <w:rPr>
          <w:i w:val="0"/>
          <w:iCs/>
          <w:color w:val="auto"/>
          <w:highlight w:val="none"/>
          <w:u w:val="none"/>
        </w:rPr>
        <w:t xml:space="preserve"> </w:t>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五、参加政府采购活动前 3 年内在经营活动中没有重大违法记录的书面声明</w:t>
      </w:r>
      <w:r/>
    </w:p>
    <w:p>
      <w:pPr>
        <w:pStyle w:val="905"/>
        <w:jc w:val="both"/>
        <w:spacing w:beforeAutospacing="0" w:afterAutospacing="0" w:line="0" w:lineRule="atLeast"/>
        <w:rPr>
          <w:rFonts w:ascii="宋体" w:hAnsi="宋体" w:eastAsia="宋体" w:cs="宋体"/>
          <w:b/>
          <w:i w:val="0"/>
          <w:iCs/>
          <w:color w:val="auto"/>
          <w:sz w:val="44"/>
          <w:szCs w:val="44"/>
          <w:highlight w:val="none"/>
        </w:rPr>
      </w:pPr>
      <w:r>
        <w:rPr>
          <w:rFonts w:hint="eastAsia" w:ascii="宋体" w:hAnsi="宋体" w:eastAsia="宋体" w:cs="宋体"/>
          <w:b/>
          <w:i w:val="0"/>
          <w:iCs/>
          <w:color w:val="auto"/>
          <w:sz w:val="44"/>
          <w:szCs w:val="44"/>
          <w:highlight w:val="none"/>
        </w:rPr>
        <w:t xml:space="preserve">                </w:t>
      </w:r>
      <w:r/>
    </w:p>
    <w:p>
      <w:pPr>
        <w:pStyle w:val="905"/>
        <w:ind w:firstLine="3092"/>
        <w:jc w:val="both"/>
        <w:spacing w:beforeAutospacing="0" w:afterAutospacing="0" w:line="0" w:lineRule="atLeas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905"/>
        <w:jc w:val="both"/>
        <w:spacing w:beforeAutospacing="0" w:afterAutospacing="0" w:line="0" w:lineRule="atLeast"/>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5"/>
        <w:jc w:val="both"/>
        <w:spacing w:beforeAutospacing="0" w:afterAutospacing="0"/>
        <w:rPr>
          <w:i w:val="0"/>
          <w:iCs/>
          <w:color w:val="auto"/>
          <w:highlight w:val="none"/>
        </w:rPr>
      </w:pPr>
      <w:r>
        <w:rPr>
          <w:i w:val="0"/>
          <w:iCs/>
          <w:color w:val="auto"/>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宋体" w:hAnsi="宋体" w:eastAsia="宋体" w:cs="宋体"/>
          <w:b/>
          <w:bCs/>
          <w:color w:val="auto"/>
          <w:sz w:val="28"/>
          <w:szCs w:val="28"/>
          <w:highlight w:val="none"/>
        </w:rPr>
        <w:t xml:space="preserve">日  期：</w:t>
      </w:r>
      <w:r/>
    </w:p>
    <w:p>
      <w:pPr>
        <w:pStyle w:val="90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90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六、特定资格要求的证明文件</w:t>
      </w:r>
      <w:r/>
    </w:p>
    <w:p>
      <w:pPr>
        <w:pStyle w:val="905"/>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   如果本项目申请人的特定资格要求中要求提供的，必须提供。</w:t>
      </w:r>
      <w:r/>
    </w:p>
    <w:p>
      <w:pPr>
        <w:pStyle w:val="905"/>
        <w:jc w:val="center"/>
        <w:spacing w:beforeAutospacing="0" w:afterAutospacing="0"/>
        <w:rPr>
          <w:rFonts w:ascii="黑体" w:hAnsi="宋体" w:eastAsia="黑体" w:cs="黑体"/>
          <w:i w:val="0"/>
          <w:iCs/>
          <w:color w:val="auto"/>
          <w:sz w:val="32"/>
          <w:szCs w:val="32"/>
          <w:highlight w:val="none"/>
          <w:u w:val="single"/>
        </w:rPr>
      </w:pPr>
      <w:r/>
      <w:bookmarkStart w:id="178" w:name="_Toc120614284"/>
      <w:r/>
      <w:r/>
    </w:p>
    <w:p>
      <w:pPr>
        <w:pStyle w:val="90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0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0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0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0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0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0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0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0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05"/>
        <w:jc w:val="center"/>
        <w:spacing w:beforeAutospacing="0" w:afterAutospacing="0"/>
        <w:rPr>
          <w:b w:val="0"/>
          <w:bCs w:val="0"/>
          <w:i w:val="0"/>
          <w:iCs/>
          <w:color w:val="auto"/>
          <w:highlight w:val="none"/>
          <w:u w:val="none"/>
        </w:rPr>
      </w:pPr>
      <w:r>
        <w:rPr>
          <w:rFonts w:hint="eastAsia" w:ascii="黑体" w:hAnsi="宋体" w:eastAsia="黑体" w:cs="黑体"/>
          <w:b w:val="0"/>
          <w:bCs w:val="0"/>
          <w:i w:val="0"/>
          <w:iCs/>
          <w:color w:val="auto"/>
          <w:sz w:val="32"/>
          <w:szCs w:val="32"/>
          <w:highlight w:val="none"/>
          <w:u w:val="none"/>
        </w:rPr>
        <w:t xml:space="preserve">七、法人授权书</w:t>
      </w:r>
      <w:r/>
    </w:p>
    <w:p>
      <w:pPr>
        <w:pStyle w:val="905"/>
        <w:ind w:firstLine="480"/>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9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9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p>
    <w:p>
      <w:pPr>
        <w:pStyle w:val="9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9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日期：</w:t>
      </w:r>
      <w:bookmarkStart w:id="179" w:name="_Hlt26955070"/>
      <w:r/>
      <w:bookmarkStart w:id="180" w:name="_格式3__银行出具的资信证明"/>
      <w:r/>
      <w:bookmarkStart w:id="181" w:name="_Hlt26671380"/>
      <w:r>
        <w:rPr>
          <w:rFonts w:ascii="Times New Roman" w:hAnsi="Times New Roman"/>
          <w:color w:val="auto"/>
          <w:highlight w:val="none"/>
          <w:u w:val="single"/>
        </w:rPr>
        <w:t xml:space="preserve">                                         </w:t>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05"/>
        <w:ind w:firstLine="480"/>
        <w:jc w:val="both"/>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905"/>
        <w:ind w:firstLine="3390"/>
        <w:jc w:val="both"/>
        <w:keepLines/>
        <w:keepNext/>
        <w:spacing w:before="260" w:beforeAutospacing="0" w:after="260" w:afterAutospacing="0" w:line="415" w:lineRule="auto"/>
        <w:rPr>
          <w:b w:val="0"/>
          <w:i w:val="0"/>
          <w:color w:val="auto"/>
          <w:highlight w:val="none"/>
          <w:u w:val="none"/>
        </w:rPr>
      </w:pPr>
      <w:r>
        <w:rPr>
          <w:rFonts w:hint="eastAsia" w:ascii="宋体" w:hAnsi="宋体" w:eastAsia="宋体" w:cs="宋体"/>
          <w:b/>
          <w:color w:val="auto"/>
          <w:highlight w:val="none"/>
          <w:u w:val="none"/>
        </w:rPr>
        <w:t xml:space="preserve"> </w:t>
      </w:r>
      <w:r>
        <w:rPr>
          <w:rFonts w:hint="eastAsia" w:ascii="黑体" w:hAnsi="宋体" w:eastAsia="黑体" w:cs="黑体"/>
          <w:b w:val="0"/>
          <w:i w:val="0"/>
          <w:color w:val="auto"/>
          <w:sz w:val="32"/>
          <w:szCs w:val="32"/>
          <w:highlight w:val="none"/>
          <w:u w:val="none"/>
        </w:rPr>
        <w:t xml:space="preserve">八、投标函</w:t>
      </w:r>
      <w:r/>
    </w:p>
    <w:p>
      <w:pPr>
        <w:pStyle w:val="905"/>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致：盐城市</w:t>
      </w:r>
      <w:r>
        <w:rPr>
          <w:rFonts w:hint="eastAsia" w:ascii="宋体" w:hAnsi="宋体" w:eastAsia="宋体" w:cs="宋体"/>
          <w:color w:val="auto"/>
          <w:highlight w:val="none"/>
          <w:lang w:val="en-US" w:eastAsia="zh-CN"/>
        </w:rPr>
        <w:t xml:space="preserve">第三人民医院</w:t>
      </w:r>
      <w:r/>
    </w:p>
    <w:p>
      <w:pPr>
        <w:pStyle w:val="9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9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9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9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9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9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9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9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905"/>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9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9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9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9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9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9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9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905"/>
        <w:ind w:firstLine="240"/>
        <w:jc w:val="center"/>
        <w:spacing w:beforeAutospacing="0" w:afterAutospacing="0" w:line="0" w:lineRule="atLeast"/>
        <w:rPr>
          <w:color w:val="auto"/>
          <w:highlight w:val="none"/>
        </w:rPr>
      </w:pPr>
      <w:r>
        <w:rPr>
          <w:color w:val="auto"/>
          <w:highlight w:val="none"/>
        </w:rPr>
        <w:t xml:space="preserve"> </w:t>
      </w:r>
      <w:r/>
    </w:p>
    <w:p>
      <w:pPr>
        <w:pStyle w:val="905"/>
        <w:ind w:firstLine="240"/>
        <w:jc w:val="center"/>
        <w:spacing w:beforeAutospacing="0" w:afterAutospacing="0" w:line="0" w:lineRule="atLeast"/>
        <w:rPr>
          <w:color w:val="auto"/>
          <w:highlight w:val="none"/>
        </w:rPr>
      </w:pPr>
      <w:r>
        <w:rPr>
          <w:color w:val="auto"/>
          <w:highlight w:val="none"/>
        </w:rPr>
        <w:t xml:space="preserve"> </w:t>
      </w:r>
      <w:r/>
    </w:p>
    <w:p>
      <w:pPr>
        <w:pStyle w:val="905"/>
        <w:ind w:firstLine="240"/>
        <w:jc w:val="center"/>
        <w:spacing w:beforeAutospacing="0" w:afterAutospacing="0" w:line="0" w:lineRule="atLeast"/>
        <w:rPr>
          <w:color w:val="auto"/>
          <w:highlight w:val="none"/>
        </w:rPr>
      </w:pPr>
      <w:r>
        <w:rPr>
          <w:color w:val="auto"/>
          <w:highlight w:val="none"/>
        </w:rPr>
        <w:t xml:space="preserve"> </w:t>
      </w:r>
      <w:r/>
    </w:p>
    <w:p>
      <w:pPr>
        <w:pStyle w:val="905"/>
        <w:ind w:firstLine="240"/>
        <w:jc w:val="center"/>
        <w:spacing w:beforeAutospacing="0" w:afterAutospacing="0" w:line="0" w:lineRule="atLeast"/>
        <w:rPr>
          <w:color w:val="auto"/>
          <w:highlight w:val="none"/>
        </w:rPr>
      </w:pPr>
      <w:r>
        <w:rPr>
          <w:color w:val="auto"/>
          <w:highlight w:val="none"/>
        </w:rPr>
        <w:t xml:space="preserve"> </w:t>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r>
      <w:r/>
    </w:p>
    <w:p>
      <w:pPr>
        <w:pStyle w:val="905"/>
        <w:ind w:firstLine="240"/>
        <w:jc w:val="center"/>
        <w:spacing w:beforeAutospacing="0" w:afterAutospacing="0" w:line="0" w:lineRule="atLeast"/>
        <w:rPr>
          <w:color w:val="auto"/>
          <w:highlight w:val="none"/>
        </w:rPr>
      </w:pPr>
      <w:r>
        <w:rPr>
          <w:color w:val="auto"/>
          <w:highlight w:val="none"/>
        </w:rPr>
        <w:t xml:space="preserve"> </w:t>
      </w:r>
      <w:r/>
    </w:p>
    <w:p>
      <w:pPr>
        <w:pStyle w:val="905"/>
        <w:jc w:val="center"/>
        <w:keepLines/>
        <w:keepNext/>
        <w:spacing w:before="260" w:beforeAutospacing="0" w:after="260" w:afterAutospacing="0" w:line="415" w:lineRule="auto"/>
        <w:rPr>
          <w:rFonts w:hint="eastAsia" w:ascii="黑体" w:hAnsi="宋体" w:eastAsia="黑体" w:cs="黑体"/>
          <w:b w:val="0"/>
          <w:i w:val="0"/>
          <w:color w:val="auto"/>
          <w:sz w:val="32"/>
          <w:szCs w:val="32"/>
          <w:highlight w:val="none"/>
          <w:u w:val="none"/>
        </w:rPr>
      </w:pPr>
      <w:r>
        <w:rPr>
          <w:rFonts w:hint="eastAsia" w:ascii="黑体" w:hAnsi="宋体" w:eastAsia="黑体" w:cs="黑体"/>
          <w:b w:val="0"/>
          <w:i w:val="0"/>
          <w:color w:val="auto"/>
          <w:sz w:val="32"/>
          <w:szCs w:val="32"/>
          <w:highlight w:val="none"/>
          <w:u w:val="none"/>
        </w:rPr>
        <w:t xml:space="preserve">九、</w:t>
      </w:r>
      <w:r>
        <w:rPr>
          <w:rFonts w:hint="eastAsia" w:ascii="黑体" w:hAnsi="宋体" w:eastAsia="黑体" w:cs="黑体"/>
          <w:b w:val="0"/>
          <w:i w:val="0"/>
          <w:color w:val="auto"/>
          <w:sz w:val="32"/>
          <w:szCs w:val="32"/>
          <w:highlight w:val="none"/>
          <w:u w:val="none"/>
          <w:lang w:val="en-US" w:eastAsia="zh-CN"/>
        </w:rPr>
        <w:t xml:space="preserve">中小</w:t>
      </w:r>
      <w:r>
        <w:rPr>
          <w:rFonts w:hint="eastAsia" w:ascii="黑体" w:hAnsi="宋体" w:eastAsia="黑体" w:cs="黑体"/>
          <w:b w:val="0"/>
          <w:i w:val="0"/>
          <w:color w:val="auto"/>
          <w:sz w:val="32"/>
          <w:szCs w:val="32"/>
          <w:highlight w:val="none"/>
          <w:u w:val="none"/>
        </w:rPr>
        <w:t xml:space="preserve">企业声明函（</w:t>
      </w:r>
      <w:r>
        <w:rPr>
          <w:rFonts w:hint="eastAsia" w:ascii="黑体" w:hAnsi="宋体" w:eastAsia="黑体" w:cs="黑体"/>
          <w:b w:val="0"/>
          <w:i w:val="0"/>
          <w:color w:val="auto"/>
          <w:sz w:val="32"/>
          <w:szCs w:val="32"/>
          <w:highlight w:val="none"/>
          <w:u w:val="none"/>
          <w:lang w:val="en-US" w:eastAsia="zh-CN"/>
        </w:rPr>
        <w:t xml:space="preserve">货物</w:t>
      </w:r>
      <w:r>
        <w:rPr>
          <w:rFonts w:hint="eastAsia" w:ascii="黑体" w:hAnsi="宋体" w:eastAsia="黑体" w:cs="黑体"/>
          <w:b w:val="0"/>
          <w:i w:val="0"/>
          <w:color w:val="auto"/>
          <w:sz w:val="32"/>
          <w:szCs w:val="32"/>
          <w:highlight w:val="none"/>
          <w:u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w:t>
      </w:r>
      <w:r>
        <w:rPr>
          <w:rFonts w:hint="eastAsia"/>
          <w:color w:val="auto"/>
          <w:sz w:val="24"/>
          <w:highlight w:val="none"/>
          <w:lang w:val="en-US" w:eastAsia="zh-CN"/>
        </w:rPr>
        <w:t xml:space="preserve">第三人民医院</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0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ind w:firstLine="360"/>
        <w:jc w:val="both"/>
        <w:spacing w:before="0" w:beforeAutospacing="0" w:after="0" w:afterAutospacing="0" w:line="360" w:lineRule="auto"/>
        <w:widowControl w:val="off"/>
        <w:rPr>
          <w:color w:val="auto"/>
          <w:highlight w:val="none"/>
        </w:rPr>
      </w:pPr>
      <w:r>
        <w:rPr>
          <w:rFonts w:hint="eastAsia" w:ascii="宋体" w:hAnsi="宋体" w:eastAsia="宋体" w:cs="宋体"/>
          <w:b/>
          <w:bCs/>
          <w:color w:val="auto"/>
          <w:sz w:val="28"/>
          <w:szCs w:val="28"/>
          <w:highlight w:val="none"/>
        </w:rPr>
        <w:t xml:space="preserve">日  期：</w:t>
      </w:r>
      <w:r>
        <w:rPr>
          <w:color w:val="auto"/>
          <w:highlight w:val="none"/>
        </w:rPr>
        <w:t xml:space="preserve"> </w:t>
      </w:r>
      <w:r/>
    </w:p>
    <w:p>
      <w:pPr>
        <w:pStyle w:val="905"/>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905"/>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90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0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0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05"/>
        <w:numPr>
          <w:ilvl w:val="0"/>
          <w:numId w:val="2"/>
        </w:numPr>
        <w:jc w:val="center"/>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t xml:space="preserve">残疾人福利性单位声明函</w:t>
      </w:r>
      <w:r/>
    </w:p>
    <w:p>
      <w:pPr>
        <w:pStyle w:val="905"/>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0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90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05"/>
        <w:ind w:firstLine="480"/>
        <w:jc w:val="both"/>
        <w:spacing w:beforeAutospacing="0" w:afterAutospacing="0" w:line="0" w:lineRule="atLeast"/>
        <w:rPr>
          <w:color w:val="auto"/>
          <w:highlight w:val="none"/>
        </w:rPr>
      </w:pPr>
      <w:r>
        <w:rPr>
          <w:color w:val="auto"/>
          <w:highlight w:val="none"/>
        </w:rPr>
        <w:t xml:space="preserve"> </w:t>
      </w:r>
      <w:r/>
    </w:p>
    <w:p>
      <w:pPr>
        <w:pStyle w:val="90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905"/>
        <w:ind w:firstLine="624"/>
        <w:jc w:val="both"/>
        <w:spacing w:beforeAutospacing="0" w:afterAutospacing="0" w:line="0" w:lineRule="atLeast"/>
        <w:rPr>
          <w:color w:val="auto"/>
          <w:highlight w:val="none"/>
        </w:rPr>
      </w:pPr>
      <w:r>
        <w:rPr>
          <w:color w:val="auto"/>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ind w:right="1560"/>
        <w:jc w:val="both"/>
        <w:spacing w:beforeAutospacing="0" w:afterAutospacing="0" w:line="0" w:lineRule="atLeast"/>
        <w:tabs>
          <w:tab w:val="left" w:pos="4864" w:leader="none"/>
        </w:tabs>
        <w:rPr>
          <w:b/>
          <w:bCs/>
          <w:color w:val="auto"/>
          <w:highlight w:val="none"/>
        </w:rPr>
      </w:pPr>
      <w:r>
        <w:rPr>
          <w:rFonts w:hint="eastAsia" w:ascii="宋体" w:hAnsi="宋体" w:eastAsia="宋体" w:cs="宋体"/>
          <w:b/>
          <w:bCs/>
          <w:color w:val="auto"/>
          <w:sz w:val="28"/>
          <w:szCs w:val="28"/>
          <w:highlight w:val="none"/>
        </w:rPr>
        <w:t xml:space="preserve">日  期：</w:t>
      </w:r>
      <w:r/>
    </w:p>
    <w:p>
      <w:pPr>
        <w:pStyle w:val="905"/>
        <w:jc w:val="center"/>
        <w:spacing w:beforeAutospacing="0" w:afterAutospacing="0" w:line="0" w:lineRule="atLeast"/>
        <w:rPr>
          <w:color w:val="auto"/>
          <w:highlight w:val="none"/>
        </w:rPr>
      </w:pPr>
      <w:r>
        <w:rPr>
          <w:color w:val="auto"/>
          <w:highlight w:val="none"/>
        </w:rPr>
        <w:t xml:space="preserve"> </w:t>
      </w:r>
      <w:r/>
    </w:p>
    <w:p>
      <w:pPr>
        <w:pStyle w:val="905"/>
        <w:jc w:val="center"/>
        <w:spacing w:beforeAutospacing="0" w:afterAutospacing="0" w:line="0" w:lineRule="atLeast"/>
        <w:rPr>
          <w:color w:val="auto"/>
          <w:highlight w:val="none"/>
        </w:rPr>
      </w:pPr>
      <w:r>
        <w:rPr>
          <w:color w:val="auto"/>
          <w:highlight w:val="none"/>
        </w:rPr>
        <w:t xml:space="preserve"> </w:t>
      </w:r>
      <w:r/>
    </w:p>
    <w:p>
      <w:pPr>
        <w:pStyle w:val="905"/>
        <w:jc w:val="center"/>
        <w:spacing w:beforeAutospacing="0" w:afterAutospacing="0" w:line="0" w:lineRule="atLeast"/>
        <w:rPr>
          <w:color w:val="auto"/>
          <w:highlight w:val="none"/>
        </w:rPr>
      </w:pPr>
      <w:r>
        <w:rPr>
          <w:color w:val="auto"/>
          <w:highlight w:val="none"/>
        </w:rPr>
        <w:t xml:space="preserve"> </w:t>
      </w:r>
      <w:r/>
    </w:p>
    <w:p>
      <w:pPr>
        <w:pStyle w:val="905"/>
        <w:jc w:val="center"/>
        <w:spacing w:beforeAutospacing="0" w:afterAutospacing="0" w:line="0" w:lineRule="atLeast"/>
        <w:rPr>
          <w:color w:val="auto"/>
          <w:highlight w:val="none"/>
        </w:rPr>
      </w:pPr>
      <w:r>
        <w:rPr>
          <w:color w:val="auto"/>
          <w:highlight w:val="none"/>
        </w:rPr>
        <w:t xml:space="preserve"> </w:t>
      </w:r>
      <w:r/>
    </w:p>
    <w:p>
      <w:pPr>
        <w:pStyle w:val="905"/>
        <w:jc w:val="center"/>
        <w:spacing w:beforeAutospacing="0" w:afterAutospacing="0" w:line="0" w:lineRule="atLeast"/>
        <w:rPr>
          <w:color w:val="auto"/>
          <w:highlight w:val="none"/>
        </w:rPr>
      </w:pPr>
      <w:r>
        <w:rPr>
          <w:color w:val="auto"/>
          <w:highlight w:val="none"/>
        </w:rPr>
        <w:t xml:space="preserve"> </w:t>
      </w:r>
      <w:r/>
    </w:p>
    <w:p>
      <w:pPr>
        <w:pStyle w:val="905"/>
        <w:jc w:val="center"/>
        <w:spacing w:beforeAutospacing="0" w:afterAutospacing="0" w:line="0" w:lineRule="atLeast"/>
        <w:rPr>
          <w:color w:val="auto"/>
          <w:highlight w:val="none"/>
        </w:rPr>
      </w:pPr>
      <w:r>
        <w:rPr>
          <w:color w:val="auto"/>
          <w:highlight w:val="none"/>
        </w:rPr>
        <w:t xml:space="preserve"> </w:t>
      </w:r>
      <w:r/>
    </w:p>
    <w:p>
      <w:pPr>
        <w:pStyle w:val="905"/>
        <w:jc w:val="center"/>
        <w:spacing w:beforeAutospacing="0" w:afterAutospacing="0" w:line="0" w:lineRule="atLeast"/>
        <w:rPr>
          <w:color w:val="auto"/>
          <w:highlight w:val="none"/>
        </w:rPr>
      </w:pPr>
      <w:r>
        <w:rPr>
          <w:color w:val="auto"/>
          <w:highlight w:val="none"/>
        </w:rPr>
        <w:t xml:space="preserve"> </w:t>
      </w:r>
      <w:r/>
    </w:p>
    <w:p>
      <w:pPr>
        <w:pStyle w:val="905"/>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905"/>
        <w:ind w:left="0" w:right="0"/>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val="0"/>
          <w:bCs w:val="0"/>
          <w:color w:val="auto"/>
          <w:sz w:val="32"/>
          <w:szCs w:val="32"/>
          <w:highlight w:val="none"/>
        </w:rPr>
        <w:t xml:space="preserve">十一、 关于符合本国产品标准的声明函</w:t>
      </w:r>
      <w:r/>
    </w:p>
    <w:p>
      <w:pPr>
        <w:pStyle w:val="905"/>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905"/>
        <w:ind w:left="0" w:firstLine="420"/>
        <w:jc w:val="both"/>
        <w:keepLines w:val="0"/>
        <w:keepNext w:val="0"/>
        <w:spacing w:before="0" w:beforeAutospacing="0" w:after="0" w:afterAutospacing="0"/>
        <w:widowControl w:val="off"/>
        <w:rPr>
          <w:rFonts w:ascii="宋体" w:hAnsi="宋体" w:eastAsia="宋体" w:cs="宋体"/>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r>
      <w:r/>
    </w:p>
    <w:p>
      <w:pPr>
        <w:pStyle w:val="905"/>
        <w:ind w:left="0" w:firstLine="420"/>
        <w:jc w:val="both"/>
        <w:keepLines w:val="0"/>
        <w:keepNext w:val="0"/>
        <w:spacing w:before="0" w:beforeAutospacing="0" w:after="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905"/>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905"/>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905"/>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90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90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__________________</w:t>
      </w:r>
      <w:r/>
    </w:p>
    <w:p>
      <w:pPr>
        <w:pStyle w:val="90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1.产品如有型号，请在“产品名称”栏一并填写。</w:t>
      </w:r>
      <w:r/>
    </w:p>
    <w:p>
      <w:pPr>
        <w:pStyle w:val="90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90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90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90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905"/>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6.用</w:t>
      </w:r>
      <w:r>
        <w:rPr>
          <w:rFonts w:hint="eastAsia" w:ascii="宋体" w:hAnsi="宋体" w:eastAsia="宋体" w:cs="宋体"/>
          <w:b w:val="0"/>
          <w:bCs w:val="0"/>
          <w:color w:val="auto"/>
          <w:sz w:val="24"/>
          <w:szCs w:val="24"/>
          <w:highlight w:val="none"/>
          <w:shd w:val="clear" w:color="auto" w:fill="ffffff"/>
          <w:lang w:val="en-US" w:eastAsia="zh-CN"/>
        </w:rPr>
        <w:t xml:space="preserve">横</w:t>
      </w:r>
      <w:r>
        <w:rPr>
          <w:rFonts w:ascii="宋体" w:hAnsi="宋体" w:eastAsia="宋体" w:cs="宋体"/>
          <w:b w:val="0"/>
          <w:bCs w:val="0"/>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shd w:val="clear" w:color="auto" w:fill="ffffff"/>
          <w:lang w:val="en-US" w:eastAsia="zh-CN"/>
        </w:rPr>
        <w:t xml:space="preserve">备注：</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non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05"/>
        <w:jc w:val="both"/>
        <w:keepLines w:val="0"/>
        <w:keepNext w:val="0"/>
        <w:spacing w:before="30" w:beforeAutospacing="0" w:after="30" w:afterAutospacing="0"/>
        <w:widowControl w:val="off"/>
        <w:rPr>
          <w:rFonts w:hint="default" w:ascii="宋体" w:hAnsi="宋体" w:eastAsia="宋体" w:cs="宋体"/>
          <w:b w:val="0"/>
          <w:bCs w:val="0"/>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val="0"/>
          <w:bCs w:val="0"/>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spacing w:line="241" w:lineRule="auto"/>
        <w:rPr>
          <w:rFonts w:ascii="Arial"/>
          <w:b w:val="0"/>
          <w:bCs w:val="0"/>
          <w:color w:val="auto"/>
          <w:sz w:val="21"/>
          <w:highlight w:val="none"/>
        </w:rPr>
      </w:pPr>
      <w:r>
        <w:rPr>
          <w:rFonts w:ascii="Arial"/>
          <w:b w:val="0"/>
          <w:bCs w:val="0"/>
          <w:color w:val="auto"/>
          <w:sz w:val="21"/>
          <w:highlight w:val="none"/>
        </w:rPr>
      </w:r>
      <w:r/>
    </w:p>
    <w:p>
      <w:pPr>
        <w:spacing w:line="241" w:lineRule="auto"/>
        <w:rPr>
          <w:rFonts w:ascii="Arial"/>
          <w:b w:val="0"/>
          <w:bCs w:val="0"/>
          <w:color w:val="auto"/>
          <w:sz w:val="21"/>
          <w:highlight w:val="none"/>
        </w:rPr>
      </w:pPr>
      <w:r>
        <w:rPr>
          <w:rFonts w:ascii="Arial"/>
          <w:b w:val="0"/>
          <w:bCs w:val="0"/>
          <w:color w:val="auto"/>
          <w:sz w:val="21"/>
          <w:highlight w:val="none"/>
        </w:rPr>
      </w:r>
      <w:r/>
    </w:p>
    <w:p>
      <w:pPr>
        <w:pStyle w:val="905"/>
        <w:jc w:val="center"/>
        <w:spacing w:beforeAutospacing="0" w:afterAutospacing="0" w:line="0" w:lineRule="atLeast"/>
        <w:rPr>
          <w:b w:val="0"/>
          <w:bCs w:val="0"/>
          <w:color w:val="auto"/>
          <w:highlight w:val="none"/>
        </w:rPr>
      </w:pPr>
      <w:r>
        <w:rPr>
          <w:b w:val="0"/>
          <w:bCs w:val="0"/>
          <w:color w:val="auto"/>
          <w:highlight w:val="none"/>
        </w:rPr>
        <w:t xml:space="preserve"> </w:t>
      </w:r>
      <w:r/>
    </w:p>
    <w:p>
      <w:pPr>
        <w:pStyle w:val="905"/>
        <w:jc w:val="center"/>
        <w:spacing w:beforeAutospacing="0" w:afterAutospacing="0" w:line="0" w:lineRule="atLeast"/>
        <w:rPr>
          <w:color w:val="auto"/>
          <w:highlight w:val="none"/>
        </w:rPr>
      </w:pPr>
      <w:r>
        <w:rPr>
          <w:color w:val="auto"/>
          <w:highlight w:val="none"/>
        </w:rPr>
      </w:r>
      <w:r/>
    </w:p>
    <w:p>
      <w:pPr>
        <w:pStyle w:val="90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、投标分项报价表</w:t>
      </w:r>
      <w:r/>
    </w:p>
    <w:tbl>
      <w:tblPr>
        <w:tblStyle w:val="899"/>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5"/>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905"/>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90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905"/>
        <w:numPr>
          <w:ilvl w:val="0"/>
          <w:numId w:val="3"/>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05"/>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0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r>
      <w:r/>
    </w:p>
    <w:p>
      <w:pPr>
        <w:pStyle w:val="905"/>
        <w:jc w:val="center"/>
        <w:spacing w:beforeAutospacing="0" w:afterAutospacing="0"/>
        <w:rPr>
          <w:b w:val="0"/>
          <w:bCs w:val="0"/>
          <w:color w:val="auto"/>
          <w:highlight w:val="none"/>
        </w:rPr>
      </w:pPr>
      <w:r>
        <w:rPr>
          <w:b w:val="0"/>
          <w:bCs w:val="0"/>
          <w:color w:val="auto"/>
          <w:highlight w:val="none"/>
        </w:rPr>
        <w:t xml:space="preserve"> </w:t>
      </w:r>
      <w:r>
        <w:rPr>
          <w:rFonts w:hint="eastAsia" w:ascii="黑体" w:hAnsi="宋体" w:eastAsia="黑体" w:cs="黑体"/>
          <w:b w:val="0"/>
          <w:bCs w:val="0"/>
          <w:color w:val="auto"/>
          <w:sz w:val="32"/>
          <w:szCs w:val="32"/>
          <w:highlight w:val="none"/>
        </w:rPr>
        <w:t xml:space="preserve">十</w:t>
      </w:r>
      <w:r>
        <w:rPr>
          <w:rFonts w:hint="eastAsia" w:ascii="黑体" w:hAnsi="宋体" w:eastAsia="黑体" w:cs="黑体"/>
          <w:b w:val="0"/>
          <w:bCs w:val="0"/>
          <w:color w:val="auto"/>
          <w:sz w:val="32"/>
          <w:szCs w:val="32"/>
          <w:highlight w:val="none"/>
          <w:lang w:val="en-US" w:eastAsia="zh-CN"/>
        </w:rPr>
        <w:t xml:space="preserve">三</w:t>
      </w:r>
      <w:r>
        <w:rPr>
          <w:rFonts w:hint="eastAsia" w:ascii="黑体" w:hAnsi="宋体" w:eastAsia="黑体" w:cs="黑体"/>
          <w:b w:val="0"/>
          <w:bCs w:val="0"/>
          <w:color w:val="auto"/>
          <w:sz w:val="32"/>
          <w:szCs w:val="32"/>
          <w:highlight w:val="none"/>
        </w:rPr>
        <w:t xml:space="preserve">、技术要求响应及偏离表</w:t>
      </w:r>
      <w:r/>
    </w:p>
    <w:tbl>
      <w:tblPr>
        <w:tblStyle w:val="89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超出、符合或</w:t>
            </w:r>
            <w:r>
              <w:rPr>
                <w:rFonts w:hint="eastAsia" w:ascii="宋体" w:hAnsi="宋体" w:eastAsia="宋体" w:cs="宋体"/>
                <w:color w:val="auto"/>
                <w:highlight w:val="none"/>
                <w:lang w:val="en-US" w:eastAsia="zh-CN"/>
              </w:rPr>
              <w:t xml:space="preserve">负</w:t>
            </w:r>
            <w:r>
              <w:rPr>
                <w:rFonts w:hint="eastAsia" w:ascii="宋体" w:hAnsi="宋体" w:eastAsia="宋体" w:cs="宋体"/>
                <w:color w:val="auto"/>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bl>
    <w:p>
      <w:pPr>
        <w:pStyle w:val="90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jc w:val="both"/>
        <w:spacing w:beforeAutospacing="0" w:afterAutospacing="0"/>
        <w:rPr>
          <w:color w:val="auto"/>
          <w:highlight w:val="none"/>
        </w:rPr>
      </w:pPr>
      <w:r>
        <w:rPr>
          <w:color w:val="auto"/>
          <w:highlight w:val="none"/>
        </w:rPr>
      </w:r>
      <w:r/>
    </w:p>
    <w:p>
      <w:pPr>
        <w:pStyle w:val="905"/>
        <w:numPr>
          <w:ilvl w:val="0"/>
          <w:numId w:val="4"/>
        </w:numPr>
        <w:jc w:val="center"/>
        <w:spacing w:beforeAutospacing="0" w:afterAutospacing="0"/>
        <w:rPr>
          <w:rFonts w:hint="eastAsia" w:ascii="黑体" w:hAnsi="宋体" w:eastAsia="黑体" w:cs="黑体"/>
          <w:b w:val="0"/>
          <w:bCs/>
          <w:color w:val="auto"/>
          <w:sz w:val="32"/>
          <w:szCs w:val="32"/>
          <w:highlight w:val="none"/>
        </w:rPr>
      </w:pPr>
      <w:r/>
      <w:bookmarkStart w:id="182" w:name="_Hlt26955054"/>
      <w:r>
        <w:rPr>
          <w:rFonts w:hint="eastAsia" w:ascii="黑体" w:hAnsi="宋体" w:eastAsia="黑体" w:cs="黑体"/>
          <w:b w:val="0"/>
          <w:bCs/>
          <w:color w:val="auto"/>
          <w:sz w:val="32"/>
          <w:szCs w:val="32"/>
          <w:highlight w:val="none"/>
        </w:rPr>
        <w:t xml:space="preserve">商务要求响应及偏离表</w:t>
      </w:r>
      <w:r/>
    </w:p>
    <w:p>
      <w:pPr>
        <w:pStyle w:val="905"/>
        <w:numPr>
          <w:ilvl w:val="0"/>
          <w:numId w:val="0"/>
        </w:numPr>
        <w:jc w:val="both"/>
        <w:spacing w:beforeAutospacing="0" w:afterAutospacing="0"/>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r>
      <w:r/>
    </w:p>
    <w:tbl>
      <w:tblPr>
        <w:tblStyle w:val="89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bookmarkStart w:id="183" w:name="_Hlt24879081"/>
            <w:r/>
            <w:bookmarkStart w:id="184" w:name="_Hlt26580838"/>
            <w:r/>
            <w:bookmarkStart w:id="185" w:name="_Hlt26671343"/>
            <w:r/>
            <w:bookmarkStart w:id="186" w:name="_Hlt26955056"/>
            <w:r/>
            <w:bookmarkStart w:id="187" w:name="_Hlt26671372"/>
            <w:r/>
            <w:bookmarkStart w:id="188" w:name="_Hlt26609391"/>
            <w:r/>
            <w:bookmarkStart w:id="189" w:name="_Hlt26955064"/>
            <w:r/>
            <w:bookmarkStart w:id="190" w:name="_Hlt26782999"/>
            <w:r>
              <w:rPr>
                <w:rFonts w:hint="eastAsia" w:ascii="宋体" w:hAnsi="宋体" w:eastAsia="宋体" w:cs="宋体"/>
                <w:color w:val="auto"/>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超出、符合或</w:t>
            </w:r>
            <w:r>
              <w:rPr>
                <w:rFonts w:hint="eastAsia" w:ascii="宋体" w:hAnsi="宋体" w:eastAsia="宋体" w:cs="宋体"/>
                <w:color w:val="auto"/>
                <w:highlight w:val="none"/>
                <w:lang w:val="en-US" w:eastAsia="zh-CN"/>
              </w:rPr>
              <w:t xml:space="preserve">负</w:t>
            </w:r>
            <w:r>
              <w:rPr>
                <w:rFonts w:hint="eastAsia" w:ascii="宋体" w:hAnsi="宋体" w:eastAsia="宋体" w:cs="宋体"/>
                <w:color w:val="auto"/>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color w:val="auto"/>
                <w:highlight w:val="none"/>
              </w:rPr>
            </w:pPr>
            <w:r>
              <w:rPr>
                <w:color w:val="auto"/>
                <w:highlight w:val="none"/>
              </w:rPr>
              <w:t xml:space="preserve"> </w:t>
            </w:r>
            <w:r/>
          </w:p>
        </w:tc>
      </w:tr>
    </w:tbl>
    <w:p>
      <w:pPr>
        <w:pStyle w:val="90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05"/>
        <w:jc w:val="both"/>
        <w:spacing w:beforeAutospacing="0" w:afterAutospacing="0" w:line="480" w:lineRule="auto"/>
        <w:rPr>
          <w:color w:val="auto"/>
          <w:highlight w:val="none"/>
        </w:rPr>
      </w:pPr>
      <w:r>
        <w:rPr>
          <w:color w:val="auto"/>
          <w:highlight w:val="none"/>
        </w:rPr>
        <w:t xml:space="preserve"> </w:t>
      </w:r>
      <w:r/>
    </w:p>
    <w:p>
      <w:pPr>
        <w:pStyle w:val="905"/>
        <w:jc w:val="both"/>
        <w:spacing w:beforeAutospacing="0" w:afterAutospacing="0" w:line="480" w:lineRule="auto"/>
        <w:rPr>
          <w:color w:val="auto"/>
          <w:highlight w:val="none"/>
        </w:rPr>
      </w:pPr>
      <w:r>
        <w:rPr>
          <w:color w:val="auto"/>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bookmarkStart w:id="191" w:name="_Hlt26671374"/>
      <w:r/>
      <w:bookmarkStart w:id="192" w:name="_Toc462564146"/>
      <w:r/>
      <w:bookmarkStart w:id="193" w:name="_Hlt26955066"/>
      <w:r/>
      <w:bookmarkStart w:id="194" w:name="_Hlt26609389"/>
      <w:r/>
      <w:bookmarkStart w:id="195" w:name="_格式2__法定代表人授权书"/>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t xml:space="preserve"> </w:t>
      </w:r>
      <w:r/>
    </w:p>
    <w:p>
      <w:pPr>
        <w:pStyle w:val="905"/>
        <w:jc w:val="center"/>
        <w:spacing w:beforeAutospacing="0" w:afterAutospacing="0"/>
        <w:rPr>
          <w:color w:val="auto"/>
          <w:highlight w:val="none"/>
        </w:rPr>
      </w:pPr>
      <w:r>
        <w:rPr>
          <w:color w:val="auto"/>
          <w:highlight w:val="none"/>
        </w:rPr>
      </w:r>
      <w:r/>
    </w:p>
    <w:p>
      <w:pPr>
        <w:pStyle w:val="905"/>
        <w:jc w:val="center"/>
        <w:spacing w:beforeAutospacing="0" w:afterAutospacing="0"/>
        <w:rPr>
          <w:color w:val="auto"/>
          <w:highlight w:val="none"/>
        </w:rPr>
      </w:pPr>
      <w:r>
        <w:rPr>
          <w:color w:val="auto"/>
          <w:highlight w:val="none"/>
        </w:rPr>
      </w:r>
      <w:r/>
    </w:p>
    <w:p>
      <w:pPr>
        <w:pStyle w:val="905"/>
        <w:jc w:val="center"/>
        <w:spacing w:beforeAutospacing="0" w:afterAutospacing="0"/>
        <w:rPr>
          <w:color w:val="auto"/>
          <w:highlight w:val="none"/>
        </w:rPr>
      </w:pPr>
      <w:r>
        <w:rPr>
          <w:color w:val="auto"/>
          <w:highlight w:val="none"/>
        </w:rPr>
      </w:r>
      <w:r/>
    </w:p>
    <w:p>
      <w:pPr>
        <w:pStyle w:val="905"/>
        <w:jc w:val="center"/>
        <w:spacing w:beforeAutospacing="0" w:afterAutospacing="0"/>
        <w:rPr>
          <w:color w:val="auto"/>
          <w:highlight w:val="none"/>
        </w:rPr>
      </w:pPr>
      <w:r>
        <w:rPr>
          <w:color w:val="auto"/>
          <w:highlight w:val="none"/>
        </w:rPr>
      </w:r>
      <w:r/>
    </w:p>
    <w:p>
      <w:pPr>
        <w:pStyle w:val="905"/>
        <w:jc w:val="center"/>
        <w:spacing w:beforeAutospacing="0" w:afterAutospacing="0"/>
        <w:rPr>
          <w:color w:val="auto"/>
          <w:highlight w:val="none"/>
        </w:rPr>
      </w:pPr>
      <w:r>
        <w:rPr>
          <w:color w:val="auto"/>
          <w:highlight w:val="none"/>
        </w:rPr>
      </w:r>
      <w:r/>
    </w:p>
    <w:p>
      <w:pPr>
        <w:pStyle w:val="905"/>
        <w:jc w:val="center"/>
        <w:spacing w:beforeAutospacing="0" w:afterAutospacing="0"/>
        <w:rPr>
          <w:rFonts w:hint="eastAsia" w:ascii="黑体" w:hAnsi="黑体" w:eastAsia="黑体" w:cs="黑体"/>
          <w:b w:val="0"/>
          <w:bCs w:val="0"/>
          <w:i w:val="0"/>
          <w:iCs w:val="0"/>
          <w:color w:val="auto"/>
          <w:sz w:val="32"/>
          <w:szCs w:val="32"/>
          <w:highlight w:val="none"/>
          <w:u w:val="none"/>
        </w:rPr>
      </w:pPr>
      <w:r>
        <w:rPr>
          <w:rFonts w:hint="eastAsia" w:ascii="黑体" w:hAnsi="黑体" w:eastAsia="黑体" w:cs="黑体"/>
          <w:b w:val="0"/>
          <w:bCs w:val="0"/>
          <w:i w:val="0"/>
          <w:iCs w:val="0"/>
          <w:color w:val="auto"/>
          <w:sz w:val="32"/>
          <w:szCs w:val="32"/>
          <w:highlight w:val="none"/>
          <w:u w:val="none"/>
        </w:rPr>
        <w:t xml:space="preserve">十</w:t>
      </w:r>
      <w:r>
        <w:rPr>
          <w:rFonts w:hint="eastAsia" w:ascii="黑体" w:hAnsi="黑体" w:eastAsia="黑体" w:cs="黑体"/>
          <w:b w:val="0"/>
          <w:bCs w:val="0"/>
          <w:i w:val="0"/>
          <w:iCs w:val="0"/>
          <w:color w:val="auto"/>
          <w:sz w:val="32"/>
          <w:szCs w:val="32"/>
          <w:highlight w:val="none"/>
          <w:u w:val="none"/>
          <w:lang w:val="en-US" w:eastAsia="zh-CN"/>
        </w:rPr>
        <w:t xml:space="preserve">五</w:t>
      </w:r>
      <w:r>
        <w:rPr>
          <w:rFonts w:hint="eastAsia" w:ascii="黑体" w:hAnsi="黑体" w:eastAsia="黑体" w:cs="黑体"/>
          <w:b w:val="0"/>
          <w:bCs w:val="0"/>
          <w:i w:val="0"/>
          <w:iCs w:val="0"/>
          <w:color w:val="auto"/>
          <w:sz w:val="32"/>
          <w:szCs w:val="32"/>
          <w:highlight w:val="none"/>
          <w:u w:val="none"/>
        </w:rPr>
        <w:t xml:space="preserve">、开标一览表</w:t>
      </w:r>
      <w:r/>
    </w:p>
    <w:p>
      <w:pPr>
        <w:pStyle w:val="905"/>
        <w:jc w:val="center"/>
        <w:spacing w:beforeAutospacing="0" w:afterAutospacing="0"/>
        <w:rPr>
          <w:rFonts w:hint="eastAsia" w:ascii="黑体" w:hAnsi="黑体" w:eastAsia="黑体" w:cs="黑体"/>
          <w:b w:val="0"/>
          <w:bCs w:val="0"/>
          <w:i w:val="0"/>
          <w:iCs w:val="0"/>
          <w:color w:val="auto"/>
          <w:sz w:val="32"/>
          <w:szCs w:val="32"/>
          <w:highlight w:val="none"/>
          <w:u w:val="none"/>
        </w:rPr>
      </w:pPr>
      <w:r>
        <w:rPr>
          <w:rFonts w:hint="eastAsia" w:ascii="黑体" w:hAnsi="黑体" w:eastAsia="黑体" w:cs="黑体"/>
          <w:b w:val="0"/>
          <w:bCs w:val="0"/>
          <w:i w:val="0"/>
          <w:iCs w:val="0"/>
          <w:color w:val="auto"/>
          <w:sz w:val="32"/>
          <w:szCs w:val="32"/>
          <w:highlight w:val="none"/>
          <w:u w:val="none"/>
        </w:rPr>
      </w:r>
      <w:r/>
    </w:p>
    <w:p>
      <w:pPr>
        <w:pStyle w:val="905"/>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905"/>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90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90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99"/>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5"/>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05"/>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05"/>
              <w:spacing w:beforeAutospacing="0" w:afterAutospacing="0" w:line="0" w:lineRule="atLeast"/>
              <w:rPr>
                <w:color w:val="auto"/>
                <w:highlight w:val="none"/>
              </w:rPr>
            </w:pPr>
            <w:r>
              <w:rPr>
                <w:color w:val="auto"/>
                <w:highlight w:val="none"/>
              </w:rPr>
              <w:t xml:space="preserve"> </w:t>
            </w:r>
            <w:r/>
          </w:p>
        </w:tc>
      </w:tr>
    </w:tbl>
    <w:p>
      <w:pPr>
        <w:pStyle w:val="905"/>
        <w:jc w:val="both"/>
        <w:spacing w:beforeAutospacing="0" w:afterAutospacing="0"/>
        <w:rPr>
          <w:color w:val="auto"/>
          <w:highlight w:val="none"/>
        </w:rPr>
      </w:pPr>
      <w:r>
        <w:rPr>
          <w:color w:val="auto"/>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0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0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905"/>
        <w:jc w:val="both"/>
        <w:spacing w:beforeAutospacing="0" w:afterAutospacing="0"/>
        <w:rPr>
          <w:color w:val="auto"/>
          <w:highlight w:val="none"/>
        </w:rPr>
      </w:pPr>
      <w:r>
        <w:rPr>
          <w:color w:val="auto"/>
          <w:highlight w:val="none"/>
        </w:rPr>
        <w:t xml:space="preserve"> </w:t>
      </w:r>
      <w:r/>
    </w:p>
    <w:p>
      <w:pPr>
        <w:pStyle w:val="905"/>
        <w:ind w:firstLine="480"/>
        <w:jc w:val="both"/>
        <w:spacing w:beforeAutospacing="0" w:afterAutospacing="0"/>
        <w:rPr>
          <w:color w:val="auto"/>
          <w:highlight w:val="none"/>
        </w:rPr>
      </w:pPr>
      <w:r>
        <w:rPr>
          <w:color w:val="auto"/>
          <w:highlight w:val="none"/>
        </w:rPr>
        <w:t xml:space="preserve"> </w:t>
      </w:r>
      <w:r/>
    </w:p>
    <w:p>
      <w:pPr>
        <w:pStyle w:val="905"/>
        <w:ind w:firstLine="480"/>
        <w:jc w:val="both"/>
        <w:spacing w:beforeAutospacing="0" w:afterAutospacing="0"/>
        <w:rPr>
          <w:color w:val="auto"/>
          <w:highlight w:val="none"/>
        </w:rPr>
      </w:pPr>
      <w:r>
        <w:rPr>
          <w:color w:val="auto"/>
          <w:highlight w:val="none"/>
        </w:rPr>
        <w:t xml:space="preserve"> </w:t>
      </w:r>
      <w:r/>
    </w:p>
    <w:p>
      <w:pPr>
        <w:pStyle w:val="905"/>
        <w:jc w:val="both"/>
        <w:spacing w:beforeAutospacing="0" w:afterAutospacing="0"/>
        <w:rPr>
          <w:color w:val="auto"/>
          <w:highlight w:val="none"/>
        </w:rPr>
      </w:pPr>
      <w:r>
        <w:rPr>
          <w:color w:val="auto"/>
          <w:highlight w:val="none"/>
        </w:rPr>
        <w:t xml:space="preserve"> </w:t>
      </w:r>
      <w:r/>
    </w:p>
    <w:p>
      <w:pPr>
        <w:pStyle w:val="905"/>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pStyle w:val="905"/>
        <w:jc w:val="both"/>
        <w:spacing w:beforeAutospacing="0" w:afterAutospacing="0"/>
        <w:rPr>
          <w:color w:val="auto"/>
          <w:highlight w:val="none"/>
          <w:shd w:val="clear" w:color="auto" w:fill="auto"/>
        </w:rPr>
      </w:pPr>
      <w:r>
        <w:rPr>
          <w:color w:val="auto"/>
          <w:highlight w:val="none"/>
          <w:shd w:val="clear" w:color="auto" w:fill="auto"/>
        </w:rPr>
      </w:r>
      <w:r/>
    </w:p>
    <w:p>
      <w:pPr>
        <w:jc w:val="center"/>
        <w:spacing w:before="50" w:after="50"/>
        <w:widowControl/>
        <w:rPr>
          <w:rFonts w:hint="eastAsia" w:ascii="黑体" w:hAnsi="黑体" w:eastAsia="黑体" w:cs="黑体"/>
          <w:b/>
          <w:bCs/>
          <w:color w:val="auto"/>
          <w:sz w:val="32"/>
          <w:szCs w:val="32"/>
          <w:highlight w:val="none"/>
        </w:rPr>
      </w:pPr>
      <w:r>
        <w:rPr>
          <w:rFonts w:hint="eastAsia"/>
          <w:color w:val="auto"/>
          <w:highlight w:val="none"/>
          <w:lang w:val="en-US" w:eastAsia="zh-CN"/>
        </w:rPr>
        <w:t xml:space="preserve">=</w:t>
      </w:r>
      <w:r>
        <w:rPr>
          <w:color w:val="auto"/>
          <w:highlight w:val="none"/>
        </w:rPr>
        <w:tab/>
      </w:r>
      <w:r>
        <w:rPr>
          <w:rFonts w:hint="eastAsia" w:ascii="黑体" w:hAnsi="黑体" w:eastAsia="黑体" w:cs="黑体"/>
          <w:b/>
          <w:bCs/>
          <w:color w:val="auto"/>
          <w:sz w:val="32"/>
          <w:szCs w:val="32"/>
          <w:highlight w:val="none"/>
        </w:rPr>
        <w:t xml:space="preserve">十</w:t>
      </w:r>
      <w:r>
        <w:rPr>
          <w:rFonts w:hint="eastAsia" w:ascii="黑体" w:hAnsi="黑体" w:eastAsia="黑体" w:cs="黑体"/>
          <w:b/>
          <w:bCs/>
          <w:color w:val="auto"/>
          <w:sz w:val="32"/>
          <w:szCs w:val="32"/>
          <w:highlight w:val="none"/>
          <w:lang w:val="en-US" w:eastAsia="zh-CN"/>
        </w:rPr>
        <w:t xml:space="preserve">六</w:t>
      </w:r>
      <w:r>
        <w:rPr>
          <w:rFonts w:hint="eastAsia" w:ascii="黑体" w:hAnsi="黑体" w:eastAsia="黑体" w:cs="黑体"/>
          <w:b/>
          <w:bCs/>
          <w:color w:val="auto"/>
          <w:sz w:val="32"/>
          <w:szCs w:val="32"/>
          <w:highlight w:val="none"/>
        </w:rPr>
        <w:t xml:space="preserve">、项目实施方案</w:t>
      </w:r>
      <w:r>
        <w:rPr>
          <w:rFonts w:hint="eastAsia" w:ascii="黑体" w:hAnsi="黑体" w:eastAsia="黑体" w:cs="黑体"/>
          <w:b/>
          <w:bCs/>
          <w:color w:val="auto"/>
          <w:sz w:val="32"/>
          <w:szCs w:val="32"/>
          <w:highlight w:val="none"/>
          <w:lang w:eastAsia="zh-CN"/>
        </w:rPr>
        <w:t xml:space="preserve">、</w:t>
      </w:r>
      <w:r>
        <w:rPr>
          <w:rFonts w:hint="eastAsia" w:ascii="黑体" w:hAnsi="黑体" w:eastAsia="黑体" w:cs="黑体"/>
          <w:b/>
          <w:bCs/>
          <w:color w:val="auto"/>
          <w:sz w:val="32"/>
          <w:szCs w:val="32"/>
          <w:highlight w:val="none"/>
        </w:rPr>
        <w:t xml:space="preserve">售后服务及培训方案以及投标人认为需要提供的其他资料等</w:t>
      </w:r>
      <w:r/>
    </w:p>
    <w:p>
      <w:pPr>
        <w:jc w:val="center"/>
        <w:spacing w:before="50" w:after="50"/>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spacing w:line="499" w:lineRule="atLeast"/>
        <w:widowControl/>
        <w:rPr>
          <w:rFonts w:hint="eastAsia" w:ascii="黑体" w:hAnsi="黑体" w:eastAsia="黑体" w:cs="黑体"/>
          <w:color w:val="auto"/>
          <w:sz w:val="24"/>
          <w:highlight w:val="none"/>
        </w:rPr>
      </w:pPr>
      <w:r>
        <w:rPr>
          <w:rFonts w:hint="eastAsia" w:ascii="黑体" w:hAnsi="黑体" w:eastAsia="黑体" w:cs="黑体"/>
          <w:color w:val="auto"/>
          <w:sz w:val="32"/>
          <w:szCs w:val="32"/>
          <w:highlight w:val="none"/>
        </w:rPr>
        <w:t xml:space="preserve">十</w:t>
      </w:r>
      <w:r>
        <w:rPr>
          <w:rFonts w:hint="eastAsia" w:ascii="黑体" w:hAnsi="黑体" w:eastAsia="黑体" w:cs="黑体"/>
          <w:color w:val="auto"/>
          <w:sz w:val="32"/>
          <w:szCs w:val="32"/>
          <w:highlight w:val="none"/>
          <w:lang w:val="en-US" w:eastAsia="zh-CN"/>
        </w:rPr>
        <w:t xml:space="preserve">七</w:t>
      </w:r>
      <w:r>
        <w:rPr>
          <w:rFonts w:hint="eastAsia" w:ascii="黑体" w:hAnsi="黑体" w:eastAsia="黑体" w:cs="黑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905"/>
        <w:jc w:val="center"/>
        <w:spacing w:beforeAutospacing="0" w:afterAutospacing="0"/>
        <w:rPr>
          <w:color w:val="auto"/>
          <w:highlight w:val="none"/>
        </w:rPr>
      </w:pPr>
      <w:r>
        <w:rPr>
          <w:color w:val="auto"/>
          <w:highlight w:val="none"/>
        </w:rPr>
      </w:r>
      <w:bookmarkEnd w:id="6"/>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67"/>
      <w:r/>
      <w:bookmarkEnd w:id="170"/>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90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05"/>
        <w:ind w:firstLine="480"/>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0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05"/>
        <w:ind w:firstLine="482"/>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0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0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0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0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0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05"/>
        <w:ind w:firstLine="480"/>
        <w:keepLines w:val="0"/>
        <w:keepNext w:val="0"/>
        <w:pageBreakBefore w:val="0"/>
        <w:spacing w:beforeAutospacing="0" w:afterAutospacing="0" w:line="360" w:lineRule="auto"/>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等线">
    <w:panose1 w:val="02010600030101010101"/>
  </w:font>
  <w:font w:name="Wingdings">
    <w:panose1 w:val="05000000000000000000"/>
  </w:font>
  <w:font w:name="_x000B__x000C_">
    <w:panose1 w:val="020B0503020202020204"/>
  </w:font>
  <w:font w:name="华文楷体">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6"/>
    <w:next w:val="896"/>
    <w:link w:val="723"/>
    <w:uiPriority w:val="9"/>
    <w:qFormat/>
    <w:pPr>
      <w:keepLines/>
      <w:keepNext/>
      <w:spacing w:before="480" w:after="200"/>
      <w:outlineLvl w:val="0"/>
    </w:pPr>
    <w:rPr>
      <w:rFonts w:ascii="Arial" w:hAnsi="Arial" w:eastAsia="Arial" w:cs="Arial"/>
      <w:sz w:val="40"/>
      <w:szCs w:val="40"/>
    </w:rPr>
  </w:style>
  <w:style w:type="character" w:styleId="723">
    <w:name w:val="Heading 1 Char"/>
    <w:basedOn w:val="898"/>
    <w:link w:val="722"/>
    <w:uiPriority w:val="9"/>
    <w:rPr>
      <w:rFonts w:ascii="Arial" w:hAnsi="Arial" w:eastAsia="Arial" w:cs="Arial"/>
      <w:sz w:val="40"/>
      <w:szCs w:val="40"/>
    </w:rPr>
  </w:style>
  <w:style w:type="character" w:styleId="724">
    <w:name w:val="Heading 2 Char"/>
    <w:basedOn w:val="898"/>
    <w:link w:val="897"/>
    <w:uiPriority w:val="9"/>
    <w:rPr>
      <w:rFonts w:ascii="Arial" w:hAnsi="Arial" w:eastAsia="Arial" w:cs="Arial"/>
      <w:sz w:val="34"/>
    </w:rPr>
  </w:style>
  <w:style w:type="paragraph" w:styleId="725">
    <w:name w:val="Heading 3"/>
    <w:basedOn w:val="896"/>
    <w:next w:val="896"/>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basedOn w:val="898"/>
    <w:link w:val="725"/>
    <w:uiPriority w:val="9"/>
    <w:rPr>
      <w:rFonts w:ascii="Arial" w:hAnsi="Arial" w:eastAsia="Arial" w:cs="Arial"/>
      <w:sz w:val="30"/>
      <w:szCs w:val="30"/>
    </w:rPr>
  </w:style>
  <w:style w:type="paragraph" w:styleId="727">
    <w:name w:val="Heading 4"/>
    <w:basedOn w:val="896"/>
    <w:next w:val="896"/>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basedOn w:val="898"/>
    <w:link w:val="727"/>
    <w:uiPriority w:val="9"/>
    <w:rPr>
      <w:rFonts w:ascii="Arial" w:hAnsi="Arial" w:eastAsia="Arial" w:cs="Arial"/>
      <w:b/>
      <w:bCs/>
      <w:sz w:val="26"/>
      <w:szCs w:val="26"/>
    </w:rPr>
  </w:style>
  <w:style w:type="paragraph" w:styleId="729">
    <w:name w:val="Heading 5"/>
    <w:basedOn w:val="896"/>
    <w:next w:val="896"/>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basedOn w:val="898"/>
    <w:link w:val="729"/>
    <w:uiPriority w:val="9"/>
    <w:rPr>
      <w:rFonts w:ascii="Arial" w:hAnsi="Arial" w:eastAsia="Arial" w:cs="Arial"/>
      <w:b/>
      <w:bCs/>
      <w:sz w:val="24"/>
      <w:szCs w:val="24"/>
    </w:rPr>
  </w:style>
  <w:style w:type="paragraph" w:styleId="731">
    <w:name w:val="Heading 6"/>
    <w:basedOn w:val="896"/>
    <w:next w:val="896"/>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basedOn w:val="898"/>
    <w:link w:val="731"/>
    <w:uiPriority w:val="9"/>
    <w:rPr>
      <w:rFonts w:ascii="Arial" w:hAnsi="Arial" w:eastAsia="Arial" w:cs="Arial"/>
      <w:b/>
      <w:bCs/>
      <w:sz w:val="22"/>
      <w:szCs w:val="22"/>
    </w:rPr>
  </w:style>
  <w:style w:type="paragraph" w:styleId="733">
    <w:name w:val="Heading 7"/>
    <w:basedOn w:val="896"/>
    <w:next w:val="896"/>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basedOn w:val="898"/>
    <w:link w:val="733"/>
    <w:uiPriority w:val="9"/>
    <w:rPr>
      <w:rFonts w:ascii="Arial" w:hAnsi="Arial" w:eastAsia="Arial" w:cs="Arial"/>
      <w:b/>
      <w:bCs/>
      <w:i/>
      <w:iCs/>
      <w:sz w:val="22"/>
      <w:szCs w:val="22"/>
    </w:rPr>
  </w:style>
  <w:style w:type="paragraph" w:styleId="735">
    <w:name w:val="Heading 8"/>
    <w:basedOn w:val="896"/>
    <w:next w:val="896"/>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basedOn w:val="898"/>
    <w:link w:val="735"/>
    <w:uiPriority w:val="9"/>
    <w:rPr>
      <w:rFonts w:ascii="Arial" w:hAnsi="Arial" w:eastAsia="Arial" w:cs="Arial"/>
      <w:i/>
      <w:iCs/>
      <w:sz w:val="22"/>
      <w:szCs w:val="22"/>
    </w:rPr>
  </w:style>
  <w:style w:type="paragraph" w:styleId="737">
    <w:name w:val="Heading 9"/>
    <w:basedOn w:val="896"/>
    <w:next w:val="896"/>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basedOn w:val="898"/>
    <w:link w:val="737"/>
    <w:uiPriority w:val="9"/>
    <w:rPr>
      <w:rFonts w:ascii="Arial" w:hAnsi="Arial" w:eastAsia="Arial" w:cs="Arial"/>
      <w:i/>
      <w:iCs/>
      <w:sz w:val="21"/>
      <w:szCs w:val="21"/>
    </w:rPr>
  </w:style>
  <w:style w:type="paragraph" w:styleId="739">
    <w:name w:val="List Paragraph"/>
    <w:basedOn w:val="896"/>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6"/>
    <w:next w:val="896"/>
    <w:link w:val="742"/>
    <w:uiPriority w:val="10"/>
    <w:qFormat/>
    <w:pPr>
      <w:contextualSpacing/>
      <w:spacing w:before="300" w:after="200"/>
    </w:pPr>
    <w:rPr>
      <w:sz w:val="48"/>
      <w:szCs w:val="48"/>
    </w:rPr>
  </w:style>
  <w:style w:type="character" w:styleId="742">
    <w:name w:val="Title Char"/>
    <w:basedOn w:val="898"/>
    <w:link w:val="741"/>
    <w:uiPriority w:val="10"/>
    <w:rPr>
      <w:sz w:val="48"/>
      <w:szCs w:val="48"/>
    </w:rPr>
  </w:style>
  <w:style w:type="paragraph" w:styleId="743">
    <w:name w:val="Subtitle"/>
    <w:basedOn w:val="896"/>
    <w:next w:val="896"/>
    <w:link w:val="744"/>
    <w:uiPriority w:val="11"/>
    <w:qFormat/>
    <w:pPr>
      <w:spacing w:before="200" w:after="200"/>
    </w:pPr>
    <w:rPr>
      <w:sz w:val="24"/>
      <w:szCs w:val="24"/>
    </w:rPr>
  </w:style>
  <w:style w:type="character" w:styleId="744">
    <w:name w:val="Subtitle Char"/>
    <w:basedOn w:val="898"/>
    <w:link w:val="743"/>
    <w:uiPriority w:val="11"/>
    <w:rPr>
      <w:sz w:val="24"/>
      <w:szCs w:val="24"/>
    </w:rPr>
  </w:style>
  <w:style w:type="paragraph" w:styleId="745">
    <w:name w:val="Quote"/>
    <w:basedOn w:val="896"/>
    <w:next w:val="896"/>
    <w:link w:val="746"/>
    <w:uiPriority w:val="29"/>
    <w:qFormat/>
    <w:pPr>
      <w:ind w:left="720" w:right="720"/>
    </w:pPr>
    <w:rPr>
      <w:i/>
    </w:rPr>
  </w:style>
  <w:style w:type="character" w:styleId="746">
    <w:name w:val="Quote Char"/>
    <w:link w:val="745"/>
    <w:uiPriority w:val="29"/>
    <w:rPr>
      <w:i/>
    </w:rPr>
  </w:style>
  <w:style w:type="paragraph" w:styleId="747">
    <w:name w:val="Intense Quote"/>
    <w:basedOn w:val="896"/>
    <w:next w:val="896"/>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8"/>
    <w:link w:val="904"/>
    <w:uiPriority w:val="99"/>
  </w:style>
  <w:style w:type="character" w:styleId="750">
    <w:name w:val="Footer Char"/>
    <w:basedOn w:val="898"/>
    <w:link w:val="903"/>
    <w:uiPriority w:val="99"/>
  </w:style>
  <w:style w:type="paragraph" w:styleId="751">
    <w:name w:val="Caption"/>
    <w:basedOn w:val="896"/>
    <w:next w:val="896"/>
    <w:uiPriority w:val="35"/>
    <w:semiHidden/>
    <w:unhideWhenUsed/>
    <w:qFormat/>
    <w:pPr>
      <w:spacing w:line="276" w:lineRule="auto"/>
    </w:pPr>
    <w:rPr>
      <w:b/>
      <w:bCs/>
      <w:color w:val="4f81bd" w:themeColor="accent1"/>
      <w:sz w:val="18"/>
      <w:szCs w:val="18"/>
    </w:rPr>
  </w:style>
  <w:style w:type="character" w:styleId="752">
    <w:name w:val="Caption Char"/>
    <w:basedOn w:val="751"/>
    <w:link w:val="903"/>
    <w:uiPriority w:val="99"/>
  </w:style>
  <w:style w:type="table" w:styleId="753">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9">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0">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1">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2">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3">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4">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1">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4">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5">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6">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7">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8">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9">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2">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3">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4">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5">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6">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5">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6">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7">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8">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9">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0">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2">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3">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4">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5">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6">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7">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9">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0">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1">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2">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3">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4">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6"/>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8"/>
    <w:uiPriority w:val="99"/>
    <w:unhideWhenUsed/>
    <w:rPr>
      <w:vertAlign w:val="superscript"/>
    </w:rPr>
  </w:style>
  <w:style w:type="paragraph" w:styleId="882">
    <w:name w:val="endnote text"/>
    <w:basedOn w:val="896"/>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8"/>
    <w:uiPriority w:val="99"/>
    <w:semiHidden/>
    <w:unhideWhenUsed/>
    <w:rPr>
      <w:vertAlign w:val="superscript"/>
    </w:rPr>
  </w:style>
  <w:style w:type="paragraph" w:styleId="885">
    <w:name w:val="toc 1"/>
    <w:basedOn w:val="896"/>
    <w:next w:val="896"/>
    <w:uiPriority w:val="39"/>
    <w:unhideWhenUsed/>
    <w:pPr>
      <w:ind w:left="0" w:right="0" w:firstLine="0"/>
      <w:spacing w:after="57"/>
    </w:p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7">
    <w:name w:val="Heading 2"/>
    <w:basedOn w:val="896"/>
    <w:next w:val="89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annotation text"/>
    <w:basedOn w:val="896"/>
    <w:uiPriority w:val="0"/>
    <w:qFormat/>
    <w:pPr>
      <w:jc w:val="left"/>
    </w:pPr>
  </w:style>
  <w:style w:type="paragraph" w:styleId="901">
    <w:name w:val="Body Text"/>
    <w:basedOn w:val="896"/>
    <w:uiPriority w:val="0"/>
    <w:unhideWhenUsed/>
    <w:qFormat/>
    <w:pPr>
      <w:spacing w:after="120"/>
    </w:pPr>
    <w:rPr>
      <w:rFonts w:ascii="Calibri" w:hAnsi="Calibri"/>
      <w:szCs w:val="22"/>
    </w:rPr>
  </w:style>
  <w:style w:type="paragraph" w:styleId="902">
    <w:name w:val="Plain Text"/>
    <w:basedOn w:val="896"/>
    <w:uiPriority w:val="0"/>
    <w:unhideWhenUsed/>
    <w:qFormat/>
    <w:rPr>
      <w:rFonts w:ascii="宋体" w:hAnsi="Courier New" w:cs="Courier New"/>
      <w:szCs w:val="21"/>
    </w:rPr>
  </w:style>
  <w:style w:type="paragraph" w:styleId="903">
    <w:name w:val="Footer"/>
    <w:basedOn w:val="896"/>
    <w:link w:val="921"/>
    <w:uiPriority w:val="0"/>
    <w:qFormat/>
    <w:pPr>
      <w:jc w:val="left"/>
      <w:tabs>
        <w:tab w:val="center" w:pos="4153" w:leader="none"/>
        <w:tab w:val="right" w:pos="8306" w:leader="none"/>
      </w:tabs>
    </w:pPr>
    <w:rPr>
      <w:sz w:val="18"/>
      <w:szCs w:val="18"/>
    </w:rPr>
  </w:style>
  <w:style w:type="paragraph" w:styleId="904">
    <w:name w:val="Header"/>
    <w:basedOn w:val="896"/>
    <w:link w:val="920"/>
    <w:uiPriority w:val="0"/>
    <w:qFormat/>
    <w:pPr>
      <w:jc w:val="center"/>
      <w:tabs>
        <w:tab w:val="center" w:pos="4153" w:leader="none"/>
        <w:tab w:val="right" w:pos="8306" w:leader="none"/>
      </w:tabs>
      <w:pBdr>
        <w:bottom w:val="single" w:color="auto" w:sz="6" w:space="1"/>
      </w:pBdr>
    </w:pPr>
    <w:rPr>
      <w:sz w:val="18"/>
      <w:szCs w:val="18"/>
    </w:rPr>
  </w:style>
  <w:style w:type="paragraph" w:styleId="905">
    <w:name w:val="Normal (Web)"/>
    <w:basedOn w:val="896"/>
    <w:uiPriority w:val="0"/>
    <w:qFormat/>
    <w:pPr>
      <w:jc w:val="left"/>
      <w:spacing w:beforeAutospacing="1" w:afterAutospacing="1"/>
    </w:pPr>
    <w:rPr>
      <w:rFonts w:cs="Times New Roman"/>
      <w:sz w:val="24"/>
    </w:rPr>
  </w:style>
  <w:style w:type="table" w:styleId="906">
    <w:name w:val="Table Grid"/>
    <w:basedOn w:val="89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Emphasis"/>
    <w:uiPriority w:val="0"/>
    <w:qFormat/>
    <w:rPr>
      <w:i/>
    </w:rPr>
  </w:style>
  <w:style w:type="paragraph" w:styleId="908" w:customStyle="1">
    <w:name w:val="Default"/>
    <w:basedOn w:val="896"/>
    <w:uiPriority w:val="0"/>
    <w:semiHidden/>
    <w:qFormat/>
    <w:pPr>
      <w:jc w:val="left"/>
    </w:pPr>
    <w:rPr>
      <w:rFonts w:ascii="宋体" w:hAnsi="Calibri" w:cs="宋体"/>
      <w:color w:val="000000"/>
      <w:sz w:val="24"/>
    </w:rPr>
  </w:style>
  <w:style w:type="paragraph" w:styleId="909" w:customStyle="1">
    <w:name w:val="列表段落1"/>
    <w:basedOn w:val="910"/>
    <w:next w:val="896"/>
    <w:uiPriority w:val="99"/>
    <w:qFormat/>
    <w:pPr>
      <w:ind w:firstLine="420"/>
    </w:pPr>
  </w:style>
  <w:style w:type="paragraph" w:styleId="910" w:customStyle="1">
    <w:name w:val="正文1"/>
    <w:basedOn w:val="911"/>
    <w:next w:val="919"/>
    <w:uiPriority w:val="0"/>
    <w:qFormat/>
    <w:pPr>
      <w:ind w:right="-167"/>
      <w:spacing w:line="440" w:lineRule="exact"/>
      <w:widowControl/>
    </w:pPr>
    <w:rPr>
      <w:b/>
      <w:sz w:val="21"/>
    </w:rPr>
  </w:style>
  <w:style w:type="paragraph" w:styleId="911" w:customStyle="1">
    <w:name w:val="正文11"/>
    <w:next w:val="912"/>
    <w:uiPriority w:val="0"/>
    <w:qFormat/>
    <w:pPr>
      <w:jc w:val="both"/>
      <w:widowControl w:val="off"/>
    </w:pPr>
    <w:rPr>
      <w:rFonts w:hint="default" w:ascii="Times New Roman" w:hAnsi="Times New Roman" w:eastAsia="Arial" w:cs="Times New Roman"/>
      <w:lang w:val="en-US" w:eastAsia="zh-CN" w:bidi="ar-SA"/>
    </w:rPr>
  </w:style>
  <w:style w:type="paragraph" w:styleId="912" w:customStyle="1">
    <w:name w:val="目录 11"/>
    <w:basedOn w:val="913"/>
    <w:next w:val="911"/>
    <w:uiPriority w:val="0"/>
    <w:qFormat/>
    <w:pPr>
      <w:jc w:val="left"/>
      <w:spacing w:before="120" w:after="120"/>
      <w:widowControl/>
    </w:pPr>
    <w:rPr>
      <w:rFonts w:cs="Calibri"/>
      <w:b/>
      <w:bCs/>
      <w:caps/>
      <w:sz w:val="20"/>
      <w:szCs w:val="20"/>
    </w:rPr>
  </w:style>
  <w:style w:type="paragraph" w:styleId="913" w:customStyle="1">
    <w:name w:val="正文12"/>
    <w:next w:val="914"/>
    <w:uiPriority w:val="0"/>
    <w:qFormat/>
    <w:pPr>
      <w:jc w:val="both"/>
      <w:widowControl w:val="off"/>
    </w:pPr>
    <w:rPr>
      <w:rFonts w:hint="default" w:ascii="Calibri" w:hAnsi="Calibri" w:eastAsia="宋体" w:cs="Times New Roman"/>
      <w:sz w:val="21"/>
      <w:szCs w:val="24"/>
      <w:lang w:val="en-US" w:eastAsia="zh-CN" w:bidi="ar-SA"/>
    </w:rPr>
  </w:style>
  <w:style w:type="paragraph" w:styleId="914" w:customStyle="1">
    <w:name w:val="正文文本11"/>
    <w:basedOn w:val="915"/>
    <w:next w:val="916"/>
    <w:uiPriority w:val="0"/>
    <w:qFormat/>
    <w:pPr>
      <w:spacing w:after="120"/>
    </w:pPr>
  </w:style>
  <w:style w:type="paragraph" w:styleId="915" w:customStyle="1">
    <w:name w:val="正文112"/>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一级条标题"/>
    <w:basedOn w:val="917"/>
    <w:next w:val="918"/>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17" w:customStyle="1">
    <w:name w:val="章标题"/>
    <w:next w:val="89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8" w:customStyle="1">
    <w:name w:val="段"/>
    <w:next w:val="89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19" w:customStyle="1">
    <w:name w:val="正文文本1"/>
    <w:basedOn w:val="910"/>
    <w:next w:val="910"/>
    <w:uiPriority w:val="0"/>
    <w:qFormat/>
    <w:pPr>
      <w:spacing w:after="120"/>
    </w:pPr>
    <w:rPr>
      <w:lang w:eastAsia="en-US"/>
    </w:rPr>
  </w:style>
  <w:style w:type="character" w:styleId="920" w:customStyle="1">
    <w:name w:val="页眉 Char"/>
    <w:basedOn w:val="898"/>
    <w:link w:val="904"/>
    <w:uiPriority w:val="0"/>
    <w:qFormat/>
    <w:rPr>
      <w:rFonts w:asciiTheme="minorHAnsi" w:hAnsiTheme="minorHAnsi" w:eastAsiaTheme="minorEastAsia" w:cstheme="minorBidi"/>
      <w:sz w:val="18"/>
      <w:szCs w:val="18"/>
    </w:rPr>
  </w:style>
  <w:style w:type="character" w:styleId="921" w:customStyle="1">
    <w:name w:val="页脚 Char"/>
    <w:basedOn w:val="898"/>
    <w:link w:val="903"/>
    <w:uiPriority w:val="0"/>
    <w:qFormat/>
    <w:rPr>
      <w:rFonts w:asciiTheme="minorHAnsi" w:hAnsiTheme="minorHAnsi" w:eastAsiaTheme="minorEastAsia" w:cstheme="minorBidi"/>
      <w:sz w:val="18"/>
      <w:szCs w:val="18"/>
    </w:rPr>
  </w:style>
  <w:style w:type="paragraph" w:styleId="9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3" w:customStyle="1">
    <w:name w:val="页脚1"/>
    <w:basedOn w:val="896"/>
    <w:uiPriority w:val="99"/>
    <w:unhideWhenUsed/>
    <w:qFormat/>
    <w:pPr>
      <w:jc w:val="left"/>
      <w:tabs>
        <w:tab w:val="center" w:pos="4153" w:leader="none"/>
        <w:tab w:val="right" w:pos="8306" w:leader="none"/>
      </w:tabs>
    </w:pPr>
    <w:rPr>
      <w:sz w:val="18"/>
      <w:szCs w:val="18"/>
    </w:rPr>
  </w:style>
  <w:style w:type="paragraph" w:styleId="924" w:customStyle="1">
    <w:name w:val="普通正文"/>
    <w:basedOn w:val="896"/>
    <w:uiPriority w:val="0"/>
    <w:qFormat/>
    <w:pPr>
      <w:ind w:firstLine="480"/>
      <w:jc w:val="left"/>
      <w:spacing w:before="120" w:after="120" w:line="360" w:lineRule="auto"/>
    </w:pPr>
    <w:rPr>
      <w:rFonts w:ascii="Arial" w:hAnsi="Arial" w:eastAsia="等线" w:cs="Arial"/>
      <w:sz w:val="24"/>
      <w:szCs w:val="24"/>
    </w:rPr>
  </w:style>
  <w:style w:type="paragraph" w:styleId="925" w:customStyle="1">
    <w:name w:val="正文首行缩进 21"/>
    <w:basedOn w:val="926"/>
    <w:uiPriority w:val="0"/>
    <w:qFormat/>
    <w:pPr>
      <w:ind w:firstLine="420"/>
    </w:pPr>
  </w:style>
  <w:style w:type="paragraph" w:styleId="926" w:customStyle="1">
    <w:name w:val="正文文本缩进1"/>
    <w:basedOn w:val="896"/>
    <w:uiPriority w:val="0"/>
    <w:qFormat/>
    <w:pPr>
      <w:ind w:left="420"/>
      <w:spacing w:after="120"/>
    </w:pPr>
  </w:style>
  <w:style w:type="character" w:styleId="927" w:customStyle="1">
    <w:name w:val="wyg1"/>
    <w:uiPriority w:val="0"/>
    <w:qFormat/>
    <w:rPr>
      <w:color w:val="000000"/>
      <w:sz w:val="20"/>
      <w:szCs w:val="20"/>
      <w:u w:val="none"/>
    </w:rPr>
  </w:style>
  <w:style w:type="character" w:styleId="928" w:customStyle="1">
    <w:name w:val="s141"/>
    <w:uiPriority w:val="0"/>
    <w:qFormat/>
    <w:rPr>
      <w:rFonts w:hint="default" w:ascii="_x000B__x000C_" w:hAnsi="_x000B__x000C_"/>
      <w:sz w:val="21"/>
      <w:szCs w:val="21"/>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121</cp:revision>
  <dcterms:created xsi:type="dcterms:W3CDTF">2014-10-29T12:08:00Z</dcterms:created>
  <dcterms:modified xsi:type="dcterms:W3CDTF">2026-10-30T07:49:49Z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F0F0485121574464AE2AF0316A240F70_13</vt:lpwstr>
  </property>
  <property fmtid="{D5CDD505-2E9C-101B-9397-08002B2CF9AE}" pid="4" name="KSOTemplateDocerSaveRecord">
    <vt:lpwstr>eyJoZGlkIjoiMmQxYjczMTdjYWZkNTcxNDAxNGMzM2Y5MmYyNzE4ZGYiLCJ1c2VySWQiOiI5Njk0NjQ5ODIifQ==</vt:lpwstr>
  </property>
</Properties>
</file>