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76"/>
        <w:rPr>
          <w:rFonts w:hint="eastAsia"/>
        </w:rPr>
      </w:pPr>
      <w:r>
        <w:rPr>
          <w:rFonts w:hint="eastAsia"/>
        </w:rPr>
      </w:r>
      <w:r/>
    </w:p>
    <w:p>
      <w:pPr>
        <w:pStyle w:val="676"/>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rPr>
          <w:rFonts w:hint="eastAsia" w:ascii="Arial" w:hAnsi="Arial" w:eastAsia="黑体"/>
          <w:b/>
          <w:bCs/>
          <w:sz w:val="84"/>
          <w:szCs w:val="24"/>
        </w:rPr>
      </w:r>
      <w:r/>
    </w:p>
    <w:p>
      <w:pPr>
        <w:pStyle w:val="676"/>
        <w:ind w:firstLine="1285"/>
        <w:spacing w:before="120" w:after="120" w:line="360" w:lineRule="auto"/>
        <w:rPr>
          <w:rFonts w:hint="eastAsia" w:ascii="Arial" w:hAnsi="Arial"/>
          <w:b/>
          <w:bCs/>
          <w:sz w:val="32"/>
          <w:szCs w:val="24"/>
        </w:rPr>
      </w:pPr>
      <w:r>
        <w:rPr>
          <w:rFonts w:hint="eastAsia" w:ascii="Arial" w:hAnsi="Arial"/>
          <w:b/>
          <w:bCs/>
          <w:sz w:val="32"/>
          <w:szCs w:val="24"/>
        </w:rPr>
      </w:r>
      <w:r/>
    </w:p>
    <w:p>
      <w:pPr>
        <w:pStyle w:val="676"/>
        <w:ind w:firstLine="1285"/>
        <w:spacing w:before="120" w:after="120" w:line="360" w:lineRule="auto"/>
        <w:rPr>
          <w:rFonts w:hint="eastAsia" w:ascii="Arial" w:hAnsi="Arial"/>
          <w:b/>
          <w:bCs/>
          <w:sz w:val="32"/>
          <w:szCs w:val="24"/>
        </w:rPr>
      </w:pPr>
      <w:r>
        <w:rPr>
          <w:rFonts w:hint="eastAsia" w:ascii="Arial" w:hAnsi="Arial"/>
          <w:b/>
          <w:bCs/>
          <w:sz w:val="32"/>
          <w:szCs w:val="24"/>
        </w:rPr>
      </w:r>
      <w:r/>
    </w:p>
    <w:p>
      <w:pPr>
        <w:pStyle w:val="676"/>
        <w:ind w:firstLine="1285"/>
        <w:spacing w:before="120" w:after="120" w:line="360" w:lineRule="auto"/>
        <w:rPr>
          <w:rFonts w:hint="eastAsia" w:ascii="Arial" w:hAnsi="Arial"/>
          <w:b/>
          <w:bCs/>
          <w:sz w:val="32"/>
          <w:szCs w:val="24"/>
        </w:rPr>
      </w:pPr>
      <w:r>
        <w:rPr>
          <w:rFonts w:hint="eastAsia" w:ascii="Arial" w:hAnsi="Arial"/>
          <w:b/>
          <w:bCs/>
          <w:sz w:val="32"/>
          <w:szCs w:val="24"/>
        </w:rPr>
        <w:t xml:space="preserve">项目名称：202</w:t>
      </w:r>
      <w:r>
        <w:rPr>
          <w:rFonts w:hint="eastAsia" w:ascii="Arial" w:hAnsi="Arial"/>
          <w:b/>
          <w:bCs/>
          <w:sz w:val="32"/>
          <w:szCs w:val="24"/>
          <w:lang w:val="en-US" w:eastAsia="zh-CN"/>
        </w:rPr>
        <w:t xml:space="preserve">6</w:t>
      </w:r>
      <w:r>
        <w:rPr>
          <w:rFonts w:hint="eastAsia" w:ascii="Arial" w:hAnsi="Arial"/>
          <w:b/>
          <w:bCs/>
          <w:sz w:val="32"/>
          <w:szCs w:val="24"/>
        </w:rPr>
        <w:t xml:space="preserve">“数字泰州”公共数据综合服务</w:t>
      </w:r>
      <w:r>
        <w:rPr>
          <w:rFonts w:hint="eastAsia" w:ascii="Arial" w:hAnsi="Arial"/>
          <w:b/>
          <w:bCs/>
          <w:sz w:val="32"/>
          <w:szCs w:val="24"/>
        </w:rPr>
      </w:r>
      <w:r/>
    </w:p>
    <w:p>
      <w:pPr>
        <w:pStyle w:val="676"/>
        <w:ind w:firstLine="1285"/>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Segoe UI" w:hAnsi="Segoe UI" w:eastAsia="Segoe UI" w:cs="Segoe UI"/>
          <w:i w:val="0"/>
          <w:iCs w:val="0"/>
          <w:caps w:val="0"/>
          <w:spacing w:val="0"/>
          <w:sz w:val="21"/>
          <w:szCs w:val="21"/>
          <w:shd w:val="clear" w:color="auto" w:fill="ffffff"/>
        </w:rPr>
        <w:t xml:space="preserve"> JSZC-321200-JZCG-D2026-0046 </w:t>
      </w:r>
      <w:r>
        <w:rPr>
          <w:rFonts w:ascii="Arial" w:hAnsi="Arial"/>
          <w:b/>
          <w:bCs/>
          <w:sz w:val="32"/>
          <w:szCs w:val="24"/>
        </w:rPr>
        <w:t xml:space="preserve">    </w:t>
      </w:r>
      <w:r>
        <w:rPr>
          <w:rFonts w:ascii="Arial" w:hAnsi="Arial"/>
          <w:b/>
          <w:bCs/>
          <w:sz w:val="32"/>
          <w:szCs w:val="24"/>
        </w:rPr>
      </w:r>
      <w:r/>
    </w:p>
    <w:p>
      <w:pPr>
        <w:pStyle w:val="676"/>
        <w:ind w:firstLine="1285"/>
        <w:jc w:val="left"/>
        <w:spacing w:before="120" w:after="120" w:line="360" w:lineRule="auto"/>
        <w:rPr>
          <w:rFonts w:hint="eastAsia" w:ascii="Times New Roman" w:hAnsi="Times New Roman"/>
          <w:b/>
          <w:sz w:val="30"/>
          <w:szCs w:val="30"/>
        </w:rPr>
      </w:pPr>
      <w:r>
        <w:rPr>
          <w:rFonts w:hint="eastAsia" w:ascii="Arial" w:hAnsi="Arial"/>
          <w:b/>
          <w:bCs/>
          <w:sz w:val="32"/>
          <w:szCs w:val="24"/>
        </w:rPr>
        <w:t xml:space="preserve">（全流程电子化，适用苏采云系统）</w:t>
      </w: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676"/>
        <w:jc w:val="left"/>
        <w:spacing w:line="360" w:lineRule="auto"/>
        <w:rPr>
          <w:rFonts w:hint="eastAsia" w:ascii="宋体" w:hAnsi="宋体"/>
          <w:sz w:val="24"/>
          <w:szCs w:val="24"/>
        </w:rPr>
      </w:pPr>
      <w:r>
        <w:rPr>
          <w:rFonts w:hint="eastAsia" w:ascii="宋体" w:hAnsi="宋体"/>
          <w:sz w:val="24"/>
          <w:szCs w:val="24"/>
        </w:rPr>
      </w:r>
      <w:r/>
    </w:p>
    <w:p>
      <w:pPr>
        <w:pStyle w:val="676"/>
        <w:jc w:val="left"/>
        <w:spacing w:line="360" w:lineRule="auto"/>
        <w:rPr>
          <w:rFonts w:hint="eastAsia" w:ascii="宋体" w:hAnsi="宋体"/>
          <w:sz w:val="24"/>
          <w:szCs w:val="24"/>
        </w:rPr>
      </w:pPr>
      <w:r>
        <w:rPr>
          <w:rFonts w:hint="eastAsia" w:ascii="宋体" w:hAnsi="宋体"/>
          <w:sz w:val="24"/>
          <w:szCs w:val="24"/>
        </w:rPr>
      </w:r>
      <w:r/>
    </w:p>
    <w:p>
      <w:pPr>
        <w:pStyle w:val="676"/>
        <w:jc w:val="left"/>
        <w:spacing w:line="360" w:lineRule="auto"/>
        <w:rPr>
          <w:rFonts w:hint="eastAsia" w:ascii="宋体" w:hAnsi="宋体"/>
          <w:sz w:val="24"/>
          <w:szCs w:val="24"/>
        </w:rPr>
      </w:pPr>
      <w:r>
        <w:rPr>
          <w:rFonts w:hint="eastAsia" w:ascii="宋体" w:hAnsi="宋体"/>
          <w:sz w:val="24"/>
          <w:szCs w:val="24"/>
        </w:rPr>
      </w:r>
      <w:r/>
    </w:p>
    <w:p>
      <w:pPr>
        <w:pStyle w:val="676"/>
        <w:jc w:val="left"/>
        <w:spacing w:line="360" w:lineRule="auto"/>
        <w:rPr>
          <w:rFonts w:hint="eastAsia" w:ascii="宋体" w:hAnsi="宋体"/>
          <w:sz w:val="24"/>
          <w:szCs w:val="24"/>
        </w:rPr>
      </w:pPr>
      <w:r>
        <w:rPr>
          <w:rFonts w:hint="eastAsia" w:ascii="宋体" w:hAnsi="宋体"/>
          <w:sz w:val="24"/>
          <w:szCs w:val="24"/>
        </w:rPr>
      </w:r>
      <w:r/>
    </w:p>
    <w:p>
      <w:pPr>
        <w:pStyle w:val="676"/>
        <w:jc w:val="left"/>
        <w:spacing w:line="360" w:lineRule="auto"/>
        <w:rPr>
          <w:rFonts w:hint="eastAsia" w:ascii="宋体" w:hAnsi="宋体"/>
          <w:sz w:val="24"/>
          <w:szCs w:val="24"/>
        </w:rPr>
      </w:pPr>
      <w:r>
        <w:rPr>
          <w:rFonts w:hint="eastAsia" w:ascii="宋体" w:hAnsi="宋体"/>
          <w:sz w:val="24"/>
          <w:szCs w:val="24"/>
        </w:rPr>
      </w:r>
      <w:r/>
    </w:p>
    <w:p>
      <w:pPr>
        <w:pStyle w:val="676"/>
        <w:jc w:val="left"/>
        <w:spacing w:line="360" w:lineRule="auto"/>
        <w:rPr>
          <w:rFonts w:hint="eastAsia" w:ascii="宋体" w:hAnsi="宋体"/>
          <w:sz w:val="24"/>
          <w:szCs w:val="24"/>
        </w:rPr>
      </w:pPr>
      <w:r>
        <w:rPr>
          <w:rFonts w:hint="eastAsia" w:ascii="宋体" w:hAnsi="宋体"/>
          <w:sz w:val="24"/>
          <w:szCs w:val="24"/>
        </w:rPr>
      </w:r>
      <w:r/>
    </w:p>
    <w:p>
      <w:pPr>
        <w:pStyle w:val="676"/>
        <w:jc w:val="left"/>
        <w:spacing w:line="360" w:lineRule="auto"/>
        <w:rPr>
          <w:rFonts w:hint="eastAsia" w:ascii="宋体" w:hAnsi="宋体"/>
          <w:sz w:val="24"/>
          <w:szCs w:val="24"/>
        </w:rPr>
      </w:pPr>
      <w:r>
        <w:rPr>
          <w:rFonts w:hint="eastAsia" w:ascii="宋体" w:hAnsi="宋体"/>
          <w:sz w:val="24"/>
          <w:szCs w:val="24"/>
        </w:rPr>
      </w:r>
      <w:r/>
    </w:p>
    <w:p>
      <w:pPr>
        <w:pStyle w:val="676"/>
        <w:jc w:val="center"/>
        <w:spacing w:before="120" w:after="120" w:line="360" w:lineRule="auto"/>
        <w:rPr>
          <w:rFonts w:ascii="宋体" w:hAnsi="宋体" w:eastAsia="宋体" w:cs="宋体"/>
          <w:sz w:val="24"/>
          <w:szCs w:val="24"/>
        </w:rPr>
      </w:pPr>
      <w:r>
        <w:rPr>
          <w:rFonts w:ascii="Arial" w:hAnsi="Arial" w:eastAsia="宋体" w:cs="Arial"/>
          <w:b/>
          <w:bCs/>
          <w:color w:val="000000"/>
          <w:sz w:val="32"/>
          <w:szCs w:val="32"/>
        </w:rPr>
        <w:t xml:space="preserve">泰州市政务服务中心</w:t>
      </w:r>
      <w:r>
        <w:rPr>
          <w:rFonts w:ascii="宋体" w:hAnsi="宋体" w:eastAsia="宋体" w:cs="宋体"/>
          <w:sz w:val="24"/>
          <w:szCs w:val="24"/>
        </w:rPr>
      </w:r>
      <w:r/>
    </w:p>
    <w:p>
      <w:pPr>
        <w:pStyle w:val="676"/>
        <w:jc w:val="center"/>
        <w:spacing w:before="120" w:after="120" w:line="360" w:lineRule="auto"/>
        <w:rPr>
          <w:rFonts w:hint="eastAsia" w:ascii="Arial" w:hAnsi="Arial"/>
          <w:sz w:val="24"/>
          <w:szCs w:val="24"/>
          <w:u w:val="single"/>
        </w:rPr>
      </w:pPr>
      <w:r>
        <w:rPr>
          <w:rFonts w:ascii="Arial" w:hAnsi="Arial"/>
          <w:b/>
          <w:bCs/>
          <w:sz w:val="32"/>
          <w:szCs w:val="24"/>
        </w:rPr>
        <w:t xml:space="preserve">202</w:t>
      </w:r>
      <w:r>
        <w:rPr>
          <w:rFonts w:hint="eastAsia" w:ascii="Arial" w:hAnsi="Arial"/>
          <w:b/>
          <w:bCs/>
          <w:sz w:val="32"/>
          <w:szCs w:val="24"/>
          <w:lang w:val="en-US" w:eastAsia="zh-CN"/>
        </w:rPr>
        <w:t xml:space="preserve">6</w:t>
      </w:r>
      <w:r>
        <w:rPr>
          <w:rFonts w:hint="eastAsia" w:ascii="Arial" w:hAnsi="Arial"/>
          <w:b/>
          <w:bCs/>
          <w:sz w:val="32"/>
          <w:szCs w:val="24"/>
        </w:rPr>
        <w:t xml:space="preserve">年 </w:t>
      </w:r>
      <w:r>
        <w:rPr>
          <w:rFonts w:hint="eastAsia" w:ascii="Arial" w:hAnsi="Arial"/>
          <w:b/>
          <w:bCs/>
          <w:sz w:val="32"/>
          <w:szCs w:val="24"/>
          <w:lang w:val="en-US" w:eastAsia="zh-CN"/>
        </w:rPr>
        <w:t xml:space="preserve">1</w:t>
      </w:r>
      <w:r>
        <w:rPr>
          <w:rFonts w:hint="eastAsia" w:ascii="Arial" w:hAnsi="Arial"/>
          <w:b/>
          <w:bCs/>
          <w:sz w:val="32"/>
          <w:szCs w:val="24"/>
          <w:lang w:val="en-US" w:eastAsia="zh-CN"/>
        </w:rPr>
        <w:t xml:space="preserve">0</w:t>
      </w:r>
      <w:r>
        <w:rPr>
          <w:rFonts w:hint="eastAsia" w:ascii="Arial" w:hAnsi="Arial"/>
          <w:b/>
          <w:bCs/>
          <w:sz w:val="32"/>
          <w:szCs w:val="24"/>
        </w:rPr>
        <w:t xml:space="preserve">月</w:t>
      </w: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2</w:t>
      </w:r>
      <w:r>
        <w:rPr>
          <w:rFonts w:ascii="Arial" w:hAnsi="Arial"/>
          <w:b/>
          <w:bCs/>
          <w:sz w:val="32"/>
          <w:szCs w:val="24"/>
        </w:rPr>
        <w:t xml:space="preserve"> </w:t>
      </w:r>
      <w:r>
        <w:rPr>
          <w:rFonts w:hint="eastAsia" w:ascii="Arial" w:hAnsi="Arial"/>
          <w:b/>
          <w:bCs/>
          <w:sz w:val="32"/>
          <w:szCs w:val="24"/>
        </w:rPr>
        <w:t xml:space="preserve">日</w:t>
      </w:r>
      <w:r>
        <w:rPr>
          <w:rFonts w:hint="eastAsia" w:ascii="Arial" w:hAnsi="Arial"/>
          <w:sz w:val="24"/>
          <w:szCs w:val="24"/>
          <w:u w:val="single"/>
        </w:rPr>
      </w:r>
      <w:r/>
    </w:p>
    <w:p>
      <w:pPr>
        <w:pStyle w:val="676"/>
        <w:jc w:val="center"/>
        <w:spacing w:before="120" w:after="120" w:line="360" w:lineRule="auto"/>
        <w:rPr>
          <w:rFonts w:hint="eastAsia" w:ascii="Arial" w:hAnsi="Arial"/>
          <w:sz w:val="24"/>
          <w:szCs w:val="24"/>
        </w:rPr>
      </w:pPr>
      <w:r>
        <w:rPr>
          <w:rFonts w:hint="eastAsia" w:ascii="Arial" w:hAnsi="Arial"/>
          <w:sz w:val="24"/>
          <w:szCs w:val="24"/>
        </w:rPr>
      </w:r>
      <w:r/>
    </w:p>
    <w:p>
      <w:pPr>
        <w:pStyle w:val="676"/>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ascii="黑体" w:hAnsi="Arial" w:eastAsia="黑体"/>
          <w:b/>
          <w:sz w:val="44"/>
          <w:szCs w:val="21"/>
        </w:rPr>
        <w:t xml:space="preserve">总  目  录</w:t>
      </w:r>
      <w:r>
        <w:rPr>
          <w:rFonts w:hint="eastAsia" w:ascii="黑体" w:hAnsi="Arial" w:eastAsia="黑体"/>
          <w:b/>
          <w:sz w:val="44"/>
          <w:szCs w:val="21"/>
        </w:rPr>
      </w:r>
      <w:r/>
    </w:p>
    <w:p>
      <w:pPr>
        <w:pStyle w:val="676"/>
        <w:jc w:val="left"/>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76"/>
        <w:numPr>
          <w:ilvl w:val="0"/>
          <w:numId w:val="4"/>
        </w:numPr>
        <w:jc w:val="left"/>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单一来源采购邀请</w:t>
      </w:r>
      <w:r>
        <w:rPr>
          <w:rFonts w:hint="eastAsia" w:ascii="黑体" w:hAnsi="Showcard Gothic" w:eastAsia="黑体"/>
          <w:sz w:val="32"/>
          <w:szCs w:val="21"/>
        </w:rPr>
      </w:r>
      <w:r/>
    </w:p>
    <w:p>
      <w:pPr>
        <w:pStyle w:val="676"/>
        <w:numPr>
          <w:ilvl w:val="0"/>
          <w:numId w:val="4"/>
        </w:numPr>
        <w:jc w:val="left"/>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21"/>
        </w:rPr>
      </w:r>
      <w:r/>
    </w:p>
    <w:p>
      <w:pPr>
        <w:pStyle w:val="676"/>
        <w:numPr>
          <w:ilvl w:val="0"/>
          <w:numId w:val="4"/>
        </w:numPr>
        <w:jc w:val="left"/>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r>
      <w:r/>
    </w:p>
    <w:p>
      <w:pPr>
        <w:pStyle w:val="676"/>
        <w:numPr>
          <w:ilvl w:val="0"/>
          <w:numId w:val="4"/>
        </w:numPr>
        <w:jc w:val="left"/>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r>
      <w:r/>
    </w:p>
    <w:p>
      <w:pPr>
        <w:pStyle w:val="676"/>
        <w:numPr>
          <w:ilvl w:val="0"/>
          <w:numId w:val="4"/>
        </w:numPr>
        <w:jc w:val="left"/>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r>
      <w:r/>
    </w:p>
    <w:p>
      <w:pPr>
        <w:pStyle w:val="676"/>
        <w:jc w:val="center"/>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ascii="Times New Roman" w:hAnsi="Times New Roman"/>
          <w:szCs w:val="21"/>
        </w:rPr>
      </w:pPr>
      <w:r>
        <w:rPr>
          <w:rFonts w:ascii="Times New Roman" w:hAnsi="Times New Roman"/>
          <w:szCs w:val="21"/>
        </w:rPr>
      </w:r>
      <w:r/>
    </w:p>
    <w:p>
      <w:pPr>
        <w:pStyle w:val="705"/>
        <w:tabs>
          <w:tab w:val="center" w:pos="4201" w:leader="none"/>
          <w:tab w:val="right" w:pos="9298" w:leader="dot"/>
        </w:tabs>
        <w:rPr>
          <w:rFonts w:hint="eastAsia"/>
        </w:rPr>
      </w:pPr>
      <w:r>
        <w:rPr>
          <w:rFonts w:hint="eastAsia"/>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Times New Roman" w:hAnsi="Times New Roman"/>
          <w:szCs w:val="21"/>
        </w:rPr>
      </w:pPr>
      <w:r>
        <w:rPr>
          <w:rFonts w:hint="eastAsia" w:ascii="Times New Roman" w:hAnsi="Times New Roman"/>
          <w:szCs w:val="21"/>
        </w:rPr>
      </w:r>
      <w:r/>
    </w:p>
    <w:p>
      <w:pPr>
        <w:pStyle w:val="676"/>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r>
        <w:rPr>
          <w:rFonts w:hint="eastAsia" w:ascii="黑体" w:hAnsi="Times New Roman" w:eastAsia="黑体"/>
          <w:bCs/>
          <w:sz w:val="44"/>
          <w:szCs w:val="44"/>
        </w:rPr>
      </w:r>
      <w:r/>
    </w:p>
    <w:p>
      <w:pPr>
        <w:pStyle w:val="676"/>
        <w:ind w:firstLine="480"/>
        <w:spacing w:line="360" w:lineRule="auto"/>
        <w:rPr>
          <w:rFonts w:ascii="宋体" w:hAnsi="宋体"/>
          <w:sz w:val="24"/>
          <w:szCs w:val="24"/>
        </w:rPr>
      </w:pPr>
      <w:r>
        <w:rPr>
          <w:rFonts w:hint="eastAsia" w:ascii="宋体" w:hAnsi="宋体"/>
          <w:sz w:val="24"/>
          <w:szCs w:val="24"/>
        </w:rPr>
        <w:t xml:space="preserve">受泰州市数据局的委托，</w:t>
      </w:r>
      <w:r>
        <w:rPr>
          <w:rFonts w:hint="eastAsia" w:ascii="宋体" w:hAnsi="宋体" w:eastAsia="宋体" w:cs="宋体"/>
          <w:color w:val="000000"/>
          <w:sz w:val="24"/>
          <w:szCs w:val="24"/>
        </w:rPr>
        <w:t xml:space="preserve">泰州市政务服务中心</w:t>
      </w:r>
      <w:r>
        <w:rPr>
          <w:rFonts w:hint="eastAsia" w:ascii="宋体" w:hAnsi="宋体"/>
          <w:sz w:val="24"/>
          <w:szCs w:val="24"/>
        </w:rPr>
        <w:t xml:space="preserve">就</w:t>
      </w:r>
      <w:r>
        <w:rPr>
          <w:rFonts w:hint="eastAsia" w:ascii="宋体" w:hAnsi="宋体"/>
          <w:sz w:val="24"/>
          <w:szCs w:val="24"/>
          <w:u w:val="single"/>
        </w:rPr>
        <w:t xml:space="preserve"> </w:t>
      </w:r>
      <w:r>
        <w:rPr>
          <w:rFonts w:ascii="宋体" w:hAnsi="宋体"/>
          <w:sz w:val="24"/>
          <w:szCs w:val="24"/>
          <w:u w:val="single"/>
        </w:rPr>
        <w:t xml:space="preserve"> 2</w:t>
      </w:r>
      <w:r>
        <w:rPr>
          <w:rFonts w:hint="eastAsia" w:ascii="宋体" w:hAnsi="宋体"/>
          <w:sz w:val="24"/>
          <w:szCs w:val="24"/>
          <w:u w:val="single"/>
        </w:rPr>
        <w:t xml:space="preserve">02</w:t>
      </w:r>
      <w:r>
        <w:rPr>
          <w:rFonts w:hint="eastAsia" w:ascii="宋体" w:hAnsi="宋体"/>
          <w:sz w:val="24"/>
          <w:szCs w:val="24"/>
          <w:u w:val="single"/>
          <w:lang w:val="en-US" w:eastAsia="zh-CN"/>
        </w:rPr>
        <w:t xml:space="preserve">6</w:t>
      </w:r>
      <w:r>
        <w:rPr>
          <w:rFonts w:hint="eastAsia" w:ascii="宋体" w:hAnsi="宋体"/>
          <w:sz w:val="24"/>
          <w:szCs w:val="24"/>
          <w:u w:val="single"/>
        </w:rPr>
        <w:t xml:space="preserve">“数字泰州”公共数据综合服务</w:t>
      </w:r>
      <w:r>
        <w:rPr>
          <w:rFonts w:hint="eastAsia" w:ascii="宋体" w:hAnsi="宋体" w:eastAsia="宋体" w:cs="Times New Roman"/>
          <w:sz w:val="24"/>
          <w:szCs w:val="24"/>
          <w:lang w:eastAsia="zh-CN"/>
        </w:rPr>
        <w:t xml:space="preserve">（</w:t>
      </w:r>
      <w:r>
        <w:rPr>
          <w:rFonts w:ascii="Arial" w:hAnsi="Arial"/>
          <w:b/>
          <w:bCs/>
          <w:sz w:val="32"/>
          <w:szCs w:val="24"/>
        </w:rPr>
        <w:t xml:space="preserve"> </w:t>
      </w:r>
      <w:r>
        <w:rPr>
          <w:rFonts w:ascii="Segoe UI" w:hAnsi="Segoe UI" w:eastAsia="Segoe UI" w:cs="Segoe UI"/>
          <w:i w:val="0"/>
          <w:iCs w:val="0"/>
          <w:caps w:val="0"/>
          <w:spacing w:val="0"/>
          <w:sz w:val="21"/>
          <w:szCs w:val="21"/>
          <w:shd w:val="clear" w:color="auto" w:fill="ffffff"/>
        </w:rPr>
        <w:t xml:space="preserve">JSZC-321200-JZCG-D2026-0046 </w:t>
      </w:r>
      <w:r>
        <w:rPr>
          <w:rFonts w:hint="eastAsia" w:ascii="宋体" w:hAnsi="宋体" w:eastAsia="宋体" w:cs="Times New Roman"/>
          <w:sz w:val="24"/>
          <w:szCs w:val="24"/>
          <w:lang w:eastAsia="zh-CN"/>
        </w:rPr>
        <w:t xml:space="preserve">）</w:t>
      </w:r>
      <w:r>
        <w:rPr>
          <w:rFonts w:hint="eastAsia" w:ascii="宋体" w:hAnsi="宋体"/>
          <w:sz w:val="24"/>
          <w:szCs w:val="24"/>
        </w:rPr>
        <w:t xml:space="preserve">项目进行单一来源采购，</w:t>
      </w:r>
      <w:r>
        <w:rPr>
          <w:rFonts w:hint="eastAsia" w:ascii="宋体" w:hAnsi="宋体"/>
          <w:bCs/>
          <w:sz w:val="24"/>
        </w:rPr>
        <w:t xml:space="preserve">欢迎符合相关条件的合格供应商参加采购活动。</w:t>
      </w:r>
      <w:r>
        <w:rPr>
          <w:rFonts w:ascii="宋体" w:hAnsi="宋体"/>
          <w:sz w:val="24"/>
          <w:szCs w:val="24"/>
        </w:rPr>
      </w:r>
      <w:r/>
    </w:p>
    <w:p>
      <w:pPr>
        <w:pStyle w:val="676"/>
        <w:ind w:firstLine="498"/>
        <w:keepLines/>
        <w:keepNext/>
        <w:spacing w:before="145" w:after="145" w:line="360" w:lineRule="auto"/>
        <w:rPr>
          <w:rFonts w:ascii="Times New Roman" w:hAnsi="Times New Roman"/>
          <w:b/>
          <w:bCs/>
          <w:sz w:val="32"/>
          <w:szCs w:val="32"/>
        </w:rPr>
        <w:outlineLvl w:val="2"/>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76"/>
        <w:ind w:firstLine="480"/>
        <w:spacing w:line="360" w:lineRule="auto"/>
        <w:rPr>
          <w:rFonts w:ascii="宋体" w:hAnsi="宋体"/>
          <w:sz w:val="24"/>
          <w:szCs w:val="24"/>
        </w:rPr>
      </w:pPr>
      <w:r>
        <w:rPr>
          <w:rFonts w:hint="eastAsia" w:ascii="宋体" w:hAnsi="宋体"/>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JSZC-321200-JZCG-D2026-0046</w:t>
      </w:r>
      <w:r>
        <w:rPr>
          <w:rFonts w:ascii="宋体" w:hAnsi="宋体"/>
          <w:sz w:val="24"/>
          <w:szCs w:val="24"/>
        </w:rPr>
      </w:r>
      <w:r/>
    </w:p>
    <w:p>
      <w:pPr>
        <w:pStyle w:val="676"/>
        <w:ind w:firstLine="480"/>
        <w:spacing w:line="360" w:lineRule="auto"/>
        <w:rPr>
          <w:rFonts w:ascii="宋体" w:hAnsi="宋体"/>
          <w:sz w:val="24"/>
          <w:szCs w:val="24"/>
        </w:rPr>
      </w:pPr>
      <w:r>
        <w:rPr>
          <w:rFonts w:hint="eastAsia" w:ascii="宋体" w:hAnsi="宋体"/>
          <w:sz w:val="24"/>
          <w:szCs w:val="24"/>
        </w:rPr>
        <w:t xml:space="preserve">2.项目名称：202</w:t>
      </w:r>
      <w:r>
        <w:rPr>
          <w:rFonts w:hint="eastAsia" w:ascii="宋体" w:hAnsi="宋体"/>
          <w:sz w:val="24"/>
          <w:szCs w:val="24"/>
          <w:lang w:val="en-US" w:eastAsia="zh-CN"/>
        </w:rPr>
        <w:t xml:space="preserve">6</w:t>
      </w:r>
      <w:r>
        <w:rPr>
          <w:rFonts w:hint="eastAsia" w:ascii="宋体" w:hAnsi="宋体"/>
          <w:sz w:val="24"/>
          <w:szCs w:val="24"/>
        </w:rPr>
        <w:t xml:space="preserve">“数字泰州”公共数据综合服务</w:t>
      </w:r>
      <w:r>
        <w:rPr>
          <w:rFonts w:ascii="宋体" w:hAnsi="宋体"/>
          <w:sz w:val="24"/>
          <w:szCs w:val="24"/>
        </w:rPr>
        <w:t xml:space="preserve"> </w:t>
      </w:r>
      <w:r>
        <w:rPr>
          <w:rFonts w:ascii="宋体" w:hAnsi="宋体"/>
          <w:sz w:val="24"/>
          <w:szCs w:val="24"/>
        </w:rPr>
      </w:r>
      <w:r/>
    </w:p>
    <w:p>
      <w:pPr>
        <w:pStyle w:val="676"/>
        <w:ind w:firstLine="480"/>
        <w:spacing w:line="360" w:lineRule="auto"/>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lang w:val="en-US" w:eastAsia="zh-CN"/>
        </w:rPr>
        <w:t xml:space="preserve">3552</w:t>
      </w:r>
      <w:r>
        <w:rPr>
          <w:rFonts w:hint="eastAsia" w:ascii="宋体" w:hAnsi="宋体"/>
          <w:sz w:val="24"/>
          <w:szCs w:val="24"/>
        </w:rPr>
        <w:t xml:space="preserve">万元</w:t>
      </w:r>
      <w:r>
        <w:rPr>
          <w:rFonts w:ascii="宋体" w:hAnsi="宋体"/>
          <w:sz w:val="24"/>
          <w:szCs w:val="24"/>
        </w:rPr>
      </w:r>
      <w:r/>
    </w:p>
    <w:p>
      <w:pPr>
        <w:pStyle w:val="67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4.采购需求（简介）：202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数字泰州”公共数据综合服务围绕公共数据生产、管理、使用全生命周期，全方位提升数据流通效率与数据供给质量，通过高质量的数据治理服务，逐步形成协调推进有力、技术体系完善、安全管理有序、制度规范健全的公共数据高质量共享应用新格局，不断增强公共数据共享应用水平，加大公共数据应用创新力度、进一步推进公共数据资源的深度开发利用，为公共数据与社会数据实现深度融合应用，全面赋能经济社会高质量发展提供有力保障。（详见采购文件第四章）</w:t>
      </w:r>
      <w:r>
        <w:rPr>
          <w:rFonts w:hint="eastAsia" w:ascii="宋体" w:hAnsi="宋体"/>
          <w:sz w:val="24"/>
          <w:szCs w:val="24"/>
          <w:highlight w:val="none"/>
        </w:rPr>
      </w:r>
      <w:r/>
    </w:p>
    <w:p>
      <w:pPr>
        <w:pStyle w:val="676"/>
        <w:ind w:firstLine="480"/>
        <w:spacing w:line="360" w:lineRule="auto"/>
        <w:rPr>
          <w:rFonts w:hint="eastAsia" w:ascii="宋体" w:hAnsi="宋体"/>
          <w:sz w:val="24"/>
          <w:szCs w:val="24"/>
        </w:rPr>
      </w:pPr>
      <w:r>
        <w:rPr>
          <w:rFonts w:hint="eastAsia" w:ascii="宋体" w:hAnsi="宋体"/>
          <w:sz w:val="24"/>
          <w:szCs w:val="24"/>
        </w:rPr>
        <w:t xml:space="preserve">5.合同履行期限：合同生效之日起1年。</w:t>
      </w:r>
      <w:r>
        <w:rPr>
          <w:rFonts w:hint="eastAsia" w:ascii="宋体" w:hAnsi="宋体"/>
          <w:sz w:val="24"/>
          <w:szCs w:val="24"/>
        </w:rPr>
      </w:r>
      <w:r/>
    </w:p>
    <w:p>
      <w:pPr>
        <w:pStyle w:val="676"/>
        <w:ind w:firstLine="498"/>
        <w:keepLines/>
        <w:keepNext/>
        <w:spacing w:before="145" w:after="145" w:line="360" w:lineRule="auto"/>
        <w:rPr>
          <w:rFonts w:ascii="Times New Roman" w:hAnsi="Times New Roman"/>
          <w:b/>
          <w:bCs/>
          <w:sz w:val="32"/>
          <w:szCs w:val="32"/>
        </w:rPr>
        <w:outlineLvl w:val="2"/>
      </w:pPr>
      <w:r/>
      <w:bookmarkStart w:id="12" w:name="_Toc28359003"/>
      <w:r/>
      <w:bookmarkStart w:id="13" w:name="_Toc28359080"/>
      <w:r/>
      <w:bookmarkStart w:id="14" w:name="_Toc35393622"/>
      <w:r/>
      <w:bookmarkStart w:id="15" w:name="_Toc35393791"/>
      <w:r/>
      <w:bookmarkStart w:id="16" w:name="_Toc38985264"/>
      <w:r>
        <w:rPr>
          <w:rFonts w:hint="eastAsia" w:ascii="Times New Roman" w:hAnsi="Times New Roman"/>
          <w:b/>
          <w:bCs/>
          <w:sz w:val="32"/>
          <w:szCs w:val="32"/>
        </w:rPr>
        <w:t xml:space="preserve">二、</w:t>
      </w:r>
      <w:bookmarkEnd w:id="12"/>
      <w:r/>
      <w:bookmarkEnd w:id="13"/>
      <w:r/>
      <w:bookmarkEnd w:id="14"/>
      <w:r/>
      <w:bookmarkEnd w:id="15"/>
      <w:r/>
      <w:bookmarkEnd w:id="16"/>
      <w:r>
        <w:rPr>
          <w:rFonts w:hint="eastAsia" w:ascii="Times New Roman" w:hAnsi="Times New Roman"/>
          <w:b/>
          <w:bCs/>
          <w:sz w:val="32"/>
          <w:szCs w:val="32"/>
        </w:rPr>
        <w:t xml:space="preserve">合格单一来源供应商资格要求</w:t>
      </w:r>
      <w:r>
        <w:rPr>
          <w:rFonts w:ascii="Times New Roman" w:hAnsi="Times New Roman"/>
          <w:b/>
          <w:bCs/>
          <w:sz w:val="32"/>
          <w:szCs w:val="32"/>
        </w:rPr>
      </w:r>
      <w:r/>
    </w:p>
    <w:p>
      <w:pPr>
        <w:pStyle w:val="676"/>
        <w:ind w:firstLine="480"/>
        <w:rPr>
          <w:rFonts w:hint="eastAsia" w:ascii="宋体" w:hAnsi="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76"/>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76"/>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676"/>
        <w:ind w:firstLine="480"/>
        <w:rPr>
          <w:rFonts w:ascii="宋体" w:hAnsi="宋体"/>
          <w:sz w:val="24"/>
          <w:szCs w:val="24"/>
        </w:rPr>
      </w:pPr>
      <w:r>
        <w:rPr>
          <w:rFonts w:hint="eastAsia" w:ascii="宋体" w:hAnsi="宋体"/>
          <w:sz w:val="24"/>
          <w:szCs w:val="24"/>
        </w:rPr>
        <w:t xml:space="preserve">1.2近2年任一年度的财务状况报告（成立不满一年无需提供）；</w:t>
      </w:r>
      <w:r>
        <w:rPr>
          <w:rFonts w:ascii="宋体" w:hAnsi="宋体"/>
          <w:sz w:val="24"/>
          <w:szCs w:val="24"/>
        </w:rPr>
      </w:r>
      <w:r/>
    </w:p>
    <w:p>
      <w:pPr>
        <w:pStyle w:val="676"/>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676"/>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676"/>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676"/>
        <w:ind w:firstLine="480"/>
        <w:rPr>
          <w:rFonts w:hint="eastAsia" w:ascii="宋体" w:hAnsi="宋体"/>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sz w:val="24"/>
          <w:szCs w:val="24"/>
        </w:rPr>
      </w:r>
      <w:r/>
    </w:p>
    <w:p>
      <w:pPr>
        <w:pStyle w:val="676"/>
        <w:ind w:firstLine="480"/>
        <w:rPr>
          <w:rFonts w:hint="eastAsia" w:ascii="宋体" w:hAnsi="宋体"/>
          <w:sz w:val="24"/>
          <w:szCs w:val="24"/>
        </w:rPr>
      </w:pPr>
      <w:r>
        <w:rPr>
          <w:rFonts w:hint="eastAsia" w:ascii="宋体" w:hAnsi="宋体"/>
          <w:sz w:val="24"/>
          <w:szCs w:val="24"/>
        </w:rPr>
        <w:t xml:space="preserve">3.落实政府采购政策需满足的资格要求：无 </w:t>
      </w:r>
      <w:r>
        <w:rPr>
          <w:rFonts w:hint="eastAsia" w:ascii="宋体" w:hAnsi="宋体"/>
          <w:sz w:val="24"/>
          <w:szCs w:val="24"/>
        </w:rPr>
      </w:r>
      <w:r/>
    </w:p>
    <w:p>
      <w:pPr>
        <w:pStyle w:val="676"/>
        <w:ind w:firstLine="480"/>
        <w:spacing w:line="360" w:lineRule="auto"/>
        <w:rPr>
          <w:rFonts w:hint="eastAsia" w:ascii="宋体" w:hAnsi="宋体"/>
          <w:sz w:val="24"/>
          <w:szCs w:val="24"/>
          <w:u w:val="single"/>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联合体参与单一来源采购活动。</w:t>
      </w:r>
      <w:r>
        <w:rPr>
          <w:rFonts w:hint="eastAsia" w:ascii="宋体" w:hAnsi="宋体"/>
          <w:sz w:val="24"/>
          <w:szCs w:val="24"/>
          <w:u w:val="single"/>
        </w:rPr>
      </w:r>
      <w:r/>
    </w:p>
    <w:p>
      <w:pPr>
        <w:pStyle w:val="676"/>
        <w:ind w:firstLine="480"/>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676"/>
        <w:ind w:firstLine="498"/>
        <w:keepLines/>
        <w:keepNext/>
        <w:spacing w:before="145" w:after="145"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35393793"/>
      <w:r/>
      <w:bookmarkStart w:id="24" w:name="_Toc35393624"/>
      <w:r/>
      <w:bookmarkStart w:id="25" w:name="_Toc38985266"/>
      <w:r/>
      <w:bookmarkStart w:id="26" w:name="_Toc28359005"/>
      <w:r>
        <w:rPr>
          <w:rFonts w:hint="eastAsia" w:ascii="Times New Roman" w:hAnsi="Times New Roman"/>
          <w:b/>
          <w:bCs/>
          <w:sz w:val="32"/>
          <w:szCs w:val="32"/>
        </w:rPr>
        <w:t xml:space="preserve">三、提交</w:t>
      </w:r>
      <w:bookmarkEnd w:id="22"/>
      <w:r/>
      <w:bookmarkEnd w:id="26"/>
      <w:r>
        <w:rPr>
          <w:rFonts w:hint="eastAsia" w:ascii="Times New Roman" w:hAnsi="Times New Roman"/>
          <w:b/>
          <w:bCs/>
          <w:sz w:val="32"/>
          <w:szCs w:val="32"/>
        </w:rPr>
        <w:t xml:space="preserve">响应文件截止时间</w:t>
      </w:r>
      <w:bookmarkEnd w:id="23"/>
      <w:r/>
      <w:bookmarkEnd w:id="24"/>
      <w:r/>
      <w:bookmarkEnd w:id="25"/>
      <w:r>
        <w:rPr>
          <w:rFonts w:ascii="Times New Roman" w:hAnsi="Times New Roman"/>
          <w:b/>
          <w:bCs/>
          <w:sz w:val="32"/>
          <w:szCs w:val="32"/>
        </w:rPr>
      </w:r>
      <w:r/>
    </w:p>
    <w:p>
      <w:pPr>
        <w:pStyle w:val="676"/>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 202</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年 </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 月</w:t>
      </w:r>
      <w:r>
        <w:rPr>
          <w:rFonts w:hint="eastAsia" w:ascii="宋体" w:hAnsi="宋体" w:eastAsia="宋体" w:cs="Times New Roman"/>
          <w:sz w:val="24"/>
          <w:szCs w:val="24"/>
          <w:lang w:val="en-US" w:eastAsia="zh-CN"/>
        </w:rPr>
        <w:t xml:space="preserve">27</w:t>
      </w:r>
      <w:r>
        <w:rPr>
          <w:rFonts w:hint="eastAsia" w:ascii="宋体" w:hAnsi="宋体" w:eastAsia="宋体" w:cs="Times New Roman"/>
          <w:sz w:val="24"/>
          <w:szCs w:val="24"/>
        </w:rPr>
        <w:t xml:space="preserve"> 日 </w:t>
      </w: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点 </w:t>
      </w:r>
      <w:r>
        <w:rPr>
          <w:rFonts w:hint="eastAsia" w:ascii="宋体" w:hAnsi="宋体" w:eastAsia="宋体" w:cs="Times New Roman"/>
          <w:sz w:val="24"/>
          <w:szCs w:val="24"/>
          <w:lang w:val="en-US" w:eastAsia="zh-CN"/>
        </w:rPr>
        <w:t xml:space="preserve">30</w:t>
      </w:r>
      <w:r>
        <w:rPr>
          <w:rFonts w:hint="eastAsia" w:ascii="宋体" w:hAnsi="宋体" w:eastAsia="宋体" w:cs="Times New Roman"/>
          <w:sz w:val="24"/>
          <w:szCs w:val="24"/>
        </w:rPr>
        <w:t xml:space="preserve"> 分（北京时间）。</w:t>
      </w:r>
      <w:r>
        <w:rPr>
          <w:rFonts w:hint="eastAsia" w:ascii="宋体" w:hAnsi="宋体" w:eastAsia="宋体" w:cs="Times New Roman"/>
          <w:sz w:val="24"/>
          <w:szCs w:val="24"/>
        </w:rPr>
      </w:r>
      <w:r/>
    </w:p>
    <w:p>
      <w:pPr>
        <w:pStyle w:val="676"/>
        <w:ind w:firstLine="498"/>
        <w:keepLines/>
        <w:keepNext/>
        <w:spacing w:before="145" w:after="145" w:line="360" w:lineRule="auto"/>
        <w:rPr>
          <w:rFonts w:ascii="Times New Roman" w:hAnsi="Times New Roman"/>
          <w:b/>
          <w:bCs/>
          <w:sz w:val="32"/>
          <w:szCs w:val="32"/>
        </w:rPr>
        <w:outlineLvl w:val="2"/>
      </w:pPr>
      <w:r/>
      <w:bookmarkStart w:id="27" w:name="_Toc35393796"/>
      <w:r/>
      <w:bookmarkStart w:id="28" w:name="_Toc35393627"/>
      <w:r/>
      <w:bookmarkStart w:id="29" w:name="_Toc28359085"/>
      <w:r/>
      <w:bookmarkStart w:id="30" w:name="_Toc38985269"/>
      <w:r/>
      <w:bookmarkStart w:id="31" w:name="_Toc28359008"/>
      <w:r>
        <w:rPr>
          <w:rFonts w:hint="eastAsia" w:ascii="Times New Roman" w:hAnsi="Times New Roman"/>
          <w:b/>
          <w:bCs/>
          <w:sz w:val="32"/>
          <w:szCs w:val="32"/>
        </w:rPr>
        <w:t xml:space="preserve">四、本次单一来源采购联系方式</w:t>
      </w:r>
      <w:bookmarkEnd w:id="27"/>
      <w:r/>
      <w:bookmarkEnd w:id="28"/>
      <w:r/>
      <w:bookmarkEnd w:id="29"/>
      <w:r/>
      <w:bookmarkEnd w:id="30"/>
      <w:r/>
      <w:bookmarkEnd w:id="31"/>
      <w:r>
        <w:rPr>
          <w:rFonts w:ascii="Times New Roman" w:hAnsi="Times New Roman"/>
          <w:b/>
          <w:bCs/>
          <w:sz w:val="32"/>
          <w:szCs w:val="32"/>
        </w:rPr>
      </w:r>
      <w:r/>
    </w:p>
    <w:p>
      <w:pPr>
        <w:pStyle w:val="67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7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泰州市数据局</w:t>
      </w:r>
      <w:r>
        <w:rPr>
          <w:rFonts w:ascii="宋体" w:hAnsi="宋体"/>
          <w:sz w:val="24"/>
          <w:szCs w:val="24"/>
          <w:u w:val="single"/>
        </w:rPr>
        <w:t xml:space="preserve"> </w:t>
      </w:r>
      <w:r>
        <w:rPr>
          <w:rFonts w:ascii="宋体" w:hAnsi="宋体"/>
          <w:sz w:val="24"/>
          <w:szCs w:val="24"/>
        </w:rPr>
      </w:r>
      <w:r/>
    </w:p>
    <w:p>
      <w:pPr>
        <w:pStyle w:val="676"/>
        <w:ind w:left="1079" w:hanging="300"/>
        <w:jc w:val="left"/>
        <w:spacing w:line="360" w:lineRule="auto"/>
        <w:rPr>
          <w:rFonts w:ascii="宋体" w:hAnsi="宋体"/>
          <w:sz w:val="24"/>
          <w:szCs w:val="24"/>
          <w:u w:val="single"/>
        </w:rPr>
      </w:pPr>
      <w:r>
        <w:rPr>
          <w:rFonts w:hint="eastAsia" w:ascii="宋体" w:hAnsi="宋体"/>
          <w:sz w:val="24"/>
          <w:szCs w:val="24"/>
        </w:rPr>
        <w:t xml:space="preserve">地址 </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泰州市泰州大道388号</w:t>
      </w:r>
      <w:r>
        <w:rPr>
          <w:rFonts w:ascii="宋体" w:hAnsi="宋体"/>
          <w:sz w:val="24"/>
          <w:szCs w:val="24"/>
          <w:u w:val="single"/>
        </w:rPr>
        <w:t xml:space="preserve"> </w:t>
      </w:r>
      <w:r>
        <w:rPr>
          <w:rFonts w:ascii="宋体" w:hAnsi="宋体"/>
          <w:sz w:val="24"/>
          <w:szCs w:val="24"/>
          <w:u w:val="single"/>
        </w:rPr>
      </w:r>
      <w:r/>
    </w:p>
    <w:p>
      <w:pPr>
        <w:pStyle w:val="676"/>
        <w:ind w:firstLine="720"/>
        <w:rPr>
          <w:rFonts w:hint="eastAsia" w:ascii="宋体" w:hAnsi="宋体" w:eastAsia="宋体" w:cs="Times New Roman"/>
          <w:sz w:val="24"/>
          <w:szCs w:val="24"/>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lang w:val="en-US" w:eastAsia="zh-CN"/>
        </w:rPr>
        <w:t xml:space="preserve">陈先生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676"/>
        <w:ind w:firstLine="720"/>
        <w:rPr>
          <w:rFonts w:ascii="宋体" w:hAnsi="宋体"/>
          <w:sz w:val="24"/>
          <w:szCs w:val="24"/>
          <w:u w:val="single"/>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lang w:val="en-US" w:eastAsia="zh-CN"/>
        </w:rPr>
        <w:t xml:space="preserve">0523-86897685</w:t>
      </w:r>
      <w:r>
        <w:rPr>
          <w:rFonts w:hint="eastAsia" w:ascii="宋体" w:hAnsi="宋体" w:eastAsia="宋体" w:cs="Times New Roman"/>
          <w:sz w:val="24"/>
          <w:szCs w:val="24"/>
          <w:u w:val="single"/>
        </w:rPr>
        <w:t xml:space="preserve">    </w:t>
      </w:r>
      <w:bookmarkStart w:id="32" w:name="_Toc28359086"/>
      <w:r/>
      <w:bookmarkStart w:id="33" w:name="_Toc28359009"/>
      <w:r>
        <w:rPr>
          <w:rFonts w:ascii="宋体" w:hAnsi="宋体"/>
          <w:sz w:val="24"/>
          <w:szCs w:val="24"/>
          <w:u w:val="single"/>
        </w:rPr>
      </w:r>
      <w:r/>
    </w:p>
    <w:p>
      <w:pPr>
        <w:pStyle w:val="676"/>
        <w:numPr>
          <w:ilvl w:val="0"/>
          <w:numId w:val="5"/>
        </w:numPr>
        <w:ind w:left="1079" w:hanging="300"/>
        <w:jc w:val="left"/>
        <w:spacing w:line="360" w:lineRule="auto"/>
        <w:tabs>
          <w:tab w:val="left" w:pos="312" w:leader="none"/>
        </w:tabs>
        <w:rPr>
          <w:rFonts w:hint="eastAsia" w:ascii="宋体" w:hAnsi="宋体" w:cs="宋体"/>
          <w:sz w:val="24"/>
          <w:szCs w:val="24"/>
        </w:rPr>
      </w:pPr>
      <w:r/>
      <w:bookmarkEnd w:id="32"/>
      <w:r/>
      <w:bookmarkEnd w:id="33"/>
      <w:r>
        <w:rPr>
          <w:rFonts w:hint="eastAsia" w:ascii="宋体" w:hAnsi="宋体" w:cs="宋体"/>
          <w:sz w:val="24"/>
          <w:szCs w:val="24"/>
        </w:rPr>
        <w:t xml:space="preserve">采购代理机构信息</w:t>
      </w:r>
      <w:r>
        <w:rPr>
          <w:rFonts w:hint="eastAsia" w:ascii="宋体" w:hAnsi="宋体" w:cs="宋体"/>
          <w:sz w:val="24"/>
          <w:szCs w:val="24"/>
        </w:rPr>
      </w:r>
      <w:r/>
    </w:p>
    <w:p>
      <w:pPr>
        <w:pStyle w:val="676"/>
        <w:ind w:left="1079" w:hanging="300"/>
        <w:jc w:val="left"/>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eastAsia="宋体" w:cs="宋体"/>
          <w:color w:val="000000"/>
          <w:sz w:val="24"/>
          <w:szCs w:val="24"/>
        </w:rPr>
        <w:t xml:space="preserve">泰州市政务服务中心信息</w:t>
      </w:r>
      <w:r>
        <w:rPr>
          <w:rFonts w:hint="eastAsia" w:ascii="宋体" w:hAnsi="宋体"/>
          <w:sz w:val="24"/>
          <w:szCs w:val="24"/>
        </w:rPr>
      </w:r>
      <w:r/>
    </w:p>
    <w:p>
      <w:pPr>
        <w:pStyle w:val="676"/>
        <w:ind w:firstLine="72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 xml:space="preserve">泰州市泰州大道388号</w:t>
      </w:r>
      <w:r>
        <w:rPr>
          <w:rFonts w:hint="eastAsia" w:ascii="宋体" w:hAnsi="宋体"/>
          <w:sz w:val="24"/>
          <w:szCs w:val="24"/>
          <w:u w:val="single"/>
        </w:rPr>
      </w:r>
      <w:r/>
    </w:p>
    <w:p>
      <w:pPr>
        <w:pStyle w:val="676"/>
        <w:ind w:firstLine="720"/>
        <w:rPr>
          <w:rFonts w:hint="eastAsia" w:ascii="宋体" w:hAnsi="宋体" w:eastAsia="宋体" w:cs="Times New Roman"/>
          <w:sz w:val="24"/>
          <w:szCs w:val="24"/>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褚女士</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676"/>
        <w:ind w:firstLine="720"/>
        <w:rPr>
          <w:rFonts w:ascii="宋体" w:hAnsi="宋体"/>
          <w:sz w:val="24"/>
          <w:szCs w:val="24"/>
          <w:u w:val="single"/>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18061001525</w:t>
      </w:r>
      <w:r>
        <w:rPr>
          <w:rFonts w:hint="eastAsia" w:ascii="宋体" w:hAnsi="宋体" w:eastAsia="宋体" w:cs="Times New Roman"/>
          <w:sz w:val="24"/>
          <w:szCs w:val="24"/>
          <w:u w:val="single"/>
        </w:rPr>
        <w:t xml:space="preserve">  </w:t>
      </w:r>
      <w:r>
        <w:rPr>
          <w:rFonts w:ascii="宋体" w:hAnsi="宋体"/>
          <w:sz w:val="24"/>
          <w:szCs w:val="24"/>
          <w:u w:val="single"/>
        </w:rPr>
      </w:r>
      <w:r/>
    </w:p>
    <w:p>
      <w:pPr>
        <w:pStyle w:val="676"/>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676"/>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676"/>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潜在供应商登录“江苏省政府采购管理交易系统（苏采云）”须持经注册的CA证书。未注册、领取CA和办理电子签章的潜在供应商，请至泰州市高港区泰州大道388号(中国医药城会展交易中心W3馆西南角)</w:t>
      </w:r>
      <w:r>
        <w:rPr>
          <w:rFonts w:hint="eastAsia" w:ascii="宋体" w:hAnsi="宋体" w:eastAsia="宋体" w:cs="宋体"/>
          <w:color w:val="000000"/>
          <w:sz w:val="24"/>
          <w:szCs w:val="24"/>
        </w:rPr>
        <w:t xml:space="preserve">泰州市政务服务中心</w:t>
      </w:r>
      <w:r>
        <w:rPr>
          <w:rFonts w:hint="eastAsia" w:ascii="宋体" w:hAnsi="宋体"/>
          <w:bCs/>
          <w:sz w:val="24"/>
          <w:szCs w:val="24"/>
        </w:rPr>
        <w:t xml:space="preserve">大厅政务CA窗口办理，电话：0523-81568158。</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2.本项目采用全流程电子化，供应商应根据《江苏省政府采购管理交易系统（苏采云）供应商操作手册》（“泰州市政府采购网—下载中心”下载）规定，制作、上传电子响应文件（技术支持电话：0523-87633965、0523-86897512；客服QQ709339244、QQ：1810179072）。</w:t>
      </w:r>
      <w:r>
        <w:rPr>
          <w:rFonts w:hint="eastAsia" w:ascii="宋体" w:hAnsi="宋体"/>
          <w:bCs/>
          <w:sz w:val="24"/>
          <w:szCs w:val="24"/>
        </w:rPr>
      </w:r>
      <w:r/>
    </w:p>
    <w:p>
      <w:pPr>
        <w:pStyle w:val="676"/>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3.有关本次采购的事项若存在变动或修改，敬请及时关注“江苏政府采购网”发布的更正公告。</w:t>
      </w:r>
      <w:r>
        <w:rPr>
          <w:rFonts w:hint="eastAsia" w:ascii="宋体" w:hAnsi="宋体"/>
          <w:bCs/>
          <w:sz w:val="24"/>
          <w:szCs w:val="24"/>
        </w:rPr>
      </w:r>
      <w:r/>
    </w:p>
    <w:p>
      <w:pPr>
        <w:pStyle w:val="676"/>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如潜在供应商未按上述要求操作，将自行承担所产生的风险。</w:t>
      </w:r>
      <w:r>
        <w:rPr>
          <w:rFonts w:ascii="宋体" w:hAnsi="宋体"/>
          <w:bCs/>
          <w:sz w:val="24"/>
          <w:szCs w:val="24"/>
        </w:rPr>
      </w:r>
      <w:r/>
    </w:p>
    <w:p>
      <w:pPr>
        <w:pStyle w:val="676"/>
        <w:ind w:firstLine="480"/>
        <w:spacing w:line="5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rPr>
          <w:rFonts w:hint="eastAsia" w:ascii="宋体" w:hAnsi="宋体"/>
          <w:bCs/>
          <w:sz w:val="24"/>
          <w:szCs w:val="24"/>
        </w:rPr>
      </w:r>
      <w:r/>
    </w:p>
    <w:p>
      <w:pPr>
        <w:pStyle w:val="676"/>
        <w:ind w:right="840"/>
        <w:rPr>
          <w:rFonts w:hint="eastAsia" w:ascii="宋体" w:hAnsi="宋体"/>
          <w:sz w:val="24"/>
          <w:szCs w:val="24"/>
        </w:rPr>
      </w:pPr>
      <w:r>
        <w:rPr>
          <w:rFonts w:hint="eastAsia" w:ascii="宋体" w:hAnsi="宋体"/>
          <w:sz w:val="24"/>
          <w:szCs w:val="24"/>
        </w:rPr>
      </w:r>
      <w:r/>
    </w:p>
    <w:p>
      <w:pPr>
        <w:pStyle w:val="676"/>
        <w:ind w:right="840"/>
        <w:rPr>
          <w:rFonts w:hint="eastAsia" w:ascii="宋体" w:hAnsi="宋体"/>
          <w:sz w:val="24"/>
          <w:szCs w:val="24"/>
        </w:rPr>
      </w:pPr>
      <w:r>
        <w:rPr>
          <w:rFonts w:hint="eastAsia" w:ascii="宋体" w:hAnsi="宋体"/>
          <w:sz w:val="24"/>
          <w:szCs w:val="24"/>
        </w:rPr>
      </w:r>
      <w:r/>
    </w:p>
    <w:p>
      <w:pPr>
        <w:pStyle w:val="676"/>
        <w:ind w:right="840"/>
        <w:rPr>
          <w:rFonts w:hint="eastAsia" w:ascii="宋体" w:hAnsi="宋体"/>
          <w:sz w:val="24"/>
          <w:szCs w:val="24"/>
        </w:rPr>
      </w:pPr>
      <w:r>
        <w:rPr>
          <w:rFonts w:hint="eastAsia" w:ascii="宋体" w:hAnsi="宋体"/>
          <w:sz w:val="24"/>
          <w:szCs w:val="24"/>
        </w:rPr>
      </w:r>
      <w:r/>
    </w:p>
    <w:p>
      <w:pPr>
        <w:pStyle w:val="676"/>
        <w:jc w:val="center"/>
        <w:keepLines/>
        <w:keepNext/>
        <w:spacing w:before="260" w:after="260" w:line="416" w:lineRule="auto"/>
        <w:rPr>
          <w:rFonts w:hint="eastAsia" w:ascii="黑体" w:hAnsi="Arial" w:eastAsia="黑体" w:cs="Arial"/>
          <w:sz w:val="44"/>
          <w:szCs w:val="44"/>
        </w:rPr>
        <w:outlineLvl w:val="1"/>
      </w:pPr>
      <w:r/>
      <w:bookmarkStart w:id="34" w:name="_Toc120614211"/>
      <w:r>
        <w:rPr>
          <w:rFonts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1"/>
      <w:r/>
      <w:bookmarkEnd w:id="2"/>
      <w:r/>
      <w:bookmarkEnd w:id="3"/>
      <w:r/>
      <w:bookmarkEnd w:id="4"/>
      <w:r/>
      <w:bookmarkEnd w:id="5"/>
      <w:r/>
      <w:bookmarkEnd w:id="3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76"/>
        <w:ind w:firstLine="498"/>
        <w:keepLines/>
        <w:keepNext/>
        <w:spacing w:before="145" w:after="145" w:line="360" w:lineRule="auto"/>
        <w:rPr>
          <w:rFonts w:hint="eastAsia" w:ascii="Times New Roman" w:hAnsi="Times New Roman"/>
          <w:b/>
          <w:bCs/>
          <w:sz w:val="32"/>
          <w:szCs w:val="32"/>
        </w:rPr>
        <w:outlineLvl w:val="2"/>
      </w:pPr>
      <w:r/>
      <w:bookmarkStart w:id="35" w:name="_Toc16938519"/>
      <w:r/>
      <w:bookmarkStart w:id="36" w:name="_Toc20823275"/>
      <w:r/>
      <w:bookmarkStart w:id="37" w:name="_Toc120614214"/>
      <w:r/>
      <w:bookmarkStart w:id="38" w:name="_Toc513029203"/>
      <w:r>
        <w:rPr>
          <w:rFonts w:hint="eastAsia" w:ascii="Times New Roman" w:hAnsi="Times New Roman"/>
          <w:b/>
          <w:bCs/>
          <w:sz w:val="32"/>
          <w:szCs w:val="32"/>
        </w:rPr>
        <w:t xml:space="preserve">一、总则</w:t>
      </w:r>
      <w:bookmarkEnd w:id="35"/>
      <w:r/>
      <w:bookmarkEnd w:id="36"/>
      <w:r/>
      <w:bookmarkEnd w:id="37"/>
      <w:r/>
      <w:bookmarkEnd w:id="38"/>
      <w:r>
        <w:rPr>
          <w:rFonts w:hint="eastAsia" w:ascii="Times New Roman" w:hAnsi="Times New Roman"/>
          <w:b/>
          <w:bCs/>
          <w:sz w:val="32"/>
          <w:szCs w:val="32"/>
        </w:rPr>
      </w:r>
      <w:r/>
    </w:p>
    <w:p>
      <w:pPr>
        <w:pStyle w:val="676"/>
        <w:ind w:firstLine="420"/>
        <w:keepLines/>
        <w:keepNext/>
        <w:rPr>
          <w:rFonts w:hint="eastAsia" w:ascii="Arial" w:hAnsi="Arial" w:eastAsia="黑体" w:cs="Arial"/>
          <w:sz w:val="28"/>
          <w:szCs w:val="28"/>
        </w:rPr>
        <w:outlineLvl w:val="3"/>
      </w:pPr>
      <w:r/>
      <w:bookmarkStart w:id="39" w:name="_Hlt16619475"/>
      <w:r/>
      <w:bookmarkEnd w:id="39"/>
      <w:r/>
      <w:bookmarkStart w:id="40" w:name="_Toc458694821"/>
      <w:r/>
      <w:bookmarkStart w:id="41" w:name="_Toc513029204"/>
      <w:r/>
      <w:bookmarkStart w:id="42" w:name="_Toc16938520"/>
      <w:r/>
      <w:bookmarkStart w:id="43" w:name="_Toc20823276"/>
      <w:r>
        <w:rPr>
          <w:rFonts w:hint="eastAsia" w:ascii="Arial" w:hAnsi="Arial" w:eastAsia="黑体" w:cs="Arial"/>
          <w:sz w:val="28"/>
          <w:szCs w:val="28"/>
        </w:rPr>
        <w:t xml:space="preserve">1</w:t>
      </w:r>
      <w:bookmarkEnd w:id="40"/>
      <w:r>
        <w:rPr>
          <w:rFonts w:hint="eastAsia" w:ascii="Arial" w:hAnsi="Arial" w:eastAsia="黑体" w:cs="Arial"/>
          <w:sz w:val="28"/>
          <w:szCs w:val="28"/>
        </w:rPr>
        <w:t xml:space="preserve">、采购方式</w:t>
      </w:r>
      <w:bookmarkEnd w:id="41"/>
      <w:r/>
      <w:bookmarkEnd w:id="42"/>
      <w:r/>
      <w:bookmarkEnd w:id="43"/>
      <w:r>
        <w:rPr>
          <w:rFonts w:hint="eastAsia" w:ascii="Arial" w:hAnsi="Arial" w:eastAsia="黑体" w:cs="Arial"/>
          <w:sz w:val="28"/>
          <w:szCs w:val="28"/>
        </w:rPr>
      </w:r>
      <w:r/>
    </w:p>
    <w:p>
      <w:pPr>
        <w:pStyle w:val="676"/>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rPr>
          <w:rFonts w:hint="eastAsia" w:ascii="宋体" w:hAnsi="宋体"/>
          <w:sz w:val="24"/>
          <w:szCs w:val="21"/>
        </w:rPr>
      </w:r>
      <w:r/>
    </w:p>
    <w:p>
      <w:pPr>
        <w:pStyle w:val="676"/>
        <w:ind w:firstLine="420"/>
        <w:keepLines/>
        <w:keepNext/>
        <w:rPr>
          <w:rFonts w:hint="eastAsia" w:ascii="Arial" w:hAnsi="Arial" w:eastAsia="黑体" w:cs="Arial"/>
          <w:sz w:val="28"/>
          <w:szCs w:val="28"/>
        </w:rPr>
        <w:outlineLvl w:val="3"/>
      </w:pPr>
      <w:r/>
      <w:bookmarkStart w:id="44" w:name="_Toc16938521"/>
      <w:r/>
      <w:bookmarkStart w:id="45" w:name="_Toc20823277"/>
      <w:r/>
      <w:bookmarkStart w:id="46" w:name="_Toc513029205"/>
      <w:r>
        <w:rPr>
          <w:rFonts w:hint="eastAsia" w:ascii="Arial" w:hAnsi="Arial" w:eastAsia="黑体" w:cs="Arial"/>
          <w:sz w:val="28"/>
          <w:szCs w:val="28"/>
        </w:rPr>
        <w:t xml:space="preserve">2、合格的</w:t>
      </w:r>
      <w:bookmarkEnd w:id="44"/>
      <w:r/>
      <w:bookmarkEnd w:id="45"/>
      <w:r/>
      <w:bookmarkEnd w:id="4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676"/>
        <w:ind w:firstLine="480"/>
        <w:spacing w:line="400" w:lineRule="exact"/>
        <w:rPr>
          <w:rFonts w:hint="eastAsia" w:ascii="Times New Roman" w:hAnsi="Times New Roman"/>
          <w:sz w:val="24"/>
          <w:szCs w:val="24"/>
        </w:rPr>
      </w:pPr>
      <w:r/>
      <w:bookmarkStart w:id="47" w:name="_Toc16938522"/>
      <w:r/>
      <w:bookmarkStart w:id="48" w:name="_Toc513029206"/>
      <w:r/>
      <w:bookmarkStart w:id="49" w:name="_Toc20823278"/>
      <w:r>
        <w:rPr>
          <w:rFonts w:hint="eastAsia" w:ascii="Times New Roman" w:hAnsi="Times New Roman"/>
          <w:sz w:val="24"/>
          <w:szCs w:val="24"/>
        </w:rPr>
        <w:t xml:space="preserve">2. 1 满足采购文件中合格单一来源供应商资格要求的规定。</w:t>
      </w:r>
      <w:r>
        <w:rPr>
          <w:rFonts w:hint="eastAsia" w:ascii="Times New Roman" w:hAnsi="Times New Roman"/>
          <w:sz w:val="24"/>
          <w:szCs w:val="24"/>
        </w:rPr>
      </w:r>
      <w:r/>
    </w:p>
    <w:p>
      <w:pPr>
        <w:pStyle w:val="676"/>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47"/>
      <w:r/>
      <w:bookmarkEnd w:id="48"/>
      <w:r/>
      <w:bookmarkEnd w:id="49"/>
      <w:r>
        <w:rPr>
          <w:rFonts w:hint="eastAsia" w:ascii="Arial" w:hAnsi="Arial" w:eastAsia="黑体" w:cs="Arial"/>
          <w:sz w:val="28"/>
          <w:szCs w:val="28"/>
        </w:rPr>
      </w:r>
      <w:r/>
    </w:p>
    <w:p>
      <w:pPr>
        <w:pStyle w:val="676"/>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76"/>
        <w:ind w:firstLine="420"/>
        <w:keepLines/>
        <w:keepNext/>
        <w:rPr>
          <w:rFonts w:hint="eastAsia" w:ascii="Arial" w:hAnsi="Arial" w:eastAsia="黑体" w:cs="Arial"/>
          <w:sz w:val="28"/>
          <w:szCs w:val="28"/>
        </w:rPr>
        <w:outlineLvl w:val="3"/>
      </w:pPr>
      <w:r/>
      <w:bookmarkStart w:id="50" w:name="_Toc16938523"/>
      <w:r/>
      <w:bookmarkStart w:id="51" w:name="_Toc462564067"/>
      <w:r/>
      <w:bookmarkStart w:id="52" w:name="_Toc20823279"/>
      <w:r/>
      <w:bookmarkStart w:id="53" w:name="_Toc513029207"/>
      <w:r>
        <w:rPr>
          <w:rFonts w:hint="eastAsia" w:ascii="Arial" w:hAnsi="Arial" w:eastAsia="黑体" w:cs="Arial"/>
          <w:sz w:val="28"/>
          <w:szCs w:val="28"/>
        </w:rPr>
        <w:t xml:space="preserve">4、相关费用</w:t>
      </w:r>
      <w:bookmarkEnd w:id="50"/>
      <w:r/>
      <w:bookmarkEnd w:id="51"/>
      <w:r/>
      <w:bookmarkEnd w:id="52"/>
      <w:r/>
      <w:bookmarkEnd w:id="53"/>
      <w:r>
        <w:rPr>
          <w:rFonts w:hint="eastAsia" w:ascii="Arial" w:hAnsi="Arial" w:eastAsia="黑体" w:cs="Arial"/>
          <w:sz w:val="28"/>
          <w:szCs w:val="28"/>
        </w:rPr>
      </w:r>
      <w:r/>
    </w:p>
    <w:p>
      <w:pPr>
        <w:pStyle w:val="676"/>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供应商应自行承担所有与参加本次采购有关的费用，无论采购过程中的做法和结果如何，泰州</w:t>
      </w:r>
      <w:r>
        <w:rPr>
          <w:rFonts w:hint="eastAsia" w:ascii="宋体" w:hAnsi="宋体" w:eastAsia="宋体" w:cs="Times New Roman"/>
          <w:sz w:val="24"/>
          <w:szCs w:val="24"/>
        </w:rPr>
        <w:t xml:space="preserve">市政务服务中心</w:t>
      </w:r>
      <w:r>
        <w:rPr>
          <w:rFonts w:hint="eastAsia" w:ascii="宋体" w:hAnsi="宋体"/>
          <w:sz w:val="24"/>
          <w:szCs w:val="21"/>
        </w:rPr>
        <w:t xml:space="preserve">（以下简称市</w:t>
      </w:r>
      <w:r>
        <w:rPr>
          <w:rFonts w:hint="eastAsia" w:ascii="宋体" w:hAnsi="宋体" w:eastAsia="宋体" w:cs="Times New Roman"/>
          <w:sz w:val="24"/>
          <w:szCs w:val="24"/>
        </w:rPr>
        <w:t xml:space="preserve">政务服务中心</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676"/>
        <w:ind w:firstLine="480"/>
        <w:spacing w:line="500" w:lineRule="exact"/>
        <w:rPr>
          <w:rFonts w:hint="eastAsia" w:ascii="宋体" w:hAnsi="宋体"/>
          <w:sz w:val="24"/>
          <w:szCs w:val="21"/>
        </w:rPr>
      </w:pPr>
      <w:r>
        <w:rPr>
          <w:rFonts w:hint="eastAsia" w:ascii="宋体" w:hAnsi="宋体"/>
          <w:sz w:val="24"/>
          <w:szCs w:val="21"/>
        </w:rPr>
        <w:t xml:space="preserve">4.2本次采购</w:t>
      </w:r>
      <w:r>
        <w:rPr>
          <w:rFonts w:hint="eastAsia" w:ascii="宋体" w:hAnsi="宋体"/>
          <w:sz w:val="24"/>
          <w:szCs w:val="21"/>
        </w:rPr>
        <w:t xml:space="preserve">市</w:t>
      </w:r>
      <w:r>
        <w:rPr>
          <w:rFonts w:hint="eastAsia" w:ascii="宋体" w:hAnsi="宋体" w:eastAsia="宋体" w:cs="Times New Roman"/>
          <w:sz w:val="24"/>
          <w:szCs w:val="24"/>
        </w:rPr>
        <w:t xml:space="preserve">政务服务中心</w:t>
      </w:r>
      <w:r>
        <w:rPr>
          <w:rFonts w:hint="eastAsia" w:ascii="宋体" w:hAnsi="宋体"/>
          <w:sz w:val="24"/>
          <w:szCs w:val="21"/>
        </w:rPr>
        <w:t xml:space="preserve">和采购人不收取标书工本费与成交服务费。</w:t>
      </w:r>
      <w:r>
        <w:rPr>
          <w:rFonts w:hint="eastAsia" w:ascii="宋体" w:hAnsi="宋体"/>
          <w:sz w:val="24"/>
          <w:szCs w:val="21"/>
        </w:rPr>
      </w:r>
      <w:r/>
    </w:p>
    <w:p>
      <w:pPr>
        <w:pStyle w:val="676"/>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rPr>
          <w:rFonts w:hint="eastAsia" w:ascii="黑体" w:hAnsi="宋体" w:eastAsia="黑体" w:cs="Arial"/>
          <w:sz w:val="28"/>
          <w:szCs w:val="28"/>
        </w:rPr>
      </w:r>
      <w:r/>
    </w:p>
    <w:p>
      <w:pPr>
        <w:pStyle w:val="67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676"/>
        <w:ind w:firstLine="321"/>
        <w:keepLines/>
        <w:keepNext/>
        <w:spacing w:before="145" w:after="145" w:line="360" w:lineRule="auto"/>
        <w:rPr>
          <w:rFonts w:hint="eastAsia" w:ascii="Times New Roman" w:hAnsi="Times New Roman"/>
          <w:b/>
          <w:bCs/>
          <w:sz w:val="32"/>
          <w:szCs w:val="32"/>
        </w:rPr>
        <w:outlineLvl w:val="2"/>
      </w:pPr>
      <w:r/>
      <w:bookmarkStart w:id="54" w:name="_Toc16938525"/>
      <w:r/>
      <w:bookmarkStart w:id="55" w:name="_Toc513029209"/>
      <w:r/>
      <w:bookmarkStart w:id="56" w:name="_Toc20823281"/>
      <w:r/>
      <w:bookmarkStart w:id="57" w:name="_Toc120614215"/>
      <w:r>
        <w:rPr>
          <w:rFonts w:hint="eastAsia" w:ascii="Times New Roman" w:hAnsi="Times New Roman"/>
          <w:b/>
          <w:bCs/>
          <w:sz w:val="32"/>
          <w:szCs w:val="32"/>
        </w:rPr>
        <w:t xml:space="preserve">二、</w:t>
      </w:r>
      <w:bookmarkEnd w:id="54"/>
      <w:r/>
      <w:bookmarkEnd w:id="55"/>
      <w:r/>
      <w:bookmarkEnd w:id="56"/>
      <w:r/>
      <w:bookmarkEnd w:id="57"/>
      <w:r>
        <w:rPr>
          <w:rFonts w:hint="eastAsia" w:ascii="Times New Roman" w:hAnsi="Times New Roman"/>
          <w:b/>
          <w:bCs/>
          <w:sz w:val="32"/>
          <w:szCs w:val="32"/>
        </w:rPr>
        <w:t xml:space="preserve">采购文件</w:t>
      </w:r>
      <w:r>
        <w:rPr>
          <w:rFonts w:hint="eastAsia" w:ascii="Times New Roman" w:hAnsi="Times New Roman"/>
          <w:b/>
          <w:bCs/>
          <w:sz w:val="32"/>
          <w:szCs w:val="32"/>
        </w:rPr>
      </w:r>
      <w:r/>
    </w:p>
    <w:p>
      <w:pPr>
        <w:pStyle w:val="676"/>
        <w:ind w:firstLine="420"/>
        <w:keepLines/>
        <w:keepNext/>
        <w:rPr>
          <w:rFonts w:hint="eastAsia" w:ascii="Arial" w:hAnsi="Arial" w:eastAsia="黑体" w:cs="Arial"/>
          <w:sz w:val="28"/>
          <w:szCs w:val="28"/>
        </w:rPr>
        <w:outlineLvl w:val="3"/>
      </w:pPr>
      <w:r/>
      <w:bookmarkStart w:id="58" w:name="_Toc16938526"/>
      <w:r/>
      <w:bookmarkStart w:id="59" w:name="_Toc513029210"/>
      <w:r/>
      <w:bookmarkStart w:id="60" w:name="_Toc20823282"/>
      <w:r>
        <w:rPr>
          <w:rFonts w:hint="eastAsia" w:ascii="Arial" w:hAnsi="Arial" w:eastAsia="黑体" w:cs="Arial"/>
          <w:sz w:val="28"/>
          <w:szCs w:val="28"/>
        </w:rPr>
        <w:t xml:space="preserve">6、采购文件构成</w:t>
      </w:r>
      <w:bookmarkEnd w:id="58"/>
      <w:r/>
      <w:bookmarkEnd w:id="59"/>
      <w:r/>
      <w:bookmarkEnd w:id="60"/>
      <w:r>
        <w:rPr>
          <w:rFonts w:hint="eastAsia" w:ascii="Arial" w:hAnsi="Arial" w:eastAsia="黑体" w:cs="Arial"/>
          <w:sz w:val="28"/>
          <w:szCs w:val="28"/>
        </w:rPr>
      </w:r>
      <w:r/>
    </w:p>
    <w:p>
      <w:pPr>
        <w:pStyle w:val="676"/>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rPr>
          <w:rFonts w:hint="eastAsia" w:ascii="宋体" w:hAnsi="宋体"/>
          <w:sz w:val="24"/>
          <w:szCs w:val="21"/>
        </w:rPr>
      </w:r>
      <w:r/>
    </w:p>
    <w:p>
      <w:pPr>
        <w:pStyle w:val="676"/>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676"/>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676"/>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6"/>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6"/>
        <w:ind w:firstLine="360"/>
        <w:spacing w:line="400" w:lineRule="exact"/>
        <w:rPr>
          <w:rFonts w:hint="eastAsia" w:ascii="宋体" w:hAnsi="宋体"/>
          <w:sz w:val="24"/>
          <w:szCs w:val="24"/>
        </w:rPr>
      </w:pPr>
      <w:r>
        <w:rPr>
          <w:rFonts w:hint="eastAsia" w:ascii="宋体" w:hAnsi="宋体"/>
          <w:sz w:val="24"/>
          <w:szCs w:val="24"/>
        </w:rPr>
        <w:t xml:space="preserve">（5）响应文件格式</w:t>
      </w:r>
      <w:r>
        <w:rPr>
          <w:rFonts w:hint="eastAsia" w:ascii="宋体" w:hAnsi="宋体"/>
          <w:sz w:val="24"/>
          <w:szCs w:val="24"/>
        </w:rPr>
      </w:r>
      <w:r/>
    </w:p>
    <w:p>
      <w:pPr>
        <w:pStyle w:val="676"/>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w:t>
      </w:r>
      <w:r>
        <w:rPr>
          <w:rFonts w:hint="eastAsia" w:ascii="宋体" w:hAnsi="宋体" w:eastAsia="宋体" w:cs="Times New Roman"/>
          <w:sz w:val="24"/>
          <w:szCs w:val="24"/>
        </w:rPr>
        <w:t xml:space="preserve">市政务服务中心</w:t>
      </w:r>
      <w:r>
        <w:rPr>
          <w:rFonts w:hint="eastAsia" w:ascii="宋体" w:hAnsi="宋体"/>
          <w:sz w:val="24"/>
          <w:szCs w:val="21"/>
        </w:rPr>
        <w:t xml:space="preserve">联系解决。</w:t>
      </w:r>
      <w:r>
        <w:rPr>
          <w:rFonts w:hint="eastAsia" w:ascii="宋体" w:hAnsi="宋体"/>
          <w:sz w:val="24"/>
          <w:szCs w:val="21"/>
        </w:rPr>
      </w:r>
      <w:r/>
    </w:p>
    <w:p>
      <w:pPr>
        <w:pStyle w:val="676"/>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676"/>
        <w:ind w:firstLine="560"/>
        <w:keepLines/>
        <w:keepNext/>
        <w:rPr>
          <w:rFonts w:hint="eastAsia" w:ascii="Arial" w:hAnsi="Arial" w:eastAsia="黑体" w:cs="Arial"/>
          <w:sz w:val="28"/>
          <w:szCs w:val="28"/>
        </w:rPr>
        <w:outlineLvl w:val="3"/>
      </w:pPr>
      <w:r/>
      <w:bookmarkStart w:id="61" w:name="_Toc20823283"/>
      <w:r/>
      <w:bookmarkStart w:id="62" w:name="_Toc513029211"/>
      <w:r/>
      <w:bookmarkStart w:id="63" w:name="_Toc462564070"/>
      <w:r/>
      <w:bookmarkStart w:id="64" w:name="_Toc16938527"/>
      <w:r>
        <w:rPr>
          <w:rFonts w:hint="eastAsia" w:ascii="Arial" w:hAnsi="Arial" w:eastAsia="黑体" w:cs="Arial"/>
          <w:sz w:val="28"/>
          <w:szCs w:val="28"/>
        </w:rPr>
        <w:t xml:space="preserve">7、采购文件的澄清</w:t>
      </w:r>
      <w:bookmarkEnd w:id="61"/>
      <w:r/>
      <w:bookmarkEnd w:id="62"/>
      <w:r/>
      <w:bookmarkEnd w:id="63"/>
      <w:r/>
      <w:bookmarkEnd w:id="64"/>
      <w:r>
        <w:rPr>
          <w:rFonts w:hint="eastAsia" w:ascii="Arial" w:hAnsi="Arial" w:eastAsia="黑体" w:cs="Arial"/>
          <w:sz w:val="28"/>
          <w:szCs w:val="28"/>
        </w:rPr>
      </w:r>
      <w:r/>
    </w:p>
    <w:p>
      <w:pPr>
        <w:pStyle w:val="676"/>
        <w:ind w:firstLine="480"/>
        <w:spacing w:line="480" w:lineRule="exact"/>
        <w:rPr>
          <w:rFonts w:hint="eastAsia" w:ascii="宋体" w:hAnsi="宋体"/>
          <w:sz w:val="24"/>
          <w:szCs w:val="24"/>
        </w:rPr>
      </w:pPr>
      <w:r/>
      <w:bookmarkStart w:id="65" w:name="_Toc20823284"/>
      <w:r/>
      <w:bookmarkStart w:id="66" w:name="_Toc462564071"/>
      <w:r/>
      <w:bookmarkStart w:id="67" w:name="_Toc513029212"/>
      <w:r/>
      <w:bookmarkStart w:id="68" w:name="_Toc16938528"/>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szCs w:val="24"/>
        </w:rPr>
        <w:t xml:space="preserve">响应文件接收截止时间（以下简称“截止时间”）</w:t>
      </w:r>
      <w:r>
        <w:rPr>
          <w:rFonts w:hint="eastAsia" w:ascii="宋体" w:hAnsi="宋体"/>
          <w:b/>
          <w:sz w:val="24"/>
          <w:szCs w:val="24"/>
        </w:rPr>
        <w:t xml:space="preserve">三天</w:t>
      </w:r>
      <w:r>
        <w:rPr>
          <w:rFonts w:hint="eastAsia" w:ascii="仿宋_GB2312" w:hAnsi="仿宋_GB2312"/>
          <w:sz w:val="24"/>
          <w:szCs w:val="24"/>
        </w:rPr>
        <w:t xml:space="preserve">前，在</w:t>
      </w:r>
      <w:r>
        <w:rPr>
          <w:rFonts w:hint="eastAsia" w:ascii="宋体" w:hAnsi="宋体"/>
          <w:sz w:val="24"/>
          <w:szCs w:val="21"/>
        </w:rPr>
        <w:t xml:space="preserve">苏采云系统中通知</w:t>
      </w:r>
      <w:r>
        <w:rPr>
          <w:rFonts w:hint="eastAsia" w:ascii="宋体" w:hAnsi="宋体" w:eastAsia="宋体" w:cs="Times New Roman"/>
          <w:sz w:val="24"/>
          <w:szCs w:val="24"/>
        </w:rPr>
        <w:t xml:space="preserve">市政务服务中心</w:t>
      </w:r>
      <w:r>
        <w:rPr>
          <w:rFonts w:hint="eastAsia" w:ascii="宋体" w:hAnsi="宋体"/>
          <w:sz w:val="24"/>
          <w:szCs w:val="21"/>
        </w:rPr>
        <w:t xml:space="preserve">。</w:t>
      </w:r>
      <w:r>
        <w:rPr>
          <w:rFonts w:hint="eastAsia" w:ascii="宋体" w:hAnsi="宋体" w:eastAsia="宋体" w:cs="Times New Roman"/>
          <w:sz w:val="24"/>
          <w:szCs w:val="24"/>
        </w:rPr>
        <w:t xml:space="preserve">市政务服务中心</w:t>
      </w:r>
      <w:r>
        <w:rPr>
          <w:rFonts w:hint="eastAsia" w:ascii="宋体" w:hAnsi="宋体"/>
          <w:sz w:val="24"/>
          <w:szCs w:val="24"/>
        </w:rPr>
        <w:t xml:space="preserve">将在</w:t>
      </w:r>
      <w:r>
        <w:rPr>
          <w:rFonts w:hint="eastAsia" w:ascii="宋体" w:hAnsi="宋体"/>
          <w:sz w:val="24"/>
          <w:szCs w:val="21"/>
        </w:rPr>
        <w:t xml:space="preserve">苏采云系统中对澄清要求予以答复。</w:t>
      </w:r>
      <w:r>
        <w:rPr>
          <w:rFonts w:hint="eastAsia" w:ascii="宋体" w:hAnsi="宋体"/>
          <w:sz w:val="24"/>
          <w:szCs w:val="24"/>
        </w:rPr>
      </w:r>
      <w:r/>
    </w:p>
    <w:p>
      <w:pPr>
        <w:pStyle w:val="676"/>
        <w:ind w:firstLine="560"/>
        <w:keepLines/>
        <w:keepNext/>
        <w:rPr>
          <w:rFonts w:hint="eastAsia" w:ascii="Arial" w:hAnsi="Arial" w:eastAsia="黑体" w:cs="Arial"/>
          <w:sz w:val="28"/>
          <w:szCs w:val="28"/>
        </w:rPr>
        <w:outlineLvl w:val="3"/>
      </w:pPr>
      <w:r/>
      <w:bookmarkEnd w:id="65"/>
      <w:r/>
      <w:bookmarkEnd w:id="66"/>
      <w:r/>
      <w:bookmarkEnd w:id="67"/>
      <w:r/>
      <w:bookmarkEnd w:id="68"/>
      <w:r/>
      <w:bookmarkStart w:id="69" w:name="_Toc120614216"/>
      <w:r/>
      <w:bookmarkStart w:id="70" w:name="_Toc16938529"/>
      <w:r/>
      <w:bookmarkStart w:id="71" w:name="_Toc20823285"/>
      <w:r/>
      <w:bookmarkStart w:id="72" w:name="_Toc462564072"/>
      <w:r/>
      <w:bookmarkStart w:id="73" w:name="_Toc513029213"/>
      <w:r>
        <w:rPr>
          <w:rFonts w:hint="eastAsia" w:ascii="Arial" w:hAnsi="Arial" w:eastAsia="黑体" w:cs="Arial"/>
          <w:sz w:val="28"/>
          <w:szCs w:val="28"/>
        </w:rPr>
        <w:t xml:space="preserve">8、采购文件的修改</w:t>
      </w:r>
      <w:r>
        <w:rPr>
          <w:rFonts w:hint="eastAsia" w:ascii="Arial" w:hAnsi="Arial" w:eastAsia="黑体" w:cs="Arial"/>
          <w:sz w:val="28"/>
          <w:szCs w:val="28"/>
        </w:rPr>
      </w:r>
      <w:r/>
    </w:p>
    <w:p>
      <w:pPr>
        <w:pStyle w:val="676"/>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eastAsia="宋体" w:cs="Times New Roman"/>
          <w:sz w:val="24"/>
          <w:szCs w:val="24"/>
        </w:rPr>
        <w:t xml:space="preserve">市政务服务中心可</w:t>
      </w:r>
      <w:r>
        <w:rPr>
          <w:rFonts w:hint="eastAsia" w:ascii="宋体" w:hAnsi="宋体"/>
          <w:sz w:val="24"/>
          <w:szCs w:val="21"/>
        </w:rPr>
        <w:t xml:space="preserve">以以补充文件的方式对采购文件进行修改。</w:t>
      </w:r>
      <w:r>
        <w:rPr>
          <w:rFonts w:hint="eastAsia" w:ascii="宋体" w:hAnsi="宋体"/>
          <w:sz w:val="24"/>
          <w:szCs w:val="21"/>
        </w:rPr>
      </w:r>
      <w:r/>
    </w:p>
    <w:p>
      <w:pPr>
        <w:pStyle w:val="676"/>
        <w:ind w:firstLine="480"/>
        <w:spacing w:line="500" w:lineRule="exact"/>
        <w:rPr>
          <w:rFonts w:hint="eastAsia" w:ascii="宋体" w:hAnsi="Arial"/>
          <w:sz w:val="28"/>
          <w:szCs w:val="21"/>
        </w:rPr>
      </w:pPr>
      <w:r>
        <w:rPr>
          <w:rFonts w:hint="eastAsia" w:ascii="宋体" w:hAnsi="宋体"/>
          <w:bCs/>
          <w:sz w:val="24"/>
          <w:szCs w:val="21"/>
        </w:rPr>
        <w:t xml:space="preserve">8.2</w:t>
      </w:r>
      <w:r>
        <w:rPr>
          <w:rFonts w:hint="eastAsia" w:ascii="宋体" w:hAnsi="宋体" w:eastAsia="宋体" w:cs="Times New Roman"/>
          <w:sz w:val="24"/>
          <w:szCs w:val="24"/>
        </w:rPr>
        <w:t xml:space="preserve">市政务服务中心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676"/>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rPr>
          <w:rFonts w:hint="eastAsia" w:ascii="宋体" w:hAnsi="宋体"/>
          <w:sz w:val="24"/>
          <w:szCs w:val="21"/>
        </w:rPr>
      </w:r>
      <w:r/>
    </w:p>
    <w:p>
      <w:pPr>
        <w:pStyle w:val="676"/>
        <w:ind w:firstLine="482"/>
        <w:keepLines/>
        <w:keepNext/>
        <w:spacing w:before="145" w:after="145"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69"/>
      <w:r/>
      <w:bookmarkEnd w:id="70"/>
      <w:r/>
      <w:bookmarkEnd w:id="71"/>
      <w:r/>
      <w:bookmarkEnd w:id="72"/>
      <w:r/>
      <w:bookmarkEnd w:id="73"/>
      <w:r>
        <w:rPr>
          <w:rFonts w:hint="eastAsia" w:ascii="Times New Roman" w:hAnsi="Times New Roman"/>
          <w:b/>
          <w:bCs/>
          <w:sz w:val="32"/>
          <w:szCs w:val="32"/>
        </w:rPr>
      </w:r>
      <w:r/>
    </w:p>
    <w:p>
      <w:pPr>
        <w:pStyle w:val="676"/>
        <w:ind w:firstLine="560"/>
        <w:keepLines/>
        <w:keepNext/>
        <w:rPr>
          <w:rFonts w:hint="eastAsia" w:ascii="Arial" w:hAnsi="Arial" w:eastAsia="黑体" w:cs="Arial"/>
          <w:b/>
          <w:sz w:val="28"/>
          <w:szCs w:val="28"/>
        </w:rPr>
        <w:outlineLvl w:val="3"/>
      </w:pPr>
      <w:r/>
      <w:bookmarkStart w:id="74" w:name="_Toc20823286"/>
      <w:r/>
      <w:bookmarkStart w:id="75" w:name="_Toc16938530"/>
      <w:r/>
      <w:bookmarkStart w:id="76" w:name="_Toc462564073"/>
      <w:r/>
      <w:bookmarkStart w:id="77" w:name="_Toc513029214"/>
      <w:r>
        <w:rPr>
          <w:rFonts w:hint="eastAsia" w:ascii="Arial" w:hAnsi="Arial" w:eastAsia="黑体" w:cs="Arial"/>
          <w:sz w:val="28"/>
          <w:szCs w:val="28"/>
        </w:rPr>
        <w:t xml:space="preserve">9、响应文件的语言及度量衡单位</w:t>
      </w:r>
      <w:bookmarkEnd w:id="74"/>
      <w:r/>
      <w:bookmarkEnd w:id="75"/>
      <w:r/>
      <w:bookmarkEnd w:id="76"/>
      <w:r/>
      <w:bookmarkEnd w:id="77"/>
      <w:r>
        <w:rPr>
          <w:rFonts w:hint="eastAsia" w:ascii="Arial" w:hAnsi="Arial" w:eastAsia="黑体" w:cs="Arial"/>
          <w:b/>
          <w:sz w:val="28"/>
          <w:szCs w:val="28"/>
        </w:rPr>
      </w:r>
      <w:r/>
    </w:p>
    <w:p>
      <w:pPr>
        <w:pStyle w:val="676"/>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eastAsia="宋体" w:cs="Times New Roman"/>
          <w:sz w:val="24"/>
          <w:szCs w:val="24"/>
        </w:rPr>
        <w:t xml:space="preserve">市政务服务中心</w:t>
      </w:r>
      <w:r>
        <w:rPr>
          <w:rFonts w:hint="eastAsia" w:ascii="宋体" w:hAnsi="宋体"/>
          <w:sz w:val="24"/>
          <w:szCs w:val="21"/>
        </w:rPr>
        <w:t xml:space="preserve">就有关采购活动的所有来往通知、函件和文件均应使用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676"/>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676"/>
        <w:ind w:firstLine="420"/>
        <w:keepLines/>
        <w:keepNext/>
        <w:rPr>
          <w:rFonts w:hint="eastAsia" w:ascii="Arial" w:hAnsi="Arial" w:eastAsia="黑体" w:cs="Arial"/>
          <w:sz w:val="28"/>
          <w:szCs w:val="28"/>
        </w:rPr>
        <w:outlineLvl w:val="3"/>
      </w:pPr>
      <w:r/>
      <w:bookmarkStart w:id="78" w:name="_Toc20823287"/>
      <w:r/>
      <w:bookmarkStart w:id="79" w:name="_Toc513029215"/>
      <w:r/>
      <w:bookmarkStart w:id="80" w:name="_Toc16938531"/>
      <w:r/>
      <w:bookmarkStart w:id="81" w:name="_Toc462564074"/>
      <w:r>
        <w:rPr>
          <w:rFonts w:hint="eastAsia" w:ascii="Arial" w:hAnsi="Arial" w:eastAsia="黑体" w:cs="Arial"/>
          <w:sz w:val="28"/>
          <w:szCs w:val="28"/>
        </w:rPr>
        <w:t xml:space="preserve">10、响应文件构成</w:t>
      </w:r>
      <w:bookmarkEnd w:id="78"/>
      <w:r/>
      <w:bookmarkEnd w:id="79"/>
      <w:r/>
      <w:bookmarkEnd w:id="80"/>
      <w:r/>
      <w:bookmarkEnd w:id="81"/>
      <w:r>
        <w:rPr>
          <w:rFonts w:hint="eastAsia" w:ascii="Arial" w:hAnsi="Arial" w:eastAsia="黑体" w:cs="Arial"/>
          <w:sz w:val="28"/>
          <w:szCs w:val="28"/>
        </w:rPr>
      </w:r>
      <w:r/>
    </w:p>
    <w:p>
      <w:pPr>
        <w:pStyle w:val="676"/>
        <w:ind w:firstLine="480"/>
        <w:spacing w:line="440" w:lineRule="exact"/>
        <w:rPr>
          <w:rFonts w:hint="eastAsia" w:ascii="宋体" w:hAnsi="宋体"/>
          <w:sz w:val="24"/>
          <w:szCs w:val="21"/>
        </w:rPr>
      </w:pPr>
      <w:r/>
      <w:bookmarkStart w:id="82" w:name="_Hlt26670360"/>
      <w:r/>
      <w:bookmarkEnd w:id="82"/>
      <w:r/>
      <w:bookmarkStart w:id="83" w:name="_Hlt26954838"/>
      <w:r/>
      <w:bookmarkEnd w:id="83"/>
      <w:r/>
      <w:bookmarkStart w:id="84" w:name="_Hlt26668975"/>
      <w:r/>
      <w:bookmarkEnd w:id="84"/>
      <w:r/>
      <w:bookmarkStart w:id="85" w:name="_Toc513029216"/>
      <w:r/>
      <w:bookmarkStart w:id="86" w:name="_Toc49090509"/>
      <w:r/>
      <w:bookmarkStart w:id="87" w:name="_Toc49090508"/>
      <w:r/>
      <w:bookmarkStart w:id="88" w:name="_Toc14577354"/>
      <w:r/>
      <w:bookmarkStart w:id="89" w:name="_Toc14577357"/>
      <w:r/>
      <w:bookmarkStart w:id="90" w:name="_Toc513029219"/>
      <w:r/>
      <w:bookmarkStart w:id="91" w:name="_Toc49090507"/>
      <w:r/>
      <w:bookmarkStart w:id="92" w:name="_Toc14577355"/>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供应商编写的响应文件应包括资格证明文件、符合性证明文件、分项报价表、技术要求响应及偏离表、商务要求响应及偏离表、其他证明文件、单一来源响应函等部分。</w:t>
      </w:r>
      <w:r>
        <w:rPr>
          <w:rFonts w:hint="eastAsia" w:ascii="宋体" w:hAnsi="宋体"/>
          <w:sz w:val="24"/>
          <w:szCs w:val="21"/>
        </w:rPr>
      </w:r>
      <w:r/>
    </w:p>
    <w:p>
      <w:pPr>
        <w:pStyle w:val="680"/>
        <w:ind w:firstLine="420"/>
        <w:spacing w:before="0" w:after="0" w:line="240" w:lineRule="auto"/>
        <w:rPr>
          <w:rFonts w:hint="eastAsia"/>
          <w:b w:val="0"/>
          <w:bCs w:val="0"/>
        </w:rPr>
      </w:pPr>
      <w:r/>
      <w:bookmarkEnd w:id="85"/>
      <w:r/>
      <w:bookmarkEnd w:id="86"/>
      <w:r/>
      <w:bookmarkEnd w:id="87"/>
      <w:r/>
      <w:bookmarkEnd w:id="88"/>
      <w:r/>
      <w:bookmarkEnd w:id="89"/>
      <w:r/>
      <w:bookmarkEnd w:id="90"/>
      <w:r/>
      <w:bookmarkEnd w:id="91"/>
      <w:r/>
      <w:bookmarkEnd w:id="92"/>
      <w:r>
        <w:rPr>
          <w:rFonts w:hint="eastAsia"/>
          <w:b w:val="0"/>
          <w:bCs w:val="0"/>
        </w:rPr>
        <w:t xml:space="preserve">11、证明供应商及响应标的符合采购文件规定的文件</w:t>
      </w:r>
      <w:r>
        <w:rPr>
          <w:rFonts w:hint="eastAsia"/>
          <w:b w:val="0"/>
          <w:bCs w:val="0"/>
        </w:rPr>
      </w:r>
      <w:r/>
    </w:p>
    <w:p>
      <w:pPr>
        <w:pStyle w:val="676"/>
        <w:spacing w:line="480" w:lineRule="exact"/>
        <w:rPr>
          <w:rFonts w:hint="eastAsia" w:ascii="宋体" w:hAnsi="宋体"/>
          <w:sz w:val="24"/>
          <w:szCs w:val="24"/>
        </w:rPr>
      </w:pPr>
      <w:r>
        <w:rPr>
          <w:rFonts w:hint="eastAsia" w:ascii="宋体" w:hAnsi="宋体"/>
          <w:sz w:val="24"/>
          <w:szCs w:val="24"/>
        </w:rPr>
        <w:t xml:space="preserve">    11.1 供应商应按照法律、法规、规章和规范性文件以及采购文件要求提交证明文件，证明其及响应标的符合采购文件规定。</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rPr>
          <w:rFonts w:hint="eastAsia" w:ascii="宋体" w:hAnsi="宋体"/>
          <w:sz w:val="24"/>
          <w:szCs w:val="24"/>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676"/>
        <w:ind w:firstLine="480"/>
        <w:spacing w:line="500" w:lineRule="exact"/>
        <w:rPr>
          <w:rFonts w:hint="eastAsia" w:ascii="宋体" w:hAnsi="宋体"/>
          <w:bCs/>
          <w:sz w:val="24"/>
        </w:rPr>
      </w:pPr>
      <w:r/>
      <w:bookmarkStart w:id="93" w:name="_Hlt26954846"/>
      <w:r/>
      <w:bookmarkEnd w:id="93"/>
      <w:r/>
      <w:bookmarkStart w:id="94" w:name="_Hlt26954848"/>
      <w:r/>
      <w:bookmarkEnd w:id="94"/>
      <w:r/>
      <w:bookmarkStart w:id="95" w:name="_Hlt26670482"/>
      <w:r/>
      <w:bookmarkEnd w:id="95"/>
      <w:r/>
      <w:bookmarkStart w:id="96" w:name="_Hlt26954731"/>
      <w:r/>
      <w:bookmarkEnd w:id="96"/>
      <w:r/>
      <w:bookmarkStart w:id="97" w:name="_Hlt26670486"/>
      <w:r/>
      <w:bookmarkEnd w:id="97"/>
      <w:r>
        <w:rPr>
          <w:rFonts w:hint="eastAsia" w:ascii="宋体" w:hAnsi="宋体"/>
          <w:bCs/>
          <w:sz w:val="24"/>
        </w:rPr>
        <w:t xml:space="preserve">12.1</w:t>
      </w:r>
      <w:r>
        <w:rPr>
          <w:rFonts w:hint="eastAsia" w:ascii="宋体" w:hAnsi="宋体"/>
          <w:sz w:val="24"/>
        </w:rPr>
        <w:t xml:space="preserve"> 供应商应按照采购文件规定格式填报分项报价表。</w:t>
      </w:r>
      <w:r>
        <w:rPr>
          <w:rFonts w:hint="eastAsia" w:ascii="宋体" w:hAnsi="宋体"/>
          <w:bCs/>
          <w:sz w:val="24"/>
        </w:rPr>
      </w:r>
      <w:r/>
    </w:p>
    <w:p>
      <w:pPr>
        <w:pStyle w:val="67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676"/>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供应商需对采购文件中的技术要求与商务要求作出响应或偏离，并说明原因。</w:t>
      </w:r>
      <w:r>
        <w:rPr>
          <w:rFonts w:hint="eastAsia" w:ascii="宋体" w:hAnsi="Arial" w:cs="宋体"/>
          <w:sz w:val="24"/>
          <w:szCs w:val="21"/>
          <w:lang w:val="zh-CN"/>
        </w:rPr>
      </w:r>
      <w:r/>
    </w:p>
    <w:p>
      <w:pPr>
        <w:pStyle w:val="676"/>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680"/>
        <w:ind w:firstLine="420"/>
        <w:spacing w:before="0" w:after="0" w:line="240" w:lineRule="auto"/>
        <w:rPr>
          <w:rFonts w:hint="eastAsia"/>
          <w:b w:val="0"/>
          <w:bCs w:val="0"/>
        </w:rPr>
      </w:pPr>
      <w:r/>
      <w:bookmarkStart w:id="98" w:name="_Toc49090510"/>
      <w:r/>
      <w:bookmarkStart w:id="99" w:name="_Toc14577359"/>
      <w:r>
        <w:rPr>
          <w:rFonts w:hint="eastAsia"/>
          <w:b w:val="0"/>
          <w:bCs w:val="0"/>
        </w:rPr>
        <w:t xml:space="preserve">14、服务承诺、培训计划、人员安排及其他（如有）</w:t>
      </w:r>
      <w:r>
        <w:rPr>
          <w:rFonts w:hint="eastAsia"/>
          <w:b w:val="0"/>
          <w:bCs w:val="0"/>
        </w:rPr>
      </w:r>
      <w:r/>
    </w:p>
    <w:p>
      <w:pPr>
        <w:pStyle w:val="676"/>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680"/>
        <w:ind w:firstLine="420"/>
        <w:spacing w:before="0" w:after="0" w:line="240" w:lineRule="auto"/>
        <w:rPr>
          <w:rFonts w:hint="eastAsia"/>
          <w:b w:val="0"/>
          <w:bCs w:val="0"/>
        </w:rPr>
      </w:pPr>
      <w:r/>
      <w:bookmarkEnd w:id="98"/>
      <w:r/>
      <w:bookmarkEnd w:id="99"/>
      <w:r/>
      <w:bookmarkStart w:id="100" w:name="_Toc49090511"/>
      <w:r/>
      <w:bookmarkStart w:id="101" w:name="_Toc14577360"/>
      <w:r>
        <w:rPr>
          <w:rFonts w:hint="eastAsia"/>
          <w:b w:val="0"/>
          <w:bCs w:val="0"/>
        </w:rPr>
        <w:t xml:space="preserve">15、单一来源响应函</w:t>
      </w:r>
      <w:r>
        <w:rPr>
          <w:rFonts w:hint="eastAsia"/>
          <w:b w:val="0"/>
          <w:bCs w:val="0"/>
        </w:rPr>
      </w:r>
      <w:r/>
    </w:p>
    <w:p>
      <w:pPr>
        <w:pStyle w:val="676"/>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rPr>
          <w:rFonts w:hint="eastAsia" w:ascii="宋体" w:hAnsi="宋体"/>
          <w:sz w:val="24"/>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0"/>
      <w:r/>
      <w:bookmarkEnd w:id="101"/>
      <w:r>
        <w:rPr>
          <w:rFonts w:hint="eastAsia" w:ascii="Arial" w:hAnsi="Arial" w:eastAsia="黑体" w:cs="Arial"/>
          <w:sz w:val="28"/>
          <w:szCs w:val="28"/>
        </w:rPr>
      </w:r>
      <w:r/>
    </w:p>
    <w:p>
      <w:pPr>
        <w:pStyle w:val="67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w:t>
      </w:r>
      <w:r>
        <w:rPr>
          <w:rFonts w:hint="eastAsia" w:ascii="宋体" w:hAnsi="宋体" w:eastAsia="宋体" w:cs="Times New Roman"/>
          <w:sz w:val="24"/>
          <w:szCs w:val="24"/>
        </w:rPr>
        <w:t xml:space="preserve">市政务服务中心</w:t>
      </w:r>
      <w:r>
        <w:rPr>
          <w:rFonts w:hint="eastAsia" w:ascii="宋体" w:hAnsi="宋体"/>
          <w:bCs/>
          <w:sz w:val="24"/>
        </w:rPr>
        <w:t xml:space="preserve">规定的响应文件接收截止之日后</w:t>
      </w:r>
      <w:r>
        <w:rPr>
          <w:rFonts w:hint="eastAsia" w:ascii="仿宋_GB2312" w:hAnsi="仿宋_GB2312"/>
          <w:b/>
          <w:sz w:val="24"/>
          <w:u w:val="single"/>
        </w:rPr>
        <w:t xml:space="preserve">六十（60）天</w:t>
      </w:r>
      <w:r>
        <w:rPr>
          <w:rFonts w:hint="eastAsia" w:ascii="宋体" w:hAnsi="宋体"/>
          <w:bCs/>
          <w:sz w:val="24"/>
        </w:rPr>
        <w:t xml:space="preserve">。有效期比规定期限短的将被视为未响应采购文件要求而予以拒绝。</w:t>
      </w:r>
      <w:r>
        <w:rPr>
          <w:rFonts w:hint="eastAsia" w:ascii="宋体" w:hAnsi="宋体"/>
          <w:bCs/>
          <w:sz w:val="24"/>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rPr>
          <w:rFonts w:hint="eastAsia" w:ascii="Arial" w:hAnsi="Arial" w:eastAsia="黑体" w:cs="Arial"/>
          <w:sz w:val="28"/>
          <w:szCs w:val="28"/>
        </w:rPr>
      </w:r>
      <w:r/>
    </w:p>
    <w:p>
      <w:pPr>
        <w:pStyle w:val="676"/>
        <w:ind w:firstLine="480"/>
        <w:spacing w:line="500" w:lineRule="exact"/>
        <w:rPr>
          <w:rFonts w:hint="eastAsia" w:ascii="宋体" w:hAnsi="宋体"/>
          <w:bCs/>
          <w:sz w:val="24"/>
          <w:szCs w:val="21"/>
        </w:rPr>
      </w:pPr>
      <w:r>
        <w:rPr>
          <w:rFonts w:hint="eastAsia" w:ascii="宋体" w:hAnsi="宋体"/>
          <w:bCs/>
          <w:sz w:val="24"/>
          <w:szCs w:val="21"/>
        </w:rPr>
        <w:t xml:space="preserve">17.1在特殊情况下，</w:t>
      </w:r>
      <w:r>
        <w:rPr>
          <w:rFonts w:hint="eastAsia" w:ascii="宋体" w:hAnsi="宋体" w:eastAsia="宋体" w:cs="Times New Roman"/>
          <w:sz w:val="24"/>
          <w:szCs w:val="24"/>
        </w:rPr>
        <w:t xml:space="preserve">市政务服务中心</w:t>
      </w:r>
      <w:r>
        <w:rPr>
          <w:rFonts w:hint="eastAsia" w:ascii="宋体" w:hAnsi="宋体"/>
          <w:bCs/>
          <w:sz w:val="24"/>
          <w:szCs w:val="21"/>
        </w:rPr>
        <w:t xml:space="preserve">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w:t>
      </w:r>
      <w:r>
        <w:rPr>
          <w:rFonts w:hint="eastAsia" w:ascii="宋体" w:hAnsi="宋体" w:eastAsia="宋体" w:cs="Times New Roman"/>
          <w:sz w:val="24"/>
          <w:szCs w:val="24"/>
        </w:rPr>
        <w:t xml:space="preserve">市政务服务中心</w:t>
      </w:r>
      <w:r>
        <w:rPr>
          <w:rFonts w:hint="eastAsia" w:ascii="宋体" w:hAnsi="宋体"/>
          <w:bCs/>
          <w:sz w:val="24"/>
          <w:szCs w:val="21"/>
        </w:rPr>
        <w:t xml:space="preserve">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676"/>
        <w:ind w:firstLine="482"/>
        <w:keepLines/>
        <w:keepNext/>
        <w:spacing w:before="145" w:after="145" w:line="360" w:lineRule="auto"/>
        <w:rPr>
          <w:rFonts w:hint="eastAsia" w:ascii="Times New Roman" w:hAnsi="Times New Roman"/>
          <w:b/>
          <w:bCs/>
          <w:sz w:val="32"/>
          <w:szCs w:val="32"/>
        </w:rPr>
        <w:outlineLvl w:val="2"/>
      </w:pPr>
      <w:r/>
      <w:bookmarkStart w:id="102" w:name="_Hlt26954852"/>
      <w:r/>
      <w:bookmarkEnd w:id="102"/>
      <w:r/>
      <w:bookmarkStart w:id="103" w:name="_Hlt26954739"/>
      <w:r/>
      <w:bookmarkEnd w:id="103"/>
      <w:r/>
      <w:bookmarkStart w:id="104" w:name="_Toc513029224"/>
      <w:r/>
      <w:bookmarkStart w:id="105" w:name="_Toc120614217"/>
      <w:r/>
      <w:bookmarkStart w:id="106" w:name="_Toc16938540"/>
      <w:r/>
      <w:bookmarkStart w:id="107" w:name="_Toc20823296"/>
      <w:r>
        <w:rPr>
          <w:rFonts w:hint="eastAsia" w:ascii="Times New Roman" w:hAnsi="Times New Roman"/>
          <w:b/>
          <w:bCs/>
          <w:sz w:val="32"/>
          <w:szCs w:val="32"/>
        </w:rPr>
        <w:t xml:space="preserve">四、响应文件的递交</w:t>
      </w:r>
      <w:bookmarkEnd w:id="104"/>
      <w:r/>
      <w:bookmarkEnd w:id="105"/>
      <w:r/>
      <w:bookmarkEnd w:id="106"/>
      <w:r/>
      <w:bookmarkEnd w:id="107"/>
      <w:r>
        <w:rPr>
          <w:rFonts w:hint="eastAsia" w:ascii="Times New Roman" w:hAnsi="Times New Roman"/>
          <w:b/>
          <w:bCs/>
          <w:sz w:val="32"/>
          <w:szCs w:val="32"/>
        </w:rPr>
      </w:r>
      <w:r/>
    </w:p>
    <w:p>
      <w:pPr>
        <w:pStyle w:val="676"/>
        <w:ind w:firstLine="560"/>
        <w:keepLines/>
        <w:keepNext/>
        <w:rPr>
          <w:rFonts w:hint="eastAsia" w:ascii="黑体" w:hAnsi="Arial" w:eastAsia="黑体" w:cs="Arial"/>
          <w:sz w:val="28"/>
          <w:szCs w:val="28"/>
        </w:rPr>
        <w:outlineLvl w:val="3"/>
      </w:pPr>
      <w:r/>
      <w:bookmarkStart w:id="108" w:name="_Toc462564084"/>
      <w:r/>
      <w:bookmarkStart w:id="109" w:name="_Toc20823297"/>
      <w:r/>
      <w:bookmarkStart w:id="110" w:name="_Toc513029225"/>
      <w:r/>
      <w:bookmarkStart w:id="111"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08"/>
      <w:r/>
      <w:bookmarkEnd w:id="109"/>
      <w:r/>
      <w:bookmarkEnd w:id="110"/>
      <w:r/>
      <w:bookmarkEnd w:id="111"/>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676"/>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2" w:name="_Toc16938542"/>
      <w:r/>
      <w:bookmarkStart w:id="113" w:name="_Toc513029226"/>
      <w:r/>
      <w:bookmarkStart w:id="114" w:name="_Toc20823298"/>
      <w:r>
        <w:rPr>
          <w:rFonts w:ascii="宋体" w:hAnsi="宋体"/>
          <w:bCs/>
          <w:sz w:val="24"/>
          <w:szCs w:val="21"/>
        </w:rPr>
      </w:r>
      <w:r/>
    </w:p>
    <w:p>
      <w:pPr>
        <w:pStyle w:val="676"/>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2"/>
      <w:r/>
      <w:bookmarkEnd w:id="113"/>
      <w:r/>
      <w:bookmarkEnd w:id="114"/>
      <w:r>
        <w:rPr>
          <w:rFonts w:hint="eastAsia" w:ascii="宋体" w:hAnsi="宋体" w:eastAsia="黑体" w:cs="Arial"/>
          <w:bCs/>
          <w:sz w:val="24"/>
          <w:szCs w:val="28"/>
        </w:rPr>
      </w:r>
      <w:r/>
    </w:p>
    <w:p>
      <w:pPr>
        <w:pStyle w:val="676"/>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供应商上传电子响应文件的时间不得迟于单一来源采购邀请中规定的截止时间。</w:t>
      </w:r>
      <w:r>
        <w:rPr>
          <w:rFonts w:hint="eastAsia" w:ascii="宋体" w:hAnsi="宋体"/>
          <w:bCs/>
          <w:i/>
          <w:sz w:val="24"/>
          <w:szCs w:val="21"/>
          <w:u w:val="single"/>
        </w:rPr>
      </w:r>
      <w:r/>
    </w:p>
    <w:p>
      <w:pPr>
        <w:pStyle w:val="676"/>
        <w:ind w:firstLine="480"/>
        <w:spacing w:line="500" w:lineRule="exact"/>
        <w:rPr>
          <w:rFonts w:hint="eastAsia" w:ascii="宋体" w:hAnsi="宋体"/>
          <w:bCs/>
          <w:sz w:val="24"/>
          <w:szCs w:val="21"/>
        </w:rPr>
      </w:pPr>
      <w:r/>
      <w:bookmarkStart w:id="115" w:name="_Toc16938543"/>
      <w:r/>
      <w:bookmarkStart w:id="116" w:name="_Toc513029227"/>
      <w:r/>
      <w:bookmarkStart w:id="117"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rPr>
          <w:rFonts w:hint="eastAsia" w:ascii="宋体" w:hAnsi="宋体"/>
          <w:bCs/>
          <w:sz w:val="24"/>
          <w:szCs w:val="21"/>
        </w:rPr>
      </w:r>
      <w:r/>
    </w:p>
    <w:p>
      <w:pPr>
        <w:pStyle w:val="676"/>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市交易中心可以按照规定，通过修改采购文件酌情延长截止时间，在此情况下，供应商的所有权利和义务以及供应商受制的截止时间以延长后新的截止时间为准。</w:t>
      </w:r>
      <w:r>
        <w:rPr>
          <w:rFonts w:hint="eastAsia" w:ascii="宋体" w:hAnsi="宋体"/>
          <w:bCs/>
          <w:sz w:val="24"/>
          <w:szCs w:val="21"/>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5"/>
      <w:r/>
      <w:bookmarkEnd w:id="116"/>
      <w:r/>
      <w:bookmarkEnd w:id="11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676"/>
        <w:ind w:firstLine="480"/>
        <w:spacing w:line="500" w:lineRule="exact"/>
        <w:rPr>
          <w:rFonts w:hint="eastAsia" w:ascii="宋体" w:hAnsi="宋体"/>
          <w:bCs/>
          <w:sz w:val="24"/>
          <w:szCs w:val="21"/>
        </w:rPr>
      </w:pPr>
      <w:r>
        <w:rPr>
          <w:rFonts w:hint="eastAsia" w:ascii="宋体" w:hAnsi="宋体"/>
          <w:bCs/>
          <w:sz w:val="24"/>
          <w:szCs w:val="21"/>
        </w:rPr>
        <w:t xml:space="preserve">20.1 市交易中心拒绝接收在其规定的截止时间后上传的任何电子响应文件。</w:t>
      </w:r>
      <w:r>
        <w:rPr>
          <w:rFonts w:hint="eastAsia" w:ascii="宋体" w:hAnsi="宋体"/>
          <w:bCs/>
          <w:sz w:val="24"/>
          <w:szCs w:val="21"/>
        </w:rPr>
      </w:r>
      <w:r/>
    </w:p>
    <w:p>
      <w:pPr>
        <w:pStyle w:val="676"/>
        <w:ind w:firstLine="420"/>
        <w:keepLines/>
        <w:keepNext/>
        <w:rPr>
          <w:rFonts w:hint="eastAsia" w:ascii="Arial" w:hAnsi="Arial" w:eastAsia="黑体" w:cs="Arial"/>
          <w:sz w:val="28"/>
          <w:szCs w:val="28"/>
        </w:rPr>
        <w:outlineLvl w:val="3"/>
      </w:pPr>
      <w:r/>
      <w:bookmarkStart w:id="118" w:name="_Toc513029228"/>
      <w:r/>
      <w:bookmarkStart w:id="119" w:name="_Toc16938544"/>
      <w:r/>
      <w:bookmarkStart w:id="120"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18"/>
      <w:r/>
      <w:bookmarkEnd w:id="119"/>
      <w:r/>
      <w:bookmarkEnd w:id="120"/>
      <w:r>
        <w:rPr>
          <w:rFonts w:hint="eastAsia" w:ascii="Arial" w:hAnsi="Arial" w:eastAsia="黑体" w:cs="Arial"/>
          <w:sz w:val="28"/>
          <w:szCs w:val="28"/>
        </w:rPr>
      </w:r>
      <w:r/>
    </w:p>
    <w:p>
      <w:pPr>
        <w:pStyle w:val="676"/>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676"/>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676"/>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rPr>
          <w:rFonts w:hint="eastAsia" w:ascii="宋体" w:hAnsi="宋体"/>
          <w:sz w:val="24"/>
          <w:szCs w:val="21"/>
        </w:rPr>
      </w:r>
      <w:r/>
    </w:p>
    <w:p>
      <w:pPr>
        <w:pStyle w:val="67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676"/>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rPr>
          <w:rFonts w:hint="eastAsia" w:ascii="宋体" w:hAnsi="宋体"/>
          <w:sz w:val="24"/>
          <w:szCs w:val="21"/>
        </w:rPr>
      </w:r>
      <w:r/>
    </w:p>
    <w:p>
      <w:pPr>
        <w:pStyle w:val="676"/>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rPr>
          <w:rFonts w:hint="eastAsia" w:ascii="宋体" w:hAnsi="宋体"/>
          <w:bCs/>
          <w:sz w:val="24"/>
          <w:szCs w:val="21"/>
        </w:rPr>
      </w:r>
      <w:r/>
    </w:p>
    <w:p>
      <w:pPr>
        <w:pStyle w:val="676"/>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rPr>
          <w:rFonts w:hint="eastAsia" w:ascii="宋体" w:hAnsi="宋体"/>
          <w:bCs/>
          <w:sz w:val="24"/>
          <w:szCs w:val="21"/>
        </w:rPr>
      </w:r>
      <w:r/>
    </w:p>
    <w:p>
      <w:pPr>
        <w:pStyle w:val="676"/>
        <w:ind w:firstLine="482"/>
        <w:keepLines/>
        <w:keepNext/>
        <w:spacing w:before="145" w:after="145" w:line="360" w:lineRule="auto"/>
        <w:rPr>
          <w:rFonts w:hint="eastAsia" w:ascii="Times New Roman" w:hAnsi="Times New Roman"/>
          <w:b/>
          <w:bCs/>
          <w:sz w:val="32"/>
          <w:szCs w:val="32"/>
        </w:rPr>
        <w:outlineLvl w:val="2"/>
      </w:pPr>
      <w:r/>
      <w:bookmarkStart w:id="121" w:name="_Toc16938545"/>
      <w:r/>
      <w:bookmarkStart w:id="122" w:name="_Toc20823301"/>
      <w:r/>
      <w:bookmarkStart w:id="123" w:name="_Toc513029229"/>
      <w:r/>
      <w:bookmarkStart w:id="124" w:name="_Toc120614218"/>
      <w:r>
        <w:rPr>
          <w:rFonts w:hint="eastAsia" w:ascii="Times New Roman" w:hAnsi="Times New Roman"/>
          <w:b/>
          <w:bCs/>
          <w:sz w:val="32"/>
          <w:szCs w:val="32"/>
        </w:rPr>
        <w:t xml:space="preserve">五、响应文件的解密与评审</w:t>
      </w:r>
      <w:bookmarkEnd w:id="121"/>
      <w:r/>
      <w:bookmarkEnd w:id="122"/>
      <w:r/>
      <w:bookmarkEnd w:id="123"/>
      <w:r/>
      <w:bookmarkEnd w:id="124"/>
      <w:r>
        <w:rPr>
          <w:rFonts w:hint="eastAsia" w:ascii="Times New Roman" w:hAnsi="Times New Roman"/>
          <w:b/>
          <w:bCs/>
          <w:sz w:val="32"/>
          <w:szCs w:val="32"/>
        </w:rPr>
      </w:r>
      <w:r/>
    </w:p>
    <w:p>
      <w:pPr>
        <w:pStyle w:val="676"/>
        <w:ind w:firstLine="420"/>
        <w:keepLines/>
        <w:keepNext/>
        <w:rPr>
          <w:rFonts w:hint="eastAsia" w:ascii="Arial" w:hAnsi="Arial" w:eastAsia="黑体" w:cs="Arial"/>
          <w:sz w:val="28"/>
          <w:szCs w:val="28"/>
        </w:rPr>
        <w:outlineLvl w:val="3"/>
      </w:pPr>
      <w:r/>
      <w:bookmarkStart w:id="125" w:name="_Toc513029230"/>
      <w:r/>
      <w:bookmarkStart w:id="126" w:name="_Toc20823302"/>
      <w:r/>
      <w:bookmarkStart w:id="127" w:name="_Toc16938546"/>
      <w:r>
        <w:rPr>
          <w:rFonts w:hint="eastAsia" w:ascii="Arial" w:hAnsi="Arial" w:eastAsia="黑体" w:cs="Arial"/>
          <w:sz w:val="28"/>
          <w:szCs w:val="28"/>
        </w:rPr>
        <w:t xml:space="preserve">22、</w:t>
      </w:r>
      <w:bookmarkEnd w:id="125"/>
      <w:r/>
      <w:bookmarkEnd w:id="126"/>
      <w:r/>
      <w:bookmarkEnd w:id="127"/>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676"/>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ascii="Times New Roman" w:hAnsi="Times New Roman"/>
          <w:szCs w:val="21"/>
        </w:rPr>
      </w:r>
      <w:r/>
    </w:p>
    <w:p>
      <w:pPr>
        <w:pStyle w:val="676"/>
        <w:ind w:firstLine="420"/>
        <w:keepLines/>
        <w:keepNext/>
        <w:rPr>
          <w:rFonts w:hint="eastAsia" w:ascii="Arial" w:hAnsi="Arial" w:eastAsia="黑体" w:cs="Arial"/>
          <w:sz w:val="28"/>
          <w:szCs w:val="28"/>
        </w:rPr>
        <w:outlineLvl w:val="3"/>
      </w:pPr>
      <w:r/>
      <w:bookmarkStart w:id="128" w:name="_Toc20823303"/>
      <w:r/>
      <w:bookmarkStart w:id="129" w:name="_Toc513029231"/>
      <w:r/>
      <w:bookmarkStart w:id="130"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、单一来源谈判小组</w:t>
      </w:r>
      <w:r>
        <w:rPr>
          <w:rFonts w:hint="eastAsia" w:ascii="Arial" w:hAnsi="Arial" w:eastAsia="黑体" w:cs="Arial"/>
          <w:sz w:val="28"/>
          <w:szCs w:val="28"/>
        </w:rPr>
      </w:r>
      <w:r/>
    </w:p>
    <w:p>
      <w:pPr>
        <w:pStyle w:val="67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rPr>
          <w:rFonts w:hint="eastAsia" w:ascii="宋体" w:hAnsi="宋体"/>
          <w:sz w:val="24"/>
          <w:szCs w:val="24"/>
        </w:rPr>
      </w:r>
      <w:r/>
    </w:p>
    <w:p>
      <w:pPr>
        <w:pStyle w:val="67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rPr>
          <w:rFonts w:hint="eastAsia" w:ascii="宋体" w:hAnsi="宋体"/>
          <w:sz w:val="24"/>
          <w:szCs w:val="24"/>
        </w:rPr>
      </w:r>
      <w:r/>
    </w:p>
    <w:p>
      <w:pPr>
        <w:pStyle w:val="676"/>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rPr>
          <w:rFonts w:hint="eastAsia" w:ascii="黑体" w:hAnsi="Arial" w:eastAsia="黑体" w:cs="Arial"/>
          <w:sz w:val="28"/>
          <w:szCs w:val="28"/>
        </w:rPr>
      </w:r>
      <w:r/>
    </w:p>
    <w:p>
      <w:pPr>
        <w:pStyle w:val="676"/>
        <w:ind w:firstLine="480"/>
        <w:spacing w:line="500" w:lineRule="exact"/>
        <w:rPr>
          <w:rFonts w:hint="eastAsia" w:ascii="宋体" w:hAnsi="宋体"/>
          <w:bCs/>
          <w:sz w:val="24"/>
          <w:szCs w:val="21"/>
        </w:rPr>
      </w:pPr>
      <w:r/>
      <w:bookmarkEnd w:id="128"/>
      <w:r/>
      <w:bookmarkEnd w:id="129"/>
      <w:r/>
      <w:bookmarkEnd w:id="130"/>
      <w:r/>
      <w:bookmarkStart w:id="131" w:name="_Toc16938548"/>
      <w:r/>
      <w:bookmarkStart w:id="132" w:name="_Toc513029232"/>
      <w:r/>
      <w:bookmarkStart w:id="133" w:name="_Toc208233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w:t>
      </w:r>
      <w:r>
        <w:rPr>
          <w:rFonts w:hint="eastAsia" w:ascii="宋体" w:hAnsi="宋体" w:eastAsia="宋体" w:cs="Times New Roman"/>
          <w:sz w:val="24"/>
          <w:szCs w:val="24"/>
        </w:rPr>
        <w:t xml:space="preserve">市政务服务中心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676"/>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rPr>
          <w:rFonts w:hint="eastAsia" w:ascii="宋体" w:hAnsi="宋体"/>
          <w:sz w:val="24"/>
          <w:szCs w:val="24"/>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1"/>
      <w:r/>
      <w:bookmarkEnd w:id="132"/>
      <w:r/>
      <w:bookmarkEnd w:id="133"/>
      <w:r>
        <w:rPr>
          <w:rFonts w:hint="eastAsia" w:ascii="Arial" w:hAnsi="Arial" w:eastAsia="黑体" w:cs="Arial"/>
          <w:sz w:val="28"/>
          <w:szCs w:val="28"/>
        </w:rPr>
      </w:r>
      <w:r/>
    </w:p>
    <w:p>
      <w:pPr>
        <w:pStyle w:val="676"/>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rPr>
          <w:rFonts w:hint="eastAsia" w:ascii="宋体" w:hAnsi="宋体" w:cs="宋体"/>
          <w:sz w:val="24"/>
          <w:szCs w:val="24"/>
        </w:rPr>
      </w:r>
      <w:r/>
    </w:p>
    <w:p>
      <w:pPr>
        <w:pStyle w:val="676"/>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676"/>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rPr>
          <w:rFonts w:hint="eastAsia" w:ascii="宋体" w:hAnsi="宋体"/>
          <w:sz w:val="24"/>
          <w:szCs w:val="24"/>
        </w:rPr>
      </w:r>
      <w:r/>
    </w:p>
    <w:p>
      <w:pPr>
        <w:pStyle w:val="676"/>
        <w:ind w:firstLine="420"/>
        <w:keepLines/>
        <w:keepNext/>
        <w:rPr>
          <w:rFonts w:hint="eastAsia" w:ascii="Arial" w:hAnsi="Arial" w:eastAsia="黑体" w:cs="Arial"/>
          <w:sz w:val="28"/>
          <w:szCs w:val="28"/>
        </w:rPr>
        <w:outlineLvl w:val="3"/>
      </w:pPr>
      <w:r/>
      <w:bookmarkStart w:id="134" w:name="_Toc513029233"/>
      <w:r/>
      <w:bookmarkStart w:id="135" w:name="_Toc16938549"/>
      <w:r/>
      <w:bookmarkStart w:id="136"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4"/>
      <w:r/>
      <w:bookmarkEnd w:id="135"/>
      <w:r/>
      <w:bookmarkEnd w:id="136"/>
      <w:r>
        <w:rPr>
          <w:rFonts w:hint="eastAsia" w:ascii="Arial" w:hAnsi="Arial" w:eastAsia="黑体" w:cs="Arial"/>
          <w:sz w:val="28"/>
          <w:szCs w:val="28"/>
        </w:rPr>
        <w:t xml:space="preserve">查</w:t>
      </w:r>
      <w:r>
        <w:rPr>
          <w:rFonts w:hint="eastAsia" w:ascii="Arial" w:hAnsi="Arial" w:eastAsia="黑体" w:cs="Arial"/>
          <w:sz w:val="28"/>
          <w:szCs w:val="28"/>
        </w:rPr>
      </w:r>
      <w:r/>
    </w:p>
    <w:p>
      <w:pPr>
        <w:pStyle w:val="676"/>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rPr>
          <w:rFonts w:hint="eastAsia" w:ascii="宋体" w:hAnsi="宋体"/>
          <w:bCs/>
          <w:sz w:val="24"/>
          <w:szCs w:val="21"/>
        </w:rPr>
      </w:r>
      <w:r/>
    </w:p>
    <w:p>
      <w:pPr>
        <w:pStyle w:val="676"/>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市交易中心的权利或供应商的义务。重大偏离由谈判小组按照少数服从多数的原则认定。谈判小组决定响应文件的响应性只根据响应文件本身的内容，而不寻求外部的证据。</w:t>
      </w:r>
      <w:r>
        <w:rPr>
          <w:rFonts w:hint="eastAsia" w:ascii="宋体" w:hAnsi="宋体"/>
          <w:sz w:val="24"/>
          <w:szCs w:val="24"/>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Cs/>
          <w:i/>
          <w:sz w:val="24"/>
          <w:szCs w:val="21"/>
          <w:u w:val="single"/>
        </w:rPr>
        <w:t xml:space="preserve">（本采购文件中斜体且有下划线部分为实质性要求和条件）。</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rPr>
          <w:rFonts w:hint="eastAsia" w:ascii="宋体" w:hAnsi="宋体"/>
          <w:bCs/>
          <w:sz w:val="24"/>
          <w:szCs w:val="21"/>
        </w:rPr>
      </w:r>
      <w:r/>
    </w:p>
    <w:p>
      <w:pPr>
        <w:pStyle w:val="676"/>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rPr>
          <w:rFonts w:hint="eastAsia" w:ascii="宋体" w:hAnsi="宋体"/>
          <w:bCs/>
          <w:sz w:val="24"/>
          <w:szCs w:val="21"/>
        </w:rPr>
      </w:r>
      <w:r/>
    </w:p>
    <w:p>
      <w:pPr>
        <w:pStyle w:val="676"/>
        <w:ind w:firstLine="480"/>
        <w:spacing w:line="460" w:lineRule="exact"/>
        <w:rPr>
          <w:rFonts w:hint="eastAsia" w:ascii="宋体" w:hAnsi="宋体"/>
          <w:sz w:val="24"/>
          <w:szCs w:val="21"/>
        </w:rPr>
      </w:pPr>
      <w:r/>
      <w:bookmarkStart w:id="137" w:name="_Toc20823306"/>
      <w:r/>
      <w:bookmarkStart w:id="138" w:name="_Toc513029234"/>
      <w:r/>
      <w:bookmarkStart w:id="139"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.6供应商在项目评审及谈判全过程中应保持通讯畅通，并安排专人与市交易中心及谈判小组联系。</w:t>
      </w:r>
      <w:r>
        <w:rPr>
          <w:rFonts w:hint="eastAsia" w:ascii="宋体" w:hAnsi="宋体"/>
          <w:sz w:val="24"/>
          <w:szCs w:val="21"/>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37"/>
      <w:r/>
      <w:bookmarkEnd w:id="138"/>
      <w:r/>
      <w:bookmarkEnd w:id="139"/>
      <w:r>
        <w:rPr>
          <w:rFonts w:hint="eastAsia" w:ascii="Arial" w:hAnsi="Arial" w:eastAsia="黑体" w:cs="Arial"/>
          <w:sz w:val="28"/>
          <w:szCs w:val="28"/>
        </w:rPr>
        <w:t xml:space="preserve">单一来源谈判及成交原则</w:t>
      </w:r>
      <w:r>
        <w:rPr>
          <w:rFonts w:hint="eastAsia" w:ascii="Arial" w:hAnsi="Arial" w:eastAsia="黑体" w:cs="Arial"/>
          <w:sz w:val="28"/>
          <w:szCs w:val="28"/>
        </w:rPr>
      </w:r>
      <w:r/>
    </w:p>
    <w:p>
      <w:pPr>
        <w:pStyle w:val="676"/>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与其就采购标的的价格、服务等内容进行单一来源谈判。</w:t>
      </w:r>
      <w:r>
        <w:rPr>
          <w:rFonts w:hint="eastAsia" w:ascii="宋体" w:hAnsi="宋体"/>
          <w:bCs/>
          <w:sz w:val="24"/>
          <w:szCs w:val="21"/>
        </w:rPr>
      </w:r>
      <w:r/>
    </w:p>
    <w:p>
      <w:pPr>
        <w:pStyle w:val="676"/>
        <w:ind w:firstLine="477"/>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rPr>
          <w:rFonts w:hint="eastAsia" w:ascii="宋体" w:hAnsi="宋体"/>
          <w:bCs/>
          <w:sz w:val="24"/>
          <w:szCs w:val="21"/>
        </w:rPr>
      </w:r>
      <w:r/>
    </w:p>
    <w:p>
      <w:pPr>
        <w:pStyle w:val="676"/>
        <w:ind w:firstLine="36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出现下列情形之一的，市交易中心将终止采购活动，发布项目终止公告并说明原因，重新开展采购活动：</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r>
      <w:r>
        <w:rPr>
          <w:rFonts w:hint="eastAsia" w:ascii="宋体" w:hAnsi="宋体"/>
          <w:bCs/>
          <w:sz w:val="24"/>
          <w:szCs w:val="21"/>
        </w:rPr>
        <w:br w:type="textWrapping" w:clear="all"/>
      </w: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676"/>
        <w:ind w:firstLine="482"/>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676"/>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rPr>
          <w:rFonts w:hint="eastAsia" w:ascii="Arial" w:hAnsi="Arial" w:eastAsia="黑体" w:cs="Arial"/>
          <w:sz w:val="28"/>
          <w:szCs w:val="28"/>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.1谈判小组根据谈判情况编写单一来源评审报告，推荐成交候选供应商。</w:t>
      </w:r>
      <w:r>
        <w:rPr>
          <w:rFonts w:hint="eastAsia" w:ascii="宋体" w:hAnsi="宋体"/>
          <w:bCs/>
          <w:sz w:val="24"/>
          <w:szCs w:val="21"/>
        </w:rPr>
      </w:r>
      <w:r/>
    </w:p>
    <w:p>
      <w:pPr>
        <w:pStyle w:val="676"/>
        <w:ind w:firstLine="480"/>
        <w:spacing w:line="440" w:lineRule="exact"/>
        <w:rPr>
          <w:rFonts w:ascii="宋体" w:hAnsi="宋体"/>
          <w:bCs/>
          <w:sz w:val="24"/>
          <w:szCs w:val="21"/>
        </w:rPr>
      </w:pPr>
      <w:r>
        <w:rPr>
          <w:rFonts w:hint="eastAsia" w:ascii="宋体" w:hAnsi="宋体"/>
          <w:bCs/>
          <w:sz w:val="24"/>
          <w:szCs w:val="21"/>
        </w:rPr>
        <w:t xml:space="preserve">28.2 采购人根据谈判小组推荐的成交候选供应商确定成交供应商。</w:t>
      </w:r>
      <w:r>
        <w:rPr>
          <w:rFonts w:ascii="宋体" w:hAnsi="宋体"/>
          <w:bCs/>
          <w:sz w:val="24"/>
          <w:szCs w:val="21"/>
        </w:rPr>
      </w:r>
      <w:r/>
    </w:p>
    <w:p>
      <w:pPr>
        <w:pStyle w:val="676"/>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2与评审专家、采购人、其他供应商或者市交易中心工作人员恶意串通的。</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向评审专家、采购人或市交易中心工作人员行贿或者提供其他不正当利益的。</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rPr>
          <w:rFonts w:hint="eastAsia" w:ascii="宋体" w:hAnsi="宋体"/>
          <w:bCs/>
          <w:sz w:val="24"/>
          <w:szCs w:val="21"/>
        </w:rPr>
      </w:r>
      <w:r/>
    </w:p>
    <w:p>
      <w:pPr>
        <w:pStyle w:val="676"/>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成交供应商被取消成交资格后，市交易中心有权重新组织采购。</w:t>
      </w:r>
      <w:r>
        <w:rPr>
          <w:rFonts w:hint="eastAsia" w:ascii="宋体" w:hAnsi="宋体"/>
          <w:bCs/>
          <w:sz w:val="24"/>
          <w:szCs w:val="21"/>
        </w:rPr>
      </w:r>
      <w:r/>
    </w:p>
    <w:p>
      <w:pPr>
        <w:pStyle w:val="676"/>
        <w:ind w:firstLine="600"/>
        <w:keepLines/>
        <w:keepNext/>
        <w:rPr>
          <w:rFonts w:hint="eastAsia" w:ascii="黑体" w:hAnsi="宋体" w:eastAsia="黑体"/>
          <w:bCs/>
          <w:sz w:val="30"/>
          <w:szCs w:val="30"/>
        </w:rPr>
        <w:outlineLvl w:val="3"/>
      </w:pPr>
      <w:r/>
      <w:bookmarkStart w:id="140"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0"/>
      <w:r>
        <w:rPr>
          <w:rFonts w:hint="eastAsia" w:ascii="黑体" w:hAnsi="宋体" w:eastAsia="黑体"/>
          <w:bCs/>
          <w:sz w:val="30"/>
          <w:szCs w:val="30"/>
        </w:rPr>
      </w:r>
      <w:r/>
    </w:p>
    <w:p>
      <w:pPr>
        <w:pStyle w:val="676"/>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29.1供应商认为采购过程和采购结果使自己的权益受到损害的，可以从采购结果公布之日起七个工作日内，以书面形式向市交易中心提出质疑。</w:t>
      </w:r>
      <w:r>
        <w:rPr>
          <w:rFonts w:hint="eastAsia" w:ascii="宋体" w:hAnsi="宋体"/>
          <w:sz w:val="24"/>
          <w:szCs w:val="24"/>
        </w:rPr>
      </w:r>
      <w:r/>
    </w:p>
    <w:p>
      <w:pPr>
        <w:pStyle w:val="676"/>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w:t>
      </w:r>
      <w:r>
        <w:rPr>
          <w:rFonts w:hint="eastAsia" w:ascii="宋体" w:hAnsi="宋体" w:eastAsia="宋体" w:cs="Times New Roman"/>
          <w:sz w:val="24"/>
          <w:szCs w:val="24"/>
        </w:rPr>
        <w:t xml:space="preserve">市政务服务中心</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67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.3质疑函必须按照本采购文件中《质疑函范本》要求的格式和内容进行填写。供应商如组成联合体参加谈判，则《质疑函范本》中要求签字、盖章、加盖公章之处，联合体各方均须按要求签字、盖章、加盖公章。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 </w:t>
      </w:r>
      <w:r>
        <w:rPr>
          <w:rFonts w:hint="eastAsia" w:ascii="宋体" w:hAnsi="宋体" w:eastAsia="宋体" w:cs="Times New Roman"/>
          <w:sz w:val="24"/>
          <w:szCs w:val="24"/>
        </w:rPr>
        <w:t xml:space="preserve">市政务服务中心</w:t>
      </w:r>
      <w:r>
        <w:rPr>
          <w:rFonts w:hint="eastAsia" w:ascii="宋体" w:hAnsi="宋体"/>
          <w:sz w:val="24"/>
          <w:szCs w:val="24"/>
        </w:rPr>
        <w:t xml:space="preserve">只接收以纸质原件形式送达的质疑,建议供应商尽量通过邮寄方式提交质疑.</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rPr>
          <w:rFonts w:hint="eastAsia" w:ascii="宋体" w:hAnsi="宋体"/>
          <w:sz w:val="24"/>
          <w:szCs w:val="24"/>
        </w:rPr>
      </w:r>
      <w:r/>
    </w:p>
    <w:p>
      <w:pPr>
        <w:pStyle w:val="676"/>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rPr>
          <w:rFonts w:hint="eastAsia" w:ascii="宋体" w:hAnsi="宋体"/>
          <w:sz w:val="24"/>
          <w:szCs w:val="24"/>
        </w:rPr>
      </w:r>
      <w:r/>
    </w:p>
    <w:p>
      <w:pPr>
        <w:pStyle w:val="676"/>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市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6"/>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676"/>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w:t>
      </w:r>
      <w:r>
        <w:rPr>
          <w:rFonts w:hint="eastAsia" w:ascii="宋体" w:hAnsi="宋体" w:eastAsia="宋体" w:cs="Times New Roman"/>
          <w:sz w:val="24"/>
          <w:szCs w:val="24"/>
        </w:rPr>
        <w:t xml:space="preserve">市政务服务中心</w:t>
      </w:r>
      <w:r>
        <w:rPr>
          <w:rFonts w:hint="eastAsia" w:ascii="宋体" w:hAnsi="宋体"/>
          <w:sz w:val="24"/>
          <w:szCs w:val="24"/>
        </w:rPr>
        <w:t xml:space="preserve">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7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676"/>
        <w:keepLines/>
        <w:keepNext/>
        <w:spacing w:before="145" w:after="145" w:line="360" w:lineRule="auto"/>
        <w:rPr>
          <w:rFonts w:hint="eastAsia" w:ascii="Times New Roman" w:hAnsi="Times New Roman"/>
          <w:b/>
          <w:bCs/>
          <w:sz w:val="32"/>
          <w:szCs w:val="32"/>
        </w:rPr>
        <w:outlineLvl w:val="2"/>
      </w:pPr>
      <w:r/>
      <w:bookmarkStart w:id="141" w:name="_Toc120614220"/>
      <w:r/>
      <w:bookmarkStart w:id="142" w:name="_Toc513029236"/>
      <w:r/>
      <w:bookmarkStart w:id="143" w:name="_Toc16938552"/>
      <w:r/>
      <w:bookmarkStart w:id="144" w:name="_Toc20823308"/>
      <w:r>
        <w:rPr>
          <w:rFonts w:hint="eastAsia" w:ascii="Times New Roman" w:hAnsi="Times New Roman"/>
          <w:b/>
          <w:bCs/>
          <w:sz w:val="32"/>
          <w:szCs w:val="32"/>
        </w:rPr>
        <w:t xml:space="preserve">七、授予合同</w:t>
      </w:r>
      <w:bookmarkEnd w:id="141"/>
      <w:r>
        <w:rPr>
          <w:rFonts w:hint="eastAsia" w:ascii="Times New Roman" w:hAnsi="Times New Roman"/>
          <w:b/>
          <w:bCs/>
          <w:sz w:val="32"/>
          <w:szCs w:val="32"/>
        </w:rPr>
      </w:r>
      <w:r/>
    </w:p>
    <w:p>
      <w:pPr>
        <w:pStyle w:val="676"/>
        <w:ind w:firstLine="600"/>
        <w:keepLines/>
        <w:keepNext/>
        <w:rPr>
          <w:rFonts w:hint="eastAsia" w:ascii="黑体" w:hAnsi="宋体" w:eastAsia="黑体"/>
          <w:bCs/>
          <w:sz w:val="30"/>
          <w:szCs w:val="30"/>
        </w:rPr>
        <w:outlineLvl w:val="3"/>
      </w:pPr>
      <w:r/>
      <w:bookmarkEnd w:id="142"/>
      <w:r/>
      <w:bookmarkEnd w:id="143"/>
      <w:r/>
      <w:bookmarkEnd w:id="144"/>
      <w:r/>
      <w:bookmarkStart w:id="145" w:name="_Toc20823309"/>
      <w:r/>
      <w:bookmarkStart w:id="146" w:name="_Toc513029237"/>
      <w:r/>
      <w:bookmarkStart w:id="147"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676"/>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rPr>
          <w:rFonts w:hint="eastAsia" w:ascii="宋体" w:hAnsi="宋体"/>
          <w:sz w:val="24"/>
          <w:szCs w:val="24"/>
        </w:rPr>
      </w:r>
      <w:r/>
    </w:p>
    <w:p>
      <w:pPr>
        <w:pStyle w:val="67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rPr>
          <w:rFonts w:hint="eastAsia" w:ascii="宋体" w:hAnsi="宋体"/>
          <w:sz w:val="24"/>
          <w:szCs w:val="24"/>
        </w:rPr>
      </w:r>
      <w:r/>
    </w:p>
    <w:p>
      <w:pPr>
        <w:pStyle w:val="676"/>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676"/>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676"/>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rPr>
          <w:rFonts w:hint="eastAsia" w:ascii="宋体" w:hAnsi="宋体"/>
          <w:sz w:val="24"/>
          <w:szCs w:val="24"/>
        </w:rPr>
      </w:r>
      <w:r/>
    </w:p>
    <w:p>
      <w:pPr>
        <w:pStyle w:val="676"/>
        <w:ind w:firstLine="600"/>
        <w:keepLines/>
        <w:keepNext/>
        <w:rPr>
          <w:rFonts w:ascii="黑体" w:hAnsi="宋体" w:eastAsia="黑体"/>
          <w:bCs/>
          <w:sz w:val="30"/>
          <w:szCs w:val="30"/>
        </w:rPr>
        <w:outlineLvl w:val="3"/>
      </w:pPr>
      <w:r/>
      <w:bookmarkEnd w:id="145"/>
      <w:r/>
      <w:bookmarkEnd w:id="146"/>
      <w:r/>
      <w:bookmarkEnd w:id="147"/>
      <w:r/>
      <w:bookmarkStart w:id="148" w:name="_Toc20823314"/>
      <w:r/>
      <w:bookmarkStart w:id="149" w:name="_Toc513029242"/>
      <w:r/>
      <w:bookmarkStart w:id="150" w:name="_Toc479757207"/>
      <w:r/>
      <w:bookmarkStart w:id="151" w:name="_Toc120614221"/>
      <w:r/>
      <w:bookmarkStart w:id="152" w:name="_Toc16938558"/>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76"/>
        <w:ind w:firstLine="556"/>
        <w:spacing w:line="0" w:lineRule="atLeast"/>
        <w:rPr>
          <w:rFonts w:ascii="宋体" w:hAnsi="宋体"/>
          <w:bCs/>
          <w:sz w:val="24"/>
          <w:szCs w:val="24"/>
        </w:rPr>
      </w:pPr>
      <w:r>
        <w:rPr>
          <w:rFonts w:hint="eastAsia" w:ascii="宋体" w:hAnsi="宋体"/>
          <w:bCs/>
          <w:sz w:val="24"/>
          <w:szCs w:val="24"/>
        </w:rPr>
        <w:t xml:space="preserve">33.1成交供应商可凭政府采购合同办理融资贷款，详情请见江苏政府采购网“政采贷”专栏。</w:t>
      </w:r>
      <w:r>
        <w:rPr>
          <w:rFonts w:ascii="宋体" w:hAnsi="宋体"/>
          <w:bCs/>
          <w:sz w:val="24"/>
          <w:szCs w:val="24"/>
        </w:rPr>
      </w:r>
      <w:r/>
    </w:p>
    <w:p>
      <w:pPr>
        <w:pStyle w:val="676"/>
        <w:ind w:firstLine="556"/>
        <w:spacing w:line="0" w:lineRule="atLeast"/>
        <w:rPr>
          <w:rFonts w:hint="eastAsia" w:hAnsi="宋体"/>
          <w:bCs/>
          <w:sz w:val="24"/>
          <w:szCs w:val="24"/>
        </w:rPr>
      </w:pPr>
      <w:r>
        <w:rPr>
          <w:rFonts w:hAnsi="宋体"/>
          <w:bCs/>
          <w:sz w:val="24"/>
          <w:szCs w:val="24"/>
        </w:rPr>
        <w:t xml:space="preserve">33.2</w:t>
      </w:r>
      <w:r>
        <w:rPr>
          <w:rFonts w:hint="eastAsia" w:hAnsi="宋体"/>
          <w:bCs/>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hAnsi="宋体"/>
          <w:bCs/>
          <w:sz w:val="24"/>
          <w:szCs w:val="24"/>
        </w:rPr>
      </w:r>
      <w:r/>
    </w:p>
    <w:p>
      <w:pPr>
        <w:pStyle w:val="676"/>
        <w:ind w:firstLine="600"/>
        <w:keepLines/>
        <w:keepNext/>
        <w:rPr>
          <w:rFonts w:ascii="黑体" w:hAnsi="黑体" w:eastAsia="黑体" w:cs="宋体"/>
          <w:sz w:val="30"/>
          <w:szCs w:val="30"/>
        </w:rPr>
      </w:pPr>
      <w:r>
        <w:rPr>
          <w:rFonts w:hint="eastAsia" w:ascii="黑体" w:hAnsi="黑体" w:eastAsia="黑体" w:cs="宋体"/>
          <w:sz w:val="30"/>
          <w:szCs w:val="30"/>
        </w:rPr>
        <w:t xml:space="preserve">33.</w:t>
      </w:r>
      <w:r>
        <w:rPr>
          <w:rFonts w:hint="eastAsia" w:ascii="黑体" w:hAnsi="黑体" w:eastAsia="黑体" w:cs="宋体"/>
          <w:sz w:val="30"/>
          <w:szCs w:val="30"/>
          <w:lang w:val="en-US" w:eastAsia="zh-CN"/>
        </w:rPr>
        <w:t xml:space="preserve">3</w:t>
      </w:r>
      <w:r>
        <w:rPr>
          <w:rFonts w:hint="eastAsia" w:ascii="黑体" w:hAnsi="黑体" w:eastAsia="黑体" w:cs="宋体"/>
          <w:sz w:val="30"/>
          <w:szCs w:val="30"/>
        </w:rPr>
        <w:t xml:space="preserve">实施本国产品标准及相关政策</w:t>
      </w:r>
      <w:r>
        <w:rPr>
          <w:rFonts w:ascii="黑体" w:hAnsi="黑体" w:eastAsia="黑体" w:cs="宋体"/>
          <w:sz w:val="30"/>
          <w:szCs w:val="30"/>
        </w:rPr>
      </w:r>
      <w:r/>
    </w:p>
    <w:p>
      <w:pPr>
        <w:pStyle w:val="676"/>
        <w:ind w:firstLine="556"/>
        <w:spacing w:line="0" w:lineRule="atLeast"/>
        <w:rPr>
          <w:rFonts w:ascii="宋体" w:hAnsi="宋体" w:eastAsia="宋体" w:cs="宋体"/>
          <w:sz w:val="24"/>
          <w:szCs w:val="24"/>
        </w:rPr>
      </w:pPr>
      <w:r>
        <w:rPr>
          <w:rFonts w:hint="eastAsia" w:ascii="宋体" w:hAnsi="宋体" w:eastAsia="宋体" w:cs="宋体"/>
          <w:sz w:val="24"/>
          <w:szCs w:val="24"/>
        </w:rPr>
        <w:t xml:space="preserve">1.本项目对采购本国产品给予政策支持。</w:t>
      </w:r>
      <w:r>
        <w:rPr>
          <w:rFonts w:ascii="宋体" w:hAnsi="宋体" w:eastAsia="宋体" w:cs="宋体"/>
          <w:sz w:val="24"/>
          <w:szCs w:val="24"/>
        </w:rPr>
      </w:r>
      <w:r/>
    </w:p>
    <w:p>
      <w:pPr>
        <w:pStyle w:val="676"/>
        <w:ind w:firstLine="556"/>
        <w:spacing w:line="0" w:lineRule="atLeast"/>
        <w:rPr>
          <w:rFonts w:ascii="宋体" w:hAnsi="宋体" w:eastAsia="宋体" w:cs="宋体"/>
          <w:sz w:val="24"/>
          <w:szCs w:val="24"/>
        </w:rPr>
      </w:pP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sz w:val="24"/>
          <w:szCs w:val="24"/>
        </w:rPr>
      </w:r>
      <w:r/>
    </w:p>
    <w:p>
      <w:pPr>
        <w:pStyle w:val="676"/>
        <w:ind w:firstLine="556"/>
        <w:spacing w:line="0" w:lineRule="atLeast"/>
        <w:rPr>
          <w:rFonts w:ascii="宋体" w:hAnsi="宋体" w:eastAsia="宋体" w:cs="宋体"/>
          <w:sz w:val="24"/>
          <w:szCs w:val="24"/>
        </w:rPr>
      </w:pP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sz w:val="24"/>
          <w:szCs w:val="24"/>
        </w:rPr>
      </w:r>
      <w:r/>
    </w:p>
    <w:p>
      <w:pPr>
        <w:pStyle w:val="676"/>
        <w:ind w:firstLine="556"/>
        <w:spacing w:line="0" w:lineRule="atLeast"/>
        <w:rPr>
          <w:rFonts w:ascii="宋体" w:hAnsi="宋体" w:eastAsia="宋体" w:cs="宋体"/>
          <w:sz w:val="24"/>
          <w:szCs w:val="24"/>
        </w:rPr>
      </w:pPr>
      <w:r>
        <w:rPr>
          <w:rFonts w:hint="eastAsia" w:ascii="宋体" w:hAnsi="宋体" w:eastAsia="宋体" w:cs="宋体"/>
          <w:sz w:val="24"/>
          <w:szCs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rPr>
          <w:rFonts w:ascii="宋体" w:hAnsi="宋体" w:eastAsia="宋体" w:cs="宋体"/>
          <w:sz w:val="24"/>
          <w:szCs w:val="24"/>
        </w:rPr>
      </w:r>
      <w:r/>
    </w:p>
    <w:p>
      <w:pPr>
        <w:pStyle w:val="676"/>
        <w:ind w:firstLine="556"/>
        <w:spacing w:line="0" w:lineRule="atLeast"/>
        <w:rPr>
          <w:rFonts w:hint="eastAsia" w:hAnsi="宋体"/>
          <w:bCs/>
          <w:sz w:val="24"/>
          <w:szCs w:val="24"/>
        </w:rPr>
      </w:pPr>
      <w:r>
        <w:rPr>
          <w:rFonts w:hint="eastAsia" w:hAnsi="宋体"/>
          <w:bCs/>
          <w:sz w:val="24"/>
          <w:szCs w:val="24"/>
        </w:rPr>
      </w:r>
      <w:r/>
    </w:p>
    <w:p>
      <w:pPr>
        <w:pStyle w:val="676"/>
        <w:ind w:firstLine="556"/>
        <w:spacing w:line="0" w:lineRule="atLeast"/>
        <w:rPr>
          <w:rFonts w:ascii="黑体" w:hAnsi="宋体" w:eastAsia="黑体"/>
          <w:bCs/>
          <w:sz w:val="30"/>
          <w:szCs w:val="30"/>
        </w:rPr>
      </w:pPr>
      <w:r>
        <w:rPr>
          <w:rFonts w:ascii="黑体" w:hAnsi="宋体" w:eastAsia="黑体"/>
          <w:bCs/>
          <w:sz w:val="30"/>
          <w:szCs w:val="30"/>
        </w:rPr>
        <w:t xml:space="preserve">34、</w:t>
      </w:r>
      <w:r>
        <w:rPr>
          <w:rFonts w:hint="eastAsia" w:ascii="黑体" w:hAnsi="宋体" w:eastAsia="黑体"/>
          <w:bCs/>
          <w:sz w:val="30"/>
          <w:szCs w:val="30"/>
        </w:rPr>
        <w:t xml:space="preserve">落实《商品包装政府采购需求标准（试行）》、《快递包装政府采购需求标准（试行）》的相关政策，商品包装和快递包装应符合文件要求。</w:t>
      </w:r>
      <w:r>
        <w:rPr>
          <w:rFonts w:ascii="黑体" w:hAnsi="宋体" w:eastAsia="黑体"/>
          <w:bCs/>
          <w:sz w:val="30"/>
          <w:szCs w:val="30"/>
        </w:rPr>
      </w:r>
      <w:r/>
    </w:p>
    <w:p>
      <w:pPr>
        <w:pStyle w:val="676"/>
        <w:ind w:firstLine="556"/>
        <w:spacing w:line="0" w:lineRule="atLeast"/>
        <w:rPr>
          <w:rFonts w:ascii="黑体" w:hAnsi="宋体" w:eastAsia="黑体"/>
          <w:bCs/>
          <w:sz w:val="30"/>
          <w:szCs w:val="30"/>
        </w:rPr>
      </w:pPr>
      <w:r>
        <w:rPr>
          <w:rFonts w:ascii="黑体" w:hAnsi="宋体" w:eastAsia="黑体"/>
          <w:bCs/>
          <w:sz w:val="30"/>
          <w:szCs w:val="30"/>
        </w:rPr>
        <w:t xml:space="preserve">35、</w:t>
      </w:r>
      <w:r>
        <w:rPr>
          <w:rFonts w:hint="eastAsia" w:ascii="黑体" w:hAnsi="宋体" w:eastAsia="黑体"/>
          <w:bCs/>
          <w:sz w:val="30"/>
          <w:szCs w:val="30"/>
        </w:rPr>
        <w:t xml:space="preserve">按照《绿色数据中心政府采购需求标准</w:t>
      </w:r>
      <w:r>
        <w:rPr>
          <w:rFonts w:ascii="黑体" w:hAnsi="宋体" w:eastAsia="黑体"/>
          <w:bCs/>
          <w:sz w:val="30"/>
          <w:szCs w:val="30"/>
        </w:rPr>
        <w:t xml:space="preserve">(试行)》（财库[2023]7号）文件要求执行。</w:t>
      </w:r>
      <w:r>
        <w:rPr>
          <w:rFonts w:ascii="黑体" w:hAnsi="宋体" w:eastAsia="黑体"/>
          <w:bCs/>
          <w:sz w:val="30"/>
          <w:szCs w:val="30"/>
        </w:rPr>
      </w:r>
      <w:r/>
    </w:p>
    <w:p>
      <w:pPr>
        <w:pStyle w:val="676"/>
      </w:pPr>
      <w:r/>
      <w:r/>
    </w:p>
    <w:p>
      <w:pPr>
        <w:pStyle w:val="676"/>
      </w:pPr>
      <w:r/>
      <w:r/>
    </w:p>
    <w:p>
      <w:pPr>
        <w:pStyle w:val="676"/>
      </w:pPr>
      <w:r/>
      <w:r/>
    </w:p>
    <w:p>
      <w:pPr>
        <w:pStyle w:val="676"/>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703"/>
      </w:pPr>
      <w:r/>
      <w:r/>
    </w:p>
    <w:p>
      <w:pPr>
        <w:pStyle w:val="677"/>
        <w:rPr>
          <w:rFonts w:hint="eastAsia" w:ascii="黑体" w:hAnsi="Courier New" w:eastAsia="黑体" w:cs="Courier New"/>
          <w:bCs/>
          <w:sz w:val="44"/>
          <w:szCs w:val="21"/>
        </w:rPr>
      </w:pPr>
      <w:r>
        <w:rPr>
          <w:rFonts w:hint="eastAsia" w:ascii="黑体" w:hAnsi="Courier New" w:eastAsia="黑体" w:cs="Courier New"/>
          <w:bCs/>
          <w:sz w:val="44"/>
          <w:szCs w:val="21"/>
        </w:rPr>
        <w:t xml:space="preserve">第三章  合同</w:t>
      </w:r>
      <w:bookmarkEnd w:id="148"/>
      <w:r/>
      <w:bookmarkEnd w:id="149"/>
      <w:r/>
      <w:bookmarkEnd w:id="150"/>
      <w:r/>
      <w:bookmarkEnd w:id="151"/>
      <w:r/>
      <w:bookmarkEnd w:id="152"/>
      <w:r>
        <w:rPr>
          <w:rFonts w:hint="eastAsia" w:ascii="黑体" w:hAnsi="Courier New" w:eastAsia="黑体" w:cs="Courier New"/>
          <w:bCs/>
          <w:sz w:val="44"/>
          <w:szCs w:val="21"/>
        </w:rPr>
        <w:t xml:space="preserve">文本</w:t>
      </w:r>
      <w:r>
        <w:rPr>
          <w:rFonts w:hint="eastAsia" w:ascii="黑体" w:hAnsi="Courier New" w:eastAsia="黑体" w:cs="Courier New"/>
          <w:bCs/>
          <w:sz w:val="44"/>
          <w:szCs w:val="21"/>
        </w:rPr>
      </w:r>
      <w:r/>
    </w:p>
    <w:p>
      <w:pPr>
        <w:pStyle w:val="676"/>
        <w:jc w:val="center"/>
        <w:spacing w:line="360" w:lineRule="auto"/>
        <w:rPr>
          <w:rFonts w:hint="eastAsia" w:ascii="宋体" w:hAnsi="宋体" w:cs="宋体"/>
          <w:b/>
          <w:sz w:val="30"/>
          <w:szCs w:val="30"/>
        </w:rPr>
      </w:pPr>
      <w:r/>
      <w:bookmarkStart w:id="153" w:name="_Hlt16619369"/>
      <w:r/>
      <w:bookmarkEnd w:id="153"/>
      <w:r/>
      <w:bookmarkStart w:id="154" w:name="_Hlt16619350"/>
      <w:r/>
      <w:bookmarkStart w:id="155" w:name="_Toc20823346"/>
      <w:r/>
      <w:bookmarkStart w:id="156" w:name="_Toc120614244"/>
      <w:r/>
      <w:bookmarkStart w:id="157" w:name="_Toc16938590"/>
      <w:r/>
      <w:r/>
      <w:r>
        <w:rPr>
          <w:rFonts w:hint="eastAsia" w:ascii="宋体" w:hAnsi="宋体" w:cs="宋体"/>
          <w:b/>
          <w:sz w:val="30"/>
          <w:szCs w:val="30"/>
        </w:rPr>
        <w:t xml:space="preserve"> </w:t>
      </w:r>
      <w:r>
        <w:rPr>
          <w:rFonts w:hint="eastAsia" w:ascii="宋体" w:hAnsi="宋体" w:cs="宋体"/>
          <w:b/>
          <w:sz w:val="30"/>
          <w:szCs w:val="30"/>
        </w:rPr>
      </w:r>
      <w:r/>
    </w:p>
    <w:p>
      <w:pPr>
        <w:pStyle w:val="676"/>
        <w:ind w:firstLine="482"/>
        <w:spacing w:line="360" w:lineRule="auto"/>
        <w:rPr>
          <w:rFonts w:hint="eastAsia" w:ascii="宋体" w:hAnsi="宋体" w:cs="宋体"/>
          <w:b/>
          <w:bCs/>
          <w:sz w:val="24"/>
          <w:szCs w:val="24"/>
          <w:u w:val="single"/>
        </w:rPr>
      </w:pPr>
      <w:r>
        <w:rPr>
          <w:rFonts w:hint="eastAsia" w:ascii="宋体" w:hAnsi="宋体" w:cs="宋体"/>
          <w:b/>
          <w:bCs/>
          <w:sz w:val="24"/>
          <w:szCs w:val="24"/>
        </w:rPr>
        <w:t xml:space="preserve">项目编号：</w:t>
      </w:r>
      <w:r>
        <w:rPr>
          <w:rFonts w:hint="eastAsia" w:ascii="宋体" w:hAnsi="宋体" w:cs="宋体"/>
          <w:b/>
          <w:bCs/>
          <w:sz w:val="24"/>
          <w:szCs w:val="24"/>
          <w:u w:val="single"/>
        </w:rPr>
        <w:t xml:space="preserve">           </w:t>
      </w:r>
      <w:r>
        <w:rPr>
          <w:rFonts w:hint="eastAsia" w:ascii="宋体" w:hAnsi="宋体" w:cs="宋体"/>
          <w:b/>
          <w:bCs/>
          <w:sz w:val="24"/>
          <w:szCs w:val="24"/>
          <w:u w:val="single"/>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项目名称：</w:t>
      </w:r>
      <w:r>
        <w:rPr>
          <w:rFonts w:hint="eastAsia" w:ascii="宋体" w:hAnsi="宋体" w:cs="宋体"/>
          <w:b/>
          <w:bCs/>
          <w:sz w:val="24"/>
          <w:szCs w:val="24"/>
          <w:u w:val="single"/>
        </w:rPr>
        <w:t xml:space="preserve"> </w:t>
      </w:r>
      <w:r>
        <w:rPr>
          <w:rFonts w:ascii="宋体" w:hAnsi="宋体" w:cs="宋体"/>
          <w:b/>
          <w:bCs/>
          <w:sz w:val="24"/>
          <w:szCs w:val="24"/>
          <w:u w:val="single"/>
        </w:rPr>
        <w:t xml:space="preserve">                               </w:t>
      </w:r>
      <w:r>
        <w:rPr>
          <w:rFonts w:hint="eastAsia" w:ascii="宋体" w:hAnsi="宋体" w:cs="宋体"/>
          <w:b/>
          <w:bCs/>
          <w:sz w:val="24"/>
          <w:szCs w:val="24"/>
          <w:u w:val="single"/>
        </w:rPr>
        <w:t xml:space="preserve"> </w:t>
      </w:r>
      <w:r>
        <w:rPr>
          <w:rFonts w:hint="eastAsia" w:ascii="宋体" w:hAnsi="宋体" w:cs="宋体"/>
          <w:b/>
          <w:bCs/>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采购人： </w:t>
      </w:r>
      <w:r>
        <w:rPr>
          <w:rFonts w:hint="eastAsia" w:ascii="宋体" w:hAnsi="宋体" w:cs="宋体"/>
          <w:b/>
          <w:bCs/>
          <w:sz w:val="24"/>
          <w:szCs w:val="24"/>
          <w:u w:val="single"/>
        </w:rPr>
        <w:t xml:space="preserve">   泰州市数据局  </w:t>
      </w:r>
      <w:r>
        <w:rPr>
          <w:rFonts w:hint="eastAsia" w:ascii="宋体" w:hAnsi="宋体" w:cs="宋体"/>
          <w:b/>
          <w:bCs/>
          <w:sz w:val="24"/>
          <w:szCs w:val="24"/>
        </w:rPr>
        <w:t xml:space="preserve">（以下简称甲方）</w:t>
      </w:r>
      <w:r>
        <w:rPr>
          <w:rFonts w:hint="eastAsia" w:ascii="宋体" w:hAnsi="宋体" w:cs="宋体"/>
          <w:b/>
          <w:bCs/>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住所地： </w:t>
      </w:r>
      <w:r>
        <w:rPr>
          <w:rFonts w:hint="eastAsia" w:ascii="宋体" w:hAnsi="宋体" w:cs="宋体"/>
          <w:b/>
          <w:bCs/>
          <w:sz w:val="24"/>
          <w:szCs w:val="24"/>
          <w:u w:val="single"/>
        </w:rPr>
        <w:t xml:space="preserve">  泰州市泰州大道388号   </w:t>
      </w:r>
      <w:r>
        <w:rPr>
          <w:rFonts w:hint="eastAsia" w:ascii="宋体" w:hAnsi="宋体" w:cs="宋体"/>
          <w:b/>
          <w:bCs/>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供应商： </w:t>
      </w:r>
      <w:r>
        <w:rPr>
          <w:rFonts w:hint="eastAsia" w:ascii="宋体" w:hAnsi="宋体" w:cs="宋体"/>
          <w:b/>
          <w:bCs/>
          <w:sz w:val="24"/>
          <w:szCs w:val="24"/>
          <w:u w:val="single"/>
        </w:rPr>
        <w:t xml:space="preserve">                   </w:t>
      </w:r>
      <w:r>
        <w:rPr>
          <w:rFonts w:hint="eastAsia" w:ascii="宋体" w:hAnsi="宋体" w:cs="宋体"/>
          <w:b/>
          <w:bCs/>
          <w:sz w:val="24"/>
          <w:szCs w:val="24"/>
        </w:rPr>
        <w:t xml:space="preserve">（以下简称乙方）</w:t>
      </w:r>
      <w:r>
        <w:rPr>
          <w:rFonts w:hint="eastAsia" w:ascii="宋体" w:hAnsi="宋体" w:cs="宋体"/>
          <w:b/>
          <w:bCs/>
          <w:sz w:val="24"/>
          <w:szCs w:val="24"/>
        </w:rPr>
      </w:r>
      <w:r/>
    </w:p>
    <w:p>
      <w:pPr>
        <w:pStyle w:val="676"/>
        <w:ind w:firstLine="482"/>
        <w:spacing w:line="360" w:lineRule="auto"/>
        <w:rPr>
          <w:rFonts w:hint="eastAsia" w:ascii="宋体" w:hAnsi="宋体" w:cs="宋体"/>
          <w:b/>
          <w:bCs/>
          <w:sz w:val="24"/>
          <w:szCs w:val="24"/>
          <w:u w:val="single"/>
        </w:rPr>
      </w:pPr>
      <w:r>
        <w:rPr>
          <w:rFonts w:hint="eastAsia" w:ascii="宋体" w:hAnsi="宋体" w:cs="宋体"/>
          <w:b/>
          <w:bCs/>
          <w:sz w:val="24"/>
          <w:szCs w:val="24"/>
        </w:rPr>
        <w:t xml:space="preserve">住所地： </w:t>
      </w:r>
      <w:r>
        <w:rPr>
          <w:rFonts w:hint="eastAsia" w:ascii="宋体" w:hAnsi="宋体" w:cs="宋体"/>
          <w:b/>
          <w:bCs/>
          <w:sz w:val="24"/>
          <w:szCs w:val="24"/>
          <w:u w:val="single"/>
        </w:rPr>
        <w:t xml:space="preserve">                         </w:t>
      </w:r>
      <w:r>
        <w:rPr>
          <w:rFonts w:hint="eastAsia" w:ascii="宋体" w:hAnsi="宋体" w:cs="宋体"/>
          <w:b/>
          <w:bCs/>
          <w:sz w:val="24"/>
          <w:szCs w:val="24"/>
          <w:u w:val="single"/>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根据《中华人民共和国政府采购法》、《民法典》等法律法规的规定，甲乙双方按照泰州市公共资源交易中心的采购结果签订本合同。</w:t>
      </w:r>
      <w:r>
        <w:rPr>
          <w:rFonts w:hint="eastAsia"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第一条 合同标的 乙方根据甲方需求提供下列服务：</w:t>
      </w:r>
      <w:r>
        <w:rPr>
          <w:rFonts w:hint="eastAsia" w:ascii="宋体" w:hAnsi="宋体" w:cs="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3827"/>
        <w:gridCol w:w="1276"/>
        <w:gridCol w:w="1525"/>
      </w:tblGrid>
      <w:tr>
        <w:trPr/>
        <w:tc>
          <w:tcPr>
            <w:tcW w:w="1668" w:type="dxa"/>
            <w:vAlign w:val="center"/>
            <w:textDirection w:val="lrTb"/>
            <w:noWrap w:val="false"/>
          </w:tcPr>
          <w:p>
            <w:pPr>
              <w:pStyle w:val="676"/>
              <w:jc w:val="center"/>
              <w:spacing w:line="360" w:lineRule="auto"/>
              <w:rPr>
                <w:rFonts w:ascii="宋体" w:hAnsi="宋体"/>
                <w:sz w:val="22"/>
              </w:rPr>
            </w:pPr>
            <w:r>
              <w:rPr>
                <w:rFonts w:hint="eastAsia" w:ascii="宋体" w:hAnsi="宋体"/>
                <w:sz w:val="22"/>
              </w:rPr>
              <w:t xml:space="preserve">序号</w:t>
            </w:r>
            <w:r>
              <w:rPr>
                <w:rFonts w:ascii="宋体" w:hAnsi="宋体"/>
                <w:sz w:val="22"/>
              </w:rPr>
            </w:r>
            <w:r/>
          </w:p>
        </w:tc>
        <w:tc>
          <w:tcPr>
            <w:tcW w:w="3827" w:type="dxa"/>
            <w:vAlign w:val="center"/>
            <w:textDirection w:val="lrTb"/>
            <w:noWrap w:val="false"/>
          </w:tcPr>
          <w:p>
            <w:pPr>
              <w:pStyle w:val="676"/>
              <w:jc w:val="center"/>
              <w:spacing w:line="360" w:lineRule="auto"/>
              <w:rPr>
                <w:rFonts w:ascii="宋体" w:hAnsi="宋体"/>
                <w:sz w:val="22"/>
              </w:rPr>
            </w:pPr>
            <w:r>
              <w:rPr>
                <w:rFonts w:hint="eastAsia" w:ascii="宋体" w:hAnsi="宋体"/>
                <w:sz w:val="22"/>
              </w:rPr>
              <w:t xml:space="preserve">名称</w:t>
            </w:r>
            <w:r>
              <w:rPr>
                <w:rFonts w:ascii="宋体" w:hAnsi="宋体"/>
                <w:sz w:val="22"/>
              </w:rPr>
            </w:r>
            <w:r/>
          </w:p>
        </w:tc>
        <w:tc>
          <w:tcPr>
            <w:tcW w:w="1276" w:type="dxa"/>
            <w:vAlign w:val="center"/>
            <w:textDirection w:val="lrTb"/>
            <w:noWrap w:val="false"/>
          </w:tcPr>
          <w:p>
            <w:pPr>
              <w:pStyle w:val="676"/>
              <w:jc w:val="center"/>
              <w:spacing w:line="360" w:lineRule="auto"/>
              <w:rPr>
                <w:rFonts w:ascii="宋体" w:hAnsi="宋体"/>
                <w:sz w:val="22"/>
              </w:rPr>
            </w:pPr>
            <w:r>
              <w:rPr>
                <w:rFonts w:hint="eastAsia" w:ascii="宋体" w:hAnsi="宋体"/>
                <w:sz w:val="22"/>
              </w:rPr>
              <w:t xml:space="preserve">数量</w:t>
            </w:r>
            <w:r>
              <w:rPr>
                <w:rFonts w:ascii="宋体" w:hAnsi="宋体"/>
                <w:sz w:val="22"/>
              </w:rPr>
            </w:r>
            <w:r/>
          </w:p>
        </w:tc>
        <w:tc>
          <w:tcPr>
            <w:tcW w:w="1525" w:type="dxa"/>
            <w:vAlign w:val="center"/>
            <w:textDirection w:val="lrTb"/>
            <w:noWrap w:val="false"/>
          </w:tcPr>
          <w:p>
            <w:pPr>
              <w:pStyle w:val="676"/>
              <w:jc w:val="center"/>
              <w:spacing w:line="360" w:lineRule="auto"/>
              <w:rPr>
                <w:rFonts w:ascii="宋体" w:hAnsi="宋体"/>
                <w:sz w:val="22"/>
              </w:rPr>
            </w:pPr>
            <w:r>
              <w:rPr>
                <w:rFonts w:hint="eastAsia" w:ascii="宋体" w:hAnsi="宋体"/>
                <w:sz w:val="22"/>
              </w:rPr>
              <w:t xml:space="preserve">单位</w:t>
            </w:r>
            <w:r>
              <w:rPr>
                <w:rFonts w:ascii="宋体" w:hAnsi="宋体"/>
                <w:sz w:val="22"/>
              </w:rPr>
            </w:r>
            <w:r/>
          </w:p>
        </w:tc>
      </w:tr>
      <w:tr>
        <w:trPr/>
        <w:tc>
          <w:tcPr>
            <w:tcW w:w="1668" w:type="dxa"/>
            <w:vAlign w:val="center"/>
            <w:textDirection w:val="lrTb"/>
            <w:noWrap w:val="false"/>
          </w:tcPr>
          <w:p>
            <w:pPr>
              <w:pStyle w:val="676"/>
              <w:jc w:val="center"/>
              <w:spacing w:line="360" w:lineRule="auto"/>
              <w:rPr>
                <w:rFonts w:ascii="宋体" w:hAnsi="宋体"/>
                <w:sz w:val="22"/>
              </w:rPr>
            </w:pPr>
            <w:r>
              <w:rPr>
                <w:rFonts w:hint="eastAsia" w:ascii="宋体" w:hAnsi="宋体"/>
                <w:sz w:val="22"/>
              </w:rPr>
              <w:t xml:space="preserve">1</w:t>
            </w:r>
            <w:r>
              <w:rPr>
                <w:rFonts w:ascii="宋体" w:hAnsi="宋体"/>
                <w:sz w:val="22"/>
              </w:rPr>
            </w:r>
            <w:r/>
          </w:p>
        </w:tc>
        <w:tc>
          <w:tcPr>
            <w:tcW w:w="3827" w:type="dxa"/>
            <w:vAlign w:val="center"/>
            <w:textDirection w:val="lrTb"/>
            <w:noWrap w:val="false"/>
          </w:tcPr>
          <w:p>
            <w:pPr>
              <w:pStyle w:val="676"/>
              <w:jc w:val="center"/>
              <w:spacing w:line="360" w:lineRule="auto"/>
              <w:rPr>
                <w:rFonts w:ascii="宋体" w:hAnsi="宋体"/>
                <w:sz w:val="22"/>
                <w:highlight w:val="yellow"/>
              </w:rPr>
            </w:pPr>
            <w:r>
              <w:rPr>
                <w:rFonts w:hint="eastAsia" w:ascii="宋体" w:hAnsi="宋体"/>
                <w:bCs/>
                <w:highlight w:val="yellow"/>
              </w:rPr>
              <w:t xml:space="preserve">202</w:t>
            </w:r>
            <w:r>
              <w:rPr>
                <w:rFonts w:hint="eastAsia" w:ascii="宋体" w:hAnsi="宋体"/>
                <w:bCs/>
                <w:highlight w:val="yellow"/>
                <w:lang w:val="en-US" w:eastAsia="zh-CN"/>
              </w:rPr>
              <w:t xml:space="preserve">6</w:t>
            </w:r>
            <w:r>
              <w:rPr>
                <w:rFonts w:hint="eastAsia" w:ascii="宋体" w:hAnsi="宋体"/>
                <w:bCs/>
                <w:highlight w:val="yellow"/>
              </w:rPr>
              <w:t xml:space="preserve">“数字泰州”公共数据综合服务</w:t>
            </w:r>
            <w:r>
              <w:rPr>
                <w:rFonts w:ascii="宋体" w:hAnsi="宋体"/>
                <w:sz w:val="22"/>
                <w:highlight w:val="yellow"/>
              </w:rPr>
            </w:r>
            <w:r/>
          </w:p>
        </w:tc>
        <w:tc>
          <w:tcPr>
            <w:tcW w:w="1276" w:type="dxa"/>
            <w:vAlign w:val="center"/>
            <w:textDirection w:val="lrTb"/>
            <w:noWrap w:val="false"/>
          </w:tcPr>
          <w:p>
            <w:pPr>
              <w:pStyle w:val="676"/>
              <w:jc w:val="center"/>
              <w:spacing w:line="360" w:lineRule="auto"/>
              <w:rPr>
                <w:rFonts w:ascii="宋体" w:hAnsi="宋体"/>
                <w:sz w:val="22"/>
              </w:rPr>
            </w:pPr>
            <w:r>
              <w:rPr>
                <w:rFonts w:hint="eastAsia" w:ascii="宋体" w:hAnsi="宋体"/>
                <w:sz w:val="22"/>
              </w:rPr>
              <w:t xml:space="preserve">1</w:t>
            </w:r>
            <w:r>
              <w:rPr>
                <w:rFonts w:ascii="宋体" w:hAnsi="宋体"/>
                <w:sz w:val="22"/>
              </w:rPr>
            </w:r>
            <w:r/>
          </w:p>
        </w:tc>
        <w:tc>
          <w:tcPr>
            <w:tcW w:w="1525" w:type="dxa"/>
            <w:vAlign w:val="center"/>
            <w:textDirection w:val="lrTb"/>
            <w:noWrap w:val="false"/>
          </w:tcPr>
          <w:p>
            <w:pPr>
              <w:pStyle w:val="676"/>
              <w:jc w:val="center"/>
              <w:spacing w:line="360" w:lineRule="auto"/>
              <w:rPr>
                <w:rFonts w:ascii="宋体" w:hAnsi="宋体"/>
                <w:sz w:val="22"/>
              </w:rPr>
            </w:pPr>
            <w:r>
              <w:rPr>
                <w:rFonts w:hint="eastAsia" w:ascii="宋体" w:hAnsi="宋体"/>
                <w:sz w:val="22"/>
              </w:rPr>
              <w:t xml:space="preserve">套</w:t>
            </w:r>
            <w:r>
              <w:rPr>
                <w:rFonts w:ascii="宋体" w:hAnsi="宋体"/>
                <w:sz w:val="22"/>
              </w:rPr>
            </w:r>
            <w:r/>
          </w:p>
        </w:tc>
      </w:tr>
    </w:tbl>
    <w:p>
      <w:pPr>
        <w:pStyle w:val="676"/>
        <w:ind w:firstLine="482"/>
        <w:spacing w:line="360" w:lineRule="auto"/>
        <w:rPr>
          <w:rFonts w:hint="eastAsia" w:ascii="宋体" w:hAnsi="宋体" w:cs="宋体"/>
          <w:sz w:val="24"/>
          <w:szCs w:val="24"/>
        </w:rPr>
      </w:pPr>
      <w:r>
        <w:rPr>
          <w:rFonts w:hint="eastAsia" w:ascii="宋体" w:hAnsi="宋体" w:cs="宋体"/>
          <w:b/>
          <w:bCs/>
          <w:sz w:val="24"/>
          <w:szCs w:val="24"/>
        </w:rPr>
        <w:t xml:space="preserve">第二条</w:t>
      </w:r>
      <w:r>
        <w:rPr>
          <w:rFonts w:hint="eastAsia" w:ascii="宋体" w:hAnsi="宋体" w:cs="宋体"/>
          <w:sz w:val="24"/>
          <w:szCs w:val="24"/>
        </w:rPr>
        <w:t xml:space="preserve"> 合同总价款 本合同项下产品总价款为</w:t>
      </w:r>
      <w:r>
        <w:rPr>
          <w:rFonts w:hint="eastAsia" w:ascii="宋体" w:hAnsi="宋体" w:cs="宋体"/>
          <w:b/>
          <w:bCs/>
          <w:sz w:val="24"/>
          <w:szCs w:val="24"/>
          <w:u w:val="single"/>
        </w:rPr>
        <w:t xml:space="preserve"> （大写）</w:t>
      </w:r>
      <w:r>
        <w:rPr>
          <w:rFonts w:hint="eastAsia" w:ascii="宋体" w:hAnsi="宋体" w:cs="宋体"/>
          <w:sz w:val="24"/>
          <w:szCs w:val="24"/>
        </w:rPr>
        <w:t xml:space="preserve">人民币，分项报价详见后表。   </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1.本合同总价款包含完成本服务项目发生的所有含税费用、支付给员工的工资和国家强制缴纳的各种社会保障资金，以及供应商认为需要的其他费用等。</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2.本合同执行期间合同总价款不变。</w:t>
      </w:r>
      <w:r>
        <w:rPr>
          <w:rFonts w:hint="eastAsia" w:ascii="宋体" w:hAnsi="宋体" w:cs="宋体"/>
          <w:sz w:val="24"/>
          <w:szCs w:val="24"/>
        </w:rPr>
      </w:r>
      <w:r/>
    </w:p>
    <w:p>
      <w:pPr>
        <w:pStyle w:val="676"/>
        <w:ind w:firstLine="480"/>
        <w:spacing w:line="360" w:lineRule="auto"/>
        <w:rPr>
          <w:rFonts w:ascii="宋体" w:hAnsi="宋体" w:cs="宋体"/>
          <w:sz w:val="24"/>
          <w:szCs w:val="24"/>
        </w:rPr>
      </w:pPr>
      <w:r>
        <w:rPr>
          <w:rFonts w:hint="eastAsia" w:ascii="宋体" w:hAnsi="宋体" w:cs="宋体"/>
          <w:sz w:val="24"/>
          <w:szCs w:val="24"/>
        </w:rPr>
        <w:t xml:space="preserve">3.分项报价：</w:t>
      </w:r>
      <w:r>
        <w:rPr>
          <w:rFonts w:ascii="宋体" w:hAnsi="宋体" w:cs="宋体"/>
          <w:sz w:val="24"/>
          <w:szCs w:val="24"/>
        </w:rPr>
        <w:t xml:space="preserve"> </w:t>
      </w:r>
      <w:r>
        <w:rPr>
          <w:rFonts w:ascii="宋体" w:hAnsi="宋体" w:cs="宋体"/>
          <w:sz w:val="24"/>
          <w:szCs w:val="24"/>
        </w:rPr>
      </w:r>
      <w:r/>
    </w:p>
    <w:tbl>
      <w:tblPr>
        <w:tblW w:w="9639" w:type="dxa"/>
        <w:tblInd w:w="0" w:type="dxa"/>
        <w:tblLayout w:type="autofit"/>
        <w:tblCellMar>
          <w:left w:w="108" w:type="dxa"/>
          <w:top w:w="0" w:type="dxa"/>
          <w:right w:w="108" w:type="dxa"/>
          <w:bottom w:w="0" w:type="dxa"/>
        </w:tblCellMar>
        <w:tblLook w:val="04A0" w:firstRow="1" w:lastRow="0" w:firstColumn="1" w:lastColumn="0" w:noHBand="0" w:noVBand="1"/>
      </w:tblPr>
      <w:tblGrid>
        <w:gridCol w:w="851"/>
        <w:gridCol w:w="6662"/>
        <w:gridCol w:w="2126"/>
      </w:tblGrid>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hint="eastAsia" w:ascii="宋体" w:hAnsi="宋体"/>
                <w:color w:val="000000"/>
                <w:sz w:val="24"/>
                <w:szCs w:val="24"/>
                <w:highlight w:val="none"/>
              </w:rPr>
            </w:pPr>
            <w:r>
              <w:rPr>
                <w:rStyle w:val="795"/>
                <w:rFonts w:ascii="宋体" w:eastAsia="宋体"/>
                <w:highlight w:val="none"/>
                <w:lang w:bidi="ar"/>
              </w:rPr>
              <w:t xml:space="preserve">序号</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tcPr>
          <w:p>
            <w:pPr>
              <w:pStyle w:val="676"/>
              <w:jc w:val="center"/>
              <w:spacing w:line="560" w:lineRule="exact"/>
              <w:widowControl/>
              <w:rPr>
                <w:rFonts w:ascii="宋体" w:hAnsi="宋体" w:cs="黑体"/>
                <w:color w:val="000000"/>
                <w:sz w:val="24"/>
                <w:szCs w:val="24"/>
                <w:highlight w:val="none"/>
              </w:rPr>
            </w:pPr>
            <w:r>
              <w:rPr>
                <w:rFonts w:hint="eastAsia" w:ascii="宋体" w:hAnsi="宋体" w:cs="黑体"/>
                <w:color w:val="000000"/>
                <w:sz w:val="24"/>
                <w:szCs w:val="24"/>
                <w:highlight w:val="none"/>
                <w:lang w:bidi="ar"/>
              </w:rPr>
              <w:t xml:space="preserve">项目名称</w:t>
            </w:r>
            <w:r>
              <w:rPr>
                <w:rFonts w:ascii="宋体" w:hAnsi="宋体" w:cs="黑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s="黑体"/>
                <w:color w:val="000000"/>
                <w:sz w:val="24"/>
                <w:szCs w:val="24"/>
                <w:highlight w:val="none"/>
              </w:rPr>
            </w:pPr>
            <w:r>
              <w:rPr>
                <w:rFonts w:hint="eastAsia" w:ascii="宋体" w:hAnsi="宋体" w:cs="黑体"/>
                <w:color w:val="000000"/>
                <w:sz w:val="24"/>
                <w:szCs w:val="24"/>
                <w:highlight w:val="none"/>
                <w:lang w:bidi="ar"/>
              </w:rPr>
              <w:t xml:space="preserve">响应报价（</w:t>
            </w:r>
            <w:r>
              <w:rPr>
                <w:rFonts w:hint="eastAsia" w:ascii="宋体" w:hAnsi="宋体" w:cs="方正仿宋_GBK"/>
                <w:sz w:val="24"/>
                <w:szCs w:val="24"/>
                <w:highlight w:val="none"/>
              </w:rPr>
              <w:t xml:space="preserve">万元</w:t>
            </w:r>
            <w:r>
              <w:rPr>
                <w:rFonts w:hint="eastAsia" w:ascii="宋体" w:hAnsi="宋体" w:cs="黑体"/>
                <w:color w:val="000000"/>
                <w:sz w:val="24"/>
                <w:szCs w:val="24"/>
                <w:highlight w:val="none"/>
                <w:lang w:bidi="ar"/>
              </w:rPr>
              <w:t xml:space="preserve">）</w:t>
            </w:r>
            <w:r>
              <w:rPr>
                <w:rFonts w:hint="eastAsia" w:ascii="宋体" w:hAnsi="宋体" w:cs="黑体"/>
                <w:color w:val="000000"/>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hint="eastAsia" w:ascii="宋体" w:hAnsi="宋体"/>
                <w:color w:val="000000"/>
                <w:sz w:val="24"/>
                <w:szCs w:val="24"/>
                <w:highlight w:val="none"/>
              </w:rPr>
            </w:pPr>
            <w:r>
              <w:rPr>
                <w:rFonts w:ascii="宋体" w:hAnsi="宋体"/>
                <w:color w:val="000000"/>
                <w:sz w:val="24"/>
                <w:szCs w:val="24"/>
                <w:highlight w:val="none"/>
                <w:lang w:bidi="ar"/>
              </w:rPr>
              <w:t xml:space="preserve">1</w:t>
            </w:r>
            <w:r>
              <w:rPr>
                <w:rFonts w:hint="eastAsia"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市委政法委市域社会治理现代化指挥平台三期（</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2</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市城管局城市运行管理平台升级（</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3</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市教育局阳光招生平台升级（</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4</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市司法局“泰</w:t>
            </w:r>
            <w:r>
              <w:rPr>
                <w:rFonts w:ascii="Times New Roman" w:hAnsi="Times New Roman"/>
                <w:color w:val="000000"/>
                <w:sz w:val="24"/>
                <w:szCs w:val="24"/>
                <w:highlight w:val="none"/>
                <w:lang w:val="en-US" w:eastAsia="zh-CN" w:bidi="ar"/>
              </w:rPr>
              <w:t xml:space="preserve">E</w:t>
            </w:r>
            <w:r>
              <w:rPr>
                <w:rFonts w:hint="eastAsia" w:ascii="Times New Roman" w:hAnsi="Times New Roman"/>
                <w:color w:val="000000"/>
                <w:sz w:val="24"/>
                <w:szCs w:val="24"/>
                <w:highlight w:val="none"/>
                <w:lang w:val="en-US" w:eastAsia="zh-CN" w:bidi="ar"/>
              </w:rPr>
              <w:t xml:space="preserve">法”合法性审查应用系统（</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5</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市住建局“智慧住建”政务信息化平台升级（</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6</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市急救中心智慧急救系统升级（</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7</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市卫健委健康泰州数字化能力提升工程升级（</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8</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市退役军人事务局“四全”服务智能支持保障系统（</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9</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市应急局智慧应急综合管理平台升级优化（</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10</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市国资国企在线监管平台升级改造（</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11</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市公共资源交易平台升级改造（</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12</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市政务服务一体化平台（</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13</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市企业全生命周期管理服务平台服务（</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14</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市网络和公共数据安全服务（</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15</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市一网统管城市运行指标（</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16</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市级智慧门户购买服务（</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17</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市公共数据服务（</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61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18</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市发改委公共信用信息平台运维（</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19</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市卫健委医疗电子票据系统运维（</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20</w:t>
            </w:r>
            <w:r>
              <w:rPr>
                <w:rFonts w:ascii="宋体" w:hAnsi="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val="false"/>
          </w:tcPr>
          <w:p>
            <w:pPr>
              <w:pStyle w:val="676"/>
              <w:ind w:firstLine="0"/>
              <w:jc w:val="left"/>
              <w:spacing w:line="240" w:lineRule="auto"/>
              <w:widowControl/>
              <w:rPr>
                <w:rFonts w:ascii="宋体" w:hAnsi="宋体" w:cs="方正仿宋_GBK"/>
                <w:color w:val="000000"/>
                <w:sz w:val="24"/>
                <w:szCs w:val="24"/>
                <w:highlight w:val="none"/>
              </w:rPr>
            </w:pPr>
            <w:r>
              <w:rPr>
                <w:rFonts w:hint="eastAsia" w:ascii="Times New Roman" w:hAnsi="Times New Roman"/>
                <w:color w:val="000000"/>
                <w:sz w:val="24"/>
                <w:szCs w:val="24"/>
                <w:highlight w:val="none"/>
                <w:lang w:val="en-US" w:eastAsia="zh-CN" w:bidi="ar"/>
              </w:rPr>
              <w:t xml:space="preserve">数字泰州综合运维（</w:t>
            </w:r>
            <w:r>
              <w:rPr>
                <w:rFonts w:ascii="Times New Roman" w:hAnsi="Times New Roman"/>
                <w:color w:val="000000"/>
                <w:sz w:val="24"/>
                <w:szCs w:val="24"/>
                <w:highlight w:val="none"/>
                <w:lang w:val="en-US" w:eastAsia="zh-CN" w:bidi="ar"/>
              </w:rPr>
              <w:t xml:space="preserve">2026</w:t>
            </w:r>
            <w:r>
              <w:rPr>
                <w:rFonts w:hint="eastAsia" w:ascii="Times New Roman" w:hAnsi="Times New Roman"/>
                <w:color w:val="000000"/>
                <w:sz w:val="24"/>
                <w:szCs w:val="24"/>
                <w:highlight w:val="none"/>
                <w:lang w:val="en-US" w:eastAsia="zh-CN" w:bidi="ar"/>
              </w:rPr>
              <w:t xml:space="preserve">）项目</w:t>
            </w:r>
            <w:r>
              <w:rPr>
                <w:rFonts w:ascii="宋体" w:hAnsi="宋体" w:cs="方正仿宋_GBK"/>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676"/>
              <w:jc w:val="center"/>
              <w:spacing w:line="5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合计</w:t>
            </w: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62" w:type="dxa"/>
            <w:vAlign w:val="center"/>
            <w:textDirection w:val="lrTb"/>
            <w:noWrap/>
          </w:tcPr>
          <w:p>
            <w:pPr>
              <w:pStyle w:val="676"/>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pStyle w:val="676"/>
              <w:jc w:val="center"/>
              <w:spacing w:line="560" w:lineRule="exact"/>
              <w:widowControl/>
              <w:rPr>
                <w:rFonts w:hint="eastAsia" w:ascii="宋体" w:hAnsi="宋体"/>
                <w:color w:val="000000"/>
                <w:sz w:val="24"/>
                <w:szCs w:val="24"/>
                <w:highlight w:val="none"/>
                <w:lang w:bidi="ar"/>
              </w:rPr>
            </w:pPr>
            <w:r>
              <w:rPr>
                <w:rFonts w:hint="eastAsia" w:ascii="宋体" w:hAnsi="宋体"/>
                <w:color w:val="000000"/>
                <w:sz w:val="24"/>
                <w:szCs w:val="24"/>
                <w:highlight w:val="none"/>
                <w:lang w:bidi="ar"/>
              </w:rPr>
            </w:r>
            <w:r/>
          </w:p>
        </w:tc>
      </w:tr>
    </w:tbl>
    <w:p>
      <w:pPr>
        <w:pStyle w:val="676"/>
        <w:ind w:firstLine="482"/>
        <w:spacing w:line="360" w:lineRule="auto"/>
        <w:rPr>
          <w:rFonts w:ascii="宋体" w:hAnsi="宋体" w:cs="宋体"/>
          <w:b/>
          <w:bCs/>
          <w:sz w:val="24"/>
          <w:szCs w:val="24"/>
        </w:rPr>
      </w:pPr>
      <w:r>
        <w:rPr>
          <w:rFonts w:ascii="宋体" w:hAnsi="宋体" w:cs="宋体"/>
          <w:b/>
          <w:bCs/>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第三条 组成本合同的有关文件</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下列关于</w:t>
      </w:r>
      <w:r>
        <w:rPr>
          <w:rFonts w:hint="eastAsia" w:ascii="宋体" w:hAnsi="宋体" w:cs="宋体"/>
          <w:sz w:val="24"/>
          <w:szCs w:val="24"/>
          <w:u w:val="single"/>
        </w:rPr>
        <w:t xml:space="preserve"> 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“数字泰州”公共数据综合服务</w:t>
      </w:r>
      <w:r>
        <w:rPr>
          <w:rFonts w:hint="eastAsia" w:ascii="宋体" w:hAnsi="宋体" w:cs="宋体"/>
          <w:sz w:val="24"/>
          <w:szCs w:val="24"/>
        </w:rPr>
        <w:t xml:space="preserve">采购活动方式相适应的文件及有关附件是本合同不可分割的组成部分，与本合同具有同等法律效力，这些文件包括但不限于：</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（1）乙方提供的响应文件和分项报价表；</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（2）技术规格响应表；</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（3）响应承诺/服务承诺；</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（4）成交通知书；</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（5）甲乙双方商定的其他文件等。</w:t>
      </w:r>
      <w:r>
        <w:rPr>
          <w:rFonts w:hint="eastAsia"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第四条 履行合同期限、地点</w:t>
      </w:r>
      <w:r>
        <w:rPr>
          <w:rFonts w:hint="eastAsia" w:ascii="宋体" w:hAnsi="宋体" w:cs="宋体"/>
          <w:b/>
          <w:bCs/>
          <w:sz w:val="24"/>
          <w:szCs w:val="24"/>
        </w:rPr>
      </w:r>
      <w:r/>
    </w:p>
    <w:p>
      <w:pPr>
        <w:pStyle w:val="676"/>
        <w:ind w:firstLine="480"/>
        <w:spacing w:line="360" w:lineRule="auto"/>
        <w:rPr>
          <w:rFonts w:ascii="宋体" w:hAnsi="宋体" w:cs="宋体"/>
          <w:sz w:val="24"/>
          <w:szCs w:val="24"/>
          <w:u w:val="single"/>
        </w:rPr>
      </w:pPr>
      <w:r>
        <w:rPr>
          <w:rFonts w:hint="eastAsia" w:ascii="宋体" w:hAnsi="宋体" w:cs="宋体"/>
          <w:sz w:val="24"/>
          <w:szCs w:val="24"/>
        </w:rPr>
        <w:t xml:space="preserve">1.履行合同期限：</w:t>
      </w:r>
      <w:r>
        <w:rPr>
          <w:rFonts w:hint="eastAsia" w:ascii="宋体" w:hAnsi="宋体" w:cs="宋体"/>
          <w:sz w:val="24"/>
          <w:szCs w:val="24"/>
          <w:u w:val="single"/>
        </w:rPr>
        <w:t xml:space="preserve"> 合同生效之日起1年</w:t>
      </w:r>
      <w:r>
        <w:rPr>
          <w:rFonts w:ascii="宋体" w:hAnsi="宋体" w:cs="宋体"/>
          <w:sz w:val="24"/>
          <w:szCs w:val="24"/>
          <w:u w:val="single"/>
        </w:rPr>
        <w:t xml:space="preserve"> </w:t>
      </w:r>
      <w:r>
        <w:rPr>
          <w:rFonts w:ascii="宋体" w:hAnsi="宋体" w:cs="宋体"/>
          <w:sz w:val="24"/>
          <w:szCs w:val="24"/>
          <w:u w:val="single"/>
        </w:rPr>
      </w:r>
      <w:r/>
    </w:p>
    <w:p>
      <w:pPr>
        <w:pStyle w:val="676"/>
        <w:ind w:firstLine="480"/>
        <w:spacing w:line="360" w:lineRule="auto"/>
        <w:rPr>
          <w:rFonts w:ascii="宋体" w:hAnsi="宋体" w:cs="宋体"/>
          <w:sz w:val="24"/>
          <w:szCs w:val="24"/>
        </w:rPr>
      </w:pPr>
      <w:r>
        <w:rPr>
          <w:rFonts w:hint="eastAsia" w:ascii="宋体" w:hAnsi="宋体" w:cs="宋体"/>
          <w:sz w:val="24"/>
          <w:szCs w:val="24"/>
        </w:rPr>
        <w:t xml:space="preserve">2.履行合同地点：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泰州市</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第五条 权利保证</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乙方应保证向甲方提供的服务不受第三方提出侵犯其专利权、版权、商标权或其他权利的起诉。一旦出现侵权，乙方应承担全部责任。</w:t>
      </w:r>
      <w:r>
        <w:rPr>
          <w:rFonts w:hint="eastAsia"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第六条 质量保证</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乙方提供的服务质量应当符合采购文件的约定，以及乙方的承诺。</w:t>
      </w:r>
      <w:r>
        <w:rPr>
          <w:rFonts w:hint="eastAsia"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第七条 验收</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甲方成立验收小组，按照采购合同的约定对乙方履约情况进行验收，合同全部履行结束后进行验收。验收时，按照采购合同的约定对每一项技术、服务、安全标准的履约情况进行确认。验收结束后，甲方出具验收书，列明各项标准的验收情况及项目总体评价，由验收双方共同签署。验收结果与采购合同约定的资金支付条件挂钩。</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2.甲方可以邀请参加本项目的其他供应商或第三方专业机构及专家参与验收。</w:t>
      </w:r>
      <w:r>
        <w:rPr>
          <w:rFonts w:hint="eastAsia" w:ascii="宋体" w:hAnsi="宋体" w:cs="宋体"/>
          <w:sz w:val="24"/>
          <w:szCs w:val="24"/>
        </w:rPr>
      </w:r>
      <w:r/>
    </w:p>
    <w:p>
      <w:pPr>
        <w:pStyle w:val="676"/>
        <w:ind w:firstLine="482"/>
        <w:spacing w:line="360" w:lineRule="auto"/>
        <w:rPr>
          <w:rFonts w:ascii="宋体" w:hAnsi="宋体" w:cs="宋体"/>
          <w:b/>
          <w:bCs/>
          <w:sz w:val="24"/>
          <w:szCs w:val="24"/>
        </w:rPr>
      </w:pPr>
      <w:r>
        <w:rPr>
          <w:rFonts w:hint="eastAsia" w:ascii="宋体" w:hAnsi="宋体" w:cs="宋体"/>
          <w:b/>
          <w:bCs/>
          <w:sz w:val="24"/>
          <w:szCs w:val="24"/>
        </w:rPr>
        <w:t xml:space="preserve">第八条</w:t>
      </w:r>
      <w:r>
        <w:rPr>
          <w:rFonts w:ascii="宋体" w:hAnsi="宋体" w:cs="宋体"/>
          <w:b/>
          <w:bCs/>
          <w:sz w:val="24"/>
          <w:szCs w:val="24"/>
        </w:rPr>
        <w:t xml:space="preserve"> </w:t>
      </w:r>
      <w:r>
        <w:rPr>
          <w:rFonts w:hint="eastAsia" w:ascii="宋体" w:hAnsi="宋体" w:cs="宋体"/>
          <w:b/>
          <w:bCs/>
          <w:sz w:val="24"/>
          <w:szCs w:val="24"/>
        </w:rPr>
        <w:t xml:space="preserve">履约保证金</w:t>
      </w:r>
      <w:r>
        <w:rPr>
          <w:rFonts w:ascii="宋体" w:hAnsi="宋体" w:cs="宋体"/>
          <w:b/>
          <w:bCs/>
          <w:sz w:val="24"/>
          <w:szCs w:val="24"/>
        </w:rPr>
      </w:r>
      <w:r/>
    </w:p>
    <w:p>
      <w:pPr>
        <w:pStyle w:val="676"/>
        <w:ind w:firstLine="480"/>
        <w:spacing w:line="360" w:lineRule="auto"/>
        <w:rPr>
          <w:rFonts w:hint="eastAsia"/>
        </w:rPr>
      </w:pPr>
      <w:r>
        <w:rPr>
          <w:rFonts w:hint="eastAsia" w:ascii="宋体" w:hAnsi="宋体" w:cs="宋体"/>
          <w:sz w:val="24"/>
          <w:szCs w:val="24"/>
        </w:rPr>
        <w:t xml:space="preserve">本项目不收取履约保证金。</w:t>
      </w:r>
      <w:r>
        <w:rPr>
          <w:rFonts w:hint="eastAsia"/>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第九条 合同款支付</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 本合同项下所有款项均以银行转账支付。</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 本合同项下的采购资金由甲方自行支付，乙方向甲方开具发票。</w:t>
      </w:r>
      <w:r>
        <w:rPr>
          <w:rFonts w:hint="eastAsia" w:ascii="宋体" w:hAnsi="宋体" w:cs="宋体"/>
          <w:sz w:val="24"/>
          <w:szCs w:val="24"/>
        </w:rPr>
      </w:r>
      <w:r/>
    </w:p>
    <w:p>
      <w:pPr>
        <w:pStyle w:val="67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 付款条件：</w:t>
      </w: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1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①</w:t>
      </w:r>
      <w:r>
        <w:rPr>
          <w:rFonts w:ascii="宋体" w:hAnsi="宋体" w:cs="宋体"/>
          <w:sz w:val="24"/>
          <w:szCs w:val="24"/>
          <w:highlight w:val="none"/>
        </w:rPr>
        <w:fldChar w:fldCharType="end"/>
      </w:r>
      <w:r>
        <w:rPr>
          <w:rFonts w:hint="eastAsia" w:ascii="宋体" w:hAnsi="宋体" w:cs="宋体"/>
          <w:sz w:val="24"/>
          <w:szCs w:val="24"/>
          <w:highlight w:val="none"/>
        </w:rPr>
        <w:t xml:space="preserve">自合同生效之日起，甲方收到乙方提供有效的票据后30日内，支付合同总价的</w:t>
      </w: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w:t>
      </w: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2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②</w:t>
      </w:r>
      <w:r>
        <w:rPr>
          <w:rFonts w:ascii="宋体" w:hAnsi="宋体" w:cs="宋体"/>
          <w:sz w:val="24"/>
          <w:szCs w:val="24"/>
          <w:highlight w:val="none"/>
        </w:rPr>
        <w:fldChar w:fldCharType="end"/>
      </w:r>
      <w:r>
        <w:rPr>
          <w:rFonts w:hint="eastAsia" w:ascii="宋体" w:hAnsi="宋体" w:cs="宋体"/>
          <w:sz w:val="24"/>
          <w:szCs w:val="24"/>
          <w:highlight w:val="none"/>
        </w:rPr>
        <w:t xml:space="preserve">合同签订后第6个月甲方根据服务情况组织阶段性验收（不少于1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个服务），完成验收后，支付合同总价的</w:t>
      </w:r>
      <w:r>
        <w:rPr>
          <w:rFonts w:hint="eastAsia" w:ascii="宋体" w:hAnsi="宋体" w:cs="宋体"/>
          <w:sz w:val="24"/>
          <w:szCs w:val="24"/>
          <w:highlight w:val="none"/>
          <w:lang w:val="en-US" w:eastAsia="zh-CN"/>
        </w:rPr>
        <w:t xml:space="preserve">45</w:t>
      </w:r>
      <w:r>
        <w:rPr>
          <w:rFonts w:hint="eastAsia" w:ascii="宋体" w:hAnsi="宋体" w:cs="宋体"/>
          <w:sz w:val="24"/>
          <w:szCs w:val="24"/>
          <w:highlight w:val="none"/>
        </w:rPr>
        <w:t xml:space="preserve">%；</w:t>
      </w:r>
      <w:r>
        <w:rPr>
          <w:rFonts w:ascii="宋体" w:hAnsi="宋体" w:cs="宋体"/>
          <w:sz w:val="24"/>
          <w:szCs w:val="24"/>
          <w:highlight w:val="none"/>
        </w:rPr>
        <w:fldChar w:fldCharType="begin"/>
      </w:r>
      <w:r>
        <w:rPr>
          <w:rFonts w:ascii="宋体" w:hAnsi="宋体" w:cs="宋体"/>
          <w:sz w:val="24"/>
          <w:szCs w:val="24"/>
          <w:highlight w:val="none"/>
        </w:rPr>
        <w:instrText xml:space="preserve"> </w:instrText>
      </w:r>
      <w:r>
        <w:rPr>
          <w:rFonts w:hint="eastAsia" w:ascii="宋体" w:hAnsi="宋体" w:cs="宋体"/>
          <w:sz w:val="24"/>
          <w:szCs w:val="24"/>
          <w:highlight w:val="none"/>
        </w:rPr>
        <w:instrText xml:space="preserve">= 3 \* GB3</w:instrText>
      </w:r>
      <w:r>
        <w:rPr>
          <w:rFonts w:ascii="宋体" w:hAnsi="宋体" w:cs="宋体"/>
          <w:sz w:val="24"/>
          <w:szCs w:val="24"/>
          <w:highlight w:val="none"/>
        </w:rPr>
        <w:instrText xml:space="preserve"> </w:instrText>
      </w:r>
      <w:r>
        <w:rPr>
          <w:rFonts w:ascii="宋体" w:hAnsi="宋体" w:cs="宋体"/>
          <w:sz w:val="24"/>
          <w:szCs w:val="24"/>
          <w:highlight w:val="none"/>
        </w:rPr>
        <w:fldChar w:fldCharType="separate"/>
      </w:r>
      <w:r>
        <w:rPr>
          <w:rFonts w:hint="eastAsia" w:ascii="宋体" w:hAnsi="宋体" w:cs="宋体"/>
          <w:sz w:val="24"/>
          <w:szCs w:val="24"/>
          <w:highlight w:val="none"/>
        </w:rPr>
        <w:t xml:space="preserve">③</w:t>
      </w:r>
      <w:r>
        <w:rPr>
          <w:rFonts w:ascii="宋体" w:hAnsi="宋体" w:cs="宋体"/>
          <w:sz w:val="24"/>
          <w:szCs w:val="24"/>
          <w:highlight w:val="none"/>
        </w:rPr>
        <w:fldChar w:fldCharType="end"/>
      </w:r>
      <w:r>
        <w:rPr>
          <w:rFonts w:hint="eastAsia" w:ascii="宋体" w:hAnsi="宋体" w:cs="宋体"/>
          <w:sz w:val="24"/>
          <w:szCs w:val="24"/>
          <w:highlight w:val="none"/>
        </w:rPr>
        <w:t xml:space="preserve">合同到期前30日内，甲方组织剩余服务验收，完成验收后，支付合同总价的</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0%；</w:t>
      </w:r>
      <w:r>
        <w:rPr>
          <w:rFonts w:hint="eastAsia" w:ascii="宋体" w:hAnsi="宋体" w:cs="宋体"/>
          <w:sz w:val="24"/>
          <w:szCs w:val="24"/>
          <w:highlight w:val="none"/>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注：本合同项下的合同价款在乙方符合付款条件，并向甲方提供合法有效票据后，由甲方支付，否则甲方有权拒绝或者延迟支付相应款项。因财政相关原因不能及时支付相应款项的，可以延期付款，甲方不构成违约。</w:t>
      </w:r>
      <w:r>
        <w:rPr>
          <w:rFonts w:ascii="宋体" w:hAnsi="宋体" w:cs="宋体"/>
          <w:sz w:val="24"/>
          <w:szCs w:val="24"/>
        </w:rPr>
        <w:t xml:space="preserve">   </w:t>
      </w:r>
      <w:r>
        <w:rPr>
          <w:rFonts w:hint="eastAsia" w:ascii="宋体" w:hAnsi="宋体" w:cs="宋体"/>
          <w:sz w:val="24"/>
          <w:szCs w:val="24"/>
        </w:rPr>
      </w:r>
      <w:r/>
    </w:p>
    <w:p>
      <w:pPr>
        <w:pStyle w:val="676"/>
        <w:ind w:firstLine="480"/>
        <w:spacing w:line="360" w:lineRule="auto"/>
        <w:rPr>
          <w:rFonts w:ascii="宋体" w:hAnsi="宋体" w:cs="宋体"/>
          <w:sz w:val="24"/>
          <w:szCs w:val="24"/>
        </w:rPr>
      </w:pPr>
      <w:r>
        <w:rPr>
          <w:rFonts w:hint="eastAsia" w:ascii="宋体" w:hAnsi="宋体" w:cs="宋体"/>
          <w:sz w:val="24"/>
          <w:szCs w:val="24"/>
          <w:u w:val="single"/>
        </w:rPr>
        <w:t xml:space="preserve">对于满足合同约定支付条件的，采购人原则上应当自收到发票后10个工作日内将资金支付到合同约定的供应商账户。</w:t>
      </w:r>
      <w:r>
        <w:rPr>
          <w:rFonts w:ascii="宋体" w:hAnsi="宋体" w:cs="宋体"/>
          <w:sz w:val="24"/>
          <w:szCs w:val="24"/>
        </w:rPr>
      </w:r>
      <w:r/>
    </w:p>
    <w:p>
      <w:pPr>
        <w:pStyle w:val="676"/>
        <w:ind w:firstLine="480"/>
        <w:spacing w:line="360" w:lineRule="auto"/>
        <w:rPr>
          <w:rFonts w:hint="eastAsia" w:ascii="宋体" w:hAnsi="宋体" w:cs="宋体"/>
          <w:sz w:val="24"/>
        </w:rPr>
      </w:pPr>
      <w:r>
        <w:rPr>
          <w:rFonts w:ascii="宋体" w:hAnsi="宋体" w:cs="宋体"/>
          <w:sz w:val="24"/>
        </w:rPr>
        <w:t xml:space="preserve">甲方应以银行转账方式支付本协议项下各项费用</w:t>
      </w:r>
      <w:r>
        <w:rPr>
          <w:rFonts w:hint="eastAsia" w:ascii="宋体" w:hAnsi="宋体" w:cs="宋体"/>
          <w:sz w:val="24"/>
        </w:rPr>
        <w:t xml:space="preserve">。</w:t>
      </w:r>
      <w:r>
        <w:rPr>
          <w:rFonts w:hint="eastAsia" w:ascii="宋体" w:hAnsi="宋体" w:cs="宋体"/>
          <w:sz w:val="24"/>
        </w:rPr>
      </w:r>
      <w:r/>
    </w:p>
    <w:p>
      <w:pPr>
        <w:pStyle w:val="676"/>
        <w:ind w:firstLine="480"/>
        <w:spacing w:line="360" w:lineRule="auto"/>
        <w:rPr>
          <w:rFonts w:hint="eastAsia" w:ascii="宋体" w:hAnsi="宋体" w:cs="宋体"/>
          <w:sz w:val="24"/>
        </w:rPr>
      </w:pPr>
      <w:r>
        <w:rPr>
          <w:rFonts w:hint="eastAsia" w:ascii="宋体" w:hAnsi="宋体" w:cs="宋体"/>
          <w:sz w:val="24"/>
          <w:szCs w:val="24"/>
        </w:rPr>
        <w:t xml:space="preserve">　3.3</w:t>
      </w:r>
      <w:r>
        <w:rPr>
          <w:rFonts w:hint="eastAsia" w:ascii="宋体" w:hAnsi="宋体" w:cs="宋体"/>
          <w:sz w:val="24"/>
        </w:rPr>
        <w:t xml:space="preserve">甲方开户名称、开户银行、银行账号信息为：</w:t>
      </w:r>
      <w:r>
        <w:rPr>
          <w:rFonts w:hint="eastAsia" w:ascii="宋体" w:hAnsi="宋体" w:cs="宋体"/>
          <w:sz w:val="24"/>
        </w:rPr>
      </w:r>
      <w:r/>
    </w:p>
    <w:p>
      <w:pPr>
        <w:pStyle w:val="791"/>
        <w:ind w:firstLine="482"/>
        <w:rPr>
          <w:rFonts w:hint="eastAsia"/>
          <w:b/>
          <w:bCs/>
        </w:rPr>
      </w:pPr>
      <w:r>
        <w:rPr>
          <w:rFonts w:hint="eastAsia"/>
          <w:b/>
          <w:bCs/>
        </w:rPr>
        <w:t xml:space="preserve">开户名称：</w:t>
      </w:r>
      <w:r>
        <w:rPr>
          <w:rFonts w:ascii="宋体" w:hAnsi="宋体"/>
          <w:b/>
          <w:bCs/>
          <w:szCs w:val="24"/>
          <w:u w:val="single"/>
        </w:rPr>
        <w:t xml:space="preserve">  </w:t>
      </w:r>
      <w:r>
        <w:rPr>
          <w:rFonts w:hint="eastAsia" w:ascii="宋体" w:hAnsi="宋体"/>
          <w:b/>
          <w:bCs/>
          <w:szCs w:val="24"/>
          <w:u w:val="single"/>
        </w:rPr>
        <w:t xml:space="preserve">　　　　　　　　　　　　　</w:t>
      </w:r>
      <w:r>
        <w:rPr>
          <w:rFonts w:hint="eastAsia"/>
          <w:b/>
          <w:bCs/>
        </w:rPr>
      </w:r>
      <w:r/>
    </w:p>
    <w:p>
      <w:pPr>
        <w:pStyle w:val="791"/>
        <w:ind w:firstLine="482"/>
        <w:rPr>
          <w:rFonts w:hint="eastAsia" w:ascii="宋体" w:hAnsi="宋体"/>
          <w:b/>
          <w:bCs/>
          <w:szCs w:val="24"/>
          <w:u w:val="single"/>
        </w:rPr>
      </w:pPr>
      <w:r>
        <w:rPr>
          <w:rFonts w:hint="eastAsia"/>
          <w:b/>
          <w:bCs/>
        </w:rPr>
        <w:t xml:space="preserve">开户银行：</w:t>
      </w:r>
      <w:r>
        <w:rPr>
          <w:rFonts w:ascii="宋体" w:hAnsi="宋体"/>
          <w:b/>
          <w:bCs/>
          <w:szCs w:val="24"/>
          <w:u w:val="single"/>
        </w:rPr>
        <w:t xml:space="preserve">  </w:t>
      </w:r>
      <w:r>
        <w:rPr>
          <w:rFonts w:hint="eastAsia" w:ascii="宋体" w:hAnsi="宋体"/>
          <w:b/>
          <w:bCs/>
          <w:szCs w:val="24"/>
          <w:u w:val="single"/>
        </w:rPr>
        <w:t xml:space="preserve">　　　　　　　　　　　　　　　</w:t>
      </w:r>
      <w:r>
        <w:rPr>
          <w:rFonts w:hint="eastAsia" w:ascii="宋体" w:hAnsi="宋体"/>
          <w:b/>
          <w:bCs/>
          <w:szCs w:val="24"/>
          <w:u w:val="single"/>
        </w:rPr>
      </w:r>
      <w:r/>
    </w:p>
    <w:p>
      <w:pPr>
        <w:pStyle w:val="791"/>
        <w:ind w:firstLine="482"/>
        <w:rPr>
          <w:rFonts w:hint="eastAsia" w:ascii="宋体" w:hAnsi="宋体"/>
          <w:b/>
          <w:bCs/>
          <w:szCs w:val="24"/>
          <w:u w:val="single"/>
        </w:rPr>
      </w:pPr>
      <w:r>
        <w:rPr>
          <w:rFonts w:hint="eastAsia"/>
          <w:b/>
          <w:bCs/>
        </w:rPr>
        <w:t xml:space="preserve">银行账号：</w:t>
      </w:r>
      <w:r>
        <w:rPr>
          <w:rFonts w:ascii="宋体" w:hAnsi="宋体"/>
          <w:b/>
          <w:bCs/>
          <w:szCs w:val="24"/>
          <w:u w:val="single"/>
        </w:rPr>
        <w:t xml:space="preserve"> </w:t>
      </w:r>
      <w:r>
        <w:rPr>
          <w:rFonts w:hint="eastAsia" w:ascii="宋体" w:hAnsi="宋体"/>
          <w:b/>
          <w:bCs/>
          <w:szCs w:val="24"/>
          <w:u w:val="single"/>
        </w:rPr>
        <w:t xml:space="preserve">　　　　　　　　　　　　　　　　</w:t>
      </w:r>
      <w:r>
        <w:rPr>
          <w:rFonts w:hint="eastAsia" w:ascii="宋体" w:hAnsi="宋体"/>
          <w:b/>
          <w:bCs/>
          <w:szCs w:val="24"/>
          <w:u w:val="single"/>
        </w:rPr>
      </w:r>
      <w:r/>
    </w:p>
    <w:p>
      <w:pPr>
        <w:pStyle w:val="791"/>
        <w:ind w:firstLine="480"/>
        <w:rPr>
          <w:rFonts w:ascii="宋体" w:hAnsi="宋体" w:cs="宋体"/>
          <w:szCs w:val="22"/>
        </w:rPr>
      </w:pPr>
      <w:r>
        <w:rPr>
          <w:rFonts w:hint="eastAsia" w:ascii="宋体" w:hAnsi="宋体" w:cs="宋体"/>
          <w:szCs w:val="22"/>
        </w:rPr>
        <w:t xml:space="preserve">乙方收款开户名称、开户银行、银行账号信息为：</w:t>
      </w:r>
      <w:r>
        <w:rPr>
          <w:rFonts w:ascii="宋体" w:hAnsi="宋体" w:cs="宋体"/>
          <w:szCs w:val="22"/>
        </w:rPr>
      </w:r>
      <w:r/>
    </w:p>
    <w:p>
      <w:pPr>
        <w:pStyle w:val="791"/>
        <w:ind w:firstLine="482"/>
        <w:rPr>
          <w:b/>
          <w:bCs/>
        </w:rPr>
      </w:pPr>
      <w:r>
        <w:rPr>
          <w:rFonts w:hint="eastAsia"/>
          <w:b/>
          <w:bCs/>
        </w:rPr>
        <w:t xml:space="preserve">开户名称：</w:t>
      </w:r>
      <w:r>
        <w:rPr>
          <w:rFonts w:ascii="宋体" w:hAnsi="宋体"/>
          <w:b/>
          <w:bCs/>
          <w:szCs w:val="24"/>
          <w:u w:val="single"/>
        </w:rPr>
        <w:t xml:space="preserve"> </w:t>
      </w:r>
      <w:r>
        <w:rPr>
          <w:rFonts w:hint="eastAsia" w:ascii="宋体" w:hAnsi="宋体"/>
          <w:b/>
          <w:bCs/>
          <w:szCs w:val="24"/>
          <w:u w:val="single"/>
        </w:rPr>
        <w:t xml:space="preserve">             </w:t>
      </w:r>
      <w:r>
        <w:rPr>
          <w:rFonts w:ascii="宋体" w:hAnsi="宋体"/>
          <w:b/>
          <w:bCs/>
          <w:szCs w:val="24"/>
          <w:u w:val="single"/>
        </w:rPr>
        <w:t xml:space="preserve"> </w:t>
      </w:r>
      <w:r>
        <w:rPr>
          <w:b/>
          <w:bCs/>
        </w:rPr>
      </w:r>
      <w:r/>
    </w:p>
    <w:p>
      <w:pPr>
        <w:pStyle w:val="791"/>
        <w:ind w:firstLine="482"/>
        <w:rPr>
          <w:rFonts w:ascii="宋体" w:hAnsi="宋体"/>
          <w:b/>
          <w:bCs/>
          <w:szCs w:val="24"/>
          <w:u w:val="single"/>
        </w:rPr>
      </w:pPr>
      <w:r>
        <w:rPr>
          <w:rFonts w:hint="eastAsia"/>
          <w:b/>
          <w:bCs/>
        </w:rPr>
        <w:t xml:space="preserve">开户银行：</w:t>
      </w:r>
      <w:r>
        <w:rPr>
          <w:rFonts w:ascii="宋体" w:hAnsi="宋体"/>
          <w:b/>
          <w:bCs/>
          <w:szCs w:val="24"/>
          <w:u w:val="single"/>
        </w:rPr>
        <w:t xml:space="preserve">  </w:t>
      </w:r>
      <w:r>
        <w:rPr>
          <w:rFonts w:hint="eastAsia" w:ascii="宋体" w:hAnsi="宋体"/>
          <w:b/>
          <w:bCs/>
          <w:szCs w:val="24"/>
          <w:u w:val="single"/>
        </w:rPr>
        <w:t xml:space="preserve">            </w:t>
      </w:r>
      <w:r>
        <w:rPr>
          <w:rFonts w:ascii="宋体" w:hAnsi="宋体"/>
          <w:b/>
          <w:bCs/>
          <w:szCs w:val="24"/>
          <w:u w:val="single"/>
        </w:rPr>
        <w:t xml:space="preserve"> </w:t>
      </w:r>
      <w:r>
        <w:rPr>
          <w:rFonts w:ascii="宋体" w:hAnsi="宋体"/>
          <w:b/>
          <w:bCs/>
          <w:szCs w:val="24"/>
          <w:u w:val="single"/>
        </w:rPr>
      </w:r>
      <w:r/>
    </w:p>
    <w:p>
      <w:pPr>
        <w:pStyle w:val="791"/>
        <w:ind w:firstLine="482"/>
        <w:rPr>
          <w:rFonts w:ascii="宋体" w:hAnsi="宋体"/>
          <w:b/>
          <w:bCs/>
          <w:szCs w:val="24"/>
          <w:u w:val="single"/>
        </w:rPr>
      </w:pPr>
      <w:r>
        <w:rPr>
          <w:rFonts w:hint="eastAsia"/>
          <w:b/>
          <w:bCs/>
        </w:rPr>
        <w:t xml:space="preserve">银行账号：</w:t>
      </w:r>
      <w:r>
        <w:rPr>
          <w:rFonts w:ascii="宋体" w:hAnsi="宋体"/>
          <w:b/>
          <w:bCs/>
          <w:szCs w:val="24"/>
          <w:u w:val="single"/>
        </w:rPr>
        <w:t xml:space="preserve">  </w:t>
      </w:r>
      <w:r>
        <w:rPr>
          <w:rFonts w:hint="eastAsia" w:ascii="宋体" w:hAnsi="宋体"/>
          <w:b/>
          <w:bCs/>
          <w:szCs w:val="24"/>
          <w:u w:val="single"/>
        </w:rPr>
        <w:t xml:space="preserve">           </w:t>
      </w:r>
      <w:r>
        <w:rPr>
          <w:rFonts w:ascii="宋体" w:hAnsi="宋体"/>
          <w:b/>
          <w:bCs/>
          <w:szCs w:val="24"/>
          <w:u w:val="single"/>
        </w:rPr>
        <w:t xml:space="preserve">  </w:t>
      </w:r>
      <w:r>
        <w:rPr>
          <w:rFonts w:ascii="宋体" w:hAnsi="宋体"/>
          <w:b/>
          <w:bCs/>
          <w:szCs w:val="24"/>
          <w:u w:val="single"/>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第十条 违约责任</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 乙方按合同约定的时间和质量标准提供服务，而甲方无正当理由逾期支付服务费用的，每逾期1天甲方向乙方偿付欠款总额的0.5‰滞纳金，但累计滞纳金总额不超过欠款总额的5%。</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3. 乙方未按合同约定的时间和质量标准提供服务，给甲方造成损失的，甲方可要求乙方按实赔偿；因乙方服务质量问题导致甲方无法实现合同目的的，甲方有权解除合同。</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4. 其他违约责任约定</w:t>
      </w:r>
      <w:r>
        <w:rPr>
          <w:rFonts w:hint="eastAsia" w:ascii="宋体" w:hAnsi="宋体" w:cs="宋体"/>
          <w:sz w:val="24"/>
          <w:szCs w:val="24"/>
        </w:rPr>
      </w:r>
      <w:r/>
    </w:p>
    <w:p>
      <w:pPr>
        <w:pStyle w:val="676"/>
        <w:ind w:firstLine="480"/>
        <w:spacing w:line="36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第十一条 合同的变更和终止</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 除《政府采购法》第50条第二款规定的情形外，本合同一经签订，甲乙双方不得擅自变更、中止或终止合同。</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 除发生法律规定的不能预见、不能避免并不能克服的客观情况外，甲乙双方不得放弃或拒绝履行合同。</w:t>
      </w:r>
      <w:r>
        <w:rPr>
          <w:rFonts w:hint="eastAsia"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第十二条 合同的转让</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乙方不得擅自部分或全部转让其应履行的合同义务。</w:t>
      </w:r>
      <w:r>
        <w:rPr>
          <w:rFonts w:hint="eastAsia"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第十三条 争议的解决</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1.因履行本合同引起的或与本合同有关的争议，甲、乙双方应首先通过友好协商解决，如果协商不能解决争议，则采取以下第（2）种方式</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解决争议：</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（1）向甲方所在地有管辖权的人民法院提起诉讼；</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（2）向泰州仲裁委员会按其仲裁规则申请仲裁。</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2.违约方应承担守约方发生的诉讼费、律师费等必要的追究违约责任而发生的合理费用。</w:t>
      </w:r>
      <w:r>
        <w:rPr>
          <w:rFonts w:hint="eastAsia"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第十四条 诚实信用</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乙方应诚实信用，严格按照招标（采购）文件要求和投标（响应）承诺履行合同，不向甲方进行商业贿赂或者提供不正当利益。</w:t>
      </w:r>
      <w:r>
        <w:rPr>
          <w:rFonts w:hint="eastAsia" w:ascii="宋体" w:hAnsi="宋体" w:cs="宋体"/>
          <w:sz w:val="24"/>
          <w:szCs w:val="24"/>
        </w:rPr>
      </w:r>
      <w:r/>
    </w:p>
    <w:p>
      <w:pPr>
        <w:pStyle w:val="676"/>
        <w:ind w:firstLine="482"/>
        <w:spacing w:line="360" w:lineRule="auto"/>
        <w:rPr>
          <w:rFonts w:hint="eastAsia" w:ascii="宋体" w:hAnsi="宋体" w:cs="宋体"/>
          <w:b/>
          <w:bCs/>
          <w:sz w:val="24"/>
          <w:szCs w:val="24"/>
        </w:rPr>
      </w:pPr>
      <w:r>
        <w:rPr>
          <w:rFonts w:hint="eastAsia" w:ascii="宋体" w:hAnsi="宋体" w:cs="宋体"/>
          <w:b/>
          <w:bCs/>
          <w:sz w:val="24"/>
          <w:szCs w:val="24"/>
        </w:rPr>
        <w:t xml:space="preserve">第十五条 合同服务期限及其他</w:t>
      </w:r>
      <w:r>
        <w:rPr>
          <w:rFonts w:hint="eastAsia" w:ascii="宋体" w:hAnsi="宋体" w:cs="宋体"/>
          <w:b/>
          <w:bCs/>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1. 本合同自签订之日起生效。</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2. 本合同一式四份，甲乙双方各执两份。</w:t>
      </w:r>
      <w:r>
        <w:rPr>
          <w:rFonts w:hint="eastAsia" w:ascii="宋体" w:hAnsi="宋体" w:cs="宋体"/>
          <w:sz w:val="24"/>
          <w:szCs w:val="24"/>
        </w:rPr>
      </w:r>
      <w:r/>
    </w:p>
    <w:p>
      <w:pPr>
        <w:pStyle w:val="676"/>
        <w:ind w:firstLine="480"/>
        <w:spacing w:line="360" w:lineRule="auto"/>
        <w:rPr>
          <w:rFonts w:hint="eastAsia" w:ascii="宋体" w:hAnsi="宋体" w:cs="宋体"/>
          <w:sz w:val="24"/>
          <w:szCs w:val="24"/>
        </w:rPr>
      </w:pPr>
      <w:r>
        <w:rPr>
          <w:rFonts w:hint="eastAsia" w:ascii="宋体" w:hAnsi="宋体" w:cs="宋体"/>
          <w:sz w:val="24"/>
          <w:szCs w:val="24"/>
        </w:rPr>
        <w:t xml:space="preserve">3. 本合同应按照中华人民共和国的现行法律进行解释。</w:t>
      </w:r>
      <w:r>
        <w:rPr>
          <w:rFonts w:hint="eastAsia" w:ascii="宋体" w:hAnsi="宋体" w:cs="宋体"/>
          <w:sz w:val="24"/>
          <w:szCs w:val="24"/>
        </w:rPr>
      </w:r>
      <w:r/>
    </w:p>
    <w:p>
      <w:pPr>
        <w:pStyle w:val="676"/>
        <w:spacing w:line="360" w:lineRule="auto"/>
        <w:rPr>
          <w:rFonts w:hint="eastAsia" w:ascii="宋体" w:hAnsi="宋体" w:cs="宋体"/>
        </w:rPr>
      </w:pPr>
      <w:r>
        <w:rPr>
          <w:rFonts w:hint="eastAsia" w:ascii="宋体" w:hAnsi="宋体" w:cs="宋体"/>
        </w:rPr>
        <w:t xml:space="preserve">                                            </w:t>
      </w:r>
      <w:r>
        <w:rPr>
          <w:rFonts w:hint="eastAsia" w:ascii="宋体" w:hAnsi="宋体" w:cs="宋体"/>
        </w:rPr>
      </w:r>
      <w:r/>
    </w:p>
    <w:tbl>
      <w:tblPr>
        <w:tblW w:w="9612" w:type="dxa"/>
        <w:tblInd w:w="-395" w:type="dxa"/>
        <w:tblLayout w:type="autofit"/>
        <w:tblCellMar>
          <w:left w:w="108" w:type="dxa"/>
          <w:top w:w="0" w:type="dxa"/>
          <w:right w:w="108" w:type="dxa"/>
          <w:bottom w:w="0" w:type="dxa"/>
        </w:tblCellMar>
        <w:tblLook w:val="04A0" w:firstRow="1" w:lastRow="0" w:firstColumn="1" w:lastColumn="0" w:noHBand="0" w:noVBand="1"/>
      </w:tblPr>
      <w:tblGrid>
        <w:gridCol w:w="4204"/>
        <w:gridCol w:w="5408"/>
      </w:tblGrid>
      <w:tr>
        <w:trPr>
          <w:trHeight w:val="850" w:hRule="exact"/>
        </w:trPr>
        <w:tc>
          <w:tcPr>
            <w:tcBorders>
              <w:top w:val="none" w:color="000000" w:sz="0" w:space="0"/>
              <w:left w:val="none" w:color="000000" w:sz="0" w:space="0"/>
              <w:bottom w:val="none" w:color="000000" w:sz="0" w:space="0"/>
              <w:right w:val="none" w:color="000000" w:sz="0" w:space="0"/>
            </w:tcBorders>
            <w:tcW w:w="4204" w:type="dxa"/>
            <w:vAlign w:val="top"/>
            <w:textDirection w:val="lrTb"/>
            <w:noWrap w:val="false"/>
          </w:tcPr>
          <w:p>
            <w:pPr>
              <w:pStyle w:val="676"/>
              <w:jc w:val="left"/>
              <w:spacing w:line="360" w:lineRule="auto"/>
              <w:rPr>
                <w:rFonts w:hint="eastAsia" w:ascii="宋体" w:hAnsi="宋体" w:cs="宋体"/>
                <w:sz w:val="24"/>
                <w:szCs w:val="24"/>
              </w:rPr>
            </w:pPr>
            <w:r>
              <w:rPr>
                <w:rFonts w:hint="eastAsia" w:ascii="宋体" w:hAnsi="宋体" w:cs="宋体"/>
                <w:sz w:val="24"/>
                <w:szCs w:val="24"/>
              </w:rPr>
              <w:t xml:space="preserve">甲方（采购人）：</w:t>
            </w:r>
            <w:r>
              <w:rPr>
                <w:rFonts w:hint="eastAsia"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5408" w:type="dxa"/>
            <w:vAlign w:val="top"/>
            <w:textDirection w:val="lrTb"/>
            <w:noWrap w:val="false"/>
          </w:tcPr>
          <w:p>
            <w:pPr>
              <w:pStyle w:val="676"/>
              <w:jc w:val="left"/>
              <w:spacing w:line="360" w:lineRule="auto"/>
              <w:rPr>
                <w:rFonts w:hint="eastAsia" w:ascii="宋体" w:hAnsi="宋体" w:cs="宋体"/>
                <w:sz w:val="24"/>
                <w:szCs w:val="24"/>
              </w:rPr>
            </w:pPr>
            <w:r>
              <w:rPr>
                <w:rFonts w:hint="eastAsia" w:ascii="宋体" w:hAnsi="宋体" w:cs="宋体"/>
                <w:sz w:val="24"/>
                <w:szCs w:val="24"/>
              </w:rPr>
              <w:t xml:space="preserve">乙方（供应商）：</w:t>
            </w:r>
            <w:r>
              <w:rPr>
                <w:rFonts w:hint="eastAsia" w:ascii="宋体" w:hAnsi="宋体" w:cs="宋体"/>
                <w:sz w:val="24"/>
                <w:szCs w:val="24"/>
              </w:rPr>
            </w:r>
            <w:r/>
          </w:p>
        </w:tc>
      </w:tr>
      <w:tr>
        <w:trPr>
          <w:trHeight w:val="850" w:hRule="exact"/>
        </w:trPr>
        <w:tc>
          <w:tcPr>
            <w:tcBorders>
              <w:top w:val="none" w:color="000000" w:sz="0" w:space="0"/>
              <w:left w:val="none" w:color="000000" w:sz="0" w:space="0"/>
              <w:bottom w:val="none" w:color="000000" w:sz="0" w:space="0"/>
              <w:right w:val="none" w:color="000000" w:sz="0" w:space="0"/>
            </w:tcBorders>
            <w:tcW w:w="4204" w:type="dxa"/>
            <w:vAlign w:val="top"/>
            <w:textDirection w:val="lrTb"/>
            <w:noWrap w:val="false"/>
          </w:tcPr>
          <w:p>
            <w:pPr>
              <w:pStyle w:val="676"/>
              <w:jc w:val="left"/>
              <w:spacing w:line="360" w:lineRule="auto"/>
              <w:rPr>
                <w:rFonts w:ascii="宋体" w:hAnsi="宋体" w:cs="宋体"/>
                <w:sz w:val="24"/>
                <w:szCs w:val="24"/>
              </w:rPr>
            </w:pPr>
            <w:r>
              <w:rPr>
                <w:rFonts w:hint="eastAsia" w:ascii="宋体" w:hAnsi="宋体" w:cs="宋体"/>
                <w:sz w:val="24"/>
                <w:szCs w:val="24"/>
              </w:rPr>
              <w:t xml:space="preserve">（盖章）</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5408" w:type="dxa"/>
            <w:vAlign w:val="top"/>
            <w:textDirection w:val="lrTb"/>
            <w:noWrap w:val="false"/>
          </w:tcPr>
          <w:p>
            <w:pPr>
              <w:pStyle w:val="676"/>
              <w:jc w:val="left"/>
              <w:spacing w:line="360" w:lineRule="auto"/>
              <w:rPr>
                <w:rFonts w:ascii="宋体" w:hAnsi="宋体" w:cs="宋体"/>
                <w:sz w:val="24"/>
                <w:szCs w:val="24"/>
              </w:rPr>
            </w:pPr>
            <w:r>
              <w:rPr>
                <w:rFonts w:hint="eastAsia" w:ascii="宋体" w:hAnsi="宋体" w:cs="宋体"/>
                <w:sz w:val="24"/>
                <w:szCs w:val="24"/>
              </w:rPr>
              <w:t xml:space="preserve">（盖章）</w:t>
            </w:r>
            <w:r>
              <w:rPr>
                <w:rFonts w:ascii="宋体" w:hAnsi="宋体" w:cs="宋体"/>
                <w:sz w:val="24"/>
                <w:szCs w:val="24"/>
              </w:rPr>
            </w:r>
            <w:r/>
          </w:p>
        </w:tc>
      </w:tr>
      <w:tr>
        <w:trPr>
          <w:trHeight w:val="850" w:hRule="exact"/>
        </w:trPr>
        <w:tc>
          <w:tcPr>
            <w:tcBorders>
              <w:top w:val="none" w:color="000000" w:sz="0" w:space="0"/>
              <w:left w:val="none" w:color="000000" w:sz="0" w:space="0"/>
              <w:bottom w:val="none" w:color="000000" w:sz="0" w:space="0"/>
              <w:right w:val="none" w:color="000000" w:sz="0" w:space="0"/>
            </w:tcBorders>
            <w:tcW w:w="4204" w:type="dxa"/>
            <w:vAlign w:val="top"/>
            <w:textDirection w:val="lrTb"/>
            <w:noWrap w:val="false"/>
          </w:tcPr>
          <w:p>
            <w:pPr>
              <w:pStyle w:val="676"/>
              <w:jc w:val="left"/>
              <w:spacing w:line="360" w:lineRule="auto"/>
              <w:rPr>
                <w:rFonts w:ascii="宋体" w:hAnsi="宋体" w:cs="宋体"/>
                <w:sz w:val="24"/>
                <w:szCs w:val="24"/>
              </w:rPr>
            </w:pPr>
            <w:r>
              <w:rPr>
                <w:rFonts w:hint="eastAsia" w:ascii="宋体" w:hAnsi="宋体" w:cs="宋体"/>
                <w:sz w:val="24"/>
                <w:szCs w:val="24"/>
              </w:rPr>
              <w:t xml:space="preserve">代表人：</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5408" w:type="dxa"/>
            <w:vAlign w:val="top"/>
            <w:textDirection w:val="lrTb"/>
            <w:noWrap w:val="false"/>
          </w:tcPr>
          <w:p>
            <w:pPr>
              <w:pStyle w:val="676"/>
              <w:jc w:val="left"/>
              <w:spacing w:line="360" w:lineRule="auto"/>
              <w:rPr>
                <w:rFonts w:ascii="宋体" w:hAnsi="宋体" w:cs="宋体"/>
                <w:sz w:val="24"/>
                <w:szCs w:val="24"/>
              </w:rPr>
            </w:pPr>
            <w:r>
              <w:rPr>
                <w:rFonts w:hint="eastAsia" w:ascii="宋体" w:hAnsi="宋体" w:cs="宋体"/>
                <w:sz w:val="24"/>
                <w:szCs w:val="24"/>
              </w:rPr>
              <w:t xml:space="preserve">代表人：</w:t>
            </w:r>
            <w:r>
              <w:rPr>
                <w:rFonts w:ascii="宋体" w:hAnsi="宋体" w:cs="宋体"/>
                <w:sz w:val="24"/>
                <w:szCs w:val="24"/>
              </w:rPr>
            </w:r>
            <w:r/>
          </w:p>
        </w:tc>
      </w:tr>
      <w:tr>
        <w:trPr>
          <w:trHeight w:val="850" w:hRule="exact"/>
        </w:trPr>
        <w:tc>
          <w:tcPr>
            <w:tcBorders>
              <w:top w:val="none" w:color="000000" w:sz="0" w:space="0"/>
              <w:left w:val="none" w:color="000000" w:sz="0" w:space="0"/>
              <w:bottom w:val="none" w:color="000000" w:sz="0" w:space="0"/>
              <w:right w:val="none" w:color="000000" w:sz="0" w:space="0"/>
            </w:tcBorders>
            <w:tcW w:w="4204" w:type="dxa"/>
            <w:vAlign w:val="top"/>
            <w:textDirection w:val="lrTb"/>
            <w:noWrap w:val="false"/>
          </w:tcPr>
          <w:p>
            <w:pPr>
              <w:pStyle w:val="676"/>
              <w:jc w:val="left"/>
              <w:spacing w:line="360" w:lineRule="auto"/>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tc>
        <w:tc>
          <w:tcPr>
            <w:tcBorders>
              <w:top w:val="none" w:color="000000" w:sz="0" w:space="0"/>
              <w:left w:val="none" w:color="000000" w:sz="0" w:space="0"/>
              <w:bottom w:val="none" w:color="000000" w:sz="0" w:space="0"/>
              <w:right w:val="none" w:color="000000" w:sz="0" w:space="0"/>
            </w:tcBorders>
            <w:tcW w:w="5408" w:type="dxa"/>
            <w:vAlign w:val="top"/>
            <w:textDirection w:val="lrTb"/>
            <w:noWrap w:val="false"/>
          </w:tcPr>
          <w:p>
            <w:pPr>
              <w:pStyle w:val="676"/>
              <w:jc w:val="left"/>
              <w:spacing w:line="360" w:lineRule="auto"/>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tc>
      </w:tr>
    </w:tbl>
    <w:p>
      <w:pPr>
        <w:pStyle w:val="716"/>
        <w:rPr>
          <w:rFonts w:hint="eastAsia"/>
        </w:rPr>
      </w:pPr>
      <w:r>
        <w:rPr>
          <w:rFonts w:hint="eastAsia" w:hAnsi="宋体"/>
          <w:sz w:val="24"/>
          <w:szCs w:val="24"/>
        </w:rPr>
        <w:br w:type="page" w:clear="all"/>
      </w:r>
      <w:r>
        <w:rPr>
          <w:rFonts w:hint="eastAsia"/>
        </w:rPr>
      </w:r>
      <w:r/>
    </w:p>
    <w:p>
      <w:pPr>
        <w:pStyle w:val="676"/>
        <w:jc w:val="center"/>
        <w:keepNext/>
        <w:spacing w:line="360" w:lineRule="auto"/>
        <w:rPr>
          <w:rFonts w:hint="eastAsia" w:ascii="黑体" w:hAnsi="Courier New" w:eastAsia="黑体" w:cs="Courier New"/>
          <w:bCs/>
          <w:sz w:val="44"/>
          <w:szCs w:val="21"/>
        </w:rPr>
        <w:outlineLvl w:val="0"/>
      </w:pPr>
      <w:r>
        <w:rPr>
          <w:rFonts w:hint="eastAsia" w:ascii="黑体" w:hAnsi="Courier New" w:eastAsia="黑体" w:cs="Courier New"/>
          <w:bCs/>
          <w:sz w:val="44"/>
          <w:szCs w:val="21"/>
        </w:rPr>
        <w:t xml:space="preserve">第</w:t>
      </w:r>
      <w:bookmarkEnd w:id="154"/>
      <w:r>
        <w:rPr>
          <w:rFonts w:hint="eastAsia" w:ascii="黑体" w:hAnsi="Courier New" w:eastAsia="黑体" w:cs="Courier New"/>
          <w:bCs/>
          <w:sz w:val="44"/>
          <w:szCs w:val="21"/>
        </w:rPr>
        <w:t xml:space="preserve">四章 采购需求</w:t>
      </w:r>
      <w:bookmarkEnd w:id="155"/>
      <w:r/>
      <w:bookmarkEnd w:id="156"/>
      <w:r/>
      <w:bookmarkEnd w:id="157"/>
      <w:r/>
      <w:bookmarkStart w:id="160" w:name="_Toc49090575"/>
      <w:r/>
      <w:bookmarkStart w:id="161" w:name="_Toc26554093"/>
      <w:r>
        <w:rPr>
          <w:rFonts w:hint="eastAsia" w:ascii="黑体" w:hAnsi="Courier New" w:eastAsia="黑体" w:cs="Courier New"/>
          <w:bCs/>
          <w:sz w:val="44"/>
          <w:szCs w:val="21"/>
        </w:rPr>
      </w:r>
      <w:r/>
    </w:p>
    <w:p>
      <w:pPr>
        <w:pStyle w:val="677"/>
        <w:ind w:left="432" w:hanging="432"/>
        <w:jc w:val="left"/>
        <w:spacing w:line="360" w:lineRule="auto"/>
        <w:rPr>
          <w:rFonts w:ascii="宋体" w:hAnsi="宋体" w:eastAsia="宋体"/>
          <w:b/>
          <w:sz w:val="24"/>
          <w:szCs w:val="24"/>
        </w:rPr>
      </w:pPr>
      <w:r>
        <w:rPr>
          <w:rFonts w:hint="eastAsia" w:ascii="宋体" w:hAnsi="宋体" w:eastAsia="宋体"/>
          <w:b/>
          <w:sz w:val="24"/>
          <w:szCs w:val="24"/>
        </w:rPr>
        <w:t xml:space="preserve">一、项目背景</w:t>
      </w:r>
      <w:r>
        <w:rPr>
          <w:rFonts w:ascii="宋体" w:hAnsi="宋体" w:eastAsia="宋体"/>
          <w:b/>
          <w:sz w:val="24"/>
          <w:szCs w:val="24"/>
        </w:rPr>
      </w:r>
      <w:r/>
    </w:p>
    <w:p>
      <w:pPr>
        <w:pStyle w:val="676"/>
        <w:ind w:firstLine="480"/>
        <w:spacing w:line="360" w:lineRule="auto"/>
        <w:tabs>
          <w:tab w:val="left" w:pos="210" w:leader="none"/>
          <w:tab w:val="left" w:pos="420" w:leader="none"/>
        </w:tabs>
        <w:rPr>
          <w:rFonts w:hint="eastAsia" w:ascii="宋体" w:hAnsi="宋体" w:eastAsia="宋体" w:cs="Times New Roman"/>
          <w:color w:val="000000"/>
          <w:sz w:val="24"/>
          <w:szCs w:val="24"/>
          <w:highlight w:val="none"/>
          <w:lang w:bidi="ar"/>
        </w:rPr>
      </w:pPr>
      <w:r>
        <w:rPr>
          <w:rFonts w:hint="eastAsia" w:ascii="宋体" w:hAnsi="宋体"/>
          <w:color w:val="000000"/>
          <w:sz w:val="24"/>
          <w:szCs w:val="24"/>
          <w:highlight w:val="none"/>
          <w:lang w:eastAsia="en-US" w:bidi="ar"/>
        </w:rPr>
        <w:t xml:space="preserve">为</w:t>
      </w:r>
      <w:r>
        <w:rPr>
          <w:rFonts w:hint="eastAsia" w:ascii="宋体" w:hAnsi="宋体"/>
          <w:color w:val="000000"/>
          <w:sz w:val="24"/>
          <w:szCs w:val="24"/>
          <w:highlight w:val="none"/>
          <w:lang w:eastAsia="en-US" w:bidi="ar"/>
        </w:rPr>
        <w:t xml:space="preserve">全面加强市级政府投资信息化项目的统筹集约建设，进一步打通数据壁垒，保障数据安全，激活数据价值，节约财政资金，</w:t>
      </w:r>
      <w:r>
        <w:rPr>
          <w:rFonts w:hint="eastAsia" w:ascii="宋体" w:hAnsi="宋体" w:eastAsia="宋体" w:cs="Times New Roman"/>
          <w:color w:val="000000"/>
          <w:sz w:val="24"/>
          <w:szCs w:val="24"/>
          <w:highlight w:val="none"/>
          <w:lang w:val="en-US" w:eastAsia="zh-CN" w:bidi="ar"/>
        </w:rPr>
        <w:t xml:space="preserve">根</w:t>
      </w:r>
      <w:r>
        <w:rPr>
          <w:rFonts w:hint="eastAsia" w:ascii="宋体" w:hAnsi="宋体" w:eastAsia="宋体" w:cs="Times New Roman"/>
          <w:color w:val="000000"/>
          <w:sz w:val="24"/>
          <w:szCs w:val="24"/>
          <w:highlight w:val="none"/>
          <w:lang w:eastAsia="en-US" w:bidi="ar"/>
        </w:rPr>
        <w:t xml:space="preserve">据《江苏省公共数据授权运营管理暂行办法》（苏政办规〔2024〕5号）、</w:t>
      </w:r>
      <w:r>
        <w:rPr>
          <w:rFonts w:ascii="宋体" w:hAnsi="宋体" w:eastAsia="宋体" w:cs="Times New Roman"/>
          <w:color w:val="000000"/>
          <w:sz w:val="24"/>
          <w:szCs w:val="24"/>
          <w:highlight w:val="none"/>
          <w:lang w:val="en-US" w:eastAsia="zh-CN" w:bidi="ar"/>
        </w:rPr>
        <w:t xml:space="preserve">《泰州市市级政务信息化项目建设管理办法》（泰政发〔2025〕3号）</w:t>
      </w:r>
      <w:r>
        <w:rPr>
          <w:rFonts w:hint="eastAsia" w:ascii="宋体" w:hAnsi="宋体" w:eastAsia="宋体" w:cs="Times New Roman"/>
          <w:color w:val="000000"/>
          <w:sz w:val="24"/>
          <w:szCs w:val="24"/>
          <w:highlight w:val="none"/>
          <w:lang w:eastAsia="en-US" w:bidi="ar"/>
        </w:rPr>
        <w:t xml:space="preserve">，加快推进公共数据资源开发利用，规范公共数据授权运营，培育数据要素市场，更好发挥数据要素作用，深化数智赋能行动，打造数字资产运营生态圈，助力大数据产业发展</w:t>
      </w:r>
      <w:r>
        <w:rPr>
          <w:rFonts w:hint="eastAsia" w:ascii="宋体" w:hAnsi="宋体" w:eastAsia="宋体" w:cs="Times New Roman"/>
          <w:color w:val="000000"/>
          <w:sz w:val="24"/>
          <w:szCs w:val="24"/>
          <w:highlight w:val="none"/>
          <w:lang w:bidi="ar"/>
        </w:rPr>
        <w:t xml:space="preserve">。</w:t>
      </w:r>
      <w:r>
        <w:rPr>
          <w:rFonts w:hint="eastAsia" w:ascii="宋体" w:hAnsi="宋体" w:eastAsia="宋体" w:cs="Times New Roman"/>
          <w:color w:val="000000"/>
          <w:sz w:val="24"/>
          <w:szCs w:val="24"/>
          <w:highlight w:val="none"/>
          <w:lang w:bidi="ar"/>
        </w:rPr>
      </w:r>
      <w:r/>
    </w:p>
    <w:p>
      <w:pPr>
        <w:pStyle w:val="676"/>
        <w:ind w:firstLine="480"/>
        <w:spacing w:line="360" w:lineRule="auto"/>
        <w:tabs>
          <w:tab w:val="left" w:pos="210" w:leader="none"/>
          <w:tab w:val="left" w:pos="420" w:leader="none"/>
        </w:tabs>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20</w:t>
      </w:r>
      <w:r>
        <w:rPr>
          <w:rFonts w:hint="eastAsia" w:ascii="宋体" w:hAnsi="宋体"/>
          <w:color w:val="000000"/>
          <w:sz w:val="24"/>
          <w:szCs w:val="24"/>
          <w:highlight w:val="none"/>
          <w:lang w:val="en-US" w:eastAsia="zh-CN" w:bidi="ar"/>
        </w:rPr>
        <w:t xml:space="preserve">26</w:t>
      </w:r>
      <w:r>
        <w:rPr>
          <w:rFonts w:hint="eastAsia" w:ascii="宋体" w:hAnsi="宋体"/>
          <w:color w:val="000000"/>
          <w:sz w:val="24"/>
          <w:szCs w:val="24"/>
          <w:highlight w:val="none"/>
          <w:lang w:bidi="ar"/>
        </w:rPr>
        <w:t xml:space="preserve">“数字泰州”公共数据综合服务依托于泰州市公共数据平台，实现全市民生类、政务信息类公共数据的数据归集、</w:t>
      </w:r>
      <w:r>
        <w:rPr>
          <w:rFonts w:hint="eastAsia" w:ascii="宋体" w:hAnsi="宋体"/>
          <w:color w:val="000000"/>
          <w:sz w:val="24"/>
          <w:szCs w:val="24"/>
          <w:highlight w:val="none"/>
          <w:lang w:bidi="ar"/>
        </w:rPr>
        <w:t xml:space="preserve">数据治理、数据共享交换、数据应用等能力。同时遵循“四个满足”原则，一是满足高质量考核需要，省、市高质量考核对部分市级部门政务信息化系统有明确要求；二是满足改革创新工作需要，市级政务信息化项目为改革创新提供了技术支撑和平台环境，推动政府职能转变及服务效能的持续改进；三是满足服务群众业务需求，以人工智能、系统对接、数据共享等信息化手段，构建现代化政务服务及公共服务体系，简化企业办事流程，减少群众办事成本，切实让广大市民感受到数字化便利；四是满足上级布置工作要求，落实国家、省级部门对地市条线信息化工作的指导要求。</w:t>
      </w:r>
      <w:r>
        <w:rPr>
          <w:rFonts w:ascii="宋体" w:hAnsi="宋体"/>
          <w:color w:val="000000"/>
          <w:sz w:val="24"/>
          <w:szCs w:val="24"/>
          <w:highlight w:val="none"/>
          <w:lang w:bidi="ar"/>
        </w:rPr>
      </w:r>
      <w:r/>
    </w:p>
    <w:p>
      <w:pPr>
        <w:pStyle w:val="677"/>
        <w:ind w:left="432" w:hanging="43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二、服务需求</w:t>
      </w:r>
      <w:r>
        <w:rPr>
          <w:rFonts w:hint="eastAsia" w:ascii="宋体" w:hAnsi="宋体" w:eastAsia="宋体" w:cs="Times New Roman"/>
          <w:b/>
          <w:sz w:val="24"/>
          <w:szCs w:val="24"/>
        </w:rPr>
      </w:r>
      <w:r/>
    </w:p>
    <w:p>
      <w:pPr>
        <w:pStyle w:val="676"/>
        <w:ind w:firstLine="480"/>
        <w:spacing w:line="360" w:lineRule="auto"/>
        <w:rPr>
          <w:rFonts w:hint="eastAsia" w:ascii="宋体" w:hAnsi="宋体" w:eastAsia="宋体" w:cs="Times New Roman"/>
          <w:color w:val="000000"/>
          <w:sz w:val="24"/>
          <w:szCs w:val="24"/>
          <w:lang w:bidi="ar"/>
        </w:rPr>
      </w:pPr>
      <w:r>
        <w:rPr>
          <w:rFonts w:hint="eastAsia" w:ascii="宋体" w:hAnsi="宋体"/>
          <w:color w:val="000000"/>
          <w:sz w:val="24"/>
          <w:szCs w:val="24"/>
          <w:lang w:bidi="ar"/>
        </w:rPr>
        <w:t xml:space="preserve">202</w:t>
      </w:r>
      <w:r>
        <w:rPr>
          <w:rFonts w:hint="eastAsia" w:ascii="宋体" w:hAnsi="宋体"/>
          <w:color w:val="000000"/>
          <w:sz w:val="24"/>
          <w:szCs w:val="24"/>
          <w:lang w:val="en-US" w:eastAsia="zh-CN" w:bidi="ar"/>
        </w:rPr>
        <w:t xml:space="preserve">6</w:t>
      </w:r>
      <w:r>
        <w:rPr>
          <w:rFonts w:hint="eastAsia" w:ascii="宋体" w:hAnsi="宋体"/>
          <w:color w:val="000000"/>
          <w:sz w:val="24"/>
          <w:szCs w:val="24"/>
          <w:lang w:bidi="ar"/>
        </w:rPr>
        <w:t xml:space="preserve">“数字泰州”公共数据综合服务围绕公共数据生产、管理、使用全生命周期，全方位提升数据流通效率与数据供给质量，通过高质量的数据治理服务，逐步形成协调推进有力、技术体系完善、安全管理有序、制度规范健全的公共数据高质量共享应用新格局，不断增强公共数据共享应用水平，加大公共数据应用创新力度、进一步推进公共数据资源的深度开发利用，为公共数据与社会数据实现深度融合应用，全面赋能经济社会高质量发展提供有力保障。该项目共涉及1</w:t>
      </w:r>
      <w:r>
        <w:rPr>
          <w:rFonts w:hint="eastAsia" w:ascii="宋体" w:hAnsi="宋体"/>
          <w:color w:val="000000"/>
          <w:sz w:val="24"/>
          <w:szCs w:val="24"/>
          <w:lang w:val="en-US" w:eastAsia="zh-CN" w:bidi="ar"/>
        </w:rPr>
        <w:t xml:space="preserve">1</w:t>
      </w:r>
      <w:r>
        <w:rPr>
          <w:rFonts w:hint="eastAsia" w:ascii="宋体" w:hAnsi="宋体"/>
          <w:color w:val="000000"/>
          <w:sz w:val="24"/>
          <w:szCs w:val="24"/>
          <w:lang w:bidi="ar"/>
        </w:rPr>
        <w:t xml:space="preserve">家部门（单位）2</w:t>
      </w:r>
      <w:r>
        <w:rPr>
          <w:rFonts w:hint="eastAsia" w:ascii="宋体" w:hAnsi="宋体"/>
          <w:color w:val="000000"/>
          <w:sz w:val="24"/>
          <w:szCs w:val="24"/>
          <w:lang w:val="en-US" w:eastAsia="zh-CN" w:bidi="ar"/>
        </w:rPr>
        <w:t xml:space="preserve">0</w:t>
      </w:r>
      <w:r>
        <w:rPr>
          <w:rFonts w:hint="eastAsia" w:ascii="宋体" w:hAnsi="宋体"/>
          <w:color w:val="000000"/>
          <w:sz w:val="24"/>
          <w:szCs w:val="24"/>
          <w:lang w:bidi="ar"/>
        </w:rPr>
        <w:t xml:space="preserve">个民生类、政务信息类公共数据综合服务，预期目标</w:t>
      </w:r>
      <w:r>
        <w:rPr>
          <w:rFonts w:hint="eastAsia" w:ascii="宋体" w:hAnsi="宋体" w:eastAsia="宋体" w:cs="Times New Roman"/>
          <w:color w:val="000000"/>
          <w:sz w:val="24"/>
          <w:szCs w:val="24"/>
          <w:lang w:bidi="ar"/>
        </w:rPr>
        <w:t xml:space="preserve">如下，涵盖</w:t>
      </w:r>
      <w:r>
        <w:rPr>
          <w:rFonts w:ascii="宋体" w:hAnsi="宋体" w:eastAsia="宋体" w:cs="Times New Roman"/>
          <w:color w:val="000000"/>
          <w:sz w:val="24"/>
          <w:szCs w:val="24"/>
          <w:lang w:val="en-US" w:eastAsia="zh-CN" w:bidi="ar"/>
        </w:rPr>
        <w:t xml:space="preserve">教育、</w:t>
      </w:r>
      <w:r>
        <w:rPr>
          <w:rFonts w:hint="eastAsia" w:ascii="宋体" w:hAnsi="宋体" w:eastAsia="宋体" w:cs="Times New Roman"/>
          <w:color w:val="000000"/>
          <w:sz w:val="24"/>
          <w:szCs w:val="24"/>
          <w:lang w:val="en-US" w:eastAsia="zh-CN" w:bidi="ar"/>
        </w:rPr>
        <w:t xml:space="preserve">司法、</w:t>
      </w:r>
      <w:r>
        <w:rPr>
          <w:rFonts w:ascii="宋体" w:hAnsi="宋体" w:eastAsia="宋体" w:cs="Times New Roman"/>
          <w:color w:val="000000"/>
          <w:sz w:val="24"/>
          <w:szCs w:val="24"/>
          <w:lang w:val="en-US" w:eastAsia="zh-CN" w:bidi="ar"/>
        </w:rPr>
        <w:t xml:space="preserve">医疗、住房、</w:t>
      </w:r>
      <w:r>
        <w:rPr>
          <w:rFonts w:hint="eastAsia" w:ascii="宋体" w:hAnsi="宋体" w:eastAsia="宋体" w:cs="Times New Roman"/>
          <w:color w:val="000000"/>
          <w:sz w:val="24"/>
          <w:szCs w:val="24"/>
          <w:lang w:val="en-US" w:eastAsia="zh-CN" w:bidi="ar"/>
        </w:rPr>
        <w:t xml:space="preserve">应急</w:t>
      </w:r>
      <w:r>
        <w:rPr>
          <w:rFonts w:hint="eastAsia" w:ascii="宋体" w:hAnsi="宋体" w:eastAsia="宋体" w:cs="Times New Roman"/>
          <w:color w:val="000000"/>
          <w:sz w:val="24"/>
          <w:szCs w:val="24"/>
          <w:lang w:bidi="ar"/>
        </w:rPr>
        <w:t xml:space="preserve">等多个领域数据应用，详细需求见公告附件：</w:t>
      </w:r>
      <w:r>
        <w:rPr>
          <w:rFonts w:hint="eastAsia" w:ascii="宋体" w:hAnsi="宋体" w:eastAsia="宋体" w:cs="Times New Roman"/>
          <w:color w:val="000000"/>
          <w:sz w:val="24"/>
          <w:szCs w:val="24"/>
          <w:lang w:bidi="ar"/>
        </w:rPr>
      </w:r>
      <w:r/>
    </w:p>
    <w:p>
      <w:pPr>
        <w:pStyle w:val="676"/>
        <w:ind w:firstLine="482"/>
        <w:spacing w:line="240" w:lineRule="auto"/>
        <w:rPr>
          <w:rFonts w:ascii="宋体" w:hAnsi="宋体"/>
          <w:b/>
          <w:color w:val="000000"/>
          <w:sz w:val="24"/>
          <w:szCs w:val="24"/>
          <w:lang w:bidi="ar"/>
        </w:rPr>
        <w:outlineLvl w:val="1"/>
      </w:pPr>
      <w:r>
        <w:rPr>
          <w:rFonts w:hint="eastAsia" w:ascii="宋体" w:hAnsi="宋体"/>
          <w:b/>
          <w:color w:val="000000"/>
          <w:sz w:val="24"/>
          <w:szCs w:val="24"/>
          <w:lang w:bidi="ar"/>
        </w:rPr>
        <w:t xml:space="preserve">1.</w:t>
      </w:r>
      <w:r>
        <w:rPr>
          <w:rFonts w:hint="eastAsia" w:ascii="宋体" w:hAnsi="宋体" w:eastAsia="宋体" w:cs="Times New Roman"/>
          <w:b/>
          <w:color w:val="000000"/>
          <w:sz w:val="24"/>
          <w:szCs w:val="24"/>
          <w:lang w:val="en-US" w:eastAsia="zh-CN" w:bidi="ar"/>
        </w:rPr>
        <w:t xml:space="preserve">市委政法委市域社会治理现代化指挥平台三期（2026）项目</w:t>
      </w:r>
      <w:r>
        <w:rPr>
          <w:rFonts w:hint="eastAsia" w:ascii="宋体" w:hAnsi="宋体"/>
          <w:b/>
          <w:color w:val="000000"/>
          <w:sz w:val="24"/>
          <w:szCs w:val="24"/>
          <w:lang w:bidi="ar"/>
        </w:rPr>
        <w:t xml:space="preserve">预期目标</w:t>
      </w:r>
      <w:r>
        <w:rPr>
          <w:rFonts w:ascii="宋体" w:hAnsi="宋体"/>
          <w:b/>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根据中央政法委《全国市域社会治理现代化试点工作指引》的工作部署和验收要求，结合泰州现状需求，全面主动防范化解“五类风险”（政治安全风险、社会矛盾风险、社会治安风险、公共安全风险、网络安全风险），维护社会和谐稳定，推进建设更高水平的平安泰州、法治泰州，创造安全稳定的政治社会环境。</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依托现有“泰治理”平台的数据基础和技术架构，扩展建设矛调研判分析功能模块，实现大数据预测预警预防，精准掌握治理态势，智辅决策，增强区域社会治理效能。利用大数据技术对汇聚的矛盾纠纷数据、解纷资源信息进行多维度综合分析，结合可视化技术对统计分析结果进行直观展示，方便领导宏观掌握泰州市矛盾纠纷解纷业务开展情况，辅助领导决策。</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具体目标如下：</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（一）全方位精准掌握治理态势，辅助决策</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通过社会稳定指数分析，精准量化评估各乡镇街道、不同行业、不同领域的社会治理态势，排查社会治理各类突出问题，辅助领导科学决策，变被动应对为主动维稳。</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（二）智能研判治理风险，提前预防</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通过大数据研判预警各业务场景的社会治理风险，如群体性、舆情性、重复性不稳定事件风险，越级访风险等，提前预测预警各类风险，变事后应对为事前防范。</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（三）提升治理工作效能，减轻工作负担</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通过对区域社会治理全过程数字化，自动统计分析，打造大数据分析、展示应用，提升治理工作效能，减轻领导干部和基层工作人员的工作负担。</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（四）“一图总览”，打造社会治理特色样板</w:t>
      </w:r>
      <w:r>
        <w:rPr>
          <w:rFonts w:hint="eastAsia" w:ascii="宋体" w:hAnsi="宋体" w:eastAsia="宋体" w:cs="Times New Roman"/>
          <w:color w:val="000000"/>
          <w:sz w:val="24"/>
          <w:szCs w:val="24"/>
          <w:lang w:bidi="ar"/>
        </w:rPr>
      </w:r>
      <w:r/>
    </w:p>
    <w:p>
      <w:pPr>
        <w:pStyle w:val="676"/>
        <w:ind w:firstLine="480"/>
        <w:keepLines w:val="0"/>
        <w:keepNext w:val="0"/>
        <w:pageBreakBefore w:val="0"/>
        <w:spacing w:line="360" w:lineRule="auto"/>
        <w:widowControl w:val="off"/>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通过大屏分主题可视化展现全辖区风险态势，实现“一图总览”，帮助领导一手掌控风险，辅助决策，统筹管控，打造社会治理特色样板。</w:t>
      </w:r>
      <w:r>
        <w:rPr>
          <w:rFonts w:hint="eastAsia" w:ascii="宋体" w:hAnsi="宋体" w:eastAsia="宋体" w:cs="Times New Roman"/>
          <w:color w:val="000000"/>
          <w:sz w:val="24"/>
          <w:szCs w:val="24"/>
          <w:lang w:bidi="ar"/>
        </w:rPr>
      </w:r>
      <w:r/>
    </w:p>
    <w:p>
      <w:pPr>
        <w:pStyle w:val="676"/>
        <w:ind w:firstLine="482"/>
        <w:spacing w:line="240" w:lineRule="auto"/>
        <w:rPr>
          <w:rFonts w:hint="eastAsia" w:ascii="宋体" w:hAnsi="宋体" w:eastAsia="宋体" w:cs="Times New Roman"/>
          <w:b/>
          <w:color w:val="000000"/>
          <w:sz w:val="24"/>
          <w:szCs w:val="24"/>
          <w:lang w:bidi="ar"/>
        </w:rPr>
        <w:outlineLvl w:val="1"/>
      </w:pPr>
      <w:r>
        <w:rPr>
          <w:rFonts w:hint="eastAsia" w:ascii="宋体" w:hAnsi="宋体" w:eastAsia="宋体" w:cs="Times New Roman"/>
          <w:b/>
          <w:color w:val="000000"/>
          <w:sz w:val="24"/>
          <w:szCs w:val="24"/>
          <w:lang w:bidi="ar"/>
        </w:rPr>
        <w:t xml:space="preserve">2.</w:t>
      </w:r>
      <w:bookmarkStart w:id="162" w:name="_Toc4619"/>
      <w:r>
        <w:rPr>
          <w:rFonts w:hint="eastAsia" w:ascii="宋体" w:hAnsi="宋体" w:eastAsia="宋体" w:cs="Times New Roman"/>
          <w:b/>
          <w:color w:val="000000"/>
          <w:sz w:val="24"/>
          <w:szCs w:val="24"/>
          <w:lang w:val="en-US" w:eastAsia="zh-CN" w:bidi="ar"/>
        </w:rPr>
        <w:t xml:space="preserve">市城管局城市运行管理平台升级（2026）项目</w:t>
      </w:r>
      <w:r>
        <w:rPr>
          <w:rFonts w:hint="eastAsia" w:ascii="宋体" w:hAnsi="宋体" w:eastAsia="宋体" w:cs="Times New Roman"/>
          <w:b/>
          <w:color w:val="000000"/>
          <w:sz w:val="24"/>
          <w:szCs w:val="24"/>
          <w:lang w:bidi="ar"/>
        </w:rPr>
        <w:t xml:space="preserve">预期目标</w:t>
      </w:r>
      <w:bookmarkEnd w:id="162"/>
      <w:r>
        <w:rPr>
          <w:rFonts w:hint="eastAsia" w:ascii="宋体" w:hAnsi="宋体" w:eastAsia="宋体" w:cs="Times New Roman"/>
          <w:b/>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en-GB" w:bidi="ar"/>
        </w:rPr>
        <w:t xml:space="preserve">省级平台统筹全省数据与政策，泰州市平台承接省级任务并细化落地，在现有泰州市城市运行管理服务平台基础上，本地化部署省级建筑垃圾数字化监管模块，实现省、设区市、县级市（区）、镇（街）、企五级数据实时同步与业务协同。通过数智赋能，进一步整合城管、住建、公安、交通、生态环境等部门数据，将省级跨市域监管与市级属地化管理相结合，形成"源头管控—运输追踪—末端处置"全链条闭环，实现全域统筹、纵向贯通、数智协同的建设目标。</w:t>
      </w:r>
      <w:r>
        <w:rPr>
          <w:rFonts w:hint="eastAsia" w:ascii="宋体" w:hAnsi="宋体" w:eastAsia="宋体" w:cs="Times New Roman"/>
          <w:color w:val="000000"/>
          <w:sz w:val="24"/>
          <w:szCs w:val="24"/>
          <w:lang w:bidi="ar"/>
        </w:rPr>
      </w:r>
      <w:r/>
    </w:p>
    <w:p>
      <w:pPr>
        <w:pStyle w:val="676"/>
        <w:ind w:firstLine="482"/>
        <w:spacing w:line="240" w:lineRule="auto"/>
        <w:rPr>
          <w:rFonts w:hint="eastAsia" w:ascii="宋体" w:hAnsi="宋体" w:eastAsia="宋体" w:cs="Times New Roman"/>
          <w:b/>
          <w:color w:val="000000"/>
          <w:sz w:val="24"/>
          <w:szCs w:val="24"/>
          <w:lang w:bidi="ar"/>
        </w:rPr>
        <w:outlineLvl w:val="1"/>
      </w:pPr>
      <w:r>
        <w:rPr>
          <w:rFonts w:hint="eastAsia" w:ascii="宋体" w:hAnsi="宋体" w:eastAsia="宋体" w:cs="Times New Roman"/>
          <w:b/>
          <w:color w:val="000000"/>
          <w:sz w:val="24"/>
          <w:szCs w:val="24"/>
          <w:lang w:bidi="ar"/>
        </w:rPr>
        <w:t xml:space="preserve">3.市教育局阳光招生平台升级（2026）项目预期目标</w:t>
      </w:r>
      <w:r>
        <w:rPr>
          <w:rFonts w:hint="eastAsia" w:ascii="宋体" w:hAnsi="宋体" w:eastAsia="宋体" w:cs="Times New Roman"/>
          <w:b/>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val="en-GB" w:bidi="ar"/>
        </w:rPr>
      </w:pPr>
      <w:r>
        <w:rPr>
          <w:rFonts w:hint="eastAsia" w:ascii="宋体" w:hAnsi="宋体" w:eastAsia="宋体" w:cs="Times New Roman"/>
          <w:color w:val="000000"/>
          <w:sz w:val="24"/>
          <w:szCs w:val="24"/>
          <w:lang w:val="en-US" w:eastAsia="zh-CN" w:bidi="ar"/>
        </w:rPr>
        <w:t xml:space="preserve">3.1</w:t>
      </w:r>
      <w:r>
        <w:rPr>
          <w:rFonts w:hint="eastAsia" w:ascii="宋体" w:hAnsi="宋体" w:eastAsia="宋体" w:cs="Times New Roman"/>
          <w:color w:val="000000"/>
          <w:sz w:val="24"/>
          <w:szCs w:val="24"/>
          <w:lang w:val="en-GB" w:bidi="ar"/>
        </w:rPr>
        <w:t xml:space="preserve">全流程网办水平大幅提升</w:t>
      </w:r>
      <w:r>
        <w:rPr>
          <w:rFonts w:hint="eastAsia" w:ascii="宋体" w:hAnsi="宋体" w:eastAsia="宋体" w:cs="Times New Roman"/>
          <w:color w:val="000000"/>
          <w:sz w:val="24"/>
          <w:szCs w:val="24"/>
          <w:lang w:val="en-GB" w:bidi="ar"/>
        </w:rPr>
      </w:r>
      <w:r/>
    </w:p>
    <w:p>
      <w:pPr>
        <w:pStyle w:val="676"/>
        <w:ind w:firstLine="480"/>
        <w:spacing w:line="360" w:lineRule="auto"/>
        <w:rPr>
          <w:rFonts w:hint="eastAsia" w:ascii="宋体" w:hAnsi="宋体" w:eastAsia="宋体" w:cs="Times New Roman"/>
          <w:color w:val="000000"/>
          <w:sz w:val="24"/>
          <w:szCs w:val="24"/>
          <w:lang w:val="en-GB" w:bidi="ar"/>
        </w:rPr>
      </w:pPr>
      <w:r>
        <w:rPr>
          <w:rFonts w:hint="eastAsia" w:ascii="宋体" w:hAnsi="宋体" w:eastAsia="宋体" w:cs="Times New Roman"/>
          <w:color w:val="000000"/>
          <w:sz w:val="24"/>
          <w:szCs w:val="24"/>
          <w:lang w:val="en-GB" w:bidi="ar"/>
        </w:rPr>
        <w:t xml:space="preserve">随迁子女报名材料基本实现系统自动核验，家长无须额外提交纸质证明；报名材料补正全部线上完成，群众跑动次数显著减少。</w:t>
      </w:r>
      <w:r>
        <w:rPr>
          <w:rFonts w:hint="eastAsia" w:ascii="宋体" w:hAnsi="宋体" w:eastAsia="宋体" w:cs="Times New Roman"/>
          <w:color w:val="000000"/>
          <w:sz w:val="24"/>
          <w:szCs w:val="24"/>
          <w:lang w:val="en-GB" w:bidi="ar"/>
        </w:rPr>
      </w:r>
      <w:r/>
    </w:p>
    <w:p>
      <w:pPr>
        <w:pStyle w:val="676"/>
        <w:ind w:firstLine="480"/>
        <w:spacing w:line="360" w:lineRule="auto"/>
        <w:rPr>
          <w:rFonts w:hint="eastAsia" w:ascii="宋体" w:hAnsi="宋体" w:eastAsia="宋体" w:cs="Times New Roman"/>
          <w:color w:val="000000"/>
          <w:sz w:val="24"/>
          <w:szCs w:val="24"/>
          <w:lang w:val="en-GB" w:bidi="ar"/>
        </w:rPr>
      </w:pPr>
      <w:r>
        <w:rPr>
          <w:rFonts w:hint="eastAsia" w:ascii="宋体" w:hAnsi="宋体" w:eastAsia="宋体" w:cs="Times New Roman"/>
          <w:color w:val="000000"/>
          <w:sz w:val="24"/>
          <w:szCs w:val="24"/>
          <w:lang w:val="en-US" w:eastAsia="zh-CN" w:bidi="ar"/>
        </w:rPr>
        <w:t xml:space="preserve">3.</w:t>
      </w:r>
      <w:r>
        <w:rPr>
          <w:rFonts w:hint="eastAsia" w:ascii="宋体" w:hAnsi="宋体" w:eastAsia="宋体" w:cs="Times New Roman"/>
          <w:color w:val="000000"/>
          <w:sz w:val="24"/>
          <w:szCs w:val="24"/>
          <w:lang w:val="en-GB" w:bidi="ar"/>
        </w:rPr>
        <w:t xml:space="preserve">2省市规范全面衔接</w:t>
      </w:r>
      <w:r>
        <w:rPr>
          <w:rFonts w:hint="eastAsia" w:ascii="宋体" w:hAnsi="宋体" w:eastAsia="宋体" w:cs="Times New Roman"/>
          <w:color w:val="000000"/>
          <w:sz w:val="24"/>
          <w:szCs w:val="24"/>
          <w:lang w:val="en-GB" w:bidi="ar"/>
        </w:rPr>
      </w:r>
      <w:r/>
    </w:p>
    <w:p>
      <w:pPr>
        <w:pStyle w:val="676"/>
        <w:ind w:firstLine="480"/>
        <w:spacing w:line="360" w:lineRule="auto"/>
        <w:rPr>
          <w:rFonts w:hint="eastAsia" w:ascii="宋体" w:hAnsi="宋体" w:eastAsia="宋体" w:cs="Times New Roman"/>
          <w:color w:val="000000"/>
          <w:sz w:val="24"/>
          <w:szCs w:val="24"/>
          <w:lang w:val="en-GB" w:bidi="ar"/>
        </w:rPr>
      </w:pPr>
      <w:r>
        <w:rPr>
          <w:rFonts w:hint="eastAsia" w:ascii="宋体" w:hAnsi="宋体" w:eastAsia="宋体" w:cs="Times New Roman"/>
          <w:color w:val="000000"/>
          <w:sz w:val="24"/>
          <w:szCs w:val="24"/>
          <w:lang w:val="en-GB" w:bidi="ar"/>
        </w:rPr>
        <w:t xml:space="preserve">移动端与PC端界面风格、数据接口符合省级“一件事”平台规范要求，确保对接顺畅。</w:t>
      </w:r>
      <w:r>
        <w:rPr>
          <w:rFonts w:hint="eastAsia" w:ascii="宋体" w:hAnsi="宋体" w:eastAsia="宋体" w:cs="Times New Roman"/>
          <w:color w:val="000000"/>
          <w:sz w:val="24"/>
          <w:szCs w:val="24"/>
          <w:lang w:val="en-GB" w:bidi="ar"/>
        </w:rPr>
      </w:r>
      <w:r/>
    </w:p>
    <w:p>
      <w:pPr>
        <w:pStyle w:val="676"/>
        <w:ind w:firstLine="480"/>
        <w:spacing w:line="360" w:lineRule="auto"/>
        <w:rPr>
          <w:rFonts w:hint="eastAsia" w:ascii="宋体" w:hAnsi="宋体" w:eastAsia="宋体" w:cs="Times New Roman"/>
          <w:color w:val="000000"/>
          <w:sz w:val="24"/>
          <w:szCs w:val="24"/>
          <w:lang w:val="en-GB" w:bidi="ar"/>
        </w:rPr>
      </w:pPr>
      <w:r>
        <w:rPr>
          <w:rFonts w:hint="eastAsia" w:ascii="宋体" w:hAnsi="宋体" w:eastAsia="宋体" w:cs="Times New Roman"/>
          <w:color w:val="000000"/>
          <w:sz w:val="24"/>
          <w:szCs w:val="24"/>
          <w:lang w:val="en-US" w:eastAsia="zh-CN" w:bidi="ar"/>
        </w:rPr>
        <w:t xml:space="preserve">3.</w:t>
      </w:r>
      <w:r>
        <w:rPr>
          <w:rFonts w:hint="eastAsia" w:ascii="宋体" w:hAnsi="宋体" w:eastAsia="宋体" w:cs="Times New Roman"/>
          <w:color w:val="000000"/>
          <w:sz w:val="24"/>
          <w:szCs w:val="24"/>
          <w:lang w:val="en-GB" w:bidi="ar"/>
        </w:rPr>
        <w:t xml:space="preserve">3监督闭环有效建立</w:t>
      </w:r>
      <w:r>
        <w:rPr>
          <w:rFonts w:hint="eastAsia" w:ascii="宋体" w:hAnsi="宋体" w:eastAsia="宋体" w:cs="Times New Roman"/>
          <w:color w:val="000000"/>
          <w:sz w:val="24"/>
          <w:szCs w:val="24"/>
          <w:lang w:val="en-GB" w:bidi="ar"/>
        </w:rPr>
      </w:r>
      <w:r/>
    </w:p>
    <w:p>
      <w:pPr>
        <w:pStyle w:val="676"/>
        <w:ind w:firstLine="480"/>
        <w:spacing w:line="360" w:lineRule="auto"/>
        <w:rPr>
          <w:rFonts w:hint="eastAsia" w:ascii="宋体" w:hAnsi="宋体" w:eastAsia="宋体" w:cs="Times New Roman"/>
          <w:color w:val="000000"/>
          <w:sz w:val="24"/>
          <w:szCs w:val="24"/>
          <w:lang w:val="en-GB" w:bidi="ar"/>
        </w:rPr>
      </w:pPr>
      <w:r>
        <w:rPr>
          <w:rFonts w:hint="eastAsia" w:ascii="宋体" w:hAnsi="宋体" w:eastAsia="宋体" w:cs="Times New Roman"/>
          <w:color w:val="000000"/>
          <w:sz w:val="24"/>
          <w:szCs w:val="24"/>
          <w:lang w:val="en-GB" w:bidi="ar"/>
        </w:rPr>
        <w:t xml:space="preserve">好差评工单形成“接诉即办”的整改反馈机制，群众满意度预期得到持续改善。</w:t>
      </w:r>
      <w:r>
        <w:rPr>
          <w:rFonts w:hint="eastAsia" w:ascii="宋体" w:hAnsi="宋体" w:eastAsia="宋体" w:cs="Times New Roman"/>
          <w:color w:val="000000"/>
          <w:sz w:val="24"/>
          <w:szCs w:val="24"/>
          <w:lang w:val="en-GB" w:bidi="ar"/>
        </w:rPr>
      </w:r>
      <w:r/>
    </w:p>
    <w:p>
      <w:pPr>
        <w:pStyle w:val="676"/>
        <w:ind w:firstLine="482"/>
        <w:spacing w:line="240" w:lineRule="auto"/>
        <w:rPr>
          <w:rFonts w:ascii="宋体" w:hAnsi="宋体" w:eastAsia="宋体" w:cs="Times New Roman"/>
          <w:b/>
          <w:color w:val="000000"/>
          <w:sz w:val="24"/>
          <w:szCs w:val="24"/>
          <w:lang w:val="en-US" w:bidi="ar"/>
        </w:rPr>
        <w:outlineLvl w:val="1"/>
      </w:pPr>
      <w:r>
        <w:rPr>
          <w:rFonts w:hint="eastAsia" w:ascii="宋体" w:hAnsi="宋体" w:eastAsia="宋体" w:cs="Times New Roman"/>
          <w:b/>
          <w:color w:val="000000"/>
          <w:sz w:val="24"/>
          <w:szCs w:val="24"/>
          <w:lang w:bidi="ar"/>
        </w:rPr>
        <w:t xml:space="preserve">4.</w:t>
      </w:r>
      <w:r>
        <w:rPr>
          <w:rFonts w:hint="eastAsia" w:ascii="宋体" w:hAnsi="宋体" w:eastAsia="宋体" w:cs="Times New Roman"/>
          <w:b/>
          <w:color w:val="000000"/>
          <w:sz w:val="24"/>
          <w:szCs w:val="24"/>
          <w:lang w:val="en-US" w:eastAsia="zh-CN" w:bidi="ar"/>
        </w:rPr>
        <w:t xml:space="preserve">市司法局“泰E法”合法性审查应用系统（2026）项目预期目标</w:t>
      </w:r>
      <w:r>
        <w:rPr>
          <w:rFonts w:ascii="宋体" w:hAnsi="宋体" w:eastAsia="宋体" w:cs="Times New Roman"/>
          <w:b/>
          <w:color w:val="000000"/>
          <w:sz w:val="24"/>
          <w:szCs w:val="24"/>
          <w:lang w:val="en-US"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为推进基层法治审核全覆盖，解决基层法治审核力量薄弱、程序不规范等问题，泰州市司法局按照数字政府建设要求，通过“泰E法”合法性审查系统，运用数字手段再造审查流程，并探索运用人工智能大模型实现“智能辅助审查”，提升合法性审查的精准度与效率，实现审查标准统一、过程留痕、结果可溯。通过“泰E法”合法性审查系统的迭代升级与深度应用，全面打通市、县、乡三级审查数据通道，实现政府重大决策、规范性文件、合同协议等审查事项应审尽审，不断提升我市法治政府建设水平。</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本项目旨在通过引入AI Agent技术，重新定义人机交互模式，打造一套基于“角色+场景”的智能合法性审查系统。核心目标包括：</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（1）全面适配乡镇基层：优化系统架构与业务流程，将合法性审查网络延伸至全市所有乡镇（街道），实现市、县、乡三级业务的无缝衔接与闭环管理。</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（2）构建司法知识库（RAG）：整合国家法律法规、地方性法规、政府规章、规范性文件及历史审查案例，建立动态更新的本地化司法知识库，为智能审查提供精准的知识支撑。</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（3）打造多模态司法大模型（Agent）：基于先进的大语言模型API，构建具备自然语言理解、文档解析、逻辑推理能力的司法智能体，实现审查任务的自动化与智能化。</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（4）实现双模交互体验：提供“AI智能引导对话模式”与“专业表单工作台模式”两套平行的交互模式，满足不同层级、不同习惯用户的使用需求，降低系统使用门槛。</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提升审查质效与管理水平：通过智能审查、辅助录入、辅助报告等功能，大幅缩短审查周期；通过升级领导驾驶舱，实现对全市审查业务的全局洞察与科学决策。</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bidi="ar"/>
        </w:rPr>
        <w:outlineLvl w:val="1"/>
      </w:pPr>
      <w:r>
        <w:rPr>
          <w:rFonts w:hint="eastAsia" w:ascii="宋体" w:hAnsi="宋体" w:eastAsia="宋体" w:cs="Times New Roman"/>
          <w:b/>
          <w:color w:val="000000"/>
          <w:sz w:val="24"/>
          <w:szCs w:val="24"/>
          <w:lang w:bidi="ar"/>
        </w:rPr>
        <w:t xml:space="preserve">5.</w:t>
      </w:r>
      <w:r>
        <w:rPr>
          <w:rFonts w:hint="eastAsia" w:ascii="宋体" w:hAnsi="宋体" w:eastAsia="宋体" w:cs="Times New Roman"/>
          <w:b/>
          <w:color w:val="000000"/>
          <w:sz w:val="24"/>
          <w:szCs w:val="24"/>
          <w:lang w:val="en-US" w:eastAsia="zh-CN" w:bidi="ar"/>
        </w:rPr>
        <w:t xml:space="preserve">市住建局“智慧住建”政务信息化平台升级（2026）项目</w:t>
      </w:r>
      <w:r>
        <w:rPr>
          <w:rFonts w:hint="eastAsia" w:ascii="宋体" w:hAnsi="宋体" w:eastAsia="宋体" w:cs="Times New Roman"/>
          <w:b/>
          <w:color w:val="000000"/>
          <w:sz w:val="24"/>
          <w:szCs w:val="24"/>
          <w:lang w:bidi="ar"/>
        </w:rPr>
        <w:t xml:space="preserve">预期目标</w:t>
      </w:r>
      <w:r>
        <w:rPr>
          <w:rFonts w:hint="eastAsia" w:ascii="宋体" w:hAnsi="宋体" w:eastAsia="宋体" w:cs="Times New Roman"/>
          <w:b/>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5.1填补城市体检功能空白</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智慧住建”平台开发时城市体检工作尚未部署，未能将相关内容纳入平台建设内容，通过建设城市体检模块，填补“智慧住建”平台在城市体检领域的功能空缺，整合城市体检数据对城市发展状况进行全面深入分析，精准识别城市规划、基础设施、生态环境、公共服务等方面的问题与短板，为城市更新提供科学依据和决策支持。</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5.2促进多方协同治理</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依托平台信息共享与交流机制，推动政府、社会各界共同参与城市体检工作，加强各方沟通协作，形成工作合力，助力提升城市治理现代化水平，服务城市高质量发展目标。</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5.3实现精准识别与降本增效</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通过系统对城区、街区、社区、住房等多维度的全面体检与数据分析，精准识别城市关键问题及优先级；同时整合用户信息、体检台账等基础数据，通过标准化接口、数据脱敏及统一规范，避免重复采集与数据统计难题，节省人力、物力及时间成本。</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bidi="ar"/>
        </w:rPr>
        <w:outlineLvl w:val="1"/>
      </w:pPr>
      <w:r>
        <w:rPr>
          <w:rFonts w:hint="eastAsia" w:ascii="宋体" w:hAnsi="宋体" w:eastAsia="宋体" w:cs="Times New Roman"/>
          <w:b/>
          <w:color w:val="000000"/>
          <w:sz w:val="24"/>
          <w:szCs w:val="24"/>
          <w:lang w:bidi="ar"/>
        </w:rPr>
        <w:t xml:space="preserve">6.</w:t>
      </w:r>
      <w:bookmarkStart w:id="163" w:name="_Toc30500"/>
      <w:r/>
      <w:bookmarkStart w:id="164" w:name="_Toc17157"/>
      <w:r/>
      <w:bookmarkStart w:id="165" w:name="_Toc29710"/>
      <w:r/>
      <w:bookmarkStart w:id="166" w:name="_Toc23254"/>
      <w:r/>
      <w:bookmarkStart w:id="167" w:name="_Toc24376"/>
      <w:r>
        <w:rPr>
          <w:rFonts w:hint="eastAsia" w:ascii="宋体" w:hAnsi="宋体" w:eastAsia="宋体" w:cs="Times New Roman"/>
          <w:b/>
          <w:color w:val="000000"/>
          <w:sz w:val="24"/>
          <w:szCs w:val="24"/>
          <w:lang w:bidi="ar"/>
        </w:rPr>
        <w:t xml:space="preserve">市急救中心智慧急救系统升级（2026）项目预期目标</w:t>
      </w:r>
      <w:bookmarkEnd w:id="163"/>
      <w:r/>
      <w:bookmarkEnd w:id="164"/>
      <w:r/>
      <w:bookmarkEnd w:id="165"/>
      <w:r/>
      <w:bookmarkEnd w:id="166"/>
      <w:r/>
      <w:bookmarkEnd w:id="167"/>
      <w:r>
        <w:rPr>
          <w:rFonts w:hint="eastAsia" w:ascii="宋体" w:hAnsi="宋体" w:eastAsia="宋体" w:cs="Times New Roman"/>
          <w:b/>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val="en-US" w:eastAsia="zh-CN" w:bidi="ar"/>
        </w:rPr>
      </w:pPr>
      <w:r/>
      <w:bookmarkStart w:id="168" w:name="_Toc21213"/>
      <w:r>
        <w:rPr>
          <w:rFonts w:hint="eastAsia" w:ascii="宋体" w:hAnsi="宋体" w:eastAsia="宋体" w:cs="Times New Roman"/>
          <w:color w:val="000000"/>
          <w:sz w:val="24"/>
          <w:szCs w:val="24"/>
          <w:lang w:val="en-US" w:eastAsia="zh-CN" w:bidi="ar"/>
        </w:rPr>
        <w:t xml:space="preserve">6.1AI智慧急救系统建设预期目标</w:t>
      </w:r>
      <w:bookmarkEnd w:id="168"/>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bookmarkStart w:id="169" w:name="OLE_LINK2"/>
      <w:r>
        <w:rPr>
          <w:rFonts w:hint="eastAsia" w:ascii="宋体" w:hAnsi="宋体" w:eastAsia="宋体" w:cs="Times New Roman"/>
          <w:color w:val="000000"/>
          <w:sz w:val="24"/>
          <w:szCs w:val="24"/>
          <w:lang w:val="en-US" w:eastAsia="zh-CN" w:bidi="ar"/>
        </w:rPr>
        <w:t xml:space="preserve">（1）</w:t>
      </w:r>
      <w:bookmarkEnd w:id="169"/>
      <w:r>
        <w:rPr>
          <w:rFonts w:hint="eastAsia" w:ascii="宋体" w:hAnsi="宋体" w:eastAsia="宋体" w:cs="Times New Roman"/>
          <w:color w:val="000000"/>
          <w:sz w:val="24"/>
          <w:szCs w:val="24"/>
          <w:lang w:val="en-US" w:eastAsia="zh-CN" w:bidi="ar"/>
        </w:rPr>
        <w:t xml:space="preserve">AI语音识别三要素精准提取：基本实现“信息获取零延迟、零误差”</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该模块以解决传统调度中“地址说不清、症状讲不明、信息记不全”的核心痛点为目标，通过语音识别与自然语言处理技术，构建高效、精准的信息采集闭环。</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提取效率目标：对急救呼叫中的地址、主诉、联系电话三大核心要素，实现实时识别与结构化提取，提取响应时间≤10秒，较人工录入效率提升60%以上，大幅压缩从接警到派车的前置时间。</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提取精度目标：在应对方言（如粤语、川语等）、模糊表述（如“XX大厦附近”）、背景噪音等复杂场景时，核心要素提取准确率≥95%。</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辅助决策目标：基于提取的主诉信息（如“心梗”“窒息”），自动触发病情初步分级，为后续优先级调度提供即时数据支撑，分级分诊准确率达到90%。</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（2）调度员情绪识别与干预：保障“调度中枢稳定运行”</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针对调度员长期处于高压环境、易出现情绪波动的问题，通过AI技术实现情绪状态的精准感知与及时干预，确保调度决策的稳定性与专业性。</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识别精准度目标：通过分析调度员通话录音中的语速、语调、音量变化及关键词情绪倾向（如频繁急促应答、语气不耐烦），结合操作行为数据（如指令输入延迟），构建情绪识别模型，对“焦虑、疲惫、烦躁”等负面情绪的识别准确率≥90%。</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长期管理目标：通过对情绪数据的持续分析，生成调度员个人情绪波动曲线与团队压力分布报告，为优化排班制度（如避免连续高强度值班）、开展针对性心理培训提供数据依据，降低个人情绪问题导致的调度差错。</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（3）主动启动生命支持：打造“呼入即救治”的黄金窗口</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针对专业急救人员到达前的“救治空窗期”，通过AI技术主动匹配急救指导方案，实现从“被动接警”到“主动施救”的转变，提升危急重症患者的救治成功率。</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响应时效目标：结合AI语音识别的主诉信息，在派车指令发出的同时，自动启动生命支持流程，15秒内为现场报警人推送标准化自救互救指导（语音+文字），较人工口述指导响应速度大幅提升，有效覆盖救护车到达前的关键时间。</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指导精准度目标：建立涵盖37种以上常见危急重症（如心梗、窒息、溺水、外伤出血）的急救指导库，AI可根据患者症状、年龄、现场环境（如是否有AED设备）智能匹配最优方案，指导内容准确率高达95%以上。例如，识别“食物噎住无法呼吸”时，自动推送海姆立克急救法的分步操作指引；识别“昏迷无呼吸”时，立即启动心肺复苏术指导。</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（4）业务流程规范实时质控：实现“过程管控零死角”</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打破传统“事后检查”的质控模式，通过AI技术对调度全流程进行实时监测与智能纠错，确保业务操作符合医疗规范与管理要求，提升急救服务的标准化水平。</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质控覆盖目标：实现对“接警-信息采集-病情分级-派车-信息同步-病历录入”全流程的实时监控，覆盖8大类常见质控点，包括信息完整性（如是否漏填患者年龄）、逻辑一致性（如派车时间早于接警时间）、规范合规性（如是否按分级优先派车）等。</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质量提升目标：通过实时质控与持续优化，使院前急救电子病历书写完整率及调度流程合规率大幅提升，为医疗质量评估、后续诊疗及管理决策提供准确的数据支撑。同时，生成月度质控分析报告，精准定位高频问题环节，推动业务流程的迭代优化。</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bookmarkStart w:id="170" w:name="_Toc18814"/>
      <w:r>
        <w:rPr>
          <w:rFonts w:hint="eastAsia" w:ascii="宋体" w:hAnsi="宋体" w:eastAsia="宋体" w:cs="Times New Roman"/>
          <w:color w:val="000000"/>
          <w:sz w:val="24"/>
          <w:szCs w:val="24"/>
          <w:lang w:val="en-US" w:eastAsia="zh-CN" w:bidi="ar"/>
        </w:rPr>
        <w:t xml:space="preserve">6.2地图双图源建设预期目标</w:t>
      </w:r>
      <w:bookmarkEnd w:id="170"/>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地图双图源项目聚焦于提升急救导航的“精准度”与“可靠性”，为生命救援压缩时间成本，具体目标包括：</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打造高可靠、全覆盖的地理信息底座</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实现多源地图优势互补：融合两类不同数据源的核心优势（如一类侧重城市道路细节与建筑物标注，另一类侧重乡村路网与实时交通动态），解决单一地图在复杂场景下的信息盲区问题。</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保障定位与地图数据准确性：通过多源信息融合算法交叉验证，将救护车与患者定位误差控制在米级以内，地图道路、POI（如医院、AED点位）更新频率提升至周级甚至日级。</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实现动态智能的路径规划与导航</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构建“时间最优”导航模型：系统可结合双图源的实时交通数据（拥堵、事故、施工）、道路属性（限高、限行）与救护车状态，自动规划并动态调整最优救援路径，缩短救护车的在途时间。</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适配多场景导航需求：针对城市密集区、乡村偏远地区、大型活动现场等不同场景，自动切换适配的地图数据源与规划策略，确保复杂环境下导航的有效性。</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支撑一体化应急指挥与资源调度</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实现全域资源可视化调度：在指挥中心大屏集成双图源地图，直观展示救护车实时位置、急救站点分布等信息，辅助调度员快速完成最优车辆派单。</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强化重大事件应急支撑：在突发公共卫生事件或灾害现场，通过双图源融合单兵设备等回传的现场地理信息，快速生成应急救援地图，为前线指挥与资源投送提供精准空间支持。</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bidi="ar"/>
        </w:rPr>
        <w:outlineLvl w:val="1"/>
      </w:pPr>
      <w:r>
        <w:rPr>
          <w:rFonts w:hint="eastAsia" w:ascii="宋体" w:hAnsi="宋体" w:eastAsia="宋体" w:cs="Times New Roman"/>
          <w:b/>
          <w:color w:val="000000"/>
          <w:sz w:val="24"/>
          <w:szCs w:val="24"/>
          <w:lang w:bidi="ar"/>
        </w:rPr>
        <w:t xml:space="preserve">7.市卫健委健康泰州数字化能力提升工程升级（2026）项目预期目标</w:t>
      </w:r>
      <w:r>
        <w:rPr>
          <w:rFonts w:hint="eastAsia" w:ascii="宋体" w:hAnsi="宋体" w:eastAsia="宋体" w:cs="Times New Roman"/>
          <w:b/>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en-US" w:eastAsia="zh-CN" w:bidi="ar"/>
        </w:rPr>
        <w:t xml:space="preserve">7.1</w:t>
      </w:r>
      <w:r>
        <w:rPr>
          <w:rFonts w:hint="eastAsia" w:ascii="宋体" w:hAnsi="宋体" w:eastAsia="宋体" w:cs="Times New Roman"/>
          <w:color w:val="000000"/>
          <w:sz w:val="24"/>
          <w:szCs w:val="24"/>
          <w:lang w:bidi="ar"/>
        </w:rPr>
        <w:t xml:space="preserve">构建医疗机构财务数据监管体系</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符合行政事业单位内控“以预算管理为主线、资金管控为核心”的理念，实现经济业务活动的内控管理，包含预算编审、分解和下达、收入管理、支出管理、采购过程管理、合同管理、资产管理、项目管理、绩效管理等为一体的闭环内控管理系统。</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项目完成后，行政效能与便民利企成效显著。行政效率上，通过信息化平台，部门领导能快速获取数据并决策，财务人员电子票据验真查重更高效，报销人员线上一键报销，各环节流转加速，极大提升行政运转速度。履职能力方面，借助数据共享与分析，监管更精准，助力精准施策。降低行政成本上，减少手工统计等人力投入，线上流程替代部分线下工作，节省人力物力。在经济社会层面，优化医疗资源配置，为政策制定提供科学依据，保障医疗服务与经济运行高效、规范，让群众享受更便捷的医疗财务服务，助力医疗行业健康发展。</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en-US" w:eastAsia="zh-CN" w:bidi="ar"/>
        </w:rPr>
        <w:t xml:space="preserve">7.2</w:t>
      </w:r>
      <w:r>
        <w:rPr>
          <w:rFonts w:hint="eastAsia" w:ascii="宋体" w:hAnsi="宋体" w:eastAsia="宋体" w:cs="Times New Roman"/>
          <w:color w:val="000000"/>
          <w:sz w:val="24"/>
          <w:szCs w:val="24"/>
          <w:lang w:bidi="ar"/>
        </w:rPr>
        <w:t xml:space="preserve">构建医学专家库</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建成后，能有力提升行政效能与行业协同水平。行政效率方面，基础数据维护、案件与专家工作管理信息化，让卫健系统内相关工作流转更顺畅，减少人工操作耗时。履职能力上，凭借系统对专家资源的高效管理，在医疗案件处理、学术工作开展等方面，能快速匹配专家，提升卫健系统履职的专业性与及时性。同时，通过信息化手段，减少不必要的人力协调等成本，降低行政支出。从社会意义看，为医疗领域提供可靠的专家资源支撑，推动医疗行业协同发展，助力提升整体医疗服务质量与效率，惠及广大群众。</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en-US" w:eastAsia="zh-CN" w:bidi="ar"/>
        </w:rPr>
        <w:t xml:space="preserve">7.3</w:t>
      </w:r>
      <w:r>
        <w:rPr>
          <w:rFonts w:hint="eastAsia" w:ascii="宋体" w:hAnsi="宋体" w:eastAsia="宋体" w:cs="Times New Roman"/>
          <w:color w:val="000000"/>
          <w:sz w:val="24"/>
          <w:szCs w:val="24"/>
          <w:lang w:bidi="ar"/>
        </w:rPr>
        <w:t xml:space="preserve">探索数据应用场景</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以全民健康信息平台为基础，提升平台数据治理能力建设，推动区域医疗健康数据要素应用，打造区域健康数据要素标杆。</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构建数据治理体系，制定数据应用顶层规划，持续推动平台数据质量提升。</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建立健康泰州数据资产目录，形成行业应用高质量数据集，支撑数据要素应用及数据交易流通。</w:t>
      </w:r>
      <w:r>
        <w:rPr>
          <w:rFonts w:hint="eastAsia" w:ascii="宋体" w:hAnsi="宋体" w:eastAsia="宋体" w:cs="Times New Roman"/>
          <w:color w:val="000000"/>
          <w:sz w:val="24"/>
          <w:szCs w:val="24"/>
          <w:lang w:bidi="ar"/>
        </w:rPr>
      </w:r>
      <w:r/>
    </w:p>
    <w:p>
      <w:pPr>
        <w:pStyle w:val="703"/>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探索建设真实世界用药人群研究等应用场景，协助药企等第三方机构开展数据应用。</w:t>
      </w:r>
      <w:r>
        <w:rPr>
          <w:rFonts w:hint="eastAsia" w:ascii="宋体" w:hAnsi="宋体" w:eastAsia="宋体" w:cs="Times New Roman"/>
          <w:color w:val="000000"/>
          <w:sz w:val="24"/>
          <w:szCs w:val="24"/>
          <w:lang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bookmarkStart w:id="171" w:name="_Toc20193"/>
      <w:r/>
      <w:bookmarkStart w:id="172" w:name="_Toc194908685"/>
      <w:r>
        <w:rPr>
          <w:rFonts w:hint="eastAsia" w:ascii="宋体" w:hAnsi="宋体" w:eastAsia="宋体" w:cs="Times New Roman"/>
          <w:b/>
          <w:color w:val="000000"/>
          <w:sz w:val="24"/>
          <w:szCs w:val="24"/>
          <w:lang w:val="en-US" w:eastAsia="zh-CN" w:bidi="ar"/>
        </w:rPr>
        <w:t xml:space="preserve">8.</w:t>
      </w:r>
      <w:bookmarkEnd w:id="171"/>
      <w:r/>
      <w:bookmarkEnd w:id="172"/>
      <w:r/>
      <w:bookmarkStart w:id="173" w:name="_Toc194908688"/>
      <w:r/>
      <w:bookmarkStart w:id="174" w:name="_Toc17887"/>
      <w:r>
        <w:rPr>
          <w:rFonts w:hint="eastAsia" w:ascii="宋体" w:hAnsi="宋体" w:eastAsia="宋体" w:cs="Times New Roman"/>
          <w:b/>
          <w:color w:val="000000"/>
          <w:sz w:val="24"/>
          <w:szCs w:val="24"/>
          <w:lang w:val="en-US" w:eastAsia="zh-CN" w:bidi="ar"/>
        </w:rPr>
        <w:t xml:space="preserve">市退役军人事务局“四全”服务智能支持保障系统（2026）项目预期目标</w:t>
      </w:r>
      <w:bookmarkEnd w:id="173"/>
      <w:r/>
      <w:bookmarkEnd w:id="174"/>
      <w:r>
        <w:rPr>
          <w:rFonts w:hint="eastAsia" w:ascii="宋体" w:hAnsi="宋体" w:eastAsia="宋体" w:cs="Times New Roman"/>
          <w:b/>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bidi="ar"/>
        </w:rPr>
        <w:t xml:space="preserve">推进泰州市退役军人事务局横向与职能部门、纵向与上级业务系统数据对接，破除“信息孤岛”效应。推进信息化统一管理平台建设，强化退役军人事务局对于退役军人业务数据的监督和管理。建立符合泰州退役军人服务需求的“人工智能+”平台，提升线上服务的整体水平，达成退役军人政务服务“规范化、实用化、易用化”的目标，将退役军人业务数据与相关部门的业务数据做好对接工作，实现数据集成与共享，实现对业务内容的监督、审核的功能。进而提升退役军人事务部门的服务管理水平。</w:t>
      </w:r>
      <w:r>
        <w:rPr>
          <w:rFonts w:hint="eastAsia" w:ascii="宋体" w:hAnsi="宋体" w:eastAsia="宋体" w:cs="Times New Roman"/>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val="zh-CN" w:bidi="ar"/>
        </w:rPr>
      </w:pPr>
      <w:r>
        <w:rPr>
          <w:rFonts w:hint="eastAsia" w:ascii="宋体" w:hAnsi="宋体" w:eastAsia="宋体" w:cs="Times New Roman"/>
          <w:color w:val="000000"/>
          <w:sz w:val="24"/>
          <w:szCs w:val="24"/>
          <w:lang w:val="zh-CN" w:bidi="ar"/>
        </w:rPr>
        <w:t xml:space="preserve">本项目结合退役军人事务厅信息化建设工作要求，依托云计算、大数据、互联网+等技术，构建“统一、智慧、融合、便捷、可靠”的退役军人事务信息化体系，基于电子政务公共云平台（信创），建成市、县、街道三级管理联动和市、县、街道/乡、社区/村4级服务保障业务应用的级退役军人信息管理一体化平台，形成“四横三纵”的服务保障格局，为退役军人事务工作提供上下协同的数据服务支撑，为退役军人科学管理提供高效便捷的保障，为退役军人提供精细精准专属的精准服务。</w:t>
      </w:r>
      <w:r>
        <w:rPr>
          <w:rFonts w:hint="eastAsia" w:ascii="宋体" w:hAnsi="宋体" w:eastAsia="宋体" w:cs="Times New Roman"/>
          <w:color w:val="000000"/>
          <w:sz w:val="24"/>
          <w:szCs w:val="24"/>
          <w:lang w:val="zh-CN" w:bidi="ar"/>
        </w:rPr>
      </w:r>
      <w:r/>
    </w:p>
    <w:p>
      <w:pPr>
        <w:pStyle w:val="676"/>
        <w:ind w:firstLine="480"/>
        <w:spacing w:line="360" w:lineRule="auto"/>
        <w:rPr>
          <w:rFonts w:hint="eastAsia" w:ascii="宋体" w:hAnsi="宋体" w:eastAsia="宋体" w:cs="Times New Roman"/>
          <w:color w:val="000000"/>
          <w:sz w:val="24"/>
          <w:szCs w:val="24"/>
          <w:lang w:val="zh-CN" w:bidi="ar"/>
        </w:rPr>
      </w:pPr>
      <w:r>
        <w:rPr>
          <w:rFonts w:hint="eastAsia" w:ascii="宋体" w:hAnsi="宋体" w:eastAsia="宋体" w:cs="Times New Roman"/>
          <w:color w:val="000000"/>
          <w:sz w:val="24"/>
          <w:szCs w:val="24"/>
          <w:lang w:val="zh-CN" w:bidi="ar"/>
        </w:rPr>
        <w:t xml:space="preserve">具体目标如下：</w:t>
      </w:r>
      <w:r>
        <w:rPr>
          <w:rFonts w:hint="eastAsia" w:ascii="宋体" w:hAnsi="宋体" w:eastAsia="宋体" w:cs="Times New Roman"/>
          <w:color w:val="000000"/>
          <w:sz w:val="24"/>
          <w:szCs w:val="24"/>
          <w:lang w:val="zh-CN" w:bidi="ar"/>
        </w:rPr>
      </w:r>
      <w:r/>
    </w:p>
    <w:p>
      <w:pPr>
        <w:pStyle w:val="676"/>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zh-CN" w:bidi="ar"/>
        </w:rPr>
        <w:t xml:space="preserve">建成全市统一的退役军人综合信息主题数据库：</w:t>
      </w:r>
      <w:r>
        <w:rPr>
          <w:rFonts w:hint="eastAsia" w:ascii="宋体" w:hAnsi="宋体" w:eastAsia="宋体" w:cs="Times New Roman"/>
          <w:color w:val="000000"/>
          <w:sz w:val="24"/>
          <w:szCs w:val="24"/>
          <w:lang w:bidi="ar"/>
        </w:rPr>
        <w:t xml:space="preserve">整合全市退役军人各类信息，形成标准化、一体化的主题数据库，为开展全景分析、趋势研判和“一人一策”精准建模提供完整、可靠的数据基础。</w:t>
      </w:r>
      <w:r>
        <w:rPr>
          <w:rFonts w:hint="eastAsia" w:ascii="宋体" w:hAnsi="宋体" w:eastAsia="宋体" w:cs="Times New Roman"/>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eastAsia="zh-CN" w:bidi="ar"/>
        </w:rPr>
      </w:pPr>
      <w:r>
        <w:rPr>
          <w:rFonts w:hint="eastAsia" w:ascii="宋体" w:hAnsi="宋体" w:eastAsia="宋体" w:cs="Times New Roman"/>
          <w:color w:val="000000"/>
          <w:sz w:val="24"/>
          <w:szCs w:val="24"/>
          <w:lang w:val="zh-CN" w:bidi="ar"/>
        </w:rPr>
        <w:t xml:space="preserve">实现纵向与横向数据共享互通：</w:t>
      </w:r>
      <w:r>
        <w:rPr>
          <w:rFonts w:hint="eastAsia" w:ascii="宋体" w:hAnsi="宋体" w:eastAsia="宋体" w:cs="Times New Roman"/>
          <w:color w:val="000000"/>
          <w:sz w:val="24"/>
          <w:szCs w:val="24"/>
          <w:lang w:bidi="ar"/>
        </w:rPr>
        <w:t xml:space="preserve">纵向贯通部、省、市、区县、乡镇数据，横向联通人社、民政、公安、市场监管、卫健委等关键部门数据，实现多源异构数据的有效汇聚与关联，为构建跨领域、多维度的综合分析提供支持</w:t>
      </w:r>
      <w:r>
        <w:rPr>
          <w:rFonts w:hint="eastAsia" w:ascii="宋体" w:hAnsi="宋体" w:eastAsia="宋体" w:cs="Times New Roman"/>
          <w:color w:val="000000"/>
          <w:sz w:val="24"/>
          <w:szCs w:val="24"/>
          <w:lang w:eastAsia="zh-CN" w:bidi="ar"/>
        </w:rPr>
        <w:t xml:space="preserve">。</w:t>
      </w:r>
      <w:r>
        <w:rPr>
          <w:rFonts w:hint="eastAsia" w:ascii="宋体" w:hAnsi="宋体" w:eastAsia="宋体" w:cs="Times New Roman"/>
          <w:color w:val="000000"/>
          <w:sz w:val="24"/>
          <w:szCs w:val="24"/>
          <w:lang w:eastAsia="zh-CN" w:bidi="ar"/>
        </w:rPr>
      </w:r>
      <w:r/>
    </w:p>
    <w:p>
      <w:pPr>
        <w:pStyle w:val="676"/>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zh-CN" w:bidi="ar"/>
        </w:rPr>
        <w:t xml:space="preserve">实现精准服务与科学决策：</w:t>
      </w:r>
      <w:r>
        <w:rPr>
          <w:rFonts w:hint="eastAsia" w:ascii="宋体" w:hAnsi="宋体" w:eastAsia="宋体" w:cs="Times New Roman"/>
          <w:color w:val="000000"/>
          <w:sz w:val="24"/>
          <w:szCs w:val="24"/>
          <w:lang w:bidi="ar"/>
        </w:rPr>
        <w:t xml:space="preserve">基于全量数据，构建退役军人特征分析模型，刻画动态、立体的群体与个体“全息画像”。利用数据分析与可视化技术，为就业创业推荐、技能培训规划、优抚政策制定与效果评估提供量化依据和决策支持。通过模型算法精准识别不同类别（如就业困难、年老体弱等）的服务对象，实现从“人找政策”到“政策找人”的主动服务模式转变</w:t>
      </w:r>
      <w:r>
        <w:rPr>
          <w:rFonts w:hint="eastAsia" w:ascii="宋体" w:hAnsi="宋体" w:eastAsia="宋体" w:cs="Times New Roman"/>
          <w:color w:val="000000"/>
          <w:sz w:val="24"/>
          <w:szCs w:val="24"/>
          <w:lang w:val="zh-CN" w:bidi="ar"/>
        </w:rPr>
        <w:t xml:space="preserve">。</w:t>
      </w:r>
      <w:r>
        <w:rPr>
          <w:rFonts w:hint="eastAsia" w:ascii="宋体" w:hAnsi="宋体" w:eastAsia="宋体" w:cs="Times New Roman"/>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zh-CN" w:bidi="ar"/>
        </w:rPr>
        <w:t xml:space="preserve">提升行政效能、降低行政成本：</w:t>
      </w:r>
      <w:r>
        <w:rPr>
          <w:rFonts w:hint="eastAsia" w:ascii="宋体" w:hAnsi="宋体" w:eastAsia="宋体" w:cs="Times New Roman"/>
          <w:color w:val="000000"/>
          <w:sz w:val="24"/>
          <w:szCs w:val="24"/>
          <w:lang w:bidi="ar"/>
        </w:rPr>
        <w:t xml:space="preserve">通过数据分析模型与自动化比对核验，优化业务流程，将数据核查、资格认证等环节的效率提升50%以上，减少约30%的重复人工审核工作，从而显著降低行政运行成本。</w:t>
      </w:r>
      <w:r>
        <w:rPr>
          <w:rFonts w:hint="eastAsia" w:ascii="宋体" w:hAnsi="宋体" w:eastAsia="宋体" w:cs="Times New Roman"/>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zh-CN" w:bidi="ar"/>
        </w:rPr>
        <w:t xml:space="preserve">安全防护加固，保证信息安全：</w:t>
      </w:r>
      <w:r>
        <w:rPr>
          <w:rFonts w:hint="eastAsia" w:ascii="宋体" w:hAnsi="宋体" w:eastAsia="宋体" w:cs="Times New Roman"/>
          <w:color w:val="000000"/>
          <w:sz w:val="24"/>
          <w:szCs w:val="24"/>
          <w:lang w:bidi="ar"/>
        </w:rPr>
        <w:t xml:space="preserve">建立与数据分析平台相匹配的数据安全与隐私保护体系，确保在数据汇聚、处理、应用及成果输出全过程中的安全合规，为分析工作的可靠开展奠定基础</w:t>
      </w:r>
      <w:r>
        <w:rPr>
          <w:rFonts w:hint="eastAsia" w:ascii="宋体" w:hAnsi="宋体" w:eastAsia="宋体" w:cs="Times New Roman"/>
          <w:color w:val="000000"/>
          <w:sz w:val="24"/>
          <w:szCs w:val="24"/>
          <w:lang w:val="zh-CN" w:bidi="ar"/>
        </w:rPr>
        <w:t xml:space="preserve">。</w:t>
      </w:r>
      <w:r>
        <w:rPr>
          <w:rFonts w:hint="eastAsia" w:ascii="宋体" w:hAnsi="宋体" w:eastAsia="宋体" w:cs="Times New Roman"/>
          <w:color w:val="000000"/>
          <w:sz w:val="24"/>
          <w:szCs w:val="24"/>
          <w:lang w:bidi="ar"/>
        </w:rPr>
      </w:r>
      <w:r/>
    </w:p>
    <w:p>
      <w:pPr>
        <w:pStyle w:val="676"/>
        <w:ind w:firstLine="480"/>
        <w:spacing w:line="360" w:lineRule="auto"/>
        <w:rPr>
          <w:rFonts w:hint="eastAsia" w:ascii="宋体" w:hAnsi="宋体" w:eastAsia="宋体" w:cs="Times New Roman"/>
          <w:color w:val="000000"/>
          <w:sz w:val="24"/>
          <w:szCs w:val="24"/>
          <w:lang w:bidi="ar"/>
        </w:rPr>
      </w:pPr>
      <w:r>
        <w:rPr>
          <w:rFonts w:hint="eastAsia" w:ascii="宋体" w:hAnsi="宋体" w:eastAsia="宋体" w:cs="Times New Roman"/>
          <w:color w:val="000000"/>
          <w:sz w:val="24"/>
          <w:szCs w:val="24"/>
          <w:lang w:val="zh-CN" w:bidi="ar"/>
        </w:rPr>
        <w:t xml:space="preserve">实现业务协同与动态监测：</w:t>
      </w:r>
      <w:r>
        <w:rPr>
          <w:rFonts w:hint="eastAsia" w:ascii="宋体" w:hAnsi="宋体" w:eastAsia="宋体" w:cs="Times New Roman"/>
          <w:color w:val="000000"/>
          <w:sz w:val="24"/>
          <w:szCs w:val="24"/>
          <w:lang w:bidi="ar"/>
        </w:rPr>
        <w:t xml:space="preserve">依托跨部门数据共享，推动协同业务在线办理。对优待抚恤、就业状况、困难帮扶等核心指标进行实时监测与动态分析，建立预警模型，实现风险与需求的早期发现、主动干预</w:t>
      </w:r>
      <w:r>
        <w:rPr>
          <w:rFonts w:hint="eastAsia" w:ascii="宋体" w:hAnsi="宋体" w:eastAsia="宋体" w:cs="Times New Roman"/>
          <w:color w:val="000000"/>
          <w:sz w:val="24"/>
          <w:szCs w:val="24"/>
          <w:lang w:val="zh-CN" w:bidi="ar"/>
        </w:rPr>
        <w:t xml:space="preserve">。</w:t>
      </w:r>
      <w:r>
        <w:rPr>
          <w:rFonts w:hint="eastAsia" w:ascii="宋体" w:hAnsi="宋体" w:eastAsia="宋体" w:cs="Times New Roman"/>
          <w:color w:val="000000"/>
          <w:sz w:val="24"/>
          <w:szCs w:val="24"/>
          <w:lang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9.市应急局智慧应急综合管理平台升级优化（2026）项目预期目标</w:t>
      </w:r>
      <w:r>
        <w:rPr>
          <w:rFonts w:hint="eastAsia" w:ascii="宋体" w:hAnsi="宋体" w:eastAsia="宋体" w:cs="Times New Roman"/>
          <w:b/>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短期目标。完成现有核心系统优化升级，实现地震系统监测数据实时化、自动化处理，监测仪</w:t>
      </w:r>
      <w:r>
        <w:rPr>
          <w:rFonts w:hint="eastAsia" w:ascii="宋体" w:hAnsi="宋体" w:eastAsia="宋体" w:cs="Times New Roman"/>
          <w:color w:val="000000"/>
          <w:sz w:val="24"/>
          <w:szCs w:val="24"/>
          <w:lang w:val="en-US" w:eastAsia="zh-CN" w:bidi="ar"/>
        </w:rPr>
        <w:t xml:space="preserve">器异常状态告警准确率达95%以上；监测预警和应急指挥“一张图”系统实现多源数据“一网汇聚”，移动端突发事件上报响应时间缩短至5分钟内；防灾减灾救灾系统界面操作效率提升，提高预警信息发送精准度，避免无效预警打扰，实现专家组别二级分类、专家申报、两级审批、一单多派等基础业务线上化运行，完成专家信息、有效期、审批流程的规范化与可追溯，满足日常专家选派、入库审核、费用结算的基础业务刚需。启动新系统核心模块建设，风险报告本地化系统、工贸重点有限空间企业监测预警系统等模块上线运行，给企业提供免费服务，提升企业管理质效。</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中期目标。现有优化系统功能全面成</w:t>
      </w:r>
      <w:r>
        <w:rPr>
          <w:rFonts w:hint="eastAsia" w:ascii="宋体" w:hAnsi="宋体" w:eastAsia="宋体" w:cs="Times New Roman"/>
          <w:color w:val="000000"/>
          <w:sz w:val="24"/>
          <w:szCs w:val="24"/>
          <w:lang w:val="en-US" w:eastAsia="zh-CN" w:bidi="ar"/>
        </w:rPr>
        <w:t xml:space="preserve">熟，地震系统形成覆盖全市的震情实时跟踪体系，为震后应急决策提供数据支撑的时间缩短至15分钟内；“一张图”系统实现风险研判、态势感知和资源调度的智能化联动，跨部门指挥协同效率逐渐提升；防灾减灾救灾系统实现灾害风险点动态监测与预警分级精准推送，预警信息覆盖率100%，全面深化专家管理应用与流程闭环，实现专家申请、选派、审批、费用确认、统计分析全流程线上协同，完善多条件查询、数据导出、费用调整、服务考评等精细化管理能力，提升区县、业务处室、主管部门多级管理效率，形成标准化、可监督、可量化的专家管理与入库运行机制。</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新系统全面建成并试运行，专业化“智能决策”模块风险预测模型准确率稳步提升，可自动匹配不放心企业名单及风险管理薄弱点；企业安全管理服务平台“实体化资源协同”“手册化流程优化”模块全面启用，重点企业人员资质动态管理覆盖率100%，鼓励企业高风险场所作业许可线上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长期目标。构建形成“六化”（精准化、专业化、全员化、实体化、手册化、数字化）融合的应急管理信息化体系，实现风险实时可知、安全态势可视、隐患处置可控、管理流程可溯、绩效评价可量的总体目标。所有系统数据互联互通，形成统一的数据资源池与智能分析中心，为应急管理决策提供全方位、高精度的数据支撑，推动应急管理工作从被动响应向主动防控转变，全面提升泰州市应急管理综合能力与水平，为全市安全发展提供坚实的信息化保障。</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10.市国资国企在线监管平台升级改造（2026）项目预期目标</w:t>
      </w:r>
      <w:r>
        <w:rPr>
          <w:rFonts w:hint="eastAsia" w:ascii="宋体" w:hAnsi="宋体" w:eastAsia="宋体" w:cs="Times New Roman"/>
          <w:b/>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为高效推动国有资产</w:t>
      </w:r>
      <w:r>
        <w:rPr>
          <w:rFonts w:hint="eastAsia" w:ascii="宋体" w:hAnsi="宋体" w:eastAsia="宋体" w:cs="Times New Roman"/>
          <w:color w:val="000000"/>
          <w:sz w:val="24"/>
          <w:szCs w:val="24"/>
          <w:lang w:val="en-US" w:eastAsia="zh-CN" w:bidi="ar"/>
        </w:rPr>
        <w:t xml:space="preserve">管理提质增效相关工作，泰州市国资委，调研学习重庆、徐州、张家港等先进地区建设经验，结合本地国有企业信息化现状，计划依托现有国资国企在线监管平台，升级构建“资产穿透式监管”与“资产地图一张网”两大体系，实现国有资产实时可视、风险预警、高效盘活，不仅能针对性解决当前国有资产管理中监管不全面、信息不对称、盘活效率低等突出问题，通过提高行政运转效率、强化国资监管履职能力、降低人力物力等行政成本，筑牢国有资产不流失的安全防线，为国有资产保值增值提供坚实支撑，彰显规范国有资产管理、服务地方经济社会高质量发展的重要价值。</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项目遵循“总体规划、分步实施”的建设原则，从统筹协调、全局管控、辅助决策的顶层设计出发，逐步实现对泰州市国有企业资产的规范化管理、全方位监控。</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highlight w:val="none"/>
          <w:lang w:bidi="ar"/>
        </w:rPr>
        <w:outlineLvl w:val="1"/>
      </w:pPr>
      <w:r>
        <w:rPr>
          <w:rFonts w:hint="eastAsia" w:ascii="宋体" w:hAnsi="宋体" w:eastAsia="宋体" w:cs="Times New Roman"/>
          <w:b/>
          <w:color w:val="000000"/>
          <w:sz w:val="24"/>
          <w:szCs w:val="24"/>
          <w:highlight w:val="none"/>
          <w:lang w:val="en-US" w:eastAsia="zh-CN" w:bidi="ar"/>
        </w:rPr>
        <w:t xml:space="preserve">11</w:t>
      </w:r>
      <w:r>
        <w:rPr>
          <w:rFonts w:hint="eastAsia" w:ascii="宋体" w:hAnsi="宋体" w:eastAsia="宋体" w:cs="Times New Roman"/>
          <w:b/>
          <w:color w:val="000000"/>
          <w:sz w:val="24"/>
          <w:szCs w:val="24"/>
          <w:highlight w:val="none"/>
          <w:lang w:bidi="ar"/>
        </w:rPr>
        <w:t xml:space="preserve">.</w:t>
      </w:r>
      <w:r>
        <w:rPr>
          <w:rFonts w:hint="eastAsia" w:ascii="宋体" w:hAnsi="宋体" w:eastAsia="宋体" w:cs="Times New Roman"/>
          <w:b/>
          <w:color w:val="000000"/>
          <w:sz w:val="24"/>
          <w:szCs w:val="24"/>
          <w:highlight w:val="none"/>
          <w:lang w:val="en-US" w:eastAsia="zh-CN" w:bidi="ar"/>
        </w:rPr>
        <w:t xml:space="preserve">市公共资源交易平台升级改造（2026）项目</w:t>
      </w:r>
      <w:r>
        <w:rPr>
          <w:rFonts w:hint="eastAsia" w:ascii="宋体" w:hAnsi="宋体" w:eastAsia="宋体" w:cs="Times New Roman"/>
          <w:b/>
          <w:color w:val="000000"/>
          <w:sz w:val="24"/>
          <w:szCs w:val="24"/>
          <w:highlight w:val="none"/>
          <w:lang w:bidi="ar"/>
        </w:rPr>
        <w:t xml:space="preserve">预期目标</w:t>
      </w:r>
      <w:r>
        <w:rPr>
          <w:rFonts w:hint="eastAsia" w:ascii="宋体" w:hAnsi="宋体" w:eastAsia="宋体" w:cs="Times New Roman"/>
          <w:b/>
          <w:color w:val="000000"/>
          <w:sz w:val="24"/>
          <w:szCs w:val="24"/>
          <w:highlight w:val="none"/>
          <w:lang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11.1新建电子服务系统、优化电子交易系统</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系统建设遵循国家相关法律、法规的精神，贴合公共资源交易实际管理和工作流程，运用先进技术手段和理念，将各类信息资源进行整合和集成，提高工作效能，实现公共资源交易运行动态透明，从而建成一套与实际业务和应用基础相适应，面向各类交易用户，安全可靠、稳定高效、操作方便、可持续扩展的一体化信息管理系统。</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（1）实现跨行业数据共享</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自动获取业务系统中的各类项目信息，发布到公共服务门户上，保障交易公平、公正、公开实现跨行业数据互通，强化枢纽平台定位，优化中心服务能力。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（2）推动资源共享</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公共资源交易电子服务系统为交易主体、平台提供注册的功能并提供统一管理，还可以进行信息的汇总和共享。</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（3）加强标准化建设</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统一进场交易目录、项目编号、统一标准规范，实现项目“一口进、一口出”，对数据数量、数据质量进行把控，做到可控可查。</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（4）提升人员工作效率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通过系统建设，以电子化方式对项目受理信息进行快速流转，并由科室负责人合理分配项目至每个业务人员，保证各类资源的合理调配，提高工作效率。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（5）优化办事流程</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将原有分散的各行业登记受理工作进行集中受理，对各类资源进行统一的管理，优化办事流程。</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（6）拓展电子交易服务能力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在现有电子交易系统的基础上，新增公共资源交易门户网站智能问答服务，构建无人值守、即时响应、持续交互的线上咨询服务体系，提升用户使用体验；同时新增招标文件智能检测服务，实现招标文件审核标准化、智能化、精细化、闭环化管控，持续优化公共资源交易营商环境，保障交易活动公开、公平、公正、合规开展。</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11.2新增AI智能场景</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AI智能场景的应用以提升泰州市公共资源交易中心见证管理智能化水平为核心，通过引入AI视频分析技术，对现有见证系统进行智能AI升级改造，建成覆盖开标、评标等关键交易环节的AI视频智能分析能力，构建“智能研判—动态干预”的闭环见证体系，实现交易全过程的无感化数字见证、流程节点异常自动预警和违法线索智能归集，全面满足国家和省市相关政策法规对交易中心现场管理的职责要求。</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具体目标主要包括提供如下服务能力：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（1）AI视频智能分析能力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 实现对开标室、评标室等关键场所的视频流实时接入与AI智能分析，支持流程节点监测、执行偏差研判、场景智能分析等功能，覆盖标前进场核验、标中实施过程、标后核验存证等全流程环节，形成贯穿交易全流程的智慧监测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（2）异常行为实时预警能力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建立分级预警机制，对AI研判发现的流程偏离与异常情形进行实时预警，支持弹窗提醒、声音告警、消息推送等多种预警方式，确保见证人员第一时间获取异常信息并及时处置。预警响应时间不超过3秒。</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（3）全过程数字见证能力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实现交易全过程的自动记录和智能标注，对异常行为发生的时间、地点、类型、画面截图等信息进行自动归集和完整记录，确保证据材料客观、完整，为后续执纪执法提供依据。</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（4）智能统计与分析能力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具备见证数据统计分析功能，可按时间、项目、场所、异常类型等多维度生成统计报表和趋势分析，为交易管理决策提供数据支撑。</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（5）系统集成与协同能力</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实现与现有见证系统、监控后台的无缝对接，AI分析结果可推送至现有业务系统，形成业务协同闭环。</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12.市政务服务一体化平台（2026）项目预期目标</w:t>
      </w:r>
      <w:r>
        <w:rPr>
          <w:rFonts w:hint="eastAsia" w:ascii="宋体" w:hAnsi="宋体" w:eastAsia="宋体" w:cs="Times New Roman"/>
          <w:b/>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本项目围绕政务服务数字化转型核心任务，聚焦基层高频事项办理、中介服务超市优化、“一件事”升级，通过系统集成与功能优化，全面提升政务服务效能与群众满意度，具体预期目标如下：</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（一）基层高频事项“一平台办理”目标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1.事项覆盖全面化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实现人力资源社会保障、卫生健康、医疗保障等重点领域基层高频政务服务事项的全面接入，确保乡镇（街道）和村（社区）服务全覆盖，构建“基层高频事项一平台办理”服务体系。</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2.关爱帮扶服务便捷化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推动困难群众关爱帮扶“一件事”改革，建成关爱帮扶“一平台办理”专区，实现社会救助与医保服务“一窗受理、一网通办”，提升困难群众关爱帮扶服务便捷度。</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3.证明服务线上化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建立基层证明线上开具系统，实现企业群众在线申请与查询证明服务，减少群众跑动次数，推动证明服务“零跑动”办理。</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4.医保服务标准化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健全医保基层经办服务体系，实现医保公共服务事项全面接入一体化政务服务平台，规范基层医保服务流程。</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5.数据应用智慧化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推进基层数据创新应用，打造智慧化治理场景，提升数据在基层治理中的应用水平。</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6.工作台功能智能化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建设功能完善的基层政务服务工作台，提供自适应页面布局、“我的事项”编辑功能、详细的办件查询与统计等功能，实现基层人员“一屏通办”。</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7.民政事项对接规范化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完成民政事项对接模式调整，实现与省民政厅系统对接，确保民政服务事项办理规范高效。</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8.平台管理精细化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优化平台管理员权限汇总统计功能，增强平台管理与数据分析能力，提升平台管理效能。</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（二）中介服务超市平台优化目标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1.内容安全规范化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建立敏感词过滤与智能文本纠错机制，确保平台信息发布内容合规、规范，减少内容安全风险。</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2.档案管理数字化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建成网上中介数字化档案模块，实现项目全流程电子化归档与多维度查询统计，提升档案管理效率。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3.数据共享协同化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深化数据共享集成，实现与省电子营业执照、“苏服采”、多测合一等系统有效对接，提升数据协同效率。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4.评价体系闭环化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构建“苏税援”评价体系，实现平台服务“一事一评”与不满意评价闭环整改，提升服务质效。</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5.智能服务精准化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拓展智能提醒服务，涵盖资质临期、交易状态、投诉异常等多场景，提升服务精准度。</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6.平台功能优化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对平台功能进行系统优化，包括系统字段更新、选取算法改进、金额校验强化、承诺书上传、信息展示逻辑调整等，提升平台使用体验。</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（三）“一件事”平台智能化升级目标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1.落实上级任务</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完成2026年度国办下发的第一批重点“一件事”部署实施任务。</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2.运行监测智能化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建立事项运行监测与预警机制，确保平台稳定运行，实现事项运行状态的实时掌握。</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3.预审服务自动化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实现材料智能核验与预审自动化，减少人工审核环节，提升预审效率。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4.申报体验优化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针对申办用户群体进行申报端优化，提升平台易用性，简化操作流程，聚焦关键信息展示。</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5.管理决策可视化</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建设平台管理驾驶舱，提供平台运行态势的可视化展示，支持多维度数据分析，提升管理决策水平。</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（四）政务服务智能化项目升级目标</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以“提升窗口服务质效、缩短申请人办事周期”为核心导向，建设VR全景引导系统实现大厅1:1实景复刻，支持PC与移动端7×24小时沉浸式漫游，群众可查看窗口事项指南、实时排队人数，全流程网办事项一键跳转在线办理，并通过路线导航自动生成室内实</w:t>
      </w:r>
      <w:r>
        <w:rPr>
          <w:rFonts w:hint="eastAsia" w:ascii="宋体" w:hAnsi="宋体" w:eastAsia="宋体" w:cs="Times New Roman"/>
          <w:color w:val="000000"/>
          <w:sz w:val="24"/>
          <w:szCs w:val="24"/>
          <w:lang w:val="en-US" w:eastAsia="zh-CN" w:bidi="ar"/>
        </w:rPr>
        <w:t xml:space="preserve">景指引，减少问询跑空；同时部署大厅小巧灵应用，集成数智交互一体机、自助办引导、高频事项取转号及过号激活、等时通、排队预警和多次跑预警功能，多元化取号让等候更透明，系统自动识别一周内多次办理同一事项的群众并提醒管理员，助力提升一次办结率；另外搭建数字人智能屏，提供7×24小时即时咨询问答，精准匹配政策法规和办事指南，降低沟通成本；并且结合大厅监控摄像头实时监测主要出入口动态人流量，实现高峰预警与人员识别，辅助管理人员优化服务布局和决策，全方位实现便民办事、数字化管理和政务形象宣传，减少群众时间成本与沟通障碍。</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（五）电子营业执照综合应用</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构建电子营业执照应用技术支持服务体系，为泰州市本地自有的涉企政务业务应用提供基于电子营业执照的身份认证、照面信息获取、执照留档等电子营业执照应用支撑服务，解决经营主体网上身份认证问题，提供权威、准确的执照信息，减少和避免企业反复提交纸质证明文件及网上反复录入信息，不断提高政务服务效能，方便经营主体办事，同时集成基于电子营业执照的电子档案查询、企业信用报告查看创新应用，实现经营主体电子档案和信用报告的便捷查询，为企业提供更加高效、透明的政务服务体验。</w:t>
      </w:r>
      <w:r>
        <w:rPr>
          <w:rFonts w:hint="eastAsia" w:ascii="宋体" w:hAnsi="宋体" w:eastAsia="宋体" w:cs="Times New Roman"/>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构建电子营业执照和电子印章同步发放电子印章应用技术服务体系，基于市场监管总局全国统一电子营业执照，支撑同步发放电子印章安全便捷应用，为政务服务提供电子签章应用服务支撑，逐步减少对纸质文件的使用要求，优化企业开办流程，提高企业办事效率。</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13.市企业全生命周期管理服务平台服务（2026）项目预期目标</w:t>
      </w:r>
      <w:r>
        <w:rPr>
          <w:rFonts w:hint="eastAsia" w:ascii="宋体" w:hAnsi="宋体" w:eastAsia="宋体" w:cs="Times New Roman"/>
          <w:b/>
          <w:color w:val="000000"/>
          <w:sz w:val="24"/>
          <w:szCs w:val="24"/>
          <w:lang w:val="en-US" w:eastAsia="zh-CN" w:bidi="ar"/>
        </w:rPr>
      </w:r>
      <w:r/>
    </w:p>
    <w:p>
      <w:pPr>
        <w:pStyle w:val="676"/>
        <w:ind w:firstLine="480"/>
        <w:keepLines w:val="0"/>
        <w:keepNext w:val="0"/>
        <w:pageBreakBefore w:val="0"/>
        <w:spacing w:line="560" w:lineRule="exact"/>
        <w:widowControl w:val="off"/>
        <w:tabs>
          <w:tab w:val="left" w:pos="210" w:leader="none"/>
          <w:tab w:val="left" w:pos="420" w:leader="none"/>
        </w:tabs>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根据国家和省级数字化转型部署及泰州市“三个大抓”相关工作部署，围绕数字政府建设和优化营商环境目标，通过购买“泰州市企业全生命周期管理及一体化企业服务平台服务”，重点解决数据分散、服务碎片化、监管协同弱等问题，着力推动政务服务从分散办理向一体化服务转型，提升政务服务与经济治理的精准度和效率，增强经济运行监测与科学决策能力。</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14.市网络和公共数据安全服务（2026）项目预期目标</w:t>
      </w:r>
      <w:r>
        <w:rPr>
          <w:rFonts w:hint="eastAsia" w:ascii="宋体" w:hAnsi="宋体" w:eastAsia="宋体" w:cs="Times New Roman"/>
          <w:b/>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bookmarkStart w:id="175" w:name="_Toc15920"/>
      <w:r>
        <w:rPr>
          <w:rFonts w:hint="eastAsia" w:ascii="宋体" w:hAnsi="宋体" w:eastAsia="宋体" w:cs="Times New Roman"/>
          <w:color w:val="000000"/>
          <w:sz w:val="24"/>
          <w:szCs w:val="24"/>
          <w:lang w:val="en-US" w:eastAsia="zh-CN" w:bidi="ar"/>
        </w:rPr>
        <w:t xml:space="preserve">泰州市网络和公共数据安全服务</w:t>
      </w:r>
      <w:bookmarkEnd w:id="175"/>
      <w:r>
        <w:rPr>
          <w:rFonts w:hint="eastAsia" w:ascii="宋体" w:hAnsi="宋体" w:eastAsia="宋体" w:cs="Times New Roman"/>
          <w:color w:val="000000"/>
          <w:sz w:val="24"/>
          <w:szCs w:val="24"/>
          <w:lang w:val="en-US" w:eastAsia="zh-CN" w:bidi="ar"/>
        </w:rPr>
        <w:t xml:space="preserve">：旨在为泰州市政</w:t>
      </w:r>
      <w:r>
        <w:rPr>
          <w:rFonts w:hint="eastAsia" w:ascii="宋体" w:hAnsi="宋体" w:eastAsia="宋体" w:cs="Times New Roman"/>
          <w:color w:val="000000"/>
          <w:sz w:val="24"/>
          <w:szCs w:val="24"/>
          <w:lang w:val="en-US" w:eastAsia="zh-CN" w:bidi="ar"/>
        </w:rPr>
        <w:t xml:space="preserve">务云与政务外网构建全面的网络和数据安全监测体系，涵盖终端零信任接入管控、终端违规外联监测、威胁情报监测、网络资产测绘、全市电子政务外网网络攻击威胁检测、数据安全系统统一管控、静态脱敏等关键环节，并配套建立安全预警通告与应急处置机制。通过这一系列举措，将实现“全天候、全方位”的安全态势感知，优化运维安全管理流程，提升应急响应处置效率，全面满足主管部门的网络安全监测监管要求，显著提升泰州市电子政务外网的安全事件的响应保障能力，为泰州市及其周边地区的经济稳健发展与城市综合竞争力的增强提供坚实的网络及数据安全保障。</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bookmarkStart w:id="176" w:name="_Toc13138"/>
      <w:r>
        <w:rPr>
          <w:rFonts w:hint="eastAsia" w:ascii="宋体" w:hAnsi="宋体" w:eastAsia="宋体" w:cs="Times New Roman"/>
          <w:color w:val="000000"/>
          <w:sz w:val="24"/>
          <w:szCs w:val="24"/>
          <w:lang w:val="en-US" w:eastAsia="zh-CN" w:bidi="ar"/>
        </w:rPr>
        <w:t xml:space="preserve">2026年泰州市数字化运维服务</w:t>
      </w:r>
      <w:bookmarkEnd w:id="176"/>
      <w:r>
        <w:rPr>
          <w:rFonts w:hint="eastAsia" w:ascii="宋体" w:hAnsi="宋体" w:eastAsia="宋体" w:cs="Times New Roman"/>
          <w:color w:val="000000"/>
          <w:sz w:val="24"/>
          <w:szCs w:val="24"/>
          <w:lang w:val="en-US" w:eastAsia="zh-CN" w:bidi="ar"/>
        </w:rPr>
        <w:t xml:space="preserve">：持续稳固原有数字化运维体系，保障已完成接入的应用常态运维，持续落地一体化运维服务模式。严格坚守“全要素、全链路、全闭环”的数字化运维服务核心标准，延续运维工作从“以人为主”向“人机协同”转变的现有路径；持续夯实已搭建的大运维体系，巩固运维服务数智化建设成果，稳步保持运维队伍现有专业能力水平，锚定整体运维健康智治的既定目标，严守各业务系统安全稳定运行的工作底线。</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15.市一网统管城市运行指标（2026）项目预期目标</w:t>
      </w:r>
      <w:r>
        <w:rPr>
          <w:rFonts w:hint="eastAsia" w:ascii="宋体" w:hAnsi="宋体" w:eastAsia="宋体" w:cs="Times New Roman"/>
          <w:b/>
          <w:color w:val="000000"/>
          <w:sz w:val="24"/>
          <w:szCs w:val="24"/>
          <w:lang w:val="en-US" w:eastAsia="zh-CN" w:bidi="ar"/>
        </w:rPr>
      </w:r>
      <w:r/>
    </w:p>
    <w:p>
      <w:pPr>
        <w:pStyle w:val="676"/>
        <w:ind w:firstLine="480"/>
        <w:spacing w:line="360" w:lineRule="auto"/>
        <w:rPr>
          <w:rFonts w:ascii="宋体" w:hAnsi="宋体" w:eastAsia="宋体" w:cs="Times New Roman"/>
          <w:color w:val="000000"/>
          <w:sz w:val="24"/>
          <w:szCs w:val="24"/>
          <w:lang w:val="en-US" w:eastAsia="zh-CN" w:bidi="ar"/>
        </w:rPr>
      </w:pPr>
      <w:r>
        <w:rPr>
          <w:rFonts w:ascii="宋体" w:hAnsi="宋体" w:eastAsia="宋体" w:cs="Times New Roman"/>
          <w:color w:val="000000"/>
          <w:sz w:val="24"/>
          <w:szCs w:val="24"/>
          <w:lang w:val="en-US" w:eastAsia="zh-CN" w:bidi="ar"/>
        </w:rPr>
        <w:t xml:space="preserve">本项目依托现有数字底座，搭建“技术稳固、场景实用、协同高效、安全可控”的智慧化数字服务体系，打通PC端深度业务办理与移动端轻量化办公联动通道，夯实人工智能赋能政务办公、城市治理的核心能力。项目具体建设目标分为五大维度，详细内容如下：</w:t>
      </w:r>
      <w:r>
        <w:rPr>
          <w:rFonts w:ascii="宋体" w:hAnsi="宋体" w:eastAsia="宋体" w:cs="Times New Roman"/>
          <w:color w:val="000000"/>
          <w:sz w:val="24"/>
          <w:szCs w:val="24"/>
          <w:lang w:val="en-US" w:eastAsia="zh-CN" w:bidi="ar"/>
        </w:rPr>
      </w:r>
      <w:r/>
    </w:p>
    <w:p>
      <w:pPr>
        <w:pStyle w:val="676"/>
        <w:ind w:firstLine="480"/>
        <w:spacing w:line="360" w:lineRule="auto"/>
        <w:rPr>
          <w:rFonts w:ascii="宋体" w:hAnsi="宋体" w:eastAsia="宋体" w:cs="Times New Roman"/>
          <w:color w:val="000000"/>
          <w:sz w:val="24"/>
          <w:szCs w:val="24"/>
          <w:lang w:val="en-US" w:eastAsia="zh-CN" w:bidi="ar"/>
        </w:rPr>
      </w:pPr>
      <w:r>
        <w:rPr>
          <w:rFonts w:ascii="宋体" w:hAnsi="宋体" w:eastAsia="宋体" w:cs="Times New Roman"/>
          <w:color w:val="000000"/>
          <w:sz w:val="24"/>
          <w:szCs w:val="24"/>
          <w:lang w:bidi="ar"/>
        </w:rPr>
        <w:t xml:space="preserve">技术支撑维度</w:t>
      </w:r>
      <w:r>
        <w:rPr>
          <w:rFonts w:hint="eastAsia" w:ascii="宋体" w:hAnsi="宋体" w:eastAsia="宋体" w:cs="Times New Roman"/>
          <w:color w:val="000000"/>
          <w:sz w:val="24"/>
          <w:szCs w:val="24"/>
          <w:lang w:eastAsia="zh-CN" w:bidi="ar"/>
        </w:rPr>
        <w:t xml:space="preserve">：</w:t>
      </w:r>
      <w:r>
        <w:rPr>
          <w:rFonts w:ascii="宋体" w:hAnsi="宋体" w:eastAsia="宋体" w:cs="Times New Roman"/>
          <w:color w:val="000000"/>
          <w:sz w:val="24"/>
          <w:szCs w:val="24"/>
          <w:lang w:val="en-US" w:eastAsia="zh-CN" w:bidi="ar"/>
        </w:rPr>
        <w:t xml:space="preserve">迭代升级AI底座核心功能，保障高频次基础能力稳定调用，健全跨部门数据共享管理制度，实现市级重点部门数据高效互通、实时同步。搭建标准化技术接口体系，适配现有孪生城市数字底座、泰政通等各类存量系统，完成无缝对接，全面提升系统的兼容性与可拓展性，筑牢项目数字化技术根基。</w:t>
      </w:r>
      <w:r>
        <w:rPr>
          <w:rFonts w:ascii="宋体" w:hAnsi="宋体" w:eastAsia="宋体" w:cs="Times New Roman"/>
          <w:color w:val="000000"/>
          <w:sz w:val="24"/>
          <w:szCs w:val="24"/>
          <w:lang w:val="en-US" w:eastAsia="zh-CN" w:bidi="ar"/>
        </w:rPr>
      </w:r>
      <w:r/>
    </w:p>
    <w:p>
      <w:pPr>
        <w:pStyle w:val="676"/>
        <w:ind w:firstLine="480"/>
        <w:spacing w:line="360" w:lineRule="auto"/>
        <w:rPr>
          <w:rFonts w:ascii="宋体" w:hAnsi="宋体" w:eastAsia="宋体" w:cs="Times New Roman"/>
          <w:color w:val="000000"/>
          <w:sz w:val="24"/>
          <w:szCs w:val="24"/>
          <w:lang w:val="en-US" w:eastAsia="zh-CN" w:bidi="ar"/>
        </w:rPr>
      </w:pPr>
      <w:r>
        <w:rPr>
          <w:rFonts w:ascii="宋体" w:hAnsi="宋体" w:eastAsia="宋体" w:cs="Times New Roman"/>
          <w:color w:val="000000"/>
          <w:sz w:val="24"/>
          <w:szCs w:val="24"/>
          <w:lang w:val="en-US" w:eastAsia="zh-CN" w:bidi="ar"/>
        </w:rPr>
        <w:t xml:space="preserve">应用场景维度</w:t>
      </w:r>
      <w:r>
        <w:rPr>
          <w:rFonts w:hint="eastAsia" w:ascii="宋体" w:hAnsi="宋体" w:eastAsia="宋体" w:cs="Times New Roman"/>
          <w:color w:val="000000"/>
          <w:sz w:val="24"/>
          <w:szCs w:val="24"/>
          <w:lang w:val="en-US" w:eastAsia="zh-CN" w:bidi="ar"/>
        </w:rPr>
        <w:t xml:space="preserve">：</w:t>
      </w:r>
      <w:r>
        <w:rPr>
          <w:rFonts w:ascii="宋体" w:hAnsi="宋体" w:eastAsia="宋体" w:cs="Times New Roman"/>
          <w:color w:val="000000"/>
          <w:sz w:val="24"/>
          <w:szCs w:val="24"/>
          <w:lang w:val="en-US" w:eastAsia="zh-CN" w:bidi="ar"/>
        </w:rPr>
        <w:t xml:space="preserve">PC端政务智能办公平台全面覆盖市级重点政务部门，有效提升公文编撰效率、政策检索响应速度，助力本地政务知识资产规模化、体系化沉淀，搭建完善的政务知识库。移动端依托“泰政通”统一入口，整合归集城市运行核心指标数据，全方位适配公务人员外出办公核心场景，优化功能响应速度，强化离线操作能力，大幅提升移动办公便捷性。</w:t>
      </w:r>
      <w:r>
        <w:rPr>
          <w:rFonts w:ascii="宋体" w:hAnsi="宋体" w:eastAsia="宋体" w:cs="Times New Roman"/>
          <w:color w:val="000000"/>
          <w:sz w:val="24"/>
          <w:szCs w:val="24"/>
          <w:lang w:val="en-US" w:eastAsia="zh-CN" w:bidi="ar"/>
        </w:rPr>
      </w:r>
      <w:r/>
    </w:p>
    <w:p>
      <w:pPr>
        <w:pStyle w:val="676"/>
        <w:ind w:firstLine="480"/>
        <w:spacing w:line="360" w:lineRule="auto"/>
        <w:rPr>
          <w:rFonts w:ascii="宋体" w:hAnsi="宋体" w:eastAsia="宋体" w:cs="Times New Roman"/>
          <w:color w:val="000000"/>
          <w:sz w:val="24"/>
          <w:szCs w:val="24"/>
          <w:lang w:val="en-US" w:eastAsia="zh-CN" w:bidi="ar"/>
        </w:rPr>
      </w:pPr>
      <w:r>
        <w:rPr>
          <w:rFonts w:ascii="宋体" w:hAnsi="宋体" w:eastAsia="宋体" w:cs="Times New Roman"/>
          <w:color w:val="000000"/>
          <w:sz w:val="24"/>
          <w:szCs w:val="24"/>
          <w:lang w:val="en-US" w:eastAsia="zh-CN" w:bidi="ar"/>
        </w:rPr>
        <w:t xml:space="preserve">协同治理维度</w:t>
      </w:r>
      <w:r>
        <w:rPr>
          <w:rFonts w:hint="eastAsia" w:ascii="宋体" w:hAnsi="宋体" w:eastAsia="宋体" w:cs="Times New Roman"/>
          <w:color w:val="000000"/>
          <w:sz w:val="24"/>
          <w:szCs w:val="24"/>
          <w:lang w:val="en-US" w:eastAsia="zh-CN" w:bidi="ar"/>
        </w:rPr>
        <w:t xml:space="preserve">：</w:t>
      </w:r>
      <w:r>
        <w:rPr>
          <w:rFonts w:ascii="宋体" w:hAnsi="宋体" w:eastAsia="宋体" w:cs="Times New Roman"/>
          <w:color w:val="000000"/>
          <w:sz w:val="24"/>
          <w:szCs w:val="24"/>
          <w:lang w:val="en-US" w:eastAsia="zh-CN" w:bidi="ar"/>
        </w:rPr>
        <w:t xml:space="preserve">搭建跨部门事项协同处置闭环管理机制，压缩跨部门业务办理时长，依托智能化辅助工具减负基层事务性工作。构建“市级统筹、区县联动、部门协同”的一体化政务服务运行体系，实现市级核心部门、重点区县单位及一线办公人员的全覆盖，全面提升政务协同治理效能。</w:t>
      </w:r>
      <w:r>
        <w:rPr>
          <w:rFonts w:ascii="宋体" w:hAnsi="宋体" w:eastAsia="宋体" w:cs="Times New Roman"/>
          <w:color w:val="000000"/>
          <w:sz w:val="24"/>
          <w:szCs w:val="24"/>
          <w:lang w:val="en-US" w:eastAsia="zh-CN" w:bidi="ar"/>
        </w:rPr>
      </w:r>
      <w:r/>
    </w:p>
    <w:p>
      <w:pPr>
        <w:pStyle w:val="676"/>
        <w:ind w:firstLine="480"/>
        <w:spacing w:line="360" w:lineRule="auto"/>
        <w:rPr>
          <w:rFonts w:ascii="宋体" w:hAnsi="宋体" w:eastAsia="宋体" w:cs="Times New Roman"/>
          <w:color w:val="000000"/>
          <w:sz w:val="24"/>
          <w:szCs w:val="24"/>
          <w:lang w:val="en-US" w:eastAsia="zh-CN" w:bidi="ar"/>
        </w:rPr>
      </w:pPr>
      <w:r>
        <w:rPr>
          <w:rFonts w:ascii="宋体" w:hAnsi="宋体" w:eastAsia="宋体" w:cs="Times New Roman"/>
          <w:color w:val="000000"/>
          <w:sz w:val="24"/>
          <w:szCs w:val="24"/>
          <w:lang w:val="en-US" w:eastAsia="zh-CN" w:bidi="ar"/>
        </w:rPr>
        <w:t xml:space="preserve">安全保障维度</w:t>
      </w:r>
      <w:r>
        <w:rPr>
          <w:rFonts w:hint="eastAsia" w:ascii="宋体" w:hAnsi="宋体" w:eastAsia="宋体" w:cs="Times New Roman"/>
          <w:color w:val="000000"/>
          <w:sz w:val="24"/>
          <w:szCs w:val="24"/>
          <w:lang w:val="en-US" w:eastAsia="zh-CN" w:bidi="ar"/>
        </w:rPr>
        <w:t xml:space="preserve">：</w:t>
      </w:r>
      <w:r>
        <w:rPr>
          <w:rFonts w:ascii="宋体" w:hAnsi="宋体" w:eastAsia="宋体" w:cs="Times New Roman"/>
          <w:color w:val="000000"/>
          <w:sz w:val="24"/>
          <w:szCs w:val="24"/>
          <w:lang w:val="en-US" w:eastAsia="zh-CN" w:bidi="ar"/>
        </w:rPr>
        <w:t xml:space="preserve">严格对标网络安全等级保护相关标准，搭建全流程、全方位的数据安全防护体系，实现敏感数据安全合规存储，完成全量操作日志全程溯源审计。建立常态化安全监测、风险预警及应急处置机制，严防数据违规访问、泄露等问题，保障系统长期安全稳定运行，杜绝重大安全事故发生。</w:t>
      </w:r>
      <w:r>
        <w:rPr>
          <w:rFonts w:ascii="宋体" w:hAnsi="宋体" w:eastAsia="宋体" w:cs="Times New Roman"/>
          <w:color w:val="000000"/>
          <w:sz w:val="24"/>
          <w:szCs w:val="24"/>
          <w:lang w:val="en-US" w:eastAsia="zh-CN" w:bidi="ar"/>
        </w:rPr>
      </w:r>
      <w:r/>
    </w:p>
    <w:p>
      <w:pPr>
        <w:pStyle w:val="676"/>
        <w:ind w:firstLine="480"/>
        <w:spacing w:line="360" w:lineRule="auto"/>
        <w:rPr>
          <w:rFonts w:ascii="宋体" w:hAnsi="宋体" w:eastAsia="宋体" w:cs="Times New Roman"/>
          <w:color w:val="000000"/>
          <w:sz w:val="24"/>
          <w:szCs w:val="24"/>
          <w:lang w:val="en-US" w:eastAsia="zh-CN" w:bidi="ar"/>
        </w:rPr>
      </w:pPr>
      <w:r>
        <w:rPr>
          <w:rFonts w:ascii="宋体" w:hAnsi="宋体" w:eastAsia="宋体" w:cs="Times New Roman"/>
          <w:color w:val="000000"/>
          <w:sz w:val="24"/>
          <w:szCs w:val="24"/>
          <w:lang w:val="en-US" w:eastAsia="zh-CN" w:bidi="ar"/>
        </w:rPr>
        <w:t xml:space="preserve">可持续运营维度</w:t>
      </w:r>
      <w:r>
        <w:rPr>
          <w:rFonts w:hint="eastAsia" w:ascii="宋体" w:hAnsi="宋体" w:eastAsia="宋体" w:cs="Times New Roman"/>
          <w:color w:val="000000"/>
          <w:sz w:val="24"/>
          <w:szCs w:val="24"/>
          <w:lang w:val="en-US" w:eastAsia="zh-CN" w:bidi="ar"/>
        </w:rPr>
        <w:t xml:space="preserve">：</w:t>
      </w:r>
      <w:r>
        <w:rPr>
          <w:rFonts w:ascii="宋体" w:hAnsi="宋体" w:eastAsia="宋体" w:cs="Times New Roman"/>
          <w:color w:val="000000"/>
          <w:sz w:val="24"/>
          <w:szCs w:val="24"/>
          <w:lang w:val="en-US" w:eastAsia="zh-CN" w:bidi="ar"/>
        </w:rPr>
        <w:t xml:space="preserve">创新构建“基础服务免费、增值服务低收费”的可持续运营模式，足额保障项目日常运维、功能迭代优化的资金需求。建立常态化用户意见收集、需求研判及功能迭代机制，持续优化产品体验、提升用户满意度，打造可复制、可推广、可落地的政务数字化转型标杆案例。</w:t>
      </w:r>
      <w:r>
        <w:rPr>
          <w:rFonts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16.市级智慧门户购买服务（2026）项目预期目标</w:t>
      </w:r>
      <w:r>
        <w:rPr>
          <w:rFonts w:hint="eastAsia" w:ascii="宋体" w:hAnsi="宋体" w:eastAsia="宋体" w:cs="Times New Roman"/>
          <w:b/>
          <w:color w:val="000000"/>
          <w:sz w:val="24"/>
          <w:szCs w:val="24"/>
          <w:lang w:val="en-US" w:eastAsia="zh-CN" w:bidi="ar"/>
        </w:rPr>
      </w:r>
      <w:r/>
    </w:p>
    <w:p>
      <w:pPr>
        <w:pStyle w:val="676"/>
        <w:ind w:firstLine="480"/>
        <w:spacing w:line="360" w:lineRule="auto"/>
        <w:rPr>
          <w:rFonts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围绕提升“泰州通”平台服务能力与影响力，通过建立月度分析研判及对标优化机制，严格执行内容审核，提高信息推送频次，开展</w:t>
      </w:r>
      <w:r>
        <w:rPr>
          <w:rFonts w:hint="eastAsia" w:ascii="宋体" w:hAnsi="宋体" w:eastAsia="宋体" w:cs="Times New Roman"/>
          <w:color w:val="000000"/>
          <w:sz w:val="24"/>
          <w:szCs w:val="24"/>
          <w:lang w:val="en-US" w:eastAsia="zh-CN" w:bidi="ar"/>
        </w:rPr>
        <w:t xml:space="preserve">直播、粉丝活动及线上线下推广，增强用户粘性与活跃度；通过多渠道媒体发布、系列海报视频制作强化品牌宣传，持续提升运营质量。构建全链路运维监控与快速响应体系，保障系统安全稳定，并持续优化支付、管理、活动等基础功能与小程序体验。加大泰政通宣传推广力度，挖掘部门需求，以强应用为牵引，提升工作人员对泰政通的依赖程度。优化低代码示例应用，指导部门自行开发使用。不断接入第三方办公应用，丰富应用超市的内容，满足用户多样化的需求。优化“苏服办泰州旗舰店”页面布局，推动“泰州通”与“苏服办”政务服务融合互通，协同开展运营运维。</w:t>
      </w:r>
      <w:r>
        <w:rPr>
          <w:rFonts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17.市公共数据服务（2026）项目预期目标</w:t>
      </w:r>
      <w:r>
        <w:rPr>
          <w:rFonts w:hint="eastAsia" w:ascii="宋体" w:hAnsi="宋体" w:eastAsia="宋体" w:cs="Times New Roman"/>
          <w:b/>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围绕公共数据生产、管理、使用全生命周期流程，通过构建统一治理服务体系，聚焦数据价值释放与数字泰州建设，实现以下核心目标：</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1）筑牢治理基础。建立统一规范治理体系，实现公共数据全量归集、有序管控，确立权威数据源，推行全流程统一标准，从源头规避数据问题；通过闭环质量管控，提升数据准确性、完整性与时效性，夯实决策与服务数据支撑。</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（2）提升共享效能。健全共享开放机制，破除部门数据壁垒，实现跨层级、跨部门数据高效流转与按需共享；优化共享通道、简化审批流程，分类分级开放非涉密数据，对接社会各界需求，拓展数据应用领域。</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（3）严守安全底线。构建全生命周期安全防护体系，贯穿数据全流程；落实分类分级管理，运用脱敏、访问控制等技术防范安全风险，严守法律法规，保障数据安全与个人隐私。</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（4）释放数据价值。推动公共数据与政务服务、城市治理等场景深度融合，以数据分析赋能决策优化，提升公共服务精准度；探索数据要素市场化路径，明晰资产权属，培育创新场景，注入数字经济动能。</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（5）健全运营机制。建立常态化运营管理体系，明确部门职责与协同流程；组建专业团队提供全周期运维，完善培训机制强化人员能力，构建共建共治共享格局。</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推动长效发展。巩固前期攻坚成果，持续夯实数据质量（已归集65个部门550余亿条数据，开放5399个数据集，完善各类数据库建设）；2026年底前形成可持续推广的治理模式，为泰州数智赋能与高质量发展提供稳定数据支撑。</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18.市发改委公共信用信息平台运维（2026）项目预期目标</w:t>
      </w:r>
      <w:r>
        <w:rPr>
          <w:rFonts w:hint="eastAsia" w:ascii="宋体" w:hAnsi="宋体" w:eastAsia="宋体" w:cs="Times New Roman"/>
          <w:b/>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实施2026年市公共信用信息平台应用软件系统运维服务，通过日常巡检、故障排除、系统优化、功能完善提升、加强信息安全等手段，保障平台各应用系统正常运行，持续发挥市公共信用信息归集共享总枢纽和信用信息服务总窗口的作用，为市社会信用建设提供技术服务支撑。</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19.市卫健委医疗电子票据系统运维（2026）项目预期目标</w:t>
      </w:r>
      <w:r>
        <w:rPr>
          <w:rFonts w:hint="eastAsia" w:ascii="宋体" w:hAnsi="宋体" w:eastAsia="宋体" w:cs="Times New Roman"/>
          <w:b/>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市卫健委医疗电子票据系统运维(2026)项目内容包括但不限于日常运维服务、开展技术培训、性能优化、系统巡检、其他服务要求等。</w:t>
      </w:r>
      <w:r>
        <w:rPr>
          <w:rFonts w:hint="eastAsia" w:ascii="宋体" w:hAnsi="宋体" w:eastAsia="宋体" w:cs="Times New Roman"/>
          <w:color w:val="000000"/>
          <w:sz w:val="24"/>
          <w:szCs w:val="24"/>
          <w:lang w:val="en-US" w:eastAsia="zh-CN" w:bidi="ar"/>
        </w:rPr>
      </w:r>
      <w:r/>
    </w:p>
    <w:p>
      <w:pPr>
        <w:pStyle w:val="676"/>
        <w:ind w:firstLine="482"/>
        <w:spacing w:line="240" w:lineRule="auto"/>
        <w:rPr>
          <w:rFonts w:hint="eastAsia" w:ascii="宋体" w:hAnsi="宋体" w:eastAsia="宋体" w:cs="Times New Roman"/>
          <w:b/>
          <w:color w:val="000000"/>
          <w:sz w:val="24"/>
          <w:szCs w:val="24"/>
          <w:lang w:val="en-US" w:eastAsia="zh-CN" w:bidi="ar"/>
        </w:rPr>
        <w:outlineLvl w:val="1"/>
      </w:pPr>
      <w:r>
        <w:rPr>
          <w:rFonts w:hint="eastAsia" w:ascii="宋体" w:hAnsi="宋体" w:eastAsia="宋体" w:cs="Times New Roman"/>
          <w:b/>
          <w:color w:val="000000"/>
          <w:sz w:val="24"/>
          <w:szCs w:val="24"/>
          <w:lang w:val="en-US" w:eastAsia="zh-CN" w:bidi="ar"/>
        </w:rPr>
        <w:t xml:space="preserve">20.数字泰州综合运维（2026）项目预期目标</w:t>
      </w:r>
      <w:r>
        <w:rPr>
          <w:rFonts w:hint="eastAsia" w:ascii="宋体" w:hAnsi="宋体" w:eastAsia="宋体" w:cs="Times New Roman"/>
          <w:b/>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在数字化浪潮的推动下，泰州市正全力加快数字城市建设的步伐，以提升城市治理水平、优化公共服务、促进经济创新发展。泰州市数据局作为这一进程的核心引领者，肩负着构建高效、智能、安全的信息化体系的重任。</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随着泰州市各类政务服务和社会治理业务的数字化转型不断深入，数据局所管理的信息化系统规模日益庞大，复杂度持续增加。这些系统涵盖了从政务办公、公共服务到城市管理等多个关键领域，其稳定运行对于保障政府工作的高效开展、市民生活的便利以及社会经济的有序发展至关重要。</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然而，随着业务的不断拓展和数据量的急剧增长，信息化系统面临着日益复杂的技术挑战和运维需求。保障系统的稳定运行、数据的安全可靠、功能的持续优化，成为确保政府部门高效运作、公共服务优质提供以及城市发展科学决策的关键所在。</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本次综合运维</w:t>
      </w:r>
      <w:r>
        <w:rPr>
          <w:rFonts w:hint="eastAsia" w:ascii="宋体" w:hAnsi="宋体" w:eastAsia="宋体" w:cs="Times New Roman"/>
          <w:color w:val="000000"/>
          <w:sz w:val="24"/>
          <w:szCs w:val="24"/>
          <w:lang w:val="en-US" w:eastAsia="zh-CN" w:bidi="ar"/>
        </w:rPr>
        <w:t xml:space="preserve">服务采购项目主要围绕市数据局政务信息化项目，遵循“四个满足”原则，一是满足高质量考核需要，省、市高质量考核对部分市级部门政务信息化系统有明确要求；二是满足改革创新工作需要，市级政务信息化项目为改革创新提供了技术支撑和平台环境，推动政府职能转变及服务效能的持续改进；三是满足服务群众业务需求，以人工智能、系统对接、数据共享等信息化手段，构建现代化政务服务及公共服务体系，简化企业办事流程，减少群众办事成本，切实让广大市民感受到数字化便利；四是满足上级布置工作要求，落实国家、省级部门对地市条线信息化工作的指导要求。</w:t>
      </w:r>
      <w:r>
        <w:rPr>
          <w:rFonts w:hint="eastAsia" w:ascii="宋体" w:hAnsi="宋体" w:eastAsia="宋体" w:cs="Times New Roman"/>
          <w:color w:val="000000"/>
          <w:sz w:val="24"/>
          <w:szCs w:val="24"/>
          <w:lang w:val="en-US" w:eastAsia="zh-CN" w:bidi="ar"/>
        </w:rPr>
      </w:r>
      <w:r/>
    </w:p>
    <w:p>
      <w:pPr>
        <w:pStyle w:val="676"/>
        <w:ind w:firstLine="480"/>
        <w:spacing w:line="360" w:lineRule="auto"/>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为了进一步落实数字化发展战略，加强信息化系统的运维管理，提高服务质量和效率，泰州市数据局决定开展2026年数字泰州综合运维服务项目，旨在引入专业的服务力量，为数字泰州的建设提供强有力的技术支持和保障。</w:t>
      </w:r>
      <w:r>
        <w:rPr>
          <w:rFonts w:hint="eastAsia" w:ascii="宋体" w:hAnsi="宋体" w:eastAsia="宋体" w:cs="Times New Roman"/>
          <w:color w:val="000000"/>
          <w:sz w:val="24"/>
          <w:szCs w:val="24"/>
          <w:lang w:val="en-US" w:eastAsia="zh-CN" w:bidi="ar"/>
        </w:rPr>
      </w:r>
      <w:r/>
    </w:p>
    <w:p>
      <w:pPr>
        <w:pStyle w:val="677"/>
        <w:ind w:left="432" w:hanging="43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三、预算组成</w:t>
      </w:r>
      <w:r>
        <w:rPr>
          <w:rFonts w:hint="eastAsia" w:ascii="宋体" w:hAnsi="宋体" w:eastAsia="宋体" w:cs="Times New Roman"/>
          <w:b/>
          <w:sz w:val="24"/>
          <w:szCs w:val="24"/>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1016"/>
        <w:gridCol w:w="6439"/>
        <w:gridCol w:w="1707"/>
      </w:tblGrid>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rPr>
            </w:pPr>
            <w:r>
              <w:rPr>
                <w:rStyle w:val="795"/>
                <w:rFonts w:hint="eastAsia" w:ascii="宋体" w:hAnsi="宋体" w:eastAsia="宋体" w:cs="宋体"/>
                <w:sz w:val="24"/>
                <w:szCs w:val="24"/>
                <w:lang w:bidi="ar"/>
              </w:rPr>
              <w:t xml:space="preserve">序号</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项目名称</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预算金额</w:t>
            </w:r>
            <w:r>
              <w:rPr>
                <w:rFonts w:hint="eastAsia" w:ascii="宋体" w:hAnsi="宋体" w:eastAsia="宋体" w:cs="宋体"/>
                <w:color w:val="000000"/>
                <w:sz w:val="24"/>
                <w:szCs w:val="24"/>
                <w:lang w:bidi="ar"/>
              </w:rPr>
            </w:r>
            <w:r/>
          </w:p>
          <w:p>
            <w:pPr>
              <w:pStyle w:val="676"/>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万元</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市委政法委市域社会治理现代化指挥平台三期（2026）项目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50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市城管局城市运行管理平台升级（2026）项目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118</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市教育局阳光招生平台升级（2026）项目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30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市司法局“泰E法”合法性审查应用系统（2026）项目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40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市住建局“智慧住建”政务信息化平台升级（2026）项目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130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市急救中心智慧急救系统升级（2026）项目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30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市卫健委健康泰州数字化能力提升工程升级（2026）项目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80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市退役军人事务局“四全”服务智能支持保障系统（2026）项目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40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市应急局智慧应急综合管理平台升级优化（2026）项目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94</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市国资国企在线监管平台升级改造（2026）项目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80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市公共资源交易平台升级改造（2026）项目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100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市政务服务一体化平台（2026）项目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250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市企业全生命周期管理服务平台服务（2026）项目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400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市网络和公共数据安全服务（2026）项目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485</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市一网统管城市运行指标（2026）项目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200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市级智慧门户购买服务（2026）项目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480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市公共数据服务（2026）项目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560</w:t>
            </w:r>
            <w:r>
              <w:rPr>
                <w:rFonts w:hint="eastAsia" w:ascii="宋体" w:hAnsi="宋体" w:eastAsia="宋体" w:cs="宋体"/>
                <w:color w:val="000000"/>
                <w:sz w:val="24"/>
                <w:szCs w:val="24"/>
                <w:lang w:bidi="ar"/>
              </w:rPr>
            </w:r>
            <w:r/>
          </w:p>
        </w:tc>
      </w:tr>
      <w:tr>
        <w:trPr>
          <w:trHeight w:val="600"/>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市发改委公共信用信息平台运维（2026）项目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45</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市卫健委医疗电子票据系统运维（2026）项目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20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w:t>
            </w: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676"/>
              <w:ind w:firstLine="0"/>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
              </w:rPr>
              <w:t xml:space="preserve">数字泰州综合运维（2026）项目</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ind w:firstLine="0"/>
              <w:jc w:val="cente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320</w:t>
            </w:r>
            <w:r>
              <w:rPr>
                <w:rFonts w:hint="eastAsia" w:ascii="宋体" w:hAnsi="宋体" w:eastAsia="宋体" w:cs="宋体"/>
                <w:color w:val="000000"/>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554"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合计</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pStyle w:val="676"/>
              <w:keepLines w:val="0"/>
              <w:keepNext w:val="0"/>
              <w:pageBreakBefore w:val="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676"/>
              <w:jc w:val="center"/>
              <w:keepLines w:val="0"/>
              <w:keepNext w:val="0"/>
              <w:pageBreakBefore w:val="0"/>
              <w:spacing w:line="24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3552</w:t>
            </w:r>
            <w:r>
              <w:rPr>
                <w:rFonts w:hint="eastAsia" w:ascii="宋体" w:hAnsi="宋体" w:eastAsia="宋体" w:cs="宋体"/>
                <w:color w:val="000000"/>
                <w:sz w:val="24"/>
                <w:szCs w:val="24"/>
                <w:lang w:val="en-US" w:eastAsia="zh-CN" w:bidi="ar"/>
              </w:rPr>
            </w:r>
            <w:r/>
          </w:p>
        </w:tc>
      </w:tr>
    </w:tbl>
    <w:p>
      <w:pPr>
        <w:pStyle w:val="677"/>
        <w:ind w:left="432" w:hanging="43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四、付款方式</w:t>
      </w:r>
      <w:r>
        <w:rPr>
          <w:rFonts w:hint="eastAsia" w:ascii="宋体" w:hAnsi="宋体" w:eastAsia="宋体" w:cs="Times New Roman"/>
          <w:b/>
          <w:sz w:val="24"/>
          <w:szCs w:val="24"/>
        </w:rPr>
      </w:r>
      <w:r/>
    </w:p>
    <w:p>
      <w:pPr>
        <w:pStyle w:val="676"/>
        <w:ind w:firstLine="480"/>
        <w:jc w:val="left"/>
        <w:spacing w:line="560" w:lineRule="exact"/>
        <w:tabs>
          <w:tab w:val="left" w:pos="210" w:leader="none"/>
          <w:tab w:val="left" w:pos="420" w:leader="none"/>
        </w:tabs>
        <w:rPr>
          <w:rFonts w:ascii="宋体" w:hAnsi="宋体"/>
          <w:color w:val="000000"/>
          <w:sz w:val="24"/>
          <w:szCs w:val="24"/>
          <w:highlight w:val="none"/>
          <w:lang w:bidi="ar"/>
        </w:rPr>
      </w:pPr>
      <w:r>
        <w:rPr>
          <w:rFonts w:hint="eastAsia" w:ascii="宋体" w:hAnsi="宋体"/>
          <w:color w:val="000000"/>
          <w:sz w:val="24"/>
          <w:szCs w:val="24"/>
          <w:highlight w:val="none"/>
          <w:lang w:bidi="ar"/>
        </w:rPr>
        <w:t xml:space="preserve">1.自合同生效之日起，甲方收到乙方提供有效的票据后30日内，支付合同总价的4</w:t>
      </w:r>
      <w:r>
        <w:rPr>
          <w:rFonts w:hint="eastAsia" w:ascii="宋体" w:hAnsi="宋体"/>
          <w:color w:val="000000"/>
          <w:sz w:val="24"/>
          <w:szCs w:val="24"/>
          <w:highlight w:val="none"/>
          <w:lang w:val="en-US" w:eastAsia="zh-CN" w:bidi="ar"/>
        </w:rPr>
        <w:t xml:space="preserve">5</w:t>
      </w:r>
      <w:r>
        <w:rPr>
          <w:rFonts w:hint="eastAsia" w:ascii="宋体" w:hAnsi="宋体"/>
          <w:color w:val="000000"/>
          <w:sz w:val="24"/>
          <w:szCs w:val="24"/>
          <w:highlight w:val="none"/>
          <w:lang w:bidi="ar"/>
        </w:rPr>
        <w:t xml:space="preserve">%；</w:t>
      </w:r>
      <w:r>
        <w:rPr>
          <w:rFonts w:ascii="宋体" w:hAnsi="宋体"/>
          <w:color w:val="000000"/>
          <w:sz w:val="24"/>
          <w:szCs w:val="24"/>
          <w:highlight w:val="none"/>
          <w:lang w:bidi="ar"/>
        </w:rPr>
      </w:r>
      <w:r/>
    </w:p>
    <w:p>
      <w:pPr>
        <w:pStyle w:val="676"/>
        <w:ind w:firstLine="480"/>
        <w:jc w:val="left"/>
        <w:spacing w:line="560" w:lineRule="exact"/>
        <w:tabs>
          <w:tab w:val="left" w:pos="210" w:leader="none"/>
          <w:tab w:val="left" w:pos="420" w:leader="none"/>
        </w:tabs>
        <w:rPr>
          <w:rFonts w:hint="eastAsia" w:ascii="宋体" w:hAnsi="宋体"/>
          <w:color w:val="000000"/>
          <w:sz w:val="24"/>
          <w:szCs w:val="24"/>
          <w:highlight w:val="none"/>
          <w:lang w:bidi="ar"/>
        </w:rPr>
      </w:pPr>
      <w:r>
        <w:rPr>
          <w:rFonts w:hint="eastAsia" w:ascii="宋体" w:hAnsi="宋体"/>
          <w:color w:val="000000"/>
          <w:sz w:val="24"/>
          <w:szCs w:val="24"/>
          <w:highlight w:val="none"/>
          <w:lang w:bidi="ar"/>
        </w:rPr>
        <w:t xml:space="preserve">2.合同签订后第6个月甲方根据服务情况组织阶段性验收（不少于1</w:t>
      </w:r>
      <w:r>
        <w:rPr>
          <w:rFonts w:hint="eastAsia" w:ascii="宋体" w:hAnsi="宋体"/>
          <w:color w:val="000000"/>
          <w:sz w:val="24"/>
          <w:szCs w:val="24"/>
          <w:highlight w:val="none"/>
          <w:lang w:val="en-US" w:eastAsia="zh-CN" w:bidi="ar"/>
        </w:rPr>
        <w:t xml:space="preserve">0</w:t>
      </w:r>
      <w:r>
        <w:rPr>
          <w:rFonts w:hint="eastAsia" w:ascii="宋体" w:hAnsi="宋体"/>
          <w:color w:val="000000"/>
          <w:sz w:val="24"/>
          <w:szCs w:val="24"/>
          <w:highlight w:val="none"/>
          <w:lang w:bidi="ar"/>
        </w:rPr>
        <w:t xml:space="preserve">个服务），完成验收后，支付合同总价的4</w:t>
      </w:r>
      <w:r>
        <w:rPr>
          <w:rFonts w:hint="eastAsia" w:ascii="宋体" w:hAnsi="宋体"/>
          <w:color w:val="000000"/>
          <w:sz w:val="24"/>
          <w:szCs w:val="24"/>
          <w:highlight w:val="none"/>
          <w:lang w:val="en-US" w:eastAsia="zh-CN" w:bidi="ar"/>
        </w:rPr>
        <w:t xml:space="preserve">5</w:t>
      </w:r>
      <w:r>
        <w:rPr>
          <w:rFonts w:hint="eastAsia" w:ascii="宋体" w:hAnsi="宋体"/>
          <w:color w:val="000000"/>
          <w:sz w:val="24"/>
          <w:szCs w:val="24"/>
          <w:highlight w:val="none"/>
          <w:lang w:bidi="ar"/>
        </w:rPr>
        <w:t xml:space="preserve">%；</w:t>
      </w:r>
      <w:r>
        <w:rPr>
          <w:rFonts w:hint="eastAsia" w:ascii="宋体" w:hAnsi="宋体"/>
          <w:color w:val="000000"/>
          <w:sz w:val="24"/>
          <w:szCs w:val="24"/>
          <w:highlight w:val="none"/>
          <w:lang w:bidi="ar"/>
        </w:rPr>
      </w:r>
      <w:r/>
    </w:p>
    <w:p>
      <w:pPr>
        <w:pStyle w:val="676"/>
        <w:ind w:firstLine="480"/>
        <w:jc w:val="left"/>
        <w:spacing w:line="560" w:lineRule="exact"/>
        <w:tabs>
          <w:tab w:val="left" w:pos="210" w:leader="none"/>
          <w:tab w:val="left" w:pos="420" w:leader="none"/>
        </w:tabs>
        <w:rPr>
          <w:rFonts w:hint="eastAsia" w:ascii="宋体" w:hAnsi="宋体"/>
          <w:color w:val="000000"/>
          <w:sz w:val="24"/>
          <w:szCs w:val="24"/>
          <w:highlight w:val="none"/>
          <w:lang w:bidi="ar"/>
        </w:rPr>
      </w:pPr>
      <w:r>
        <w:rPr>
          <w:rFonts w:hint="eastAsia" w:ascii="宋体" w:hAnsi="宋体"/>
          <w:color w:val="000000"/>
          <w:sz w:val="24"/>
          <w:szCs w:val="24"/>
          <w:highlight w:val="none"/>
          <w:lang w:bidi="ar"/>
        </w:rPr>
        <w:t xml:space="preserve">3.合同到期前30日内，甲方组织剩余服务验收，完成验收后，支付合同总价的</w:t>
      </w:r>
      <w:r>
        <w:rPr>
          <w:rFonts w:hint="eastAsia" w:ascii="宋体" w:hAnsi="宋体"/>
          <w:color w:val="000000"/>
          <w:sz w:val="24"/>
          <w:szCs w:val="24"/>
          <w:highlight w:val="none"/>
          <w:lang w:val="en-US" w:eastAsia="zh-CN" w:bidi="ar"/>
        </w:rPr>
        <w:t xml:space="preserve">1</w:t>
      </w:r>
      <w:r>
        <w:rPr>
          <w:rFonts w:hint="eastAsia" w:ascii="宋体" w:hAnsi="宋体"/>
          <w:color w:val="000000"/>
          <w:sz w:val="24"/>
          <w:szCs w:val="24"/>
          <w:highlight w:val="none"/>
          <w:lang w:bidi="ar"/>
        </w:rPr>
        <w:t xml:space="preserve">0%。</w:t>
      </w:r>
      <w:r>
        <w:rPr>
          <w:rFonts w:hint="eastAsia" w:ascii="宋体" w:hAnsi="宋体"/>
          <w:color w:val="000000"/>
          <w:sz w:val="24"/>
          <w:szCs w:val="24"/>
          <w:highlight w:val="none"/>
          <w:lang w:bidi="ar"/>
        </w:rPr>
      </w:r>
      <w:r/>
    </w:p>
    <w:p>
      <w:pPr>
        <w:pStyle w:val="798"/>
        <w:ind w:firstLine="480"/>
        <w:spacing w:line="560" w:lineRule="exact"/>
        <w:rPr>
          <w:rFonts w:hint="eastAsia" w:ascii="宋体" w:hAnsi="宋体" w:eastAsia="宋体"/>
          <w:color w:val="000000"/>
          <w:szCs w:val="24"/>
          <w:highlight w:val="none"/>
          <w:lang w:bidi="ar"/>
        </w:rPr>
      </w:pPr>
      <w:r>
        <w:rPr>
          <w:rFonts w:hint="eastAsia" w:ascii="宋体" w:hAnsi="宋体" w:eastAsia="宋体"/>
          <w:color w:val="000000"/>
          <w:szCs w:val="24"/>
          <w:highlight w:val="none"/>
          <w:lang w:bidi="ar"/>
        </w:rPr>
        <w:t xml:space="preserve">注：本合同项下的合同价款在乙方符合付款条件，并向甲方提供合法有效票据后，由甲方支付，否则甲方有权拒绝或者延迟支付相应款项。因财政相关原因不能及时支付相应款项的，可以延期付款，甲方不构成违约。</w:t>
      </w:r>
      <w:r>
        <w:rPr>
          <w:rFonts w:ascii="宋体" w:hAnsi="宋体" w:cs="宋体"/>
          <w:sz w:val="24"/>
          <w:szCs w:val="24"/>
          <w:highlight w:val="none"/>
        </w:rPr>
        <w:t xml:space="preserve"> </w:t>
      </w:r>
      <w:r>
        <w:rPr>
          <w:rFonts w:hint="eastAsia" w:ascii="宋体" w:hAnsi="宋体" w:eastAsia="宋体"/>
          <w:color w:val="000000"/>
          <w:szCs w:val="24"/>
          <w:highlight w:val="none"/>
          <w:lang w:bidi="ar"/>
        </w:rPr>
      </w:r>
      <w:r/>
    </w:p>
    <w:p>
      <w:pPr>
        <w:pStyle w:val="677"/>
        <w:ind w:left="432" w:hanging="432"/>
        <w:jc w:val="left"/>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五、履行期限、地点</w:t>
      </w:r>
      <w:r>
        <w:rPr>
          <w:rFonts w:hint="eastAsia" w:ascii="宋体" w:hAnsi="宋体" w:eastAsia="宋体" w:cs="Times New Roman"/>
          <w:b/>
          <w:sz w:val="24"/>
          <w:szCs w:val="24"/>
        </w:rPr>
      </w:r>
      <w:r/>
    </w:p>
    <w:p>
      <w:pPr>
        <w:pStyle w:val="676"/>
        <w:ind w:firstLine="480"/>
        <w:jc w:val="left"/>
        <w:spacing w:line="560" w:lineRule="exact"/>
        <w:tabs>
          <w:tab w:val="left" w:pos="210" w:leader="none"/>
          <w:tab w:val="left" w:pos="420" w:leader="none"/>
        </w:tabs>
        <w:rPr>
          <w:rFonts w:hint="eastAsia" w:ascii="宋体" w:hAnsi="宋体"/>
          <w:color w:val="000000"/>
          <w:sz w:val="24"/>
          <w:szCs w:val="24"/>
          <w:lang w:bidi="ar"/>
        </w:rPr>
      </w:pPr>
      <w:r>
        <w:rPr>
          <w:rFonts w:hint="eastAsia" w:ascii="宋体" w:hAnsi="宋体"/>
          <w:color w:val="000000"/>
          <w:sz w:val="24"/>
          <w:szCs w:val="24"/>
          <w:lang w:bidi="ar"/>
        </w:rPr>
        <w:t xml:space="preserve">1.履行期限：合同生效之日起一年。</w:t>
      </w:r>
      <w:r>
        <w:rPr>
          <w:rFonts w:hint="eastAsia" w:ascii="宋体" w:hAnsi="宋体"/>
          <w:color w:val="000000"/>
          <w:sz w:val="24"/>
          <w:szCs w:val="24"/>
          <w:lang w:bidi="ar"/>
        </w:rPr>
      </w:r>
      <w:r/>
    </w:p>
    <w:p>
      <w:pPr>
        <w:pStyle w:val="676"/>
        <w:ind w:firstLine="480"/>
        <w:jc w:val="left"/>
        <w:spacing w:line="560" w:lineRule="exact"/>
        <w:tabs>
          <w:tab w:val="left" w:pos="210" w:leader="none"/>
          <w:tab w:val="left" w:pos="420" w:leader="none"/>
        </w:tabs>
        <w:rPr>
          <w:rFonts w:hint="eastAsia" w:ascii="宋体" w:hAnsi="宋体"/>
          <w:color w:val="000000"/>
          <w:sz w:val="24"/>
          <w:szCs w:val="24"/>
          <w:lang w:bidi="ar"/>
        </w:rPr>
      </w:pPr>
      <w:r>
        <w:rPr>
          <w:rFonts w:hint="eastAsia" w:ascii="宋体" w:hAnsi="宋体"/>
          <w:color w:val="000000"/>
          <w:sz w:val="24"/>
          <w:szCs w:val="24"/>
          <w:lang w:bidi="ar"/>
        </w:rPr>
        <w:t xml:space="preserve">2.履行地点：泰州市。</w:t>
      </w:r>
      <w:r>
        <w:rPr>
          <w:rFonts w:hint="eastAsia" w:ascii="宋体" w:hAnsi="宋体"/>
          <w:color w:val="000000"/>
          <w:sz w:val="24"/>
          <w:szCs w:val="24"/>
          <w:lang w:bidi="ar"/>
        </w:rPr>
      </w:r>
      <w:r/>
    </w:p>
    <w:p>
      <w:pPr>
        <w:pStyle w:val="676"/>
      </w:pPr>
      <w:r/>
      <w:r/>
    </w:p>
    <w:p>
      <w:pPr>
        <w:pStyle w:val="705"/>
        <w:tabs>
          <w:tab w:val="center" w:pos="4201" w:leader="none"/>
          <w:tab w:val="right" w:pos="9298" w:leader="dot"/>
        </w:tabs>
      </w:pPr>
      <w:r/>
      <w:r/>
    </w:p>
    <w:p>
      <w:pPr>
        <w:pStyle w:val="676"/>
      </w:pPr>
      <w:r/>
      <w:r/>
    </w:p>
    <w:p>
      <w:pPr>
        <w:pStyle w:val="705"/>
        <w:tabs>
          <w:tab w:val="center" w:pos="4201" w:leader="none"/>
          <w:tab w:val="right" w:pos="9298" w:leader="dot"/>
        </w:tabs>
      </w:pPr>
      <w:r/>
      <w:r/>
    </w:p>
    <w:p>
      <w:pPr>
        <w:pStyle w:val="676"/>
      </w:pPr>
      <w:r/>
      <w:bookmarkStart w:id="177" w:name="_Toc120614281"/>
      <w:r/>
      <w:r/>
    </w:p>
    <w:p>
      <w:pPr>
        <w:pStyle w:val="676"/>
        <w:jc w:val="center"/>
        <w:keepNext/>
        <w:rPr>
          <w:rFonts w:hint="eastAsia" w:ascii="黑体" w:hAnsi="Times New Roman" w:eastAsia="黑体"/>
          <w:bCs/>
          <w:sz w:val="44"/>
          <w:szCs w:val="28"/>
        </w:rPr>
        <w:outlineLvl w:val="0"/>
      </w:pPr>
      <w:r>
        <w:rPr>
          <w:rFonts w:ascii="黑体" w:hAnsi="Times New Roman" w:eastAsia="黑体"/>
          <w:bCs/>
          <w:sz w:val="44"/>
          <w:szCs w:val="28"/>
        </w:rPr>
        <w:br w:type="page" w:clear="all"/>
      </w:r>
      <w:r>
        <w:rPr>
          <w:rFonts w:hint="eastAsia" w:ascii="黑体" w:hAnsi="Times New Roman" w:eastAsia="黑体"/>
          <w:bCs/>
          <w:sz w:val="44"/>
          <w:szCs w:val="28"/>
        </w:rPr>
        <w:t xml:space="preserve">第五章  </w:t>
      </w:r>
      <w:bookmarkEnd w:id="160"/>
      <w:r/>
      <w:bookmarkEnd w:id="161"/>
      <w:r/>
      <w:bookmarkEnd w:id="177"/>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676"/>
        <w:jc w:val="center"/>
        <w:rPr>
          <w:rFonts w:hint="eastAsia" w:ascii="宋体" w:hAnsi="宋体"/>
          <w:b/>
          <w:sz w:val="72"/>
          <w:szCs w:val="21"/>
        </w:rPr>
      </w:pPr>
      <w:r/>
      <w:bookmarkStart w:id="178" w:name="_Hlt26955039"/>
      <w:r/>
      <w:bookmarkEnd w:id="178"/>
      <w:r/>
      <w:bookmarkStart w:id="179" w:name="_Hlt26671244"/>
      <w:r/>
      <w:bookmarkEnd w:id="179"/>
      <w:r/>
      <w:bookmarkStart w:id="180" w:name="_Toc26554094"/>
      <w:r/>
      <w:bookmarkStart w:id="181" w:name="_Toc49090576"/>
      <w:r/>
      <w:bookmarkStart w:id="182" w:name="_Toc120614282"/>
      <w:r>
        <w:rPr>
          <w:rFonts w:hint="eastAsia" w:ascii="宋体" w:hAnsi="宋体"/>
          <w:b/>
          <w:sz w:val="72"/>
          <w:szCs w:val="21"/>
        </w:rPr>
      </w:r>
      <w:r/>
    </w:p>
    <w:p>
      <w:pPr>
        <w:pStyle w:val="676"/>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676"/>
        <w:jc w:val="center"/>
        <w:rPr>
          <w:rFonts w:hint="eastAsia" w:ascii="宋体" w:hAnsi="宋体"/>
          <w:b/>
          <w:sz w:val="72"/>
          <w:szCs w:val="21"/>
        </w:rPr>
      </w:pPr>
      <w:r>
        <w:rPr>
          <w:rFonts w:hint="eastAsia" w:ascii="宋体" w:hAnsi="宋体"/>
          <w:b/>
          <w:sz w:val="72"/>
          <w:szCs w:val="21"/>
        </w:rPr>
      </w:r>
      <w:r/>
    </w:p>
    <w:p>
      <w:pPr>
        <w:pStyle w:val="676"/>
        <w:jc w:val="center"/>
        <w:rPr>
          <w:rFonts w:hint="eastAsia" w:ascii="宋体" w:hAnsi="宋体"/>
          <w:b/>
          <w:sz w:val="72"/>
          <w:szCs w:val="21"/>
        </w:rPr>
      </w:pPr>
      <w:r>
        <w:rPr>
          <w:rFonts w:hint="eastAsia" w:ascii="宋体" w:hAnsi="宋体"/>
          <w:b/>
          <w:sz w:val="72"/>
          <w:szCs w:val="21"/>
        </w:rPr>
      </w:r>
      <w:r/>
    </w:p>
    <w:p>
      <w:pPr>
        <w:pStyle w:val="703"/>
        <w:rPr>
          <w:rFonts w:hint="eastAsia" w:ascii="宋体" w:hAnsi="宋体"/>
          <w:b/>
          <w:sz w:val="72"/>
          <w:szCs w:val="21"/>
        </w:rPr>
      </w:pPr>
      <w:r>
        <w:rPr>
          <w:rFonts w:hint="eastAsia" w:ascii="宋体" w:hAnsi="宋体"/>
          <w:b/>
          <w:sz w:val="72"/>
          <w:szCs w:val="21"/>
        </w:rPr>
      </w:r>
      <w:r/>
    </w:p>
    <w:p>
      <w:pPr>
        <w:pStyle w:val="676"/>
        <w:jc w:val="center"/>
        <w:rPr>
          <w:rFonts w:hint="eastAsia" w:ascii="宋体" w:hAnsi="宋体"/>
          <w:b/>
          <w:sz w:val="36"/>
          <w:szCs w:val="21"/>
        </w:rPr>
      </w:pPr>
      <w:r>
        <w:rPr>
          <w:rFonts w:hint="eastAsia" w:ascii="宋体" w:hAnsi="宋体"/>
          <w:b/>
          <w:sz w:val="36"/>
          <w:szCs w:val="21"/>
        </w:rPr>
      </w:r>
      <w:r/>
    </w:p>
    <w:p>
      <w:pPr>
        <w:pStyle w:val="676"/>
        <w:jc w:val="center"/>
        <w:rPr>
          <w:rFonts w:hint="eastAsia" w:ascii="宋体" w:hAnsi="宋体"/>
          <w:b/>
          <w:sz w:val="36"/>
          <w:szCs w:val="21"/>
        </w:rPr>
      </w:pPr>
      <w:r>
        <w:rPr>
          <w:rFonts w:hint="eastAsia" w:ascii="宋体" w:hAnsi="宋体"/>
          <w:b/>
          <w:sz w:val="36"/>
          <w:szCs w:val="21"/>
        </w:rPr>
      </w:r>
      <w:r/>
    </w:p>
    <w:p>
      <w:pPr>
        <w:pStyle w:val="676"/>
        <w:jc w:val="center"/>
        <w:rPr>
          <w:rFonts w:hint="eastAsia" w:ascii="宋体" w:hAnsi="宋体"/>
          <w:b/>
          <w:sz w:val="36"/>
          <w:szCs w:val="21"/>
        </w:rPr>
      </w:pPr>
      <w:r>
        <w:rPr>
          <w:rFonts w:hint="eastAsia" w:ascii="宋体" w:hAnsi="宋体"/>
          <w:b/>
          <w:sz w:val="36"/>
          <w:szCs w:val="21"/>
        </w:rPr>
      </w:r>
      <w:r/>
    </w:p>
    <w:p>
      <w:pPr>
        <w:pStyle w:val="676"/>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202</w:t>
      </w:r>
      <w:r>
        <w:rPr>
          <w:rFonts w:hint="eastAsia" w:ascii="宋体" w:hAnsi="宋体"/>
          <w:b/>
          <w:sz w:val="36"/>
          <w:szCs w:val="21"/>
          <w:u w:val="single"/>
          <w:lang w:val="en-US" w:eastAsia="zh-CN"/>
        </w:rPr>
        <w:t xml:space="preserve">6</w:t>
      </w:r>
      <w:r>
        <w:rPr>
          <w:rFonts w:hint="eastAsia" w:ascii="宋体" w:hAnsi="宋体"/>
          <w:b/>
          <w:sz w:val="36"/>
          <w:szCs w:val="21"/>
          <w:u w:val="single"/>
        </w:rPr>
        <w:t xml:space="preserve">“数字泰州”公共数据综合服务            </w:t>
      </w:r>
      <w:r>
        <w:rPr>
          <w:rFonts w:hint="eastAsia" w:ascii="宋体" w:hAnsi="宋体"/>
          <w:b/>
          <w:sz w:val="36"/>
          <w:szCs w:val="21"/>
        </w:rPr>
      </w:r>
      <w:r/>
    </w:p>
    <w:p>
      <w:pPr>
        <w:pStyle w:val="676"/>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ascii="宋体" w:hAnsi="宋体"/>
          <w:b/>
          <w:sz w:val="36"/>
          <w:szCs w:val="21"/>
          <w:u w:val="single"/>
        </w:rPr>
        <w:tab/>
      </w:r>
      <w:r>
        <w:rPr>
          <w:rFonts w:hint="eastAsia" w:ascii="宋体" w:hAnsi="宋体"/>
          <w:b/>
          <w:sz w:val="36"/>
          <w:szCs w:val="21"/>
          <w:u w:val="single"/>
        </w:rPr>
        <w:t xml:space="preserve">             </w:t>
      </w:r>
      <w:r>
        <w:rPr>
          <w:rFonts w:hint="eastAsia" w:ascii="宋体" w:hAnsi="宋体"/>
          <w:b/>
          <w:sz w:val="36"/>
          <w:szCs w:val="21"/>
          <w:u w:val="single"/>
        </w:rPr>
      </w:r>
      <w:r/>
    </w:p>
    <w:p>
      <w:pPr>
        <w:pStyle w:val="676"/>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676"/>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676"/>
        <w:jc w:val="center"/>
        <w:spacing w:line="440" w:lineRule="exact"/>
        <w:rPr>
          <w:rFonts w:hint="eastAsia" w:ascii="宋体" w:hAnsi="宋体"/>
          <w:b/>
          <w:bCs/>
          <w:sz w:val="32"/>
          <w:szCs w:val="32"/>
        </w:rPr>
      </w:pPr>
      <w:r>
        <w:rPr>
          <w:rFonts w:hint="eastAsia" w:ascii="宋体" w:hAnsi="宋体"/>
          <w:b/>
          <w:bCs/>
          <w:sz w:val="32"/>
          <w:szCs w:val="32"/>
        </w:rPr>
      </w:r>
      <w:r/>
    </w:p>
    <w:p>
      <w:pPr>
        <w:pStyle w:val="676"/>
        <w:spacing w:line="440" w:lineRule="exact"/>
        <w:rPr>
          <w:rFonts w:ascii="宋体" w:hAnsi="宋体"/>
          <w:szCs w:val="21"/>
        </w:rPr>
      </w:pPr>
      <w:r>
        <w:rPr>
          <w:rFonts w:ascii="宋体" w:hAnsi="宋体"/>
          <w:szCs w:val="21"/>
        </w:rPr>
      </w:r>
      <w:r/>
    </w:p>
    <w:p>
      <w:pPr>
        <w:pStyle w:val="676"/>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76"/>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676"/>
        <w:jc w:val="center"/>
        <w:spacing w:line="440" w:lineRule="exact"/>
        <w:rPr>
          <w:rFonts w:hint="eastAsia" w:ascii="宋体" w:hAnsi="宋体"/>
          <w:b/>
          <w:bCs/>
          <w:sz w:val="32"/>
          <w:szCs w:val="32"/>
        </w:rPr>
      </w:pPr>
      <w:r>
        <w:rPr>
          <w:rFonts w:hint="eastAsia" w:ascii="宋体" w:hAnsi="宋体"/>
          <w:b/>
          <w:bCs/>
          <w:sz w:val="32"/>
          <w:szCs w:val="32"/>
        </w:rPr>
      </w:r>
      <w:r/>
    </w:p>
    <w:p>
      <w:pPr>
        <w:pStyle w:val="676"/>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rPr>
          <w:rFonts w:hint="eastAsia" w:ascii="宋体" w:hAnsi="宋体"/>
          <w:i/>
          <w:sz w:val="24"/>
          <w:szCs w:val="21"/>
          <w:u w:val="single"/>
        </w:rPr>
      </w:r>
      <w:r/>
    </w:p>
    <w:p>
      <w:pPr>
        <w:pStyle w:val="676"/>
        <w:ind w:left="480"/>
        <w:rPr>
          <w:rFonts w:hint="eastAsia" w:ascii="宋体" w:hAnsi="宋体"/>
          <w:i/>
          <w:sz w:val="24"/>
          <w:szCs w:val="21"/>
          <w:u w:val="single"/>
        </w:rPr>
      </w:pPr>
      <w:r>
        <w:rPr>
          <w:rFonts w:hint="eastAsia" w:ascii="宋体" w:hAnsi="宋体"/>
          <w:i/>
          <w:sz w:val="24"/>
          <w:szCs w:val="21"/>
          <w:u w:val="single"/>
        </w:rPr>
        <w:t xml:space="preserve">二、近2年任一年度的财务状况报告（谈判供应商成立不满一年无需提供）</w:t>
      </w:r>
      <w:r>
        <w:rPr>
          <w:rFonts w:hint="eastAsia" w:ascii="宋体" w:hAnsi="宋体"/>
          <w:i/>
          <w:sz w:val="24"/>
          <w:szCs w:val="21"/>
          <w:u w:val="single"/>
        </w:rPr>
      </w:r>
      <w:r/>
    </w:p>
    <w:p>
      <w:pPr>
        <w:pStyle w:val="676"/>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谈判响应文件截止时间前一年内至少一个月依法缴纳税收及缴纳社会保障资金的证明材料。谈判供应商依法享受缓缴、免缴税收、社会保障资金的提供证明材料。）</w:t>
      </w:r>
      <w:r>
        <w:rPr>
          <w:rFonts w:hint="eastAsia" w:ascii="宋体" w:hAnsi="宋体"/>
          <w:i/>
          <w:sz w:val="24"/>
          <w:szCs w:val="21"/>
          <w:u w:val="single"/>
        </w:rPr>
      </w:r>
      <w:r/>
    </w:p>
    <w:p>
      <w:pPr>
        <w:pStyle w:val="676"/>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rPr>
          <w:rFonts w:hint="eastAsia" w:ascii="宋体" w:hAnsi="宋体"/>
          <w:i/>
          <w:sz w:val="24"/>
          <w:szCs w:val="21"/>
          <w:u w:val="single"/>
        </w:rPr>
      </w:r>
      <w:r/>
    </w:p>
    <w:p>
      <w:pPr>
        <w:pStyle w:val="676"/>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rPr>
          <w:rFonts w:hint="eastAsia" w:ascii="宋体" w:hAnsi="宋体"/>
          <w:i/>
          <w:sz w:val="24"/>
          <w:szCs w:val="21"/>
          <w:u w:val="single"/>
        </w:rPr>
      </w:r>
      <w:r/>
    </w:p>
    <w:p>
      <w:pPr>
        <w:pStyle w:val="676"/>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rPr>
          <w:rFonts w:hint="eastAsia" w:ascii="宋体" w:hAnsi="宋体"/>
          <w:i/>
          <w:sz w:val="24"/>
          <w:szCs w:val="21"/>
          <w:u w:val="single"/>
        </w:rPr>
      </w:r>
      <w:r/>
    </w:p>
    <w:p>
      <w:pPr>
        <w:pStyle w:val="676"/>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rPr>
          <w:rFonts w:hint="eastAsia" w:ascii="宋体" w:hAnsi="宋体"/>
          <w:i/>
          <w:sz w:val="24"/>
          <w:szCs w:val="21"/>
          <w:u w:val="single"/>
        </w:rPr>
      </w:r>
      <w:r/>
    </w:p>
    <w:p>
      <w:pPr>
        <w:pStyle w:val="676"/>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八、单一来源响应函</w:t>
      </w:r>
      <w:r>
        <w:rPr>
          <w:rFonts w:hint="eastAsia" w:ascii="宋体" w:hAnsi="宋体"/>
          <w:i/>
          <w:sz w:val="24"/>
          <w:szCs w:val="21"/>
          <w:u w:val="single"/>
        </w:rPr>
      </w:r>
      <w:r/>
    </w:p>
    <w:p>
      <w:pPr>
        <w:pStyle w:val="676"/>
        <w:ind w:firstLine="480"/>
        <w:spacing w:line="440" w:lineRule="exact"/>
        <w:rPr>
          <w:rFonts w:ascii="宋体" w:hAnsi="宋体"/>
          <w:sz w:val="24"/>
          <w:szCs w:val="21"/>
        </w:rPr>
      </w:pPr>
      <w:r>
        <w:rPr>
          <w:rFonts w:hint="eastAsia" w:ascii="宋体" w:hAnsi="宋体"/>
          <w:sz w:val="24"/>
          <w:szCs w:val="21"/>
        </w:rPr>
        <w:t xml:space="preserve">九、报价一览表</w:t>
      </w:r>
      <w:r>
        <w:rPr>
          <w:rFonts w:ascii="宋体" w:hAnsi="宋体"/>
          <w:sz w:val="24"/>
          <w:szCs w:val="21"/>
        </w:rPr>
      </w:r>
      <w:r/>
    </w:p>
    <w:p>
      <w:pPr>
        <w:pStyle w:val="676"/>
        <w:ind w:firstLine="480"/>
        <w:spacing w:line="440" w:lineRule="exact"/>
        <w:rPr>
          <w:rFonts w:hint="eastAsia" w:ascii="宋体" w:hAnsi="宋体"/>
          <w:sz w:val="24"/>
          <w:szCs w:val="21"/>
        </w:rPr>
      </w:pPr>
      <w:r>
        <w:rPr>
          <w:rFonts w:hint="eastAsia" w:ascii="宋体" w:hAnsi="宋体"/>
          <w:sz w:val="24"/>
          <w:szCs w:val="21"/>
        </w:rPr>
        <w:t xml:space="preserve">十、分项报价表</w:t>
      </w:r>
      <w:r>
        <w:rPr>
          <w:rFonts w:hint="eastAsia" w:ascii="宋体" w:hAnsi="宋体"/>
          <w:sz w:val="24"/>
          <w:szCs w:val="21"/>
        </w:rPr>
      </w:r>
      <w:r/>
    </w:p>
    <w:p>
      <w:pPr>
        <w:pStyle w:val="676"/>
        <w:ind w:firstLine="480"/>
        <w:spacing w:line="440" w:lineRule="exact"/>
        <w:rPr>
          <w:rFonts w:hint="eastAsia" w:ascii="宋体" w:hAnsi="宋体"/>
          <w:sz w:val="24"/>
          <w:szCs w:val="21"/>
        </w:rPr>
      </w:pPr>
      <w:r>
        <w:rPr>
          <w:rFonts w:hint="eastAsia" w:ascii="宋体" w:hAnsi="宋体"/>
          <w:sz w:val="24"/>
          <w:szCs w:val="21"/>
        </w:rPr>
        <w:t xml:space="preserve">十一、技术要求响应及偏离表</w:t>
      </w:r>
      <w:r>
        <w:rPr>
          <w:rFonts w:hint="eastAsia" w:ascii="宋体" w:hAnsi="宋体"/>
          <w:sz w:val="24"/>
          <w:szCs w:val="21"/>
        </w:rPr>
      </w:r>
      <w:r/>
    </w:p>
    <w:p>
      <w:pPr>
        <w:pStyle w:val="676"/>
        <w:ind w:firstLine="480"/>
        <w:spacing w:line="440" w:lineRule="exact"/>
        <w:rPr>
          <w:rFonts w:ascii="宋体" w:hAnsi="宋体"/>
          <w:sz w:val="24"/>
          <w:szCs w:val="21"/>
        </w:rPr>
      </w:pPr>
      <w:r>
        <w:rPr>
          <w:rFonts w:hint="eastAsia" w:ascii="宋体" w:hAnsi="宋体"/>
          <w:sz w:val="24"/>
          <w:szCs w:val="21"/>
        </w:rPr>
        <w:t xml:space="preserve">十二、商务要求响应及偏离表</w:t>
      </w:r>
      <w:r>
        <w:rPr>
          <w:rFonts w:ascii="宋体" w:hAnsi="宋体"/>
          <w:sz w:val="24"/>
          <w:szCs w:val="21"/>
        </w:rPr>
      </w:r>
      <w:r/>
    </w:p>
    <w:p>
      <w:pPr>
        <w:pStyle w:val="676"/>
        <w:ind w:firstLine="480"/>
        <w:spacing w:line="440" w:lineRule="exact"/>
        <w:rPr>
          <w:rFonts w:ascii="宋体" w:hAnsi="宋体"/>
          <w:i/>
          <w:sz w:val="24"/>
          <w:szCs w:val="21"/>
          <w:u w:val="single"/>
        </w:rPr>
      </w:pPr>
      <w:r>
        <w:rPr>
          <w:rFonts w:ascii="宋体" w:hAnsi="宋体"/>
          <w:i/>
          <w:sz w:val="24"/>
          <w:szCs w:val="21"/>
          <w:u w:val="single"/>
        </w:rPr>
      </w:r>
      <w:r/>
    </w:p>
    <w:p>
      <w:pPr>
        <w:pStyle w:val="676"/>
        <w:ind w:firstLine="480"/>
        <w:spacing w:line="440" w:lineRule="exact"/>
        <w:rPr>
          <w:rFonts w:ascii="宋体" w:hAnsi="宋体"/>
          <w:sz w:val="24"/>
          <w:szCs w:val="21"/>
        </w:rPr>
      </w:pPr>
      <w:r>
        <w:rPr>
          <w:rFonts w:ascii="宋体" w:hAnsi="宋体"/>
          <w:sz w:val="24"/>
          <w:szCs w:val="21"/>
        </w:rPr>
      </w:r>
      <w:r/>
    </w:p>
    <w:p>
      <w:pPr>
        <w:pStyle w:val="676"/>
        <w:ind w:firstLine="480"/>
        <w:spacing w:line="440" w:lineRule="exact"/>
        <w:rPr>
          <w:rFonts w:ascii="宋体" w:hAnsi="宋体"/>
          <w:sz w:val="24"/>
          <w:szCs w:val="21"/>
        </w:rPr>
      </w:pPr>
      <w:r>
        <w:rPr>
          <w:rFonts w:ascii="宋体" w:hAnsi="宋体"/>
          <w:sz w:val="24"/>
          <w:szCs w:val="21"/>
        </w:rPr>
      </w:r>
      <w:r/>
    </w:p>
    <w:p>
      <w:pPr>
        <w:pStyle w:val="676"/>
        <w:ind w:firstLine="480"/>
        <w:spacing w:line="440" w:lineRule="exact"/>
        <w:rPr>
          <w:rFonts w:ascii="宋体" w:hAnsi="宋体"/>
          <w:sz w:val="24"/>
          <w:szCs w:val="21"/>
        </w:rPr>
      </w:pPr>
      <w:r>
        <w:rPr>
          <w:rFonts w:ascii="宋体" w:hAnsi="宋体"/>
          <w:sz w:val="24"/>
          <w:szCs w:val="21"/>
        </w:rPr>
      </w:r>
      <w:r/>
    </w:p>
    <w:p>
      <w:pPr>
        <w:pStyle w:val="676"/>
        <w:ind w:firstLine="480"/>
        <w:spacing w:line="440" w:lineRule="exact"/>
        <w:rPr>
          <w:rFonts w:ascii="宋体" w:hAnsi="宋体"/>
          <w:sz w:val="24"/>
          <w:szCs w:val="21"/>
        </w:rPr>
      </w:pPr>
      <w:r>
        <w:rPr>
          <w:rFonts w:ascii="宋体" w:hAnsi="宋体"/>
          <w:sz w:val="24"/>
          <w:szCs w:val="21"/>
        </w:rPr>
      </w:r>
      <w:r/>
    </w:p>
    <w:p>
      <w:pPr>
        <w:pStyle w:val="676"/>
        <w:ind w:firstLine="480"/>
        <w:spacing w:line="440" w:lineRule="exact"/>
        <w:rPr>
          <w:rFonts w:ascii="宋体" w:hAnsi="宋体"/>
          <w:sz w:val="24"/>
          <w:szCs w:val="21"/>
        </w:rPr>
      </w:pPr>
      <w:r>
        <w:rPr>
          <w:rFonts w:ascii="宋体" w:hAnsi="宋体"/>
          <w:sz w:val="24"/>
          <w:szCs w:val="21"/>
        </w:rPr>
      </w:r>
      <w:r/>
    </w:p>
    <w:p>
      <w:pPr>
        <w:pStyle w:val="676"/>
        <w:ind w:firstLine="480"/>
        <w:spacing w:line="440" w:lineRule="exact"/>
        <w:rPr>
          <w:rFonts w:ascii="宋体" w:hAnsi="宋体"/>
          <w:sz w:val="24"/>
          <w:szCs w:val="21"/>
        </w:rPr>
      </w:pPr>
      <w:r>
        <w:rPr>
          <w:rFonts w:ascii="宋体" w:hAnsi="宋体"/>
          <w:sz w:val="24"/>
          <w:szCs w:val="21"/>
        </w:rPr>
      </w:r>
      <w:r/>
    </w:p>
    <w:p>
      <w:pPr>
        <w:pStyle w:val="676"/>
        <w:ind w:firstLine="480"/>
        <w:spacing w:line="440" w:lineRule="exact"/>
        <w:rPr>
          <w:rFonts w:ascii="宋体" w:hAnsi="宋体"/>
          <w:sz w:val="24"/>
          <w:szCs w:val="21"/>
        </w:rPr>
      </w:pPr>
      <w:r>
        <w:rPr>
          <w:rFonts w:ascii="宋体" w:hAnsi="宋体"/>
          <w:sz w:val="24"/>
          <w:szCs w:val="21"/>
        </w:rPr>
      </w:r>
      <w:r/>
    </w:p>
    <w:p>
      <w:pPr>
        <w:pStyle w:val="676"/>
        <w:ind w:firstLine="480"/>
        <w:spacing w:line="440" w:lineRule="exact"/>
        <w:rPr>
          <w:rFonts w:ascii="宋体" w:hAnsi="宋体"/>
          <w:sz w:val="24"/>
          <w:szCs w:val="21"/>
        </w:rPr>
      </w:pPr>
      <w:r>
        <w:rPr>
          <w:rFonts w:ascii="宋体" w:hAnsi="宋体"/>
          <w:sz w:val="24"/>
          <w:szCs w:val="21"/>
        </w:rPr>
      </w:r>
      <w:r/>
    </w:p>
    <w:p>
      <w:pPr>
        <w:pStyle w:val="676"/>
        <w:ind w:firstLine="480"/>
        <w:spacing w:line="440" w:lineRule="exact"/>
        <w:rPr>
          <w:rFonts w:ascii="宋体" w:hAnsi="宋体"/>
          <w:sz w:val="24"/>
          <w:szCs w:val="21"/>
        </w:rPr>
      </w:pPr>
      <w:r>
        <w:rPr>
          <w:rFonts w:ascii="宋体" w:hAnsi="宋体"/>
          <w:sz w:val="24"/>
          <w:szCs w:val="21"/>
        </w:rPr>
      </w:r>
      <w:r/>
    </w:p>
    <w:p>
      <w:pPr>
        <w:pStyle w:val="676"/>
        <w:rPr>
          <w:rFonts w:ascii="黑体" w:hAnsi="黑体" w:eastAsia="黑体"/>
          <w:i/>
          <w:sz w:val="32"/>
          <w:szCs w:val="32"/>
          <w:u w:val="single"/>
        </w:rPr>
      </w:pPr>
      <w:r>
        <w:rPr>
          <w:rFonts w:ascii="黑体" w:hAnsi="黑体" w:eastAsia="黑体"/>
          <w:i/>
          <w:sz w:val="32"/>
          <w:szCs w:val="32"/>
          <w:u w:val="single"/>
        </w:rPr>
      </w:r>
      <w:r/>
    </w:p>
    <w:p>
      <w:pPr>
        <w:pStyle w:val="676"/>
        <w:rPr>
          <w:rFonts w:ascii="黑体" w:hAnsi="黑体" w:eastAsia="黑体"/>
          <w:i/>
          <w:sz w:val="32"/>
          <w:szCs w:val="32"/>
          <w:u w:val="single"/>
        </w:rPr>
      </w:pPr>
      <w:r>
        <w:rPr>
          <w:rFonts w:ascii="黑体" w:hAnsi="黑体" w:eastAsia="黑体"/>
          <w:i/>
          <w:sz w:val="32"/>
          <w:szCs w:val="32"/>
          <w:u w:val="single"/>
        </w:rPr>
      </w:r>
      <w:r/>
    </w:p>
    <w:p>
      <w:pPr>
        <w:pStyle w:val="676"/>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rPr>
          <w:rFonts w:hint="eastAsia" w:ascii="黑体" w:hAnsi="黑体" w:eastAsia="黑体"/>
          <w:i/>
          <w:sz w:val="32"/>
          <w:szCs w:val="32"/>
          <w:u w:val="single"/>
        </w:rPr>
      </w:r>
      <w:r/>
    </w:p>
    <w:p>
      <w:pPr>
        <w:pStyle w:val="676"/>
        <w:ind w:firstLine="480"/>
        <w:spacing w:line="440" w:lineRule="exact"/>
        <w:rPr>
          <w:rFonts w:ascii="宋体" w:hAnsi="宋体"/>
          <w:sz w:val="24"/>
          <w:szCs w:val="21"/>
        </w:rPr>
      </w:pPr>
      <w:r>
        <w:rPr>
          <w:rFonts w:ascii="宋体" w:hAnsi="宋体"/>
          <w:sz w:val="24"/>
          <w:szCs w:val="21"/>
        </w:rPr>
      </w:r>
      <w:r/>
    </w:p>
    <w:p>
      <w:pPr>
        <w:pStyle w:val="676"/>
        <w:rPr>
          <w:rFonts w:hint="eastAsia" w:ascii="黑体" w:hAnsi="黑体" w:eastAsia="黑体"/>
          <w:i/>
          <w:sz w:val="32"/>
          <w:szCs w:val="32"/>
          <w:u w:val="single"/>
        </w:rPr>
      </w:pPr>
      <w:r>
        <w:rPr>
          <w:rFonts w:hint="eastAsia" w:ascii="黑体" w:hAnsi="黑体" w:eastAsia="黑体"/>
          <w:i/>
          <w:sz w:val="32"/>
          <w:szCs w:val="32"/>
          <w:u w:val="single"/>
        </w:rPr>
        <w:t xml:space="preserve">二、近2年任一年度的财务状况报告</w:t>
      </w:r>
      <w:r>
        <w:rPr>
          <w:rFonts w:hint="eastAsia" w:ascii="黑体" w:hAnsi="黑体" w:eastAsia="黑体"/>
          <w:i/>
          <w:sz w:val="32"/>
          <w:szCs w:val="32"/>
          <w:u w:val="single"/>
        </w:rPr>
      </w:r>
      <w:r/>
    </w:p>
    <w:p>
      <w:pPr>
        <w:pStyle w:val="676"/>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rPr>
          <w:rFonts w:ascii="宋体" w:hAnsi="宋体"/>
          <w:bCs/>
          <w:sz w:val="24"/>
          <w:szCs w:val="21"/>
        </w:rPr>
      </w:r>
      <w:r/>
    </w:p>
    <w:p>
      <w:pPr>
        <w:pStyle w:val="676"/>
        <w:rPr>
          <w:rFonts w:hint="eastAsia" w:ascii="黑体" w:hAnsi="黑体" w:eastAsia="黑体"/>
          <w:i/>
          <w:sz w:val="32"/>
          <w:szCs w:val="32"/>
          <w:u w:val="single"/>
        </w:rPr>
      </w:pPr>
      <w:r>
        <w:rPr>
          <w:rFonts w:hint="eastAsia" w:ascii="黑体" w:hAnsi="黑体" w:eastAsia="黑体"/>
          <w:i/>
          <w:sz w:val="32"/>
          <w:szCs w:val="32"/>
          <w:u w:val="single"/>
        </w:rPr>
      </w:r>
      <w:r/>
    </w:p>
    <w:p>
      <w:pPr>
        <w:pStyle w:val="676"/>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rPr>
          <w:rFonts w:hint="eastAsia" w:ascii="黑体" w:hAnsi="黑体" w:eastAsia="黑体"/>
          <w:i/>
          <w:sz w:val="32"/>
          <w:szCs w:val="32"/>
          <w:u w:val="single"/>
        </w:rPr>
      </w:r>
      <w:r/>
    </w:p>
    <w:p>
      <w:pPr>
        <w:pStyle w:val="676"/>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bCs/>
          <w:sz w:val="24"/>
          <w:szCs w:val="21"/>
        </w:rPr>
      </w:r>
      <w:r/>
    </w:p>
    <w:p>
      <w:pPr>
        <w:pStyle w:val="676"/>
        <w:rPr>
          <w:rFonts w:hint="eastAsia" w:ascii="黑体" w:hAnsi="黑体" w:eastAsia="黑体"/>
          <w:i/>
          <w:sz w:val="32"/>
          <w:szCs w:val="32"/>
          <w:u w:val="single"/>
        </w:rPr>
      </w:pPr>
      <w:r>
        <w:rPr>
          <w:rFonts w:hint="eastAsia" w:ascii="黑体" w:hAnsi="黑体" w:eastAsia="黑体"/>
          <w:i/>
          <w:sz w:val="32"/>
          <w:szCs w:val="32"/>
          <w:u w:val="single"/>
        </w:rPr>
      </w:r>
      <w:r/>
    </w:p>
    <w:p>
      <w:pPr>
        <w:pStyle w:val="676"/>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四、具备履行合同所必需的设备和专业技术能力的书面声明</w:t>
      </w:r>
      <w:r>
        <w:rPr>
          <w:rFonts w:hint="eastAsia" w:ascii="黑体" w:hAnsi="黑体" w:eastAsia="黑体"/>
          <w:i/>
          <w:sz w:val="32"/>
          <w:szCs w:val="32"/>
          <w:u w:val="single"/>
        </w:rPr>
      </w:r>
      <w:r/>
    </w:p>
    <w:p>
      <w:pPr>
        <w:pStyle w:val="676"/>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szCs w:val="21"/>
        </w:rPr>
      </w:r>
      <w:r/>
    </w:p>
    <w:p>
      <w:pPr>
        <w:pStyle w:val="676"/>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676"/>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676"/>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r>
      <w:r/>
    </w:p>
    <w:p>
      <w:pPr>
        <w:pStyle w:val="676"/>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r>
      <w:r/>
    </w:p>
    <w:p>
      <w:pPr>
        <w:pStyle w:val="676"/>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报价人（盖章）：     </w:t>
      </w:r>
      <w:r>
        <w:rPr>
          <w:rFonts w:hint="eastAsia" w:ascii="宋体" w:hAnsi="宋体" w:cs="宋体"/>
          <w:bCs/>
          <w:sz w:val="24"/>
          <w:szCs w:val="24"/>
        </w:rPr>
      </w:r>
      <w:r/>
    </w:p>
    <w:p>
      <w:pPr>
        <w:pStyle w:val="676"/>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rPr>
          <w:rFonts w:hint="eastAsia" w:ascii="宋体" w:hAnsi="宋体" w:cs="宋体"/>
          <w:bCs/>
          <w:sz w:val="24"/>
          <w:szCs w:val="24"/>
        </w:rPr>
      </w:r>
      <w:r/>
    </w:p>
    <w:p>
      <w:pPr>
        <w:pStyle w:val="676"/>
        <w:ind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76"/>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676"/>
        <w:rPr>
          <w:rFonts w:hint="eastAsia" w:ascii="Times New Roman" w:hAnsi="Times New Roman"/>
          <w:szCs w:val="21"/>
        </w:rPr>
      </w:pPr>
      <w:r>
        <w:rPr>
          <w:rFonts w:hint="eastAsia" w:ascii="Times New Roman" w:hAnsi="Times New Roman"/>
          <w:szCs w:val="21"/>
        </w:rPr>
      </w:r>
      <w:r/>
    </w:p>
    <w:p>
      <w:pPr>
        <w:pStyle w:val="676"/>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五、参加政府采购活动前 3 年内在经营活动中没有重大违法记录的书面声明</w:t>
      </w:r>
      <w:r>
        <w:rPr>
          <w:rFonts w:hint="eastAsia" w:ascii="黑体" w:hAnsi="黑体" w:eastAsia="黑体"/>
          <w:i/>
          <w:sz w:val="32"/>
          <w:szCs w:val="32"/>
          <w:u w:val="single"/>
        </w:rPr>
      </w:r>
      <w:r/>
    </w:p>
    <w:p>
      <w:pPr>
        <w:pStyle w:val="676"/>
        <w:spacing w:line="460" w:lineRule="exact"/>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76"/>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1"/>
        </w:rPr>
      </w:r>
      <w:r/>
    </w:p>
    <w:p>
      <w:pPr>
        <w:pStyle w:val="676"/>
        <w:rPr>
          <w:rFonts w:hint="eastAsia" w:ascii="黑体" w:hAnsi="黑体" w:eastAsia="黑体"/>
          <w:i/>
          <w:sz w:val="32"/>
          <w:szCs w:val="32"/>
          <w:u w:val="single"/>
        </w:rPr>
      </w:pPr>
      <w:r>
        <w:rPr>
          <w:rFonts w:hint="eastAsia" w:ascii="黑体" w:hAnsi="黑体" w:eastAsia="黑体"/>
          <w:i/>
          <w:sz w:val="32"/>
          <w:szCs w:val="32"/>
          <w:u w:val="single"/>
        </w:rPr>
      </w:r>
      <w:r/>
    </w:p>
    <w:p>
      <w:pPr>
        <w:pStyle w:val="676"/>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报价人（盖章）：     </w:t>
      </w:r>
      <w:r>
        <w:rPr>
          <w:rFonts w:hint="eastAsia" w:ascii="宋体" w:hAnsi="宋体" w:cs="宋体"/>
          <w:bCs/>
          <w:sz w:val="24"/>
          <w:szCs w:val="24"/>
        </w:rPr>
      </w:r>
      <w:r/>
    </w:p>
    <w:p>
      <w:pPr>
        <w:pStyle w:val="676"/>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rPr>
          <w:rFonts w:hint="eastAsia" w:ascii="宋体" w:hAnsi="宋体" w:cs="宋体"/>
          <w:bCs/>
          <w:sz w:val="24"/>
          <w:szCs w:val="24"/>
        </w:rPr>
      </w:r>
      <w:r/>
    </w:p>
    <w:p>
      <w:pPr>
        <w:pStyle w:val="676"/>
        <w:ind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76"/>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676"/>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r>
        <w:rPr>
          <w:rFonts w:hint="eastAsia" w:ascii="宋体" w:hAnsi="宋体"/>
          <w:bCs/>
          <w:sz w:val="24"/>
          <w:szCs w:val="21"/>
        </w:rPr>
      </w:r>
      <w:r/>
    </w:p>
    <w:p>
      <w:pPr>
        <w:pStyle w:val="676"/>
        <w:spacing w:line="460" w:lineRule="exact"/>
        <w:rPr>
          <w:rFonts w:hint="eastAsia" w:ascii="宋体" w:hAnsi="宋体"/>
          <w:bCs/>
          <w:sz w:val="24"/>
          <w:szCs w:val="21"/>
        </w:rPr>
      </w:pPr>
      <w:r/>
      <w:bookmarkEnd w:id="180"/>
      <w:r/>
      <w:bookmarkEnd w:id="181"/>
      <w:r/>
      <w:bookmarkEnd w:id="182"/>
      <w:r/>
      <w:bookmarkStart w:id="183" w:name="_Toc120614284"/>
      <w:r>
        <w:rPr>
          <w:rFonts w:hint="eastAsia" w:ascii="宋体" w:hAnsi="宋体"/>
          <w:bCs/>
          <w:sz w:val="24"/>
          <w:szCs w:val="21"/>
        </w:rPr>
      </w:r>
      <w:r/>
    </w:p>
    <w:p>
      <w:pPr>
        <w:pStyle w:val="676"/>
        <w:jc w:val="center"/>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i/>
          <w:sz w:val="32"/>
          <w:szCs w:val="32"/>
          <w:u w:val="single"/>
        </w:rPr>
        <w:t xml:space="preserve">七、法人授权书</w:t>
      </w:r>
      <w:r>
        <w:rPr>
          <w:rFonts w:hint="eastAsia" w:ascii="黑体" w:hAnsi="黑体" w:eastAsia="黑体"/>
          <w:i/>
          <w:sz w:val="32"/>
          <w:szCs w:val="32"/>
          <w:u w:val="single"/>
        </w:rPr>
      </w:r>
      <w:r/>
    </w:p>
    <w:p>
      <w:pPr>
        <w:pStyle w:val="676"/>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 </w:t>
      </w:r>
      <w:r>
        <w:rPr>
          <w:rFonts w:hint="eastAsia" w:ascii="Times New Roman" w:hAnsi="Times New Roman"/>
          <w:sz w:val="24"/>
          <w:szCs w:val="24"/>
          <w:u w:val="single"/>
        </w:rPr>
        <w:t xml:space="preserve">             </w:t>
      </w:r>
      <w:r>
        <w:rPr>
          <w:rFonts w:hint="eastAsia" w:ascii="Times New Roman" w:hAnsi="Times New Roman"/>
          <w:sz w:val="24"/>
          <w:szCs w:val="24"/>
        </w:rPr>
        <w:t xml:space="preserve">号项目采购活动的合法代理人，以本单位名义全权处理一切与该项目采购有关的事务。</w:t>
      </w:r>
      <w:r>
        <w:rPr>
          <w:rFonts w:hint="eastAsia" w:ascii="Times New Roman" w:hAnsi="Times New Roman"/>
          <w:sz w:val="24"/>
          <w:szCs w:val="24"/>
        </w:rPr>
      </w:r>
      <w:r/>
    </w:p>
    <w:p>
      <w:pPr>
        <w:pStyle w:val="676"/>
        <w:ind w:firstLine="480"/>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676"/>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76"/>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76"/>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rPr>
      </w:r>
      <w:r/>
    </w:p>
    <w:p>
      <w:pPr>
        <w:pStyle w:val="676"/>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676"/>
        <w:ind w:firstLine="480"/>
        <w:tabs>
          <w:tab w:val="left" w:pos="360" w:leader="none"/>
        </w:tabs>
        <w:rPr>
          <w:rFonts w:ascii="Times New Roman" w:hAnsi="Times New Roman"/>
          <w:sz w:val="24"/>
          <w:szCs w:val="24"/>
          <w:u w:val="single"/>
        </w:rPr>
      </w:pPr>
      <w:r>
        <w:rPr>
          <w:rFonts w:hint="eastAsia" w:ascii="Times New Roman" w:hAnsi="Times New Roman"/>
          <w:sz w:val="24"/>
          <w:szCs w:val="24"/>
        </w:rPr>
        <w:t xml:space="preserve">      日期：</w:t>
      </w:r>
      <w:bookmarkStart w:id="184" w:name="_Hlt26671380"/>
      <w:r/>
      <w:bookmarkEnd w:id="184"/>
      <w:r/>
      <w:bookmarkStart w:id="185" w:name="_Hlt26955070"/>
      <w:r/>
      <w:bookmarkEnd w:id="185"/>
      <w:r/>
      <w:bookmarkStart w:id="186" w:name="_格式3__银行出具的资信证明"/>
      <w:r/>
      <w:bookmarkEnd w:id="186"/>
      <w:r>
        <w:rPr>
          <w:rFonts w:hint="eastAsia" w:ascii="Times New Roman" w:hAnsi="Times New Roman"/>
          <w:sz w:val="24"/>
          <w:szCs w:val="24"/>
          <w:u w:val="single"/>
        </w:rPr>
        <w:t xml:space="preserve">                                         </w:t>
      </w:r>
      <w:r>
        <w:rPr>
          <w:rFonts w:ascii="Times New Roman" w:hAnsi="Times New Roman"/>
          <w:sz w:val="24"/>
          <w:szCs w:val="24"/>
          <w:u w:val="single"/>
        </w:rPr>
      </w:r>
      <w:r/>
    </w:p>
    <w:p>
      <w:pPr>
        <w:pStyle w:val="676"/>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676"/>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676"/>
        <w:ind w:firstLine="420"/>
        <w:rPr>
          <w:rFonts w:hint="eastAsia" w:ascii="Times New Roman" w:hAnsi="Times New Roman"/>
          <w:i/>
          <w:sz w:val="24"/>
          <w:szCs w:val="24"/>
          <w:u w:val="single"/>
        </w:rPr>
      </w:pPr>
      <w:r>
        <w:rPr>
          <w:rFonts w:hint="eastAsia" w:ascii="Times New Roman" w:hAnsi="Times New Roman"/>
          <w:i/>
          <w:sz w:val="24"/>
          <w:szCs w:val="24"/>
          <w:u w:val="single"/>
        </w:rPr>
      </w:r>
      <w:r/>
    </w:p>
    <w:p>
      <w:pPr>
        <w:pStyle w:val="676"/>
        <w:rPr>
          <w:rFonts w:hint="eastAsia" w:ascii="Times New Roman" w:hAnsi="Times New Roman"/>
          <w:szCs w:val="21"/>
        </w:rPr>
      </w:pPr>
      <w:r>
        <w:rPr>
          <w:rFonts w:hint="eastAsia" w:ascii="Times New Roman" w:hAnsi="Times New Roman"/>
          <w:szCs w:val="21"/>
        </w:rPr>
      </w:r>
      <w:r/>
    </w:p>
    <w:p>
      <w:pPr>
        <w:pStyle w:val="676"/>
        <w:jc w:val="center"/>
        <w:rPr>
          <w:rFonts w:hint="eastAsia" w:ascii="黑体" w:hAnsi="黑体" w:eastAsia="黑体" w:cs="Times New Roman"/>
          <w:i/>
          <w:sz w:val="32"/>
          <w:szCs w:val="32"/>
          <w:u w:val="single"/>
        </w:rPr>
      </w:pPr>
      <w:r>
        <w:rPr>
          <w:rFonts w:ascii="宋体" w:hAnsi="宋体" w:eastAsia="幼圆" w:cs="Arial"/>
          <w:b/>
          <w:sz w:val="24"/>
          <w:szCs w:val="44"/>
        </w:rPr>
        <w:br w:type="page" w:clear="all"/>
      </w:r>
      <w:r>
        <w:rPr>
          <w:rFonts w:hint="eastAsia" w:ascii="黑体" w:hAnsi="黑体" w:eastAsia="黑体" w:cs="Times New Roman"/>
          <w:i/>
          <w:sz w:val="32"/>
          <w:szCs w:val="32"/>
          <w:u w:val="single"/>
        </w:rPr>
        <w:t xml:space="preserve">八、单一来源响应函</w:t>
      </w:r>
      <w:r>
        <w:rPr>
          <w:rFonts w:hint="eastAsia" w:ascii="黑体" w:hAnsi="黑体" w:eastAsia="黑体" w:cs="Times New Roman"/>
          <w:i/>
          <w:sz w:val="32"/>
          <w:szCs w:val="32"/>
          <w:u w:val="single"/>
        </w:rPr>
      </w:r>
      <w:r/>
    </w:p>
    <w:p>
      <w:pPr>
        <w:pStyle w:val="676"/>
        <w:jc w:val="left"/>
        <w:spacing w:line="420" w:lineRule="exact"/>
        <w:rPr>
          <w:rFonts w:hint="eastAsia" w:ascii="宋体" w:hAnsi="宋体"/>
          <w:sz w:val="24"/>
          <w:szCs w:val="21"/>
        </w:rPr>
      </w:pPr>
      <w:r>
        <w:rPr>
          <w:rFonts w:hint="eastAsia" w:ascii="宋体" w:hAnsi="宋体"/>
          <w:sz w:val="24"/>
          <w:szCs w:val="21"/>
        </w:rPr>
        <w:t xml:space="preserve">致：泰州市公共资源交易中心</w:t>
      </w:r>
      <w:r>
        <w:rPr>
          <w:rFonts w:hint="eastAsia" w:ascii="宋体" w:hAnsi="宋体"/>
          <w:sz w:val="24"/>
          <w:szCs w:val="21"/>
        </w:rPr>
      </w:r>
      <w:r/>
    </w:p>
    <w:p>
      <w:pPr>
        <w:pStyle w:val="676"/>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号采购文件，正式授权下述签字人______(姓名)代表我方______________（供应商的名称），全权处理本次项目单一来源采购的有关事宜。</w:t>
      </w:r>
      <w:r>
        <w:rPr>
          <w:rFonts w:hint="eastAsia" w:ascii="宋体" w:hAnsi="宋体"/>
          <w:sz w:val="24"/>
          <w:szCs w:val="21"/>
        </w:rPr>
      </w:r>
      <w:r/>
    </w:p>
    <w:p>
      <w:pPr>
        <w:pStyle w:val="676"/>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676"/>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rPr>
          <w:rFonts w:hint="eastAsia" w:ascii="宋体" w:hAnsi="宋体"/>
          <w:sz w:val="24"/>
          <w:szCs w:val="21"/>
        </w:rPr>
      </w:r>
      <w:r/>
    </w:p>
    <w:p>
      <w:pPr>
        <w:pStyle w:val="676"/>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rPr>
          <w:rFonts w:hint="eastAsia" w:ascii="宋体" w:hAnsi="宋体"/>
          <w:sz w:val="24"/>
          <w:szCs w:val="21"/>
        </w:rPr>
      </w:r>
      <w:r/>
    </w:p>
    <w:p>
      <w:pPr>
        <w:pStyle w:val="676"/>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rPr>
          <w:rFonts w:hint="eastAsia" w:ascii="宋体" w:hAnsi="宋体"/>
          <w:sz w:val="24"/>
          <w:szCs w:val="21"/>
        </w:rPr>
      </w:r>
      <w:r/>
    </w:p>
    <w:p>
      <w:pPr>
        <w:pStyle w:val="676"/>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rPr>
          <w:rFonts w:hint="eastAsia" w:ascii="宋体" w:hAnsi="宋体"/>
          <w:sz w:val="24"/>
          <w:szCs w:val="21"/>
        </w:rPr>
      </w:r>
      <w:r/>
    </w:p>
    <w:p>
      <w:pPr>
        <w:pStyle w:val="676"/>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rPr>
          <w:rFonts w:hint="eastAsia" w:ascii="宋体" w:hAnsi="宋体"/>
          <w:sz w:val="24"/>
          <w:szCs w:val="21"/>
        </w:rPr>
      </w:r>
      <w:r/>
    </w:p>
    <w:p>
      <w:pPr>
        <w:pStyle w:val="676"/>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rPr>
          <w:rFonts w:hint="eastAsia" w:ascii="宋体" w:hAnsi="宋体"/>
          <w:sz w:val="24"/>
          <w:szCs w:val="21"/>
        </w:rPr>
      </w:r>
      <w:r/>
    </w:p>
    <w:p>
      <w:pPr>
        <w:pStyle w:val="676"/>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r>
      <w:r/>
    </w:p>
    <w:p>
      <w:pPr>
        <w:pStyle w:val="676"/>
        <w:ind w:firstLine="480"/>
        <w:spacing w:line="400" w:lineRule="exact"/>
        <w:rPr>
          <w:rFonts w:hint="eastAsia" w:ascii="宋体" w:hAnsi="宋体" w:cs="宋体"/>
          <w:bCs/>
          <w:sz w:val="24"/>
          <w:szCs w:val="24"/>
          <w:lang w:bidi="ar"/>
        </w:rPr>
      </w:pPr>
      <w:r>
        <w:rPr>
          <w:rFonts w:hint="eastAsia" w:ascii="宋体" w:hAnsi="宋体" w:cs="宋体"/>
          <w:bCs/>
          <w:sz w:val="24"/>
          <w:szCs w:val="24"/>
          <w:lang w:bidi="ar"/>
        </w:rPr>
      </w:r>
      <w:r/>
    </w:p>
    <w:p>
      <w:pPr>
        <w:pStyle w:val="676"/>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报价人（盖章）：     </w:t>
      </w:r>
      <w:r>
        <w:rPr>
          <w:rFonts w:hint="eastAsia" w:ascii="宋体" w:hAnsi="宋体" w:cs="宋体"/>
          <w:bCs/>
          <w:sz w:val="24"/>
          <w:szCs w:val="24"/>
        </w:rPr>
      </w:r>
      <w:r/>
    </w:p>
    <w:p>
      <w:pPr>
        <w:pStyle w:val="676"/>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法定代表人或法定代表人授权代表签字或盖章：</w:t>
      </w:r>
      <w:r>
        <w:rPr>
          <w:rFonts w:hint="eastAsia" w:ascii="宋体" w:hAnsi="宋体" w:cs="宋体"/>
          <w:bCs/>
          <w:sz w:val="24"/>
          <w:szCs w:val="24"/>
        </w:rPr>
      </w:r>
      <w:r/>
    </w:p>
    <w:p>
      <w:pPr>
        <w:pStyle w:val="676"/>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电话：                              传真：</w:t>
      </w:r>
      <w:r>
        <w:rPr>
          <w:rFonts w:hint="eastAsia" w:ascii="宋体" w:hAnsi="宋体" w:cs="宋体"/>
          <w:bCs/>
          <w:sz w:val="24"/>
          <w:szCs w:val="24"/>
        </w:rPr>
      </w:r>
      <w:r/>
    </w:p>
    <w:p>
      <w:pPr>
        <w:pStyle w:val="676"/>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通讯地址：                          邮编：    </w:t>
      </w:r>
      <w:r>
        <w:rPr>
          <w:rFonts w:hint="eastAsia" w:ascii="宋体" w:hAnsi="宋体" w:cs="宋体"/>
          <w:bCs/>
          <w:sz w:val="24"/>
          <w:szCs w:val="24"/>
        </w:rPr>
      </w:r>
      <w:r/>
    </w:p>
    <w:p>
      <w:pPr>
        <w:pStyle w:val="676"/>
        <w:ind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676"/>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76"/>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76"/>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76"/>
        <w:ind w:firstLine="240"/>
        <w:jc w:val="center"/>
        <w:spacing w:line="560" w:lineRule="exact"/>
        <w:rPr>
          <w:rFonts w:ascii="宋体" w:hAnsi="宋体"/>
          <w:bCs/>
          <w:sz w:val="24"/>
          <w:szCs w:val="21"/>
        </w:rPr>
      </w:pPr>
      <w:r>
        <w:rPr>
          <w:rFonts w:ascii="宋体" w:hAnsi="宋体"/>
          <w:bCs/>
          <w:sz w:val="24"/>
          <w:szCs w:val="21"/>
        </w:rPr>
      </w:r>
      <w:r/>
    </w:p>
    <w:p>
      <w:pPr>
        <w:pStyle w:val="676"/>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76"/>
        <w:jc w:val="center"/>
        <w:rPr>
          <w:rFonts w:hint="eastAsia" w:ascii="黑体" w:hAnsi="黑体" w:eastAsia="黑体" w:cs="Times New Roman"/>
          <w:b/>
          <w:sz w:val="32"/>
          <w:szCs w:val="32"/>
        </w:rPr>
      </w:pPr>
      <w:r>
        <w:rPr>
          <w:rFonts w:hint="eastAsia" w:ascii="宋体" w:hAnsi="宋体"/>
          <w:b/>
          <w:sz w:val="32"/>
          <w:szCs w:val="32"/>
        </w:rPr>
        <w:br w:type="page" w:clear="all"/>
      </w:r>
      <w:r>
        <w:rPr>
          <w:rFonts w:hint="eastAsia" w:ascii="黑体" w:hAnsi="黑体" w:eastAsia="黑体" w:cs="Times New Roman"/>
          <w:b/>
          <w:sz w:val="32"/>
          <w:szCs w:val="32"/>
        </w:rPr>
        <w:t xml:space="preserve">九、</w:t>
      </w:r>
      <w:bookmarkStart w:id="187" w:name="_Toc534561581"/>
      <w:r/>
      <w:bookmarkStart w:id="188" w:name="_Toc534561685"/>
      <w:r>
        <w:rPr>
          <w:rFonts w:hint="eastAsia" w:ascii="黑体" w:hAnsi="黑体" w:eastAsia="黑体" w:cs="Times New Roman"/>
          <w:b/>
          <w:sz w:val="32"/>
          <w:szCs w:val="32"/>
        </w:rPr>
        <w:t xml:space="preserve">报价一览表</w:t>
      </w:r>
      <w:bookmarkEnd w:id="187"/>
      <w:r/>
      <w:bookmarkEnd w:id="188"/>
      <w:r>
        <w:rPr>
          <w:rFonts w:hint="eastAsia" w:ascii="黑体" w:hAnsi="黑体" w:eastAsia="黑体" w:cs="Times New Roman"/>
          <w:b/>
          <w:sz w:val="32"/>
          <w:szCs w:val="32"/>
        </w:rPr>
        <w:t xml:space="preserve"> </w:t>
      </w:r>
      <w:r>
        <w:rPr>
          <w:rFonts w:hint="eastAsia" w:ascii="黑体" w:hAnsi="黑体" w:eastAsia="黑体" w:cs="Times New Roman"/>
          <w:b/>
          <w:sz w:val="32"/>
          <w:szCs w:val="32"/>
        </w:rPr>
      </w:r>
      <w:r/>
    </w:p>
    <w:p>
      <w:pPr>
        <w:pStyle w:val="676"/>
      </w:pPr>
      <w:r/>
      <w:r/>
    </w:p>
    <w:p>
      <w:pPr>
        <w:pStyle w:val="676"/>
        <w:spacing w:line="360" w:lineRule="auto"/>
        <w:rPr>
          <w:rFonts w:hint="eastAsia" w:ascii="黑体" w:hAnsi="Times New Roman" w:eastAsia="黑体" w:cs="黑体"/>
          <w:bCs/>
          <w:sz w:val="24"/>
          <w:szCs w:val="24"/>
          <w:lang w:bidi="ar"/>
        </w:rPr>
      </w:pPr>
      <w:r>
        <w:rPr>
          <w:rFonts w:hint="eastAsia" w:ascii="黑体" w:hAnsi="Times New Roman" w:eastAsia="黑体" w:cs="黑体"/>
          <w:bCs/>
          <w:sz w:val="24"/>
          <w:szCs w:val="24"/>
          <w:lang w:bidi="ar"/>
        </w:rPr>
      </w:r>
      <w:r/>
    </w:p>
    <w:p>
      <w:pPr>
        <w:pStyle w:val="676"/>
        <w:spacing w:line="360" w:lineRule="auto"/>
        <w:rPr>
          <w:rFonts w:hint="eastAsia" w:ascii="黑体" w:hAnsi="Times New Roman" w:eastAsia="黑体" w:cs="黑体"/>
          <w:bCs/>
          <w:sz w:val="24"/>
          <w:szCs w:val="24"/>
        </w:rPr>
      </w:pPr>
      <w:r>
        <w:rPr>
          <w:rFonts w:hint="eastAsia" w:ascii="黑体" w:hAnsi="Times New Roman" w:eastAsia="黑体" w:cs="黑体"/>
          <w:bCs/>
          <w:sz w:val="24"/>
          <w:szCs w:val="24"/>
          <w:lang w:bidi="ar"/>
        </w:rPr>
        <w:t xml:space="preserve">报价人名称（盖章）                         采购项目编号：</w:t>
      </w:r>
      <w:r>
        <w:rPr>
          <w:rFonts w:hint="eastAsia" w:ascii="宋体" w:hAnsi="宋体" w:cs="宋体"/>
          <w:sz w:val="24"/>
          <w:szCs w:val="24"/>
          <w:lang w:bidi="ar"/>
        </w:rPr>
        <w:t xml:space="preserve"> </w:t>
      </w:r>
      <w:r>
        <w:rPr>
          <w:rFonts w:hint="eastAsia" w:ascii="黑体" w:hAnsi="Times New Roman" w:eastAsia="黑体" w:cs="黑体"/>
          <w:bCs/>
          <w:sz w:val="24"/>
          <w:szCs w:val="24"/>
        </w:rPr>
      </w:r>
      <w:r/>
    </w:p>
    <w:tbl>
      <w:tblPr>
        <w:tblpPr w:horzAnchor="page" w:tblpX="1244" w:vertAnchor="text" w:tblpY="598" w:leftFromText="180" w:topFromText="0" w:rightFromText="180" w:bottomFromText="0"/>
        <w:tblW w:w="100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pStyle w:val="676"/>
              <w:jc w:val="center"/>
              <w:rPr>
                <w:rFonts w:hint="eastAsia" w:ascii="宋体" w:hAnsi="宋体" w:cs="宋体"/>
                <w:b/>
                <w:bCs/>
                <w:sz w:val="24"/>
                <w:szCs w:val="24"/>
              </w:rPr>
              <w:framePr w:vAnchor="text" w:hAnchor="page" w:x="1244" w:y="598"/>
            </w:pPr>
            <w:r>
              <w:rPr>
                <w:rFonts w:hint="eastAsia" w:ascii="宋体" w:hAnsi="宋体" w:cs="宋体"/>
                <w:b/>
                <w:bCs/>
                <w:sz w:val="24"/>
                <w:szCs w:val="24"/>
                <w:lang w:bidi="ar"/>
              </w:rPr>
              <w:t xml:space="preserve">项目名称</w:t>
            </w:r>
            <w:r>
              <w:rPr>
                <w:rFonts w:hint="eastAsia" w:ascii="宋体" w:hAnsi="宋体" w:cs="宋体"/>
                <w:b/>
                <w:bCs/>
                <w:sz w:val="24"/>
                <w:szCs w:val="24"/>
              </w:rPr>
            </w:r>
            <w:r/>
          </w:p>
        </w:tc>
        <w:tc>
          <w:tcPr>
            <w:tcW w:w="4515" w:type="dxa"/>
            <w:vAlign w:val="center"/>
            <w:textDirection w:val="lrTb"/>
            <w:noWrap w:val="false"/>
          </w:tcPr>
          <w:p>
            <w:pPr>
              <w:pStyle w:val="676"/>
              <w:jc w:val="center"/>
              <w:rPr>
                <w:rFonts w:hint="eastAsia" w:ascii="宋体" w:hAnsi="宋体" w:cs="宋体"/>
                <w:b/>
                <w:bCs/>
                <w:sz w:val="24"/>
                <w:szCs w:val="24"/>
              </w:rPr>
              <w:framePr w:vAnchor="text" w:hAnchor="page" w:x="1244" w:y="598"/>
            </w:pPr>
            <w:r>
              <w:rPr>
                <w:rFonts w:hint="eastAsia" w:ascii="宋体" w:hAnsi="宋体" w:cs="宋体"/>
                <w:b/>
                <w:bCs/>
                <w:sz w:val="24"/>
                <w:szCs w:val="24"/>
                <w:lang w:bidi="ar"/>
              </w:rPr>
              <w:t xml:space="preserve">总报价  (小写)</w:t>
            </w:r>
            <w:r>
              <w:rPr>
                <w:rFonts w:hint="eastAsia" w:ascii="宋体" w:hAnsi="宋体" w:cs="宋体"/>
                <w:b/>
                <w:bCs/>
                <w:sz w:val="24"/>
                <w:szCs w:val="24"/>
              </w:rPr>
            </w:r>
            <w:r/>
          </w:p>
        </w:tc>
      </w:tr>
      <w:tr>
        <w:trPr>
          <w:cantSplit/>
          <w:trHeight w:val="1630"/>
        </w:trPr>
        <w:tc>
          <w:tcPr>
            <w:tcW w:w="5565" w:type="dxa"/>
            <w:vAlign w:val="center"/>
            <w:textDirection w:val="lrTb"/>
            <w:noWrap w:val="false"/>
          </w:tcPr>
          <w:p>
            <w:pPr>
              <w:pStyle w:val="676"/>
              <w:rPr>
                <w:rFonts w:hAnsi="宋体"/>
                <w:bCs/>
                <w:szCs w:val="24"/>
              </w:rPr>
              <w:framePr w:vAnchor="text" w:hAnchor="page" w:x="1244" w:y="598"/>
            </w:pPr>
            <w:r>
              <w:rPr>
                <w:rFonts w:hAnsi="宋体"/>
                <w:bCs/>
                <w:szCs w:val="24"/>
              </w:rPr>
            </w:r>
            <w:r/>
          </w:p>
        </w:tc>
        <w:tc>
          <w:tcPr>
            <w:tcW w:w="4515" w:type="dxa"/>
            <w:vAlign w:val="center"/>
            <w:textDirection w:val="lrTb"/>
            <w:noWrap w:val="false"/>
          </w:tcPr>
          <w:p>
            <w:pPr>
              <w:pStyle w:val="793"/>
              <w:widowControl/>
              <w:rPr>
                <w:rFonts w:hAnsi="宋体"/>
                <w:b/>
                <w:szCs w:val="24"/>
              </w:rPr>
              <w:framePr w:vAnchor="text" w:hAnchor="page" w:x="1244" w:y="598"/>
            </w:pPr>
            <w:r>
              <w:rPr>
                <w:rFonts w:hAnsi="宋体"/>
                <w:b/>
                <w:szCs w:val="24"/>
              </w:rPr>
            </w:r>
            <w:r/>
          </w:p>
        </w:tc>
      </w:tr>
      <w:tr>
        <w:trPr>
          <w:cantSplit/>
          <w:trHeight w:val="780"/>
        </w:trPr>
        <w:tc>
          <w:tcPr>
            <w:gridSpan w:val="2"/>
            <w:tcW w:w="10080" w:type="dxa"/>
            <w:vAlign w:val="center"/>
            <w:textDirection w:val="lrTb"/>
            <w:noWrap w:val="false"/>
          </w:tcPr>
          <w:p>
            <w:pPr>
              <w:pStyle w:val="676"/>
              <w:rPr>
                <w:rFonts w:hint="eastAsia" w:ascii="宋体" w:hAnsi="宋体" w:cs="宋体"/>
                <w:bCs/>
                <w:sz w:val="24"/>
                <w:szCs w:val="24"/>
              </w:rPr>
              <w:framePr w:vAnchor="text" w:hAnchor="page" w:x="1244" w:y="598"/>
            </w:pPr>
            <w:r>
              <w:rPr>
                <w:rFonts w:hint="eastAsia" w:ascii="黑体" w:hAnsi="Times New Roman" w:eastAsia="黑体" w:cs="黑体"/>
                <w:sz w:val="24"/>
                <w:szCs w:val="24"/>
                <w:lang w:bidi="ar"/>
              </w:rPr>
              <w:t xml:space="preserve">总报价（大写）</w:t>
            </w:r>
            <w:r>
              <w:rPr>
                <w:rFonts w:hint="eastAsia" w:ascii="宋体" w:hAnsi="宋体" w:cs="宋体"/>
                <w:bCs/>
                <w:sz w:val="24"/>
                <w:szCs w:val="24"/>
                <w:lang w:bidi="ar"/>
              </w:rPr>
              <w:t xml:space="preserve">：　　　</w:t>
            </w:r>
            <w:r>
              <w:rPr>
                <w:rFonts w:hint="eastAsia" w:ascii="宋体" w:hAnsi="宋体" w:cs="宋体"/>
                <w:bCs/>
                <w:sz w:val="24"/>
                <w:szCs w:val="24"/>
              </w:rPr>
            </w:r>
            <w:r/>
          </w:p>
        </w:tc>
      </w:tr>
    </w:tbl>
    <w:p>
      <w:pPr>
        <w:pStyle w:val="676"/>
        <w:jc w:val="center"/>
        <w:keepLines/>
        <w:keepNext/>
        <w:spacing w:line="360" w:lineRule="auto"/>
        <w:rPr>
          <w:rFonts w:ascii="黑体" w:hAnsi="黑体" w:eastAsia="黑体" w:cs="宋体"/>
          <w:b/>
          <w:bCs/>
          <w:color w:val="000000"/>
          <w:sz w:val="32"/>
          <w:szCs w:val="32"/>
        </w:rPr>
        <w:outlineLvl w:val="2"/>
      </w:pPr>
      <w:r>
        <w:rPr>
          <w:rFonts w:hint="eastAsia" w:ascii="宋体" w:hAnsi="宋体"/>
          <w:b/>
          <w:sz w:val="32"/>
          <w:szCs w:val="32"/>
        </w:rPr>
        <w:br w:type="page" w:clear="all"/>
      </w:r>
      <w:bookmarkStart w:id="189" w:name="_Toc24678"/>
      <w:r/>
      <w:bookmarkStart w:id="190" w:name="_Toc3682"/>
      <w:r/>
      <w:bookmarkStart w:id="191" w:name="_Toc2504"/>
      <w:r>
        <w:rPr>
          <w:rFonts w:hint="eastAsia" w:ascii="黑体" w:hAnsi="黑体" w:eastAsia="黑体" w:cs="宋体"/>
          <w:b/>
          <w:bCs/>
          <w:color w:val="000000"/>
          <w:sz w:val="32"/>
          <w:szCs w:val="32"/>
        </w:rPr>
        <w:t xml:space="preserve">十、关于符合本国产品标准的声明函</w:t>
      </w:r>
      <w:bookmarkEnd w:id="189"/>
      <w:r/>
      <w:bookmarkEnd w:id="190"/>
      <w:r/>
      <w:bookmarkEnd w:id="191"/>
      <w:r>
        <w:rPr>
          <w:rFonts w:ascii="黑体" w:hAnsi="黑体" w:eastAsia="黑体" w:cs="宋体"/>
          <w:b/>
          <w:bCs/>
          <w:color w:val="000000"/>
          <w:sz w:val="32"/>
          <w:szCs w:val="32"/>
        </w:rPr>
      </w:r>
      <w:r/>
    </w:p>
    <w:p>
      <w:pPr>
        <w:pStyle w:val="676"/>
        <w:ind w:firstLine="480"/>
        <w:keepLines/>
        <w:keepNext/>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z w:val="24"/>
          <w:szCs w:val="24"/>
        </w:rPr>
      </w:r>
      <w:r/>
    </w:p>
    <w:p>
      <w:pPr>
        <w:pStyle w:val="676"/>
        <w:ind w:firstLine="480"/>
        <w:keepLines/>
        <w:keepNext/>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rPr>
          <w:rFonts w:ascii="宋体" w:hAnsi="宋体" w:eastAsia="宋体" w:cs="宋体"/>
          <w:color w:val="000000"/>
          <w:sz w:val="24"/>
          <w:szCs w:val="24"/>
        </w:rPr>
      </w:r>
      <w:r/>
    </w:p>
    <w:p>
      <w:pPr>
        <w:pStyle w:val="676"/>
        <w:ind w:firstLine="480"/>
        <w:keepLines/>
        <w:keepNext/>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rPr>
          <w:rFonts w:ascii="宋体" w:hAnsi="宋体" w:eastAsia="宋体" w:cs="宋体"/>
          <w:color w:val="000000"/>
          <w:sz w:val="24"/>
          <w:szCs w:val="24"/>
        </w:rPr>
      </w:r>
      <w:r/>
    </w:p>
    <w:p>
      <w:pPr>
        <w:pStyle w:val="676"/>
        <w:ind w:firstLine="480"/>
        <w:keepLines/>
        <w:keepNext/>
        <w:spacing w:line="360" w:lineRule="auto"/>
        <w:rPr>
          <w:rFonts w:ascii="宋体" w:hAnsi="宋体" w:eastAsia="宋体" w:cs="宋体"/>
          <w:color w:val="000000"/>
          <w:sz w:val="24"/>
          <w:szCs w:val="24"/>
        </w:rPr>
        <w:outlineLvl w:val="2"/>
      </w:pPr>
      <w:r>
        <w:rPr>
          <w:rFonts w:ascii="宋体" w:hAnsi="宋体" w:eastAsia="宋体" w:cs="宋体"/>
          <w:color w:val="000000"/>
          <w:sz w:val="24"/>
          <w:szCs w:val="24"/>
        </w:rPr>
        <w:t xml:space="preserve">……</w:t>
      </w:r>
      <w:r>
        <w:rPr>
          <w:rFonts w:ascii="宋体" w:hAnsi="宋体" w:eastAsia="宋体" w:cs="宋体"/>
          <w:color w:val="000000"/>
          <w:sz w:val="24"/>
          <w:szCs w:val="24"/>
        </w:rPr>
      </w:r>
      <w:r/>
    </w:p>
    <w:p>
      <w:pPr>
        <w:pStyle w:val="676"/>
        <w:ind w:firstLine="480"/>
        <w:keepLines/>
        <w:keepNext/>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rPr>
          <w:rFonts w:ascii="宋体" w:hAnsi="宋体" w:eastAsia="宋体" w:cs="宋体"/>
          <w:color w:val="000000"/>
          <w:sz w:val="24"/>
          <w:szCs w:val="24"/>
        </w:rPr>
      </w:r>
      <w:r/>
    </w:p>
    <w:p>
      <w:pPr>
        <w:pStyle w:val="676"/>
        <w:jc w:val="right"/>
        <w:keepLines/>
        <w:keepNext/>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rPr>
          <w:rFonts w:ascii="宋体" w:hAnsi="宋体" w:eastAsia="宋体" w:cs="宋体"/>
          <w:color w:val="000000"/>
          <w:sz w:val="24"/>
          <w:szCs w:val="24"/>
        </w:rPr>
      </w:r>
      <w:r/>
    </w:p>
    <w:p>
      <w:pPr>
        <w:pStyle w:val="676"/>
        <w:ind w:right="960" w:firstLine="4320"/>
        <w:jc w:val="right"/>
        <w:keepLines/>
        <w:keepNext/>
        <w:spacing w:line="360" w:lineRule="auto"/>
        <w:rPr>
          <w:rFonts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rPr>
          <w:rFonts w:ascii="宋体" w:hAnsi="宋体" w:eastAsia="宋体" w:cs="宋体"/>
          <w:color w:val="000000"/>
          <w:sz w:val="24"/>
          <w:szCs w:val="24"/>
        </w:rPr>
      </w:r>
      <w:r/>
    </w:p>
    <w:p>
      <w:pPr>
        <w:pStyle w:val="676"/>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rPr>
          <w:rFonts w:ascii="宋体" w:hAnsi="宋体" w:eastAsia="宋体" w:cs="宋体"/>
          <w:color w:val="000000"/>
          <w:sz w:val="24"/>
          <w:szCs w:val="24"/>
        </w:rPr>
      </w:r>
      <w:r/>
    </w:p>
    <w:p>
      <w:pPr>
        <w:pStyle w:val="676"/>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rPr>
          <w:rFonts w:ascii="宋体" w:hAnsi="宋体" w:eastAsia="宋体" w:cs="宋体"/>
          <w:color w:val="000000"/>
          <w:sz w:val="24"/>
          <w:szCs w:val="24"/>
        </w:rPr>
      </w:r>
      <w:r/>
    </w:p>
    <w:p>
      <w:pPr>
        <w:pStyle w:val="676"/>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rPr>
          <w:rFonts w:ascii="宋体" w:hAnsi="宋体" w:eastAsia="宋体" w:cs="宋体"/>
          <w:color w:val="000000"/>
          <w:sz w:val="24"/>
          <w:szCs w:val="24"/>
        </w:rPr>
      </w:r>
      <w:r/>
    </w:p>
    <w:p>
      <w:pPr>
        <w:pStyle w:val="676"/>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rPr>
          <w:rFonts w:ascii="宋体" w:hAnsi="宋体" w:eastAsia="宋体" w:cs="宋体"/>
          <w:color w:val="000000"/>
          <w:sz w:val="24"/>
          <w:szCs w:val="24"/>
        </w:rPr>
      </w:r>
      <w:r/>
    </w:p>
    <w:p>
      <w:pPr>
        <w:pStyle w:val="676"/>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rPr>
          <w:rFonts w:ascii="宋体" w:hAnsi="宋体" w:eastAsia="宋体" w:cs="宋体"/>
          <w:color w:val="000000"/>
          <w:sz w:val="24"/>
          <w:szCs w:val="24"/>
        </w:rPr>
      </w:r>
      <w:r/>
    </w:p>
    <w:p>
      <w:pPr>
        <w:pStyle w:val="676"/>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6.用斜线划除的地方无需填写。</w:t>
      </w:r>
      <w:r>
        <w:rPr>
          <w:rFonts w:ascii="宋体" w:hAnsi="宋体" w:eastAsia="宋体" w:cs="宋体"/>
          <w:color w:val="000000"/>
          <w:sz w:val="24"/>
          <w:szCs w:val="24"/>
        </w:rPr>
      </w:r>
      <w:r/>
    </w:p>
    <w:p>
      <w:pPr>
        <w:pStyle w:val="676"/>
        <w:jc w:val="left"/>
        <w:spacing w:line="360" w:lineRule="auto"/>
        <w:widowControl/>
        <w:rPr>
          <w:rFonts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rPr>
          <w:rFonts w:ascii="宋体" w:hAnsi="宋体" w:eastAsia="宋体" w:cs="宋体"/>
          <w:color w:val="ee0000"/>
          <w:sz w:val="24"/>
          <w:szCs w:val="24"/>
        </w:rPr>
      </w:r>
      <w:r/>
    </w:p>
    <w:p>
      <w:pPr>
        <w:pStyle w:val="676"/>
        <w:jc w:val="left"/>
        <w:spacing w:line="360" w:lineRule="auto"/>
        <w:widowControl/>
        <w:rPr>
          <w:rFonts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rPr>
          <w:rFonts w:ascii="宋体" w:hAnsi="宋体" w:eastAsia="宋体" w:cs="宋体"/>
          <w:color w:val="000000"/>
          <w:sz w:val="24"/>
          <w:szCs w:val="24"/>
        </w:rPr>
      </w:r>
      <w:r/>
    </w:p>
    <w:p>
      <w:pPr>
        <w:pStyle w:val="676"/>
        <w:rPr>
          <w:rFonts w:ascii="黑体" w:hAnsi="黑体" w:eastAsia="黑体" w:cs="宋体"/>
          <w:b/>
          <w:bCs/>
          <w:sz w:val="32"/>
          <w:szCs w:val="32"/>
        </w:rPr>
      </w:pPr>
      <w:r>
        <w:rPr>
          <w:rFonts w:ascii="黑体" w:hAnsi="黑体" w:eastAsia="黑体" w:cs="宋体"/>
          <w:b/>
          <w:bCs/>
          <w:sz w:val="32"/>
          <w:szCs w:val="32"/>
        </w:rPr>
      </w:r>
      <w:r/>
    </w:p>
    <w:p>
      <w:pPr>
        <w:pStyle w:val="676"/>
        <w:jc w:val="center"/>
        <w:rPr>
          <w:rFonts w:ascii="黑体" w:hAnsi="黑体" w:eastAsia="黑体" w:cs="宋体"/>
          <w:b/>
          <w:bCs/>
          <w:color w:val="000000"/>
          <w:sz w:val="32"/>
          <w:szCs w:val="32"/>
        </w:rPr>
      </w:pPr>
      <w:r>
        <w:rPr>
          <w:rFonts w:ascii="黑体" w:hAnsi="黑体" w:eastAsia="黑体" w:cs="宋体"/>
          <w:b/>
          <w:bCs/>
          <w:color w:val="000000"/>
          <w:sz w:val="32"/>
          <w:szCs w:val="32"/>
        </w:rPr>
      </w:r>
      <w:r/>
    </w:p>
    <w:p>
      <w:pPr>
        <w:pStyle w:val="676"/>
        <w:jc w:val="center"/>
        <w:rPr>
          <w:rFonts w:hint="eastAsia" w:ascii="宋体" w:hAnsi="宋体"/>
          <w:b/>
          <w:sz w:val="32"/>
          <w:szCs w:val="32"/>
        </w:rPr>
      </w:pPr>
      <w:r>
        <w:rPr>
          <w:rFonts w:hint="eastAsia" w:ascii="宋体" w:hAnsi="宋体"/>
          <w:b/>
          <w:sz w:val="32"/>
          <w:szCs w:val="32"/>
        </w:rPr>
        <w:t xml:space="preserve">十</w:t>
      </w:r>
      <w:r>
        <w:rPr>
          <w:rFonts w:hint="eastAsia" w:ascii="宋体" w:hAnsi="宋体"/>
          <w:b/>
          <w:sz w:val="32"/>
          <w:szCs w:val="32"/>
          <w:lang w:val="en-US" w:eastAsia="zh-CN"/>
        </w:rPr>
        <w:t xml:space="preserve">一</w:t>
      </w:r>
      <w:r>
        <w:rPr>
          <w:rFonts w:hint="eastAsia" w:ascii="宋体" w:hAnsi="宋体"/>
          <w:b/>
          <w:sz w:val="32"/>
          <w:szCs w:val="32"/>
        </w:rPr>
        <w:t xml:space="preserve">、分项报价表</w:t>
      </w:r>
      <w:r>
        <w:rPr>
          <w:rFonts w:hint="eastAsia" w:ascii="宋体" w:hAnsi="宋体"/>
          <w:b/>
          <w:sz w:val="32"/>
          <w:szCs w:val="32"/>
        </w:rPr>
      </w:r>
      <w:r/>
    </w:p>
    <w:p>
      <w:pPr>
        <w:pStyle w:val="676"/>
        <w:spacing w:line="400" w:lineRule="exact"/>
        <w:rPr>
          <w:rFonts w:hint="eastAsia" w:ascii="黑体" w:hAnsi="Times New Roman" w:eastAsia="黑体" w:cs="黑体"/>
          <w:bCs/>
          <w:sz w:val="24"/>
          <w:szCs w:val="24"/>
          <w:lang w:bidi="ar"/>
        </w:rPr>
      </w:pPr>
      <w:r>
        <w:rPr>
          <w:rFonts w:hint="eastAsia" w:ascii="黑体" w:hAnsi="Times New Roman" w:eastAsia="黑体" w:cs="黑体"/>
          <w:bCs/>
          <w:sz w:val="24"/>
          <w:szCs w:val="24"/>
          <w:lang w:bidi="ar"/>
        </w:rPr>
      </w:r>
      <w:r/>
    </w:p>
    <w:p>
      <w:pPr>
        <w:pStyle w:val="676"/>
        <w:spacing w:line="400" w:lineRule="exact"/>
        <w:rPr>
          <w:rFonts w:hint="eastAsia" w:ascii="黑体" w:hAnsi="Times New Roman" w:eastAsia="黑体" w:cs="黑体"/>
          <w:bCs/>
          <w:sz w:val="24"/>
          <w:szCs w:val="24"/>
        </w:rPr>
      </w:pPr>
      <w:r>
        <w:rPr>
          <w:rFonts w:hint="eastAsia" w:ascii="黑体" w:hAnsi="Times New Roman" w:eastAsia="黑体" w:cs="黑体"/>
          <w:bCs/>
          <w:sz w:val="24"/>
          <w:szCs w:val="24"/>
          <w:lang w:bidi="ar"/>
        </w:rPr>
        <w:t xml:space="preserve">报价人名称（盖章）                      采购项目编号：</w:t>
      </w:r>
      <w:r>
        <w:rPr>
          <w:rFonts w:hint="eastAsia" w:ascii="宋体" w:hAnsi="宋体" w:cs="宋体"/>
          <w:sz w:val="24"/>
          <w:szCs w:val="24"/>
          <w:lang w:bidi="ar"/>
        </w:rPr>
        <w:t xml:space="preserve"> </w:t>
      </w:r>
      <w:r>
        <w:rPr>
          <w:rFonts w:hint="eastAsia" w:ascii="黑体" w:hAnsi="Times New Roman" w:eastAsia="黑体" w:cs="黑体"/>
          <w:bCs/>
          <w:sz w:val="24"/>
          <w:szCs w:val="24"/>
        </w:rPr>
      </w:r>
      <w:r/>
    </w:p>
    <w:tbl>
      <w:tblPr>
        <w:tblpPr w:horzAnchor="page" w:tblpX="1331" w:vertAnchor="text" w:tblpY="922" w:leftFromText="180" w:topFromText="0" w:rightFromText="180" w:bottomFromText="0"/>
        <w:tblW w:w="9609" w:type="dxa"/>
        <w:tblInd w:w="-108" w:type="dxa"/>
        <w:tblLayout w:type="fixed"/>
        <w:tblCellMar>
          <w:left w:w="108" w:type="dxa"/>
          <w:top w:w="0" w:type="dxa"/>
          <w:right w:w="108" w:type="dxa"/>
          <w:bottom w:w="0" w:type="dxa"/>
        </w:tblCellMar>
        <w:tblLook w:val="04A0" w:firstRow="1" w:lastRow="0" w:firstColumn="1" w:lastColumn="0" w:noHBand="0" w:noVBand="1"/>
      </w:tblPr>
      <w:tblGrid>
        <w:gridCol w:w="1296"/>
        <w:gridCol w:w="2188"/>
        <w:gridCol w:w="3902"/>
        <w:gridCol w:w="593"/>
        <w:gridCol w:w="593"/>
        <w:gridCol w:w="1037"/>
      </w:tblGrid>
      <w:tr>
        <w:trPr>
          <w:trHeight w:val="380"/>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676"/>
              <w:jc w:val="center"/>
              <w:widowControl/>
              <w:rPr>
                <w:rFonts w:ascii="微软雅黑" w:hAnsi="微软雅黑" w:eastAsia="微软雅黑" w:cs="微软雅黑"/>
                <w:b/>
                <w:bCs/>
                <w:sz w:val="18"/>
                <w:szCs w:val="18"/>
              </w:rPr>
              <w:framePr w:vAnchor="text" w:hAnchor="page" w:x="1331" w:y="922"/>
            </w:pPr>
            <w:r>
              <w:rPr>
                <w:rFonts w:hint="eastAsia" w:ascii="微软雅黑" w:hAnsi="微软雅黑" w:eastAsia="微软雅黑" w:cs="微软雅黑"/>
                <w:b/>
                <w:bCs/>
                <w:sz w:val="18"/>
                <w:szCs w:val="18"/>
                <w:lang w:bidi="ar"/>
              </w:rPr>
              <w:t xml:space="preserve">类别</w:t>
            </w:r>
            <w:r>
              <w:rPr>
                <w:rFonts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6"/>
              <w:jc w:val="center"/>
              <w:widowControl/>
              <w:rPr>
                <w:rFonts w:hint="eastAsia" w:ascii="微软雅黑" w:hAnsi="微软雅黑" w:eastAsia="微软雅黑" w:cs="微软雅黑"/>
                <w:b/>
                <w:bCs/>
                <w:sz w:val="18"/>
                <w:szCs w:val="18"/>
              </w:rPr>
              <w:framePr w:vAnchor="text" w:hAnchor="page" w:x="1331" w:y="922"/>
            </w:pPr>
            <w:r>
              <w:rPr>
                <w:rFonts w:hint="eastAsia" w:ascii="微软雅黑" w:hAnsi="微软雅黑" w:eastAsia="微软雅黑" w:cs="微软雅黑"/>
                <w:b/>
                <w:bCs/>
                <w:sz w:val="18"/>
                <w:szCs w:val="18"/>
                <w:lang w:bidi="ar"/>
              </w:rPr>
              <w:t xml:space="preserve">项目名称</w:t>
            </w:r>
            <w:r>
              <w:rPr>
                <w:rFonts w:hint="eastAsia"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6"/>
              <w:jc w:val="center"/>
              <w:widowControl/>
              <w:rPr>
                <w:rFonts w:hint="eastAsia" w:ascii="微软雅黑" w:hAnsi="微软雅黑" w:eastAsia="微软雅黑" w:cs="微软雅黑"/>
                <w:b/>
                <w:bCs/>
                <w:sz w:val="18"/>
                <w:szCs w:val="18"/>
              </w:rPr>
              <w:framePr w:vAnchor="text" w:hAnchor="page" w:x="1331" w:y="922"/>
            </w:pPr>
            <w:r>
              <w:rPr>
                <w:rFonts w:hint="eastAsia" w:ascii="微软雅黑" w:hAnsi="微软雅黑" w:eastAsia="微软雅黑" w:cs="微软雅黑"/>
                <w:b/>
                <w:bCs/>
                <w:sz w:val="18"/>
                <w:szCs w:val="18"/>
                <w:lang w:bidi="ar"/>
              </w:rPr>
              <w:t xml:space="preserve">内容</w:t>
            </w:r>
            <w:r>
              <w:rPr>
                <w:rFonts w:hint="eastAsia"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6"/>
              <w:jc w:val="center"/>
              <w:widowControl/>
              <w:rPr>
                <w:rFonts w:hint="eastAsia" w:ascii="微软雅黑" w:hAnsi="微软雅黑" w:eastAsia="微软雅黑" w:cs="微软雅黑"/>
                <w:b/>
                <w:bCs/>
                <w:sz w:val="18"/>
                <w:szCs w:val="18"/>
              </w:rPr>
              <w:framePr w:vAnchor="text" w:hAnchor="page" w:x="1331" w:y="922"/>
            </w:pPr>
            <w:r>
              <w:rPr>
                <w:rFonts w:hint="eastAsia" w:ascii="微软雅黑" w:hAnsi="微软雅黑" w:eastAsia="微软雅黑" w:cs="微软雅黑"/>
                <w:b/>
                <w:bCs/>
                <w:sz w:val="18"/>
                <w:szCs w:val="18"/>
                <w:lang w:bidi="ar"/>
              </w:rPr>
              <w:t xml:space="preserve">数量</w:t>
            </w:r>
            <w:r>
              <w:rPr>
                <w:rFonts w:hint="eastAsia"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6"/>
              <w:jc w:val="center"/>
              <w:widowControl/>
              <w:rPr>
                <w:rFonts w:hint="eastAsia" w:ascii="微软雅黑" w:hAnsi="微软雅黑" w:eastAsia="微软雅黑" w:cs="微软雅黑"/>
                <w:b/>
                <w:bCs/>
                <w:sz w:val="18"/>
                <w:szCs w:val="18"/>
              </w:rPr>
              <w:framePr w:vAnchor="text" w:hAnchor="page" w:x="1331" w:y="922"/>
            </w:pPr>
            <w:r>
              <w:rPr>
                <w:rFonts w:hint="eastAsia" w:ascii="微软雅黑" w:hAnsi="微软雅黑" w:eastAsia="微软雅黑" w:cs="微软雅黑"/>
                <w:b/>
                <w:bCs/>
                <w:sz w:val="18"/>
                <w:szCs w:val="18"/>
                <w:lang w:bidi="ar"/>
              </w:rPr>
              <w:t xml:space="preserve">单位</w:t>
            </w:r>
            <w:r>
              <w:rPr>
                <w:rFonts w:hint="eastAsia" w:ascii="微软雅黑" w:hAnsi="微软雅黑" w:eastAsia="微软雅黑" w:cs="微软雅黑"/>
                <w:b/>
                <w:bCs/>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6"/>
              <w:jc w:val="center"/>
              <w:widowControl/>
              <w:rPr>
                <w:rFonts w:hint="eastAsia" w:ascii="微软雅黑" w:hAnsi="微软雅黑" w:eastAsia="微软雅黑" w:cs="微软雅黑"/>
                <w:b/>
                <w:bCs/>
                <w:sz w:val="18"/>
                <w:szCs w:val="18"/>
              </w:rPr>
              <w:framePr w:vAnchor="text" w:hAnchor="page" w:x="1331" w:y="922"/>
            </w:pPr>
            <w:r>
              <w:rPr>
                <w:rFonts w:hint="eastAsia" w:ascii="微软雅黑" w:hAnsi="微软雅黑" w:eastAsia="微软雅黑" w:cs="微软雅黑"/>
                <w:b/>
                <w:bCs/>
                <w:sz w:val="18"/>
                <w:szCs w:val="18"/>
                <w:lang w:bidi="ar"/>
              </w:rPr>
              <w:t xml:space="preserve">合计（元）</w:t>
            </w:r>
            <w:r>
              <w:rPr>
                <w:rFonts w:hint="eastAsia" w:ascii="微软雅黑" w:hAnsi="微软雅黑" w:eastAsia="微软雅黑" w:cs="微软雅黑"/>
                <w:b/>
                <w:bCs/>
                <w:sz w:val="18"/>
                <w:szCs w:val="18"/>
              </w:rPr>
            </w:r>
            <w:r/>
          </w:p>
        </w:tc>
      </w:tr>
      <w:tr>
        <w:trPr>
          <w:trHeight w:val="1262"/>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6"/>
              <w:jc w:val="center"/>
              <w:widowControl/>
              <w:rPr>
                <w:rFonts w:ascii="微软雅黑" w:hAnsi="微软雅黑" w:eastAsia="微软雅黑" w:cs="微软雅黑"/>
                <w:sz w:val="18"/>
                <w:szCs w:val="18"/>
              </w:rPr>
              <w:framePr w:vAnchor="text" w:hAnchor="page" w:x="1331" w:y="922"/>
            </w:pPr>
            <w:r>
              <w:rPr>
                <w:rFonts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6"/>
              <w:jc w:val="left"/>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6"/>
              <w:jc w:val="center"/>
              <w:widowControl/>
              <w:rPr>
                <w:rFonts w:ascii="微软雅黑" w:hAnsi="微软雅黑" w:eastAsia="微软雅黑" w:cs="微软雅黑"/>
                <w:sz w:val="18"/>
                <w:szCs w:val="18"/>
              </w:rPr>
              <w:framePr w:vAnchor="text" w:hAnchor="page" w:x="1331" w:y="922"/>
            </w:pPr>
            <w:r>
              <w:rPr>
                <w:rFonts w:ascii="微软雅黑" w:hAnsi="微软雅黑" w:eastAsia="微软雅黑" w:cs="微软雅黑"/>
                <w:sz w:val="18"/>
                <w:szCs w:val="18"/>
              </w:rPr>
            </w:r>
            <w:r/>
          </w:p>
        </w:tc>
      </w:tr>
      <w:tr>
        <w:trPr>
          <w:trHeight w:val="1515"/>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6"/>
              <w:jc w:val="left"/>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r>
      <w:tr>
        <w:trPr>
          <w:trHeight w:val="1515"/>
        </w:trPr>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pStyle w:val="676"/>
              <w:jc w:val="center"/>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2188"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pStyle w:val="676"/>
              <w:jc w:val="left"/>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593"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6"/>
              <w:jc w:val="center"/>
              <w:widowControl/>
              <w:rPr>
                <w:rFonts w:hint="eastAsia" w:ascii="微软雅黑" w:hAnsi="微软雅黑" w:eastAsia="微软雅黑" w:cs="微软雅黑"/>
                <w:sz w:val="18"/>
                <w:szCs w:val="18"/>
              </w:rPr>
              <w:framePr w:vAnchor="text" w:hAnchor="page" w:x="1331" w:y="922"/>
            </w:pPr>
            <w:r>
              <w:rPr>
                <w:rFonts w:hint="eastAsia" w:ascii="微软雅黑" w:hAnsi="微软雅黑" w:eastAsia="微软雅黑" w:cs="微软雅黑"/>
                <w:sz w:val="18"/>
                <w:szCs w:val="18"/>
              </w:rPr>
            </w:r>
            <w:r/>
          </w:p>
        </w:tc>
      </w:tr>
      <w:tr>
        <w:trPr>
          <w:trHeight w:val="757"/>
        </w:trPr>
        <w:tc>
          <w:tcPr>
            <w:gridSpan w:val="5"/>
            <w:tcBorders>
              <w:top w:val="single" w:color="000000" w:sz="4" w:space="0"/>
              <w:left w:val="single" w:color="000000" w:sz="4" w:space="0"/>
              <w:bottom w:val="single" w:color="000000" w:sz="4" w:space="0"/>
              <w:right w:val="single" w:color="000000" w:sz="4" w:space="0"/>
            </w:tcBorders>
            <w:tcW w:w="8572" w:type="dxa"/>
            <w:vAlign w:val="center"/>
            <w:textDirection w:val="lrTb"/>
            <w:noWrap/>
          </w:tcPr>
          <w:p>
            <w:pPr>
              <w:pStyle w:val="676"/>
              <w:jc w:val="center"/>
              <w:widowControl/>
              <w:rPr>
                <w:rFonts w:hint="eastAsia" w:ascii="微软雅黑" w:hAnsi="微软雅黑" w:eastAsia="微软雅黑" w:cs="微软雅黑"/>
                <w:sz w:val="18"/>
                <w:szCs w:val="18"/>
                <w:lang w:bidi="ar"/>
              </w:rPr>
              <w:framePr w:vAnchor="text" w:hAnchor="page" w:x="1331" w:y="922"/>
            </w:pPr>
            <w:r>
              <w:rPr>
                <w:rFonts w:hint="eastAsia" w:ascii="微软雅黑" w:hAnsi="微软雅黑" w:eastAsia="微软雅黑" w:cs="微软雅黑"/>
                <w:sz w:val="20"/>
                <w:szCs w:val="20"/>
                <w:lang w:bidi="ar"/>
              </w:rPr>
              <w:t xml:space="preserve">合计（含税）</w:t>
            </w:r>
            <w:r>
              <w:rPr>
                <w:rFonts w:hint="eastAsia" w:ascii="微软雅黑" w:hAnsi="微软雅黑" w:eastAsia="微软雅黑" w:cs="微软雅黑"/>
                <w:sz w:val="18"/>
                <w:szCs w:val="18"/>
                <w:lang w:bidi="ar"/>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676"/>
              <w:jc w:val="center"/>
              <w:widowControl/>
              <w:rPr>
                <w:rFonts w:hint="eastAsia" w:ascii="微软雅黑" w:hAnsi="微软雅黑" w:eastAsia="微软雅黑" w:cs="微软雅黑"/>
                <w:sz w:val="18"/>
                <w:szCs w:val="18"/>
                <w:lang w:bidi="ar"/>
              </w:rPr>
              <w:framePr w:vAnchor="text" w:hAnchor="page" w:x="1331" w:y="922"/>
            </w:pPr>
            <w:r>
              <w:rPr>
                <w:rFonts w:hint="eastAsia" w:ascii="微软雅黑" w:hAnsi="微软雅黑" w:eastAsia="微软雅黑" w:cs="微软雅黑"/>
                <w:sz w:val="18"/>
                <w:szCs w:val="18"/>
                <w:lang w:bidi="ar"/>
              </w:rPr>
            </w:r>
            <w:r/>
          </w:p>
        </w:tc>
      </w:tr>
    </w:tbl>
    <w:p>
      <w:pPr>
        <w:pStyle w:val="676"/>
        <w:spacing w:before="5" w:line="560" w:lineRule="atLeast"/>
        <w:rPr>
          <w:b/>
          <w:bCs/>
          <w:sz w:val="24"/>
          <w:szCs w:val="24"/>
        </w:rPr>
      </w:pPr>
      <w:r>
        <w:rPr>
          <w:rFonts w:hint="eastAsia" w:ascii="Times New Roman" w:hAnsi="Times New Roman" w:cs="宋体"/>
          <w:b/>
          <w:bCs/>
          <w:sz w:val="24"/>
          <w:szCs w:val="24"/>
          <w:lang w:bidi="ar"/>
        </w:rPr>
        <w:t xml:space="preserve">法定代表人或法定代表人授权代表签字或盖章：</w:t>
      </w:r>
      <w:r>
        <w:rPr>
          <w:b/>
          <w:bCs/>
          <w:sz w:val="24"/>
          <w:szCs w:val="24"/>
        </w:rPr>
      </w:r>
      <w:r/>
    </w:p>
    <w:p>
      <w:pPr>
        <w:pStyle w:val="676"/>
        <w:rPr>
          <w:rFonts w:hint="eastAsia" w:ascii="宋体" w:hAnsi="宋体"/>
          <w:sz w:val="24"/>
          <w:szCs w:val="24"/>
        </w:rPr>
      </w:pPr>
      <w:r>
        <w:rPr>
          <w:rFonts w:hint="eastAsia" w:ascii="宋体" w:hAnsi="宋体"/>
          <w:sz w:val="24"/>
          <w:szCs w:val="24"/>
        </w:rPr>
      </w:r>
      <w:r/>
    </w:p>
    <w:p>
      <w:pPr>
        <w:pStyle w:val="676"/>
        <w:rPr>
          <w:rFonts w:hint="eastAsia" w:ascii="宋体" w:hAnsi="宋体"/>
          <w:sz w:val="24"/>
          <w:szCs w:val="24"/>
        </w:rPr>
      </w:pPr>
      <w:r>
        <w:rPr>
          <w:rFonts w:hint="eastAsia" w:ascii="宋体" w:hAnsi="宋体"/>
          <w:sz w:val="24"/>
          <w:szCs w:val="24"/>
        </w:rPr>
      </w:r>
      <w:r/>
    </w:p>
    <w:p>
      <w:pPr>
        <w:pStyle w:val="676"/>
        <w:rPr>
          <w:rFonts w:hint="eastAsia" w:ascii="宋体" w:hAnsi="宋体"/>
          <w:sz w:val="24"/>
          <w:szCs w:val="24"/>
        </w:rPr>
      </w:pPr>
      <w:r>
        <w:rPr>
          <w:rFonts w:hint="eastAsia" w:ascii="宋体" w:hAnsi="宋体"/>
          <w:sz w:val="24"/>
          <w:szCs w:val="24"/>
        </w:rPr>
      </w:r>
      <w:r/>
    </w:p>
    <w:p>
      <w:pPr>
        <w:pStyle w:val="676"/>
        <w:rPr>
          <w:rFonts w:hint="eastAsia" w:ascii="宋体" w:hAnsi="宋体"/>
          <w:sz w:val="24"/>
          <w:szCs w:val="24"/>
        </w:rPr>
      </w:pPr>
      <w:r>
        <w:rPr>
          <w:rFonts w:hint="eastAsia" w:ascii="宋体" w:hAnsi="宋体"/>
          <w:sz w:val="24"/>
          <w:szCs w:val="24"/>
        </w:rPr>
      </w:r>
      <w:r/>
    </w:p>
    <w:p>
      <w:pPr>
        <w:pStyle w:val="676"/>
        <w:rPr>
          <w:rFonts w:hint="eastAsia" w:ascii="宋体" w:hAnsi="宋体"/>
          <w:sz w:val="24"/>
          <w:szCs w:val="24"/>
        </w:rPr>
      </w:pPr>
      <w:r>
        <w:rPr>
          <w:rFonts w:hint="eastAsia" w:ascii="宋体" w:hAnsi="宋体"/>
          <w:sz w:val="24"/>
          <w:szCs w:val="24"/>
        </w:rPr>
      </w:r>
      <w:r/>
    </w:p>
    <w:p>
      <w:pPr>
        <w:pStyle w:val="676"/>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、技术要求响应及偏离表</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谈判文件要求</w:t>
            </w:r>
            <w:r>
              <w:rPr>
                <w:rFonts w:hint="eastAsia" w:ascii="宋体" w:hAnsi="宋体"/>
                <w:sz w:val="24"/>
                <w:szCs w:val="24"/>
              </w:rPr>
            </w:r>
            <w:r/>
          </w:p>
        </w:tc>
        <w:tc>
          <w:tcPr>
            <w:tcW w:w="2852"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7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bl>
    <w:p>
      <w:pPr>
        <w:pStyle w:val="676"/>
        <w:rPr>
          <w:rFonts w:hint="eastAsia" w:ascii="宋体" w:hAnsi="宋体"/>
          <w:sz w:val="24"/>
          <w:szCs w:val="24"/>
        </w:rPr>
      </w:pPr>
      <w:r>
        <w:rPr>
          <w:rFonts w:hint="eastAsia" w:ascii="宋体" w:hAnsi="宋体"/>
          <w:sz w:val="24"/>
          <w:szCs w:val="24"/>
        </w:rPr>
        <w:t xml:space="preserve">注：行数不够，可自行添加。</w:t>
      </w:r>
      <w:r>
        <w:rPr>
          <w:rFonts w:hint="eastAsia" w:ascii="宋体" w:hAnsi="宋体"/>
          <w:sz w:val="24"/>
          <w:szCs w:val="24"/>
        </w:rPr>
      </w:r>
      <w:r/>
    </w:p>
    <w:p>
      <w:pPr>
        <w:pStyle w:val="676"/>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如无任何偏离，请于本表 中注明“无偏离”；</w:t>
      </w:r>
      <w:r>
        <w:rPr>
          <w:rFonts w:hint="eastAsia" w:ascii="宋体" w:hAnsi="宋体" w:eastAsia="宋体" w:cs="Times New Roman"/>
          <w:bCs/>
          <w:sz w:val="24"/>
          <w:szCs w:val="24"/>
        </w:rPr>
      </w:r>
      <w:r/>
    </w:p>
    <w:p>
      <w:pPr>
        <w:pStyle w:val="676"/>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如有偏离项，请于本表中列明偏离内容，如需要可自行延长，其余无偏离内容不须赘述。</w:t>
      </w:r>
      <w:r>
        <w:rPr>
          <w:rFonts w:hint="eastAsia" w:ascii="宋体" w:hAnsi="宋体" w:eastAsia="宋体" w:cs="Times New Roman"/>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t xml:space="preserve">供应商名称 ：         （加盖CA电子公章）</w:t>
      </w: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t xml:space="preserve">日      期 ：               </w:t>
      </w:r>
      <w:r>
        <w:rPr>
          <w:rFonts w:hint="eastAsia" w:ascii="宋体" w:hAnsi="宋体"/>
          <w:bCs/>
          <w:sz w:val="24"/>
          <w:szCs w:val="24"/>
        </w:rPr>
      </w:r>
      <w:r/>
    </w:p>
    <w:p>
      <w:pPr>
        <w:pStyle w:val="676"/>
        <w:jc w:val="center"/>
        <w:rPr>
          <w:rFonts w:hint="eastAsia" w:ascii="黑体" w:hAnsi="Arial" w:eastAsia="黑体"/>
          <w:b/>
          <w:sz w:val="36"/>
          <w:szCs w:val="21"/>
        </w:rPr>
      </w:pPr>
      <w:r>
        <w:rPr>
          <w:rFonts w:hint="eastAsia" w:ascii="黑体" w:hAnsi="Arial" w:eastAsia="黑体"/>
          <w:b/>
          <w:sz w:val="36"/>
          <w:szCs w:val="21"/>
        </w:rPr>
      </w:r>
      <w:r/>
    </w:p>
    <w:p>
      <w:pPr>
        <w:pStyle w:val="676"/>
        <w:jc w:val="center"/>
        <w:rPr>
          <w:rFonts w:hint="eastAsia" w:ascii="黑体" w:hAnsi="Arial" w:eastAsia="黑体"/>
          <w:b/>
          <w:sz w:val="36"/>
          <w:szCs w:val="21"/>
        </w:rPr>
      </w:pPr>
      <w:r>
        <w:rPr>
          <w:rFonts w:hint="eastAsia" w:ascii="黑体" w:hAnsi="Arial" w:eastAsia="黑体"/>
          <w:b/>
          <w:sz w:val="36"/>
          <w:szCs w:val="21"/>
        </w:rPr>
      </w:r>
      <w:r/>
    </w:p>
    <w:p>
      <w:pPr>
        <w:pStyle w:val="676"/>
        <w:jc w:val="center"/>
        <w:rPr>
          <w:rFonts w:hint="eastAsia" w:ascii="黑体" w:hAnsi="Arial" w:eastAsia="黑体"/>
          <w:b/>
          <w:sz w:val="36"/>
          <w:szCs w:val="21"/>
        </w:rPr>
      </w:pPr>
      <w:r>
        <w:rPr>
          <w:rFonts w:hint="eastAsia" w:ascii="黑体" w:hAnsi="Arial" w:eastAsia="黑体"/>
          <w:b/>
          <w:sz w:val="36"/>
          <w:szCs w:val="21"/>
        </w:rPr>
      </w:r>
      <w:r/>
    </w:p>
    <w:p>
      <w:pPr>
        <w:pStyle w:val="676"/>
        <w:jc w:val="center"/>
        <w:rPr>
          <w:rFonts w:hint="eastAsia" w:ascii="黑体" w:hAnsi="Arial" w:eastAsia="黑体"/>
          <w:b/>
          <w:sz w:val="36"/>
          <w:szCs w:val="21"/>
        </w:rPr>
      </w:pPr>
      <w:r>
        <w:rPr>
          <w:rFonts w:hint="eastAsia" w:ascii="黑体" w:hAnsi="Arial" w:eastAsia="黑体"/>
          <w:b/>
          <w:sz w:val="36"/>
          <w:szCs w:val="21"/>
        </w:rPr>
      </w:r>
      <w:r/>
    </w:p>
    <w:p>
      <w:pPr>
        <w:pStyle w:val="676"/>
        <w:jc w:val="center"/>
        <w:rPr>
          <w:rFonts w:hint="eastAsia" w:ascii="黑体" w:hAnsi="黑体" w:eastAsia="黑体"/>
          <w:b/>
          <w:sz w:val="32"/>
          <w:szCs w:val="32"/>
        </w:rPr>
      </w:pPr>
      <w:r/>
      <w:bookmarkEnd w:id="183"/>
      <w:r/>
      <w:bookmarkStart w:id="192" w:name="_Hlt26955054"/>
      <w:r/>
      <w:bookmarkEnd w:id="192"/>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、商务要求响应及偏离表</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76"/>
              <w:jc w:val="center"/>
              <w:rPr>
                <w:rFonts w:hint="eastAsia" w:ascii="宋体" w:hAnsi="宋体"/>
                <w:sz w:val="24"/>
                <w:szCs w:val="24"/>
              </w:rPr>
            </w:pPr>
            <w:r/>
            <w:bookmarkStart w:id="193" w:name="_Hlt24879081"/>
            <w:r/>
            <w:bookmarkEnd w:id="193"/>
            <w:r/>
            <w:bookmarkStart w:id="194" w:name="_Hlt26782999"/>
            <w:r/>
            <w:bookmarkEnd w:id="194"/>
            <w:r/>
            <w:bookmarkStart w:id="195" w:name="_Hlt26609391"/>
            <w:r/>
            <w:bookmarkEnd w:id="195"/>
            <w:r/>
            <w:bookmarkStart w:id="196" w:name="_Hlt26955064"/>
            <w:r/>
            <w:bookmarkEnd w:id="196"/>
            <w:r/>
            <w:bookmarkStart w:id="197" w:name="_Hlt26955056"/>
            <w:r/>
            <w:bookmarkEnd w:id="197"/>
            <w:r/>
            <w:bookmarkStart w:id="198" w:name="_Hlt26580838"/>
            <w:r/>
            <w:bookmarkEnd w:id="198"/>
            <w:r/>
            <w:bookmarkStart w:id="199" w:name="_Hlt26671372"/>
            <w:r/>
            <w:bookmarkEnd w:id="199"/>
            <w:r/>
            <w:bookmarkStart w:id="200" w:name="_Hlt26671343"/>
            <w:r/>
            <w:bookmarkEnd w:id="200"/>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谈判文件要求</w:t>
            </w:r>
            <w:r>
              <w:rPr>
                <w:rFonts w:hint="eastAsia" w:ascii="宋体" w:hAnsi="宋体"/>
                <w:sz w:val="24"/>
                <w:szCs w:val="24"/>
              </w:rPr>
            </w:r>
            <w:r/>
          </w:p>
        </w:tc>
        <w:tc>
          <w:tcPr>
            <w:tcW w:w="2852"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676"/>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676"/>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7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76"/>
              <w:jc w:val="center"/>
              <w:rPr>
                <w:rFonts w:hint="eastAsia" w:ascii="宋体" w:hAnsi="宋体"/>
                <w:sz w:val="24"/>
                <w:szCs w:val="24"/>
              </w:rPr>
            </w:pPr>
            <w:r>
              <w:rPr>
                <w:rFonts w:hint="eastAsia" w:ascii="宋体" w:hAnsi="宋体"/>
                <w:sz w:val="24"/>
                <w:szCs w:val="24"/>
              </w:rPr>
            </w:r>
            <w:r/>
          </w:p>
        </w:tc>
      </w:tr>
    </w:tbl>
    <w:p>
      <w:pPr>
        <w:pStyle w:val="676"/>
        <w:rPr>
          <w:rFonts w:hint="eastAsia" w:ascii="宋体" w:hAnsi="宋体"/>
          <w:sz w:val="24"/>
          <w:szCs w:val="24"/>
        </w:rPr>
      </w:pPr>
      <w:r>
        <w:rPr>
          <w:rFonts w:hint="eastAsia" w:ascii="宋体" w:hAnsi="宋体"/>
          <w:sz w:val="24"/>
          <w:szCs w:val="24"/>
        </w:rPr>
        <w:t xml:space="preserve">注：行数不够，可自行添加。</w:t>
      </w:r>
      <w:r>
        <w:rPr>
          <w:rFonts w:hint="eastAsia" w:ascii="宋体" w:hAnsi="宋体"/>
          <w:sz w:val="24"/>
          <w:szCs w:val="24"/>
        </w:rPr>
      </w:r>
      <w:r/>
    </w:p>
    <w:p>
      <w:pPr>
        <w:pStyle w:val="676"/>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如无任何偏离，请于本表 中注明“无偏离”；</w:t>
      </w:r>
      <w:r>
        <w:rPr>
          <w:rFonts w:hint="eastAsia" w:ascii="宋体" w:hAnsi="宋体" w:eastAsia="宋体" w:cs="Times New Roman"/>
          <w:bCs/>
          <w:sz w:val="24"/>
          <w:szCs w:val="24"/>
        </w:rPr>
      </w:r>
      <w:r/>
    </w:p>
    <w:p>
      <w:pPr>
        <w:pStyle w:val="676"/>
        <w:ind w:firstLine="480"/>
        <w:spacing w:line="360" w:lineRule="auto"/>
        <w:rPr>
          <w:rFonts w:hint="eastAsia"/>
          <w:sz w:val="24"/>
          <w:szCs w:val="24"/>
        </w:rPr>
      </w:pPr>
      <w:r>
        <w:rPr>
          <w:rFonts w:hint="eastAsia" w:ascii="宋体" w:hAnsi="宋体"/>
          <w:bCs/>
          <w:sz w:val="24"/>
          <w:szCs w:val="24"/>
        </w:rPr>
        <w:t xml:space="preserve">如有偏离项，请于本表中列明偏离内容，如需要可自行延长，其余无偏离内容不须赘述。</w:t>
      </w:r>
      <w:r>
        <w:rPr>
          <w:rFonts w:hint="eastAsia"/>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t xml:space="preserve">供应商名称 ：         （加盖CA电子公章）</w:t>
      </w: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rPr>
          <w:rFonts w:hint="eastAsia" w:ascii="宋体" w:hAnsi="宋体"/>
          <w:bCs/>
          <w:sz w:val="24"/>
          <w:szCs w:val="24"/>
        </w:rPr>
      </w:r>
      <w:r/>
    </w:p>
    <w:p>
      <w:pPr>
        <w:pStyle w:val="676"/>
        <w:ind w:firstLine="480"/>
        <w:spacing w:line="360" w:lineRule="auto"/>
        <w:rPr>
          <w:rFonts w:hint="eastAsia" w:ascii="宋体" w:hAnsi="宋体"/>
          <w:bCs/>
          <w:sz w:val="24"/>
          <w:szCs w:val="24"/>
        </w:rPr>
      </w:pPr>
      <w:r>
        <w:rPr>
          <w:rFonts w:hint="eastAsia" w:ascii="宋体" w:hAnsi="宋体"/>
          <w:bCs/>
          <w:sz w:val="24"/>
          <w:szCs w:val="24"/>
        </w:rPr>
        <w:t xml:space="preserve">日      期 ：               </w:t>
      </w:r>
      <w:r>
        <w:rPr>
          <w:rFonts w:hint="eastAsia" w:ascii="宋体" w:hAnsi="宋体"/>
          <w:bCs/>
          <w:sz w:val="24"/>
          <w:szCs w:val="24"/>
        </w:rPr>
      </w:r>
      <w:r/>
    </w:p>
    <w:p>
      <w:pPr>
        <w:pStyle w:val="676"/>
        <w:spacing w:line="480" w:lineRule="auto"/>
        <w:rPr>
          <w:rFonts w:hint="eastAsia" w:ascii="宋体" w:hAnsi="宋体"/>
          <w:sz w:val="24"/>
          <w:szCs w:val="21"/>
        </w:rPr>
      </w:pPr>
      <w:r>
        <w:rPr>
          <w:rFonts w:hint="eastAsia" w:ascii="宋体" w:hAnsi="宋体"/>
          <w:sz w:val="24"/>
          <w:szCs w:val="21"/>
        </w:rPr>
      </w:r>
      <w:r/>
    </w:p>
    <w:p>
      <w:pPr>
        <w:pStyle w:val="676"/>
        <w:spacing w:line="480" w:lineRule="auto"/>
        <w:rPr>
          <w:rFonts w:hint="eastAsia" w:ascii="仿宋_GB2312" w:hAnsi="Arial"/>
          <w:sz w:val="30"/>
          <w:szCs w:val="21"/>
        </w:rPr>
      </w:pPr>
      <w:r>
        <w:rPr>
          <w:rFonts w:hint="eastAsia" w:ascii="仿宋_GB2312" w:hAnsi="Arial"/>
          <w:sz w:val="30"/>
          <w:szCs w:val="21"/>
        </w:rPr>
      </w:r>
      <w:r/>
    </w:p>
    <w:p>
      <w:pPr>
        <w:ind w:left="1281" w:right="0" w:hanging="1281"/>
        <w:jc w:val="center"/>
        <w:spacing w:before="0" w:after="0" w:line="58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1281" w:right="0" w:hanging="1281"/>
        <w:jc w:val="center"/>
        <w:spacing w:before="0" w:after="0" w:line="58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2026“数字泰州”公共数据综合服务项目</w:t>
      </w:r>
      <w:r/>
    </w:p>
    <w:p>
      <w:pPr>
        <w:ind w:left="1281" w:right="0" w:hanging="1281"/>
        <w:jc w:val="center"/>
        <w:spacing w:before="0" w:after="0" w:line="58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1281" w:right="0" w:hanging="1281"/>
        <w:jc w:val="center"/>
        <w:spacing w:before="0" w:after="0" w:line="58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需求文档</w:t>
      </w:r>
      <w:r/>
    </w:p>
    <w:p>
      <w:pPr>
        <w:ind w:left="1281" w:right="0" w:hanging="1281"/>
        <w:jc w:val="center"/>
        <w:spacing w:before="0" w:after="0" w:line="58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1284" w:right="0" w:hanging="1284"/>
        <w:jc w:val="center"/>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泰州市数据局</w:t>
      </w:r>
      <w:r/>
    </w:p>
    <w:p>
      <w:pPr>
        <w:ind w:left="1284" w:right="0" w:hanging="1284"/>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2026</w:t>
      </w:r>
      <w:r>
        <w:rPr>
          <w:rFonts w:ascii="SimHei" w:hAnsi="SimHei" w:eastAsia="SimHei" w:cs="SimHei"/>
          <w:color w:val="000000"/>
          <w:sz w:val="30"/>
        </w:rPr>
        <w:t xml:space="preserve">年</w:t>
      </w:r>
      <w:r>
        <w:rPr>
          <w:rFonts w:ascii="Times New Roman" w:hAnsi="Times New Roman" w:eastAsia="Times New Roman" w:cs="Times New Roman"/>
          <w:color w:val="000000"/>
          <w:sz w:val="30"/>
        </w:rPr>
        <w:t xml:space="preserve">10</w:t>
      </w:r>
      <w:r>
        <w:rPr>
          <w:rFonts w:ascii="SimHei" w:hAnsi="SimHei" w:eastAsia="SimHei" w:cs="SimHei"/>
          <w:color w:val="000000"/>
          <w:sz w:val="30"/>
        </w:rPr>
        <w:t xml:space="preserve">月</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目  录</w:t>
          </w:r>
          <w:r/>
        </w:p>
        <w:p>
          <w:pPr>
            <w:ind w:left="0" w:right="0" w:firstLine="560"/>
            <w:jc w:val="both"/>
            <w:spacing w:before="0" w:after="0" w:line="559" w:lineRule="atLeast"/>
            <w:tabs>
              <w:tab w:val="left" w:pos="8640" w:leader="none"/>
            </w:tabs>
            <w:pBdr>
              <w:top w:val="none" w:color="000000" w:sz="4" w:space="0"/>
              <w:left w:val="none" w:color="000000" w:sz="4" w:space="0"/>
              <w:bottom w:val="none" w:color="000000" w:sz="4" w:space="0"/>
              <w:right w:val="none" w:color="000000" w:sz="4" w:space="0"/>
            </w:pBdr>
          </w:pPr>
          <w:hyperlink r:id="rId12" w:tooltip="https://jszfcg.jsczt.cn/jszc/onlyoffice/7.2.1-34/web-apps/apps/documenteditor/main/index_loader.html?_dc=7.2.1-34&amp;lang=zh&amp;customer=%20&amp;logo=%20&amp;headerlogo=%2Ffavicon.ico&amp;frameEditorId=iframePage&amp;compact=true&amp;parentOrigin=https://jszfcg.jsczt.cn#_Toc29196" w:history="1">
            <w:r>
              <w:rPr>
                <w:rStyle w:val="752"/>
                <w:rFonts w:ascii="FangSong" w:hAnsi="FangSong" w:eastAsia="FangSong" w:cs="FangSong"/>
                <w:color w:val="0000ee"/>
                <w:sz w:val="28"/>
                <w:u w:val="single"/>
              </w:rPr>
              <w:t xml:space="preserve">第一章</w:t>
            </w:r>
            <w:r>
              <w:rPr>
                <w:rStyle w:val="752"/>
                <w:rFonts w:ascii="Times New Roman" w:hAnsi="Times New Roman" w:eastAsia="Times New Roman" w:cs="Times New Roman"/>
                <w:color w:val="0000ee"/>
                <w:sz w:val="28"/>
                <w:u w:val="none"/>
              </w:rPr>
              <w:t xml:space="preserve"> </w:t>
            </w:r>
            <w:r>
              <w:rPr>
                <w:rStyle w:val="752"/>
                <w:rFonts w:ascii="FangSong" w:hAnsi="FangSong" w:eastAsia="FangSong" w:cs="FangSong"/>
                <w:color w:val="0000ee"/>
                <w:sz w:val="28"/>
                <w:u w:val="single"/>
              </w:rPr>
              <w:t xml:space="preserve">项目背景</w:t>
            </w:r>
            <w:r>
              <w:rPr>
                <w:rStyle w:val="752"/>
                <w:rFonts w:ascii="Times New Roman" w:hAnsi="Times New Roman" w:eastAsia="Times New Roman" w:cs="Times New Roman"/>
                <w:color w:val="0000ee"/>
                <w:sz w:val="28"/>
                <w:u w:val="single"/>
              </w:rPr>
              <w:tab/>
            </w:r>
          </w:hyperlink>
          <w:r/>
        </w:p>
        <w:p>
          <w:pPr>
            <w:ind w:left="0" w:right="0" w:firstLine="560"/>
            <w:jc w:val="both"/>
            <w:spacing w:before="0" w:after="0" w:line="559" w:lineRule="atLeast"/>
            <w:tabs>
              <w:tab w:val="left" w:pos="8640"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7632" w:history="1">
            <w:r>
              <w:rPr>
                <w:rStyle w:val="752"/>
                <w:rFonts w:ascii="FangSong" w:hAnsi="FangSong" w:eastAsia="FangSong" w:cs="FangSong"/>
                <w:color w:val="0000ee"/>
                <w:sz w:val="28"/>
                <w:u w:val="single"/>
              </w:rPr>
              <w:t xml:space="preserve">第二章</w:t>
            </w:r>
            <w:r>
              <w:rPr>
                <w:rStyle w:val="752"/>
                <w:rFonts w:ascii="Times New Roman" w:hAnsi="Times New Roman" w:eastAsia="Times New Roman" w:cs="Times New Roman"/>
                <w:color w:val="0000ee"/>
                <w:sz w:val="28"/>
                <w:u w:val="none"/>
              </w:rPr>
              <w:t xml:space="preserve"> </w:t>
            </w:r>
            <w:r>
              <w:rPr>
                <w:rStyle w:val="752"/>
                <w:rFonts w:ascii="FangSong" w:hAnsi="FangSong" w:eastAsia="FangSong" w:cs="FangSong"/>
                <w:color w:val="0000ee"/>
                <w:sz w:val="28"/>
                <w:u w:val="single"/>
              </w:rPr>
              <w:t xml:space="preserve">服务需求</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14" w:tooltip="https://jszfcg.jsczt.cn/jszc/onlyoffice/7.2.1-34/web-apps/apps/documenteditor/main/index_loader.html?_dc=7.2.1-34&amp;lang=zh&amp;customer=%20&amp;logo=%20&amp;headerlogo=%2Ffavicon.ico&amp;frameEditorId=iframePage&amp;compact=true&amp;parentOrigin=https://jszfcg.jsczt.cn#_Toc9351" w:history="1">
            <w:r>
              <w:rPr>
                <w:rStyle w:val="752"/>
                <w:rFonts w:ascii="Times New Roman" w:hAnsi="Times New Roman" w:eastAsia="Times New Roman" w:cs="Times New Roman"/>
                <w:color w:val="0000ee"/>
                <w:sz w:val="28"/>
                <w:u w:val="none"/>
              </w:rPr>
              <w:t xml:space="preserve">1.</w:t>
            </w:r>
            <w:r>
              <w:rPr>
                <w:rStyle w:val="752"/>
                <w:rFonts w:ascii="FangSong" w:hAnsi="FangSong" w:eastAsia="FangSong" w:cs="FangSong"/>
                <w:color w:val="0000ee"/>
                <w:sz w:val="28"/>
                <w:u w:val="single"/>
              </w:rPr>
              <w:t xml:space="preserve">市委政法委市域社会治理现代化指挥平台三期（</w:t>
            </w:r>
            <w:r>
              <w:rPr>
                <w:rStyle w:val="752"/>
                <w:rFonts w:ascii="Times New Roman" w:hAnsi="Times New Roman" w:eastAsia="Times New Roman" w:cs="Times New Roman"/>
                <w:color w:val="0000ee"/>
                <w:sz w:val="28"/>
                <w:u w:val="non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5" w:tooltip="https://jszfcg.jsczt.cn/jszc/onlyoffice/7.2.1-34/web-apps/apps/documenteditor/main/index_loader.html?_dc=7.2.1-34&amp;lang=zh&amp;customer=%20&amp;logo=%20&amp;headerlogo=%2Ffavicon.ico&amp;frameEditorId=iframePage&amp;compact=true&amp;parentOrigin=https://jszfcg.jsczt.cn#_Toc12619" w:history="1">
            <w:r>
              <w:rPr>
                <w:rStyle w:val="752"/>
                <w:rFonts w:ascii="Times New Roman" w:hAnsi="Times New Roman" w:eastAsia="Times New Roman" w:cs="Times New Roman"/>
                <w:color w:val="0000ee"/>
                <w:sz w:val="28"/>
                <w:u w:val="none"/>
              </w:rPr>
              <w:t xml:space="preserve">1.1.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6" w:tooltip="https://jszfcg.jsczt.cn/jszc/onlyoffice/7.2.1-34/web-apps/apps/documenteditor/main/index_loader.html?_dc=7.2.1-34&amp;lang=zh&amp;customer=%20&amp;logo=%20&amp;headerlogo=%2Ffavicon.ico&amp;frameEditorId=iframePage&amp;compact=true&amp;parentOrigin=https://jszfcg.jsczt.cn#_Toc11128" w:history="1">
            <w:r>
              <w:rPr>
                <w:rStyle w:val="752"/>
                <w:rFonts w:ascii="Times New Roman" w:hAnsi="Times New Roman" w:eastAsia="Times New Roman" w:cs="Times New Roman"/>
                <w:color w:val="0000ee"/>
                <w:sz w:val="28"/>
                <w:u w:val="none"/>
              </w:rPr>
              <w:t xml:space="preserve">1.2.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7" w:tooltip="https://jszfcg.jsczt.cn/jszc/onlyoffice/7.2.1-34/web-apps/apps/documenteditor/main/index_loader.html?_dc=7.2.1-34&amp;lang=zh&amp;customer=%20&amp;logo=%20&amp;headerlogo=%2Ffavicon.ico&amp;frameEditorId=iframePage&amp;compact=true&amp;parentOrigin=https://jszfcg.jsczt.cn#_Toc4594" w:history="1">
            <w:r>
              <w:rPr>
                <w:rStyle w:val="752"/>
                <w:rFonts w:ascii="Times New Roman" w:hAnsi="Times New Roman" w:eastAsia="Times New Roman" w:cs="Times New Roman"/>
                <w:color w:val="0000ee"/>
                <w:sz w:val="28"/>
                <w:u w:val="none"/>
              </w:rPr>
              <w:t xml:space="preserve">1.3.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8" w:tooltip="https://jszfcg.jsczt.cn/jszc/onlyoffice/7.2.1-34/web-apps/apps/documenteditor/main/index_loader.html?_dc=7.2.1-34&amp;lang=zh&amp;customer=%20&amp;logo=%20&amp;headerlogo=%2Ffavicon.ico&amp;frameEditorId=iframePage&amp;compact=true&amp;parentOrigin=https://jszfcg.jsczt.cn#_Toc31798" w:history="1">
            <w:r>
              <w:rPr>
                <w:rStyle w:val="752"/>
                <w:rFonts w:ascii="Times New Roman" w:hAnsi="Times New Roman" w:eastAsia="Times New Roman" w:cs="Times New Roman"/>
                <w:color w:val="0000ee"/>
                <w:sz w:val="28"/>
                <w:u w:val="none"/>
              </w:rPr>
              <w:t xml:space="preserve">1.4.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9" w:tooltip="https://jszfcg.jsczt.cn/jszc/onlyoffice/7.2.1-34/web-apps/apps/documenteditor/main/index_loader.html?_dc=7.2.1-34&amp;lang=zh&amp;customer=%20&amp;logo=%20&amp;headerlogo=%2Ffavicon.ico&amp;frameEditorId=iframePage&amp;compact=true&amp;parentOrigin=https://jszfcg.jsczt.cn#_Toc20037" w:history="1">
            <w:r>
              <w:rPr>
                <w:rStyle w:val="752"/>
                <w:rFonts w:ascii="Times New Roman" w:hAnsi="Times New Roman" w:eastAsia="Times New Roman" w:cs="Times New Roman"/>
                <w:color w:val="0000ee"/>
                <w:sz w:val="28"/>
                <w:u w:val="none"/>
              </w:rPr>
              <w:t xml:space="preserve">1.5.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20" w:tooltip="https://jszfcg.jsczt.cn/jszc/onlyoffice/7.2.1-34/web-apps/apps/documenteditor/main/index_loader.html?_dc=7.2.1-34&amp;lang=zh&amp;customer=%20&amp;logo=%20&amp;headerlogo=%2Ffavicon.ico&amp;frameEditorId=iframePage&amp;compact=true&amp;parentOrigin=https://jszfcg.jsczt.cn#_Toc10168" w:history="1">
            <w:r>
              <w:rPr>
                <w:rStyle w:val="752"/>
                <w:rFonts w:ascii="Times New Roman" w:hAnsi="Times New Roman" w:eastAsia="Times New Roman" w:cs="Times New Roman"/>
                <w:color w:val="0000ee"/>
                <w:sz w:val="28"/>
                <w:u w:val="none"/>
              </w:rPr>
              <w:t xml:space="preserve">2.</w:t>
            </w:r>
            <w:r>
              <w:rPr>
                <w:rStyle w:val="752"/>
                <w:rFonts w:ascii="FangSong" w:hAnsi="FangSong" w:eastAsia="FangSong" w:cs="FangSong"/>
                <w:color w:val="0000ee"/>
                <w:sz w:val="28"/>
                <w:u w:val="single"/>
              </w:rPr>
              <w:t xml:space="preserve">市城管局城市运行管理平台升级（</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21" w:tooltip="https://jszfcg.jsczt.cn/jszc/onlyoffice/7.2.1-34/web-apps/apps/documenteditor/main/index_loader.html?_dc=7.2.1-34&amp;lang=zh&amp;customer=%20&amp;logo=%20&amp;headerlogo=%2Ffavicon.ico&amp;frameEditorId=iframePage&amp;compact=true&amp;parentOrigin=https://jszfcg.jsczt.cn#_Toc26095" w:history="1">
            <w:r>
              <w:rPr>
                <w:rStyle w:val="752"/>
                <w:rFonts w:ascii="Times New Roman" w:hAnsi="Times New Roman" w:eastAsia="Times New Roman" w:cs="Times New Roman"/>
                <w:color w:val="0000ee"/>
                <w:sz w:val="28"/>
                <w:u w:val="none"/>
              </w:rPr>
              <w:t xml:space="preserve">2.1.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22" w:tooltip="https://jszfcg.jsczt.cn/jszc/onlyoffice/7.2.1-34/web-apps/apps/documenteditor/main/index_loader.html?_dc=7.2.1-34&amp;lang=zh&amp;customer=%20&amp;logo=%20&amp;headerlogo=%2Ffavicon.ico&amp;frameEditorId=iframePage&amp;compact=true&amp;parentOrigin=https://jszfcg.jsczt.cn#_Toc24389" w:history="1">
            <w:r>
              <w:rPr>
                <w:rStyle w:val="752"/>
                <w:rFonts w:ascii="Times New Roman" w:hAnsi="Times New Roman" w:eastAsia="Times New Roman" w:cs="Times New Roman"/>
                <w:color w:val="0000ee"/>
                <w:sz w:val="28"/>
                <w:u w:val="none"/>
              </w:rPr>
              <w:t xml:space="preserve">2.2.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23" w:tooltip="https://jszfcg.jsczt.cn/jszc/onlyoffice/7.2.1-34/web-apps/apps/documenteditor/main/index_loader.html?_dc=7.2.1-34&amp;lang=zh&amp;customer=%20&amp;logo=%20&amp;headerlogo=%2Ffavicon.ico&amp;frameEditorId=iframePage&amp;compact=true&amp;parentOrigin=https://jszfcg.jsczt.cn#_Toc23614" w:history="1">
            <w:r>
              <w:rPr>
                <w:rStyle w:val="752"/>
                <w:rFonts w:ascii="Times New Roman" w:hAnsi="Times New Roman" w:eastAsia="Times New Roman" w:cs="Times New Roman"/>
                <w:color w:val="0000ee"/>
                <w:sz w:val="28"/>
                <w:u w:val="none"/>
              </w:rPr>
              <w:t xml:space="preserve">2.3.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24" w:tooltip="https://jszfcg.jsczt.cn/jszc/onlyoffice/7.2.1-34/web-apps/apps/documenteditor/main/index_loader.html?_dc=7.2.1-34&amp;lang=zh&amp;customer=%20&amp;logo=%20&amp;headerlogo=%2Ffavicon.ico&amp;frameEditorId=iframePage&amp;compact=true&amp;parentOrigin=https://jszfcg.jsczt.cn#_Toc23445" w:history="1">
            <w:r>
              <w:rPr>
                <w:rStyle w:val="752"/>
                <w:rFonts w:ascii="Times New Roman" w:hAnsi="Times New Roman" w:eastAsia="Times New Roman" w:cs="Times New Roman"/>
                <w:color w:val="0000ee"/>
                <w:sz w:val="28"/>
                <w:u w:val="none"/>
              </w:rPr>
              <w:t xml:space="preserve">2.4.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25" w:tooltip="https://jszfcg.jsczt.cn/jszc/onlyoffice/7.2.1-34/web-apps/apps/documenteditor/main/index_loader.html?_dc=7.2.1-34&amp;lang=zh&amp;customer=%20&amp;logo=%20&amp;headerlogo=%2Ffavicon.ico&amp;frameEditorId=iframePage&amp;compact=true&amp;parentOrigin=https://jszfcg.jsczt.cn#_Toc10047" w:history="1">
            <w:r>
              <w:rPr>
                <w:rStyle w:val="752"/>
                <w:rFonts w:ascii="Times New Roman" w:hAnsi="Times New Roman" w:eastAsia="Times New Roman" w:cs="Times New Roman"/>
                <w:color w:val="0000ee"/>
                <w:sz w:val="28"/>
                <w:u w:val="none"/>
              </w:rPr>
              <w:t xml:space="preserve">2.5.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26" w:tooltip="https://jszfcg.jsczt.cn/jszc/onlyoffice/7.2.1-34/web-apps/apps/documenteditor/main/index_loader.html?_dc=7.2.1-34&amp;lang=zh&amp;customer=%20&amp;logo=%20&amp;headerlogo=%2Ffavicon.ico&amp;frameEditorId=iframePage&amp;compact=true&amp;parentOrigin=https://jszfcg.jsczt.cn#_Toc8675" w:history="1">
            <w:r>
              <w:rPr>
                <w:rStyle w:val="752"/>
                <w:rFonts w:ascii="Times New Roman" w:hAnsi="Times New Roman" w:eastAsia="Times New Roman" w:cs="Times New Roman"/>
                <w:color w:val="0000ee"/>
                <w:sz w:val="28"/>
                <w:u w:val="none"/>
              </w:rPr>
              <w:t xml:space="preserve">3.</w:t>
            </w:r>
            <w:r>
              <w:rPr>
                <w:rStyle w:val="752"/>
                <w:rFonts w:ascii="FangSong" w:hAnsi="FangSong" w:eastAsia="FangSong" w:cs="FangSong"/>
                <w:color w:val="0000ee"/>
                <w:sz w:val="28"/>
                <w:u w:val="single"/>
              </w:rPr>
              <w:t xml:space="preserve">市教育局阳光招生平台升级（</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27" w:tooltip="https://jszfcg.jsczt.cn/jszc/onlyoffice/7.2.1-34/web-apps/apps/documenteditor/main/index_loader.html?_dc=7.2.1-34&amp;lang=zh&amp;customer=%20&amp;logo=%20&amp;headerlogo=%2Ffavicon.ico&amp;frameEditorId=iframePage&amp;compact=true&amp;parentOrigin=https://jszfcg.jsczt.cn#_Toc10492" w:history="1">
            <w:r>
              <w:rPr>
                <w:rStyle w:val="752"/>
                <w:rFonts w:ascii="Times New Roman" w:hAnsi="Times New Roman" w:eastAsia="Times New Roman" w:cs="Times New Roman"/>
                <w:color w:val="0000ee"/>
                <w:sz w:val="28"/>
                <w:u w:val="none"/>
              </w:rPr>
              <w:t xml:space="preserve">3.1.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28" w:tooltip="https://jszfcg.jsczt.cn/jszc/onlyoffice/7.2.1-34/web-apps/apps/documenteditor/main/index_loader.html?_dc=7.2.1-34&amp;lang=zh&amp;customer=%20&amp;logo=%20&amp;headerlogo=%2Ffavicon.ico&amp;frameEditorId=iframePage&amp;compact=true&amp;parentOrigin=https://jszfcg.jsczt.cn#_Toc16080" w:history="1">
            <w:r>
              <w:rPr>
                <w:rStyle w:val="752"/>
                <w:rFonts w:ascii="Times New Roman" w:hAnsi="Times New Roman" w:eastAsia="Times New Roman" w:cs="Times New Roman"/>
                <w:color w:val="0000ee"/>
                <w:sz w:val="28"/>
                <w:u w:val="none"/>
              </w:rPr>
              <w:t xml:space="preserve">3.2.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29" w:tooltip="https://jszfcg.jsczt.cn/jszc/onlyoffice/7.2.1-34/web-apps/apps/documenteditor/main/index_loader.html?_dc=7.2.1-34&amp;lang=zh&amp;customer=%20&amp;logo=%20&amp;headerlogo=%2Ffavicon.ico&amp;frameEditorId=iframePage&amp;compact=true&amp;parentOrigin=https://jszfcg.jsczt.cn#_Toc2926" w:history="1">
            <w:r>
              <w:rPr>
                <w:rStyle w:val="752"/>
                <w:rFonts w:ascii="Times New Roman" w:hAnsi="Times New Roman" w:eastAsia="Times New Roman" w:cs="Times New Roman"/>
                <w:color w:val="0000ee"/>
                <w:sz w:val="28"/>
                <w:u w:val="none"/>
              </w:rPr>
              <w:t xml:space="preserve">3.3.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30" w:tooltip="https://jszfcg.jsczt.cn/jszc/onlyoffice/7.2.1-34/web-apps/apps/documenteditor/main/index_loader.html?_dc=7.2.1-34&amp;lang=zh&amp;customer=%20&amp;logo=%20&amp;headerlogo=%2Ffavicon.ico&amp;frameEditorId=iframePage&amp;compact=true&amp;parentOrigin=https://jszfcg.jsczt.cn#_Toc3321" w:history="1">
            <w:r>
              <w:rPr>
                <w:rStyle w:val="752"/>
                <w:rFonts w:ascii="Times New Roman" w:hAnsi="Times New Roman" w:eastAsia="Times New Roman" w:cs="Times New Roman"/>
                <w:color w:val="0000ee"/>
                <w:sz w:val="28"/>
                <w:u w:val="none"/>
              </w:rPr>
              <w:t xml:space="preserve">3.4.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31" w:tooltip="https://jszfcg.jsczt.cn/jszc/onlyoffice/7.2.1-34/web-apps/apps/documenteditor/main/index_loader.html?_dc=7.2.1-34&amp;lang=zh&amp;customer=%20&amp;logo=%20&amp;headerlogo=%2Ffavicon.ico&amp;frameEditorId=iframePage&amp;compact=true&amp;parentOrigin=https://jszfcg.jsczt.cn#_Toc23830" w:history="1">
            <w:r>
              <w:rPr>
                <w:rStyle w:val="752"/>
                <w:rFonts w:ascii="Times New Roman" w:hAnsi="Times New Roman" w:eastAsia="Times New Roman" w:cs="Times New Roman"/>
                <w:color w:val="0000ee"/>
                <w:sz w:val="28"/>
                <w:u w:val="none"/>
              </w:rPr>
              <w:t xml:space="preserve">3.5.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32" w:tooltip="https://jszfcg.jsczt.cn/jszc/onlyoffice/7.2.1-34/web-apps/apps/documenteditor/main/index_loader.html?_dc=7.2.1-34&amp;lang=zh&amp;customer=%20&amp;logo=%20&amp;headerlogo=%2Ffavicon.ico&amp;frameEditorId=iframePage&amp;compact=true&amp;parentOrigin=https://jszfcg.jsczt.cn#_Toc3509" w:history="1">
            <w:r>
              <w:rPr>
                <w:rStyle w:val="752"/>
                <w:rFonts w:ascii="Times New Roman" w:hAnsi="Times New Roman" w:eastAsia="Times New Roman" w:cs="Times New Roman"/>
                <w:color w:val="0000ee"/>
                <w:sz w:val="28"/>
                <w:u w:val="none"/>
              </w:rPr>
              <w:t xml:space="preserve">4.</w:t>
            </w:r>
            <w:r>
              <w:rPr>
                <w:rStyle w:val="752"/>
                <w:rFonts w:ascii="FangSong" w:hAnsi="FangSong" w:eastAsia="FangSong" w:cs="FangSong"/>
                <w:color w:val="0000ee"/>
                <w:sz w:val="28"/>
                <w:u w:val="single"/>
              </w:rPr>
              <w:t xml:space="preserve">市司法局</w:t>
            </w:r>
            <w:r>
              <w:rPr>
                <w:rStyle w:val="752"/>
                <w:rFonts w:ascii="Times New Roman" w:hAnsi="Times New Roman" w:eastAsia="Times New Roman" w:cs="Times New Roman"/>
                <w:color w:val="0000ee"/>
                <w:sz w:val="28"/>
                <w:u w:val="single"/>
              </w:rPr>
              <w:t xml:space="preserve">“</w:t>
            </w:r>
            <w:r>
              <w:rPr>
                <w:rStyle w:val="752"/>
                <w:rFonts w:ascii="FangSong" w:hAnsi="FangSong" w:eastAsia="FangSong" w:cs="FangSong"/>
                <w:color w:val="0000ee"/>
                <w:sz w:val="28"/>
                <w:u w:val="single"/>
              </w:rPr>
              <w:t xml:space="preserve">泰</w:t>
            </w:r>
            <w:r>
              <w:rPr>
                <w:rStyle w:val="752"/>
                <w:rFonts w:ascii="Times New Roman" w:hAnsi="Times New Roman" w:eastAsia="Times New Roman" w:cs="Times New Roman"/>
                <w:color w:val="0000ee"/>
                <w:sz w:val="28"/>
                <w:u w:val="single"/>
              </w:rPr>
              <w:t xml:space="preserve">E</w:t>
            </w:r>
            <w:r>
              <w:rPr>
                <w:rStyle w:val="752"/>
                <w:rFonts w:ascii="FangSong" w:hAnsi="FangSong" w:eastAsia="FangSong" w:cs="FangSong"/>
                <w:color w:val="0000ee"/>
                <w:sz w:val="28"/>
                <w:u w:val="single"/>
              </w:rPr>
              <w:t xml:space="preserve">法</w:t>
            </w:r>
            <w:r>
              <w:rPr>
                <w:rStyle w:val="752"/>
                <w:rFonts w:ascii="Times New Roman" w:hAnsi="Times New Roman" w:eastAsia="Times New Roman" w:cs="Times New Roman"/>
                <w:color w:val="0000ee"/>
                <w:sz w:val="28"/>
                <w:u w:val="single"/>
              </w:rPr>
              <w:t xml:space="preserve">”</w:t>
            </w:r>
            <w:r>
              <w:rPr>
                <w:rStyle w:val="752"/>
                <w:rFonts w:ascii="FangSong" w:hAnsi="FangSong" w:eastAsia="FangSong" w:cs="FangSong"/>
                <w:color w:val="0000ee"/>
                <w:sz w:val="28"/>
                <w:u w:val="single"/>
              </w:rPr>
              <w:t xml:space="preserve">合法性审查应用系统（</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33" w:tooltip="https://jszfcg.jsczt.cn/jszc/onlyoffice/7.2.1-34/web-apps/apps/documenteditor/main/index_loader.html?_dc=7.2.1-34&amp;lang=zh&amp;customer=%20&amp;logo=%20&amp;headerlogo=%2Ffavicon.ico&amp;frameEditorId=iframePage&amp;compact=true&amp;parentOrigin=https://jszfcg.jsczt.cn#_Toc31588" w:history="1">
            <w:r>
              <w:rPr>
                <w:rStyle w:val="752"/>
                <w:rFonts w:ascii="Times New Roman" w:hAnsi="Times New Roman" w:eastAsia="Times New Roman" w:cs="Times New Roman"/>
                <w:color w:val="0000ee"/>
                <w:sz w:val="28"/>
                <w:u w:val="none"/>
              </w:rPr>
              <w:t xml:space="preserve">4.1.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34" w:tooltip="https://jszfcg.jsczt.cn/jszc/onlyoffice/7.2.1-34/web-apps/apps/documenteditor/main/index_loader.html?_dc=7.2.1-34&amp;lang=zh&amp;customer=%20&amp;logo=%20&amp;headerlogo=%2Ffavicon.ico&amp;frameEditorId=iframePage&amp;compact=true&amp;parentOrigin=https://jszfcg.jsczt.cn#_Toc19548" w:history="1">
            <w:r>
              <w:rPr>
                <w:rStyle w:val="752"/>
                <w:rFonts w:ascii="Times New Roman" w:hAnsi="Times New Roman" w:eastAsia="Times New Roman" w:cs="Times New Roman"/>
                <w:color w:val="0000ee"/>
                <w:sz w:val="28"/>
                <w:u w:val="none"/>
              </w:rPr>
              <w:t xml:space="preserve">4.2.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35" w:tooltip="https://jszfcg.jsczt.cn/jszc/onlyoffice/7.2.1-34/web-apps/apps/documenteditor/main/index_loader.html?_dc=7.2.1-34&amp;lang=zh&amp;customer=%20&amp;logo=%20&amp;headerlogo=%2Ffavicon.ico&amp;frameEditorId=iframePage&amp;compact=true&amp;parentOrigin=https://jszfcg.jsczt.cn#_Toc342" w:history="1">
            <w:r>
              <w:rPr>
                <w:rStyle w:val="752"/>
                <w:rFonts w:ascii="Times New Roman" w:hAnsi="Times New Roman" w:eastAsia="Times New Roman" w:cs="Times New Roman"/>
                <w:color w:val="0000ee"/>
                <w:sz w:val="28"/>
                <w:u w:val="none"/>
              </w:rPr>
              <w:t xml:space="preserve">4.3.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36" w:tooltip="https://jszfcg.jsczt.cn/jszc/onlyoffice/7.2.1-34/web-apps/apps/documenteditor/main/index_loader.html?_dc=7.2.1-34&amp;lang=zh&amp;customer=%20&amp;logo=%20&amp;headerlogo=%2Ffavicon.ico&amp;frameEditorId=iframePage&amp;compact=true&amp;parentOrigin=https://jszfcg.jsczt.cn#_Toc18676" w:history="1">
            <w:r>
              <w:rPr>
                <w:rStyle w:val="752"/>
                <w:rFonts w:ascii="Times New Roman" w:hAnsi="Times New Roman" w:eastAsia="Times New Roman" w:cs="Times New Roman"/>
                <w:color w:val="0000ee"/>
                <w:sz w:val="28"/>
                <w:u w:val="none"/>
              </w:rPr>
              <w:t xml:space="preserve">4.4.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37" w:tooltip="https://jszfcg.jsczt.cn/jszc/onlyoffice/7.2.1-34/web-apps/apps/documenteditor/main/index_loader.html?_dc=7.2.1-34&amp;lang=zh&amp;customer=%20&amp;logo=%20&amp;headerlogo=%2Ffavicon.ico&amp;frameEditorId=iframePage&amp;compact=true&amp;parentOrigin=https://jszfcg.jsczt.cn#_Toc25578" w:history="1">
            <w:r>
              <w:rPr>
                <w:rStyle w:val="752"/>
                <w:rFonts w:ascii="Times New Roman" w:hAnsi="Times New Roman" w:eastAsia="Times New Roman" w:cs="Times New Roman"/>
                <w:color w:val="0000ee"/>
                <w:sz w:val="28"/>
                <w:u w:val="none"/>
              </w:rPr>
              <w:t xml:space="preserve">4.5.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38" w:tooltip="https://jszfcg.jsczt.cn/jszc/onlyoffice/7.2.1-34/web-apps/apps/documenteditor/main/index_loader.html?_dc=7.2.1-34&amp;lang=zh&amp;customer=%20&amp;logo=%20&amp;headerlogo=%2Ffavicon.ico&amp;frameEditorId=iframePage&amp;compact=true&amp;parentOrigin=https://jszfcg.jsczt.cn#_Toc3399" w:history="1">
            <w:r>
              <w:rPr>
                <w:rStyle w:val="752"/>
                <w:rFonts w:ascii="Times New Roman" w:hAnsi="Times New Roman" w:eastAsia="Times New Roman" w:cs="Times New Roman"/>
                <w:color w:val="0000ee"/>
                <w:sz w:val="28"/>
                <w:u w:val="none"/>
              </w:rPr>
              <w:t xml:space="preserve">5.</w:t>
            </w:r>
            <w:r>
              <w:rPr>
                <w:rStyle w:val="752"/>
                <w:rFonts w:ascii="FangSong" w:hAnsi="FangSong" w:eastAsia="FangSong" w:cs="FangSong"/>
                <w:color w:val="0000ee"/>
                <w:sz w:val="28"/>
                <w:u w:val="single"/>
              </w:rPr>
              <w:t xml:space="preserve">市住建局</w:t>
            </w:r>
            <w:r>
              <w:rPr>
                <w:rStyle w:val="752"/>
                <w:rFonts w:ascii="Times New Roman" w:hAnsi="Times New Roman" w:eastAsia="Times New Roman" w:cs="Times New Roman"/>
                <w:color w:val="0000ee"/>
                <w:sz w:val="28"/>
                <w:u w:val="single"/>
              </w:rPr>
              <w:t xml:space="preserve">“</w:t>
            </w:r>
            <w:r>
              <w:rPr>
                <w:rStyle w:val="752"/>
                <w:rFonts w:ascii="FangSong" w:hAnsi="FangSong" w:eastAsia="FangSong" w:cs="FangSong"/>
                <w:color w:val="0000ee"/>
                <w:sz w:val="28"/>
                <w:u w:val="single"/>
              </w:rPr>
              <w:t xml:space="preserve">智慧住建</w:t>
            </w:r>
            <w:r>
              <w:rPr>
                <w:rStyle w:val="752"/>
                <w:rFonts w:ascii="Times New Roman" w:hAnsi="Times New Roman" w:eastAsia="Times New Roman" w:cs="Times New Roman"/>
                <w:color w:val="0000ee"/>
                <w:sz w:val="28"/>
                <w:u w:val="single"/>
              </w:rPr>
              <w:t xml:space="preserve">”</w:t>
            </w:r>
            <w:r>
              <w:rPr>
                <w:rStyle w:val="752"/>
                <w:rFonts w:ascii="FangSong" w:hAnsi="FangSong" w:eastAsia="FangSong" w:cs="FangSong"/>
                <w:color w:val="0000ee"/>
                <w:sz w:val="28"/>
                <w:u w:val="single"/>
              </w:rPr>
              <w:t xml:space="preserve">政务信息化平台升级（</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39" w:tooltip="https://jszfcg.jsczt.cn/jszc/onlyoffice/7.2.1-34/web-apps/apps/documenteditor/main/index_loader.html?_dc=7.2.1-34&amp;lang=zh&amp;customer=%20&amp;logo=%20&amp;headerlogo=%2Ffavicon.ico&amp;frameEditorId=iframePage&amp;compact=true&amp;parentOrigin=https://jszfcg.jsczt.cn#_Toc29538" w:history="1">
            <w:r>
              <w:rPr>
                <w:rStyle w:val="752"/>
                <w:rFonts w:ascii="Times New Roman" w:hAnsi="Times New Roman" w:eastAsia="Times New Roman" w:cs="Times New Roman"/>
                <w:color w:val="0000ee"/>
                <w:sz w:val="28"/>
                <w:u w:val="none"/>
              </w:rPr>
              <w:t xml:space="preserve">5.1.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0" w:tooltip="https://jszfcg.jsczt.cn/jszc/onlyoffice/7.2.1-34/web-apps/apps/documenteditor/main/index_loader.html?_dc=7.2.1-34&amp;lang=zh&amp;customer=%20&amp;logo=%20&amp;headerlogo=%2Ffavicon.ico&amp;frameEditorId=iframePage&amp;compact=true&amp;parentOrigin=https://jszfcg.jsczt.cn#_Toc26541" w:history="1">
            <w:r>
              <w:rPr>
                <w:rStyle w:val="752"/>
                <w:rFonts w:ascii="Times New Roman" w:hAnsi="Times New Roman" w:eastAsia="Times New Roman" w:cs="Times New Roman"/>
                <w:color w:val="0000ee"/>
                <w:sz w:val="28"/>
                <w:u w:val="none"/>
              </w:rPr>
              <w:t xml:space="preserve">5.2.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1" w:tooltip="https://jszfcg.jsczt.cn/jszc/onlyoffice/7.2.1-34/web-apps/apps/documenteditor/main/index_loader.html?_dc=7.2.1-34&amp;lang=zh&amp;customer=%20&amp;logo=%20&amp;headerlogo=%2Ffavicon.ico&amp;frameEditorId=iframePage&amp;compact=true&amp;parentOrigin=https://jszfcg.jsczt.cn#_Toc28522" w:history="1">
            <w:r>
              <w:rPr>
                <w:rStyle w:val="752"/>
                <w:rFonts w:ascii="Times New Roman" w:hAnsi="Times New Roman" w:eastAsia="Times New Roman" w:cs="Times New Roman"/>
                <w:color w:val="0000ee"/>
                <w:sz w:val="28"/>
                <w:u w:val="none"/>
              </w:rPr>
              <w:t xml:space="preserve">5.3.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2" w:tooltip="https://jszfcg.jsczt.cn/jszc/onlyoffice/7.2.1-34/web-apps/apps/documenteditor/main/index_loader.html?_dc=7.2.1-34&amp;lang=zh&amp;customer=%20&amp;logo=%20&amp;headerlogo=%2Ffavicon.ico&amp;frameEditorId=iframePage&amp;compact=true&amp;parentOrigin=https://jszfcg.jsczt.cn#_Toc24840" w:history="1">
            <w:r>
              <w:rPr>
                <w:rStyle w:val="752"/>
                <w:rFonts w:ascii="Times New Roman" w:hAnsi="Times New Roman" w:eastAsia="Times New Roman" w:cs="Times New Roman"/>
                <w:color w:val="0000ee"/>
                <w:sz w:val="28"/>
                <w:u w:val="none"/>
              </w:rPr>
              <w:t xml:space="preserve">5.4.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3" w:tooltip="https://jszfcg.jsczt.cn/jszc/onlyoffice/7.2.1-34/web-apps/apps/documenteditor/main/index_loader.html?_dc=7.2.1-34&amp;lang=zh&amp;customer=%20&amp;logo=%20&amp;headerlogo=%2Ffavicon.ico&amp;frameEditorId=iframePage&amp;compact=true&amp;parentOrigin=https://jszfcg.jsczt.cn#_Toc3483" w:history="1">
            <w:r>
              <w:rPr>
                <w:rStyle w:val="752"/>
                <w:rFonts w:ascii="Times New Roman" w:hAnsi="Times New Roman" w:eastAsia="Times New Roman" w:cs="Times New Roman"/>
                <w:color w:val="0000ee"/>
                <w:sz w:val="28"/>
                <w:u w:val="none"/>
              </w:rPr>
              <w:t xml:space="preserve">5.5.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44" w:tooltip="https://jszfcg.jsczt.cn/jszc/onlyoffice/7.2.1-34/web-apps/apps/documenteditor/main/index_loader.html?_dc=7.2.1-34&amp;lang=zh&amp;customer=%20&amp;logo=%20&amp;headerlogo=%2Ffavicon.ico&amp;frameEditorId=iframePage&amp;compact=true&amp;parentOrigin=https://jszfcg.jsczt.cn#_Toc28618" w:history="1">
            <w:r>
              <w:rPr>
                <w:rStyle w:val="752"/>
                <w:rFonts w:ascii="Times New Roman" w:hAnsi="Times New Roman" w:eastAsia="Times New Roman" w:cs="Times New Roman"/>
                <w:color w:val="0000ee"/>
                <w:sz w:val="28"/>
                <w:u w:val="none"/>
              </w:rPr>
              <w:t xml:space="preserve">6.</w:t>
            </w:r>
            <w:r>
              <w:rPr>
                <w:rStyle w:val="752"/>
                <w:rFonts w:ascii="FangSong" w:hAnsi="FangSong" w:eastAsia="FangSong" w:cs="FangSong"/>
                <w:color w:val="0000ee"/>
                <w:sz w:val="28"/>
                <w:u w:val="single"/>
              </w:rPr>
              <w:t xml:space="preserve">市急救中心智慧急救系统升级（</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5" w:tooltip="https://jszfcg.jsczt.cn/jszc/onlyoffice/7.2.1-34/web-apps/apps/documenteditor/main/index_loader.html?_dc=7.2.1-34&amp;lang=zh&amp;customer=%20&amp;logo=%20&amp;headerlogo=%2Ffavicon.ico&amp;frameEditorId=iframePage&amp;compact=true&amp;parentOrigin=https://jszfcg.jsczt.cn#_Toc3318" w:history="1">
            <w:r>
              <w:rPr>
                <w:rStyle w:val="752"/>
                <w:rFonts w:ascii="Times New Roman" w:hAnsi="Times New Roman" w:eastAsia="Times New Roman" w:cs="Times New Roman"/>
                <w:color w:val="0000ee"/>
                <w:sz w:val="28"/>
                <w:u w:val="none"/>
              </w:rPr>
              <w:t xml:space="preserve">6.1.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6" w:tooltip="https://jszfcg.jsczt.cn/jszc/onlyoffice/7.2.1-34/web-apps/apps/documenteditor/main/index_loader.html?_dc=7.2.1-34&amp;lang=zh&amp;customer=%20&amp;logo=%20&amp;headerlogo=%2Ffavicon.ico&amp;frameEditorId=iframePage&amp;compact=true&amp;parentOrigin=https://jszfcg.jsczt.cn#_Toc14329" w:history="1">
            <w:r>
              <w:rPr>
                <w:rStyle w:val="752"/>
                <w:rFonts w:ascii="Times New Roman" w:hAnsi="Times New Roman" w:eastAsia="Times New Roman" w:cs="Times New Roman"/>
                <w:color w:val="0000ee"/>
                <w:sz w:val="28"/>
                <w:u w:val="none"/>
              </w:rPr>
              <w:t xml:space="preserve">6.2.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7" w:tooltip="https://jszfcg.jsczt.cn/jszc/onlyoffice/7.2.1-34/web-apps/apps/documenteditor/main/index_loader.html?_dc=7.2.1-34&amp;lang=zh&amp;customer=%20&amp;logo=%20&amp;headerlogo=%2Ffavicon.ico&amp;frameEditorId=iframePage&amp;compact=true&amp;parentOrigin=https://jszfcg.jsczt.cn#_Toc1606" w:history="1">
            <w:r>
              <w:rPr>
                <w:rStyle w:val="752"/>
                <w:rFonts w:ascii="Times New Roman" w:hAnsi="Times New Roman" w:eastAsia="Times New Roman" w:cs="Times New Roman"/>
                <w:color w:val="0000ee"/>
                <w:sz w:val="28"/>
                <w:u w:val="none"/>
              </w:rPr>
              <w:t xml:space="preserve">6.3.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8" w:tooltip="https://jszfcg.jsczt.cn/jszc/onlyoffice/7.2.1-34/web-apps/apps/documenteditor/main/index_loader.html?_dc=7.2.1-34&amp;lang=zh&amp;customer=%20&amp;logo=%20&amp;headerlogo=%2Ffavicon.ico&amp;frameEditorId=iframePage&amp;compact=true&amp;parentOrigin=https://jszfcg.jsczt.cn#_Toc26769" w:history="1">
            <w:r>
              <w:rPr>
                <w:rStyle w:val="752"/>
                <w:rFonts w:ascii="Times New Roman" w:hAnsi="Times New Roman" w:eastAsia="Times New Roman" w:cs="Times New Roman"/>
                <w:color w:val="0000ee"/>
                <w:sz w:val="28"/>
                <w:u w:val="none"/>
              </w:rPr>
              <w:t xml:space="preserve">6.4.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49" w:tooltip="https://jszfcg.jsczt.cn/jszc/onlyoffice/7.2.1-34/web-apps/apps/documenteditor/main/index_loader.html?_dc=7.2.1-34&amp;lang=zh&amp;customer=%20&amp;logo=%20&amp;headerlogo=%2Ffavicon.ico&amp;frameEditorId=iframePage&amp;compact=true&amp;parentOrigin=https://jszfcg.jsczt.cn#_Toc26764" w:history="1">
            <w:r>
              <w:rPr>
                <w:rStyle w:val="752"/>
                <w:rFonts w:ascii="Times New Roman" w:hAnsi="Times New Roman" w:eastAsia="Times New Roman" w:cs="Times New Roman"/>
                <w:color w:val="0000ee"/>
                <w:sz w:val="28"/>
                <w:u w:val="none"/>
              </w:rPr>
              <w:t xml:space="preserve">6.5.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50" w:tooltip="https://jszfcg.jsczt.cn/jszc/onlyoffice/7.2.1-34/web-apps/apps/documenteditor/main/index_loader.html?_dc=7.2.1-34&amp;lang=zh&amp;customer=%20&amp;logo=%20&amp;headerlogo=%2Ffavicon.ico&amp;frameEditorId=iframePage&amp;compact=true&amp;parentOrigin=https://jszfcg.jsczt.cn#_Toc2226" w:history="1">
            <w:r>
              <w:rPr>
                <w:rStyle w:val="752"/>
                <w:rFonts w:ascii="Times New Roman" w:hAnsi="Times New Roman" w:eastAsia="Times New Roman" w:cs="Times New Roman"/>
                <w:color w:val="0000ee"/>
                <w:sz w:val="28"/>
                <w:u w:val="none"/>
              </w:rPr>
              <w:t xml:space="preserve">7.</w:t>
            </w:r>
            <w:r>
              <w:rPr>
                <w:rStyle w:val="752"/>
                <w:rFonts w:ascii="FangSong" w:hAnsi="FangSong" w:eastAsia="FangSong" w:cs="FangSong"/>
                <w:color w:val="0000ee"/>
                <w:sz w:val="28"/>
                <w:u w:val="single"/>
              </w:rPr>
              <w:t xml:space="preserve">市卫健委健康泰州数字化能力提升工程升级（</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51" w:tooltip="https://jszfcg.jsczt.cn/jszc/onlyoffice/7.2.1-34/web-apps/apps/documenteditor/main/index_loader.html?_dc=7.2.1-34&amp;lang=zh&amp;customer=%20&amp;logo=%20&amp;headerlogo=%2Ffavicon.ico&amp;frameEditorId=iframePage&amp;compact=true&amp;parentOrigin=https://jszfcg.jsczt.cn#_Toc18922" w:history="1">
            <w:r>
              <w:rPr>
                <w:rStyle w:val="752"/>
                <w:rFonts w:ascii="Times New Roman" w:hAnsi="Times New Roman" w:eastAsia="Times New Roman" w:cs="Times New Roman"/>
                <w:color w:val="0000ee"/>
                <w:sz w:val="28"/>
                <w:u w:val="none"/>
              </w:rPr>
              <w:t xml:space="preserve">7.1.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52" w:tooltip="https://jszfcg.jsczt.cn/jszc/onlyoffice/7.2.1-34/web-apps/apps/documenteditor/main/index_loader.html?_dc=7.2.1-34&amp;lang=zh&amp;customer=%20&amp;logo=%20&amp;headerlogo=%2Ffavicon.ico&amp;frameEditorId=iframePage&amp;compact=true&amp;parentOrigin=https://jszfcg.jsczt.cn#_Toc23417" w:history="1">
            <w:r>
              <w:rPr>
                <w:rStyle w:val="752"/>
                <w:rFonts w:ascii="Times New Roman" w:hAnsi="Times New Roman" w:eastAsia="Times New Roman" w:cs="Times New Roman"/>
                <w:color w:val="0000ee"/>
                <w:sz w:val="28"/>
                <w:u w:val="none"/>
              </w:rPr>
              <w:t xml:space="preserve">7.2.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53" w:tooltip="https://jszfcg.jsczt.cn/jszc/onlyoffice/7.2.1-34/web-apps/apps/documenteditor/main/index_loader.html?_dc=7.2.1-34&amp;lang=zh&amp;customer=%20&amp;logo=%20&amp;headerlogo=%2Ffavicon.ico&amp;frameEditorId=iframePage&amp;compact=true&amp;parentOrigin=https://jszfcg.jsczt.cn#_Toc14489" w:history="1">
            <w:r>
              <w:rPr>
                <w:rStyle w:val="752"/>
                <w:rFonts w:ascii="Times New Roman" w:hAnsi="Times New Roman" w:eastAsia="Times New Roman" w:cs="Times New Roman"/>
                <w:color w:val="0000ee"/>
                <w:sz w:val="28"/>
                <w:u w:val="none"/>
              </w:rPr>
              <w:t xml:space="preserve">7.3.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54" w:tooltip="https://jszfcg.jsczt.cn/jszc/onlyoffice/7.2.1-34/web-apps/apps/documenteditor/main/index_loader.html?_dc=7.2.1-34&amp;lang=zh&amp;customer=%20&amp;logo=%20&amp;headerlogo=%2Ffavicon.ico&amp;frameEditorId=iframePage&amp;compact=true&amp;parentOrigin=https://jszfcg.jsczt.cn#_Toc30589" w:history="1">
            <w:r>
              <w:rPr>
                <w:rStyle w:val="752"/>
                <w:rFonts w:ascii="Times New Roman" w:hAnsi="Times New Roman" w:eastAsia="Times New Roman" w:cs="Times New Roman"/>
                <w:color w:val="0000ee"/>
                <w:sz w:val="28"/>
                <w:u w:val="none"/>
              </w:rPr>
              <w:t xml:space="preserve">7.4.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55" w:tooltip="https://jszfcg.jsczt.cn/jszc/onlyoffice/7.2.1-34/web-apps/apps/documenteditor/main/index_loader.html?_dc=7.2.1-34&amp;lang=zh&amp;customer=%20&amp;logo=%20&amp;headerlogo=%2Ffavicon.ico&amp;frameEditorId=iframePage&amp;compact=true&amp;parentOrigin=https://jszfcg.jsczt.cn#_Toc21752" w:history="1">
            <w:r>
              <w:rPr>
                <w:rStyle w:val="752"/>
                <w:rFonts w:ascii="Times New Roman" w:hAnsi="Times New Roman" w:eastAsia="Times New Roman" w:cs="Times New Roman"/>
                <w:color w:val="0000ee"/>
                <w:sz w:val="28"/>
                <w:u w:val="none"/>
              </w:rPr>
              <w:t xml:space="preserve">7.5.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56" w:tooltip="https://jszfcg.jsczt.cn/jszc/onlyoffice/7.2.1-34/web-apps/apps/documenteditor/main/index_loader.html?_dc=7.2.1-34&amp;lang=zh&amp;customer=%20&amp;logo=%20&amp;headerlogo=%2Ffavicon.ico&amp;frameEditorId=iframePage&amp;compact=true&amp;parentOrigin=https://jszfcg.jsczt.cn#_Toc22333" w:history="1">
            <w:r>
              <w:rPr>
                <w:rStyle w:val="752"/>
                <w:rFonts w:ascii="Times New Roman" w:hAnsi="Times New Roman" w:eastAsia="Times New Roman" w:cs="Times New Roman"/>
                <w:color w:val="0000ee"/>
                <w:sz w:val="28"/>
                <w:u w:val="none"/>
              </w:rPr>
              <w:t xml:space="preserve">8.</w:t>
            </w:r>
            <w:r>
              <w:rPr>
                <w:rStyle w:val="752"/>
                <w:rFonts w:ascii="FangSong" w:hAnsi="FangSong" w:eastAsia="FangSong" w:cs="FangSong"/>
                <w:color w:val="0000ee"/>
                <w:sz w:val="28"/>
                <w:u w:val="single"/>
              </w:rPr>
              <w:t xml:space="preserve">市退役军人事务局</w:t>
            </w:r>
            <w:r>
              <w:rPr>
                <w:rStyle w:val="752"/>
                <w:rFonts w:ascii="Times New Roman" w:hAnsi="Times New Roman" w:eastAsia="Times New Roman" w:cs="Times New Roman"/>
                <w:color w:val="0000ee"/>
                <w:sz w:val="28"/>
                <w:u w:val="single"/>
              </w:rPr>
              <w:t xml:space="preserve">“</w:t>
            </w:r>
            <w:r>
              <w:rPr>
                <w:rStyle w:val="752"/>
                <w:rFonts w:ascii="FangSong" w:hAnsi="FangSong" w:eastAsia="FangSong" w:cs="FangSong"/>
                <w:color w:val="0000ee"/>
                <w:sz w:val="28"/>
                <w:u w:val="single"/>
              </w:rPr>
              <w:t xml:space="preserve">四全</w:t>
            </w:r>
            <w:r>
              <w:rPr>
                <w:rStyle w:val="752"/>
                <w:rFonts w:ascii="Times New Roman" w:hAnsi="Times New Roman" w:eastAsia="Times New Roman" w:cs="Times New Roman"/>
                <w:color w:val="0000ee"/>
                <w:sz w:val="28"/>
                <w:u w:val="single"/>
              </w:rPr>
              <w:t xml:space="preserve">”</w:t>
            </w:r>
            <w:r>
              <w:rPr>
                <w:rStyle w:val="752"/>
                <w:rFonts w:ascii="FangSong" w:hAnsi="FangSong" w:eastAsia="FangSong" w:cs="FangSong"/>
                <w:color w:val="0000ee"/>
                <w:sz w:val="28"/>
                <w:u w:val="single"/>
              </w:rPr>
              <w:t xml:space="preserve">服务智能支持保障系统（</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57" w:tooltip="https://jszfcg.jsczt.cn/jszc/onlyoffice/7.2.1-34/web-apps/apps/documenteditor/main/index_loader.html?_dc=7.2.1-34&amp;lang=zh&amp;customer=%20&amp;logo=%20&amp;headerlogo=%2Ffavicon.ico&amp;frameEditorId=iframePage&amp;compact=true&amp;parentOrigin=https://jszfcg.jsczt.cn#_Toc1211" w:history="1">
            <w:r>
              <w:rPr>
                <w:rStyle w:val="752"/>
                <w:rFonts w:ascii="Times New Roman" w:hAnsi="Times New Roman" w:eastAsia="Times New Roman" w:cs="Times New Roman"/>
                <w:color w:val="0000ee"/>
                <w:sz w:val="28"/>
                <w:u w:val="none"/>
              </w:rPr>
              <w:t xml:space="preserve">8.1.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58" w:tooltip="https://jszfcg.jsczt.cn/jszc/onlyoffice/7.2.1-34/web-apps/apps/documenteditor/main/index_loader.html?_dc=7.2.1-34&amp;lang=zh&amp;customer=%20&amp;logo=%20&amp;headerlogo=%2Ffavicon.ico&amp;frameEditorId=iframePage&amp;compact=true&amp;parentOrigin=https://jszfcg.jsczt.cn#_Toc4619" w:history="1">
            <w:r>
              <w:rPr>
                <w:rStyle w:val="752"/>
                <w:rFonts w:ascii="Times New Roman" w:hAnsi="Times New Roman" w:eastAsia="Times New Roman" w:cs="Times New Roman"/>
                <w:color w:val="0000ee"/>
                <w:sz w:val="28"/>
                <w:u w:val="none"/>
              </w:rPr>
              <w:t xml:space="preserve">8.2.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59" w:tooltip="https://jszfcg.jsczt.cn/jszc/onlyoffice/7.2.1-34/web-apps/apps/documenteditor/main/index_loader.html?_dc=7.2.1-34&amp;lang=zh&amp;customer=%20&amp;logo=%20&amp;headerlogo=%2Ffavicon.ico&amp;frameEditorId=iframePage&amp;compact=true&amp;parentOrigin=https://jszfcg.jsczt.cn#_Toc20657" w:history="1">
            <w:r>
              <w:rPr>
                <w:rStyle w:val="752"/>
                <w:rFonts w:ascii="Times New Roman" w:hAnsi="Times New Roman" w:eastAsia="Times New Roman" w:cs="Times New Roman"/>
                <w:color w:val="0000ee"/>
                <w:sz w:val="28"/>
                <w:u w:val="none"/>
              </w:rPr>
              <w:t xml:space="preserve">8.3.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60" w:tooltip="https://jszfcg.jsczt.cn/jszc/onlyoffice/7.2.1-34/web-apps/apps/documenteditor/main/index_loader.html?_dc=7.2.1-34&amp;lang=zh&amp;customer=%20&amp;logo=%20&amp;headerlogo=%2Ffavicon.ico&amp;frameEditorId=iframePage&amp;compact=true&amp;parentOrigin=https://jszfcg.jsczt.cn#_Toc10544" w:history="1">
            <w:r>
              <w:rPr>
                <w:rStyle w:val="752"/>
                <w:rFonts w:ascii="Times New Roman" w:hAnsi="Times New Roman" w:eastAsia="Times New Roman" w:cs="Times New Roman"/>
                <w:color w:val="0000ee"/>
                <w:sz w:val="28"/>
                <w:u w:val="none"/>
              </w:rPr>
              <w:t xml:space="preserve">8.4.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61" w:tooltip="https://jszfcg.jsczt.cn/jszc/onlyoffice/7.2.1-34/web-apps/apps/documenteditor/main/index_loader.html?_dc=7.2.1-34&amp;lang=zh&amp;customer=%20&amp;logo=%20&amp;headerlogo=%2Ffavicon.ico&amp;frameEditorId=iframePage&amp;compact=true&amp;parentOrigin=https://jszfcg.jsczt.cn#_Toc18891" w:history="1">
            <w:r>
              <w:rPr>
                <w:rStyle w:val="752"/>
                <w:rFonts w:ascii="Times New Roman" w:hAnsi="Times New Roman" w:eastAsia="Times New Roman" w:cs="Times New Roman"/>
                <w:color w:val="0000ee"/>
                <w:sz w:val="28"/>
                <w:u w:val="none"/>
              </w:rPr>
              <w:t xml:space="preserve">8.5.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62" w:tooltip="https://jszfcg.jsczt.cn/jszc/onlyoffice/7.2.1-34/web-apps/apps/documenteditor/main/index_loader.html?_dc=7.2.1-34&amp;lang=zh&amp;customer=%20&amp;logo=%20&amp;headerlogo=%2Ffavicon.ico&amp;frameEditorId=iframePage&amp;compact=true&amp;parentOrigin=https://jszfcg.jsczt.cn#_Toc29541" w:history="1">
            <w:r>
              <w:rPr>
                <w:rStyle w:val="752"/>
                <w:rFonts w:ascii="Times New Roman" w:hAnsi="Times New Roman" w:eastAsia="Times New Roman" w:cs="Times New Roman"/>
                <w:color w:val="0000ee"/>
                <w:sz w:val="28"/>
                <w:u w:val="none"/>
              </w:rPr>
              <w:t xml:space="preserve">9.</w:t>
            </w:r>
            <w:r>
              <w:rPr>
                <w:rStyle w:val="752"/>
                <w:rFonts w:ascii="FangSong" w:hAnsi="FangSong" w:eastAsia="FangSong" w:cs="FangSong"/>
                <w:color w:val="0000ee"/>
                <w:sz w:val="28"/>
                <w:u w:val="single"/>
              </w:rPr>
              <w:t xml:space="preserve">市应急局智慧应急综合管理平台升级优化（</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63" w:tooltip="https://jszfcg.jsczt.cn/jszc/onlyoffice/7.2.1-34/web-apps/apps/documenteditor/main/index_loader.html?_dc=7.2.1-34&amp;lang=zh&amp;customer=%20&amp;logo=%20&amp;headerlogo=%2Ffavicon.ico&amp;frameEditorId=iframePage&amp;compact=true&amp;parentOrigin=https://jszfcg.jsczt.cn#_Toc30533" w:history="1">
            <w:r>
              <w:rPr>
                <w:rStyle w:val="752"/>
                <w:rFonts w:ascii="Times New Roman" w:hAnsi="Times New Roman" w:eastAsia="Times New Roman" w:cs="Times New Roman"/>
                <w:color w:val="0000ee"/>
                <w:sz w:val="28"/>
                <w:u w:val="none"/>
              </w:rPr>
              <w:t xml:space="preserve">9.1.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64" w:tooltip="https://jszfcg.jsczt.cn/jszc/onlyoffice/7.2.1-34/web-apps/apps/documenteditor/main/index_loader.html?_dc=7.2.1-34&amp;lang=zh&amp;customer=%20&amp;logo=%20&amp;headerlogo=%2Ffavicon.ico&amp;frameEditorId=iframePage&amp;compact=true&amp;parentOrigin=https://jszfcg.jsczt.cn#_Toc16592" w:history="1">
            <w:r>
              <w:rPr>
                <w:rStyle w:val="752"/>
                <w:rFonts w:ascii="Times New Roman" w:hAnsi="Times New Roman" w:eastAsia="Times New Roman" w:cs="Times New Roman"/>
                <w:color w:val="0000ee"/>
                <w:sz w:val="28"/>
                <w:u w:val="none"/>
              </w:rPr>
              <w:t xml:space="preserve">9.2.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65" w:tooltip="https://jszfcg.jsczt.cn/jszc/onlyoffice/7.2.1-34/web-apps/apps/documenteditor/main/index_loader.html?_dc=7.2.1-34&amp;lang=zh&amp;customer=%20&amp;logo=%20&amp;headerlogo=%2Ffavicon.ico&amp;frameEditorId=iframePage&amp;compact=true&amp;parentOrigin=https://jszfcg.jsczt.cn#_Toc7963" w:history="1">
            <w:r>
              <w:rPr>
                <w:rStyle w:val="752"/>
                <w:rFonts w:ascii="Times New Roman" w:hAnsi="Times New Roman" w:eastAsia="Times New Roman" w:cs="Times New Roman"/>
                <w:color w:val="0000ee"/>
                <w:sz w:val="28"/>
                <w:u w:val="none"/>
              </w:rPr>
              <w:t xml:space="preserve">9.3.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66" w:tooltip="https://jszfcg.jsczt.cn/jszc/onlyoffice/7.2.1-34/web-apps/apps/documenteditor/main/index_loader.html?_dc=7.2.1-34&amp;lang=zh&amp;customer=%20&amp;logo=%20&amp;headerlogo=%2Ffavicon.ico&amp;frameEditorId=iframePage&amp;compact=true&amp;parentOrigin=https://jszfcg.jsczt.cn#_Toc25636" w:history="1">
            <w:r>
              <w:rPr>
                <w:rStyle w:val="752"/>
                <w:rFonts w:ascii="Times New Roman" w:hAnsi="Times New Roman" w:eastAsia="Times New Roman" w:cs="Times New Roman"/>
                <w:color w:val="0000ee"/>
                <w:sz w:val="28"/>
                <w:u w:val="none"/>
              </w:rPr>
              <w:t xml:space="preserve">9.4.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67" w:tooltip="https://jszfcg.jsczt.cn/jszc/onlyoffice/7.2.1-34/web-apps/apps/documenteditor/main/index_loader.html?_dc=7.2.1-34&amp;lang=zh&amp;customer=%20&amp;logo=%20&amp;headerlogo=%2Ffavicon.ico&amp;frameEditorId=iframePage&amp;compact=true&amp;parentOrigin=https://jszfcg.jsczt.cn#_Toc824" w:history="1">
            <w:r>
              <w:rPr>
                <w:rStyle w:val="752"/>
                <w:rFonts w:ascii="Times New Roman" w:hAnsi="Times New Roman" w:eastAsia="Times New Roman" w:cs="Times New Roman"/>
                <w:color w:val="0000ee"/>
                <w:sz w:val="28"/>
                <w:u w:val="none"/>
              </w:rPr>
              <w:t xml:space="preserve">9.5.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68" w:tooltip="https://jszfcg.jsczt.cn/jszc/onlyoffice/7.2.1-34/web-apps/apps/documenteditor/main/index_loader.html?_dc=7.2.1-34&amp;lang=zh&amp;customer=%20&amp;logo=%20&amp;headerlogo=%2Ffavicon.ico&amp;frameEditorId=iframePage&amp;compact=true&amp;parentOrigin=https://jszfcg.jsczt.cn#_Toc29085" w:history="1">
            <w:r>
              <w:rPr>
                <w:rStyle w:val="752"/>
                <w:rFonts w:ascii="Times New Roman" w:hAnsi="Times New Roman" w:eastAsia="Times New Roman" w:cs="Times New Roman"/>
                <w:color w:val="0000ee"/>
                <w:sz w:val="28"/>
                <w:u w:val="none"/>
              </w:rPr>
              <w:t xml:space="preserve">10.</w:t>
            </w:r>
            <w:r>
              <w:rPr>
                <w:rStyle w:val="752"/>
                <w:rFonts w:ascii="FangSong" w:hAnsi="FangSong" w:eastAsia="FangSong" w:cs="FangSong"/>
                <w:color w:val="0000ee"/>
                <w:sz w:val="28"/>
                <w:u w:val="single"/>
              </w:rPr>
              <w:t xml:space="preserve">市国资国企在线监管平台升级改造（</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69" w:tooltip="https://jszfcg.jsczt.cn/jszc/onlyoffice/7.2.1-34/web-apps/apps/documenteditor/main/index_loader.html?_dc=7.2.1-34&amp;lang=zh&amp;customer=%20&amp;logo=%20&amp;headerlogo=%2Ffavicon.ico&amp;frameEditorId=iframePage&amp;compact=true&amp;parentOrigin=https://jszfcg.jsczt.cn#_Toc16636" w:history="1">
            <w:r>
              <w:rPr>
                <w:rStyle w:val="752"/>
                <w:rFonts w:ascii="Times New Roman" w:hAnsi="Times New Roman" w:eastAsia="Times New Roman" w:cs="Times New Roman"/>
                <w:color w:val="0000ee"/>
                <w:sz w:val="28"/>
                <w:u w:val="none"/>
              </w:rPr>
              <w:t xml:space="preserve">10.1.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0" w:tooltip="https://jszfcg.jsczt.cn/jszc/onlyoffice/7.2.1-34/web-apps/apps/documenteditor/main/index_loader.html?_dc=7.2.1-34&amp;lang=zh&amp;customer=%20&amp;logo=%20&amp;headerlogo=%2Ffavicon.ico&amp;frameEditorId=iframePage&amp;compact=true&amp;parentOrigin=https://jszfcg.jsczt.cn#_Toc19173" w:history="1">
            <w:r>
              <w:rPr>
                <w:rStyle w:val="752"/>
                <w:rFonts w:ascii="Times New Roman" w:hAnsi="Times New Roman" w:eastAsia="Times New Roman" w:cs="Times New Roman"/>
                <w:color w:val="0000ee"/>
                <w:sz w:val="28"/>
                <w:u w:val="none"/>
              </w:rPr>
              <w:t xml:space="preserve">10.2.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1" w:tooltip="https://jszfcg.jsczt.cn/jszc/onlyoffice/7.2.1-34/web-apps/apps/documenteditor/main/index_loader.html?_dc=7.2.1-34&amp;lang=zh&amp;customer=%20&amp;logo=%20&amp;headerlogo=%2Ffavicon.ico&amp;frameEditorId=iframePage&amp;compact=true&amp;parentOrigin=https://jszfcg.jsczt.cn#_Toc11786" w:history="1">
            <w:r>
              <w:rPr>
                <w:rStyle w:val="752"/>
                <w:rFonts w:ascii="Times New Roman" w:hAnsi="Times New Roman" w:eastAsia="Times New Roman" w:cs="Times New Roman"/>
                <w:color w:val="0000ee"/>
                <w:sz w:val="28"/>
                <w:u w:val="none"/>
              </w:rPr>
              <w:t xml:space="preserve">10.3.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2" w:tooltip="https://jszfcg.jsczt.cn/jszc/onlyoffice/7.2.1-34/web-apps/apps/documenteditor/main/index_loader.html?_dc=7.2.1-34&amp;lang=zh&amp;customer=%20&amp;logo=%20&amp;headerlogo=%2Ffavicon.ico&amp;frameEditorId=iframePage&amp;compact=true&amp;parentOrigin=https://jszfcg.jsczt.cn#_Toc1836" w:history="1">
            <w:r>
              <w:rPr>
                <w:rStyle w:val="752"/>
                <w:rFonts w:ascii="Times New Roman" w:hAnsi="Times New Roman" w:eastAsia="Times New Roman" w:cs="Times New Roman"/>
                <w:color w:val="0000ee"/>
                <w:sz w:val="28"/>
                <w:u w:val="none"/>
              </w:rPr>
              <w:t xml:space="preserve">10.4.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3" w:tooltip="https://jszfcg.jsczt.cn/jszc/onlyoffice/7.2.1-34/web-apps/apps/documenteditor/main/index_loader.html?_dc=7.2.1-34&amp;lang=zh&amp;customer=%20&amp;logo=%20&amp;headerlogo=%2Ffavicon.ico&amp;frameEditorId=iframePage&amp;compact=true&amp;parentOrigin=https://jszfcg.jsczt.cn#_Toc9348" w:history="1">
            <w:r>
              <w:rPr>
                <w:rStyle w:val="752"/>
                <w:rFonts w:ascii="Times New Roman" w:hAnsi="Times New Roman" w:eastAsia="Times New Roman" w:cs="Times New Roman"/>
                <w:color w:val="0000ee"/>
                <w:sz w:val="28"/>
                <w:u w:val="none"/>
              </w:rPr>
              <w:t xml:space="preserve">10.5.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74" w:tooltip="https://jszfcg.jsczt.cn/jszc/onlyoffice/7.2.1-34/web-apps/apps/documenteditor/main/index_loader.html?_dc=7.2.1-34&amp;lang=zh&amp;customer=%20&amp;logo=%20&amp;headerlogo=%2Ffavicon.ico&amp;frameEditorId=iframePage&amp;compact=true&amp;parentOrigin=https://jszfcg.jsczt.cn#_Toc248" w:history="1">
            <w:r>
              <w:rPr>
                <w:rStyle w:val="752"/>
                <w:rFonts w:ascii="Times New Roman" w:hAnsi="Times New Roman" w:eastAsia="Times New Roman" w:cs="Times New Roman"/>
                <w:color w:val="0000ee"/>
                <w:sz w:val="28"/>
                <w:u w:val="none"/>
              </w:rPr>
              <w:t xml:space="preserve">11.</w:t>
            </w:r>
            <w:r>
              <w:rPr>
                <w:rStyle w:val="752"/>
                <w:rFonts w:ascii="FangSong" w:hAnsi="FangSong" w:eastAsia="FangSong" w:cs="FangSong"/>
                <w:color w:val="0000ee"/>
                <w:sz w:val="28"/>
                <w:u w:val="single"/>
              </w:rPr>
              <w:t xml:space="preserve">市公共资源交易平台升级改造（</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5" w:tooltip="https://jszfcg.jsczt.cn/jszc/onlyoffice/7.2.1-34/web-apps/apps/documenteditor/main/index_loader.html?_dc=7.2.1-34&amp;lang=zh&amp;customer=%20&amp;logo=%20&amp;headerlogo=%2Ffavicon.ico&amp;frameEditorId=iframePage&amp;compact=true&amp;parentOrigin=https://jszfcg.jsczt.cn#_Toc535" w:history="1">
            <w:r>
              <w:rPr>
                <w:rStyle w:val="752"/>
                <w:rFonts w:ascii="Times New Roman" w:hAnsi="Times New Roman" w:eastAsia="Times New Roman" w:cs="Times New Roman"/>
                <w:color w:val="0000ee"/>
                <w:sz w:val="28"/>
                <w:u w:val="none"/>
              </w:rPr>
              <w:t xml:space="preserve">11.1.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6" w:tooltip="https://jszfcg.jsczt.cn/jszc/onlyoffice/7.2.1-34/web-apps/apps/documenteditor/main/index_loader.html?_dc=7.2.1-34&amp;lang=zh&amp;customer=%20&amp;logo=%20&amp;headerlogo=%2Ffavicon.ico&amp;frameEditorId=iframePage&amp;compact=true&amp;parentOrigin=https://jszfcg.jsczt.cn#_Toc24439" w:history="1">
            <w:r>
              <w:rPr>
                <w:rStyle w:val="752"/>
                <w:rFonts w:ascii="Times New Roman" w:hAnsi="Times New Roman" w:eastAsia="Times New Roman" w:cs="Times New Roman"/>
                <w:color w:val="0000ee"/>
                <w:sz w:val="28"/>
                <w:u w:val="none"/>
              </w:rPr>
              <w:t xml:space="preserve">11.2.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7" w:tooltip="https://jszfcg.jsczt.cn/jszc/onlyoffice/7.2.1-34/web-apps/apps/documenteditor/main/index_loader.html?_dc=7.2.1-34&amp;lang=zh&amp;customer=%20&amp;logo=%20&amp;headerlogo=%2Ffavicon.ico&amp;frameEditorId=iframePage&amp;compact=true&amp;parentOrigin=https://jszfcg.jsczt.cn#_Toc30862" w:history="1">
            <w:r>
              <w:rPr>
                <w:rStyle w:val="752"/>
                <w:rFonts w:ascii="Times New Roman" w:hAnsi="Times New Roman" w:eastAsia="Times New Roman" w:cs="Times New Roman"/>
                <w:color w:val="0000ee"/>
                <w:sz w:val="28"/>
                <w:u w:val="none"/>
              </w:rPr>
              <w:t xml:space="preserve">11.3.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8" w:tooltip="https://jszfcg.jsczt.cn/jszc/onlyoffice/7.2.1-34/web-apps/apps/documenteditor/main/index_loader.html?_dc=7.2.1-34&amp;lang=zh&amp;customer=%20&amp;logo=%20&amp;headerlogo=%2Ffavicon.ico&amp;frameEditorId=iframePage&amp;compact=true&amp;parentOrigin=https://jszfcg.jsczt.cn#_Toc24408" w:history="1">
            <w:r>
              <w:rPr>
                <w:rStyle w:val="752"/>
                <w:rFonts w:ascii="Times New Roman" w:hAnsi="Times New Roman" w:eastAsia="Times New Roman" w:cs="Times New Roman"/>
                <w:color w:val="0000ee"/>
                <w:sz w:val="28"/>
                <w:u w:val="none"/>
              </w:rPr>
              <w:t xml:space="preserve">11.4.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79" w:tooltip="https://jszfcg.jsczt.cn/jszc/onlyoffice/7.2.1-34/web-apps/apps/documenteditor/main/index_loader.html?_dc=7.2.1-34&amp;lang=zh&amp;customer=%20&amp;logo=%20&amp;headerlogo=%2Ffavicon.ico&amp;frameEditorId=iframePage&amp;compact=true&amp;parentOrigin=https://jszfcg.jsczt.cn#_Toc956" w:history="1">
            <w:r>
              <w:rPr>
                <w:rStyle w:val="752"/>
                <w:rFonts w:ascii="Times New Roman" w:hAnsi="Times New Roman" w:eastAsia="Times New Roman" w:cs="Times New Roman"/>
                <w:color w:val="0000ee"/>
                <w:sz w:val="28"/>
                <w:u w:val="none"/>
              </w:rPr>
              <w:t xml:space="preserve">11.5.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80" w:tooltip="https://jszfcg.jsczt.cn/jszc/onlyoffice/7.2.1-34/web-apps/apps/documenteditor/main/index_loader.html?_dc=7.2.1-34&amp;lang=zh&amp;customer=%20&amp;logo=%20&amp;headerlogo=%2Ffavicon.ico&amp;frameEditorId=iframePage&amp;compact=true&amp;parentOrigin=https://jszfcg.jsczt.cn#_Toc32631" w:history="1">
            <w:r>
              <w:rPr>
                <w:rStyle w:val="752"/>
                <w:rFonts w:ascii="Times New Roman" w:hAnsi="Times New Roman" w:eastAsia="Times New Roman" w:cs="Times New Roman"/>
                <w:color w:val="0000ee"/>
                <w:sz w:val="28"/>
                <w:u w:val="none"/>
              </w:rPr>
              <w:t xml:space="preserve">12.</w:t>
            </w:r>
            <w:r>
              <w:rPr>
                <w:rStyle w:val="752"/>
                <w:rFonts w:ascii="FangSong" w:hAnsi="FangSong" w:eastAsia="FangSong" w:cs="FangSong"/>
                <w:color w:val="0000ee"/>
                <w:sz w:val="28"/>
                <w:u w:val="single"/>
              </w:rPr>
              <w:t xml:space="preserve">市政务服务一体化平台（</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81" w:tooltip="https://jszfcg.jsczt.cn/jszc/onlyoffice/7.2.1-34/web-apps/apps/documenteditor/main/index_loader.html?_dc=7.2.1-34&amp;lang=zh&amp;customer=%20&amp;logo=%20&amp;headerlogo=%2Ffavicon.ico&amp;frameEditorId=iframePage&amp;compact=true&amp;parentOrigin=https://jszfcg.jsczt.cn#_Toc14337" w:history="1">
            <w:r>
              <w:rPr>
                <w:rStyle w:val="752"/>
                <w:rFonts w:ascii="Times New Roman" w:hAnsi="Times New Roman" w:eastAsia="Times New Roman" w:cs="Times New Roman"/>
                <w:color w:val="0000ee"/>
                <w:sz w:val="28"/>
                <w:u w:val="none"/>
              </w:rPr>
              <w:t xml:space="preserve">12.1.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82" w:tooltip="https://jszfcg.jsczt.cn/jszc/onlyoffice/7.2.1-34/web-apps/apps/documenteditor/main/index_loader.html?_dc=7.2.1-34&amp;lang=zh&amp;customer=%20&amp;logo=%20&amp;headerlogo=%2Ffavicon.ico&amp;frameEditorId=iframePage&amp;compact=true&amp;parentOrigin=https://jszfcg.jsczt.cn#_Toc6112" w:history="1">
            <w:r>
              <w:rPr>
                <w:rStyle w:val="752"/>
                <w:rFonts w:ascii="Times New Roman" w:hAnsi="Times New Roman" w:eastAsia="Times New Roman" w:cs="Times New Roman"/>
                <w:color w:val="0000ee"/>
                <w:sz w:val="28"/>
                <w:u w:val="none"/>
              </w:rPr>
              <w:t xml:space="preserve">12.2.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83" w:tooltip="https://jszfcg.jsczt.cn/jszc/onlyoffice/7.2.1-34/web-apps/apps/documenteditor/main/index_loader.html?_dc=7.2.1-34&amp;lang=zh&amp;customer=%20&amp;logo=%20&amp;headerlogo=%2Ffavicon.ico&amp;frameEditorId=iframePage&amp;compact=true&amp;parentOrigin=https://jszfcg.jsczt.cn#_Toc30139" w:history="1">
            <w:r>
              <w:rPr>
                <w:rStyle w:val="752"/>
                <w:rFonts w:ascii="Times New Roman" w:hAnsi="Times New Roman" w:eastAsia="Times New Roman" w:cs="Times New Roman"/>
                <w:color w:val="0000ee"/>
                <w:sz w:val="28"/>
                <w:u w:val="none"/>
              </w:rPr>
              <w:t xml:space="preserve">12.3.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84" w:tooltip="https://jszfcg.jsczt.cn/jszc/onlyoffice/7.2.1-34/web-apps/apps/documenteditor/main/index_loader.html?_dc=7.2.1-34&amp;lang=zh&amp;customer=%20&amp;logo=%20&amp;headerlogo=%2Ffavicon.ico&amp;frameEditorId=iframePage&amp;compact=true&amp;parentOrigin=https://jszfcg.jsczt.cn#_Toc22005" w:history="1">
            <w:r>
              <w:rPr>
                <w:rStyle w:val="752"/>
                <w:rFonts w:ascii="Times New Roman" w:hAnsi="Times New Roman" w:eastAsia="Times New Roman" w:cs="Times New Roman"/>
                <w:color w:val="0000ee"/>
                <w:sz w:val="28"/>
                <w:u w:val="none"/>
              </w:rPr>
              <w:t xml:space="preserve">12.4.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85" w:tooltip="https://jszfcg.jsczt.cn/jszc/onlyoffice/7.2.1-34/web-apps/apps/documenteditor/main/index_loader.html?_dc=7.2.1-34&amp;lang=zh&amp;customer=%20&amp;logo=%20&amp;headerlogo=%2Ffavicon.ico&amp;frameEditorId=iframePage&amp;compact=true&amp;parentOrigin=https://jszfcg.jsczt.cn#_Toc12630" w:history="1">
            <w:r>
              <w:rPr>
                <w:rStyle w:val="752"/>
                <w:rFonts w:ascii="Times New Roman" w:hAnsi="Times New Roman" w:eastAsia="Times New Roman" w:cs="Times New Roman"/>
                <w:color w:val="0000ee"/>
                <w:sz w:val="28"/>
                <w:u w:val="none"/>
              </w:rPr>
              <w:t xml:space="preserve">12.5.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86" w:tooltip="https://jszfcg.jsczt.cn/jszc/onlyoffice/7.2.1-34/web-apps/apps/documenteditor/main/index_loader.html?_dc=7.2.1-34&amp;lang=zh&amp;customer=%20&amp;logo=%20&amp;headerlogo=%2Ffavicon.ico&amp;frameEditorId=iframePage&amp;compact=true&amp;parentOrigin=https://jszfcg.jsczt.cn#_Toc11963" w:history="1">
            <w:r>
              <w:rPr>
                <w:rStyle w:val="752"/>
                <w:rFonts w:ascii="Times New Roman" w:hAnsi="Times New Roman" w:eastAsia="Times New Roman" w:cs="Times New Roman"/>
                <w:color w:val="0000ee"/>
                <w:sz w:val="28"/>
                <w:u w:val="none"/>
              </w:rPr>
              <w:t xml:space="preserve">13.</w:t>
            </w:r>
            <w:r>
              <w:rPr>
                <w:rStyle w:val="752"/>
                <w:rFonts w:ascii="FangSong" w:hAnsi="FangSong" w:eastAsia="FangSong" w:cs="FangSong"/>
                <w:color w:val="0000ee"/>
                <w:sz w:val="28"/>
                <w:u w:val="single"/>
              </w:rPr>
              <w:t xml:space="preserve">市企业全生命周期管理服务平台服务（</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87" w:tooltip="https://jszfcg.jsczt.cn/jszc/onlyoffice/7.2.1-34/web-apps/apps/documenteditor/main/index_loader.html?_dc=7.2.1-34&amp;lang=zh&amp;customer=%20&amp;logo=%20&amp;headerlogo=%2Ffavicon.ico&amp;frameEditorId=iframePage&amp;compact=true&amp;parentOrigin=https://jszfcg.jsczt.cn#_Toc15585" w:history="1">
            <w:r>
              <w:rPr>
                <w:rStyle w:val="752"/>
                <w:rFonts w:ascii="Times New Roman" w:hAnsi="Times New Roman" w:eastAsia="Times New Roman" w:cs="Times New Roman"/>
                <w:color w:val="0000ee"/>
                <w:sz w:val="28"/>
                <w:u w:val="none"/>
              </w:rPr>
              <w:t xml:space="preserve">13.1.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88" w:tooltip="https://jszfcg.jsczt.cn/jszc/onlyoffice/7.2.1-34/web-apps/apps/documenteditor/main/index_loader.html?_dc=7.2.1-34&amp;lang=zh&amp;customer=%20&amp;logo=%20&amp;headerlogo=%2Ffavicon.ico&amp;frameEditorId=iframePage&amp;compact=true&amp;parentOrigin=https://jszfcg.jsczt.cn#_Toc8349" w:history="1">
            <w:r>
              <w:rPr>
                <w:rStyle w:val="752"/>
                <w:rFonts w:ascii="Times New Roman" w:hAnsi="Times New Roman" w:eastAsia="Times New Roman" w:cs="Times New Roman"/>
                <w:color w:val="0000ee"/>
                <w:sz w:val="28"/>
                <w:u w:val="none"/>
              </w:rPr>
              <w:t xml:space="preserve">13.2.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89" w:tooltip="https://jszfcg.jsczt.cn/jszc/onlyoffice/7.2.1-34/web-apps/apps/documenteditor/main/index_loader.html?_dc=7.2.1-34&amp;lang=zh&amp;customer=%20&amp;logo=%20&amp;headerlogo=%2Ffavicon.ico&amp;frameEditorId=iframePage&amp;compact=true&amp;parentOrigin=https://jszfcg.jsczt.cn#_Toc10068" w:history="1">
            <w:r>
              <w:rPr>
                <w:rStyle w:val="752"/>
                <w:rFonts w:ascii="Times New Roman" w:hAnsi="Times New Roman" w:eastAsia="Times New Roman" w:cs="Times New Roman"/>
                <w:color w:val="0000ee"/>
                <w:sz w:val="28"/>
                <w:u w:val="none"/>
              </w:rPr>
              <w:t xml:space="preserve">13.3.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90" w:tooltip="https://jszfcg.jsczt.cn/jszc/onlyoffice/7.2.1-34/web-apps/apps/documenteditor/main/index_loader.html?_dc=7.2.1-34&amp;lang=zh&amp;customer=%20&amp;logo=%20&amp;headerlogo=%2Ffavicon.ico&amp;frameEditorId=iframePage&amp;compact=true&amp;parentOrigin=https://jszfcg.jsczt.cn#_Toc10269" w:history="1">
            <w:r>
              <w:rPr>
                <w:rStyle w:val="752"/>
                <w:rFonts w:ascii="Times New Roman" w:hAnsi="Times New Roman" w:eastAsia="Times New Roman" w:cs="Times New Roman"/>
                <w:color w:val="0000ee"/>
                <w:sz w:val="28"/>
                <w:u w:val="none"/>
              </w:rPr>
              <w:t xml:space="preserve">13.4.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91" w:tooltip="https://jszfcg.jsczt.cn/jszc/onlyoffice/7.2.1-34/web-apps/apps/documenteditor/main/index_loader.html?_dc=7.2.1-34&amp;lang=zh&amp;customer=%20&amp;logo=%20&amp;headerlogo=%2Ffavicon.ico&amp;frameEditorId=iframePage&amp;compact=true&amp;parentOrigin=https://jszfcg.jsczt.cn#_Toc9958" w:history="1">
            <w:r>
              <w:rPr>
                <w:rStyle w:val="752"/>
                <w:rFonts w:ascii="Times New Roman" w:hAnsi="Times New Roman" w:eastAsia="Times New Roman" w:cs="Times New Roman"/>
                <w:color w:val="0000ee"/>
                <w:sz w:val="28"/>
                <w:u w:val="none"/>
              </w:rPr>
              <w:t xml:space="preserve">13.5.</w:t>
            </w:r>
            <w:r>
              <w:rPr>
                <w:rStyle w:val="752"/>
                <w:rFonts w:ascii="FangSong" w:hAnsi="FangSong" w:eastAsia="FangSong" w:cs="FangSong"/>
                <w:color w:val="0000ee"/>
                <w:sz w:val="28"/>
                <w:u w:val="single"/>
              </w:rPr>
              <w:t xml:space="preserve">升级成效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92" w:tooltip="https://jszfcg.jsczt.cn/jszc/onlyoffice/7.2.1-34/web-apps/apps/documenteditor/main/index_loader.html?_dc=7.2.1-34&amp;lang=zh&amp;customer=%20&amp;logo=%20&amp;headerlogo=%2Ffavicon.ico&amp;frameEditorId=iframePage&amp;compact=true&amp;parentOrigin=https://jszfcg.jsczt.cn#_Toc28446" w:history="1">
            <w:r>
              <w:rPr>
                <w:rStyle w:val="752"/>
                <w:rFonts w:ascii="Times New Roman" w:hAnsi="Times New Roman" w:eastAsia="Times New Roman" w:cs="Times New Roman"/>
                <w:color w:val="0000ee"/>
                <w:sz w:val="28"/>
                <w:u w:val="none"/>
              </w:rPr>
              <w:t xml:space="preserve">14.</w:t>
            </w:r>
            <w:r>
              <w:rPr>
                <w:rStyle w:val="752"/>
                <w:rFonts w:ascii="FangSong" w:hAnsi="FangSong" w:eastAsia="FangSong" w:cs="FangSong"/>
                <w:color w:val="0000ee"/>
                <w:sz w:val="28"/>
                <w:u w:val="single"/>
              </w:rPr>
              <w:t xml:space="preserve">市网络和公共数据安全服务（</w:t>
            </w:r>
            <w:r>
              <w:rPr>
                <w:rStyle w:val="752"/>
                <w:rFonts w:ascii="Times New Roman" w:hAnsi="Times New Roman" w:eastAsia="Times New Roman" w:cs="Times New Roman"/>
                <w:color w:val="0000ee"/>
                <w:sz w:val="28"/>
                <w:u w:val="non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93" w:tooltip="https://jszfcg.jsczt.cn/jszc/onlyoffice/7.2.1-34/web-apps/apps/documenteditor/main/index_loader.html?_dc=7.2.1-34&amp;lang=zh&amp;customer=%20&amp;logo=%20&amp;headerlogo=%2Ffavicon.ico&amp;frameEditorId=iframePage&amp;compact=true&amp;parentOrigin=https://jszfcg.jsczt.cn#_Toc15920" w:history="1">
            <w:r>
              <w:rPr>
                <w:rStyle w:val="752"/>
                <w:rFonts w:ascii="FangSong" w:hAnsi="FangSong" w:eastAsia="FangSong" w:cs="FangSong"/>
                <w:color w:val="0000ee"/>
                <w:sz w:val="28"/>
                <w:u w:val="single"/>
              </w:rPr>
              <w:t xml:space="preserve">第一部分：泰州市网络和公共数据安全服务</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94" w:tooltip="https://jszfcg.jsczt.cn/jszc/onlyoffice/7.2.1-34/web-apps/apps/documenteditor/main/index_loader.html?_dc=7.2.1-34&amp;lang=zh&amp;customer=%20&amp;logo=%20&amp;headerlogo=%2Ffavicon.ico&amp;frameEditorId=iframePage&amp;compact=true&amp;parentOrigin=https://jszfcg.jsczt.cn#_Toc6292" w:history="1">
            <w:r>
              <w:rPr>
                <w:rStyle w:val="752"/>
                <w:rFonts w:ascii="Times New Roman" w:hAnsi="Times New Roman" w:eastAsia="Times New Roman" w:cs="Times New Roman"/>
                <w:color w:val="0000ee"/>
                <w:sz w:val="28"/>
                <w:u w:val="none"/>
              </w:rPr>
              <w:t xml:space="preserve">14.1.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95" w:tooltip="https://jszfcg.jsczt.cn/jszc/onlyoffice/7.2.1-34/web-apps/apps/documenteditor/main/index_loader.html?_dc=7.2.1-34&amp;lang=zh&amp;customer=%20&amp;logo=%20&amp;headerlogo=%2Ffavicon.ico&amp;frameEditorId=iframePage&amp;compact=true&amp;parentOrigin=https://jszfcg.jsczt.cn#_Toc16843" w:history="1">
            <w:r>
              <w:rPr>
                <w:rStyle w:val="752"/>
                <w:rFonts w:ascii="Times New Roman" w:hAnsi="Times New Roman" w:eastAsia="Times New Roman" w:cs="Times New Roman"/>
                <w:color w:val="0000ee"/>
                <w:sz w:val="28"/>
                <w:u w:val="none"/>
              </w:rPr>
              <w:t xml:space="preserve">14.2.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96" w:tooltip="https://jszfcg.jsczt.cn/jszc/onlyoffice/7.2.1-34/web-apps/apps/documenteditor/main/index_loader.html?_dc=7.2.1-34&amp;lang=zh&amp;customer=%20&amp;logo=%20&amp;headerlogo=%2Ffavicon.ico&amp;frameEditorId=iframePage&amp;compact=true&amp;parentOrigin=https://jszfcg.jsczt.cn#_Toc12144" w:history="1">
            <w:r>
              <w:rPr>
                <w:rStyle w:val="752"/>
                <w:rFonts w:ascii="Times New Roman" w:hAnsi="Times New Roman" w:eastAsia="Times New Roman" w:cs="Times New Roman"/>
                <w:color w:val="0000ee"/>
                <w:sz w:val="28"/>
                <w:u w:val="none"/>
              </w:rPr>
              <w:t xml:space="preserve">14.3.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97" w:tooltip="https://jszfcg.jsczt.cn/jszc/onlyoffice/7.2.1-34/web-apps/apps/documenteditor/main/index_loader.html?_dc=7.2.1-34&amp;lang=zh&amp;customer=%20&amp;logo=%20&amp;headerlogo=%2Ffavicon.ico&amp;frameEditorId=iframePage&amp;compact=true&amp;parentOrigin=https://jszfcg.jsczt.cn#_Toc13138" w:history="1">
            <w:r>
              <w:rPr>
                <w:rStyle w:val="752"/>
                <w:rFonts w:ascii="FangSong" w:hAnsi="FangSong" w:eastAsia="FangSong" w:cs="FangSong"/>
                <w:color w:val="0000ee"/>
                <w:sz w:val="28"/>
                <w:u w:val="single"/>
              </w:rPr>
              <w:t xml:space="preserve">第二部分：</w:t>
            </w:r>
            <w:r>
              <w:rPr>
                <w:rStyle w:val="752"/>
                <w:rFonts w:ascii="Times New Roman" w:hAnsi="Times New Roman" w:eastAsia="Times New Roman" w:cs="Times New Roman"/>
                <w:color w:val="0000ee"/>
                <w:sz w:val="28"/>
                <w:u w:val="none"/>
              </w:rPr>
              <w:t xml:space="preserve">2026</w:t>
            </w:r>
            <w:r>
              <w:rPr>
                <w:rStyle w:val="752"/>
                <w:rFonts w:ascii="FangSong" w:hAnsi="FangSong" w:eastAsia="FangSong" w:cs="FangSong"/>
                <w:color w:val="0000ee"/>
                <w:sz w:val="28"/>
                <w:u w:val="single"/>
              </w:rPr>
              <w:t xml:space="preserve">年泰州市数字化运维服务</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98" w:tooltip="https://jszfcg.jsczt.cn/jszc/onlyoffice/7.2.1-34/web-apps/apps/documenteditor/main/index_loader.html?_dc=7.2.1-34&amp;lang=zh&amp;customer=%20&amp;logo=%20&amp;headerlogo=%2Ffavicon.ico&amp;frameEditorId=iframePage&amp;compact=true&amp;parentOrigin=https://jszfcg.jsczt.cn#_Toc26411" w:history="1">
            <w:r>
              <w:rPr>
                <w:rStyle w:val="752"/>
                <w:rFonts w:ascii="Times New Roman" w:hAnsi="Times New Roman" w:eastAsia="Times New Roman" w:cs="Times New Roman"/>
                <w:color w:val="0000ee"/>
                <w:sz w:val="28"/>
                <w:u w:val="none"/>
              </w:rPr>
              <w:t xml:space="preserve">14.4.</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99" w:tooltip="https://jszfcg.jsczt.cn/jszc/onlyoffice/7.2.1-34/web-apps/apps/documenteditor/main/index_loader.html?_dc=7.2.1-34&amp;lang=zh&amp;customer=%20&amp;logo=%20&amp;headerlogo=%2Ffavicon.ico&amp;frameEditorId=iframePage&amp;compact=true&amp;parentOrigin=https://jszfcg.jsczt.cn#_Toc23380" w:history="1">
            <w:r>
              <w:rPr>
                <w:rStyle w:val="752"/>
                <w:rFonts w:ascii="Times New Roman" w:hAnsi="Times New Roman" w:eastAsia="Times New Roman" w:cs="Times New Roman"/>
                <w:color w:val="0000ee"/>
                <w:sz w:val="28"/>
                <w:u w:val="none"/>
              </w:rPr>
              <w:t xml:space="preserve">14.5.</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00" w:tooltip="https://jszfcg.jsczt.cn/jszc/onlyoffice/7.2.1-34/web-apps/apps/documenteditor/main/index_loader.html?_dc=7.2.1-34&amp;lang=zh&amp;customer=%20&amp;logo=%20&amp;headerlogo=%2Ffavicon.ico&amp;frameEditorId=iframePage&amp;compact=true&amp;parentOrigin=https://jszfcg.jsczt.cn#_Toc9510" w:history="1">
            <w:r>
              <w:rPr>
                <w:rStyle w:val="752"/>
                <w:rFonts w:ascii="Times New Roman" w:hAnsi="Times New Roman" w:eastAsia="Times New Roman" w:cs="Times New Roman"/>
                <w:color w:val="0000ee"/>
                <w:sz w:val="28"/>
                <w:u w:val="none"/>
              </w:rPr>
              <w:t xml:space="preserve">14.6.</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01" w:tooltip="https://jszfcg.jsczt.cn/jszc/onlyoffice/7.2.1-34/web-apps/apps/documenteditor/main/index_loader.html?_dc=7.2.1-34&amp;lang=zh&amp;customer=%20&amp;logo=%20&amp;headerlogo=%2Ffavicon.ico&amp;frameEditorId=iframePage&amp;compact=true&amp;parentOrigin=https://jszfcg.jsczt.cn#_Toc5245" w:history="1">
            <w:r>
              <w:rPr>
                <w:rStyle w:val="752"/>
                <w:rFonts w:ascii="Times New Roman" w:hAnsi="Times New Roman" w:eastAsia="Times New Roman" w:cs="Times New Roman"/>
                <w:color w:val="0000ee"/>
                <w:sz w:val="28"/>
                <w:u w:val="none"/>
              </w:rPr>
              <w:t xml:space="preserve">14.7.</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102" w:tooltip="https://jszfcg.jsczt.cn/jszc/onlyoffice/7.2.1-34/web-apps/apps/documenteditor/main/index_loader.html?_dc=7.2.1-34&amp;lang=zh&amp;customer=%20&amp;logo=%20&amp;headerlogo=%2Ffavicon.ico&amp;frameEditorId=iframePage&amp;compact=true&amp;parentOrigin=https://jszfcg.jsczt.cn#_Toc24837" w:history="1">
            <w:r>
              <w:rPr>
                <w:rStyle w:val="752"/>
                <w:rFonts w:ascii="Times New Roman" w:hAnsi="Times New Roman" w:eastAsia="Times New Roman" w:cs="Times New Roman"/>
                <w:color w:val="0000ee"/>
                <w:sz w:val="28"/>
                <w:u w:val="none"/>
              </w:rPr>
              <w:t xml:space="preserve">15.</w:t>
            </w:r>
            <w:r>
              <w:rPr>
                <w:rStyle w:val="752"/>
                <w:rFonts w:ascii="FangSong" w:hAnsi="FangSong" w:eastAsia="FangSong" w:cs="FangSong"/>
                <w:color w:val="0000ee"/>
                <w:sz w:val="28"/>
                <w:u w:val="single"/>
              </w:rPr>
              <w:t xml:space="preserve">市一网统管城市运行指标（</w:t>
            </w:r>
            <w:r>
              <w:rPr>
                <w:rStyle w:val="752"/>
                <w:rFonts w:ascii="Times New Roman" w:hAnsi="Times New Roman" w:eastAsia="Times New Roman" w:cs="Times New Roman"/>
                <w:color w:val="0000ee"/>
                <w:sz w:val="28"/>
                <w:u w:val="non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03" w:tooltip="https://jszfcg.jsczt.cn/jszc/onlyoffice/7.2.1-34/web-apps/apps/documenteditor/main/index_loader.html?_dc=7.2.1-34&amp;lang=zh&amp;customer=%20&amp;logo=%20&amp;headerlogo=%2Ffavicon.ico&amp;frameEditorId=iframePage&amp;compact=true&amp;parentOrigin=https://jszfcg.jsczt.cn#_Toc26869" w:history="1">
            <w:r>
              <w:rPr>
                <w:rStyle w:val="752"/>
                <w:rFonts w:ascii="Times New Roman" w:hAnsi="Times New Roman" w:eastAsia="Times New Roman" w:cs="Times New Roman"/>
                <w:color w:val="0000ee"/>
                <w:sz w:val="28"/>
                <w:u w:val="none"/>
              </w:rPr>
              <w:t xml:space="preserve">15.1.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04" w:tooltip="https://jszfcg.jsczt.cn/jszc/onlyoffice/7.2.1-34/web-apps/apps/documenteditor/main/index_loader.html?_dc=7.2.1-34&amp;lang=zh&amp;customer=%20&amp;logo=%20&amp;headerlogo=%2Ffavicon.ico&amp;frameEditorId=iframePage&amp;compact=true&amp;parentOrigin=https://jszfcg.jsczt.cn#_Toc4350" w:history="1">
            <w:r>
              <w:rPr>
                <w:rStyle w:val="752"/>
                <w:rFonts w:ascii="Times New Roman" w:hAnsi="Times New Roman" w:eastAsia="Times New Roman" w:cs="Times New Roman"/>
                <w:color w:val="0000ee"/>
                <w:sz w:val="28"/>
                <w:u w:val="none"/>
              </w:rPr>
              <w:t xml:space="preserve">15.2.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05" w:tooltip="https://jszfcg.jsczt.cn/jszc/onlyoffice/7.2.1-34/web-apps/apps/documenteditor/main/index_loader.html?_dc=7.2.1-34&amp;lang=zh&amp;customer=%20&amp;logo=%20&amp;headerlogo=%2Ffavicon.ico&amp;frameEditorId=iframePage&amp;compact=true&amp;parentOrigin=https://jszfcg.jsczt.cn#_Toc6" w:history="1">
            <w:r>
              <w:rPr>
                <w:rStyle w:val="752"/>
                <w:rFonts w:ascii="Times New Roman" w:hAnsi="Times New Roman" w:eastAsia="Times New Roman" w:cs="Times New Roman"/>
                <w:color w:val="0000ee"/>
                <w:sz w:val="28"/>
                <w:u w:val="none"/>
              </w:rPr>
              <w:t xml:space="preserve">15.3.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06" w:tooltip="https://jszfcg.jsczt.cn/jszc/onlyoffice/7.2.1-34/web-apps/apps/documenteditor/main/index_loader.html?_dc=7.2.1-34&amp;lang=zh&amp;customer=%20&amp;logo=%20&amp;headerlogo=%2Ffavicon.ico&amp;frameEditorId=iframePage&amp;compact=true&amp;parentOrigin=https://jszfcg.jsczt.cn#_Toc18806" w:history="1">
            <w:r>
              <w:rPr>
                <w:rStyle w:val="752"/>
                <w:rFonts w:ascii="Times New Roman" w:hAnsi="Times New Roman" w:eastAsia="Times New Roman" w:cs="Times New Roman"/>
                <w:color w:val="0000ee"/>
                <w:sz w:val="28"/>
                <w:u w:val="none"/>
              </w:rPr>
              <w:t xml:space="preserve">15.4.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107" w:tooltip="https://jszfcg.jsczt.cn/jszc/onlyoffice/7.2.1-34/web-apps/apps/documenteditor/main/index_loader.html?_dc=7.2.1-34&amp;lang=zh&amp;customer=%20&amp;logo=%20&amp;headerlogo=%2Ffavicon.ico&amp;frameEditorId=iframePage&amp;compact=true&amp;parentOrigin=https://jszfcg.jsczt.cn#_Toc1467" w:history="1">
            <w:r>
              <w:rPr>
                <w:rStyle w:val="752"/>
                <w:rFonts w:ascii="Times New Roman" w:hAnsi="Times New Roman" w:eastAsia="Times New Roman" w:cs="Times New Roman"/>
                <w:color w:val="0000ee"/>
                <w:sz w:val="28"/>
                <w:u w:val="none"/>
              </w:rPr>
              <w:t xml:space="preserve">16.</w:t>
            </w:r>
            <w:r>
              <w:rPr>
                <w:rStyle w:val="752"/>
                <w:rFonts w:ascii="FangSong" w:hAnsi="FangSong" w:eastAsia="FangSong" w:cs="FangSong"/>
                <w:color w:val="0000ee"/>
                <w:sz w:val="28"/>
                <w:u w:val="single"/>
              </w:rPr>
              <w:t xml:space="preserve">市级智慧门户购买服务（</w:t>
            </w:r>
            <w:r>
              <w:rPr>
                <w:rStyle w:val="752"/>
                <w:rFonts w:ascii="Times New Roman" w:hAnsi="Times New Roman" w:eastAsia="Times New Roman" w:cs="Times New Roman"/>
                <w:color w:val="0000ee"/>
                <w:sz w:val="28"/>
                <w:u w:val="non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08" w:tooltip="https://jszfcg.jsczt.cn/jszc/onlyoffice/7.2.1-34/web-apps/apps/documenteditor/main/index_loader.html?_dc=7.2.1-34&amp;lang=zh&amp;customer=%20&amp;logo=%20&amp;headerlogo=%2Ffavicon.ico&amp;frameEditorId=iframePage&amp;compact=true&amp;parentOrigin=https://jszfcg.jsczt.cn#_Toc12958" w:history="1">
            <w:r>
              <w:rPr>
                <w:rStyle w:val="752"/>
                <w:rFonts w:ascii="Times New Roman" w:hAnsi="Times New Roman" w:eastAsia="Times New Roman" w:cs="Times New Roman"/>
                <w:color w:val="0000ee"/>
                <w:sz w:val="28"/>
                <w:u w:val="none"/>
              </w:rPr>
              <w:t xml:space="preserve">16.1.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09" w:tooltip="https://jszfcg.jsczt.cn/jszc/onlyoffice/7.2.1-34/web-apps/apps/documenteditor/main/index_loader.html?_dc=7.2.1-34&amp;lang=zh&amp;customer=%20&amp;logo=%20&amp;headerlogo=%2Ffavicon.ico&amp;frameEditorId=iframePage&amp;compact=true&amp;parentOrigin=https://jszfcg.jsczt.cn#_Toc17547" w:history="1">
            <w:r>
              <w:rPr>
                <w:rStyle w:val="752"/>
                <w:rFonts w:ascii="Times New Roman" w:hAnsi="Times New Roman" w:eastAsia="Times New Roman" w:cs="Times New Roman"/>
                <w:color w:val="0000ee"/>
                <w:sz w:val="28"/>
                <w:u w:val="none"/>
              </w:rPr>
              <w:t xml:space="preserve">16.2.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10" w:tooltip="https://jszfcg.jsczt.cn/jszc/onlyoffice/7.2.1-34/web-apps/apps/documenteditor/main/index_loader.html?_dc=7.2.1-34&amp;lang=zh&amp;customer=%20&amp;logo=%20&amp;headerlogo=%2Ffavicon.ico&amp;frameEditorId=iframePage&amp;compact=true&amp;parentOrigin=https://jszfcg.jsczt.cn#_Toc19446" w:history="1">
            <w:r>
              <w:rPr>
                <w:rStyle w:val="752"/>
                <w:rFonts w:ascii="Times New Roman" w:hAnsi="Times New Roman" w:eastAsia="Times New Roman" w:cs="Times New Roman"/>
                <w:color w:val="0000ee"/>
                <w:sz w:val="28"/>
                <w:u w:val="none"/>
              </w:rPr>
              <w:t xml:space="preserve">16.3.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11" w:tooltip="https://jszfcg.jsczt.cn/jszc/onlyoffice/7.2.1-34/web-apps/apps/documenteditor/main/index_loader.html?_dc=7.2.1-34&amp;lang=zh&amp;customer=%20&amp;logo=%20&amp;headerlogo=%2Ffavicon.ico&amp;frameEditorId=iframePage&amp;compact=true&amp;parentOrigin=https://jszfcg.jsczt.cn#_Toc10577" w:history="1">
            <w:r>
              <w:rPr>
                <w:rStyle w:val="752"/>
                <w:rFonts w:ascii="Times New Roman" w:hAnsi="Times New Roman" w:eastAsia="Times New Roman" w:cs="Times New Roman"/>
                <w:color w:val="0000ee"/>
                <w:sz w:val="28"/>
                <w:u w:val="none"/>
              </w:rPr>
              <w:t xml:space="preserve">16.4.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112" w:tooltip="https://jszfcg.jsczt.cn/jszc/onlyoffice/7.2.1-34/web-apps/apps/documenteditor/main/index_loader.html?_dc=7.2.1-34&amp;lang=zh&amp;customer=%20&amp;logo=%20&amp;headerlogo=%2Ffavicon.ico&amp;frameEditorId=iframePage&amp;compact=true&amp;parentOrigin=https://jszfcg.jsczt.cn#_Toc29913" w:history="1">
            <w:r>
              <w:rPr>
                <w:rStyle w:val="752"/>
                <w:rFonts w:ascii="Times New Roman" w:hAnsi="Times New Roman" w:eastAsia="Times New Roman" w:cs="Times New Roman"/>
                <w:color w:val="0000ee"/>
                <w:sz w:val="28"/>
                <w:u w:val="none"/>
              </w:rPr>
              <w:t xml:space="preserve">17.</w:t>
            </w:r>
            <w:r>
              <w:rPr>
                <w:rStyle w:val="752"/>
                <w:rFonts w:ascii="FangSong" w:hAnsi="FangSong" w:eastAsia="FangSong" w:cs="FangSong"/>
                <w:color w:val="0000ee"/>
                <w:sz w:val="28"/>
                <w:u w:val="single"/>
              </w:rPr>
              <w:t xml:space="preserve">市公共数据服务（</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13" w:tooltip="https://jszfcg.jsczt.cn/jszc/onlyoffice/7.2.1-34/web-apps/apps/documenteditor/main/index_loader.html?_dc=7.2.1-34&amp;lang=zh&amp;customer=%20&amp;logo=%20&amp;headerlogo=%2Ffavicon.ico&amp;frameEditorId=iframePage&amp;compact=true&amp;parentOrigin=https://jszfcg.jsczt.cn#_Toc27687" w:history="1">
            <w:r>
              <w:rPr>
                <w:rStyle w:val="752"/>
                <w:rFonts w:ascii="Times New Roman" w:hAnsi="Times New Roman" w:eastAsia="Times New Roman" w:cs="Times New Roman"/>
                <w:color w:val="0000ee"/>
                <w:sz w:val="28"/>
                <w:u w:val="none"/>
              </w:rPr>
              <w:t xml:space="preserve">17.1.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14" w:tooltip="https://jszfcg.jsczt.cn/jszc/onlyoffice/7.2.1-34/web-apps/apps/documenteditor/main/index_loader.html?_dc=7.2.1-34&amp;lang=zh&amp;customer=%20&amp;logo=%20&amp;headerlogo=%2Ffavicon.ico&amp;frameEditorId=iframePage&amp;compact=true&amp;parentOrigin=https://jszfcg.jsczt.cn#_Toc10882" w:history="1">
            <w:r>
              <w:rPr>
                <w:rStyle w:val="752"/>
                <w:rFonts w:ascii="Times New Roman" w:hAnsi="Times New Roman" w:eastAsia="Times New Roman" w:cs="Times New Roman"/>
                <w:color w:val="0000ee"/>
                <w:sz w:val="28"/>
                <w:u w:val="none"/>
              </w:rPr>
              <w:t xml:space="preserve">17.2.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15" w:tooltip="https://jszfcg.jsczt.cn/jszc/onlyoffice/7.2.1-34/web-apps/apps/documenteditor/main/index_loader.html?_dc=7.2.1-34&amp;lang=zh&amp;customer=%20&amp;logo=%20&amp;headerlogo=%2Ffavicon.ico&amp;frameEditorId=iframePage&amp;compact=true&amp;parentOrigin=https://jszfcg.jsczt.cn#_Toc11473" w:history="1">
            <w:r>
              <w:rPr>
                <w:rStyle w:val="752"/>
                <w:rFonts w:ascii="Times New Roman" w:hAnsi="Times New Roman" w:eastAsia="Times New Roman" w:cs="Times New Roman"/>
                <w:color w:val="0000ee"/>
                <w:sz w:val="28"/>
                <w:u w:val="none"/>
              </w:rPr>
              <w:t xml:space="preserve">17.3.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16" w:tooltip="https://jszfcg.jsczt.cn/jszc/onlyoffice/7.2.1-34/web-apps/apps/documenteditor/main/index_loader.html?_dc=7.2.1-34&amp;lang=zh&amp;customer=%20&amp;logo=%20&amp;headerlogo=%2Ffavicon.ico&amp;frameEditorId=iframePage&amp;compact=true&amp;parentOrigin=https://jszfcg.jsczt.cn#_Toc12078" w:history="1">
            <w:r>
              <w:rPr>
                <w:rStyle w:val="752"/>
                <w:rFonts w:ascii="Times New Roman" w:hAnsi="Times New Roman" w:eastAsia="Times New Roman" w:cs="Times New Roman"/>
                <w:color w:val="0000ee"/>
                <w:sz w:val="28"/>
                <w:u w:val="none"/>
              </w:rPr>
              <w:t xml:space="preserve">17.4.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117" w:tooltip="https://jszfcg.jsczt.cn/jszc/onlyoffice/7.2.1-34/web-apps/apps/documenteditor/main/index_loader.html?_dc=7.2.1-34&amp;lang=zh&amp;customer=%20&amp;logo=%20&amp;headerlogo=%2Ffavicon.ico&amp;frameEditorId=iframePage&amp;compact=true&amp;parentOrigin=https://jszfcg.jsczt.cn#_Toc2023" w:history="1">
            <w:r>
              <w:rPr>
                <w:rStyle w:val="752"/>
                <w:rFonts w:ascii="Times New Roman" w:hAnsi="Times New Roman" w:eastAsia="Times New Roman" w:cs="Times New Roman"/>
                <w:color w:val="0000ee"/>
                <w:sz w:val="28"/>
                <w:u w:val="none"/>
              </w:rPr>
              <w:t xml:space="preserve">18.</w:t>
            </w:r>
            <w:r>
              <w:rPr>
                <w:rStyle w:val="752"/>
                <w:rFonts w:ascii="FangSong" w:hAnsi="FangSong" w:eastAsia="FangSong" w:cs="FangSong"/>
                <w:color w:val="0000ee"/>
                <w:sz w:val="28"/>
                <w:u w:val="single"/>
              </w:rPr>
              <w:t xml:space="preserve">市发改委公共信用信息平台运维（</w:t>
            </w:r>
            <w:r>
              <w:rPr>
                <w:rStyle w:val="752"/>
                <w:rFonts w:ascii="Times New Roman" w:hAnsi="Times New Roman" w:eastAsia="Times New Roman" w:cs="Times New Roman"/>
                <w:color w:val="0000ee"/>
                <w:sz w:val="28"/>
                <w:u w:val="non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18" w:tooltip="https://jszfcg.jsczt.cn/jszc/onlyoffice/7.2.1-34/web-apps/apps/documenteditor/main/index_loader.html?_dc=7.2.1-34&amp;lang=zh&amp;customer=%20&amp;logo=%20&amp;headerlogo=%2Ffavicon.ico&amp;frameEditorId=iframePage&amp;compact=true&amp;parentOrigin=https://jszfcg.jsczt.cn#_Toc11071" w:history="1">
            <w:r>
              <w:rPr>
                <w:rStyle w:val="752"/>
                <w:rFonts w:ascii="Times New Roman" w:hAnsi="Times New Roman" w:eastAsia="Times New Roman" w:cs="Times New Roman"/>
                <w:color w:val="0000ee"/>
                <w:sz w:val="28"/>
                <w:u w:val="none"/>
              </w:rPr>
              <w:t xml:space="preserve">18.1.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19" w:tooltip="https://jszfcg.jsczt.cn/jszc/onlyoffice/7.2.1-34/web-apps/apps/documenteditor/main/index_loader.html?_dc=7.2.1-34&amp;lang=zh&amp;customer=%20&amp;logo=%20&amp;headerlogo=%2Ffavicon.ico&amp;frameEditorId=iframePage&amp;compact=true&amp;parentOrigin=https://jszfcg.jsczt.cn#_Toc4570" w:history="1">
            <w:r>
              <w:rPr>
                <w:rStyle w:val="752"/>
                <w:rFonts w:ascii="Times New Roman" w:hAnsi="Times New Roman" w:eastAsia="Times New Roman" w:cs="Times New Roman"/>
                <w:color w:val="0000ee"/>
                <w:sz w:val="28"/>
                <w:u w:val="none"/>
              </w:rPr>
              <w:t xml:space="preserve">18.2.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20" w:tooltip="https://jszfcg.jsczt.cn/jszc/onlyoffice/7.2.1-34/web-apps/apps/documenteditor/main/index_loader.html?_dc=7.2.1-34&amp;lang=zh&amp;customer=%20&amp;logo=%20&amp;headerlogo=%2Ffavicon.ico&amp;frameEditorId=iframePage&amp;compact=true&amp;parentOrigin=https://jszfcg.jsczt.cn#_Toc8337" w:history="1">
            <w:r>
              <w:rPr>
                <w:rStyle w:val="752"/>
                <w:rFonts w:ascii="Times New Roman" w:hAnsi="Times New Roman" w:eastAsia="Times New Roman" w:cs="Times New Roman"/>
                <w:color w:val="0000ee"/>
                <w:sz w:val="28"/>
                <w:u w:val="none"/>
              </w:rPr>
              <w:t xml:space="preserve">18.3.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21" w:tooltip="https://jszfcg.jsczt.cn/jszc/onlyoffice/7.2.1-34/web-apps/apps/documenteditor/main/index_loader.html?_dc=7.2.1-34&amp;lang=zh&amp;customer=%20&amp;logo=%20&amp;headerlogo=%2Ffavicon.ico&amp;frameEditorId=iframePage&amp;compact=true&amp;parentOrigin=https://jszfcg.jsczt.cn#_Toc20354" w:history="1">
            <w:r>
              <w:rPr>
                <w:rStyle w:val="752"/>
                <w:rFonts w:ascii="Times New Roman" w:hAnsi="Times New Roman" w:eastAsia="Times New Roman" w:cs="Times New Roman"/>
                <w:color w:val="0000ee"/>
                <w:sz w:val="28"/>
                <w:u w:val="none"/>
              </w:rPr>
              <w:t xml:space="preserve">18.4.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122" w:tooltip="https://jszfcg.jsczt.cn/jszc/onlyoffice/7.2.1-34/web-apps/apps/documenteditor/main/index_loader.html?_dc=7.2.1-34&amp;lang=zh&amp;customer=%20&amp;logo=%20&amp;headerlogo=%2Ffavicon.ico&amp;frameEditorId=iframePage&amp;compact=true&amp;parentOrigin=https://jszfcg.jsczt.cn#_Toc2401" w:history="1">
            <w:r>
              <w:rPr>
                <w:rStyle w:val="752"/>
                <w:rFonts w:ascii="Times New Roman" w:hAnsi="Times New Roman" w:eastAsia="Times New Roman" w:cs="Times New Roman"/>
                <w:color w:val="0000ee"/>
                <w:sz w:val="28"/>
                <w:u w:val="none"/>
              </w:rPr>
              <w:t xml:space="preserve">19.</w:t>
            </w:r>
            <w:r>
              <w:rPr>
                <w:rStyle w:val="752"/>
                <w:rFonts w:ascii="FangSong" w:hAnsi="FangSong" w:eastAsia="FangSong" w:cs="FangSong"/>
                <w:color w:val="0000ee"/>
                <w:sz w:val="28"/>
                <w:u w:val="single"/>
              </w:rPr>
              <w:t xml:space="preserve">市卫健委医疗电子票据系统运维（</w:t>
            </w:r>
            <w:r>
              <w:rPr>
                <w:rStyle w:val="752"/>
                <w:rFonts w:ascii="Times New Roman" w:hAnsi="Times New Roman" w:eastAsia="Times New Roman" w:cs="Times New Roman"/>
                <w:color w:val="0000ee"/>
                <w:sz w:val="28"/>
                <w:u w:val="singl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23" w:tooltip="https://jszfcg.jsczt.cn/jszc/onlyoffice/7.2.1-34/web-apps/apps/documenteditor/main/index_loader.html?_dc=7.2.1-34&amp;lang=zh&amp;customer=%20&amp;logo=%20&amp;headerlogo=%2Ffavicon.ico&amp;frameEditorId=iframePage&amp;compact=true&amp;parentOrigin=https://jszfcg.jsczt.cn#_Toc16355" w:history="1">
            <w:r>
              <w:rPr>
                <w:rStyle w:val="752"/>
                <w:rFonts w:ascii="Times New Roman" w:hAnsi="Times New Roman" w:eastAsia="Times New Roman" w:cs="Times New Roman"/>
                <w:color w:val="0000ee"/>
                <w:sz w:val="28"/>
                <w:u w:val="none"/>
              </w:rPr>
              <w:t xml:space="preserve">19.1.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24" w:tooltip="https://jszfcg.jsczt.cn/jszc/onlyoffice/7.2.1-34/web-apps/apps/documenteditor/main/index_loader.html?_dc=7.2.1-34&amp;lang=zh&amp;customer=%20&amp;logo=%20&amp;headerlogo=%2Ffavicon.ico&amp;frameEditorId=iframePage&amp;compact=true&amp;parentOrigin=https://jszfcg.jsczt.cn#_Toc1903" w:history="1">
            <w:r>
              <w:rPr>
                <w:rStyle w:val="752"/>
                <w:rFonts w:ascii="Times New Roman" w:hAnsi="Times New Roman" w:eastAsia="Times New Roman" w:cs="Times New Roman"/>
                <w:color w:val="0000ee"/>
                <w:sz w:val="28"/>
                <w:u w:val="none"/>
              </w:rPr>
              <w:t xml:space="preserve">19.2.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25" w:tooltip="https://jszfcg.jsczt.cn/jszc/onlyoffice/7.2.1-34/web-apps/apps/documenteditor/main/index_loader.html?_dc=7.2.1-34&amp;lang=zh&amp;customer=%20&amp;logo=%20&amp;headerlogo=%2Ffavicon.ico&amp;frameEditorId=iframePage&amp;compact=true&amp;parentOrigin=https://jszfcg.jsczt.cn#_Toc26948" w:history="1">
            <w:r>
              <w:rPr>
                <w:rStyle w:val="752"/>
                <w:rFonts w:ascii="Times New Roman" w:hAnsi="Times New Roman" w:eastAsia="Times New Roman" w:cs="Times New Roman"/>
                <w:color w:val="0000ee"/>
                <w:sz w:val="28"/>
                <w:u w:val="none"/>
              </w:rPr>
              <w:t xml:space="preserve">19.3.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26" w:tooltip="https://jszfcg.jsczt.cn/jszc/onlyoffice/7.2.1-34/web-apps/apps/documenteditor/main/index_loader.html?_dc=7.2.1-34&amp;lang=zh&amp;customer=%20&amp;logo=%20&amp;headerlogo=%2Ffavicon.ico&amp;frameEditorId=iframePage&amp;compact=true&amp;parentOrigin=https://jszfcg.jsczt.cn#_Toc27979" w:history="1">
            <w:r>
              <w:rPr>
                <w:rStyle w:val="752"/>
                <w:rFonts w:ascii="Times New Roman" w:hAnsi="Times New Roman" w:eastAsia="Times New Roman" w:cs="Times New Roman"/>
                <w:color w:val="0000ee"/>
                <w:sz w:val="28"/>
                <w:u w:val="none"/>
              </w:rPr>
              <w:t xml:space="preserve">19.4.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240" w:right="0" w:firstLine="560"/>
            <w:spacing w:before="200" w:after="200" w:line="559" w:lineRule="atLeast"/>
            <w:tabs>
              <w:tab w:val="left" w:pos="8640" w:leader="none"/>
            </w:tabs>
            <w:pBdr>
              <w:top w:val="none" w:color="000000" w:sz="4" w:space="0"/>
              <w:left w:val="none" w:color="000000" w:sz="4" w:space="0"/>
              <w:bottom w:val="none" w:color="000000" w:sz="4" w:space="0"/>
              <w:right w:val="none" w:color="000000" w:sz="4" w:space="0"/>
            </w:pBdr>
          </w:pPr>
          <w:hyperlink r:id="rId127" w:tooltip="https://jszfcg.jsczt.cn/jszc/onlyoffice/7.2.1-34/web-apps/apps/documenteditor/main/index_loader.html?_dc=7.2.1-34&amp;lang=zh&amp;customer=%20&amp;logo=%20&amp;headerlogo=%2Ffavicon.ico&amp;frameEditorId=iframePage&amp;compact=true&amp;parentOrigin=https://jszfcg.jsczt.cn#_Toc11215" w:history="1">
            <w:r>
              <w:rPr>
                <w:rStyle w:val="752"/>
                <w:rFonts w:ascii="Times New Roman" w:hAnsi="Times New Roman" w:eastAsia="Times New Roman" w:cs="Times New Roman"/>
                <w:color w:val="0000ee"/>
                <w:sz w:val="28"/>
                <w:u w:val="none"/>
              </w:rPr>
              <w:t xml:space="preserve">20.</w:t>
            </w:r>
            <w:r>
              <w:rPr>
                <w:rStyle w:val="752"/>
                <w:rFonts w:ascii="FangSong" w:hAnsi="FangSong" w:eastAsia="FangSong" w:cs="FangSong"/>
                <w:color w:val="0000ee"/>
                <w:sz w:val="28"/>
                <w:u w:val="single"/>
              </w:rPr>
              <w:t xml:space="preserve">数字泰州综合运维（</w:t>
            </w:r>
            <w:r>
              <w:rPr>
                <w:rStyle w:val="752"/>
                <w:rFonts w:ascii="Times New Roman" w:hAnsi="Times New Roman" w:eastAsia="Times New Roman" w:cs="Times New Roman"/>
                <w:color w:val="0000ee"/>
                <w:sz w:val="28"/>
                <w:u w:val="none"/>
              </w:rPr>
              <w:t xml:space="preserve">2026</w:t>
            </w:r>
            <w:r>
              <w:rPr>
                <w:rStyle w:val="752"/>
                <w:rFonts w:ascii="FangSong" w:hAnsi="FangSong" w:eastAsia="FangSong" w:cs="FangSong"/>
                <w:color w:val="0000ee"/>
                <w:sz w:val="28"/>
                <w:u w:val="single"/>
              </w:rPr>
              <w:t xml:space="preserve">）项目</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28" w:tooltip="https://jszfcg.jsczt.cn/jszc/onlyoffice/7.2.1-34/web-apps/apps/documenteditor/main/index_loader.html?_dc=7.2.1-34&amp;lang=zh&amp;customer=%20&amp;logo=%20&amp;headerlogo=%2Ffavicon.ico&amp;frameEditorId=iframePage&amp;compact=true&amp;parentOrigin=https://jszfcg.jsczt.cn#_Toc31468" w:history="1">
            <w:r>
              <w:rPr>
                <w:rStyle w:val="752"/>
                <w:rFonts w:ascii="Times New Roman" w:hAnsi="Times New Roman" w:eastAsia="Times New Roman" w:cs="Times New Roman"/>
                <w:color w:val="0000ee"/>
                <w:sz w:val="28"/>
                <w:u w:val="none"/>
              </w:rPr>
              <w:t xml:space="preserve">20.1.</w:t>
            </w:r>
            <w:r>
              <w:rPr>
                <w:rStyle w:val="752"/>
                <w:rFonts w:ascii="FangSong" w:hAnsi="FangSong" w:eastAsia="FangSong" w:cs="FangSong"/>
                <w:color w:val="0000ee"/>
                <w:sz w:val="28"/>
                <w:u w:val="single"/>
              </w:rPr>
              <w:t xml:space="preserve">预期目标</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29" w:tooltip="https://jszfcg.jsczt.cn/jszc/onlyoffice/7.2.1-34/web-apps/apps/documenteditor/main/index_loader.html?_dc=7.2.1-34&amp;lang=zh&amp;customer=%20&amp;logo=%20&amp;headerlogo=%2Ffavicon.ico&amp;frameEditorId=iframePage&amp;compact=true&amp;parentOrigin=https://jszfcg.jsczt.cn#_Toc28236" w:history="1">
            <w:r>
              <w:rPr>
                <w:rStyle w:val="752"/>
                <w:rFonts w:ascii="Times New Roman" w:hAnsi="Times New Roman" w:eastAsia="Times New Roman" w:cs="Times New Roman"/>
                <w:color w:val="0000ee"/>
                <w:sz w:val="28"/>
                <w:u w:val="none"/>
              </w:rPr>
              <w:t xml:space="preserve">20.2.</w:t>
            </w:r>
            <w:r>
              <w:rPr>
                <w:rStyle w:val="752"/>
                <w:rFonts w:ascii="FangSong" w:hAnsi="FangSong" w:eastAsia="FangSong" w:cs="FangSong"/>
                <w:color w:val="0000ee"/>
                <w:sz w:val="28"/>
                <w:u w:val="single"/>
              </w:rPr>
              <w:t xml:space="preserve">需求分析</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30" w:tooltip="https://jszfcg.jsczt.cn/jszc/onlyoffice/7.2.1-34/web-apps/apps/documenteditor/main/index_loader.html?_dc=7.2.1-34&amp;lang=zh&amp;customer=%20&amp;logo=%20&amp;headerlogo=%2Ffavicon.ico&amp;frameEditorId=iframePage&amp;compact=true&amp;parentOrigin=https://jszfcg.jsczt.cn#_Toc12279" w:history="1">
            <w:r>
              <w:rPr>
                <w:rStyle w:val="752"/>
                <w:rFonts w:ascii="Times New Roman" w:hAnsi="Times New Roman" w:eastAsia="Times New Roman" w:cs="Times New Roman"/>
                <w:color w:val="0000ee"/>
                <w:sz w:val="28"/>
                <w:u w:val="none"/>
              </w:rPr>
              <w:t xml:space="preserve">20.3.</w:t>
            </w:r>
            <w:r>
              <w:rPr>
                <w:rStyle w:val="752"/>
                <w:rFonts w:ascii="FangSong" w:hAnsi="FangSong" w:eastAsia="FangSong" w:cs="FangSong"/>
                <w:color w:val="0000ee"/>
                <w:sz w:val="28"/>
                <w:u w:val="single"/>
              </w:rPr>
              <w:t xml:space="preserve">技术方案</w:t>
            </w:r>
            <w:r>
              <w:rPr>
                <w:rStyle w:val="752"/>
                <w:rFonts w:ascii="Times New Roman" w:hAnsi="Times New Roman" w:eastAsia="Times New Roman" w:cs="Times New Roman"/>
                <w:color w:val="0000ee"/>
                <w:sz w:val="28"/>
                <w:u w:val="single"/>
              </w:rPr>
              <w:tab/>
            </w:r>
          </w:hyperlink>
          <w:r/>
        </w:p>
        <w:p>
          <w:pPr>
            <w:ind w:left="840" w:right="0" w:firstLine="560"/>
            <w:jc w:val="both"/>
            <w:spacing w:before="320" w:after="320" w:line="559" w:lineRule="atLeast"/>
            <w:tabs>
              <w:tab w:val="left" w:pos="8640" w:leader="none"/>
            </w:tabs>
            <w:pBdr>
              <w:top w:val="none" w:color="000000" w:sz="4" w:space="0"/>
              <w:left w:val="none" w:color="000000" w:sz="4" w:space="0"/>
              <w:bottom w:val="none" w:color="000000" w:sz="4" w:space="0"/>
              <w:right w:val="none" w:color="000000" w:sz="4" w:space="0"/>
            </w:pBdr>
          </w:pPr>
          <w:hyperlink r:id="rId131" w:tooltip="https://jszfcg.jsczt.cn/jszc/onlyoffice/7.2.1-34/web-apps/apps/documenteditor/main/index_loader.html?_dc=7.2.1-34&amp;lang=zh&amp;customer=%20&amp;logo=%20&amp;headerlogo=%2Ffavicon.ico&amp;frameEditorId=iframePage&amp;compact=true&amp;parentOrigin=https://jszfcg.jsczt.cn#_Toc7617" w:history="1">
            <w:r>
              <w:rPr>
                <w:rStyle w:val="752"/>
                <w:rFonts w:ascii="Times New Roman" w:hAnsi="Times New Roman" w:eastAsia="Times New Roman" w:cs="Times New Roman"/>
                <w:color w:val="0000ee"/>
                <w:sz w:val="28"/>
                <w:u w:val="none"/>
              </w:rPr>
              <w:t xml:space="preserve">20.4.</w:t>
            </w:r>
            <w:r>
              <w:rPr>
                <w:rStyle w:val="752"/>
                <w:rFonts w:ascii="FangSong" w:hAnsi="FangSong" w:eastAsia="FangSong" w:cs="FangSong"/>
                <w:color w:val="0000ee"/>
                <w:sz w:val="28"/>
                <w:u w:val="single"/>
              </w:rPr>
              <w:t xml:space="preserve">服务预算</w:t>
            </w:r>
            <w:r>
              <w:rPr>
                <w:rStyle w:val="752"/>
                <w:rFonts w:ascii="Times New Roman" w:hAnsi="Times New Roman" w:eastAsia="Times New Roman" w:cs="Times New Roman"/>
                <w:color w:val="0000ee"/>
                <w:sz w:val="28"/>
                <w:u w:val="single"/>
              </w:rPr>
              <w:tab/>
            </w:r>
          </w:hyperlink>
          <w:r/>
        </w:p>
        <w:p>
          <w:pPr>
            <w:ind w:left="0" w:right="0" w:firstLine="560"/>
            <w:jc w:val="both"/>
            <w:spacing w:before="0" w:after="0" w:line="559" w:lineRule="atLeast"/>
            <w:tabs>
              <w:tab w:val="left" w:pos="8640" w:leader="none"/>
            </w:tabs>
            <w:pBdr>
              <w:top w:val="none" w:color="000000" w:sz="4" w:space="0"/>
              <w:left w:val="none" w:color="000000" w:sz="4" w:space="0"/>
              <w:bottom w:val="none" w:color="000000" w:sz="4" w:space="0"/>
              <w:right w:val="none" w:color="000000" w:sz="4" w:space="0"/>
            </w:pBdr>
          </w:pPr>
          <w:hyperlink r:id="rId132" w:tooltip="https://jszfcg.jsczt.cn/jszc/onlyoffice/7.2.1-34/web-apps/apps/documenteditor/main/index_loader.html?_dc=7.2.1-34&amp;lang=zh&amp;customer=%20&amp;logo=%20&amp;headerlogo=%2Ffavicon.ico&amp;frameEditorId=iframePage&amp;compact=true&amp;parentOrigin=https://jszfcg.jsczt.cn#_Toc26991" w:history="1">
            <w:r>
              <w:rPr>
                <w:rStyle w:val="752"/>
                <w:rFonts w:ascii="FangSong" w:hAnsi="FangSong" w:eastAsia="FangSong" w:cs="FangSong"/>
                <w:color w:val="0000ee"/>
                <w:sz w:val="28"/>
                <w:u w:val="single"/>
              </w:rPr>
              <w:t xml:space="preserve">第三章</w:t>
            </w:r>
            <w:r>
              <w:rPr>
                <w:rStyle w:val="752"/>
                <w:rFonts w:ascii="Times New Roman" w:hAnsi="Times New Roman" w:eastAsia="Times New Roman" w:cs="Times New Roman"/>
                <w:color w:val="0000ee"/>
                <w:sz w:val="28"/>
                <w:u w:val="none"/>
              </w:rPr>
              <w:t xml:space="preserve"> </w:t>
            </w:r>
            <w:r>
              <w:rPr>
                <w:rStyle w:val="752"/>
                <w:rFonts w:ascii="FangSong" w:hAnsi="FangSong" w:eastAsia="FangSong" w:cs="FangSong"/>
                <w:color w:val="0000ee"/>
                <w:sz w:val="28"/>
                <w:u w:val="single"/>
              </w:rPr>
              <w:t xml:space="preserve">预算组成</w:t>
            </w:r>
            <w:r>
              <w:rPr>
                <w:rStyle w:val="752"/>
                <w:rFonts w:ascii="Times New Roman" w:hAnsi="Times New Roman" w:eastAsia="Times New Roman" w:cs="Times New Roman"/>
                <w:color w:val="0000ee"/>
                <w:sz w:val="28"/>
                <w:u w:val="single"/>
              </w:rPr>
              <w:tab/>
            </w:r>
          </w:hyperlink>
          <w:r/>
        </w:p>
        <w:p>
          <w:pPr>
            <w:ind w:left="0" w:right="0" w:firstLine="560"/>
            <w:jc w:val="both"/>
            <w:spacing w:before="0" w:after="0" w:line="559" w:lineRule="atLeast"/>
            <w:tabs>
              <w:tab w:val="left" w:pos="8640" w:leader="none"/>
            </w:tabs>
            <w:pBdr>
              <w:top w:val="none" w:color="000000" w:sz="4" w:space="0"/>
              <w:left w:val="none" w:color="000000" w:sz="4" w:space="0"/>
              <w:bottom w:val="none" w:color="000000" w:sz="4" w:space="0"/>
              <w:right w:val="none" w:color="000000" w:sz="4" w:space="0"/>
            </w:pBdr>
          </w:pPr>
          <w:hyperlink r:id="rId133" w:tooltip="https://jszfcg.jsczt.cn/jszc/onlyoffice/7.2.1-34/web-apps/apps/documenteditor/main/index_loader.html?_dc=7.2.1-34&amp;lang=zh&amp;customer=%20&amp;logo=%20&amp;headerlogo=%2Ffavicon.ico&amp;frameEditorId=iframePage&amp;compact=true&amp;parentOrigin=https://jszfcg.jsczt.cn#_Toc32503" w:history="1">
            <w:r>
              <w:rPr>
                <w:rStyle w:val="752"/>
                <w:rFonts w:ascii="FangSong" w:hAnsi="FangSong" w:eastAsia="FangSong" w:cs="FangSong"/>
                <w:color w:val="0000ee"/>
                <w:sz w:val="28"/>
                <w:u w:val="single"/>
              </w:rPr>
              <w:t xml:space="preserve">第四章</w:t>
            </w:r>
            <w:r>
              <w:rPr>
                <w:rStyle w:val="752"/>
                <w:rFonts w:ascii="Times New Roman" w:hAnsi="Times New Roman" w:eastAsia="Times New Roman" w:cs="Times New Roman"/>
                <w:color w:val="0000ee"/>
                <w:sz w:val="28"/>
                <w:u w:val="none"/>
              </w:rPr>
              <w:t xml:space="preserve"> </w:t>
            </w:r>
            <w:r>
              <w:rPr>
                <w:rStyle w:val="752"/>
                <w:rFonts w:ascii="FangSong" w:hAnsi="FangSong" w:eastAsia="FangSong" w:cs="FangSong"/>
                <w:color w:val="0000ee"/>
                <w:sz w:val="28"/>
                <w:u w:val="single"/>
              </w:rPr>
              <w:t xml:space="preserve">付款方式</w:t>
            </w:r>
            <w:r>
              <w:rPr>
                <w:rStyle w:val="752"/>
                <w:rFonts w:ascii="Times New Roman" w:hAnsi="Times New Roman" w:eastAsia="Times New Roman" w:cs="Times New Roman"/>
                <w:color w:val="0000ee"/>
                <w:sz w:val="28"/>
                <w:u w:val="single"/>
              </w:rPr>
              <w:tab/>
            </w:r>
          </w:hyperlink>
          <w:r/>
        </w:p>
        <w:p>
          <w:pPr>
            <w:ind w:left="0" w:right="0" w:firstLine="560"/>
            <w:jc w:val="both"/>
            <w:spacing w:before="0" w:after="0" w:line="559" w:lineRule="atLeast"/>
            <w:tabs>
              <w:tab w:val="left" w:pos="8640" w:leader="none"/>
            </w:tabs>
            <w:pBdr>
              <w:top w:val="none" w:color="000000" w:sz="4" w:space="0"/>
              <w:left w:val="none" w:color="000000" w:sz="4" w:space="0"/>
              <w:bottom w:val="none" w:color="000000" w:sz="4" w:space="0"/>
              <w:right w:val="none" w:color="000000" w:sz="4" w:space="0"/>
            </w:pBdr>
          </w:pPr>
          <w:hyperlink r:id="rId134" w:tooltip="https://jszfcg.jsczt.cn/jszc/onlyoffice/7.2.1-34/web-apps/apps/documenteditor/main/index_loader.html?_dc=7.2.1-34&amp;lang=zh&amp;customer=%20&amp;logo=%20&amp;headerlogo=%2Ffavicon.ico&amp;frameEditorId=iframePage&amp;compact=true&amp;parentOrigin=https://jszfcg.jsczt.cn#_Toc28057" w:history="1">
            <w:r>
              <w:rPr>
                <w:rStyle w:val="752"/>
                <w:rFonts w:ascii="FangSong" w:hAnsi="FangSong" w:eastAsia="FangSong" w:cs="FangSong"/>
                <w:color w:val="0000ee"/>
                <w:sz w:val="28"/>
                <w:u w:val="single"/>
              </w:rPr>
              <w:t xml:space="preserve">第五章</w:t>
            </w:r>
            <w:r>
              <w:rPr>
                <w:rStyle w:val="752"/>
                <w:rFonts w:ascii="Times New Roman" w:hAnsi="Times New Roman" w:eastAsia="Times New Roman" w:cs="Times New Roman"/>
                <w:color w:val="0000ee"/>
                <w:sz w:val="28"/>
                <w:u w:val="none"/>
              </w:rPr>
              <w:t xml:space="preserve"> </w:t>
            </w:r>
            <w:r>
              <w:rPr>
                <w:rStyle w:val="752"/>
                <w:rFonts w:ascii="FangSong" w:hAnsi="FangSong" w:eastAsia="FangSong" w:cs="FangSong"/>
                <w:color w:val="0000ee"/>
                <w:sz w:val="28"/>
                <w:u w:val="single"/>
              </w:rPr>
              <w:t xml:space="preserve">履行期限、地点</w:t>
            </w:r>
            <w:r>
              <w:rPr>
                <w:rStyle w:val="752"/>
                <w:rFonts w:ascii="Times New Roman" w:hAnsi="Times New Roman" w:eastAsia="Times New Roman" w:cs="Times New Roman"/>
                <w:color w:val="0000ee"/>
                <w:sz w:val="28"/>
                <w:u w:val="single"/>
              </w:rPr>
              <w:tab/>
            </w:r>
          </w:hyperlink>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sdtContent>
    </w:sdt>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numPr>
          <w:ilvl w:val="0"/>
          <w:numId w:val="6"/>
        </w:numPr>
        <w:jc w:val="center"/>
        <w:spacing w:before="214" w:after="214"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项目背景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在信息技术日新月异、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数字中国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战略稳步深化的当下，政务信息化已成为提升政府治理效能、优化公共服务供给、助推经济社会高质量发展的关键驱动力。市级政府作为地方治理的核心枢纽，其政务信息化水平直接关乎政府服务效率、决策科学性及民众满意度。然而，政务信息化建设进程中，项目重复建设、资源分散、信息孤岛等顽疾依然存在，严重制约着整体效能的释放。泰州市在数据共享与开放方面，仍面临一定程度的壁垒，影响着数据资源的高效利用。因此，打破数据孤岛、推动政府数据、企业数据与社会数据的深度共享与开放，促进数据资源的有效整合，成为当务之急。加强并规范市级政务信息化</w:t>
      </w:r>
      <w:r>
        <w:rPr>
          <w:rFonts w:ascii="FangSong" w:hAnsi="FangSong" w:eastAsia="FangSong" w:cs="FangSong"/>
          <w:color w:val="000000"/>
          <w:sz w:val="28"/>
        </w:rPr>
        <w:t xml:space="preserve">建设管理，推进政务信息基础设施集约建设、政务信息系统互联互通、政务数据资源共享及业务协同，已然成为市级政府亟待攻克的重要课题。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数字泰州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作为泰州市推动数字经济发展的核心战略，致力于通过全方位数字化转型，提升城市治理体系和治理能力现代化水平，为市民提供更便捷、高效、优质的公共服务。在此背景下，制定契合泰州市情的政务信息化项目建设管理办法，对加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数字泰州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建设、保障政务信息化健康发展意义重大。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w:t>
      </w:r>
      <w:r>
        <w:rPr>
          <w:rFonts w:ascii="Times New Roman" w:hAnsi="Times New Roman" w:eastAsia="Times New Roman" w:cs="Times New Roman"/>
          <w:color w:val="000000"/>
          <w:sz w:val="28"/>
        </w:rPr>
        <w:t xml:space="preserve">2024</w:t>
      </w:r>
      <w:r>
        <w:rPr>
          <w:rFonts w:ascii="FangSong" w:hAnsi="FangSong" w:eastAsia="FangSong" w:cs="FangSong"/>
          <w:color w:val="000000"/>
          <w:sz w:val="28"/>
        </w:rPr>
        <w:t xml:space="preserve">年以来，泰州市坚定围绕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数字泰州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建设目标，创造性实施数智赋能行动，广泛将数字技术深度应用于政府管理服务领域。这一行动有力推动了政府治理流程的持续优化、模式创新以及履职能力的显著提升，实现了政府运行的数字化、智能化转型。步入</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泰州市进一步强化数字政府建设的引领作用，全面赋能数字经济、数字社会、数字城乡发展，促进经济社会各领域的系统性重塑与整体性变革。截至目前，泰州市已在多个方面取得突破性进展。在数字资源管理上，构建了全省领先的数字资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一本账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管理体系，涵盖</w:t>
      </w:r>
      <w:r>
        <w:rPr>
          <w:rFonts w:ascii="Times New Roman" w:hAnsi="Times New Roman" w:eastAsia="Times New Roman" w:cs="Times New Roman"/>
          <w:color w:val="000000"/>
          <w:sz w:val="28"/>
        </w:rPr>
        <w:t xml:space="preserve">866</w:t>
      </w:r>
      <w:r>
        <w:rPr>
          <w:rFonts w:ascii="FangSong" w:hAnsi="FangSong" w:eastAsia="FangSong" w:cs="FangSong"/>
          <w:color w:val="000000"/>
          <w:sz w:val="28"/>
        </w:rPr>
        <w:t xml:space="preserve">个应用系统、</w:t>
      </w:r>
      <w:r>
        <w:rPr>
          <w:rFonts w:ascii="Times New Roman" w:hAnsi="Times New Roman" w:eastAsia="Times New Roman" w:cs="Times New Roman"/>
          <w:color w:val="000000"/>
          <w:sz w:val="28"/>
        </w:rPr>
        <w:t xml:space="preserve">5325</w:t>
      </w:r>
      <w:r>
        <w:rPr>
          <w:rFonts w:ascii="FangSong" w:hAnsi="FangSong" w:eastAsia="FangSong" w:cs="FangSong"/>
          <w:color w:val="000000"/>
          <w:sz w:val="28"/>
        </w:rPr>
        <w:t xml:space="preserve">个云资源、</w:t>
      </w:r>
      <w:r>
        <w:rPr>
          <w:rFonts w:ascii="Times New Roman" w:hAnsi="Times New Roman" w:eastAsia="Times New Roman" w:cs="Times New Roman"/>
          <w:color w:val="000000"/>
          <w:sz w:val="28"/>
        </w:rPr>
        <w:t xml:space="preserve">17594</w:t>
      </w:r>
      <w:r>
        <w:rPr>
          <w:rFonts w:ascii="FangSong" w:hAnsi="FangSong" w:eastAsia="FangSong" w:cs="FangSong"/>
          <w:color w:val="000000"/>
          <w:sz w:val="28"/>
        </w:rPr>
        <w:t xml:space="preserve">个数据目录及超</w:t>
      </w:r>
      <w:r>
        <w:rPr>
          <w:rFonts w:ascii="Times New Roman" w:hAnsi="Times New Roman" w:eastAsia="Times New Roman" w:cs="Times New Roman"/>
          <w:color w:val="000000"/>
          <w:sz w:val="28"/>
        </w:rPr>
        <w:t xml:space="preserve">560</w:t>
      </w:r>
      <w:r>
        <w:rPr>
          <w:rFonts w:ascii="FangSong" w:hAnsi="FangSong" w:eastAsia="FangSong" w:cs="FangSong"/>
          <w:color w:val="000000"/>
          <w:sz w:val="28"/>
        </w:rPr>
        <w:t xml:space="preserve">亿条数据，为数据的高效利用奠定坚实基础。数据攻坚行动成果斐然，梳理出</w:t>
      </w:r>
      <w:r>
        <w:rPr>
          <w:rFonts w:ascii="Times New Roman" w:hAnsi="Times New Roman" w:eastAsia="Times New Roman" w:cs="Times New Roman"/>
          <w:color w:val="000000"/>
          <w:sz w:val="28"/>
        </w:rPr>
        <w:t xml:space="preserve">323</w:t>
      </w:r>
      <w:r>
        <w:rPr>
          <w:rFonts w:ascii="FangSong" w:hAnsi="FangSong" w:eastAsia="FangSong" w:cs="FangSong"/>
          <w:color w:val="000000"/>
          <w:sz w:val="28"/>
        </w:rPr>
        <w:t xml:space="preserve">个高频高价值数据目录与</w:t>
      </w:r>
      <w:r>
        <w:rPr>
          <w:rFonts w:ascii="Times New Roman" w:hAnsi="Times New Roman" w:eastAsia="Times New Roman" w:cs="Times New Roman"/>
          <w:color w:val="000000"/>
          <w:sz w:val="28"/>
        </w:rPr>
        <w:t xml:space="preserve">226</w:t>
      </w:r>
      <w:r>
        <w:rPr>
          <w:rFonts w:ascii="FangSong" w:hAnsi="FangSong" w:eastAsia="FangSong" w:cs="FangSong"/>
          <w:color w:val="000000"/>
          <w:sz w:val="28"/>
        </w:rPr>
        <w:t xml:space="preserve">个高频数据元标准规范，并成功获批省级公共数据分类分级试点。数据要素市场化进程加速，累计挂牌</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个数据产品，覆盖金融服务、应急管理等 </w:t>
      </w:r>
      <w:r>
        <w:rPr>
          <w:rFonts w:ascii="Times New Roman" w:hAnsi="Times New Roman" w:eastAsia="Times New Roman" w:cs="Times New Roman"/>
          <w:color w:val="000000"/>
          <w:sz w:val="28"/>
        </w:rPr>
        <w:t xml:space="preserve">7 </w:t>
      </w:r>
      <w:r>
        <w:rPr>
          <w:rFonts w:ascii="FangSong" w:hAnsi="FangSong" w:eastAsia="FangSong" w:cs="FangSong"/>
          <w:color w:val="000000"/>
          <w:sz w:val="28"/>
        </w:rPr>
        <w:t xml:space="preserve">大板块，挂牌量位居全省首位。同时，泰州市积极推进数字交通建设，明确</w:t>
      </w:r>
      <w:r>
        <w:rPr>
          <w:rFonts w:ascii="Times New Roman" w:hAnsi="Times New Roman" w:eastAsia="Times New Roman" w:cs="Times New Roman"/>
          <w:color w:val="000000"/>
          <w:sz w:val="28"/>
        </w:rPr>
        <w:t xml:space="preserve">“1+4+N”</w:t>
      </w:r>
      <w:r>
        <w:rPr>
          <w:rFonts w:ascii="FangSong" w:hAnsi="FangSong" w:eastAsia="FangSong" w:cs="FangSong"/>
          <w:color w:val="000000"/>
          <w:sz w:val="28"/>
        </w:rPr>
        <w:t xml:space="preserve">总体架构，</w:t>
      </w:r>
      <w:r>
        <w:rPr>
          <w:rFonts w:ascii="Times New Roman" w:hAnsi="Times New Roman" w:eastAsia="Times New Roman" w:cs="Times New Roman"/>
          <w:color w:val="000000"/>
          <w:sz w:val="28"/>
        </w:rPr>
        <w:t xml:space="preserve">24 </w:t>
      </w:r>
      <w:r>
        <w:rPr>
          <w:rFonts w:ascii="FangSong" w:hAnsi="FangSong" w:eastAsia="FangSong" w:cs="FangSong"/>
          <w:color w:val="000000"/>
          <w:sz w:val="28"/>
        </w:rPr>
        <w:t xml:space="preserve">个新建数字交通项目有序推进，开工率达</w:t>
      </w:r>
      <w:r>
        <w:rPr>
          <w:rFonts w:ascii="Times New Roman" w:hAnsi="Times New Roman" w:eastAsia="Times New Roman" w:cs="Times New Roman"/>
          <w:color w:val="000000"/>
          <w:sz w:val="28"/>
        </w:rPr>
        <w:t xml:space="preserve">82.7%</w:t>
      </w:r>
      <w:r>
        <w:rPr>
          <w:rFonts w:ascii="FangSong" w:hAnsi="FangSong" w:eastAsia="FangSong" w:cs="FangSong"/>
          <w:color w:val="000000"/>
          <w:sz w:val="28"/>
        </w:rPr>
        <w:t xml:space="preserve">，泰州交通运行监测指挥中心（</w:t>
      </w:r>
      <w:r>
        <w:rPr>
          <w:rFonts w:ascii="Times New Roman" w:hAnsi="Times New Roman" w:eastAsia="Times New Roman" w:cs="Times New Roman"/>
          <w:color w:val="000000"/>
          <w:sz w:val="28"/>
        </w:rPr>
        <w:t xml:space="preserve">TOCC</w:t>
      </w:r>
      <w:r>
        <w:rPr>
          <w:rFonts w:ascii="FangSong" w:hAnsi="FangSong" w:eastAsia="FangSong" w:cs="FangSong"/>
          <w:color w:val="000000"/>
          <w:sz w:val="28"/>
        </w:rPr>
        <w:t xml:space="preserve">）等一批关键项目稳步实施。在政务服务领域，迭代升级</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苏服办泰州旗舰店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泰政通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，打造 </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三位一体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智慧门户体系。其中，</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泰政通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集成近</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个政务应用，实现市（区）和单位（部门）全覆盖；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整合</w:t>
      </w:r>
      <w:r>
        <w:rPr>
          <w:rFonts w:ascii="Times New Roman" w:hAnsi="Times New Roman" w:eastAsia="Times New Roman" w:cs="Times New Roman"/>
          <w:color w:val="000000"/>
          <w:sz w:val="28"/>
        </w:rPr>
        <w:t xml:space="preserve">71</w:t>
      </w:r>
      <w:r>
        <w:rPr>
          <w:rFonts w:ascii="FangSong" w:hAnsi="FangSong" w:eastAsia="FangSong" w:cs="FangSong"/>
          <w:color w:val="000000"/>
          <w:sz w:val="28"/>
        </w:rPr>
        <w:t xml:space="preserve">个部门</w:t>
      </w:r>
      <w:r>
        <w:rPr>
          <w:rFonts w:ascii="Times New Roman" w:hAnsi="Times New Roman" w:eastAsia="Times New Roman" w:cs="Times New Roman"/>
          <w:color w:val="000000"/>
          <w:sz w:val="28"/>
        </w:rPr>
        <w:t xml:space="preserve">900</w:t>
      </w:r>
      <w:r>
        <w:rPr>
          <w:rFonts w:ascii="FangSong" w:hAnsi="FangSong" w:eastAsia="FangSong" w:cs="FangSong"/>
          <w:color w:val="000000"/>
          <w:sz w:val="28"/>
        </w:rPr>
        <w:t xml:space="preserve">余项服务，注册用户超</w:t>
      </w:r>
      <w:r>
        <w:rPr>
          <w:rFonts w:ascii="Times New Roman" w:hAnsi="Times New Roman" w:eastAsia="Times New Roman" w:cs="Times New Roman"/>
          <w:color w:val="000000"/>
          <w:sz w:val="28"/>
        </w:rPr>
        <w:t xml:space="preserve">260</w:t>
      </w:r>
      <w:r>
        <w:rPr>
          <w:rFonts w:ascii="FangSong" w:hAnsi="FangSong" w:eastAsia="FangSong" w:cs="FangSong"/>
          <w:color w:val="000000"/>
          <w:sz w:val="28"/>
        </w:rPr>
        <w:t xml:space="preserve">万。此外，泰州市积极推行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三个免于提交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服务，涉及</w:t>
      </w:r>
      <w:r>
        <w:rPr>
          <w:rFonts w:ascii="Times New Roman" w:hAnsi="Times New Roman" w:eastAsia="Times New Roman" w:cs="Times New Roman"/>
          <w:color w:val="000000"/>
          <w:sz w:val="28"/>
        </w:rPr>
        <w:t xml:space="preserve">430</w:t>
      </w:r>
      <w:r>
        <w:rPr>
          <w:rFonts w:ascii="FangSong" w:hAnsi="FangSong" w:eastAsia="FangSong" w:cs="FangSong"/>
          <w:color w:val="000000"/>
          <w:sz w:val="28"/>
        </w:rPr>
        <w:t xml:space="preserve">项高频事项、</w:t>
      </w:r>
      <w:r>
        <w:rPr>
          <w:rFonts w:ascii="Times New Roman" w:hAnsi="Times New Roman" w:eastAsia="Times New Roman" w:cs="Times New Roman"/>
          <w:color w:val="000000"/>
          <w:sz w:val="28"/>
        </w:rPr>
        <w:t xml:space="preserve">96</w:t>
      </w:r>
      <w:r>
        <w:rPr>
          <w:rFonts w:ascii="FangSong" w:hAnsi="FangSong" w:eastAsia="FangSong" w:cs="FangSong"/>
          <w:color w:val="000000"/>
          <w:sz w:val="28"/>
        </w:rPr>
        <w:t xml:space="preserve">类证照材料，实现市、县、乡三级办事大厅全覆盖，并获批省基层高频事项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一平台办理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改革试点。在长三角</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一网通办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方面，开设</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个远程虚拟窗口，提供</w:t>
      </w:r>
      <w:r>
        <w:rPr>
          <w:rFonts w:ascii="Times New Roman" w:hAnsi="Times New Roman" w:eastAsia="Times New Roman" w:cs="Times New Roman"/>
          <w:color w:val="000000"/>
          <w:sz w:val="28"/>
        </w:rPr>
        <w:t xml:space="preserve">64</w:t>
      </w:r>
      <w:r>
        <w:rPr>
          <w:rFonts w:ascii="FangSong" w:hAnsi="FangSong" w:eastAsia="FangSong" w:cs="FangSong"/>
          <w:color w:val="000000"/>
          <w:sz w:val="28"/>
        </w:rPr>
        <w:t xml:space="preserve">个高频服务事项，平均响应时长仅</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秒，即时办结率与群众满意度均达</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一企来办・泰企通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企业综合服务平台持续提档升级，汇聚惠企政策</w:t>
      </w:r>
      <w:r>
        <w:rPr>
          <w:rFonts w:ascii="Times New Roman" w:hAnsi="Times New Roman" w:eastAsia="Times New Roman" w:cs="Times New Roman"/>
          <w:color w:val="000000"/>
          <w:sz w:val="28"/>
        </w:rPr>
        <w:t xml:space="preserve">5000</w:t>
      </w:r>
      <w:r>
        <w:rPr>
          <w:rFonts w:ascii="FangSong" w:hAnsi="FangSong" w:eastAsia="FangSong" w:cs="FangSong"/>
          <w:color w:val="000000"/>
          <w:sz w:val="28"/>
        </w:rPr>
        <w:t xml:space="preserve">余条，归集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免申即享</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事项</w:t>
      </w:r>
      <w:r>
        <w:rPr>
          <w:rFonts w:ascii="Times New Roman" w:hAnsi="Times New Roman" w:eastAsia="Times New Roman" w:cs="Times New Roman"/>
          <w:color w:val="000000"/>
          <w:sz w:val="28"/>
        </w:rPr>
        <w:t xml:space="preserve">75</w:t>
      </w:r>
      <w:r>
        <w:rPr>
          <w:rFonts w:ascii="FangSong" w:hAnsi="FangSong" w:eastAsia="FangSong" w:cs="FangSong"/>
          <w:color w:val="000000"/>
          <w:sz w:val="28"/>
        </w:rPr>
        <w:t xml:space="preserve">项，成功入选全国政务热线服务营商环境典型案例。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立足</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年新起点，为进一步巩固和拓展前期成果，持续提升政务信息化建设水平，推动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数字泰州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建设迈向更高台阶，制定全新的政务信息化项目建设管理办法迫在眉睫。该办法将紧密结合泰州市当前发展实际，进一步明确各成员单位职责，强化项目建设单位主体责任，加强信息安全保障等关键环节，确保政务信息化项目建设的科学性、规范性与有效性，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数字泰州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建设注入强大动力，助力泰州市在数字时代实现跨越发展。</w:t>
      </w:r>
      <w:r/>
    </w:p>
    <w:p>
      <w:pPr>
        <w:ind w:left="0" w:right="0" w:firstLine="640"/>
        <w:jc w:val="both"/>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p>
      <w:pPr>
        <w:pStyle w:val="12"/>
        <w:numPr>
          <w:ilvl w:val="0"/>
          <w:numId w:val="6"/>
        </w:numPr>
        <w:jc w:val="center"/>
        <w:spacing w:before="214" w:after="214"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服务需求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数字泰州”公共数据综合服务项目围绕公共数据生产、管理、使用全生命周期，全方位提升数据流通效率与数据供给质量，通过高质量的数据治理服务，逐步形成协调推进有力、技术体系完善、安全管理有序、制度规范健全的公共数据高质量共享应用新格局，不断增强公共数据共享应用水平，加大公共数据应用创新力度、进一步推进公共数据资源的深度开发利用，为公共数据与社会数据实现深度融合应用，全面赋能经济社会高质量发展提供有力保障。该项目共涉及</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家部门（单位）</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个民生类、政务信息类公共数据综合系统，涵盖教育、司法、医疗、住房、应急等多个领域数据应用，详细需求如下：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1.市委政法委市域社会治理现代化指挥平台三期（2026）项目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中央政法委《全国市域社会治理现代化试点工作指引》的工作部署和验收要求，结合泰州现状需求，全面主动防范化解“五类风险”（政治安全风险、社会矛盾风险、社会治安风险、公共安全风险、网络安全风险），维护社会和谐稳定，推进建设更高水平的平安泰州、法治泰州，创造安全稳定的政治社会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现有“泰治理”平台的数据基础和技术架构，扩展建设矛调研判分析功能模块，实现大数据预测预警预防，精准掌握治理态势，智辅决策，增强区域社会治理效能。利用大数据技术对汇聚的矛盾纠纷数据、解纷资源信息进行多维度综合分析，结合可视化技术对统计分析结果进行直观展示，方便领导宏观掌握泰州市矛盾纠纷解纷业务开展情况，辅助领导决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具体目标如下：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（一）全方位精准掌握治理态势，辅助决策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通过社会稳定指数分析，精准量化评估各乡镇街道、不同行业、不同领域的社会治理态势，排查社会治理各类突出问题，辅助领导科学决策，变被动应对为主动维稳。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（二）智能研判治理风险，提前预防</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通过大数据研判预警各业务场景的社会治理风险，如群体性、舆情性、重复性不稳定事件风险，越级访风险等，提前预测预警各类风险，变事后应对为事前防范。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（三）提升治理工作效能，减轻工作负担</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通过对区域社会治理全过程数字化，自动统计分析，打造大数据分析、展示应用，提升治理工作效能，减轻领导干部和基层工作人员的工作负担。</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（四）“一图总览”，打造社会治理特色样板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通过大屏分主题可视化展现全辖区风险态势，实现“一图总览”，帮助领导一手掌控风险，辅助决策，统筹管控，打造社会治理特色样板。</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1.2.需求分析</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根据本项目应用场景，本项目主要供领导、管理人员和运维人员使用，各角色人员业务需求如下：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、领导、管理人员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管理人员需要实时掌握宏观态势，对各级中心、各单位调处矛盾纠纷进行业务督办指导，通过质效统计管理和数据分析建立预防预测预警体系，对专门业务开展深化分析，实现对矛盾纠纷的全局智慧管理。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、运维人员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针对各类对接数据的汇聚、治理过程开展跟踪和管理，保障现场系统正常运行。</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．性能需求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性能名称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操作性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能解决大量访问请求，应支持</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用户在网络稳定的环境下同时在线；</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具有</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小时稳定运行的能力；</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用户操作系统响应时间</w:t>
            </w:r>
            <w:r>
              <w:rPr>
                <w:rFonts w:ascii="Times New Roman" w:hAnsi="Times New Roman" w:eastAsia="Times New Roman" w:cs="Times New Roman"/>
                <w:color w:val="000000"/>
                <w:sz w:val="28"/>
              </w:rPr>
              <w:t xml:space="preserve">≤0.5 </w:t>
            </w:r>
            <w:r>
              <w:rPr>
                <w:rFonts w:ascii="FangSong" w:hAnsi="FangSong" w:eastAsia="FangSong" w:cs="FangSong"/>
                <w:color w:val="000000"/>
                <w:sz w:val="28"/>
              </w:rPr>
              <w:t xml:space="preserve">秒；</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平均故障间隔时间（</w:t>
            </w:r>
            <w:r>
              <w:rPr>
                <w:rFonts w:ascii="Times New Roman" w:hAnsi="Times New Roman" w:eastAsia="Times New Roman" w:cs="Times New Roman"/>
                <w:color w:val="000000"/>
                <w:sz w:val="28"/>
              </w:rPr>
              <w:t xml:space="preserve">MTBF</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≥8000 </w:t>
            </w:r>
            <w:r>
              <w:rPr>
                <w:rFonts w:ascii="FangSong" w:hAnsi="FangSong" w:eastAsia="FangSong" w:cs="FangSong"/>
                <w:color w:val="000000"/>
                <w:sz w:val="28"/>
              </w:rPr>
              <w:t xml:space="preserve">小时，平均修复时间（</w:t>
            </w:r>
            <w:r>
              <w:rPr>
                <w:rFonts w:ascii="Times New Roman" w:hAnsi="Times New Roman" w:eastAsia="Times New Roman" w:cs="Times New Roman"/>
                <w:color w:val="000000"/>
                <w:sz w:val="28"/>
              </w:rPr>
              <w:t xml:space="preserve">MTTR</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小时；</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系统处理复杂查询响应小于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系统具有集成其他应用系统接口的能力；</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关键业务系统支持集群系统，避免意外的系统宕机；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交互性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指录入，修改或删除一条记录、发布一条信息等操作，平均响应时间：</w:t>
            </w:r>
            <w:r>
              <w:rPr>
                <w:rFonts w:ascii="Times New Roman" w:hAnsi="Times New Roman" w:eastAsia="Times New Roman" w:cs="Times New Roman"/>
                <w:color w:val="000000"/>
                <w:sz w:val="28"/>
              </w:rPr>
              <w:t xml:space="preserve">0.2—0.8</w:t>
            </w:r>
            <w:r>
              <w:rPr>
                <w:rFonts w:ascii="FangSong" w:hAnsi="FangSong" w:eastAsia="FangSong" w:cs="FangSong"/>
                <w:color w:val="000000"/>
                <w:sz w:val="28"/>
              </w:rPr>
              <w:t xml:space="preserve">秒，峰值响应时间：</w:t>
            </w:r>
            <w:r>
              <w:rPr>
                <w:rFonts w:ascii="Times New Roman" w:hAnsi="Times New Roman" w:eastAsia="Times New Roman" w:cs="Times New Roman"/>
                <w:color w:val="000000"/>
                <w:sz w:val="28"/>
              </w:rPr>
              <w:t xml:space="preserve">0.5—1</w:t>
            </w:r>
            <w:r>
              <w:rPr>
                <w:rFonts w:ascii="FangSong" w:hAnsi="FangSong" w:eastAsia="FangSong" w:cs="FangSong"/>
                <w:color w:val="000000"/>
                <w:sz w:val="28"/>
              </w:rPr>
              <w:t xml:space="preserve">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大屏展示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简单查询平均响应时间：</w:t>
            </w: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秒，复杂查询平均响应时间：</w:t>
            </w: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秒。</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．输出需求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基于政务外网部署。</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．云资源需求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经初步测算，本项目建设需要</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台服务器，其中应用服务器</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台，数据库服务器</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台。应用服务器配置为</w:t>
      </w: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核 </w:t>
      </w:r>
      <w:r>
        <w:rPr>
          <w:rFonts w:ascii="Times New Roman" w:hAnsi="Times New Roman" w:eastAsia="Times New Roman" w:cs="Times New Roman"/>
          <w:color w:val="000000"/>
          <w:sz w:val="28"/>
        </w:rPr>
        <w:t xml:space="preserve">128G</w:t>
      </w:r>
      <w:r>
        <w:rPr>
          <w:rFonts w:ascii="FangSong" w:hAnsi="FangSong" w:eastAsia="FangSong" w:cs="FangSong"/>
          <w:color w:val="000000"/>
          <w:sz w:val="28"/>
        </w:rPr>
        <w:t xml:space="preserve">内存</w:t>
      </w:r>
      <w:r>
        <w:rPr>
          <w:rFonts w:ascii="Times New Roman" w:hAnsi="Times New Roman" w:eastAsia="Times New Roman" w:cs="Times New Roman"/>
          <w:color w:val="000000"/>
          <w:sz w:val="28"/>
        </w:rPr>
        <w:t xml:space="preserve">1T</w:t>
      </w:r>
      <w:r>
        <w:rPr>
          <w:rFonts w:ascii="FangSong" w:hAnsi="FangSong" w:eastAsia="FangSong" w:cs="FangSong"/>
          <w:color w:val="000000"/>
          <w:sz w:val="28"/>
        </w:rPr>
        <w:t xml:space="preserve">数据盘，数据库服务器配置为</w:t>
      </w:r>
      <w:r>
        <w:rPr>
          <w:rFonts w:ascii="Times New Roman" w:hAnsi="Times New Roman" w:eastAsia="Times New Roman" w:cs="Times New Roman"/>
          <w:color w:val="000000"/>
          <w:sz w:val="28"/>
        </w:rPr>
        <w:t xml:space="preserve">64</w:t>
      </w:r>
      <w:r>
        <w:rPr>
          <w:rFonts w:ascii="FangSong" w:hAnsi="FangSong" w:eastAsia="FangSong" w:cs="FangSong"/>
          <w:color w:val="000000"/>
          <w:sz w:val="28"/>
        </w:rPr>
        <w:t xml:space="preserve">核</w:t>
      </w:r>
      <w:r>
        <w:rPr>
          <w:rFonts w:ascii="Times New Roman" w:hAnsi="Times New Roman" w:eastAsia="Times New Roman" w:cs="Times New Roman"/>
          <w:color w:val="000000"/>
          <w:sz w:val="28"/>
        </w:rPr>
        <w:t xml:space="preserve">256G</w:t>
      </w:r>
      <w:r>
        <w:rPr>
          <w:rFonts w:ascii="FangSong" w:hAnsi="FangSong" w:eastAsia="FangSong" w:cs="FangSong"/>
          <w:color w:val="000000"/>
          <w:sz w:val="28"/>
        </w:rPr>
        <w:t xml:space="preserve">内存</w:t>
      </w:r>
      <w:r>
        <w:rPr>
          <w:rFonts w:ascii="Times New Roman" w:hAnsi="Times New Roman" w:eastAsia="Times New Roman" w:cs="Times New Roman"/>
          <w:color w:val="000000"/>
          <w:sz w:val="28"/>
        </w:rPr>
        <w:t xml:space="preserve">4T</w:t>
      </w:r>
      <w:r>
        <w:rPr>
          <w:rFonts w:ascii="FangSong" w:hAnsi="FangSong" w:eastAsia="FangSong" w:cs="FangSong"/>
          <w:color w:val="000000"/>
          <w:sz w:val="28"/>
        </w:rPr>
        <w:t xml:space="preserve">数据盘。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．安全需求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满足等级保护第三级要求。通过身份认证、用户授权与访问控制、数据安全传输等手段确保数据安全。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．培训需求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对指挥中心工作人员、管理人员进行专题培训。</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．维护需求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为确保本项目的可用性，一般故障响应时间不超过</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个小时，重大故障响应时间不超过</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个小时。</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1.3.技术方案</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系统具体架构示意图如下图所示：</w:t>
      </w:r>
      <w:r/>
    </w:p>
    <w:p>
      <w:pPr>
        <w:ind w:left="0" w:right="0" w:firstLine="640"/>
        <w:jc w:val="both"/>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48200" cy="36576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36751" name=""/>
                        <pic:cNvPicPr>
                          <a:picLocks noChangeAspect="1"/>
                        </pic:cNvPicPr>
                        <pic:nvPr/>
                      </pic:nvPicPr>
                      <pic:blipFill>
                        <a:blip/>
                        <a:stretch/>
                      </pic:blipFill>
                      <pic:spPr bwMode="auto">
                        <a:xfrm>
                          <a:off x="0" y="0"/>
                          <a:ext cx="4648199" cy="3657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66.0pt;height:288.0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本项目总体架构依托现有“泰治理”平台的设施资源层、云底座及数据中心进行扩展，新增智慧应用层中的各类矛调研判分析模块，整体分为设施资源层、云底座、数据中心、智慧应用层、系统展示层五个部分。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设施资源层：包括设备资源（感知设备、控制设备、执行设备等）、</w:t>
      </w:r>
      <w:r>
        <w:rPr>
          <w:rFonts w:ascii="Times New Roman" w:hAnsi="Times New Roman" w:eastAsia="Times New Roman" w:cs="Times New Roman"/>
          <w:color w:val="000000"/>
          <w:sz w:val="28"/>
        </w:rPr>
        <w:t xml:space="preserve">IT</w:t>
      </w:r>
      <w:r>
        <w:rPr>
          <w:rFonts w:ascii="FangSong" w:hAnsi="FangSong" w:eastAsia="FangSong" w:cs="FangSong"/>
          <w:color w:val="000000"/>
          <w:sz w:val="28"/>
        </w:rPr>
        <w:t xml:space="preserve">系统（部门应用、区县</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街道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社区应用）、数据（业务数据、时空数据、分析数据）。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数据中心：分为接入层、基础能力、开放层及基础框架。接入层负责接入各类设备、业务系统及专业数据；核心能力主要为大数据治理能力、</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建模能力、地图能力、基础的技术中间件、支撑框架和未来的扩展建设能力；基础框架负责保障平台开发技术路线的统一；开放层负责对平台各类能力、数据成果、应用开发相关服务开放。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智慧应用层：包含多元共治、基础数据、巡查走访等十多个应用，本期建设的各类应用。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系统展示层：主要面向各级用户提供不同的接入服务，各类应用将通过泰治理、泰政通、泰州通、大屏、</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等展示端，针对不同业务不同用户按需开放。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1.3.2.主要功能设计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建设基于“泰治理”平台现有矛盾纠纷事件与基础数据，逐步对接阳光信访、苏解纷、人民调解等平台案件数据。运用算法与机器学习技术，从复杂数据中提取价值信息，实现可视化交互分析。通过整合资源、汇聚数据、加强研判，为领导决策提供科学依据与数智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全域感知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矛盾纠纷全域感知版块，有效地展示和分析泰州市在矛盾纠纷调处工作方面的数据和成果，服务于管理者即时掌握全市社会面矛盾纠纷基本情况。可视化展示全市业务运行态势，如矛盾纠纷总量，各单位业务数量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排行，高发矛盾类型情况，处理事项等业务基本面情况，提醒新发生风险事项。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）板块地图展示：以地图形式直观展现街道的板块数据，用不同颜色区分矛盾纠纷问题多发地区，通过点击版块界面调阅版块不同时间段的纠纷总量，以条状图显示排名前五的矛盾纠纷类型和数量。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）事项受理：根据时间区间展示全市事项受理情况，包括受理总数、办理中、办结、办结等。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）事项来源：根据时间区间展示全市受理事项来源情况，包括来访、来信、网访、排查上报、转处等。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）受理情况：滚动展示全市各区县、各部门受理事项排名情况。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）重点领域：根据时间区间展示全市受理事项涉及的重点领域情况。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）高发事项：根据时间区间展示全市受理事项涉及的高发事项情况。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）风险信息：根据时间区间展示全市受理涉及风险信息情况，包括高中低风险信息。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）态势趋势：根据时间区间展示全市受理事项趋势情况。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跟踪问效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跟踪问效版块根据时间区间选择，基于市级各部门、各区县受理事项进行质效统计管理。相关指标包括受理事项数、办结数、办结率、平均办理时长、多部门协同数、化解数、化解率、超期数等。辅助管理者对办结率、化解率不高的单位进行动态监测，跟踪问效，督办指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用户可通过操作对某一区域的纠纷进行深度挖掘，对事项数、办结数、协同数、化解数、超期数等进行业务下钻，列表展示事项清单，并可继续下钻至事项详情、办理进展等。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根据实际工作需求，可对平台相关数据进行统计分析，自动生成形成月度、季度、年度相关报告。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个人极端案事件风险预警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重点群体服务管理和全量矛盾纠纷事件库数据，通过对数据的分析，结合具体风险分类的特征标签，构建风险识别规则与大模型相结合的风险预测模型。借助对纠纷双方的诉求、矛盾冲突点、过往纠纷记录等多维度信息的收集与分析，科学、准确地评估风险等级。对于处于较高风险等级的对象，进一步开展深入的人员研判，剖析其行为模式、心理状态以及社会关系网络等，从而提前洞察可能引发极端事件的潜在风险因素。</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重点事件预警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基于全量矛盾纠纷、</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民生诉求等数据，通过对数据的分析，识别重点事、疑难事等。借助对诉求人的诉求分析、诉求办理情况、诉求迫切情况、诉求重大情况、诉求人个人情况、过往诉求记录等多维度信息的收集与分析，科学、准确地评估重点事等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婚恋纠纷专项分析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基于全量婚恋纠纷数据、基层排查线索、</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民生诉求、法院案件数据、矛调平台调解数据等，通过对多维度数据的整合分析，精准识别婚恋纠纷高发领域、核心诱因及高风险群体，科学评估纠纷激化风险等级，为婚恋纠纷的早预防、早介入、早化解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教育纠纷专项分析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基于全量教育纠纷数据、学校安全管理数据、</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民生诉求、司法案件数据、高校学业管理数据等，通过对多维度数据的整合分析，精准识别教育纠纷高发场景、核心诱因及风险等级，为教育纠纷的源头防控、精准处置及教育环境优化提供数据支撑。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涉企纠纷专项分析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基于全量涉企纠纷数据、企业注册登记数据、</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政企诉求、仲裁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诉讼</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执行案件数据、矛调平台涉企调解数据、营商环境相关数据等，通过对多维度数据的整合分析，精准识别涉企纠纷高发类型、重点企业风险及纠纷化解堵点，科学评估涉企纠纷对营商环境的影响，为保护企业合法权益、优化法治化营商环境、源头防控涉企纠纷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住建纠纷专项分析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基于全量住建纠纷数据、房地产行业监管数据、</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民生诉求、信访投诉数据、劳动合同数据等，通过对多维度数据的整合分析，精准识别住建领域纠纷高发环节、核心诱因及重点项目风险，科学评估纠纷对民生及城市治理的影响，为住建纠纷的源头防控、精准处置及民生保障提供数据支撑。</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．本项目将基于利用数据中台和数据共享开放平台，进行数据的共享共用。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．本项目将依托市级政务短信平台，在矛盾纠纷风险预警场景，对调解中心、联动处置部门、调解员、网格员进行短信提醒。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．统一身份认证、电子证照、统一电子印章、数字证书等不涉及。</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数据对接清单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为了实现数据的互通与汇聚，系统需要接入全市社会矛盾风险领域相关系统矛盾数据、重点人员相关数据等信息，数据对接遵循标准统一、准确完整、安全高效的原则。数据对接清单如下：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1247"/>
        <w:gridCol w:w="3260"/>
        <w:gridCol w:w="1560"/>
        <w:gridCol w:w="1315"/>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对接系统</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数据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对接部门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优先级</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vMerge w:val="restart"/>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矛盾纠纷数据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网格化社会治理信息平台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政法委</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12345服务热线</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12345热线服务中心</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110非警务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公安</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区/县矛盾纠纷多元化解平台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区/县</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重点人员信息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司法相关重点人员数据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司法局</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重点青少年数据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市团委</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重点信访人员数据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信访局</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互联网数据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行政部门权利清单数据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政府官网</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低</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其它平台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如阳光信访、苏解纷、人民调解平台根据实际情况可行性陆续对接</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1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数据对接明细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处理流程信息。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）网格化社会治理信息平台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数据明细：网格事件详情、人员信息、网格信息。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服务热线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数据明细：</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热线诉求详情、人员信息、处理流程信息。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110</w:t>
      </w:r>
      <w:r>
        <w:rPr>
          <w:rFonts w:ascii="FangSong" w:hAnsi="FangSong" w:eastAsia="FangSong" w:cs="FangSong"/>
          <w:color w:val="000000"/>
          <w:sz w:val="28"/>
        </w:rPr>
        <w:t xml:space="preserve">非警务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数据明细：</w:t>
      </w:r>
      <w:r>
        <w:rPr>
          <w:rFonts w:ascii="Times New Roman" w:hAnsi="Times New Roman" w:eastAsia="Times New Roman" w:cs="Times New Roman"/>
          <w:color w:val="000000"/>
          <w:sz w:val="28"/>
        </w:rPr>
        <w:t xml:space="preserve">110</w:t>
      </w:r>
      <w:r>
        <w:rPr>
          <w:rFonts w:ascii="FangSong" w:hAnsi="FangSong" w:eastAsia="FangSong" w:cs="FangSong"/>
          <w:color w:val="000000"/>
          <w:sz w:val="28"/>
        </w:rPr>
        <w:t xml:space="preserve">非警情数据、警情案件统计数据。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县矛盾纠纷化解平台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数据明细：区县各部门矛盾数据详情、重点人员信息。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）司法相关重点人员数据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数据明细：社区矫正人员、刑满释放人员、强制隔离戒毒人员等维稳涉稳对象信息，涉危毒重点人员、易肇事肇祸等严重精神障碍患者信息。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）重点青少年数据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数据明细：重点青少年人员信息，历史记录信息。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）重点信访人员数据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数据明细：重点信访人员信息，历史记录信息，近期行为数据。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数据对接方式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接口对接方式（优先选择）：本项目优先选用</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接口形式对接，提供需求数据和格式，按需求提供对外接口，调用接口获取数据。接口类型支持</w:t>
      </w:r>
      <w:r>
        <w:rPr>
          <w:rFonts w:ascii="Times New Roman" w:hAnsi="Times New Roman" w:eastAsia="Times New Roman" w:cs="Times New Roman"/>
          <w:color w:val="000000"/>
          <w:sz w:val="28"/>
        </w:rPr>
        <w:t xml:space="preserve">http/json</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WebService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MQ</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Socket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Restful</w:t>
      </w:r>
      <w:r>
        <w:rPr>
          <w:rFonts w:ascii="FangSong" w:hAnsi="FangSong" w:eastAsia="FangSong" w:cs="FangSong"/>
          <w:color w:val="000000"/>
          <w:sz w:val="28"/>
        </w:rPr>
        <w:t xml:space="preserve">等方式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）其他对接方式：如确认无法采用</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接口方式对接，在考虑如线下对接方式、中间表方式、模拟登陆方式、人工录入方式等对接形式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对接工作内容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）制定接口标准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制定数据对接统一标准规范，提升系统对接规范性。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）编写接口文档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编写对接接口文档，文档具备详细的说明和示例代码，方便对接人员对接口进行快速改造。</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接口版本说明：接口版本规范，</w:t>
      </w: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中 </w:t>
      </w:r>
      <w:r>
        <w:rPr>
          <w:rFonts w:ascii="Times New Roman" w:hAnsi="Times New Roman" w:eastAsia="Times New Roman" w:cs="Times New Roman"/>
          <w:color w:val="000000"/>
          <w:sz w:val="28"/>
        </w:rPr>
        <w:t xml:space="preserve">/v1/xxx</w:t>
      </w:r>
      <w:r>
        <w:rPr>
          <w:rFonts w:ascii="FangSong" w:hAnsi="FangSong" w:eastAsia="FangSong" w:cs="FangSong"/>
          <w:color w:val="000000"/>
          <w:sz w:val="28"/>
        </w:rPr>
        <w:t xml:space="preserve">，还是</w:t>
      </w:r>
      <w:r>
        <w:rPr>
          <w:rFonts w:ascii="Times New Roman" w:hAnsi="Times New Roman" w:eastAsia="Times New Roman" w:cs="Times New Roman"/>
          <w:color w:val="000000"/>
          <w:sz w:val="28"/>
        </w:rPr>
        <w:t xml:space="preserve">header</w:t>
      </w:r>
      <w:r>
        <w:rPr>
          <w:rFonts w:ascii="FangSong" w:hAnsi="FangSong" w:eastAsia="FangSong" w:cs="FangSong"/>
          <w:color w:val="000000"/>
          <w:sz w:val="28"/>
        </w:rPr>
        <w:t xml:space="preserve">中 </w:t>
      </w:r>
      <w:r>
        <w:rPr>
          <w:rFonts w:ascii="Times New Roman" w:hAnsi="Times New Roman" w:eastAsia="Times New Roman" w:cs="Times New Roman"/>
          <w:color w:val="000000"/>
          <w:sz w:val="28"/>
        </w:rPr>
        <w:t xml:space="preserve">verison=v1</w:t>
      </w:r>
      <w:r>
        <w:rPr>
          <w:rFonts w:ascii="FangSong" w:hAnsi="FangSong" w:eastAsia="FangSong" w:cs="FangSong"/>
          <w:color w:val="000000"/>
          <w:sz w:val="28"/>
        </w:rPr>
        <w:t xml:space="preserve">，以及协商版本具体规范细节。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通信协议说明：</w:t>
      </w:r>
      <w:r>
        <w:rPr>
          <w:rFonts w:ascii="Times New Roman" w:hAnsi="Times New Roman" w:eastAsia="Times New Roman" w:cs="Times New Roman"/>
          <w:color w:val="000000"/>
          <w:sz w:val="28"/>
        </w:rPr>
        <w:t xml:space="preserve">Restful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Webservice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MQ</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Websocket</w:t>
      </w:r>
      <w:r>
        <w:rPr>
          <w:rFonts w:ascii="FangSong" w:hAnsi="FangSong" w:eastAsia="FangSong" w:cs="FangSong"/>
          <w:color w:val="000000"/>
          <w:sz w:val="28"/>
        </w:rPr>
        <w:t xml:space="preserve">等，复杂的对接，是否可以考虑提供</w:t>
      </w:r>
      <w:r>
        <w:rPr>
          <w:rFonts w:ascii="Times New Roman" w:hAnsi="Times New Roman" w:eastAsia="Times New Roman" w:cs="Times New Roman"/>
          <w:color w:val="000000"/>
          <w:sz w:val="28"/>
        </w:rPr>
        <w:t xml:space="preserve">sdk</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报文协议说明：</w:t>
      </w:r>
      <w:r>
        <w:rPr>
          <w:rFonts w:ascii="Times New Roman" w:hAnsi="Times New Roman" w:eastAsia="Times New Roman" w:cs="Times New Roman"/>
          <w:color w:val="000000"/>
          <w:sz w:val="28"/>
        </w:rPr>
        <w:t xml:space="preserve">json</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yaml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xml</w:t>
      </w:r>
      <w:r>
        <w:rPr>
          <w:rFonts w:ascii="FangSong" w:hAnsi="FangSong" w:eastAsia="FangSong" w:cs="FangSong"/>
          <w:color w:val="000000"/>
          <w:sz w:val="28"/>
        </w:rPr>
        <w:t xml:space="preserve">、自定义等。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接口方式说明：同步接口还是异步接口。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接口安全说明：</w:t>
      </w:r>
      <w:r>
        <w:rPr>
          <w:rFonts w:ascii="Times New Roman" w:hAnsi="Times New Roman" w:eastAsia="Times New Roman" w:cs="Times New Roman"/>
          <w:color w:val="000000"/>
          <w:sz w:val="28"/>
        </w:rPr>
        <w:t xml:space="preserve">Oauth2.0 sign token</w:t>
      </w:r>
      <w:r>
        <w:rPr>
          <w:rFonts w:ascii="FangSong" w:hAnsi="FangSong" w:eastAsia="FangSong" w:cs="FangSong"/>
          <w:color w:val="000000"/>
          <w:sz w:val="28"/>
        </w:rPr>
        <w:t xml:space="preserve">等，注意内外网、以及业务的保密级别。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）制定接口调用流程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编写画出接口调用流程图、泳道图、时序图等。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泳道图：清晰的能看到对接双方交互流程，职责划分清晰。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时序图：清晰看到消息传递的时间顺序。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数据对接原则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本项目数据对接根据实际优先级逐步进行对接，整体对接工作完全按照信创路线建设。</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软硬件产品均选用具备成熟安全资质的合规产品，硬件设备采用稳定可靠的服务器配置，软件系统通过严格的安全测试，确保运行过程中的稳定性和安全性。项目将严格落实密码应用要求，对敏感数据采用加密技术进行传输和存储，按规定完成密码应用安全性评估和安全审查工作。同时，系统将按照信息安全等级保护第三级标准进行建设和防护，通过完善身份认证、权限管理、数据安全传输等措施，构建全方位的安全防护体系，保障平台及数据的安全可控。</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2"/>
        <w:gridCol w:w="1459"/>
        <w:gridCol w:w="5911"/>
        <w:gridCol w:w="962"/>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应用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建设内容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金额（万元）</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全域感知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板块地图展示、事项受理统计、事项来源分析、受理情况排名、重点领域展示、高发事项统计、风险信息展示、态势趋势分析、矛盾纠纷区域分布</w:t>
            </w: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跟踪问效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质效统计管理、业务下钻查询、自动生成周期报告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个人极端案事件风险预警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基于重点群体服务管理和全量矛盾纠纷事件库数据，通过对数据的分析，结合具体风险分类的特征标签，构建风险识别规则与大模型相结合的风险预测模型。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重点事件预警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基于全量矛盾纠纷、</w:t>
            </w:r>
            <w:r>
              <w:rPr>
                <w:rFonts w:ascii="Times New Roman" w:hAnsi="Times New Roman" w:eastAsia="Times New Roman" w:cs="Times New Roman"/>
                <w:color w:val="000000"/>
                <w:sz w:val="24"/>
              </w:rPr>
              <w:t xml:space="preserve">12345</w:t>
            </w:r>
            <w:r>
              <w:rPr>
                <w:rFonts w:ascii="FangSong" w:hAnsi="FangSong" w:eastAsia="FangSong" w:cs="FangSong"/>
                <w:color w:val="000000"/>
                <w:sz w:val="24"/>
              </w:rPr>
              <w:t xml:space="preserve">、民生诉求等数据，通过对数据的分析，识别重点事、疑难事等。借助对诉求人的诉求分析、诉求办理情况、诉求迫切情况、诉求重大情况、诉求人个人情况、过往诉求记录等多维度信息的收集与分析，科学、准确地评估重点事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婚恋纠纷专项分析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精准识别婚恋纠纷高发领域、核心诱因及高风险群体，科学评估纠纷激化风险等级，如涉婚恋服务合同投诉、涉妇女权益保护、婚恋纠纷涉家庭暴力分析等内容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教育纠纷专项分析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分析识别教育纠纷高发场景、核心诱因及风险等级，如学生与学校教育机构纠纷、教育有关的刑事犯罪分析、学校事故分析、校园暴力和欺凌等内容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涉企纠纷专项分析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基于全量涉企纠纷数据、企业注册登记数据、</w:t>
            </w:r>
            <w:r>
              <w:rPr>
                <w:rFonts w:ascii="Times New Roman" w:hAnsi="Times New Roman" w:eastAsia="Times New Roman" w:cs="Times New Roman"/>
                <w:color w:val="000000"/>
                <w:sz w:val="24"/>
              </w:rPr>
              <w:t xml:space="preserve">12345</w:t>
            </w:r>
            <w:r>
              <w:rPr>
                <w:rFonts w:ascii="FangSong" w:hAnsi="FangSong" w:eastAsia="FangSong" w:cs="FangSong"/>
                <w:color w:val="000000"/>
                <w:sz w:val="24"/>
              </w:rPr>
              <w:t xml:space="preserve">政企诉求、仲裁</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诉讼</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执行案件数据、矛调平台涉企调解数据、营商环境相关数据等，通过对多维度数据的整合分析，精准识别涉企纠纷高发类型、重点企业风险及纠纷化解堵点。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9"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住建纠纷专项分析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1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基于全量住建纠纷数据、房地产行业监管数据、</w:t>
            </w:r>
            <w:r>
              <w:rPr>
                <w:rFonts w:ascii="Times New Roman" w:hAnsi="Times New Roman" w:eastAsia="Times New Roman" w:cs="Times New Roman"/>
                <w:color w:val="000000"/>
                <w:sz w:val="24"/>
              </w:rPr>
              <w:t xml:space="preserve">12345</w:t>
            </w:r>
            <w:r>
              <w:rPr>
                <w:rFonts w:ascii="FangSong" w:hAnsi="FangSong" w:eastAsia="FangSong" w:cs="FangSong"/>
                <w:color w:val="000000"/>
                <w:sz w:val="24"/>
              </w:rPr>
              <w:t xml:space="preserve">民生诉求、信访投诉数据、农民工工资支付数据、劳动合同数据等，通过对多维度数据的整合分析，精准识别住建领域纠纷高发环节、核心诱因及重点项目风险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31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、提高社会治理效率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通过整合各类社会治理数据，打破信息壁垒，实现数据共享与信息交流，提高治理工作效率。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借助大数据技术，提高社会治安综合治理的智能化、精细化水平，增强对各类风险活动的预警、发现和处置能力。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、优化资源配置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智慧社会治理平台能够将复杂的信息流和资源管理简化为直观、高效的操作流程，优化资源配置。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在突发事件发生时，能够迅速定位事件地点，合理分配救援资源，提高救援效率。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、提升决策科学性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构建大数据分析平台，为决策提供数据支持，提高决策的科学性和准确性。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通过对历史数据的分析，可以预测潜在的风险点，提前做好预防措施，减少突发事件的发生。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、增强公共服务质量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打通各部门之间的数据壁垒，实现信息共享和协同作战，提高治理效率和公共服务质量。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引入先进的大数据技术和管理手段，推动社会治安综合治理的体制机制创新，提升治理效能和服务民生的能力。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2.市城管局城市运行管理平台升级（2026）项目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省级平台统筹全省数据与政策，泰州市平台承接省级任务并细化落地，在现有泰州市城市运行管理服务平台基础上，本地化部署省级建筑垃圾数字化监管模块，实现省、设区市、县级市（区）、镇（街）、企五级数据实时同步与业务协同。通过数智赋能，进一步整合城管、住建、公安、交通、生态环境等部门数据，将省级跨市域监管与市级属地化管理相结合，形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源头管控—运输追踪—末端处置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全链条闭环，实现全域统筹、纵向贯通、数智协同的建设目标。</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数据治理：本次需要与建筑工地、消纳点、码头等建筑垃圾相关场所设备对接，涉及诸多硬件设备，如地磅设备、车牌识别机、固定点视频监控等，本次需要按照江苏省泰州市政务数据对接标准规范开发统一数据接口，实现与以上场所的相关硬件设备对接，为建筑垃圾“两点一线”业务监管提供数据支撑。所涉及的数据治理由市数据局统一实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准管理：基于泰州市建筑垃圾治理的模式，配套工地处理方案备案标准、运输企业和车辆核准标准、终端核准标准，建立统一全市建筑垃圾处置核准。将各市（区）、的建筑垃圾处置核准统一格式文本，加入建筑垃圾处理方案备案内容，统一开发系统供各地使用，并协调市数据局将系统接入省公共服务平台。统一车辆通行证审批，协调市公安局交警部门统一开发全市建筑垃圾运输车辆通行证审批系统，全市统一使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电子联单管理：复用省级电子联单平台，实现工地端、运输端、处置端和中转站联单式全过程管理。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装修垃圾订单管理：装修垃圾预约管理是建筑垃圾管理服务统一窗口，建立政府管理部门与建筑垃圾相关企业、公众之间的信息联系。基于“泰州通”，便于不同的用户类型进行各类公共服务的访问。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建筑垃圾陆上全链条治理：建筑垃圾全链条治理标准（包括管理标准和技术标准），建设：①拆除（工程）垃圾从工地－运输－处置全链条监管，在工地通过视频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门禁，实现进出车辆、工地门口环境等要素的监管；运输通过视频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定位设备，规范车辆密闭运输；处置通过计量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视频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门禁，实现源头匹配、计量等，实时掌握厂区运行状况；②推行装修垃圾电子联单制，充分考虑源头－调配点－终端（</w:t>
      </w:r>
      <w:r>
        <w:rPr>
          <w:rFonts w:ascii="Times New Roman" w:hAnsi="Times New Roman" w:eastAsia="Times New Roman" w:cs="Times New Roman"/>
          <w:color w:val="000000"/>
          <w:sz w:val="28"/>
        </w:rPr>
        <w:t xml:space="preserve">AB</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AC</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BC</w:t>
      </w:r>
      <w:r>
        <w:rPr>
          <w:rFonts w:ascii="FangSong" w:hAnsi="FangSong" w:eastAsia="FangSong" w:cs="FangSong"/>
          <w:color w:val="000000"/>
          <w:sz w:val="28"/>
        </w:rPr>
        <w:t xml:space="preserve">联单）各种场景应用，形成居民、单位（预约）－运输（接单）－处置（计量）三联管理模式，规范装修垃圾全链管理；③建立工程渣土的工地－运输－去化（消纳、码头）全链条监管模式，同时协同公安、交通对车辆、船只进行重点管控，实现建筑垃圾全品类、全流程、全市域治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建筑垃圾码头治理：对建筑垃圾转运码头信息进行监测，通过电子地图标注码头位置，监测码头关联的陆路、水路运单信息。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协同：加强城管、交通、公安、生态环境等部门业务协同，发现问题可上传业务协同模块，各部门共享信息，各自处办，处办结果再予反馈，加大处罚力度。通过横向、纵向部门数据共建共享，拓宽公安、交通、环保等部门执法线索渠道，增加企业单位违法成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执法监管：加强建筑垃圾涉及管理部门跨专业、跨部门的横向联系，一是建立日常巡查机制，压实板块责任；二是汇集各部门、条线处罚数据，综合分析。通过积极推动城管、住建、公安交警、交通运输、城管执法之间的信息资源共享和政务协同，切实增强对全市建筑垃圾管理工作的统抓统管、指挥协调和监督考核，实现渣土治理问题的闭环处理，形成治理合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研判分析：通过数据采集，实现对源头、运输、处置分析研判。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建筑垃圾数治驾驶舱：建立建筑垃圾数治驾驶舱对企业运营数据监测，基于审批、产运处、执法、服务生成建筑垃圾一张图，同时建立特色场景应用。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移动端应用：从使用角色分析，搭建公众服务端和管理服务端。在公众服务端方面，基于“泰州通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等方式，实现普法宣传、便民查询、预约服务；在管理移动端方面，针对业务人员提供证件核查、业务监管、预警处置功能。基于统一移动平台，公众服务端与管理端数据互通，标准化案件流转，便捷办公处置，同时覆盖多种业务场景，以智慧化手段打造建筑垃圾共治共管格局，提升监管和服务水平。</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）最大用户数：系统最大用户数为</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万，其中管理执法人员角色不超过</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，企业及公众用户不低于</w:t>
      </w:r>
      <w:r>
        <w:rPr>
          <w:rFonts w:ascii="Times New Roman" w:hAnsi="Times New Roman" w:eastAsia="Times New Roman" w:cs="Times New Roman"/>
          <w:color w:val="000000"/>
          <w:sz w:val="28"/>
        </w:rPr>
        <w:t xml:space="preserve">90%</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）在线用户数：系统并发在线用户数为</w:t>
      </w:r>
      <w:r>
        <w:rPr>
          <w:rFonts w:ascii="Times New Roman" w:hAnsi="Times New Roman" w:eastAsia="Times New Roman" w:cs="Times New Roman"/>
          <w:color w:val="000000"/>
          <w:sz w:val="28"/>
        </w:rPr>
        <w:t xml:space="preserve">2000</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）平稳运行时间：</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）吞吐量：</w:t>
      </w:r>
      <w:r>
        <w:rPr>
          <w:rFonts w:ascii="Times New Roman" w:hAnsi="Times New Roman" w:eastAsia="Times New Roman" w:cs="Times New Roman"/>
          <w:color w:val="000000"/>
          <w:sz w:val="28"/>
        </w:rPr>
        <w:t xml:space="preserve">200TPS</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）平均响应时间：常规页面打开时间低于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秒，复杂统计页面最慢不超过</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占用率：不超过</w:t>
      </w:r>
      <w:r>
        <w:rPr>
          <w:rFonts w:ascii="Times New Roman" w:hAnsi="Times New Roman" w:eastAsia="Times New Roman" w:cs="Times New Roman"/>
          <w:color w:val="000000"/>
          <w:sz w:val="28"/>
        </w:rPr>
        <w:t xml:space="preserve">70%</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）内存占用率：不超过系统内存总量的</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）部署要求：基于泰州市政务云部署，符合信创适配相关要求。支持与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、城市运行管理服务平台、视频监控平台无缝对接。</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遵循数字泰州相关规划，系统以“三体系、五层次、多应用”进行整体搭建，三体系包括信息化标准体系、保障体系及安全维护体系；流程层从架构层次上主要划分为感知层、网络层、数据层、支撑层和应用层，总体架构如下图所示：</w:t>
      </w:r>
      <w:r/>
    </w:p>
    <w:p>
      <w:pPr>
        <w:ind w:left="0" w:right="0" w:firstLine="0"/>
        <w:jc w:val="center"/>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86300" cy="29813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857405" name=""/>
                        <pic:cNvPicPr>
                          <a:picLocks noChangeAspect="1"/>
                        </pic:cNvPicPr>
                        <pic:nvPr/>
                      </pic:nvPicPr>
                      <pic:blipFill>
                        <a:blip/>
                        <a:stretch/>
                      </pic:blipFill>
                      <pic:spPr bwMode="auto">
                        <a:xfrm>
                          <a:off x="0" y="0"/>
                          <a:ext cx="4686300" cy="2981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9.0pt;height:234.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图：系统架构图</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）感知层</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感知层主要包括智能感知设备，如车载终端、装修垃圾智能投放箱、智能地磅、环境监测设备、工况监测设备、智能摄像头、卫星遥感、无人机、</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巡检车等，构建建筑垃圾“空天地人智能感知一张网”。</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）网络层</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网络层包括平台运行所需的基础软硬件和网络环境（包括</w:t>
      </w:r>
      <w:r>
        <w:rPr>
          <w:rFonts w:ascii="Times New Roman" w:hAnsi="Times New Roman" w:eastAsia="Times New Roman" w:cs="Times New Roman"/>
          <w:color w:val="000000"/>
          <w:sz w:val="28"/>
        </w:rPr>
        <w:t xml:space="preserve">4G/5G</w:t>
      </w:r>
      <w:r>
        <w:rPr>
          <w:rFonts w:ascii="FangSong" w:hAnsi="FangSong" w:eastAsia="FangSong" w:cs="FangSong"/>
          <w:color w:val="000000"/>
          <w:sz w:val="28"/>
        </w:rPr>
        <w:t xml:space="preserve">无线传输模式、光纤传输模式、物联网</w:t>
      </w:r>
      <w:r>
        <w:rPr>
          <w:rFonts w:ascii="Times New Roman" w:hAnsi="Times New Roman" w:eastAsia="Times New Roman" w:cs="Times New Roman"/>
          <w:color w:val="000000"/>
          <w:sz w:val="28"/>
        </w:rPr>
        <w:t xml:space="preserve">NB-IoT</w:t>
      </w:r>
      <w:r>
        <w:rPr>
          <w:rFonts w:ascii="FangSong" w:hAnsi="FangSong" w:eastAsia="FangSong" w:cs="FangSong"/>
          <w:color w:val="000000"/>
          <w:sz w:val="28"/>
        </w:rPr>
        <w:t xml:space="preserve">传输模式等），依托政务云的计算资源、存储、网络、安全、备份等基础设施形成“建筑垃圾政务一朵云”。</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）数据层</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建筑垃圾产、收、运、处全生命周期的相关数据进行汇集、清洗、融合、存储等数据生产与加工手段，建设数据规范、组织合理的数据资源体系。并对外部门和业务系统进行数据交换共享服务，为各类业务应用和决策分析提供数据服务和信息支撑。系统提供的数据资源主要包括设施专题库、企业专题库、资质专题库、产源专题库、运输专题库、处置专题库、执法专题库、考核专题库、视频专题库等。</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）支撑层</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提供可复用的公共组件和服务，如数据访问、注册服务、消息服务、目录服务、工作流服务、安全管理、分析引擎等支撑性服务，为上层业务应用和信息展示的快速构建提供有效支撑，从而减少系统的开发成本和周期，增强系统的扩展和升级能力。</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）业务应用层</w:t>
      </w:r>
      <w:r/>
    </w:p>
    <w:p>
      <w:pPr>
        <w:ind w:left="0" w:right="0" w:firstLine="624"/>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建筑垃圾管理需求，建设具体应用模块，包括建筑垃圾数据治理、核准管理、电子联单管理、装修垃圾订单管理、建筑垃圾路上全链条治理、建筑垃圾码头治理、业务协同、执法监管、研判分析、建筑垃圾数治驾驶舱、移动应用，实现建筑垃圾“产</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处”全链跟踪，保障源头管控有力、运输监管严密、消纳处置有序，以协同共“管”，实现建筑垃圾共治共享。</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2.3.2.主要建设功能</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2.3.2.1</w:t>
      </w:r>
      <w:r>
        <w:rPr>
          <w:rFonts w:ascii="FangSong" w:hAnsi="FangSong" w:eastAsia="FangSong" w:cs="FangSong"/>
          <w:color w:val="000000"/>
          <w:sz w:val="28"/>
        </w:rPr>
        <w:t xml:space="preserve">建筑垃圾数据治理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需要与建筑工地、消纳点、码头等建筑垃圾相关场所设备对接，涉及诸多硬件设备，如地磅设备、车牌识别机、固定点视频监控等，本次需要按照江苏省泰州市政务数据对接标准规范开发统一数据接口，实现与以上场所的相关硬件设备对接，为建筑垃圾“两点一线”业务监管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建筑垃圾数据治理过程中，一是能力复用，充分运用数据局数据共享交换能力开展建筑垃圾行业全量数据治理，打通数据孤岛、健全完善行业本地数据库，强化行业监管能力。二是数据共享，建立横跨城管、住建、公安、交通、生态环境、水利等多部门及跨市域的数据共享交换机制，助力形成建筑垃圾业务协同共管新格局，建成泰州建筑垃圾行业数据仓库，服务源头、运输、处置的多业务场景应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2.3.2.2</w:t>
      </w:r>
      <w:r>
        <w:rPr>
          <w:rFonts w:ascii="FangSong" w:hAnsi="FangSong" w:eastAsia="FangSong" w:cs="FangSong"/>
          <w:color w:val="000000"/>
          <w:sz w:val="28"/>
        </w:rPr>
        <w:t xml:space="preserve">核准管理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基于泰州市建筑垃圾治理的模式，配套工地处理方案备案标准、运输企业</w:t>
      </w:r>
      <w:r>
        <w:rPr>
          <w:rFonts w:ascii="Times New Roman" w:hAnsi="Times New Roman" w:eastAsia="Times New Roman" w:cs="Times New Roman"/>
          <w:color w:val="000000"/>
          <w:sz w:val="28"/>
        </w:rPr>
        <w:t xml:space="preserve">&amp;</w:t>
      </w:r>
      <w:r>
        <w:rPr>
          <w:rFonts w:ascii="FangSong" w:hAnsi="FangSong" w:eastAsia="FangSong" w:cs="FangSong"/>
          <w:color w:val="000000"/>
          <w:sz w:val="28"/>
        </w:rPr>
        <w:t xml:space="preserve">车辆核准标准、终端核准标准，建立统一全市建筑垃圾处置核准。将各市、区的建筑垃圾处置核准统一格式文本，加入建筑垃圾处理方案备案内容，统一开发系统供各地使用，并协调市数据局将系统接入省公共服务平台。统一车辆通行证审批，协调市公安局交警部门统一开发全市建筑垃圾运输车辆通行证审批系统，全市统一使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）备案办理。由施工单位办理。海陵区、周山河新城及市直项目由市级建筑垃圾管理部门审核，其他区域由各市、区建筑垃圾管理部门审核。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）核准办理。一般由施工单位或运输企业申请办理建筑垃圾处置核准，分为：海陵区及市直项目由市级建筑垃圾管理部门审核；其余市、区由各市、区建筑垃圾管理部门审核。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）通行证办理。建筑垃圾运输车辆通行证办理，一般由运输公司办理。海陵区、医药高新（高港）区在市公安局交警支队办理；其余市、区在各市、区公安交警部门办理。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并定期根据交警部门提供的符合建筑垃圾（工程渣土）运输管理准入条件的企业名录相关信息进行更新。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企业账户管理及申报信息录入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运输企业或施工企业通过“泰州通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”以及建筑垃圾监管平台网站进行账号申请，企业申报运输建筑垃圾类型、运输车辆、人员等相关信息，并根据监管要求录入有关信息。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处理方案备案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针对未备案的工地，结合处理方案管理要求，对处理方案备案流程设置，通过开放施工单位申请通道，当施工单位按照要求填写相关信息并提交，属地化管理单位根据填报信息进行备案。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同时，针对已备案的工地，结合现有资源数据，通过与住建部门共享，实现工地信息的同步。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建筑工地信息入库（省平台地市功能复用－源头库）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建立建筑工地详细数据库，通过住建、交通运输、水利部门已有工地数据进行共享，建筑工地主要信息包括：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地编号、工地名称、所属区域、详细地址、建设单位、联系人、联系方式、施工单位、工地负责建筑垃圾运输企业信息（包括企业营业执照、公司法人等）、联系人、联系方式、工程开竣工日期、总出土量、总用地面积、出入口硬化情况、冲洗水槽配置情况、冲洗设备配置情况、保洁员落实情况、是否安装视频、是否安装身份识别阅读器、是否安装车牌号识别设备、是否安装视频设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住建、交通、水利等工地，按照三大类（施工工地、拆除工地、既有建筑装修工程）进行分类，可进行工地人工录入平台，同时可标记工地状态（如地基与基础施工阶段、正负零阶段、主体结构施工阶段、设备安装与装修阶段、 竣工验收阶段等）。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处置核准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结合处置核准管理要求，设置不同处置核准办理流程：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施工单位或运输企业办理建筑垃圾处置核准可通过线下前往行政服务大厅或者线上办理，具备在办理完成后可增加建筑垃圾消纳地点（限定临时增加消纳地点次数，最多</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处置核准中报备的建筑垃圾消纳地点，报备的点位需要发送给属地城管部门执法人员进行现场核实并上传核查照片到系统，以判断消纳地点是否合规，合规的可进入“处置库”。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处置核准信息入库（省平台地市功能复用－处置核准入库）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统一建筑垃圾处置核准格式文本，各市、区、按照标准备案， 行政审批人员根据建筑垃圾处置核准行政审批要求，在行政审批端形成建筑垃圾处置核准，并将处置核准信息在建筑垃圾全链条监管平台中进行信息录入，并生成处置库。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同时，与市数据局协同，配合将数据接入省公共服务平台。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系统同步实现备案、处置核准与项目工地建立关联关系。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公安通行证办理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处置核准完成后，由公安交警部门办理通行证。协调将市公安局交警部门统一开发的全市建筑垃圾运输车辆通行证审批系统接入平台，打通数据以实现通行证与项目工地、备案、处置核准等信息关联，达到两证关联。并进行通行路线规划生成线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同时考虑实际情况，运输企业在办理通行证时，可借用其他公司车辆，但必须将相关车辆数据录入平台。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通行证信息入库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通行证生成后，实现通行证信息入库，并形成通行证信息台账，提供查询、编辑、信息变更等功能，支持相关附件查询和变更编辑功能。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运输企业审核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结合最新管理要求，梳理运输企业信息审核对象、审核流程、审核规则，规划全市运输企业。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审核区域设置：根据运输企业的服务范围，按照市级审核主城区运输单位、市、区级审核各自辖区运输单位设置审核区域。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建筑垃圾车申报审核规则（大车）设置：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主城区：企业申报——市级审核——入库；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其余各市、区：企业申报——市、区审核——市级复核——入库；（备注：复核目的是统一标准，同时掌握各地信息）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装修垃圾车申报审核规则（小车）设置：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区：企业申报——区初审——市级终审——入库；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县级市：企业申报——县级市审核——市级复核——入库；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审核通过：开放账号，企业申报运输车辆、人员相关信息。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运输企业信息入库（省平台地市功能复用－运输库）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审核通过的运输企业，进行信息入库，并形成运输企业和车辆信息台账，提供查询、编辑、信息变更等功能，支持相关附件查询和变更编辑功能。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处置场所审核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处置终端管理要求，提供管理方申报渠道，处置核准中报备的建筑垃圾消纳地点，报备的点位需要发送给属地城管部门执法人员进行现场核实并上传核查照片到系统，以判断消纳地点是否合规，合规的可进入“处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处置场所信息入库（省平台地市功能复用－消纳处置库）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根据对处置场所的审核结果，将已通过审批的处置场所进行入库管理，构建形成处置场所信息库，实现处置场所数据的动态更新管理。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同时考虑大部分工程渣土用于内转或其他工地，平台可建立“临时库处置库”功能，满足出现一个工地涉及多个临时消纳地点情况监管。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码头信息入库（省平台地市功能复用－消纳处置库）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对建筑垃圾转运码头信息进行管理，包括码头名称，经营单位，联系人与联系方式等，并形成码头管理单位和经营单位等信息台账，提供查询、编辑、信息变更等功能，支持相关附件查询和变更编辑功能。</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2.3.2.3</w:t>
      </w:r>
      <w:r>
        <w:rPr>
          <w:rFonts w:ascii="FangSong" w:hAnsi="FangSong" w:eastAsia="FangSong" w:cs="FangSong"/>
          <w:color w:val="000000"/>
          <w:sz w:val="28"/>
        </w:rPr>
        <w:t xml:space="preserve">电子联单管理（省平台地市功能复用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电子联单管理功能）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电子联单工地端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操作员管理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根据工地实际需求，增加操作人员，录入人员姓名、电话、所属工地等信息，实现操作人员与工地的一键绑定，支持对操作人员的删除和修改。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创建电子联单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操作人员通过扫描运输车辆二维码，获取车辆信息，并输入出场工地、出场时间、垃圾类型、运输量等关键信息，实现电子联单创建，自动生成电子联单号。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电子联单管理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在操作员的电子联单管理界面对电子联单进行记录，支持查看电子联单状态信息、详情信息等。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电子联单运输企业端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驾驶员管理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要求“一车一档”，绑定驾驶员基本信息（包括姓名、联系方式、所属公司等）、通行证信息以及实现与相关工地等信息关联。</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同时支持，运输企业根据驾驶员信息，增加驾驶员，录入人员姓名、电话、车牌号等信息，实现驾驶员与车辆的一键绑定，支持对驾驶员的删除和修改。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车辆码管理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通过驾驶员与车辆的唯一绑定，系统自动生成车辆码，车辆码中包括车牌号、驾驶员等基本信息。通过扫描车辆码，能够展示相关信息。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车辆联运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在车辆联运环节，通过扫描车辆码，录入出场工地、出场时间、垃圾类型、运输量、联运时间、联运车辆等信息，形成联单。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运输企业联单管理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驾驶员的电子联单管理界面对电子联单进行记录，支持查看电子联单状态信息、详情信息等。驾驶员输入运输路线信息，完善联单信息。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路线比对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系统对驾驶员录入的路线信息和申请路线信息进行比对，并自动生成处置意见。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车辆运输码管理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车辆码有两种获取途径，第一种是从</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端打印后随车携带，第二种是在“泰州通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”中打开移动二维码。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电子联单处置场所端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处置员管理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处置场所根据处置人员信息，增加处置员，录入人员姓名、电话、处置场所等信息，实现处置人员与处置场所的一键绑定，支持对处置员的删除和修改。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车辆联单接收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通过扫描车辆二维码，进行联单接收。自动带出出场场所、出场时间、垃圾类型、运输量、接收意见等信息，并录入处置场所、入场时间等信息。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问题联单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对于未创建联单的运输车辆，通过扫描车辆二维码，可以创建问题联单。录入垃圾类型、处置场所、入场时间等信息。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处置场所联单管理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在处置员的电子联单管理界面对电子联单进行记录，支持查看电子联单状态信息、详情信息等。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电子联单中转站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中转站人员管理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处置场所根据处置人员信息，增加人员信息，录入人员姓名、电话、中转站等信息，实现处置人员与中转站的一键绑定，支持对人员信息的删除和修改。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转入信息管理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通过扫描车辆二维码信息，自动带出出场场所、出场时间、垃圾类型、运输量等信息，并录入中转场所、接收意见、入场时间等信息。接收信息与联单信息一致方可转入。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问题联单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对于未创建联单的运输车辆，通过扫描车辆二维码，可以创建问题联单。录入垃圾类型、处置场所、入场时间等信息。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转出信息管理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通过扫描车辆二维码信息，录入中转场所、出场时间、垃圾类型、运输量等信息，提交后完成转出。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中转站联单管理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在处置员的电子联单管理界面对电子联单进行记录，支持查看电子联单状态信息、详情信息等。</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2.3.2.4</w:t>
      </w:r>
      <w:r>
        <w:rPr>
          <w:rFonts w:ascii="FangSong" w:hAnsi="FangSong" w:eastAsia="FangSong" w:cs="FangSong"/>
          <w:color w:val="000000"/>
          <w:sz w:val="28"/>
        </w:rPr>
        <w:t xml:space="preserve">装修垃圾订单管理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装修垃圾预约管理是建筑垃圾管理服务统一窗口，建立政府管理部门与建筑垃圾相关企业、公众之间的信息联系。基于“泰州通”，便于不同的用户类型进行各类公共服务的访问。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60"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6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6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4029075" cy="87534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650266" name=""/>
                              <pic:cNvPicPr>
                                <a:picLocks noChangeAspect="1"/>
                              </pic:cNvPicPr>
                              <pic:nvPr/>
                            </pic:nvPicPr>
                            <pic:blipFill>
                              <a:blip/>
                              <a:stretch/>
                            </pic:blipFill>
                            <pic:spPr bwMode="auto">
                              <a:xfrm>
                                <a:off x="0" y="0"/>
                                <a:ext cx="4029075" cy="8753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7.2pt;height:689.2pt;mso-wrap-distance-left:0.0pt;mso-wrap-distance-top:0.0pt;mso-wrap-distance-right:0.0pt;mso-wrap-distance-bottom:0.0pt;" stroked="false">
                      <v:path textboxrect="0,0,0,0"/>
                    </v:shape>
                  </w:pict>
                </mc:Fallback>
              </mc:AlternateContent>
            </w:r>
            <w:r/>
          </w:p>
        </w:tc>
      </w:tr>
    </w:tbl>
    <w:p>
      <w:pPr>
        <w:ind w:left="0" w:right="0" w:firstLine="6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流程设计说明：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居民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物业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商户产生装修垃圾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居民装修、物业或商户装修工程产生建筑垃圾（如废弃家具、装修废料等）。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物业、社区创建预约订单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物业或社区通过系统填写：垃圾类型、预估重量、预约时间、地点等信息，系统自动生成订单号。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选择收运公司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平台展示附近合规收运企业列表（含资质、评价。收运企业必须在泰州市主城区建筑垃圾运输企业名录里），物业可自主选择或由系统推荐。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收运公司接单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收运企业通过平台确认接单，绑定车辆及驾驶员信息。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上门收运并生成电子联单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车辆到达现场后，驾驶员扫描车辆二维码（含车辆及公司信息）。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系统自动关联订单信息，生成电子联单（记录垃圾类型、数量、收运时间、运输路线等）。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运输至处置场所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车辆按联单规定路线将垃圾运输至资源化利用厂或中转站。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处置场所扫码接收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处置场所工作人员扫描车辆二维码确认联单，完成交接。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称重与处置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通过地磅称重，数据自动上传至平台。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垃圾进入资源化利用（如破碎制砖）或无害化处置（如填埋）。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数据闭环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处置结果（重量、处置方式）回传平台，物业、社区可在线查看订单完成状态。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创建订单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居民、物业、商户通过门户或“泰州通”移动端，发布预约订单并提供运输单位选择项，并输入预约地点、预约时间、运输量等关键信息，实现订单创建，自动生成订单号。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填写内容包括：垃圾类型、预估重量、预约时间、地点等信息。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平台汇总白名单收运企业信息，含资质、过往评价等，生成供居民、物业、商户筛选列表。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订单管理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在物业、单位、个人的订单管理界面对订单进行记录，支持查看订单状态信息、详情信息等。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运输单位接受订单，分配驾驶员和车辆，根据要求上门收运。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车辆到达现场时，由驾驶员扫描车辆二维码，生成关联定制，包括垃圾类型、数量、收运时间和运输路线。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装修垃圾路线和处置要求将垃圾运输至资源化利用厂或中转站，处置场所工作人员扫描车辆二维码确认联单，完成交接。同时，通过对接地磅数据，对装修垃圾订单处置进行记录，支持查看订单状态信息、详情信息等。</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2.3.2.5</w:t>
      </w:r>
      <w:r>
        <w:rPr>
          <w:rFonts w:ascii="FangSong" w:hAnsi="FangSong" w:eastAsia="FangSong" w:cs="FangSong"/>
          <w:color w:val="000000"/>
          <w:sz w:val="28"/>
        </w:rPr>
        <w:t xml:space="preserve">建筑垃圾陆上全链条治理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建筑垃圾全链条治理标准（包括管理标准和技术标准），建设：①拆除（工程）垃圾从工地－运输－处置全链条监管，在工地通过视频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门禁，实现进出车辆、工地门口环境等要素的监管；运输通过视频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定位设备，规范车辆密闭运输；处置通过计量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视频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门禁，实现源头匹配、计量等，实时掌握厂区运行状况；②推行装修垃圾电子联单制，充分考虑源头－调配点－终端（</w:t>
      </w:r>
      <w:r>
        <w:rPr>
          <w:rFonts w:ascii="Times New Roman" w:hAnsi="Times New Roman" w:eastAsia="Times New Roman" w:cs="Times New Roman"/>
          <w:color w:val="000000"/>
          <w:sz w:val="28"/>
        </w:rPr>
        <w:t xml:space="preserve">AB</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AC</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BC</w:t>
      </w:r>
      <w:r>
        <w:rPr>
          <w:rFonts w:ascii="FangSong" w:hAnsi="FangSong" w:eastAsia="FangSong" w:cs="FangSong"/>
          <w:color w:val="000000"/>
          <w:sz w:val="28"/>
        </w:rPr>
        <w:t xml:space="preserve">联单）各种场景应用，形成居民、单位（预约）－运输（接单）－处置（计量）三联管理模式，规范装修垃圾全链管理；③建立工程渣土的工地－运输－去化（消纳、码头）全链条监管模式，同时协同公安、交通对车辆、船只进行重点管控，实现建筑垃圾全品类、全流程、全市域治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建筑垃圾工地管理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源头管理上，建立源头库，协调住建、交通运输、水利等部门共享工程建设审批管理等行业管理信息系统数据。建设工程项目源头库，并接入市住建局的智慧工地系统，将工地出入口视频、抬杆等数据统一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工地二维码管理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系统根据处置证审核结果生成建筑工地二维码，管理部门巡查时，进行二维码的扫描，查看系统内容与处置证信息是否吻合，杜绝造假等违法行为。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工地视频监管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通过与市住建局的工地现有视频数据对接及租赁视频服务数据对接，监管工地现场运行情况，工地视频监管主要功能包括：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视频实时查看功能：实时查看有报警信息的工地的实时视频；也可以通过视频树状结构查看对应工地视频画面，可多画面同时查看；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视频回放功能：可对任一路视频进行回放查看，便于对历史问题进行追踪；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视频画面抓拍功能：可对实时、历史回放视频画面进行在线抓拍，抓拍的照片存储在系统中，便于考核取证；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视频存储：工地视频实现本地存储，远程进行调看。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进出数据统计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通过与市住建局的工地抬杆数据对接，监管工地进出情况，掌握车辆进出的基本信息，如车牌号、进出次数等；基于</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算法，对比车辆白名单库，判断进出工地的车辆是否合规，是否为黑车。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冲洗工作状态监测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与市住建局的智慧工地系统对接，获取工地出入口冲洗设施的工作状态，实现车辆进出冲洗监测。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建筑垃圾运输车辆监管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在建筑垃圾运输监管环节，建立运输库，协调市公安局交警部门、市交通运输局将全市建筑垃圾运输车辆的定位数据全部接入平台，实现对车辆运输过程实时监控，异常报警。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电子围栏管理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多类型电子围栏，包括工地电子围栏、消纳场电子围栏、路线电子围栏、禁区电子围栏、停车场电子围栏、限速圈电子围栏，实现车辆运输过程实时监管，在清运过程中车辆行驶、车体状况、是否按照规定的路线进行运输、是否非法倾倒、是否超速等进行全方位监管，监测实时位置，自动判别车辆违规行为，出现违规行为时系统及时进行提醒记录，杜绝黑车上路、超速、超载等不规范行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作业路段管理：根据证件申报审批模块进行规定准行路线设置管理，设置图元管理；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限制路段管理：运用图元技术实现禁区电子围栏、限速圈电子围栏的区域、限制条件的设置；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基础电子围栏管理：实现工地、消纳场、停车场等相对固定场所进行图元设置，包括边界、时间条件等。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车辆实时状态监控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接满足标准协议的车辆设备，实时监测渣土车辆实时位置、运行轨迹，监管车辆是否按照规定的运输路线进行运输，中途是否出现禁驶路段行驶时，进行及时提醒，避免违规行为的发生，从源头杜绝安全事故的发生。可地图查看车辆实时清运位置，包括地址、速度、状态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车辆轨迹监控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协调市公安局交警部门、市交通运输局将全市建筑垃圾运输车辆的定位数据全部接入平台，对车辆运输轨迹进行动态监控，可在线回放车辆作业轨迹；系统通过图形化方式在地图上回放车辆作业全过程，便于对车辆的监管。系统可以设置回放的时间段、播放速度、播放进度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车载视频监控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如车辆已安装视频，通过对接车载摄像头，监管是否有抛洒滴漏视频数据通过硬盘录像机无线传输至监控中心，监控中心可进行调看考核、抓拍取证。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建筑垃圾消纳点监管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在建筑垃圾终端处置环节，建立处置库，协调属地将装修垃圾临时堆放中转点的视频监控数据、工程渣土消纳场及资源化利用企业的视频监控和车辆进出场称重等数据接入平台，实现终端处置监管。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消纳场二维码管理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系统根据消纳证审核结果生成消纳场二维码，管理部门巡查时，进行二维码的扫描，查看系统内容与消纳证信息是否吻合，杜绝造假等违法行为。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车辆出入授权管理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在进出消纳场时进行采用视频车牌识别，实现车辆作业结果的确认管理。消纳场入场记录与工地进入信息、运输轨迹汇总为车辆完整的作业记录，记录是否完整可排查车辆是否有中途倾倒的行为，作为违规车辆核定的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当车牌污损或其他原因造成车牌识别不能识别时，系统将自动报警，并将违法信息上传平台，由系统查看车辆定位设备信息，确认车辆车牌号，并通知相关负责人进行车容车貌整改。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终端计量管理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针对现场有称重设备的终端厂，通过对接消纳场现场地磅数据，包括车辆车牌号信息、车辆所属单位、消纳场名称、进场称重时间，进场计量数据、出场称重时间、出场计量数据。称重数据作为结算依据。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现场没有称重设备的临时中转点、消纳场以及资源化利用厂，将装修垃圾临时堆放中转点、建筑垃圾消纳场以及资源化利用厂的基础情况数据录入平台，各地通过平台每月上报装修垃圾临时堆放点中转量、建筑垃圾消纳数量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终端视频监管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协调属地将装修垃圾临时堆放中转点的视频监控数据、工程渣土消纳场及资源化利用企业的视频监控等数据接入平台，视频监管主要功能包括：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视频实时查看功能：实时查看有报警信息的实时视频；也可以通过视频树状结构查看对应工地视频画面，可多画面同时查看；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视频回放功能：可对任一路视频进行回放查看，便于对历史问题进行追踪；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视频画面抓拍功能：可对实时、历史回放视频画面进行在线抓拍，抓拍的照片存储在系统中，便于考核取证；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视频存储：视频实现本地存储，远程进行调看。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消纳点综合看板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纳场综合看板旨在建立一个动态的消纳场监管平台，基于地图多元化展示消纳场的静态信息与动态数据，便于管理人员快速获取所有消纳场的运行信息，掌控管辖范围内消纳场运行特征，通过数据准确判断异常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运行状况：展示辖区内开停工的消纳场总数、消纳场车辆进出趟次、总消纳土方量、总回填土方量等。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合规状况：展示辖区内消纳场巡检的问题事件数量、车辆不合规上路的系统报警数量、环境指标超标次数等。</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2.3.2.6</w:t>
      </w:r>
      <w:r>
        <w:rPr>
          <w:rFonts w:ascii="FangSong" w:hAnsi="FangSong" w:eastAsia="FangSong" w:cs="FangSong"/>
          <w:color w:val="000000"/>
          <w:sz w:val="28"/>
        </w:rPr>
        <w:t xml:space="preserve">建筑垃圾码头治理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对建筑垃圾转运码头信息进行监测，通过电子地图标注码头位置，监测码头关联的陆路、水路运单信息。</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2.3.2.7</w:t>
      </w:r>
      <w:r>
        <w:rPr>
          <w:rFonts w:ascii="FangSong" w:hAnsi="FangSong" w:eastAsia="FangSong" w:cs="FangSong"/>
          <w:color w:val="000000"/>
          <w:sz w:val="28"/>
        </w:rPr>
        <w:t xml:space="preserve">业务协同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加强城管、交通、公安、生态环境等部门业务协同，发现问题可上传业务协同模块，各部门共享信息，各自处办，处办结果再予反馈，加大处罚力度。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通过横向、纵向部门数据共建共享，拓宽公安、交通、环保等部门执法线索渠道，增加企业单位违法成本。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跨部门归集执法事件汇总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住建、公安、生态环境、泰州市市域社会治理现代化指挥中心等部门及无人机巡飞结果数据对个人、单位进行执法处罚的事件进行汇总，可按照区域、时间等维度进行汇总分析，通过可视化图表方式进行展现，辅助监管部门直观掌握执法概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巡查问题汇总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住建、公安、生态环境、泰州市市域社会治理现代化指挥中心等部门及无人机巡飞结果在日常巡查过程中发现的问题进行汇总，可按照区域、时间等维度进行汇总分析，通过可视化图表方式进行展现，辅助监管部门直观掌握巡查概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智能识别管理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在车辆智能识别方面，将车辆轨迹等数据实时对接共享至平台，实现车辆实际行驶路线与绑定的工地、处置核准、通行证信息关联的路线比对，判定是否按照相关核准要求并预警。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非获批工地预警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通过日常巡查、执法巡查、投诉举报等渠道，实现对黑工地发现预警。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出土量分析及预警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与无人机对接，获取工地渣土及建筑垃圾量，获取拆迁工地的产生量，与备案量对比，一旦出现异常系统自动预警。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非正规运输车辆预警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通过与公安卡口对接，基于车辆白名单，对渣土运输管理路线上出现未注册的渣土车牌以及拖拉机等黑车进行识别与抓拍，并进行预警。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支持根据地磅数据中的车牌号，平台系统可倒查相关车辆是否符合核准的路线等情况。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车辆未按通行证以及处置核准规定的路线、工地、消纳场所进行运输处置。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非正规消纳点预警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通过日常巡查、执法巡查、投诉举报等渠道，实现对黑消纳场发现预警。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夜间禁行时段行驶预警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如针对</w:t>
      </w: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时至</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时期间渣土车运行的情况进行预警。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未如实填报电子联单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通过运输人员实际信息、车辆卫星定位数据和装卸货地进行比对，发现数据异常。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卫星定位不在线的车辆经营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车辆从事运输业务卫星定位设备未保持在线状态，进行预警。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车辆通行证异常预警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对车辆无通行证信息异常情况进行预警。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车辆异常逗留徘徊计算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计算车辆运行位置是否在一定范围内长时间异常逗留、徘徊的行为，进行预警。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公安规则异常预警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根据泰州公安相关重点关注的异常规则进行异常识别生成线索进行处置。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投诉举报管理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通过对接</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12319</w:t>
      </w:r>
      <w:r>
        <w:rPr>
          <w:rFonts w:ascii="FangSong" w:hAnsi="FangSong" w:eastAsia="FangSong" w:cs="FangSong"/>
          <w:color w:val="000000"/>
          <w:sz w:val="28"/>
        </w:rPr>
        <w:t xml:space="preserve">等投诉举报系统，获取对于建筑垃圾源头、运输、处置等全环节的投诉举报业务信息，并将信息下发至属地管理部门进行实地处理。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线索属地研判提醒单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根据异常的严重程度，推荐处置方式，属地工作人员进行研判，选择线索生成提醒单，运输企业安全监管人员进行提醒单核实与处置，系统记录处置情况，形成闭环。对于长时间未处置的提醒单，系统进行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预工单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系统根据异常的严重程度，推荐处置方式，由属地工作人员进行研判，选择线索生成预工单，预工单数据流转入数字城管，由执法人员进行处置。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整改单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系统根据异常的严重程度，推荐处置方式，由属地工作人员进行研判，选择线索生成整改单，转入数字城管，系统记录处置情况，形成闭环。对于长时间未处置的整改单，系统进行提醒。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抄告单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针对外地在扬经营车辆，外地车辆违法违规行为，抄告至属地处理，实现外地车辆闭环管理。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线索处置退回</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对下发给属地进行研判的线索，属地判断部署于本地管辖的情况，可进行研判退回平台，平台通过人工干预重新派发。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驾驶员线索信息下发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通过移动端将违法违规行为下发至驾驶员，提示驾驶员当前存在的违法违规行为。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线索处置监测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预工单管理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查看预工单处理的反馈状态。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提醒单管理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查看提醒单处理的反馈状态。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整改单管理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查看整改单处理的反馈状态。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线索处理异常提醒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对将超期的线索未处理、未完成处理的情况进行提醒。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人工干预处理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对退回的线索处置工单，进行人工干预重新派发。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2.3.2.8</w:t>
      </w:r>
      <w:r>
        <w:rPr>
          <w:rFonts w:ascii="FangSong" w:hAnsi="FangSong" w:eastAsia="FangSong" w:cs="FangSong"/>
          <w:color w:val="000000"/>
          <w:sz w:val="28"/>
        </w:rPr>
        <w:t xml:space="preserve">执法监管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加强建筑垃圾涉及管理部门跨专业、跨部门的横向联系，一是建立日常巡查机制，压实板块责任；二是汇集各部门、条线处罚数据，综合分析。通过积极推动城管、住建、公安交警、交通运输、城管执法之间的信息资源共享和政务协同，切实增强对全市建筑垃圾管理工作的统抓统管、指挥协调和监督考核，实现渣土治理问题的闭环处理，形成治理合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日常巡查管理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日常巡查管理子系统实现工地、消纳场所、易发多发点位分级分类的巡查管理，通过</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进行工地与车辆的识别判定，将违规工地、车辆进行及时上报处理，相关部门均可进行巡查，建立问题流转中心将问题工单统一提交至管控系统，对问题进行分类派发，并设置处理时间有效期，平台根据问题性质派发给各部门处理，处理结果在有效期内反馈至平台，形成发现问题、解决问题的闭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问题标签化管理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问题巡查管理中将所有问题标签化管理，巡查人员在巡查问题提交前将问题类型确认，与取证信息（如执法检查照片等）同步传输至工单流转中心。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支持巡查人员查看工地相关备案、核准以及关联的运输车辆等情况。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巡查结果查看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系统对“两点一线”巡查管理</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的线下巡查问题进行统一的信息收集与汇总，并通过不同的问题标签对巡查结果进行列表展示，包括巡查实时上传的文字、图片、</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信息等详细情况。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系统支持通过选择不同的问题标签类别、巡查时间、巡查地点等查询条件，对巡查结果进行筛选和查看。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同时，将建筑垃圾违法违规处置行为的监测预警信息传送给执法人员</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，提高执法效率。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工单流转中心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工单流转中心实现所有巡查问题的集中处理，包括问题工单记录管理、工单审核管理、工单派发管理、工单处理结果管理。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问题工单记录管理：包括城管局等运用移动巡查</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或工单对接方式进行现场取证的信息、公众投诉的信息、系统智能发现的问题信息，集中记录问题编号、问题内容、发生时间、发生地点、发现人员、所属部门、问题类型；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工单派发管理：根据工单标签数据结果派发至各相关管理部门负责人员，并设置问题反馈时间和有效期；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工单处理结果管理：问题工单根据发现、审核、派发、反馈、完结的处理流程将工单进行统计分析，便于及时追踪。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问题反馈管理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根据工单流转中心派发的问题工单，案件处理人员针对管辖范围内的案件进行问题反馈管理，反查工地抓拍数据、车辆运行数据、视频数据，核定车辆是否为违规车辆、核定工地是否为合法运输。</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端将现场反馈数据进行记录统计，包括工单编号、反馈结果、反馈时间、反馈部门等信息。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日常巡查看板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用数据分析及数据挖掘技术，系统可针对问题的统计分析报表，得出各产生点、运输队伍、运输车辆的考核得分，同时分析在建筑垃圾管理上存在的突出问题，并分析各问题高发的时间段，根据各单位的历史得分，对各单位作业质量进行科学评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按照考核主体进行统计：包括运输单位、产生单位、消纳场等，分别统计各主体单位的成绩、扣分项和成绩变化情况；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按照时间主体进行统计：包括按照日、周、月、季、年等固定时间维度，还包括自定义时间区间进行查询统计；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按照问题类型进行统计：包括按照交通运输类、环保类问题进行统计分析，查看各类型问题数据占比情况、各类型问题变化趋势分析等；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按照问题整改率统计：实现各类型问题整改结果的统计分析，实现整改案件数量统计、整改率统计、整改率排名情况。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量化考核管理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考核管理实现对消纳场所的日常考核情况的智能化管理，通过建立考核标准、考核表及规范的考核流程，实现对日常考核工作的规范化管理，同时便于后期对考核结果的统计分析。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考核对象管理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将对消纳场所的考核进行数据库管理，对接基础信息库，全面覆盖建筑垃圾处置各环节。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考核标准管理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将消纳场所现有考核标准进行录入，并进行版本管理，对标准进行实时更新。现场考核工作根据标准进行扣分管理。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考核任务管理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自定义抽样规则，可智能生成每次的作业考核内容，如下发检查工地任务，同时可按考核覆盖率、黑名单、上次考核不达标等有针对性的条件进行智能抽样。系统支持条件抽样外，支持地图抽样，可地图选定一块区域进行抽样。系统支持下发信息采集员检查工地开工状态并上传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管理部门随机抽取考核任务，生成考核任务。智能抽样管理保证考核内容确定的公平、公正，确保作业考核的覆盖率和科学性。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量化考核看板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用数据分析及数据挖掘技术，系统可针对问题的统计分析报表，得出各消纳场所的考核得分，同时分析在建筑垃圾管理上存在的突出问题，并分析各问题高发的时间段，根据各单位的历史得分，对各单位作业质量进行科学评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重点区域管理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日常巡查结果、历史违法违规等信息的归集，划定重点管理区域。通过对比分析历史执法信息以及违法违规线索信息，形成重点区域名单，并将重点区域信息推送至辖区监管人员，实现对重点区域的精准管理。支持数据上图，将重点区域在监管端进行数据显示。</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2.3.2.9</w:t>
      </w:r>
      <w:r>
        <w:rPr>
          <w:rFonts w:ascii="FangSong" w:hAnsi="FangSong" w:eastAsia="FangSong" w:cs="FangSong"/>
          <w:color w:val="000000"/>
          <w:sz w:val="28"/>
        </w:rPr>
        <w:t xml:space="preserve">研判分析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源头分析研判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基础设施汇总统计，包括工地区域维度统计、规模维度统计；运输单位车辆统计、消纳场区域统计等。统计工地进出车次时间维度报表，根据车辆核定载重估算工地日出土量；分析工地道闸刷卡记录与开启记录进行对比分析，根据比例判断工地是否存在违章嫌疑。实现各类证件审核结果的统计分析，包括审核状态维度、时间维度、区域维度、证件类型维度的多维度统计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运输分析研判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综合信息详情看板旨在通过一张图综合展示车辆信息，看板展示信息根据用户需求可以进行自定义配置，直观获取管理所需的关键信息。实现车辆作业结果汇总，汇总信息包括：车辆车牌号、排放点信息、运输路线、消纳点信息、运输里程、运输趟数。若作业结果出现不完整信息，系统进行标注显示，形成不规范作业汇总表，表格名单作为重点巡查对象。汇总工地进出口、巡查过程中发现的黑车信息、黑工地信息，派发给相应管理部门管理人员，同时违章信息作为企业信用与个人信用的管理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处置分析研判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消纳场进出车次，作为渣土车辆作业结果的结账依据；根据车辆载重量进行消纳量的估算，辅助消纳场的处理能力的变化趋势管理。汇总统计违规车辆信息，包括车辆基础信息、取证信息与时间信息；汇总统计黑工地信息，包括工地基础信息、取证信息与时间信息。根据消纳场的规划容量、进入消纳场车辆的入土称重数据、离开消纳场的车辆出土称重数据，统计分析消纳场的剩余库容，并形成剩余库容趋势预测预警。</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2.3.2.10</w:t>
      </w:r>
      <w:r>
        <w:rPr>
          <w:rFonts w:ascii="FangSong" w:hAnsi="FangSong" w:eastAsia="FangSong" w:cs="FangSong"/>
          <w:color w:val="000000"/>
          <w:sz w:val="28"/>
        </w:rPr>
        <w:t xml:space="preserve">建筑垃圾数治驾驶舱</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企业运单概览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实现本地企业当日运单情况监测。企业主体责任落实隐患处理重点指标，反映企业监管提醒单、整改单等数量，并统计处置率。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本地企业辖区分级分类指标监测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根据数字化标签，统计本地企业辖区分级分类指标情况并做呈现。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建筑垃圾一张图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资质审批、产源管理、运输管理、处置管理、巡查执法、公共服务和决策支持于一体的全链条监管体系，利用一张图全面综合展示泰州市建筑垃圾总体概况，包括建筑垃圾量、备案、核准、车辆轨迹、消纳处置场所运行等情况，为建筑垃圾监管提供作战一张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特色应用场景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建筑垃圾流向溯源分析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数据分析车辆运行轨迹起点和终点，查看工地和归集点地图位置，与数据库进行对比，查看高频次停车点是否为正规排放点与消纳点，输出可疑黑工地、黑消纳点名单，推送至执法人员手持端，进行现场巡查查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建筑垃圾产生热力分析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通过对建筑垃圾产生点的产生量、</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位置等信息，形成建筑垃圾产生热力图，直观从地图判断建筑垃圾的大量、高频产生地点，聚焦重点产生区域进行重点管理。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道路承载力分析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根据运输车辆定位设备数据实现车辆运行位置的大数据，形成高任务的运输路线热力图，对道路承载力进行直观展示，便于研究核准运输路线的合理性和为新开辟运输路线提供数据支撑依据。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问题高发热力分析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根据巡查管理、考核管理、违规监管等功能发现的建筑垃圾问题进行热度分析，查看问题高发地点。</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2.3.2.11</w:t>
      </w:r>
      <w:r>
        <w:rPr>
          <w:rFonts w:ascii="FangSong" w:hAnsi="FangSong" w:eastAsia="FangSong" w:cs="FangSong"/>
          <w:color w:val="000000"/>
          <w:sz w:val="28"/>
        </w:rPr>
        <w:t xml:space="preserve">移动端应用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从使用角色分析，搭建公众服务端和管理服务端。在公众服务端方面，基于“泰州通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等方式，实现普法宣传、便民查询、预约服务；在管理移动端方面，针对业务人员提供证件核查、业务监管、预警处置功能。基于统一移动平台，公众服务端与管理端数据互通，标准化案件流转，便捷办公处置，同时覆盖多种业务场景，以智慧化手段打造建筑垃圾共治共管格局，提升监管和服务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公众端应用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便民服务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为市民提供各类便民服务事项。主要包括：办事指南、资料下载、调查征集、留言板、装修垃圾预约等。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用户注册管理主要实现在线注册、在线审核等功能。用户通过微信公众号、小程序或“泰州通”进行在线注册，系统进行用户类型分为单位型用户和居民用户。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管理端应用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基础信息查看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移动端查看基础设施基础信息情况、分布情况，便于快速了解周边设施分布信息。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在线审核功能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可以通过移动端对建筑垃圾处置核准申报、消纳场申报等在线填报的申请内容进行审核操作，经过建筑垃圾管理处相关人员审批后，由系统进行备案，并将相关结果反馈至企业，审批数据联动平台审批结果。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车辆查看功能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在手持端查看车辆监管信息，便于随时随地查看建筑垃圾业务体系作业情况，例如到达某一地点发现车辆违规，可点击收集查看此车辆基本信息，进行及时提醒等。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视频查看功能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在手持端查看工地视频、消纳场、码头视频，可随时随地查看监管，发现问题截图取证、现场核定。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“两点一线”巡查管理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对“两点一线”过程中涉及的各类备案、核准查询，支持查询工地备案、核准、运输车辆等相关情况。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“两点”巡查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“两点”即产生点和消纳点，巡查人员可以通过手持端对产生点、消纳点的建筑工地二维码、消纳场二维码或综合处理厂二维码进行扫描，查询各点在审核过程中的各种详情，帮助查询现场是否有违规作业情况。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巡查人员也可在手持端定位取点，标注工地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处置位置并上传，系统核实工地的相应清运队伍匹配情况及处置证发放情况，帮助查询工地建筑垃圾违规作业等情况。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工地为例，巡查时对比巡查工地信息与系统工地数据做对比，若是出现非数据库中工地，手持端进行拍照取证，并采集工地地址信息，作为一条问题上传至后台系统中，便于管理人员进行查询，并进行相关工地的信息录入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“一线”巡查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线”巡查即车辆和运输轨迹巡查，巡查人员可以通过手持端对车辆上的运输许可证二维码进行扫码，查看许可证审核的各项内容详情，帮助查询现场是否有违规作业情况。另外可以通过输入处置证编号或者车辆车牌号等两种方式进行车辆巡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支持车辆运输证编码输入查询，辅助核查车辆是否合法运输车辆；在无运输证情况下，输入车辆车牌号进行核查。查询相应车辆车牌号、运输公司名称、处置点信息、有效期、处置证编号。并可跳转查看车辆实时位置、历史轨迹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重点巡查提醒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资质审批模块中及时提交排放申请的工地列入重点巡查名单，巡查员在手持端查看提醒信息，根据记录进行现场巡查核定；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根据系统车辆违章记录，实现嫌疑车辆的重点查询名单，巡查人员根据车辆具体信息，到达车辆的规定路段进行现场巡查。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就近推送功能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巡查人员在手持端查看附近工地、路段推送的违规车辆即时通知信息，立即到达嫌疑车辆运行路段进行核查。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移动考核管理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任务派发型：进入系统后查看考核任务，根据考核路线进行现场考核，考核结果进行及时上传；</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自主考核型：考核人员现场发现问题时进行自主考核；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问题反馈：是一线处理人员使用模块，对应系统中整改管理模块。问题处理人员进入后可查看需要及时处理的问题，处理完成后进行拍照取证反馈。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统计报表查看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手持端集中查看决策中心报表，实时掌握业务数据，报表包括：基础数据报表、资质审批报表、计量数据报表、车辆违规情况报表等。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人车企筛选查看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通过移动端查看人车企分级分类监管信息。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应用系统业务协同设计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对接市运管服平台、行政审批系统、交管部门通行证审批系统、交通局车辆管理系统、“泰州通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”，并预留各市、区平台对接接口。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项目施工许可数据对接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对接单位：市城管局、市住建局、市交通运输局、市水利局、各市、区；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对接内容：共享住建、交通、水利等行业部门的工程建设审批管理系统数据，以及各市、区提供的征收搬迁工程信息。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备案数据对接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对接单位：省住建厅、市城管局；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对接内容：与省住建厅的“江苏省工程建设项目审批管理系统”对接，将全市项目备案与工程项目审批、项目工地等信息关联。</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核准数据共享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对接单位：市城管局、市数据局、各市、区；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对接内容：协调市数据局将系统接入省公共服务平台。并实现备案、处置核准与项目工地等信息关联。</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行政审批对接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对接单位：市公安局、市城管局；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对接内容：协调将市公安局交警部门统一开发的全市建筑垃圾运输车辆通行证审批系统接入平台，打通数据以实现通行证与项目工地、备案、处置核准等信息关联。</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源头数据对接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对接单位：市城管局、市住建局、市交通运输局、市水利局；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对接内容：协调住建、交通运输、水利等部门，建设工程项目源头库，并接入市住建局的智慧工地系统，获取各行业工程项目数据和责任企业数据。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运输数据对接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对接单位：市公安局、市交通运输局、市城管局；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对接内容：协调市公安局交警部门、市交通运输局将全市建筑垃圾运输通行证数据接入平台。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执法数据对接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对接单位：市城管局；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对接内容：与执法办案平台贯通，可移送建筑垃圾违法问题线索给执法办案平台，同时掌握办理建筑垃圾相关案件情况。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无人机数据对接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对接单位：住建、公安、生态环境、泰州市市域社会治理现代化指挥中心等部门无人机系统；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对接内容：接入无人机巡飞结果，对日常巡查过程中发现的问题进行建筑垃圾专项事件梳理、应用。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2.3.2.12</w:t>
      </w:r>
      <w:r>
        <w:rPr>
          <w:rFonts w:ascii="FangSong" w:hAnsi="FangSong" w:eastAsia="FangSong" w:cs="FangSong"/>
          <w:color w:val="000000"/>
          <w:sz w:val="28"/>
        </w:rPr>
        <w:t xml:space="preserve">数据对接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固定点视频监控设备接口开发及接入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按江苏省泰州市政务数据对接标准规范，开发统一的数据接口，对本次项目涉及的工地、消纳点、码头等场地的固定点视频进行查看，及时掌握场地安全、规范作业情况。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车牌识别设备接口开发及接入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江苏省泰州市政务数据对接标准规范，开发统一的数据接口，对本次项目涉及的工地、消纳点、码头等场地的车牌识别设备进行接入，能够及时获取场地车辆出入数据，为监管场地是否合规放行建筑垃圾运输车辆提供参考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地磅计量设备接口开发及接入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江苏省泰州市政务数据对接标准规范，开发统一的数据接口，对本次项目涉及的工地、消纳点、码头等场地的地磅计量设备进行接入，能够及时获取场地车辆出入的计量数据，包括皮重、毛重、净重数据，为监管建筑垃圾产、运、处提供溯源依据，为源头减量等工作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产生源数据接口开发及接入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接入智慧工地数据：与市住建局的智慧工地系统对接，对已安装硬件设备的工地，获取工地现场监控探头信息、工地出入口冲洗设施的工作状态监测等数据。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运输过程数据接口开发及接入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建立运输库：协调市公安局交警部门、市交通运输局将全市建筑垃圾运输车辆的定位数据全部接入平台，并定期根据交警部门提供的符合建筑垃圾（工程渣土）运输管理准入条件的企业名录相关信息进行更新。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强化全市建筑垃圾运输车辆信息化监管：协调市公安局交警部门、市交通运输局配合，将全市建筑垃圾运输车辆的定位数据接入平台。并要求“一车一档”，绑定公司信息、通行证信息以及实现与相关工地等信息关联；将车辆轨迹等数据实时对接共享至平台，实现车辆实际行驶路线与绑定的工地、处置核准、通行证信息关联的路线比对，判定是否按照相关核准要求并预警；每个月更新符合市场化准入条件的建筑垃圾运输企业名单，并及时上传公司车辆信息（包含车牌号、数量等）。同时考虑实际情况，运输企业在办理通行证时，可借用其他公司车辆，但必须将相关车辆数据录</w:t>
      </w:r>
      <w:r>
        <w:rPr>
          <w:rFonts w:ascii="FangSong" w:hAnsi="FangSong" w:eastAsia="FangSong" w:cs="FangSong"/>
          <w:color w:val="000000"/>
          <w:sz w:val="28"/>
        </w:rPr>
        <w:t xml:space="preserve">入平台。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处置过程数据接口开发及接入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处置库：协调属地将装修垃圾临时堆放中转点的视频监控数据、工程渣土消纳场及资源化利用企业的视频监控和车辆进出场称重等数据接入平台。同时考虑大部分工程渣土用于内转或其他工地，平台可建立“临时库”功能，可能出现一个工地涉及多个临时消纳地点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强化“点场厂”信息化监管：将装修垃圾临时堆放中转点、建筑垃圾消纳场以及资源化利用厂的基础情况数据录入平台，各地通过平台每月上报装修垃圾临时堆放点中转量、建筑垃圾消纳数量等，对接资源化利用厂的地磅数据获取建筑垃圾收运量，并上报资源化利用率。同时根据地磅数据中的车牌号，平台系统可倒查相关车辆是否符合核准的路线等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市域建筑垃圾综合性数据库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数据资源规划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接入现有系统数据、新建终端设备数据，实现业务数据的不断完善；按照建立的标准规范采集辖区建筑垃圾基础数据、业务数据，形成基础数据库和业务数据库，基础数据库是业务数据库的基础，同时两类数据库同时为最后的数据统计建立数据基础，辅助决策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数据采集服务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数据录入服务主要包括基础设施和设备初始化数据录入和后续日常维护更新，保障设施设备数据活力，基础设施设备数据作为后续监管平台的基础，数据更新及时保障监管结果的准确性，提供准确的作业建议。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系统定义设施数据类型、属性信息字段等，定制导入模板，设置各级单位权限；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下级管理单位根据平台要求进行导入设施设备台账信息，或者在线增删改查；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若有特性需求，则进行自定义增加，管理单位进行审核；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整体设置数据更新周期，临近周期进行各单位数据录入提醒。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建筑垃圾专题数据库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原始库建设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底座原则上接入住建、公安、交通、生态环境、水利等涉及建筑垃圾业务的全量数据到原始库。原始库是保留原始数据，能够反映原始业务场景的数据集合。原始库不对源数据进行数据的治理。原始库表的字段名与业务系统字段名保持一致，在原始库层不做字段命名归一。字段类型也尽可能保持一致，如果没有与业务系统对应的数据类型则用一个可以兼容的数据类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原始库层表的命名采用前缀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业务系统表名的方式。比如，</w:t>
      </w:r>
      <w:r>
        <w:rPr>
          <w:rFonts w:ascii="Times New Roman" w:hAnsi="Times New Roman" w:eastAsia="Times New Roman" w:cs="Times New Roman"/>
          <w:color w:val="000000"/>
          <w:sz w:val="28"/>
        </w:rPr>
        <w:t xml:space="preserve">ODS_</w:t>
      </w:r>
      <w:r>
        <w:rPr>
          <w:rFonts w:ascii="FangSong" w:hAnsi="FangSong" w:eastAsia="FangSong" w:cs="FangSong"/>
          <w:color w:val="000000"/>
          <w:sz w:val="28"/>
        </w:rPr>
        <w:t xml:space="preserve">系统简称</w:t>
      </w:r>
      <w:r>
        <w:rPr>
          <w:rFonts w:ascii="Times New Roman" w:hAnsi="Times New Roman" w:eastAsia="Times New Roman" w:cs="Times New Roman"/>
          <w:color w:val="000000"/>
          <w:sz w:val="28"/>
        </w:rPr>
        <w:t xml:space="preserve">_</w:t>
      </w:r>
      <w:r>
        <w:rPr>
          <w:rFonts w:ascii="FangSong" w:hAnsi="FangSong" w:eastAsia="FangSong" w:cs="FangSong"/>
          <w:color w:val="000000"/>
          <w:sz w:val="28"/>
        </w:rPr>
        <w:t xml:space="preserve">业务系统表名，这样既可以最大限度地保持与业务系统命名一致，又可以有清晰的层次，还可以区分来源。另外原始库中每个数据资源都应该按照公共数据项的要求进行登记。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源数据梳理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基于业务架构，从业务管理、数据分析、数据共享、数据汇聚等需求入手，对各个系统的数据资源进行梳理。数据梳理有两个方法可以帮助梳理部门的数据清单，分别是“自上而下梳理”和“自下而上盘点”。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自上而下梳理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自上而下梳理是一种以业务视角进行数据梳理的方法，通过对相关制度文件、智能体系、业务流程、业务单据等进行全面分析，逐层分解，梳理数据目录、业务属性和相关管理属性。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自下而上盘点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数据资源梳理的另一个方面是以技术的视角，从业务系统—数据库表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数据结构出发，进行自下而上归纳，逐步明确数据资源相关的系统信息项。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通过以上两种梳理方式，最终输出汇聚数据系统清单以及对应的数据清单。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源数据探查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依据已梳理出的汇聚数据清单，探查源数据的情况，包含数据更新情况、更新方式，以及数据注释完整性等情况。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探查包括探查数据情况，了解数据源、数据类、数据项等信息，检查数据成分、数据关系及数据格式等问题。数据探查旨在了解来源数据的数据形态，结合业务场景，帮助分析和判断需求实现的可行性以及找出潜在的数据问题和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异常源数据反馈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针对探查过程中发现的数据注释不完整、更新方式不明确、更新不及时的数据资源，输出异常数据反馈清单。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通过清单的方式反馈于对应负责人，并要求其完善相关数据资源信息。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数据汇聚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依据已梳理且信息完善的数据清单，在原始库建贴源层表。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依据源数据更新方式，结合数据应用需求建立离线</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实时数据同步任务及调度流程，并配置异常重试和预警机制，及时关注异常问题、并及时修复。确保数据正常同步，保证数据的鲜活。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标准库建设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数据底座原始库数据进行数据治理（数据转换、数据去重、数据过滤、数据校验等），形成标准库。标准库在原始库基础上补充对各种来源数据进行一系列处理加工后产生的标准化数据、关联要素信息和标签信息。标准库的主要工作是将非标准的原始层数据治理成标准化的数据，主要包括模型结构的标准化，数据内容的标准化，处理的手段有清洗、过滤、转换等操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业务系统数据分散、格式不统一、关联性不强、建设风格各异等问题，标准库的建设，就是针对汇聚到贴源层的数据进行标准化并清洗到标准层的过程。数据处理的关键步骤，主要是建立标准化的数据处理流程，对数据进行提取、标准化、清洗、对象化、提炼、关联、比对和标识等操作，生成符合要求的标准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数据治理平台进行标准化处理，提供符合业务规范和技术标准的数据资源，承担对各种来源的数据，进行统一的标准化处理，使得不同来源的数据格式统一、关联完整、标识明确，提高数据的质量和关联性，实现数据增值、数据准备、数据抽象，方便开展更为复杂的大数据处理业务，为业务数据统一存储、综合应用打下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数据转换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在数据标准库实施过程中，需要将各源系统的数据格式进行统一，根据数据元标准把非标数据转换成统一的标准格式进行输出。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针对不同来源的同类数据按照统一规则进行转换，如数据字典、公司地址、负责人、手机号、</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地址、时间、经纬度等属性的标准格式转换。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数据格式转换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按照数据元标准规范，进行数据格式转换，包括日期格式存储的要求、大小写统一的要求、编码字符集的要求等。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数据内容转换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按照数据元标准规范，进行数据内容的转换，包括企业注册编号、行政区划转换要求等；包含数据关系，根据转换源数据与目标数据的对应关系，包括数据项名称、类型、长度等。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数据字典转换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依据数据元标准规范，转换源数据与目标数据中字典数据项的名称、类型、长度等属性及关联关系，建立映射关系。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数据去重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依据数据源系统的数据情况进行数据去重，常见的重复场景及处理方式如下：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数据平台广泛接入各类数据，源系统建设过程中事先协调较为困难，数据的重复是很难避免的。重复的数据对统计和分析会造成严重影响，对平台的实用性危害极大，所以必须采用必要的手段去重。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重复的数据并不是完全一样的数据，无法采用简单的比对方式进行去重处理。在进行数据的重复判断时，必须采用实体识别技术。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实体识别技术就是通过对两条或者多条数据按照一定的业务规则进行比较，判断它们是否描述了同一实体，从而判断是否重复数据的过程。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实体识别需要进行有监督，在工作过程中由人工给予纠正和指导，在工作一段时间后就可以达到合理的判断准确性。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根据数据的场景设定数据的重复判别规则及相应的合并、清除策略。对数据接入的数据进行重复性判别，并进行相应的合并或清除处理，被清除的数据都归入问题数据库。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数据过滤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通过对数据进行辨别和分离，实现冗余数据及垃圾数据的滤除，被识别为垃圾数据的数据可以直接滤除，或标识后正常处理并交由后端模块判断如何进一步处理。其他未被过滤掉的数据则直接进入后续处理环节。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数据校验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根据数据质量检核规则对数据进行检验，符合标准的数据直接入库，不符合标准的数据可进入问题数据库以便进一步分析处理。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空值校验：对数据字段的空值情况进行校验，必填项进行补充或进入问题库。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取值范围校验：对数据字段的取值范围进行校验，不符合范围的数据进入问题库。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数值校验：对数值型数据字段进行校验，不符合数值型，进行格式转换并存储，无法转换成数值型的数据进入问题数据库。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长度校验：对数据字段的长度进行校验，不符合长度的数据进行截取，进入问题数据库。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精度校验：对数据字段的精度进行校验，不符合精度的数据，进入问题数据库。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多字段条件校验：对多个相关字段进行互相校验，字段间出现矛盾的数据，进入问题数据库。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基于业务逻辑进行数据校核，确保数据在业务上的完整性、正确性、逻辑合理性。数据校核为本系统数据处理的关键点，也是信息联审的主要业务逻辑实现。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主题库建设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依据业务属性梳理相关数据资源，然后划分相关主题，并建设主题库。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主题库的建设要根据业务需求情况和调研的数据情况，由业务人员配合数据人员共同完成。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在建设过程中采用迭代方式，不纠结于一次完成所有主题的抽象，可先从明确定义的主题开始。后续逐步归纳总结成自身行业的标准模型。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业务主题划分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调研相关业务类以及已建设主题库情况，基于数据现状建设、完善主题库。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业务主题通常是联系较为紧密的数据主题的集合。可以根据业务的分类，将数据主题划分到不同的主题库。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底座中的数据是面向主题的，主题是在较高层次上将企业信息系统中的数据进行综合、归类和分析利用的一个抽象概念，每一个主题库基本对应一个宏观的分析领域。主题库通常是联系较为紧密的数据主题的集合。可以根据业务的关注点，将这些数据主题划分到不同的主题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题是为了便利工作、精准快速地反映工作对象全貌而建立的融合各类原始数据、资源数据，围绕能标识车、企、工地、消纳点、执法等主题对象，长期积累形成的多种维度的公共数据集合，包括车主题库、企主题库、工地主题库、消纳点、执法主题库等，为数据的统一分析、统一服务提供了基础，从而对数据价值有了更高层次利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主题库表建设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题库中采用维度建模的方式进行建模，以支撑业务数据需求的数据查询、汇总、分析等。维度表在设计首先明确维度表的宽度和深度，宽度就是维度表所涉及维度的覆盖范围，深度就是覆盖范围内数据的存储周期。事实表在设计过程中要明确业务粒度，以及考虑模型完整性、复用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主题数据治理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主题划分和已建主题库表，将标准化处理后的数据从标准库映射至主题库。包含多表同类数据的整合、多表关联字段值的补充等。并依据数据及时性需求，建立数据同步任务，确保主题库数据在业务逻辑上的合理性和准确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专题库建设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通过特定业务应用需求建立满足应用需求的专题库表。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业务专题划分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调研业务应用场景和分析场景，参考应用、分析场景，以及已建设专题库情况，建设、完善专题库。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题数据库建设过程中，应采用相关的国家标准、国际标准、学科领域标准规范或其应用方案，完成数据表关系梳理、维度模型设计、实体关系模型设计、相关数据筛选、数据关联、指标度量预计算、实体数据拆分与去重、数据合并、数据标签、数据脱敏等工作，并为其他业务系统提供关键性的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题数据库按照内容框架与数据规范对数据进行加工、整理和入库，同时面向需求有计划地补充和集成外部数据资源，构建必要的数据应用环境，不仅提供统一的数据访问服务，而且满足数据分析、计算与可视化的需求。专题数据库的服务还应集成到数据中心门户系统，以便用户通过数据中心门户系统统一发现和访问到专题数据库服务系统中所有的资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围绕建筑垃圾治理业务专题分析应用，划分相应的专题如：源头分析、运输分析、处置分析、水运分析等专题。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专题库表建设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题库中采用维度建模的方式进行建模，以支撑应用场景数据需求的数据查询、汇总、分析等。维度表在设计首先明确维度表的宽度和深度，宽度就是维度表所涉及维度的覆盖范围，深度就是覆盖范围内数据的存储周期。 事实表在设计过程中要明确业务粒度，以及考虑模型完整性、复用性。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专题数据治理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依据所建专题库表，根据专题业务需求将数据从标准库或主题库映射至专题库表。并依据数据及时性需求，建立数据同步任务，确保专题库数据在业务上的完整性和准确性。</w:t>
      </w:r>
      <w:r/>
    </w:p>
    <w:p>
      <w:pPr>
        <w:ind w:left="0" w:right="0" w:firstLine="6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泰州市城市运行管理服务平台对接：</w:t>
      </w:r>
      <w:r>
        <w:rPr>
          <w:rFonts w:ascii="Times New Roman" w:hAnsi="Times New Roman" w:eastAsia="Times New Roman" w:cs="Times New Roman"/>
          <w:color w:val="000000"/>
          <w:sz w:val="28"/>
        </w:rPr>
        <w:t xml:space="preserve">2022</w:t>
      </w:r>
      <w:r>
        <w:rPr>
          <w:rFonts w:ascii="FangSong" w:hAnsi="FangSong" w:eastAsia="FangSong" w:cs="FangSong"/>
          <w:color w:val="000000"/>
          <w:sz w:val="28"/>
        </w:rPr>
        <w:t xml:space="preserve">年泰州市城管局开展泰州市城市运行管理服务平台建设。其核心目标是构建 “智能感知、快速反应、高效处置、精细管理”的城市治理新模式，推动城市管理从被动应对向主动防控转变。泰州市城市运行管理服务平台是泰州市推进智慧城市建设、提升城市精细化治理水平的核心载体。通过整合多部门资源、运用数字化技术，实现城市运行 “一网统管”。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“泰州通”对接：“泰州通”</w:t>
      </w:r>
      <w:r>
        <w:rPr>
          <w:rFonts w:ascii="Times New Roman" w:hAnsi="Times New Roman" w:eastAsia="Times New Roman" w:cs="Times New Roman"/>
          <w:color w:val="000000"/>
          <w:sz w:val="28"/>
        </w:rPr>
        <w:t xml:space="preserve">APP </w:t>
      </w:r>
      <w:r>
        <w:rPr>
          <w:rFonts w:ascii="FangSong" w:hAnsi="FangSong" w:eastAsia="FangSong" w:cs="FangSong"/>
          <w:color w:val="000000"/>
          <w:sz w:val="28"/>
        </w:rPr>
        <w:t xml:space="preserve">是泰州市人民政府授权、泰州市数据产业集团有限公司管理的一站式城市服务平台，集成政务、交通、旅游、健康等</w:t>
      </w:r>
      <w:r>
        <w:rPr>
          <w:rFonts w:ascii="Times New Roman" w:hAnsi="Times New Roman" w:eastAsia="Times New Roman" w:cs="Times New Roman"/>
          <w:color w:val="000000"/>
          <w:sz w:val="28"/>
        </w:rPr>
        <w:t xml:space="preserve">130</w:t>
      </w:r>
      <w:r>
        <w:rPr>
          <w:rFonts w:ascii="FangSong" w:hAnsi="FangSong" w:eastAsia="FangSong" w:cs="FangSong"/>
          <w:color w:val="000000"/>
          <w:sz w:val="28"/>
        </w:rPr>
        <w:t xml:space="preserve">余项服务，覆盖市民全生命周期需求。本期居民端应用，如预约、投诉建议等功能将基于“泰州通”开发。大数据共享开放平台对接：项目从信息资源目录、数据交换、数据服务接口三方面实现与大数据共享开放平台对接整合。天地图平台对接：本项目支持基于天地图平台开发</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应用，并将相关信息与市域社会治理现代化指挥中心业务对接形成全市一张图。基础设施整合：本项目依托市大数据管理中心基础设施环境运行。</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2.3.4.数据供需</w:t>
      </w:r>
      <w:r/>
    </w:p>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表：泰州市建筑垃圾全链条监管平台项目关联系统清单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40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关联系统名称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系统状态</w:t>
            </w:r>
            <w:r/>
          </w:p>
        </w:tc>
      </w:tr>
      <w:tr>
        <w:trPr>
          <w:trHeight w:val="4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住建局智慧工地平台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已建</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泰州市运管服平台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已建</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公安/交通通行证系统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已建</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公安/交通视频平台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已建</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公安/交通车辆北斗卫星平台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已建</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属地硬件数据（如视频、地磅）</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在建/已建</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属地城管系统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已建</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各市、区执法系统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已建</w:t>
            </w:r>
            <w:r/>
          </w:p>
        </w:tc>
      </w:tr>
      <w:tr>
        <w:trPr>
          <w:trHeight w:val="40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住建厅建筑垃圾平台</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984" w:type="dxa"/>
            <w:vAlign w:val="top"/>
            <w:textDirection w:val="lrTb"/>
            <w:noWrap/>
          </w:tcPr>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在建</w:t>
            </w:r>
            <w:r/>
          </w:p>
        </w:tc>
      </w:tr>
    </w:tbl>
    <w:p>
      <w:pPr>
        <w:ind w:left="0" w:right="0" w:firstLine="42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表：泰州市建筑垃圾全链条监管平台项目数据资源需求表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8"/>
        <w:gridCol w:w="1055"/>
        <w:gridCol w:w="907"/>
        <w:gridCol w:w="1942"/>
        <w:gridCol w:w="1528"/>
        <w:gridCol w:w="1359"/>
        <w:gridCol w:w="1355"/>
      </w:tblGrid>
      <w:tr>
        <w:trPr>
          <w:trHeight w:val="13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部门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数据资源目录名称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具体数据内容（字段）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数据接入方式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数据更新周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作用</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住建局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智慧工地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宜含：工程基本信息、视频、施工单位相关信息等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用于掌握全市工程基础信息、施工许可证、施工单位基本信息及现场视频数据</w:t>
            </w:r>
            <w:r/>
          </w:p>
        </w:tc>
      </w:tr>
      <w:tr>
        <w:trPr>
          <w:trHeight w:val="1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工程审批数据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宜含：工程名称、审批状态、审批人、开工时间、竣工时间、建设单位、监理单位、施工单位、各单位联系人等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1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城管局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建筑垃圾执法信息共享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宜含：建筑垃圾相关执法事件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用于同步各区市执法数据、核准数据、联单数据</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备案基本信息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宜含：名称、类型、开工时间、竣工时间、地址、位置等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建筑垃圾核准基本信息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宜含：登记编号、行政区划、运输单位、单位地址、联系人、联系电话、运输起点、运输终点、运输垃圾类型、承运车辆、核准量、开竣工日期、有效日期等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8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建筑垃圾核准车辆清单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宜含：车牌号、使用状态、所属公司、车辆种类、车辆状态、登记状态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建筑垃圾核准附件材料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建筑垃圾处置核准申请表、建筑垃圾规范处置承诺书、建筑垃圾处置方案、建设工程规划许可证、施工图设计文件审查合格书、工程量清单等（可以确定工程面积及土方弃置量）、建设单位或施工单位与运输企业签订的合同、建筑垃圾消纳场接收证明或协议（合同）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建筑垃圾核准现场勘查信息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宜含：勘察结果、出入口、现场照片、备案公示表、冲洗设施图、过水池图、出入口场地硬化、现场勘察表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宜含：登记编号、行政区划、运输单位、单位地址、联系人、联系电话、服务区域、处置证有效期等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装修垃圾核准去向信息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宜含：去向终点、服务合同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装修垃圾核准停车场信息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宜含：运输单位、行政区划、停车场地址、停车场状态、登记状态等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装修垃圾核准车辆信息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宜含：车牌号、使用状态、所属公司、登记状态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1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装修垃圾核准驾驶员信息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宜含：运输单位、驾驶员姓名、身份证号、联系电话、驾照类型、人员状态、登记状态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装修垃圾核准附件信息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宜含：营业执照、企业道路运输经营许可证、车辆营运证清单、行驶证清单、承诺书、企业运输车辆及驾驶员信息表、法人身份证正反面照片、企业信用报告、运输企业申请表等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电子联单移出信息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宜含：施工单位、统一社会信用代码、运输起点、起点行政区划、移出地址、应急联系电话、经办人、经办人签名、联系电话、移出时间、垃圾种类、移出量、现场照片等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1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电子联单运输信息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宜含：运输单位、统一社会信用代码、驾驶员、联系电话、运输工具、牌号、运输起点、起运时间、运输路线、运输终点、到达时间、经办人、经办人联系电话、经办人签名等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电子联单接收信息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宜含：消纳管理单位、统一社会信用代码、运输终点、行政区划、详细地址、经办人、联系电话、经办人签名、接收时间、垃圾种类、接收量、消纳方式、现场照片、备注等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许可证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宜含：许可相关信息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公安局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运输企业相关信息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宜含：单位名称、联系人、联系方式、营业执照等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用于获取运输企业&amp;车辆&amp;驾驶员相关信息、通行证数据、卡口视频数据</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车辆相关信息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宜含：车牌号、品牌类型、车辆种类、是否安装定位设备、是否密闭化改装、是否防滴漏改装、行驶证年检日期、行驶证有效开始时间、行驶证有效截止时间、驾驶员名称等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驾驶员相关信息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宜含：驾驶员姓名、运输单位、驾照类型、人员状态、身份证号、联系方式、驾驶证号、从业资格证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通行证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宜含：运输路线、通行时间段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卡口视频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宜含：视频位置、视频图片或视频流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生态环境局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过境垃圾报备信息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宜含：垃圾类型、过境时间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用于掌握过境垃圾报备信息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交通局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水运驳运点（码头）信息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宜含：码头地址、联系人、位置、所属区划、监管单位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用于掌握水运驳运点信息、交通工程信息、施工单位&amp;运输企业&amp;车辆&amp;驾驶员相关信息、运输许可信息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宜含：名称、类型、开工时间、竣工时间、地址、位置、产生量等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施工单位基本信息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宜含：名称、联系人、联系方式、营业执照等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运输企业相关信息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宜含：单位名称、联系人、联系方式、营业执照等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车辆相关信息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宜含：车牌号、品牌类型、车辆种类、是否安装定位设备、是否密闭化改装、是否防滴漏改装、行驶证年检日期、行驶证有效开始时间、行驶证有效截止时间、驾驶员名称等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驾驶员相关信息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宜含：驾驶员姓名、运输单位、驾照类型、人员状态、身份证号、联系方式、驾驶证号、从业资格证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船舶基本信息（内河）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宜含：船舶定位设备轨迹信息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准运证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宜含：运输路线、通行时间段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水利局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宜含：建设单位、施工单位、监理名称、类型、开工时间、竣工时间、地址、位置、产生量等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用于掌握工程&amp;施工单位基本信息、项目施工许可数据</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施工单位基本信息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宜含：名称、联系人、联系方式、营业执照等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各市、区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各市、区建筑垃圾执法数据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宜含：建筑垃圾相关执法事件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用于掌握各市、区、项目许可数据、消纳场基本信息、点场厂基本信息、核准信息、电子联单数据、点场厂视频及称重相关数据</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项目施工许可数据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宜含：施工许可相关数据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装修垃圾临时堆放中转点基本信息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宜含：名称、行政区划、类型、管理单位、联系人、联系电话、具体地址、位置、占地面积、总容量、需土开始时间、需土结束时间、需土原因等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工程渣土消纳场基本信息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宜含：名称、行政区划、类型、管理单位、联系人、联系电话、具体地址、位置、占地面积、总容量、需土开始时间、需土结束时间、需土原因等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资源化利用企业基本信息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宜含：单位名称、联系人、联系方式、营业执照等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备案基本信息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宜含：名称、类型、开工时间、竣工时间、地址、位置等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建筑垃圾核准基本信息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宜含：登记编号、行政区划、运输单位、单位地址、联系人、联系电话、运输起点、运输终点、运输垃圾类型、承运车辆、剩余核准量、开竣工日期、有效日期等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建筑垃圾核准车辆清单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宜含：车牌号、使用状态、所属公司、车辆种类、车辆状态、登记状态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建筑垃圾核准附件材料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建筑垃圾处置核准申请表、建筑垃圾规范处置承诺书、建筑垃圾处置方案、建设工程规划许可证、施工图设计文件审查合格书、工程量清单等（可以确定工程面积及土方弃置量）、建设单位或施工单位与运输企业签订的合同、建筑垃圾消纳场接收证明或协议（合同）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建筑垃圾核准现场勘查信息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宜含：勘察结果、出入口、现场照片、备案公示表、冲洗设施图、过水池图、出入口场地硬化、现场勘察表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装修垃圾核准基本信息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宜含：登记编号、行政区划、运输单位、单位地址、联系人、联系电话、服务区域、处置证有效期等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装修垃圾核准去向信息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宜含：去向终点、服务合同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装修垃圾核准停车场信息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宜含：运输单位、行政区划、停车场地址、停车场状态、登记状态等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装修垃圾核准车辆信息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宜含：车牌号、使用状态、所属公司、登记状态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装修垃圾核准驾驶员信息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宜含：运输单位、驾驶员姓名、身份证号、联系电话、驾照类型、人员状态、登记状态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装修垃圾核准附件信息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宜含：营业执照、企业道路运输经营许可证、车辆营运证清单、行驶证清单、承诺书、企业运输车辆及驾驶员信息表、法人身份证正反面照片、企业信用报告、运输企业申请表等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库表/文件/接口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电子联单移出信息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宜含：施工单位、统一社会信用代码、运输起点、起点行政区划、移出地址、应急联系电话、经办人、经办人签名、联系电话、移出时间、垃圾种类、移出量、现场照片等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电子联单运输信息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宜含：运输单位、统一社会信用代码、驾驶员、联系电话、运输工具、牌号、运输起点、起运时间、运输路线、运输终点、到达时间、经办人、经办人联系电话、经办人签名等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电子联单接收信息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宜含：消纳管理单位、统一社会信用代码、运输终点、行政区划、详细地址、经办人、联系电话、经办人签名、接收时间、垃圾种类、接收量、消纳方式、现场照片、备注等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属地装修垃圾临时堆放中转点视频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宜含：视频点位、视频数据流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属地装修垃圾临时堆放中转点处理量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宜含：进场量、进场时间、来源、出厂量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工程渣土消纳场及资源化利用企业的视频监控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宜含：视频点位、视频数据流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工程渣土消纳场及资源化利用企业车辆进出场称重等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宜含：进场量、进场时间、来源、出厂量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数据局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市本级及各市、区各类许可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宜含：许可相关信息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用于掌握施工等许可信息，打通省级与泰州的建筑垃圾数据</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市本级及各市、区核准数据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宜含：核准相关信息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省级需对接的全部数据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结合省厅要求获取相关数据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省住建厅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工程基本数据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宜含：名称、类型、开工时间、竣工时间、地址、位置、产生量等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定期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用于同步工程和水运运单相关数据</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水路运单移出信息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宜含：离岸码头、行政区划、地址、去向码头、行政区划、地址、移出时间、预估量、经办人、联系电话、船号、船只照片、吃水线照片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水路运单接收信息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宜含：经办人、联系电话、船只照片、吃水线照片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实时</w:t>
            </w:r>
            <w:r/>
          </w:p>
        </w:tc>
        <w:tc>
          <w:tcPr>
            <w:vMerge w:val="continue"/>
            <w:textDirection w:val="lrTb"/>
            <w:noWrap w:val="false"/>
          </w:tcPr>
          <w:p>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建立日志体系，在应用服务层和数据库层分别设有日志，为非法登录控制、事故追查等提供多种手段。日志管理模块可将日志开放给相关操作人员查询和下载。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加密存储：对于一些敏感的重要数据（如：密码等）进行加密存储。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全部的传输数据采用</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数字签字加密技术。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预订对象在传输过程中不被窃听和篡改，需要支持</w:t>
      </w:r>
      <w:r>
        <w:rPr>
          <w:rFonts w:ascii="Times New Roman" w:hAnsi="Times New Roman" w:eastAsia="Times New Roman" w:cs="Times New Roman"/>
          <w:color w:val="000000"/>
          <w:sz w:val="28"/>
        </w:rPr>
        <w:t xml:space="preserve">Web Service</w:t>
      </w:r>
      <w:r>
        <w:rPr>
          <w:rFonts w:ascii="FangSong" w:hAnsi="FangSong" w:eastAsia="FangSong" w:cs="FangSong"/>
          <w:color w:val="000000"/>
          <w:sz w:val="28"/>
        </w:rPr>
        <w:t xml:space="preserve">提供的标准安全加密传输协议，如最为主流的</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（安全套接字）协议。通过传输协议的加密保护，进一步增强了公文传输的安全。</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
        <w:gridCol w:w="2456"/>
        <w:gridCol w:w="4105"/>
        <w:gridCol w:w="1440"/>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二级模块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（万元）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建筑垃圾多源数据治理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多源数据集成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w:t>
            </w:r>
            <w:r/>
          </w:p>
        </w:tc>
      </w:tr>
      <w:tr>
        <w:trPr>
          <w:trHeight w:val="5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市域建筑垃圾综合性数据库</w:t>
            </w:r>
            <w:r/>
          </w:p>
        </w:tc>
        <w:tc>
          <w:tcPr>
            <w:vMerge w:val="continue"/>
            <w:textDirection w:val="lrTb"/>
            <w:noWrap w:val="false"/>
          </w:tcPr>
          <w:p>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建筑垃圾专题数据库</w:t>
            </w:r>
            <w:r/>
          </w:p>
        </w:tc>
        <w:tc>
          <w:tcPr>
            <w:vMerge w:val="continue"/>
            <w:textDirection w:val="lrTb"/>
            <w:noWrap w:val="false"/>
          </w:tcPr>
          <w:p>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核准管理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企业账户管理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申报信息录入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处置方案备案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建筑工地信息入库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处置核准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处置核准信息入库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公安通行证办理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通行证信息入库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运输企业审核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运输企业信息入库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处置场所审核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处置场所信息入库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码头信息入库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电子联单管理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电子联单工地端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w:t>
            </w:r>
            <w:r/>
          </w:p>
        </w:tc>
      </w:tr>
      <w:tr>
        <w:trPr>
          <w:trHeight w:val="3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电子联单运输企业端</w:t>
            </w:r>
            <w:r/>
          </w:p>
        </w:tc>
        <w:tc>
          <w:tcPr>
            <w:vMerge w:val="continue"/>
            <w:textDirection w:val="lrTb"/>
            <w:noWrap w:val="false"/>
          </w:tcPr>
          <w:p>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电子联单处置场所端</w:t>
            </w:r>
            <w:r/>
          </w:p>
        </w:tc>
        <w:tc>
          <w:tcPr>
            <w:vMerge w:val="continue"/>
            <w:textDirection w:val="lrTb"/>
            <w:noWrap w:val="false"/>
          </w:tcPr>
          <w:p>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电子联单中转站</w:t>
            </w:r>
            <w:r/>
          </w:p>
        </w:tc>
        <w:tc>
          <w:tcPr>
            <w:vMerge w:val="continue"/>
            <w:textDirection w:val="lrTb"/>
            <w:noWrap w:val="false"/>
          </w:tcPr>
          <w:p>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装修垃圾订单管理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居民端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收运司机端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后台管理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建筑垃圾陆上全链条治理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消纳场二维码管理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车辆出入授权管理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终端计量管理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消纳点综合看板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建筑垃圾码头治理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建筑垃圾转运码头管理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建筑垃圾转运码头监测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业务协同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跨部门事件归集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智能识别管理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投诉举报管理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线索流转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执法监管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日常巡查管理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量化考核管理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重点区域管理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研判分析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源头分析研判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运输分析研判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处置分析研判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建筑垃圾数治驾驶舱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企业监测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建筑垃圾一张图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特色应用场景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vMerge w:val="restart"/>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移动端应用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基础信息查看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6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在线审核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车辆查看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视频查看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两点一线</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巡查管理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统计报表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3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人车企筛查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8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对接省建筑垃圾全链条监管平台、市运管服平台、泰州通</w:t>
            </w:r>
            <w:r>
              <w:rPr>
                <w:rFonts w:ascii="Times New Roman" w:hAnsi="Times New Roman" w:eastAsia="Times New Roman" w:cs="Times New Roman"/>
                <w:color w:val="000000"/>
                <w:sz w:val="24"/>
              </w:rPr>
              <w:t xml:space="preserve">APP</w:t>
            </w:r>
            <w:r>
              <w:rPr>
                <w:rFonts w:ascii="FangSong" w:hAnsi="FangSong" w:eastAsia="FangSong" w:cs="FangSong"/>
                <w:color w:val="000000"/>
                <w:sz w:val="24"/>
              </w:rPr>
              <w:t xml:space="preserve">、行政审批系统、交管部门通行证审批系统、交通局车辆管理系统开发工作，并预留区县平台对接接口。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r>
      <w:tr>
        <w:trPr>
          <w:trHeight w:val="3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118</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效益：数字化赋能建筑垃圾全链条、全品类精细化管理，实现对清运企业、清运车辆、建筑工地、从业人员、“点场厂”等的信息管理，结合动态监控所获取的数据，提高管理部门监管的能力；基于过程追踪、异常报警、数据研判等技术手段，对业务全过程运行风险和质量评估，提高行业管理效能、减轻基层巡查执法压力；助力推进建筑垃圾多部门联合整治工作，通过动态预警、智能推送、闭环处置、联动执法，实现“一件事”高效协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济效益：平台构建一站式规范化申报、审批、备案机制，实现“企业入库一次办”。同时，通过数字化平台的全方位监管，最大程度减少非法营运，营造良好、稳定、公正的运营市场，降低安全生产事故，保护合法合规企业权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社会效益：通过技术手段，维持城市的正常交通秩序，减低建筑垃圾（工程渣土）运输车辆带来的交通安全隐患，确保市民出行安全，保障市民的正常生活秩序。打造互联网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服务平台，面向企业、公众提供高效的信息服务，便民利企，助力城市生态文明建设和城市管理高质量发展。</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3.市教育局阳光招生平台升级（2026）项目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3.1.预期目标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通过本次升级，力争实现以下成效，切实提升阳光招生平台的服务能力和群众满意度：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全流程网办水平大幅提升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随迁子女报名材料基本实现系统自动核验，家长无须额外提交纸质证明；报名材料补正全部线上完成，群众跑动次数显著减少。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省市规范全面衔接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移动端与</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端界面风格、数据接口符合省级“一件事”平台规范要求，确保对接顺畅。</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监督闭环有效建立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好差评工单形成“接诉即办”的整改反馈机制，群众满意度预期得到持续改善。</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3.2.需求分析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为落实《江苏省推进义务教育入学“一件事”改革实施方案》，实现“减时间、减环节、减材料、减跑动”，本次升级需满足以下业务需求：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多终端界面标准化：移动端（“泰州通”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、苏服办小程序）与</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端界面风格、操作流程需全面遵循省级设计指引，消除跨终端体验割裂。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随迁子女报名简化：外来务工人员子女入学时，系统应能自动核验监护人社保缴纳记录；个体工商户子女入学时，应能自动核验营业执照信息，替代手动上传纸质证明。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好差评闭环管理：差评信息不能直接上报省库，而应先形成整改工单，推送至对应学校，待学校整改并反馈后，再由家长确认，最终上报，实现“接诉即办”。</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报名材料线上补正：对于报名期限内审核不通过的报名数据，即使在报名截止后，也应允许家长在线补正材料一次，避免线下跑腿。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户籍核验能力升级：对接省电子证照库，实现身份证号与户籍号、家庭成员信息的关联查询，提升核验准确性和效率。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学位查询精准化：各区县房产数据需统一清洗治理，支持基于父母或祖辈房产的自动核验，并可向社会提供个人学位占用情况查询。</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系统在设计、开发和部署时应充分考虑稳定性、响应速度及承载能力，在典型网络环境和正常负载条件下，应满足以下技术要求：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性能要求</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在网络稳定的环境下，操作性界面单一操作的系统响应时间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秒；</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数据录入页面响应时间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秒；</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页面间跳转时间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秒；</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精确查询（包括请求服务）响应时间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秒；</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模糊查询响应时间</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综合检索、查询响应时间</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支持并发数</w:t>
      </w:r>
      <w:r>
        <w:rPr>
          <w:rFonts w:ascii="Times New Roman" w:hAnsi="Times New Roman" w:eastAsia="Times New Roman" w:cs="Times New Roman"/>
          <w:color w:val="000000"/>
          <w:sz w:val="28"/>
        </w:rPr>
        <w:t xml:space="preserve">500</w:t>
      </w:r>
      <w:r>
        <w:rPr>
          <w:rFonts w:ascii="FangSong" w:hAnsi="FangSong" w:eastAsia="FangSong" w:cs="FangSong"/>
          <w:color w:val="000000"/>
          <w:sz w:val="28"/>
        </w:rPr>
        <w:t xml:space="preserve">以上；</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系统有效工作时间要求</w:t>
      </w:r>
      <w:r>
        <w:rPr>
          <w:rFonts w:ascii="Times New Roman" w:hAnsi="Times New Roman" w:eastAsia="Times New Roman" w:cs="Times New Roman"/>
          <w:color w:val="000000"/>
          <w:sz w:val="28"/>
        </w:rPr>
        <w:t xml:space="preserve">≥99.5%</w:t>
      </w:r>
      <w:r>
        <w:rPr>
          <w:rFonts w:ascii="FangSong" w:hAnsi="FangSong" w:eastAsia="FangSong" w:cs="FangSong"/>
          <w:color w:val="000000"/>
          <w:sz w:val="28"/>
        </w:rPr>
        <w:t xml:space="preserve">；</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系统故障平均间隔时间：</w:t>
      </w:r>
      <w:r>
        <w:rPr>
          <w:rFonts w:ascii="Times New Roman" w:hAnsi="Times New Roman" w:eastAsia="Times New Roman" w:cs="Times New Roman"/>
          <w:color w:val="000000"/>
          <w:sz w:val="28"/>
        </w:rPr>
        <w:t xml:space="preserve">≥300</w:t>
      </w:r>
      <w:r>
        <w:rPr>
          <w:rFonts w:ascii="FangSong" w:hAnsi="FangSong" w:eastAsia="FangSong" w:cs="FangSong"/>
          <w:color w:val="000000"/>
          <w:sz w:val="28"/>
        </w:rPr>
        <w:t xml:space="preserve">天；</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系统一年的故障停机时间不超过</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分钟（不可预测因素除外）；</w:t>
      </w:r>
      <w:r/>
    </w:p>
    <w:p>
      <w:pPr>
        <w:numPr>
          <w:ilvl w:val="0"/>
          <w:numId w:val="7"/>
        </w:numPr>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避免出现以下情况：无故退出系统；出现系统不可控的故障提示；因系统故障导致操作系统或机器无法正常工作。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输出需求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在江苏政务服务网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泰州综合服务旗舰店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和泰州通及苏服办两个移动门户平台接入阳光招生应用，方便学生线上招生报名。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其他需求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为保障招生报名工作平稳进行，在报名高峰期提供现场服务。服务内容包括：系统日常巡检、数据安全备份、操作培训、问题解答、数据报表整理、权限管理等，确保问题在第一时间得到响应和处置。。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3.3.技术方案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3.3.1.总体架构</w:t>
      </w:r>
      <w:r/>
    </w:p>
    <w:p>
      <w:pPr>
        <w:ind w:left="0" w:right="0"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采用五层架构，由下至上分别为基础设施层、数据资源层、应用支撑层、业务应用层、用户接入层。基础设施层依托泰州电子政务外网云平台；数据资源层基于市政务信息资源交换平台，建设用户库、学位信息库、申报信息库；应用支撑层提供统一认证、工作流引擎、数据交换组件等；业务应用层包含本次升级的各项功能；用户接入层支持“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、政务服务网、微信小程序等多终端。</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31242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94663" name=""/>
                        <pic:cNvPicPr>
                          <a:picLocks noChangeAspect="1"/>
                        </pic:cNvPicPr>
                        <pic:nvPr/>
                      </pic:nvPicPr>
                      <pic:blipFill>
                        <a:blip/>
                        <a:stretch/>
                      </pic:blipFill>
                      <pic:spPr bwMode="auto">
                        <a:xfrm>
                          <a:off x="0" y="0"/>
                          <a:ext cx="5276849" cy="31241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5pt;height:246.0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3.3.2.主要功能设计</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3.3.2.1.</w:t>
      </w:r>
      <w:r>
        <w:rPr>
          <w:rFonts w:ascii="FangSong" w:hAnsi="FangSong" w:eastAsia="FangSong" w:cs="FangSong"/>
          <w:color w:val="000000"/>
          <w:sz w:val="28"/>
        </w:rPr>
        <w:t xml:space="preserve">江苏省义务教育入学一件事专区页面设计改版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按照省政务办发布的《江苏省教育入学一件事专区页面设计指引》，提升移动端和</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端用户的使用体验，使报名流程更加人性化、便捷化。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界面设计遵循性：遵循《江苏省教育入学一件事专区页面设计指引》的规范要求，对移动端和</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端页面进行视觉风格和交互体验的整体改版。需确保页面布局合理、图标清晰、字体规范、色彩搭配协调。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报名流程引导优化：重新设计报名流程的导航和引导机制。在关键步骤（如选择报名类型、填写关键信息等）提供清晰、易于理解的提示和指引，减少用户因误解或操作不当导致的报名错误。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材料上传功能优化：优化材料上传组件，需支持多种格式图片（</w:t>
      </w:r>
      <w:r>
        <w:rPr>
          <w:rFonts w:ascii="Times New Roman" w:hAnsi="Times New Roman" w:eastAsia="Times New Roman" w:cs="Times New Roman"/>
          <w:color w:val="000000"/>
          <w:sz w:val="28"/>
        </w:rPr>
        <w:t xml:space="preserve">JPG</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PNG</w:t>
      </w:r>
      <w:r>
        <w:rPr>
          <w:rFonts w:ascii="FangSong" w:hAnsi="FangSong" w:eastAsia="FangSong" w:cs="FangSong"/>
          <w:color w:val="000000"/>
          <w:sz w:val="28"/>
        </w:rPr>
        <w:t xml:space="preserve">等）的上传，提供图片压缩、旋转、裁剪等前端预处理功能，并有清晰的上传进度反馈和成功提示。需明确告知用户每项材料的具体要求和示例。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名类型选择优化：针对不同的入学类型（如按学区、按统筹、外来务工人员子女、个体工商户子女等），提供场景化的选择界面。用户选定类型后，系统应能动态展示该类型所需填写的特定信息项和需上传的材料列表，屏蔽无关选项。</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3.3.2.2.</w:t>
      </w:r>
      <w:r>
        <w:rPr>
          <w:rFonts w:ascii="FangSong" w:hAnsi="FangSong" w:eastAsia="FangSong" w:cs="FangSong"/>
          <w:color w:val="000000"/>
          <w:sz w:val="28"/>
        </w:rPr>
        <w:t xml:space="preserve">外来随迁人员子女报名功能优化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工作重点解决随迁子女报名材料人工核验效率低的问题。一方面，开发数据接口对接市数据局政务数据共享平台，用户授权后系统自动调用其社保缴纳记录，并根据预设规则自动判断是否符合入学条件。另一方面，对接市场主体登记信息接口，自动获取个体工商户营业执照关键信息，完成有效性校验。核验结果实时反馈给用户和后台审核人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外来务工人员社保记录在线核验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实现外来务工人员子女入学申请时，其监护人社保缴纳记录的在线自动核验，免除用户线下开具证明和手动上传的麻烦。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接口对接：系统需开发数据接口模块，与“市数据局政务数据共享平台”提供的社保信息相关数据接口完成技术对接。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数据调用与核验：在用户授权后，系统能根据用户填写的监护人身份信息，安全、合规地调用其社保缴纳数据。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关键信息获取：必须成功获取并解析返回数据中的关键字段，包括但不限于累计缴纳月数、当前缴纳状态、缴纳单位、缴纳所在区域等。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核验结果应用：系统根据预设规则（如缴纳时长是否满足政策要求），自动判断用户是否符合相应入学条件，并将核验结果（通过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不通过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需人工审核）清晰地反馈给用户和后台审核人员。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个体工商户营业执照在线核验：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实现个体工商户子女入学申请时，其监护人营业执照信息的在线自动核验，简化报名材料。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接口对接：系统需开发数据接口模块，与“市数据局政务数据共享平台”提供的市场主体登记信息相关数据接口完成技术对接。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数据调用与核验：在用户授权后，系统能根据用户填写的监护人身份信息，安全、合规地调用其名下有效的个体工商户营业执照信息。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关键信息获取：必须成功获取并解析返回数据中的关键字段，包括但不限于统一社会信用代码、经营者姓名、字号名称、成立日期、经营状态等。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核验结果应用：系统自动校验营业执照的有效性及其与监护人信息的匹配度，将核验结果用于入学资格的辅助判断，并同步给用户和后台审核人员。</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3.3.2.3.</w:t>
      </w:r>
      <w:r>
        <w:rPr>
          <w:rFonts w:ascii="FangSong" w:hAnsi="FangSong" w:eastAsia="FangSong" w:cs="FangSong"/>
          <w:color w:val="000000"/>
          <w:sz w:val="28"/>
        </w:rPr>
        <w:t xml:space="preserve">好差评功能优化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工作旨在建立差评“接诉即办”的闭环管理机制。当群众给出差评时，系统自动生成工单，并推送至学校管理员账号。学校端支持工单接收、整改处理、结果录入，系统自动向家长推送整改反馈信息。教育局端支持工单进度查看、超时预警、整改结果审核。好评直接上报省级好差评库，差评经整改闭环后上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增加好差评工单流转功能，当出现差评时，可进行工单流转，将相关信息推送给对应学校进行处理，实现差评“接诉即办”机制。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工单管理模块，支持差评信息自动生成工单（含评价内容、报名编号、对应学校），并推送至学校管理员账号。学校端支持工单接收、整改处理、结果录入（需上传整改凭证），系统自动向家长推送整改反馈信息。教育局端支持工单进度查看、超时预警、整改结果审核。</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3.3.2.4.</w:t>
      </w:r>
      <w:r>
        <w:rPr>
          <w:rFonts w:ascii="FangSong" w:hAnsi="FangSong" w:eastAsia="FangSong" w:cs="FangSong"/>
          <w:color w:val="000000"/>
          <w:sz w:val="28"/>
        </w:rPr>
        <w:t xml:space="preserve">报名材料补正优化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工作解决材料补正机制僵化的问题。对于报名期限内审核不通过的报名数据，即使在报名截止后，系统仍提供一次线上补正机会。家长可在线修改材料并重新提交，学校继续审核。系统会推送补正通知，明确告知问题所在和补正要求，避免家长线下奔波。</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3.3.2.5.</w:t>
      </w:r>
      <w:r>
        <w:rPr>
          <w:rFonts w:ascii="FangSong" w:hAnsi="FangSong" w:eastAsia="FangSong" w:cs="FangSong"/>
          <w:color w:val="000000"/>
          <w:sz w:val="28"/>
        </w:rPr>
        <w:t xml:space="preserve">户籍核验功能优化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工作将原有本地公安户籍核验接口替换为对接省电子证照库。新接口支持身份证号、户籍号以及家庭成员信息的关联查询，实现更精准、更全面的户籍核验。同时，在用户填报时即可触发预审核流程，实时反馈户籍信息校验结果，提高后台审核效率。</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3.3.2.6</w:t>
      </w:r>
      <w:r>
        <w:rPr>
          <w:rFonts w:ascii="FangSong" w:hAnsi="FangSong" w:eastAsia="FangSong" w:cs="FangSong"/>
          <w:color w:val="000000"/>
          <w:sz w:val="28"/>
        </w:rPr>
        <w:tab/>
        <w:t xml:space="preserve">学位查询功能优化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本项工作从数据治理和规则引擎两方面提升学位查询精准度。建立报名人亲属关系与房产信息的自动关联审核机制，实现对学区资格和居住信息的智能化初步审核。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系统规则引擎调整：需对后台审核规则引擎进行配置和升级，以支持基于亲属关系的条件判断逻辑。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个人房产学位占用情况查询：提供单独的查询页面，学生家长可凭借不动产权号查询个人名下房产的学位占用情况。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父母房产联动核验：当报名人填报的与学生关系为“父亲”或“母亲”时，系统需触发房产信息核验流程；系统自动调用已对接的房产登记信息数据接口，查询该父母名下的房产信息；查询结果自动用于学区匹配或作为首要居住证明依据，并在后台审核界面进行高亮展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祖辈房产联动核验：当报名人填报的与学生关系为“祖父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外祖父”或“祖母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外祖母”等特定直系长辈时，系统同样触发房产信息核验流程；系统自动调用房产登记信息接口，查询该祖辈名下的房产信息；查询结果可用于学区匹配或作为学生实际共同居住的证明依据，供后台人工审核时参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招生数据分库存储：并将数据清洗并合并，便于对报名房产学位使用情况的查询。。</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本系统与泰州市现有政务信息化基础平台紧密协同：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数据中台：本项目产生的招生报名数据、学位占用记录等将按照统一资源目录归集到市数据中台，供其他政务系统共享使用。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数据共享开放平台：通过该平台获取社保、工商、房产等外部数据；同时将可开放的招生统计数据（如学区报名人数、学位缺口等）向公众开放。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电子证照系统：对接省电子证照库获取户籍信息，本项目不产生新证照。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统一身份认证：依托市统一身份认证平台，实现“泰州通”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端单点登录。</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数据需求（需从外部获取）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社保缴纳记录：从市政务数据共享平台获取，用于随迁子女社保核验，包括累计月数、缴纳状态、单位、区域等。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个体工商户营业执照：从市数据局平台获取，用于工商核验，包括统一社会信用代码、经营者姓名、经营状态等。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户籍信息：从省电子证照库获取，用于户籍核验，包括身份证号、户籍号、家庭成员关系。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房产登记信息：从市自然资源规划局获取，用于学位查询和房产核验，包括产权人、地址、不动产权号。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数据供给（本项目产生并共享的数据）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标准化招生报名库：包含学生基本信息、报名类型、审核状态、录取结果等，实时共享给市教育局和市数据局。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学位占用历史记录：包含不动产权号、对应学校、入学年份等（学生信息脱敏），每年更新，共享给市教育局和自然资源规划局。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学区划片基础数据：包含学校代码、学区范围、街道乡镇对应关系，年度更新，部分向社会公众开放。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好差评分析报告：包含差评工单数量、整改率等，月度共享给市教育局和市行政审批局。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与省级平台对接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按照《教育入学“一件事”省市两级平台对接方案》，实现学校信息、政策信息、报名信息、录取信息的上报，以及办件状态同步。具体接口字段、签名规则详见附件《省义务教育入学平台对接接口文档》。</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平台建设需遵循“安全可靠”的原则，进行系统功能、结构设计，数据传输采用加密方式，敏感字段存储时需做脱敏处理，系统具有数据备份机制。</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3.4.服务预算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江苏省义务教育入学一件事专区页面设计改版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外来随迁人员子女报名功能优化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好差评功能优化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6.4</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报名材料补正优化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户籍核验功能优化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4.8</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学位查询功能优化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7.2</w:t>
            </w:r>
            <w:r/>
          </w:p>
        </w:tc>
      </w:tr>
      <w:tr>
        <w:trPr>
          <w:trHeight w:val="3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30</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3.5.升级成效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本次升级完成后，泰州市阳光招生平台预期在办事效率、服务质量、数据治理、行政成本和教育公信力等方面取得积极成效，具体表现在：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办事效率显著提升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外来随迁人员子女入学报名从手动上传证明、人工核验转变为系统自动核验、实时反馈模式，审核周期明显缩短；报名材料补正实现全线上办理，家长跑动次数大幅减少，正常情况下无须线下奔波。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服务质量持续改善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好差评形成“评价—整改—反馈”闭环管理机制，差评整改率保持较高水平，群众满意度预期稳步提升；界面和流程遵循省级规范，跨终端体验趋于一致，群众操作错误率有望降低。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数据治理能力增强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逐步建立标准化的房产地址库和学位占用数据库，为后续学区动态调整、学位预警提供基础支撑；与省电子证照库、社保、工商等系统实现数据互通，有效打破信息孤岛。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行政成本有效控制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依托数据自动核验替代人工比对，招生期间可相应减少临时审核人力投入，降低行政开支。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教育公信力提升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招生流程全线上化、关键环节全程留痕、操作可查可溯，有效减少人为干预空间，保障教育资源分配更加公平、透明。</w:t>
      </w:r>
      <w:r/>
    </w:p>
    <w:p>
      <w:pPr>
        <w:ind w:left="0" w:right="0"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4.市司法局“泰E法”合法性审查应用系统（2026）项目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4.1.预期目标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为推进基层法治审核全覆盖，解决基层法治审核力量薄弱、程序不规范等问题，泰州市司法局按照数字政府建设要求，通过“泰</w:t>
      </w:r>
      <w:r>
        <w:rPr>
          <w:rFonts w:ascii="Times New Roman" w:hAnsi="Times New Roman" w:eastAsia="Times New Roman" w:cs="Times New Roman"/>
          <w:color w:val="000000"/>
          <w:sz w:val="28"/>
        </w:rPr>
        <w:t xml:space="preserve">E</w:t>
      </w:r>
      <w:r>
        <w:rPr>
          <w:rFonts w:ascii="FangSong" w:hAnsi="FangSong" w:eastAsia="FangSong" w:cs="FangSong"/>
          <w:color w:val="000000"/>
          <w:sz w:val="28"/>
        </w:rPr>
        <w:t xml:space="preserve">法”合法性审查系统，运用数字手段再造审查流程，并探索运用人工智能大模型实现“智能辅助审查”，提升合法性审查的精准度与效率，实现审查标准统一、过程留痕、结果可溯。通过“泰</w:t>
      </w:r>
      <w:r>
        <w:rPr>
          <w:rFonts w:ascii="Times New Roman" w:hAnsi="Times New Roman" w:eastAsia="Times New Roman" w:cs="Times New Roman"/>
          <w:color w:val="000000"/>
          <w:sz w:val="28"/>
        </w:rPr>
        <w:t xml:space="preserve">E</w:t>
      </w:r>
      <w:r>
        <w:rPr>
          <w:rFonts w:ascii="FangSong" w:hAnsi="FangSong" w:eastAsia="FangSong" w:cs="FangSong"/>
          <w:color w:val="000000"/>
          <w:sz w:val="28"/>
        </w:rPr>
        <w:t xml:space="preserve">法”合法性审查系统的迭代升级与深度应用，全面打通市、县、乡三级审查数据通道，实现政府重大决策、规范性文件、合同协议等审查事项应审尽审，不断提升我市法治政府建设水平。</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本项目旨在通过引入</w:t>
      </w:r>
      <w:r>
        <w:rPr>
          <w:rFonts w:ascii="Times New Roman" w:hAnsi="Times New Roman" w:eastAsia="Times New Roman" w:cs="Times New Roman"/>
          <w:color w:val="000000"/>
          <w:sz w:val="28"/>
        </w:rPr>
        <w:t xml:space="preserve">AI Agent</w:t>
      </w:r>
      <w:r>
        <w:rPr>
          <w:rFonts w:ascii="FangSong" w:hAnsi="FangSong" w:eastAsia="FangSong" w:cs="FangSong"/>
          <w:color w:val="000000"/>
          <w:sz w:val="28"/>
        </w:rPr>
        <w:t xml:space="preserve">技术，重新定义人机交互模式，打造一套基于“角色</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场景”的智能合法性审查系统。核心目标包括：</w:t>
      </w:r>
      <w:r/>
    </w:p>
    <w:p>
      <w:pPr>
        <w:numPr>
          <w:ilvl w:val="0"/>
          <w:numId w:val="8"/>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全面适配乡镇基层：优化系统架构与业务流程，将合法性审查网络延伸至全市所有乡镇（街道），实现市、县、乡三级业务的无缝衔接与闭环管理。</w:t>
      </w:r>
      <w:r/>
    </w:p>
    <w:p>
      <w:pPr>
        <w:numPr>
          <w:ilvl w:val="0"/>
          <w:numId w:val="8"/>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构建司法知识库（</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）：整合国家法律法规、地方性法规、政府规章、规范性文件及历史审查案例，建立动态更新的本地化司法知识库，为智能审查提供精准的知识支撑。</w:t>
      </w:r>
      <w:r/>
    </w:p>
    <w:p>
      <w:pPr>
        <w:numPr>
          <w:ilvl w:val="0"/>
          <w:numId w:val="8"/>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打造多模态司法大模型（</w:t>
      </w:r>
      <w:r>
        <w:rPr>
          <w:rFonts w:ascii="Times New Roman" w:hAnsi="Times New Roman" w:eastAsia="Times New Roman" w:cs="Times New Roman"/>
          <w:color w:val="000000"/>
          <w:sz w:val="28"/>
        </w:rPr>
        <w:t xml:space="preserve">Agent</w:t>
      </w:r>
      <w:r>
        <w:rPr>
          <w:rFonts w:ascii="FangSong" w:hAnsi="FangSong" w:eastAsia="FangSong" w:cs="FangSong"/>
          <w:color w:val="000000"/>
          <w:sz w:val="28"/>
        </w:rPr>
        <w:t xml:space="preserve">）：基于先进的大语言模型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，构建具备自然语言理解、文档解析、逻辑推理能力的司法智能体，实现审查任务的自动化与智能化。</w:t>
      </w:r>
      <w:r/>
    </w:p>
    <w:p>
      <w:pPr>
        <w:numPr>
          <w:ilvl w:val="0"/>
          <w:numId w:val="8"/>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实现双模交互体验：提供“</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智能引导对话模式”与“专业表单工作台模式”两套平行的交互模式，满足不同层级、不同习惯用户的使用需求，降低系统使用门槛。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提升审查质效与管理水平：通过智能审查、辅助录入、辅助报告等功能，大幅缩短审查周期；通过升级领导驾驶舱，实现对全市审查业务的全局洞察与科学决策。</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4.2.需求分析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4.2.1.业务需求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建设政府法律事务合法性审查平台将各单位相关合法性审查事项由线下流转搬到线上流转，全程留痕。运用人工智能技术，通过一段时间的训练，人工智能辅助审查系统能够帮助审查人员，按照梳理出的文件审查要点对文件进行初审，提升审查效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结合大模型技术应用需求与业务场景，平台升级聚焦“全流程线上化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智能辅助审查”，核心功能模块包括：平台应用功能升级（乡镇基层适配、领导驾驶舱、业务督查与统计分析）、司法知识库建设（</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检索增强生成）、司法大模型构建（多模态</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智能体）、智能审查核心功能（智能审查、辅助录入、辅助报告生成、双模交互设计）、系统对接与集成、信息安全与自主可控。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具体而言，本次升级的业务需求可从以下三个层面进行分析：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市县级统筹管理需求。市、县两级司法局作为合法性审查工作的主管部门，需要一个全局视角的管理驾驶舱，能够实时掌握全市各区县、各乡镇的审查工作进展，实现对审查数据的穿透式督查与效能分析。同时，需要支持对共性问题的归纳提炼，为完善地方立法和规范性文件制定提供数据支撑。</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乡镇级便捷操作需求。乡镇（街道）作为合法性审查的“最后一公里”，其工作人员普遍面临事务繁杂、信息化素养参差不齐的现实困难。因此，系统需要提供极简的交互入口，支持移动端操作和自然语言对话式交互，让基层人员能够通过简单的指令完成审查业务的发起、流转与查询，真正实现“让数据多跑路、让基层少跑腿”。</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）全员智能辅助需求。无论是市级专业法制审核人员还是乡镇基层操作人员，都需要</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技术提供全流程的智能辅助，包括：材料智能解析与自动录入、法条精准匹配与冲突检测、审查意见自动生成与版本比对、工作台账智能汇总等，切实减轻重复性劳动，将审查人员的精力聚焦于专业判断与决策。</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4.2.2.技术需求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性能需求：软件系统必须有很强的健壮性，不能因为大量用户并发使用而造成系统崩溃。采用合理的数据库结构和查询算法，以保证查询的响应速度不随记录数的增长显著下降。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输出需求 本次项目输出终端包括</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端网页访问和移动端小程序访问。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 AI</w:t>
      </w:r>
      <w:r>
        <w:rPr>
          <w:rFonts w:ascii="FangSong" w:hAnsi="FangSong" w:eastAsia="FangSong" w:cs="FangSong"/>
          <w:color w:val="000000"/>
          <w:sz w:val="28"/>
        </w:rPr>
        <w:t xml:space="preserve">技术需求：系统须具备多模态文档解析能力，支持对</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、图片（扫描件）等格式文件的</w:t>
      </w:r>
      <w:r>
        <w:rPr>
          <w:rFonts w:ascii="Times New Roman" w:hAnsi="Times New Roman" w:eastAsia="Times New Roman" w:cs="Times New Roman"/>
          <w:color w:val="000000"/>
          <w:sz w:val="28"/>
        </w:rPr>
        <w:t xml:space="preserve">OCR</w:t>
      </w:r>
      <w:r>
        <w:rPr>
          <w:rFonts w:ascii="FangSong" w:hAnsi="FangSong" w:eastAsia="FangSong" w:cs="FangSong"/>
          <w:color w:val="000000"/>
          <w:sz w:val="28"/>
        </w:rPr>
        <w:t xml:space="preserve">识别与</w:t>
      </w:r>
      <w:r>
        <w:rPr>
          <w:rFonts w:ascii="Times New Roman" w:hAnsi="Times New Roman" w:eastAsia="Times New Roman" w:cs="Times New Roman"/>
          <w:color w:val="000000"/>
          <w:sz w:val="28"/>
        </w:rPr>
        <w:t xml:space="preserve">NLP</w:t>
      </w:r>
      <w:r>
        <w:rPr>
          <w:rFonts w:ascii="FangSong" w:hAnsi="FangSong" w:eastAsia="FangSong" w:cs="FangSong"/>
          <w:color w:val="000000"/>
          <w:sz w:val="28"/>
        </w:rPr>
        <w:t xml:space="preserve">（自然语言处理）解析；须支持通过标准</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接口调用国内主流大语言模型服务，实现文本理解、逻辑推理与内容生成；须构建基于</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（检索增强生成）架构的本地化司法知识库，支持向量化存储与混合检索（关键词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语义），确保</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生成内容具备可溯源的法律依据。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 </w:t>
      </w:r>
      <w:r>
        <w:rPr>
          <w:rFonts w:ascii="FangSong" w:hAnsi="FangSong" w:eastAsia="FangSong" w:cs="FangSong"/>
          <w:color w:val="000000"/>
          <w:sz w:val="28"/>
        </w:rPr>
        <w:t xml:space="preserve">安全与合规需求：系统须满足信息安全等级保护三级要求，通过等保三级测评；须采用国产密码算法（</w:t>
      </w:r>
      <w:r>
        <w:rPr>
          <w:rFonts w:ascii="Times New Roman" w:hAnsi="Times New Roman" w:eastAsia="Times New Roman" w:cs="Times New Roman"/>
          <w:color w:val="000000"/>
          <w:sz w:val="28"/>
        </w:rPr>
        <w:t xml:space="preserve">SM2/SM3/SM4</w:t>
      </w:r>
      <w:r>
        <w:rPr>
          <w:rFonts w:ascii="FangSong" w:hAnsi="FangSong" w:eastAsia="FangSong" w:cs="FangSong"/>
          <w:color w:val="000000"/>
          <w:sz w:val="28"/>
        </w:rPr>
        <w:t xml:space="preserve">）对敏感数据进行加密存储与传输；在调用外部大模型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时，须对涉密或敏感政务信息进行脱敏预处理，确保核心数据不出域；须建立完善的审计日志机制，实现操作全程留痕、可追溯。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 </w:t>
      </w:r>
      <w:r>
        <w:rPr>
          <w:rFonts w:ascii="FangSong" w:hAnsi="FangSong" w:eastAsia="FangSong" w:cs="FangSong"/>
          <w:color w:val="000000"/>
          <w:sz w:val="28"/>
        </w:rPr>
        <w:t xml:space="preserve">兼容与集成需求：系统须与泰州市政务协同平台“泰政通”实现深度集成，包括组织架构与用户信息的自动同步、统一身份认证与单点登录（</w:t>
      </w:r>
      <w:r>
        <w:rPr>
          <w:rFonts w:ascii="Times New Roman" w:hAnsi="Times New Roman" w:eastAsia="Times New Roman" w:cs="Times New Roman"/>
          <w:color w:val="000000"/>
          <w:sz w:val="28"/>
        </w:rPr>
        <w:t xml:space="preserve">SSO</w:t>
      </w:r>
      <w:r>
        <w:rPr>
          <w:rFonts w:ascii="FangSong" w:hAnsi="FangSong" w:eastAsia="FangSong" w:cs="FangSong"/>
          <w:color w:val="000000"/>
          <w:sz w:val="28"/>
        </w:rPr>
        <w:t xml:space="preserve">）、消息推送与待办提醒等；须兼容适配主流国产化软硬件环境（如：麒麟操作系统、达梦数据库等），满足自主可控要求；须预留与泰州市政务数据共享交换平台的对接接口，支持审查数据的跨部门共享与协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 </w:t>
      </w:r>
      <w:r>
        <w:rPr>
          <w:rFonts w:ascii="FangSong" w:hAnsi="FangSong" w:eastAsia="FangSong" w:cs="FangSong"/>
          <w:color w:val="000000"/>
          <w:sz w:val="28"/>
        </w:rPr>
        <w:t xml:space="preserve">可用性与易用性需求：系统须提供“</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引导对话模式”与“专业表单工作台模式”两种并行的交互方式，满足不同层级用户的使用习惯；移动端须支持核心业务操作（发起审查、待办处理、进度查询）；系统界面设计须遵循政务应用规范，操作流程简洁直观，确保乡镇基层人员经简单培训后即可上手使用。</w:t>
      </w:r>
      <w:r/>
    </w:p>
    <w:p>
      <w:pPr>
        <w:pStyle w:val="16"/>
        <w:ind w:left="720" w:right="0" w:hanging="720"/>
        <w:jc w:val="both"/>
        <w:spacing w:before="0" w:after="32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4.3.技术方案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4.3.1.总体架构设计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设计原则：充分适应泰州市信息化发展的需要，遵循长远规划、基础规范，充分论证、可靠实用的理念，确保系统高效智能、操作简单、安全稳定、维护方便、升级灵活。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需遵循以下原则：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开放性和标准性原则：软件系统应具备良好的开放性，可以根据业务的需要，进行多种系统或多种设备的集成和拓展。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先进性和实用性原则：采用基于五层体系结构的系统构架和面向对象设计的应用软件；选用稳定可靠且通用的系统软件、数据库软件等。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扩展性和维护性原则：系统具有较强的可扩展性与维护性，最大限度保护现有投资，确保新旧系统平滑过渡。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安全性和可靠性原则：必须保证系统与各相关系统之间数据传输的准确性、可靠性，不能出现数据丢失和错误的现象；充分考虑系统的备份与恢复。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智能驱动，人机协同：坚持“</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辅助、人工把关”的原则，将</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技术深度融入审查流程，提升效率的同时确保审查结论的权威性与准确性。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极简交互，基层导向：针对乡镇基层人员特点，优化界面设计与交互逻辑，推行“意图驱动”的极简操作模式。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架构设计 平台遵循政务信息化数字化的规划要求，采用“云原生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微服务”架构，从底层算力支持到上层知识应用的完整生态系统，通过多层次的设计，实现了数据的高效处理和知识的智能应用。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算力底座：目前市场主流算力底座包括英伟达、华为昇腾、海光</w:t>
      </w:r>
      <w:r>
        <w:rPr>
          <w:rFonts w:ascii="Times New Roman" w:hAnsi="Times New Roman" w:eastAsia="Times New Roman" w:cs="Times New Roman"/>
          <w:color w:val="000000"/>
          <w:sz w:val="28"/>
        </w:rPr>
        <w:t xml:space="preserve">DCU</w:t>
      </w:r>
      <w:r>
        <w:rPr>
          <w:rFonts w:ascii="FangSong" w:hAnsi="FangSong" w:eastAsia="FangSong" w:cs="FangSong"/>
          <w:color w:val="000000"/>
          <w:sz w:val="28"/>
        </w:rPr>
        <w:t xml:space="preserve">等。本项目基础算力采购算力</w:t>
      </w:r>
      <w:r>
        <w:rPr>
          <w:rFonts w:ascii="Times New Roman" w:hAnsi="Times New Roman" w:eastAsia="Times New Roman" w:cs="Times New Roman"/>
          <w:color w:val="000000"/>
          <w:sz w:val="28"/>
        </w:rPr>
        <w:t xml:space="preserve">tokens</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模型底座：基于大规模数据训练的基础模型，利用模型强大的语言理解和生成能力，作为各种下游任务的基础。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数据来源：包括法规、案例、文件、制度等，这些是系统的数据来源，提供了丰富的知识和信息。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知识管理：知识库管理、知识向量化、知识图谱化、知识检索、知识调用</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知识应用：智能合法性审查功能、辅助智能生成报告功能等。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整体架构自下而上分为五个层级：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）基础设施层：依托泰州市政务云平台提供计算、存储与网络资源，通过弹性伸缩机制保障系统在高峰期的稳定运行。大模型推理算力采用</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调用模式，由国内领先的大模型服务商提供政务云专区算力支持，无需本地部署</w:t>
      </w:r>
      <w:r>
        <w:rPr>
          <w:rFonts w:ascii="Times New Roman" w:hAnsi="Times New Roman" w:eastAsia="Times New Roman" w:cs="Times New Roman"/>
          <w:color w:val="000000"/>
          <w:sz w:val="28"/>
        </w:rPr>
        <w:t xml:space="preserve">GPU</w:t>
      </w:r>
      <w:r>
        <w:rPr>
          <w:rFonts w:ascii="FangSong" w:hAnsi="FangSong" w:eastAsia="FangSong" w:cs="FangSong"/>
          <w:color w:val="000000"/>
          <w:sz w:val="28"/>
        </w:rPr>
        <w:t xml:space="preserve">集群，有效降低建设与运维成本。</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）数据与知识层：构建以向量数据库为核心的司法知识库，整合法律法规、规范性文件、历史审查案例等多源异构数据。通过文本向量化（</w:t>
      </w:r>
      <w:r>
        <w:rPr>
          <w:rFonts w:ascii="Times New Roman" w:hAnsi="Times New Roman" w:eastAsia="Times New Roman" w:cs="Times New Roman"/>
          <w:color w:val="000000"/>
          <w:sz w:val="28"/>
        </w:rPr>
        <w:t xml:space="preserve">Embedding</w:t>
      </w:r>
      <w:r>
        <w:rPr>
          <w:rFonts w:ascii="FangSong" w:hAnsi="FangSong" w:eastAsia="FangSong" w:cs="FangSong"/>
          <w:color w:val="000000"/>
          <w:sz w:val="28"/>
        </w:rPr>
        <w:t xml:space="preserve">）、知识图谱构建与</w:t>
      </w:r>
      <w:r>
        <w:rPr>
          <w:rFonts w:ascii="Times New Roman" w:hAnsi="Times New Roman" w:eastAsia="Times New Roman" w:cs="Times New Roman"/>
          <w:color w:val="000000"/>
          <w:sz w:val="28"/>
        </w:rPr>
        <w:t xml:space="preserve">BM25+</w:t>
      </w:r>
      <w:r>
        <w:rPr>
          <w:rFonts w:ascii="FangSong" w:hAnsi="FangSong" w:eastAsia="FangSong" w:cs="FangSong"/>
          <w:color w:val="000000"/>
          <w:sz w:val="28"/>
        </w:rPr>
        <w:t xml:space="preserve">语义混合检索机制，为上层</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引擎提供精准、可溯源的知识支撑。同时，建立数据清洗与质量管控流水线，确保知识库数据的权威性与时效性。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引擎层：以大语言模型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为核心驱动，构建多模态司法智能体（</w:t>
      </w:r>
      <w:r>
        <w:rPr>
          <w:rFonts w:ascii="Times New Roman" w:hAnsi="Times New Roman" w:eastAsia="Times New Roman" w:cs="Times New Roman"/>
          <w:color w:val="000000"/>
          <w:sz w:val="28"/>
        </w:rPr>
        <w:t xml:space="preserve">Agent</w:t>
      </w:r>
      <w:r>
        <w:rPr>
          <w:rFonts w:ascii="FangSong" w:hAnsi="FangSong" w:eastAsia="FangSong" w:cs="FangSong"/>
          <w:color w:val="000000"/>
          <w:sz w:val="28"/>
        </w:rPr>
        <w:t xml:space="preserve">）。智能体具备感知（</w:t>
      </w:r>
      <w:r>
        <w:rPr>
          <w:rFonts w:ascii="Times New Roman" w:hAnsi="Times New Roman" w:eastAsia="Times New Roman" w:cs="Times New Roman"/>
          <w:color w:val="000000"/>
          <w:sz w:val="28"/>
        </w:rPr>
        <w:t xml:space="preserve">OCR</w:t>
      </w:r>
      <w:r>
        <w:rPr>
          <w:rFonts w:ascii="FangSong" w:hAnsi="FangSong" w:eastAsia="FangSong" w:cs="FangSong"/>
          <w:color w:val="000000"/>
          <w:sz w:val="28"/>
        </w:rPr>
        <w:t xml:space="preserve">文档解析、多格式输入）、思考（大模型推理</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知识增强）、行动（工具调用、任务编排）三大能力，支持自主完成审查任务的分解、执行与结果输出。通过精心设计的提示工程（</w:t>
      </w:r>
      <w:r>
        <w:rPr>
          <w:rFonts w:ascii="Times New Roman" w:hAnsi="Times New Roman" w:eastAsia="Times New Roman" w:cs="Times New Roman"/>
          <w:color w:val="000000"/>
          <w:sz w:val="28"/>
        </w:rPr>
        <w:t xml:space="preserve">Prompt Engineering</w:t>
      </w:r>
      <w:r>
        <w:rPr>
          <w:rFonts w:ascii="FangSong" w:hAnsi="FangSong" w:eastAsia="FangSong" w:cs="FangSong"/>
          <w:color w:val="000000"/>
          <w:sz w:val="28"/>
        </w:rPr>
        <w:t xml:space="preserve">），引导大模型以“资深法制审核员”的专业角色进行分析与判断。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业务应用层：承载平台的全部业务功能，包括合法性审查全流程管理、智能审查、辅助录入、辅助报告生成、领导驾驶舱、业务督查与统计分析等核心模块。采用微服务架构进行模块化设计，各功能模块之间通过标准</w:t>
      </w:r>
      <w:r>
        <w:rPr>
          <w:rFonts w:ascii="Times New Roman" w:hAnsi="Times New Roman" w:eastAsia="Times New Roman" w:cs="Times New Roman"/>
          <w:color w:val="000000"/>
          <w:sz w:val="28"/>
        </w:rPr>
        <w:t xml:space="preserve">RESTful API</w:t>
      </w:r>
      <w:r>
        <w:rPr>
          <w:rFonts w:ascii="FangSong" w:hAnsi="FangSong" w:eastAsia="FangSong" w:cs="FangSong"/>
          <w:color w:val="000000"/>
          <w:sz w:val="28"/>
        </w:rPr>
        <w:t xml:space="preserve">进行通信，实现松耦合、高内聚，便于后续功能的独立迭代与横向扩展。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）用户接入层：提供</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应用与移动端“泰政通”小程序两个接入渠道。</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端面向市、县级专业审核人员，提供功能完备的“专业表单工作台模式”；移动端面向乡镇基层人员，提供轻量化的“</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智能引导对话模式”。两种模式底层数据完全互通，支持跨终端无缝切换与协同办公。</w:t>
      </w:r>
      <w:r/>
    </w:p>
    <w:p>
      <w:pPr>
        <w:ind w:left="0" w:right="0" w:firstLine="56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86400" cy="306705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4340" name=""/>
                        <pic:cNvPicPr>
                          <a:picLocks noChangeAspect="1"/>
                        </pic:cNvPicPr>
                        <pic:nvPr/>
                      </pic:nvPicPr>
                      <pic:blipFill>
                        <a:blip/>
                        <a:stretch/>
                      </pic:blipFill>
                      <pic:spPr bwMode="auto">
                        <a:xfrm>
                          <a:off x="0" y="0"/>
                          <a:ext cx="5486400" cy="3067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2.0pt;height:241.5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624"/>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系统架构图</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86400" cy="30575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589061" name=""/>
                        <pic:cNvPicPr>
                          <a:picLocks noChangeAspect="1"/>
                        </pic:cNvPicPr>
                        <pic:nvPr/>
                      </pic:nvPicPr>
                      <pic:blipFill>
                        <a:blip/>
                        <a:stretch/>
                      </pic:blipFill>
                      <pic:spPr bwMode="auto">
                        <a:xfrm>
                          <a:off x="0" y="0"/>
                          <a:ext cx="5486400" cy="3057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32.0pt;height:24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624"/>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技术架构图</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86400" cy="30575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09192" name=""/>
                        <pic:cNvPicPr>
                          <a:picLocks noChangeAspect="1"/>
                        </pic:cNvPicPr>
                        <pic:nvPr/>
                      </pic:nvPicPr>
                      <pic:blipFill>
                        <a:blip/>
                        <a:stretch/>
                      </pic:blipFill>
                      <pic:spPr bwMode="auto">
                        <a:xfrm>
                          <a:off x="0" y="0"/>
                          <a:ext cx="5486400" cy="3057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2.0pt;height:24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功能架构图</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4.3.2.平台应用功能升级</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4.3.2.1.</w:t>
      </w:r>
      <w:r>
        <w:rPr>
          <w:rFonts w:ascii="FangSong" w:hAnsi="FangSong" w:eastAsia="FangSong" w:cs="FangSong"/>
          <w:color w:val="000000"/>
          <w:sz w:val="28"/>
        </w:rPr>
        <w:t xml:space="preserve">乡镇基层适配升级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为打通合法性审查“最后一公里”，系统需针对乡镇（街道）的实际业务场景进行深度适配：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乡镇专属审查流程：根据乡镇实际情况，配置灵活的审查节点。例如，增加“党政办审核”角色，完整流程为：起草单位起草文件 → 乡镇分管领导审核 → 党政办审核 → 司法所负责人审查 → 镇政府分管法制领导审核 → 存档结束。针对部分无司法所的园区，支持将“司法所负责人审查”设置为可选节点，由外聘律师代为执行。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极简操作台：为乡镇用户提供定制化的极简工作台，隐藏非必要的高级功能，突出“发起审查”、“待办处理”、“进度查询”等核心操作。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移动端协同：深化与“泰政通”小程序的对接，支持乡镇领导及法制审核人员通过手机端随时随地进行文件预览、审批与意见反馈。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4.3.2.2.</w:t>
      </w:r>
      <w:r>
        <w:rPr>
          <w:rFonts w:ascii="FangSong" w:hAnsi="FangSong" w:eastAsia="FangSong" w:cs="FangSong"/>
          <w:color w:val="000000"/>
          <w:sz w:val="28"/>
        </w:rPr>
        <w:t xml:space="preserve">领导驾驶舱升级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面向市、县两级司法局领导及政府决策层，打造全景式、智能化的领导驾驶舱：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整体态势感知：实时展示全市开通单位数、用户人数、审查人员数、申请审核数、案件办结数等核心指标。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多维数据分析：提供审查文件概况、审查文件类别总体分布、完成审查文件趋势等可视化图表。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区域效能画像：支持下钻展示各区县、各乡镇部门的合法性审查效能画像，通过曲线图展示本地区的案件办理趋势。</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问题与风险预警：汇总展示审查中发现的共性问题、高频风险点，并对超期未结案件进行红黄牌预警提示。</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4.3.2.3.</w:t>
      </w:r>
      <w:r>
        <w:rPr>
          <w:rFonts w:ascii="FangSong" w:hAnsi="FangSong" w:eastAsia="FangSong" w:cs="FangSong"/>
          <w:color w:val="000000"/>
          <w:sz w:val="28"/>
        </w:rPr>
        <w:t xml:space="preserve">业务督查与统计分析升级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全流程业务督查：司法局可查看所有文件审查记录与过程材料；各单位可查看本单位记录；司法所可查看对应乡镇街道记录，实现分级分权的穿透式督查。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深度问题分析：提供审查问题总体情况、各类文件审查问题数量、问题采纳情况的对比分析，并自动生成审查文件问题数量单位排名</w:t>
      </w:r>
      <w:r>
        <w:rPr>
          <w:rFonts w:ascii="Times New Roman" w:hAnsi="Times New Roman" w:eastAsia="Times New Roman" w:cs="Times New Roman"/>
          <w:color w:val="000000"/>
          <w:sz w:val="28"/>
        </w:rPr>
        <w:t xml:space="preserve">Top10</w:t>
      </w:r>
      <w:r>
        <w:rPr>
          <w:rFonts w:ascii="FangSong" w:hAnsi="FangSong" w:eastAsia="FangSong" w:cs="FangSong"/>
          <w:color w:val="000000"/>
          <w:sz w:val="28"/>
        </w:rPr>
        <w:t xml:space="preserve">榜单。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智能报表生成：支持一键生成各类定期（周、月、季、年）合法性审查工作通报与统计报表，支持导出为</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或</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格式。</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4.3.3.司法知识库建设</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知识库构建目标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构建一个覆盖全面、更新及时、检索精准的本地化司法知识库，作为</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智能体进行合法性审查的“大脑”，解决大模型在垂直领域容易产生“幻觉”的问题。</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知识数据来源与处理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法律法规库：涵盖国家法律、行政法规、地方性法规、部门规章及泰州市政府规章。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规范性文件库：收录泰州市及各区县现行有效的行政规范性文件。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审查案例库：清洗并结构化一期系统中积累的历史审查案例、法律意见书及典型退回修改记录。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数据预处理：对收集到的非结构化文档（</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、图片等）进行</w:t>
      </w:r>
      <w:r>
        <w:rPr>
          <w:rFonts w:ascii="Times New Roman" w:hAnsi="Times New Roman" w:eastAsia="Times New Roman" w:cs="Times New Roman"/>
          <w:color w:val="000000"/>
          <w:sz w:val="28"/>
        </w:rPr>
        <w:t xml:space="preserve">OCR</w:t>
      </w:r>
      <w:r>
        <w:rPr>
          <w:rFonts w:ascii="FangSong" w:hAnsi="FangSong" w:eastAsia="FangSong" w:cs="FangSong"/>
          <w:color w:val="000000"/>
          <w:sz w:val="28"/>
        </w:rPr>
        <w:t xml:space="preserve">识别、文本清洗、段落切分与元数据提取，转化为结构化知识。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向量化与检索增强生成（</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）技术应用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文本向量化（</w:t>
      </w:r>
      <w:r>
        <w:rPr>
          <w:rFonts w:ascii="Times New Roman" w:hAnsi="Times New Roman" w:eastAsia="Times New Roman" w:cs="Times New Roman"/>
          <w:color w:val="000000"/>
          <w:sz w:val="28"/>
        </w:rPr>
        <w:t xml:space="preserve">Embedding</w:t>
      </w:r>
      <w:r>
        <w:rPr>
          <w:rFonts w:ascii="FangSong" w:hAnsi="FangSong" w:eastAsia="FangSong" w:cs="FangSong"/>
          <w:color w:val="000000"/>
          <w:sz w:val="28"/>
        </w:rPr>
        <w:t xml:space="preserve">）：采用高性能的文本向量模型，将切分后的法律条文与案例转化为高维向量，存储于专业的向量数据库中。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混合检索机制：结合关键词检索（</w:t>
      </w:r>
      <w:r>
        <w:rPr>
          <w:rFonts w:ascii="Times New Roman" w:hAnsi="Times New Roman" w:eastAsia="Times New Roman" w:cs="Times New Roman"/>
          <w:color w:val="000000"/>
          <w:sz w:val="28"/>
        </w:rPr>
        <w:t xml:space="preserve">BM25</w:t>
      </w:r>
      <w:r>
        <w:rPr>
          <w:rFonts w:ascii="FangSong" w:hAnsi="FangSong" w:eastAsia="FangSong" w:cs="FangSong"/>
          <w:color w:val="000000"/>
          <w:sz w:val="28"/>
        </w:rPr>
        <w:t xml:space="preserve">）与语义向量检索，确保在面对复杂法律术语或模糊表述时，均能召回最相关的知识片段。</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上下文增强：在</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智能体生成审查意见前，系统自动将检索到的相关法条与案例作为上下文注入大模型提示词（</w:t>
      </w:r>
      <w:r>
        <w:rPr>
          <w:rFonts w:ascii="Times New Roman" w:hAnsi="Times New Roman" w:eastAsia="Times New Roman" w:cs="Times New Roman"/>
          <w:color w:val="000000"/>
          <w:sz w:val="28"/>
        </w:rPr>
        <w:t xml:space="preserve">Prompt</w:t>
      </w:r>
      <w:r>
        <w:rPr>
          <w:rFonts w:ascii="FangSong" w:hAnsi="FangSong" w:eastAsia="FangSong" w:cs="FangSong"/>
          <w:color w:val="000000"/>
          <w:sz w:val="28"/>
        </w:rPr>
        <w:t xml:space="preserve">）中，确保生成的审查结论具备明确的法律依据。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 </w:t>
      </w:r>
      <w:r>
        <w:rPr>
          <w:rFonts w:ascii="FangSong" w:hAnsi="FangSong" w:eastAsia="FangSong" w:cs="FangSong"/>
          <w:color w:val="000000"/>
          <w:sz w:val="28"/>
        </w:rPr>
        <w:t xml:space="preserve">知识库管理与维护：提供可视化的知识库管理后台，支持管理员手动上传、更新、废止法律法规；同时，系统支持定期自动抓取权威法律网站的更新动态，提示管理员进行知识库同步。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 </w:t>
      </w:r>
      <w:r>
        <w:rPr>
          <w:rFonts w:ascii="FangSong" w:hAnsi="FangSong" w:eastAsia="FangSong" w:cs="FangSong"/>
          <w:color w:val="000000"/>
          <w:sz w:val="28"/>
        </w:rPr>
        <w:t xml:space="preserve">知识库质量保障机制：建立多层次的知识质量保障体系。在数据入库环节，通过自动化规则引擎进行格式校验、重复检测与冲突识别；在知识更新环节，建立法律法规废止与修订的联动机制，当上位法发生变更时，系统自动标记受影响的下位法条目并提示管理员复核；在检索质量环节，定期通过人工抽样评估与自动化指标（如：召回率、准确率、</w:t>
      </w:r>
      <w:r>
        <w:rPr>
          <w:rFonts w:ascii="Times New Roman" w:hAnsi="Times New Roman" w:eastAsia="Times New Roman" w:cs="Times New Roman"/>
          <w:color w:val="000000"/>
          <w:sz w:val="28"/>
        </w:rPr>
        <w:t xml:space="preserve">MRR</w:t>
      </w:r>
      <w:r>
        <w:rPr>
          <w:rFonts w:ascii="FangSong" w:hAnsi="FangSong" w:eastAsia="FangSong" w:cs="FangSong"/>
          <w:color w:val="000000"/>
          <w:sz w:val="28"/>
        </w:rPr>
        <w:t xml:space="preserve">）监测检索效果，持续优化检索策略与向量模型。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 </w:t>
      </w:r>
      <w:r>
        <w:rPr>
          <w:rFonts w:ascii="FangSong" w:hAnsi="FangSong" w:eastAsia="FangSong" w:cs="FangSong"/>
          <w:color w:val="000000"/>
          <w:sz w:val="28"/>
        </w:rPr>
        <w:t xml:space="preserve">知识库技术选型：向量数据库选用</w:t>
      </w:r>
      <w:r>
        <w:rPr>
          <w:rFonts w:ascii="Times New Roman" w:hAnsi="Times New Roman" w:eastAsia="Times New Roman" w:cs="Times New Roman"/>
          <w:color w:val="000000"/>
          <w:sz w:val="28"/>
        </w:rPr>
        <w:t xml:space="preserve">Milvus</w:t>
      </w:r>
      <w:r>
        <w:rPr>
          <w:rFonts w:ascii="FangSong" w:hAnsi="FangSong" w:eastAsia="FangSong" w:cs="FangSong"/>
          <w:color w:val="000000"/>
          <w:sz w:val="28"/>
        </w:rPr>
        <w:t xml:space="preserve">或</w:t>
      </w:r>
      <w:r>
        <w:rPr>
          <w:rFonts w:ascii="Times New Roman" w:hAnsi="Times New Roman" w:eastAsia="Times New Roman" w:cs="Times New Roman"/>
          <w:color w:val="000000"/>
          <w:sz w:val="28"/>
        </w:rPr>
        <w:t xml:space="preserve">Elasticsearch</w:t>
      </w:r>
      <w:r>
        <w:rPr>
          <w:rFonts w:ascii="FangSong" w:hAnsi="FangSong" w:eastAsia="FangSong" w:cs="FangSong"/>
          <w:color w:val="000000"/>
          <w:sz w:val="28"/>
        </w:rPr>
        <w:t xml:space="preserve">（配合向量插件），支持亿级向量的高效检索与管理。文本向量化模型采用国内领先的中文</w:t>
      </w:r>
      <w:r>
        <w:rPr>
          <w:rFonts w:ascii="Times New Roman" w:hAnsi="Times New Roman" w:eastAsia="Times New Roman" w:cs="Times New Roman"/>
          <w:color w:val="000000"/>
          <w:sz w:val="28"/>
        </w:rPr>
        <w:t xml:space="preserve">Embedding</w:t>
      </w:r>
      <w:r>
        <w:rPr>
          <w:rFonts w:ascii="FangSong" w:hAnsi="FangSong" w:eastAsia="FangSong" w:cs="FangSong"/>
          <w:color w:val="000000"/>
          <w:sz w:val="28"/>
        </w:rPr>
        <w:t xml:space="preserve">模型（如：</w:t>
      </w:r>
      <w:r>
        <w:rPr>
          <w:rFonts w:ascii="Times New Roman" w:hAnsi="Times New Roman" w:eastAsia="Times New Roman" w:cs="Times New Roman"/>
          <w:color w:val="000000"/>
          <w:sz w:val="28"/>
        </w:rPr>
        <w:t xml:space="preserve">BGE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M3E</w:t>
      </w:r>
      <w:r>
        <w:rPr>
          <w:rFonts w:ascii="FangSong" w:hAnsi="FangSong" w:eastAsia="FangSong" w:cs="FangSong"/>
          <w:color w:val="000000"/>
          <w:sz w:val="28"/>
        </w:rPr>
        <w:t xml:space="preserve">等），针对法律领域语料进行微调以提升法律术语的语义表征能力。文档解析采用多引擎协同策略：结构化文档（</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）通过</w:t>
      </w:r>
      <w:r>
        <w:rPr>
          <w:rFonts w:ascii="Times New Roman" w:hAnsi="Times New Roman" w:eastAsia="Times New Roman" w:cs="Times New Roman"/>
          <w:color w:val="000000"/>
          <w:sz w:val="28"/>
        </w:rPr>
        <w:t xml:space="preserve">Apache Tika</w:t>
      </w:r>
      <w:r>
        <w:rPr>
          <w:rFonts w:ascii="FangSong" w:hAnsi="FangSong" w:eastAsia="FangSong" w:cs="FangSong"/>
          <w:color w:val="000000"/>
          <w:sz w:val="28"/>
        </w:rPr>
        <w:t xml:space="preserve">进行解析，扫描件与图片通过</w:t>
      </w:r>
      <w:r>
        <w:rPr>
          <w:rFonts w:ascii="Times New Roman" w:hAnsi="Times New Roman" w:eastAsia="Times New Roman" w:cs="Times New Roman"/>
          <w:color w:val="000000"/>
          <w:sz w:val="28"/>
        </w:rPr>
        <w:t xml:space="preserve">PaddleOCR</w:t>
      </w:r>
      <w:r>
        <w:rPr>
          <w:rFonts w:ascii="FangSong" w:hAnsi="FangSong" w:eastAsia="FangSong" w:cs="FangSong"/>
          <w:color w:val="000000"/>
          <w:sz w:val="28"/>
        </w:rPr>
        <w:t xml:space="preserve">进行文字识别，确保多源异构数据的高质量入库。</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4.3.4. AI底座功能构建</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4.3.4.1.AI</w:t>
      </w:r>
      <w:r>
        <w:rPr>
          <w:rFonts w:ascii="FangSong" w:hAnsi="FangSong" w:eastAsia="FangSong" w:cs="FangSong"/>
          <w:color w:val="000000"/>
          <w:sz w:val="28"/>
        </w:rPr>
        <w:t xml:space="preserve">控制台建设</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控制台是整个大模型服务的调度中枢，负责对接入的各类大语言模型进行统一配置与管理。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多模型配置与路由：平台支持接入多个国内主流大模型（如文心一言、通义千问、百川大模型等），控制台提供统一的配置界面，允许管理员配置模型名称、</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接入地址、调用权重等参数。系统内置智能路由机制，根据审查任务的复杂度和并发量，自动将请求分发至最合适的模型实例，实现负载均衡。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模型参数调优与监控：控制台提供针对不同业务场景（如合同审查、规范性文件审查）的模型参数（如</w:t>
      </w:r>
      <w:r>
        <w:rPr>
          <w:rFonts w:ascii="Times New Roman" w:hAnsi="Times New Roman" w:eastAsia="Times New Roman" w:cs="Times New Roman"/>
          <w:color w:val="000000"/>
          <w:sz w:val="28"/>
        </w:rPr>
        <w:t xml:space="preserve">Temperature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Top-p</w:t>
      </w:r>
      <w:r>
        <w:rPr>
          <w:rFonts w:ascii="FangSong" w:hAnsi="FangSong" w:eastAsia="FangSong" w:cs="FangSong"/>
          <w:color w:val="000000"/>
          <w:sz w:val="28"/>
        </w:rPr>
        <w:t xml:space="preserve">）预设模板。同时，控制台具备实时监控大盘，动态展示</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调用次数、响应延迟、</w:t>
      </w:r>
      <w:r>
        <w:rPr>
          <w:rFonts w:ascii="Times New Roman" w:hAnsi="Times New Roman" w:eastAsia="Times New Roman" w:cs="Times New Roman"/>
          <w:color w:val="000000"/>
          <w:sz w:val="28"/>
        </w:rPr>
        <w:t xml:space="preserve">Token</w:t>
      </w:r>
      <w:r>
        <w:rPr>
          <w:rFonts w:ascii="FangSong" w:hAnsi="FangSong" w:eastAsia="FangSong" w:cs="FangSong"/>
          <w:color w:val="000000"/>
          <w:sz w:val="28"/>
        </w:rPr>
        <w:t xml:space="preserve">消耗量及成功率等核心指标，帮助运维人员及时发现并处理性能瓶颈。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调用额度管控：针对采购的算力</w:t>
      </w:r>
      <w:r>
        <w:rPr>
          <w:rFonts w:ascii="Times New Roman" w:hAnsi="Times New Roman" w:eastAsia="Times New Roman" w:cs="Times New Roman"/>
          <w:color w:val="000000"/>
          <w:sz w:val="28"/>
        </w:rPr>
        <w:t xml:space="preserve">Tokens</w:t>
      </w:r>
      <w:r>
        <w:rPr>
          <w:rFonts w:ascii="FangSong" w:hAnsi="FangSong" w:eastAsia="FangSong" w:cs="FangSong"/>
          <w:color w:val="000000"/>
          <w:sz w:val="28"/>
        </w:rPr>
        <w:t xml:space="preserve">，控制台提供精细化的额度管理功能，支持按部门、按用户组分配调用配额，并设置阈值预警，防止算力资源被恶意滥用或过度消耗。</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4.3.4.2.API</w:t>
      </w:r>
      <w:r>
        <w:rPr>
          <w:rFonts w:ascii="FangSong" w:hAnsi="FangSong" w:eastAsia="FangSong" w:cs="FangSong"/>
          <w:color w:val="000000"/>
          <w:sz w:val="28"/>
        </w:rPr>
        <w:t xml:space="preserve">密钥管理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为保障大模型接口调用的安全性，平台构建了专门的</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密钥（</w:t>
      </w:r>
      <w:r>
        <w:rPr>
          <w:rFonts w:ascii="Times New Roman" w:hAnsi="Times New Roman" w:eastAsia="Times New Roman" w:cs="Times New Roman"/>
          <w:color w:val="000000"/>
          <w:sz w:val="28"/>
        </w:rPr>
        <w:t xml:space="preserve">API-Key</w:t>
      </w:r>
      <w:r>
        <w:rPr>
          <w:rFonts w:ascii="FangSong" w:hAnsi="FangSong" w:eastAsia="FangSong" w:cs="FangSong"/>
          <w:color w:val="000000"/>
          <w:sz w:val="28"/>
        </w:rPr>
        <w:t xml:space="preserve">）管理模块，实现对鉴权凭证的集中托管与生命周期管理。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密钥安全托管：系统提供加密存储的</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密钥库，支持对接外部大模型厂商分配的原始</w:t>
      </w:r>
      <w:r>
        <w:rPr>
          <w:rFonts w:ascii="Times New Roman" w:hAnsi="Times New Roman" w:eastAsia="Times New Roman" w:cs="Times New Roman"/>
          <w:color w:val="000000"/>
          <w:sz w:val="28"/>
        </w:rPr>
        <w:t xml:space="preserve">Key</w:t>
      </w:r>
      <w:r>
        <w:rPr>
          <w:rFonts w:ascii="FangSong" w:hAnsi="FangSong" w:eastAsia="FangSong" w:cs="FangSong"/>
          <w:color w:val="000000"/>
          <w:sz w:val="28"/>
        </w:rPr>
        <w:t xml:space="preserve">，并在平台内部生成二次封装的虚拟</w:t>
      </w:r>
      <w:r>
        <w:rPr>
          <w:rFonts w:ascii="Times New Roman" w:hAnsi="Times New Roman" w:eastAsia="Times New Roman" w:cs="Times New Roman"/>
          <w:color w:val="000000"/>
          <w:sz w:val="28"/>
        </w:rPr>
        <w:t xml:space="preserve">Key</w:t>
      </w:r>
      <w:r>
        <w:rPr>
          <w:rFonts w:ascii="FangSong" w:hAnsi="FangSong" w:eastAsia="FangSong" w:cs="FangSong"/>
          <w:color w:val="000000"/>
          <w:sz w:val="28"/>
        </w:rPr>
        <w:t xml:space="preserve">供业务模块调用。业务系统无需直接接触真实密钥，有效避免了密钥硬编码带来的泄露风险。</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自定义与环境隔离：支持针对不同的开发、测试、生产环境配置独立的调用</w:t>
      </w: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和密钥组合，实现环境间的物理与逻辑隔离。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动态轮换与访问控制：支持设置</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密钥的有效期，提供定期自动轮换功能。同时，结合</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白名单机制，限制仅允许平台内部可信服务器发起</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调用请求，进一步提升接口安全性。</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4.3.4.3.</w:t>
      </w:r>
      <w:r>
        <w:rPr>
          <w:rFonts w:ascii="FangSong" w:hAnsi="FangSong" w:eastAsia="FangSong" w:cs="FangSong"/>
          <w:color w:val="000000"/>
          <w:sz w:val="28"/>
        </w:rPr>
        <w:t xml:space="preserve">敏感词管理与双向拦截</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政务数据的安全合规是合法性审查的底线。</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底座内置了强大的敏感词管理引擎，确保在与大模型交互的全过程中不发生政治敏感、涉密信息的泄露或违规生成。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政务敏感词库建设：系统内置超过</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万条政务领域敏感词库，涵盖国家领导人姓名、政治敏感词汇、涉密术语、不雅词汇等，并支持管理员手动批量导入、新增、修改和删除敏感词，确保词库的实时性与准确性。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输入端脱敏拦截：在用户提交审查材料或发起对话指令时，系统前端及网关层自动进行敏感词扫描。对于匹配到的涉密或敏感信息，系统可配置为“直接拦截阻断”或“自动脱敏替换”（如将具体人名替换为“某某”，将具体金额替换为“</w:t>
      </w:r>
      <w:r>
        <w:rPr>
          <w:rFonts w:ascii="Times New Roman" w:hAnsi="Times New Roman" w:eastAsia="Times New Roman" w:cs="Times New Roman"/>
          <w:color w:val="000000"/>
          <w:sz w:val="28"/>
        </w:rPr>
        <w:t xml:space="preserve">XXX</w:t>
      </w:r>
      <w:r>
        <w:rPr>
          <w:rFonts w:ascii="FangSong" w:hAnsi="FangSong" w:eastAsia="FangSong" w:cs="FangSong"/>
          <w:color w:val="000000"/>
          <w:sz w:val="28"/>
        </w:rPr>
        <w:t xml:space="preserve">元”），确保发送给外部大模型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的</w:t>
      </w:r>
      <w:r>
        <w:rPr>
          <w:rFonts w:ascii="Times New Roman" w:hAnsi="Times New Roman" w:eastAsia="Times New Roman" w:cs="Times New Roman"/>
          <w:color w:val="000000"/>
          <w:sz w:val="28"/>
        </w:rPr>
        <w:t xml:space="preserve">Prompt</w:t>
      </w:r>
      <w:r>
        <w:rPr>
          <w:rFonts w:ascii="FangSong" w:hAnsi="FangSong" w:eastAsia="FangSong" w:cs="FangSong"/>
          <w:color w:val="000000"/>
          <w:sz w:val="28"/>
        </w:rPr>
        <w:t xml:space="preserve">绝对安全。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输出端内容过滤：大模型返回的生成结果在展示给用户前，必须经过敏感词引擎的二次过滤。若检测到生成内容包含违规词汇，系统将自动触发降级策略，返回标准化的安全提示，杜绝政治风险。</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4.3.4.4.</w:t>
      </w:r>
      <w:r>
        <w:rPr>
          <w:rFonts w:ascii="FangSong" w:hAnsi="FangSong" w:eastAsia="FangSong" w:cs="FangSong"/>
          <w:color w:val="000000"/>
          <w:sz w:val="28"/>
        </w:rPr>
        <w:t xml:space="preserve">智能体编排引擎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为了实现“角色</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场景”的智能合法性审查，</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底座提供了灵活的智能体（</w:t>
      </w:r>
      <w:r>
        <w:rPr>
          <w:rFonts w:ascii="Times New Roman" w:hAnsi="Times New Roman" w:eastAsia="Times New Roman" w:cs="Times New Roman"/>
          <w:color w:val="000000"/>
          <w:sz w:val="28"/>
        </w:rPr>
        <w:t xml:space="preserve">Agent</w:t>
      </w:r>
      <w:r>
        <w:rPr>
          <w:rFonts w:ascii="FangSong" w:hAnsi="FangSong" w:eastAsia="FangSong" w:cs="FangSong"/>
          <w:color w:val="000000"/>
          <w:sz w:val="28"/>
        </w:rPr>
        <w:t xml:space="preserve">）编排引擎，支持将大模型能力与系统工具无缝结合。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智能体角色创建：支持管理员通过低代码界面创建不同角色的智能体（如“资深法制审核员”、“辅助录入员”、“数据分析师”）。每个角色可配置专属的系统级提示词（</w:t>
      </w:r>
      <w:r>
        <w:rPr>
          <w:rFonts w:ascii="Times New Roman" w:hAnsi="Times New Roman" w:eastAsia="Times New Roman" w:cs="Times New Roman"/>
          <w:color w:val="000000"/>
          <w:sz w:val="28"/>
        </w:rPr>
        <w:t xml:space="preserve">System Prompt</w:t>
      </w:r>
      <w:r>
        <w:rPr>
          <w:rFonts w:ascii="FangSong" w:hAnsi="FangSong" w:eastAsia="FangSong" w:cs="FangSong"/>
          <w:color w:val="000000"/>
          <w:sz w:val="28"/>
        </w:rPr>
        <w:t xml:space="preserve">）、性格特征及工作边界。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工作流（</w:t>
      </w:r>
      <w:r>
        <w:rPr>
          <w:rFonts w:ascii="Times New Roman" w:hAnsi="Times New Roman" w:eastAsia="Times New Roman" w:cs="Times New Roman"/>
          <w:color w:val="000000"/>
          <w:sz w:val="28"/>
        </w:rPr>
        <w:t xml:space="preserve">Workflow</w:t>
      </w:r>
      <w:r>
        <w:rPr>
          <w:rFonts w:ascii="FangSong" w:hAnsi="FangSong" w:eastAsia="FangSong" w:cs="FangSong"/>
          <w:color w:val="000000"/>
          <w:sz w:val="28"/>
        </w:rPr>
        <w:t xml:space="preserve">）设计：提供可视化的工作流画布，允许业务专家通过拖拽节点的方式，将复杂的审查任务拆解为多个顺序或并行的子任务。例如，将“合同审查”拆解为“主体资质提取”、“违约责任分析”、“法律条款比对”三个节点，并为每个节点分配特定的模型与提示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工具链（</w:t>
      </w:r>
      <w:r>
        <w:rPr>
          <w:rFonts w:ascii="Times New Roman" w:hAnsi="Times New Roman" w:eastAsia="Times New Roman" w:cs="Times New Roman"/>
          <w:color w:val="000000"/>
          <w:sz w:val="28"/>
        </w:rPr>
        <w:t xml:space="preserve">Tools</w:t>
      </w:r>
      <w:r>
        <w:rPr>
          <w:rFonts w:ascii="FangSong" w:hAnsi="FangSong" w:eastAsia="FangSong" w:cs="FangSong"/>
          <w:color w:val="000000"/>
          <w:sz w:val="28"/>
        </w:rPr>
        <w:t xml:space="preserve">）配置：智能体编排引擎支持将平台内部的业务接口（如查询历史案例、获取法律条文、生成</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报告）封装为标准化工具。在执行任务时，大模型可通过</w:t>
      </w:r>
      <w:r>
        <w:rPr>
          <w:rFonts w:ascii="Times New Roman" w:hAnsi="Times New Roman" w:eastAsia="Times New Roman" w:cs="Times New Roman"/>
          <w:color w:val="000000"/>
          <w:sz w:val="28"/>
        </w:rPr>
        <w:t xml:space="preserve">Function Calling</w:t>
      </w:r>
      <w:r>
        <w:rPr>
          <w:rFonts w:ascii="FangSong" w:hAnsi="FangSong" w:eastAsia="FangSong" w:cs="FangSong"/>
          <w:color w:val="000000"/>
          <w:sz w:val="28"/>
        </w:rPr>
        <w:t xml:space="preserve">技术自主决定何时调用何种工具，实现从“单纯对话”向“行动执行”的跨越。</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4.3.4.5.</w:t>
      </w:r>
      <w:r>
        <w:rPr>
          <w:rFonts w:ascii="FangSong" w:hAnsi="FangSong" w:eastAsia="FangSong" w:cs="FangSong"/>
          <w:color w:val="000000"/>
          <w:sz w:val="28"/>
        </w:rPr>
        <w:t xml:space="preserve">知识库数据权限管理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司法知识库（</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）是</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底座的核心资产，为确保知识数据的安全、合规使用，平台建立了严格且细粒度的数据权限管理体系。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多层级知识库架构：知识库划分为公共知识库、机构知识库与个人知识库三层。公共知识库包含国家法律法规、省市级地方性法规，对全市所有用户开放只读权限；机构知识库包含各区县、各乡镇内部制定的规范性文件及历史审查台账，仅对本单位及上级主管单位授权用户开放；个人知识库则用于存放审核人员个人的办案笔记与参考资料，实现严格的物理隔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基于角色的访问控制（</w:t>
      </w:r>
      <w:r>
        <w:rPr>
          <w:rFonts w:ascii="Times New Roman" w:hAnsi="Times New Roman" w:eastAsia="Times New Roman" w:cs="Times New Roman"/>
          <w:color w:val="000000"/>
          <w:sz w:val="28"/>
        </w:rPr>
        <w:t xml:space="preserve">RBAC</w:t>
      </w:r>
      <w:r>
        <w:rPr>
          <w:rFonts w:ascii="FangSong" w:hAnsi="FangSong" w:eastAsia="FangSong" w:cs="FangSong"/>
          <w:color w:val="000000"/>
          <w:sz w:val="28"/>
        </w:rPr>
        <w:t xml:space="preserve">）：知识库的查询、上传、修改、删除及向量化操作均与用户的角色权限深度绑定。例如，乡镇普通操作员仅具备公共知识库和本乡镇机构知识库的检索权限；市局法制处专家则拥有全市范围内的跨机构检索权限；而知识库的增删改及废止操作则由专职的知识库管理员统一负责。</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文档级与字段级保密控制：针对特殊的涉密或敏感审查案例，系统支持在文档级别设置“密级”标签（如公开、内部、机密）。在进行</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检索时，向量引擎会自动过滤掉用户权限范围之外的文档片段，确保大模型在生成答案时，其引用的上下文数据绝对符合当前用户的涉密等级要求。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知识召回测试与审计：提供专门的召回测试工具，允许管理员模拟不同权限角色的用户发起检索请求，验证权限控制策略的有效性。同时，知识库的所有访问记录与操作日志均被详细记录并定期审计，确保数据使用的全过程可追溯。</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4.3.4.6.</w:t>
      </w:r>
      <w:r>
        <w:rPr>
          <w:rFonts w:ascii="FangSong" w:hAnsi="FangSong" w:eastAsia="FangSong" w:cs="FangSong"/>
          <w:color w:val="000000"/>
          <w:sz w:val="28"/>
        </w:rPr>
        <w:t xml:space="preserve">大模型（</w:t>
      </w:r>
      <w:r>
        <w:rPr>
          <w:rFonts w:ascii="Times New Roman" w:hAnsi="Times New Roman" w:eastAsia="Times New Roman" w:cs="Times New Roman"/>
          <w:color w:val="000000"/>
          <w:sz w:val="28"/>
        </w:rPr>
        <w:t xml:space="preserve">Agent</w:t>
      </w:r>
      <w:r>
        <w:rPr>
          <w:rFonts w:ascii="FangSong" w:hAnsi="FangSong" w:eastAsia="FangSong" w:cs="FangSong"/>
          <w:color w:val="000000"/>
          <w:sz w:val="28"/>
        </w:rPr>
        <w:t xml:space="preserve">）与业务系统数据交互时序说明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为清晰展示</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智能体（</w:t>
      </w:r>
      <w:r>
        <w:rPr>
          <w:rFonts w:ascii="Times New Roman" w:hAnsi="Times New Roman" w:eastAsia="Times New Roman" w:cs="Times New Roman"/>
          <w:color w:val="000000"/>
          <w:sz w:val="28"/>
        </w:rPr>
        <w:t xml:space="preserve">Agent</w:t>
      </w:r>
      <w:r>
        <w:rPr>
          <w:rFonts w:ascii="FangSong" w:hAnsi="FangSong" w:eastAsia="FangSong" w:cs="FangSong"/>
          <w:color w:val="000000"/>
          <w:sz w:val="28"/>
        </w:rPr>
        <w:t xml:space="preserve">）与现有业务系统之间的数据流向与安全控制机制，以下从一次典型的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合法性审查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全流程，详细说明各系统组件之间的交互时序：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典型场景：乡镇基层用户通过泰政通发起一份规范性文件的合法性审查</w:t>
      </w:r>
      <w:r/>
    </w:p>
    <w:p>
      <w:pPr>
        <w:ind w:left="0" w:right="0" w:firstLine="624"/>
        <w:jc w:val="both"/>
        <w:spacing w:before="0" w:after="0" w:line="6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86400" cy="7353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986957" name=""/>
                        <pic:cNvPicPr>
                          <a:picLocks noChangeAspect="1"/>
                        </pic:cNvPicPr>
                        <pic:nvPr/>
                      </pic:nvPicPr>
                      <pic:blipFill>
                        <a:blip/>
                        <a:stretch/>
                      </pic:blipFill>
                      <pic:spPr bwMode="auto">
                        <a:xfrm>
                          <a:off x="0" y="0"/>
                          <a:ext cx="5486400" cy="7353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2.0pt;height:579.0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624"/>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图：大模型（Agent）与业务系统数据交互时序图</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交互时序（简化描述）：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步骤</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：用户发起请求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用户（泰政通</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端） → 业务网关（</w:t>
      </w:r>
      <w:r>
        <w:rPr>
          <w:rFonts w:ascii="Times New Roman" w:hAnsi="Times New Roman" w:eastAsia="Times New Roman" w:cs="Times New Roman"/>
          <w:color w:val="000000"/>
          <w:sz w:val="28"/>
        </w:rPr>
        <w:t xml:space="preserve">API Gateway</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用户上传待审查文件（</w:t>
      </w:r>
      <w:r>
        <w:rPr>
          <w:rFonts w:ascii="Times New Roman" w:hAnsi="Times New Roman" w:eastAsia="Times New Roman" w:cs="Times New Roman"/>
          <w:color w:val="000000"/>
          <w:sz w:val="28"/>
        </w:rPr>
        <w:t xml:space="preserve">Word/PDF</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自然语言指令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网关进行身份认证（</w:t>
      </w:r>
      <w:r>
        <w:rPr>
          <w:rFonts w:ascii="Times New Roman" w:hAnsi="Times New Roman" w:eastAsia="Times New Roman" w:cs="Times New Roman"/>
          <w:color w:val="000000"/>
          <w:sz w:val="28"/>
        </w:rPr>
        <w:t xml:space="preserve">SSO Token</w:t>
      </w:r>
      <w:r>
        <w:rPr>
          <w:rFonts w:ascii="FangSong" w:hAnsi="FangSong" w:eastAsia="FangSong" w:cs="FangSong"/>
          <w:color w:val="000000"/>
          <w:sz w:val="28"/>
        </w:rPr>
        <w:t xml:space="preserve">校验）、权限鉴权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步骤</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：敏感词前置拦截（输入端安全屏障）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业务网关 → 敏感词引擎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对用户上传的文本内容进行敏感词扫描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匹配到涉密信息 → 自动脱敏替换（人名→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某某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，金额→</w:t>
      </w:r>
      <w:r>
        <w:rPr>
          <w:rFonts w:ascii="Times New Roman" w:hAnsi="Times New Roman" w:eastAsia="Times New Roman" w:cs="Times New Roman"/>
          <w:color w:val="000000"/>
          <w:sz w:val="28"/>
        </w:rPr>
        <w:t xml:space="preserve">"XXX</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脱敏后的安全文本传递至业务服务层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步骤</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：业务逻辑处理与任务编排</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业务服务层（微服务集群） → 智能体编排引擎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创建审查任务记录（写入业务数据库，状态：处理中）</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智能体编排引擎根据文件类型，选择对应的审查</w:t>
      </w:r>
      <w:r>
        <w:rPr>
          <w:rFonts w:ascii="Times New Roman" w:hAnsi="Times New Roman" w:eastAsia="Times New Roman" w:cs="Times New Roman"/>
          <w:color w:val="000000"/>
          <w:sz w:val="28"/>
        </w:rPr>
        <w:t xml:space="preserve">Workflow</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将任务分解为子步骤：材料解析 → 知识检索 → 内容审查 → 意见生成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步骤</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：文档解析（感知层）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智能体 → 文档解析服务（</w:t>
      </w:r>
      <w:r>
        <w:rPr>
          <w:rFonts w:ascii="Times New Roman" w:hAnsi="Times New Roman" w:eastAsia="Times New Roman" w:cs="Times New Roman"/>
          <w:color w:val="000000"/>
          <w:sz w:val="28"/>
        </w:rPr>
        <w:t xml:space="preserve">OCR/NLP</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w:t>
      </w:r>
      <w:r>
        <w:rPr>
          <w:rFonts w:ascii="Times New Roman" w:hAnsi="Times New Roman" w:eastAsia="Times New Roman" w:cs="Times New Roman"/>
          <w:color w:val="000000"/>
          <w:sz w:val="28"/>
        </w:rPr>
        <w:t xml:space="preserve">Word/PDF</w:t>
      </w:r>
      <w:r>
        <w:rPr>
          <w:rFonts w:ascii="FangSong" w:hAnsi="FangSong" w:eastAsia="FangSong" w:cs="FangSong"/>
          <w:color w:val="000000"/>
          <w:sz w:val="28"/>
        </w:rPr>
        <w:t xml:space="preserve">文件 → </w:t>
      </w:r>
      <w:r>
        <w:rPr>
          <w:rFonts w:ascii="Times New Roman" w:hAnsi="Times New Roman" w:eastAsia="Times New Roman" w:cs="Times New Roman"/>
          <w:color w:val="000000"/>
          <w:sz w:val="28"/>
        </w:rPr>
        <w:t xml:space="preserve">Apache Tika </w:t>
      </w:r>
      <w:r>
        <w:rPr>
          <w:rFonts w:ascii="FangSong" w:hAnsi="FangSong" w:eastAsia="FangSong" w:cs="FangSong"/>
          <w:color w:val="000000"/>
          <w:sz w:val="28"/>
        </w:rPr>
        <w:t xml:space="preserve">结构化解析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扫描件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图片 → </w:t>
      </w:r>
      <w:r>
        <w:rPr>
          <w:rFonts w:ascii="Times New Roman" w:hAnsi="Times New Roman" w:eastAsia="Times New Roman" w:cs="Times New Roman"/>
          <w:color w:val="000000"/>
          <w:sz w:val="28"/>
        </w:rPr>
        <w:t xml:space="preserve">PaddleOCR </w:t>
      </w:r>
      <w:r>
        <w:rPr>
          <w:rFonts w:ascii="FangSong" w:hAnsi="FangSong" w:eastAsia="FangSong" w:cs="FangSong"/>
          <w:color w:val="000000"/>
          <w:sz w:val="28"/>
        </w:rPr>
        <w:t xml:space="preserve">文字识别</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输出：结构化文本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元数据（文件名、起草单位、日期等）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步骤</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：知识检索（</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检索增强）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智能体 → 向量数据库（</w:t>
      </w:r>
      <w:r>
        <w:rPr>
          <w:rFonts w:ascii="Times New Roman" w:hAnsi="Times New Roman" w:eastAsia="Times New Roman" w:cs="Times New Roman"/>
          <w:color w:val="000000"/>
          <w:sz w:val="28"/>
        </w:rPr>
        <w:t xml:space="preserve">Milvus/Elasticsearch</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将审查文本的关键段落进行向量化（</w:t>
      </w:r>
      <w:r>
        <w:rPr>
          <w:rFonts w:ascii="Times New Roman" w:hAnsi="Times New Roman" w:eastAsia="Times New Roman" w:cs="Times New Roman"/>
          <w:color w:val="000000"/>
          <w:sz w:val="28"/>
        </w:rPr>
        <w:t xml:space="preserve">Embedding</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执行混合检索：</w:t>
      </w:r>
      <w:r>
        <w:rPr>
          <w:rFonts w:ascii="Times New Roman" w:hAnsi="Times New Roman" w:eastAsia="Times New Roman" w:cs="Times New Roman"/>
          <w:color w:val="000000"/>
          <w:sz w:val="28"/>
        </w:rPr>
        <w:t xml:space="preserve">BM25</w:t>
      </w:r>
      <w:r>
        <w:rPr>
          <w:rFonts w:ascii="FangSong" w:hAnsi="FangSong" w:eastAsia="FangSong" w:cs="FangSong"/>
          <w:color w:val="000000"/>
          <w:sz w:val="28"/>
        </w:rPr>
        <w:t xml:space="preserve">关键词检索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语义向量检索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【权限过滤】：向量引擎根据当前用户的</w:t>
      </w:r>
      <w:r>
        <w:rPr>
          <w:rFonts w:ascii="Times New Roman" w:hAnsi="Times New Roman" w:eastAsia="Times New Roman" w:cs="Times New Roman"/>
          <w:color w:val="000000"/>
          <w:sz w:val="28"/>
        </w:rPr>
        <w:t xml:space="preserve">RBAC</w:t>
      </w:r>
      <w:r>
        <w:rPr>
          <w:rFonts w:ascii="FangSong" w:hAnsi="FangSong" w:eastAsia="FangSong" w:cs="FangSong"/>
          <w:color w:val="000000"/>
          <w:sz w:val="28"/>
        </w:rPr>
        <w:t xml:space="preserve">角色，自动过滤掉超出其权限范围的文档片段</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输出：</w:t>
      </w:r>
      <w:r>
        <w:rPr>
          <w:rFonts w:ascii="Times New Roman" w:hAnsi="Times New Roman" w:eastAsia="Times New Roman" w:cs="Times New Roman"/>
          <w:color w:val="000000"/>
          <w:sz w:val="28"/>
        </w:rPr>
        <w:t xml:space="preserve">Top-K</w:t>
      </w:r>
      <w:r>
        <w:rPr>
          <w:rFonts w:ascii="FangSong" w:hAnsi="FangSong" w:eastAsia="FangSong" w:cs="FangSong"/>
          <w:color w:val="000000"/>
          <w:sz w:val="28"/>
        </w:rPr>
        <w:t xml:space="preserve">条最相关的法律条文与历史案例片段</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步骤</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：大模型推理（思考层）—— 核心安全控制点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智能体 → 大模型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（外部服务）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【请求构造】：</w:t>
      </w:r>
      <w:r>
        <w:rPr>
          <w:rFonts w:ascii="Times New Roman" w:hAnsi="Times New Roman" w:eastAsia="Times New Roman" w:cs="Times New Roman"/>
          <w:color w:val="000000"/>
          <w:sz w:val="28"/>
        </w:rPr>
        <w:t xml:space="preserve">System Prompt + </w:t>
      </w:r>
      <w:r>
        <w:rPr>
          <w:rFonts w:ascii="FangSong" w:hAnsi="FangSong" w:eastAsia="FangSong" w:cs="FangSong"/>
          <w:color w:val="000000"/>
          <w:sz w:val="28"/>
        </w:rPr>
        <w:t xml:space="preserve">上下文注入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用户输入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【传输安全】：全链路采用国密</w:t>
      </w:r>
      <w:r>
        <w:rPr>
          <w:rFonts w:ascii="Times New Roman" w:hAnsi="Times New Roman" w:eastAsia="Times New Roman" w:cs="Times New Roman"/>
          <w:color w:val="000000"/>
          <w:sz w:val="28"/>
        </w:rPr>
        <w:t xml:space="preserve">SM2/SM4</w:t>
      </w:r>
      <w:r>
        <w:rPr>
          <w:rFonts w:ascii="FangSong" w:hAnsi="FangSong" w:eastAsia="FangSong" w:cs="FangSong"/>
          <w:color w:val="000000"/>
          <w:sz w:val="28"/>
        </w:rPr>
        <w:t xml:space="preserve">加密的</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协议，仅传输脱敏后的文本</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【模型路由】：</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控制台根据任务复杂度自动选择模型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输出：结构化审查意见（问题描述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法律依据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修改建议）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步骤</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：输出端安全过滤（输出端安全屏障）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大模型响应 → 敏感词引擎（二次过滤）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对模型生成内容进行敏感词扫描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检测到违规内容 → 触发降级策略，返回安全提示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通过安全检查 → 内容进入业务处理流程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步骤</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：结果持久化与展示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业务服务层 → 业务数据库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用户端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审查意见写入数据库（关联原始文件、法律依据溯源链接）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更新任务状态（处理中 → 待人工复核）</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通过</w:t>
      </w:r>
      <w:r>
        <w:rPr>
          <w:rFonts w:ascii="Times New Roman" w:hAnsi="Times New Roman" w:eastAsia="Times New Roman" w:cs="Times New Roman"/>
          <w:color w:val="000000"/>
          <w:sz w:val="28"/>
        </w:rPr>
        <w:t xml:space="preserve">WebSocket</w:t>
      </w:r>
      <w:r>
        <w:rPr>
          <w:rFonts w:ascii="FangSong" w:hAnsi="FangSong" w:eastAsia="FangSong" w:cs="FangSong"/>
          <w:color w:val="000000"/>
          <w:sz w:val="28"/>
        </w:rPr>
        <w:t xml:space="preserve">实时推送审查结果至用户端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 用户在</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移动端查看结构化审查报告</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关键数据流安全控制点汇总：</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5"/>
        <w:gridCol w:w="2126"/>
        <w:gridCol w:w="2792"/>
        <w:gridCol w:w="21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控制点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安全措施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目的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C1-身份鉴权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步骤1-业务网关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SSO Token校验 + IP白名单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确保请求来源合法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C2-输入脱敏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步骤2-敏感词引擎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1.5万条政务敏感词库扫描 + 自动脱敏替换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确保发送给大模型的文本不含涉密信息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C3-权限过滤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步骤5-向量数据库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RBAC角色权限 + 文档密级标签过滤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确保RAG检索结果符合用户权限等级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C4-传输加密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步骤6-API调用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国密SM2/SM4加密HTTPS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确保数据传输链路安全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C5-输出过滤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步骤7-敏感词引擎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二次敏感词扫描 + 降级策略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确保AI输出内容符合政务规范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C6-审计留痕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全流程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操作日志 + 防篡改存储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确保全过程可追溯</w:t>
            </w:r>
            <w:r/>
          </w:p>
        </w:tc>
      </w:tr>
    </w:tbl>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4.3.4.7.RAG</w:t>
      </w:r>
      <w:r>
        <w:rPr>
          <w:rFonts w:ascii="FangSong" w:hAnsi="FangSong" w:eastAsia="FangSong" w:cs="FangSong"/>
          <w:color w:val="000000"/>
          <w:sz w:val="28"/>
        </w:rPr>
        <w:t xml:space="preserve">检索增强生成中的数据脱敏与隔离机制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核心原则：原始数据不出域，仅脱敏摘要送模型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本系统在</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架构设计中，严格遵循</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数据最小化传输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原则。具体而言：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向量数据库部署位置：向量数据库（</w:t>
      </w:r>
      <w:r>
        <w:rPr>
          <w:rFonts w:ascii="Times New Roman" w:hAnsi="Times New Roman" w:eastAsia="Times New Roman" w:cs="Times New Roman"/>
          <w:color w:val="000000"/>
          <w:sz w:val="28"/>
        </w:rPr>
        <w:t xml:space="preserve">Milvus/Elasticsearch</w:t>
      </w:r>
      <w:r>
        <w:rPr>
          <w:rFonts w:ascii="FangSong" w:hAnsi="FangSong" w:eastAsia="FangSong" w:cs="FangSong"/>
          <w:color w:val="000000"/>
          <w:sz w:val="28"/>
        </w:rPr>
        <w:t xml:space="preserve">）部署在泰州市政务云内网环境中，与业务数据库处于同一安全域。知识库中存储的法律法规原文、历史审查案例等数据始终保留在政务云内部，不会被传输至任何外部服务。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传输给大模型的内容：当</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检索完成后，系统仅将检索到的法律条文片段（公开的法律法规文本）和脱敏后的案例摘要作为上下文（</w:t>
      </w:r>
      <w:r>
        <w:rPr>
          <w:rFonts w:ascii="Times New Roman" w:hAnsi="Times New Roman" w:eastAsia="Times New Roman" w:cs="Times New Roman"/>
          <w:color w:val="000000"/>
          <w:sz w:val="28"/>
        </w:rPr>
        <w:t xml:space="preserve">Context</w:t>
      </w:r>
      <w:r>
        <w:rPr>
          <w:rFonts w:ascii="FangSong" w:hAnsi="FangSong" w:eastAsia="FangSong" w:cs="FangSong"/>
          <w:color w:val="000000"/>
          <w:sz w:val="28"/>
        </w:rPr>
        <w:t xml:space="preserve">）注入到</w:t>
      </w:r>
      <w:r>
        <w:rPr>
          <w:rFonts w:ascii="Times New Roman" w:hAnsi="Times New Roman" w:eastAsia="Times New Roman" w:cs="Times New Roman"/>
          <w:color w:val="000000"/>
          <w:sz w:val="28"/>
        </w:rPr>
        <w:t xml:space="preserve">Prompt</w:t>
      </w:r>
      <w:r>
        <w:rPr>
          <w:rFonts w:ascii="FangSong" w:hAnsi="FangSong" w:eastAsia="FangSong" w:cs="FangSong"/>
          <w:color w:val="000000"/>
          <w:sz w:val="28"/>
        </w:rPr>
        <w:t xml:space="preserve">中发送给大模型。具体脱敏规则如下：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2"/>
        <w:gridCol w:w="2976"/>
        <w:gridCol w:w="35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数据类型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脱敏规则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top"/>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示例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当事人姓名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替换为"某某"/"当事人A"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张三 → 某某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具体单位名称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替换为"某单位"/"申请单位"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XX乡镇人民政府 → 某基层单位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身份证号/电话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完全遮蔽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320102199001011234 →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具体金额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替换为区间描述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358.6万元 → 数百万元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地理位置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替换为泛化描述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XX路XX号 → 某地址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公开法律条文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不脱敏，原文传输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2" w:type="dxa"/>
            <w:vAlign w:val="top"/>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《行政处罚法》第三十三条 → 原文</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法律条文的特殊处理：国家法律法规、省市级地方性法规属于公开信息，不涉及保密要求。因此，</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检索到的法律条文原文可以直接作为上下文传输给大模型，以确保模型引用法条的准确性。这是</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机制相比纯大模型的核心优势——让模型</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看着法条说话</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，而非凭记忆编造。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三层数据隔离架构</w:t>
      </w:r>
      <w:r/>
    </w:p>
    <w:p>
      <w:pPr>
        <w:ind w:left="0" w:right="0" w:firstLine="624"/>
        <w:jc w:val="both"/>
        <w:spacing w:before="0" w:after="0" w:line="6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86400" cy="410527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28316" name=""/>
                        <pic:cNvPicPr>
                          <a:picLocks noChangeAspect="1"/>
                        </pic:cNvPicPr>
                        <pic:nvPr/>
                      </pic:nvPicPr>
                      <pic:blipFill>
                        <a:blip/>
                        <a:stretch/>
                      </pic:blipFill>
                      <pic:spPr bwMode="auto">
                        <a:xfrm>
                          <a:off x="0" y="0"/>
                          <a:ext cx="5486400" cy="4105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32.0pt;height:323.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624"/>
        <w:jc w:val="center"/>
        <w:spacing w:before="0"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图：RAG检索增强生成 — 三层数据隔离架构图</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脱敏技术实现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系统采用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规则引擎 </w:t>
      </w:r>
      <w:r>
        <w:rPr>
          <w:rFonts w:ascii="Times New Roman" w:hAnsi="Times New Roman" w:eastAsia="Times New Roman" w:cs="Times New Roman"/>
          <w:color w:val="000000"/>
          <w:sz w:val="28"/>
        </w:rPr>
        <w:t xml:space="preserve">+ NER</w:t>
      </w:r>
      <w:r>
        <w:rPr>
          <w:rFonts w:ascii="FangSong" w:hAnsi="FangSong" w:eastAsia="FangSong" w:cs="FangSong"/>
          <w:color w:val="000000"/>
          <w:sz w:val="28"/>
        </w:rPr>
        <w:t xml:space="preserve">（命名实体识别）</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双引擎协同的脱敏策略：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规则引擎：基于正则表达式匹配身份证号、手机号、银行卡号等具有固定格式的敏感信息，实现高效精准的结构化数据脱敏。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NER</w:t>
      </w:r>
      <w:r>
        <w:rPr>
          <w:rFonts w:ascii="FangSong" w:hAnsi="FangSong" w:eastAsia="FangSong" w:cs="FangSong"/>
          <w:color w:val="000000"/>
          <w:sz w:val="28"/>
        </w:rPr>
        <w:t xml:space="preserve">实体识别：利用预训练的中文</w:t>
      </w:r>
      <w:r>
        <w:rPr>
          <w:rFonts w:ascii="Times New Roman" w:hAnsi="Times New Roman" w:eastAsia="Times New Roman" w:cs="Times New Roman"/>
          <w:color w:val="000000"/>
          <w:sz w:val="28"/>
        </w:rPr>
        <w:t xml:space="preserve">NER</w:t>
      </w:r>
      <w:r>
        <w:rPr>
          <w:rFonts w:ascii="FangSong" w:hAnsi="FangSong" w:eastAsia="FangSong" w:cs="FangSong"/>
          <w:color w:val="000000"/>
          <w:sz w:val="28"/>
        </w:rPr>
        <w:t xml:space="preserve">模型（如：</w:t>
      </w:r>
      <w:r>
        <w:rPr>
          <w:rFonts w:ascii="Times New Roman" w:hAnsi="Times New Roman" w:eastAsia="Times New Roman" w:cs="Times New Roman"/>
          <w:color w:val="000000"/>
          <w:sz w:val="28"/>
        </w:rPr>
        <w:t xml:space="preserve">LAC</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BERT-NER</w:t>
      </w:r>
      <w:r>
        <w:rPr>
          <w:rFonts w:ascii="FangSong" w:hAnsi="FangSong" w:eastAsia="FangSong" w:cs="FangSong"/>
          <w:color w:val="000000"/>
          <w:sz w:val="28"/>
        </w:rPr>
        <w:t xml:space="preserve">），自动识别文本中的人名、地名、机构名等非结构化敏感实体，进行语义级脱敏。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脱敏占位符映射：系统在脱敏时生成一张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占位符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原始值</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映射表，存储在政务云内网的加密缓存中。当大模型返回结果后，系统根据映射表将占位符还原为原始值，确保最终呈现给用户的审查意见包含完整、准确的信息。该映射表在任务完成后自动销毁，不做持久化存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 </w:t>
      </w:r>
      <w:r>
        <w:rPr>
          <w:rFonts w:ascii="FangSong" w:hAnsi="FangSong" w:eastAsia="FangSong" w:cs="FangSong"/>
          <w:color w:val="000000"/>
          <w:sz w:val="28"/>
        </w:rPr>
        <w:t xml:space="preserve">安全审计与合规保障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每一次</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检索请求与大模型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调用均被记录在安全审计日志中，日志内容包括：请求时间、请求用户、检索的知识库范围、脱敏前后的文本摘要（脱敏后版本）、模型响应摘要、安全过滤结果等。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审计日志采用防篡改的追加写入（</w:t>
      </w:r>
      <w:r>
        <w:rPr>
          <w:rFonts w:ascii="Times New Roman" w:hAnsi="Times New Roman" w:eastAsia="Times New Roman" w:cs="Times New Roman"/>
          <w:color w:val="000000"/>
          <w:sz w:val="28"/>
        </w:rPr>
        <w:t xml:space="preserve">Append-Only</w:t>
      </w:r>
      <w:r>
        <w:rPr>
          <w:rFonts w:ascii="FangSong" w:hAnsi="FangSong" w:eastAsia="FangSong" w:cs="FangSong"/>
          <w:color w:val="000000"/>
          <w:sz w:val="28"/>
        </w:rPr>
        <w:t xml:space="preserve">）存储机制，保留期限不少于</w:t>
      </w:r>
      <w:r>
        <w:rPr>
          <w:rFonts w:ascii="Times New Roman" w:hAnsi="Times New Roman" w:eastAsia="Times New Roman" w:cs="Times New Roman"/>
          <w:color w:val="000000"/>
          <w:sz w:val="28"/>
        </w:rPr>
        <w:t xml:space="preserve">180</w:t>
      </w:r>
      <w:r>
        <w:rPr>
          <w:rFonts w:ascii="FangSong" w:hAnsi="FangSong" w:eastAsia="FangSong" w:cs="FangSong"/>
          <w:color w:val="000000"/>
          <w:sz w:val="28"/>
        </w:rPr>
        <w:t xml:space="preserve">天，满足等保三级对审计日志完整性的要求。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定期（每季度）由安全管理员对审计日志进行抽样审查，验证脱敏策略的有效性与数据安全合规性。</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4.3.5.司法大模型构建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司法大模型基座选择与</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调用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为保障系统性能与数据安全，本次升级将采用国内领先的、具备法律行业微调能力的大语言模型作为基座模型。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调用模式：系统通过标准</w:t>
      </w:r>
      <w:r>
        <w:rPr>
          <w:rFonts w:ascii="Times New Roman" w:hAnsi="Times New Roman" w:eastAsia="Times New Roman" w:cs="Times New Roman"/>
          <w:color w:val="000000"/>
          <w:sz w:val="28"/>
        </w:rPr>
        <w:t xml:space="preserve">RESTful API</w:t>
      </w:r>
      <w:r>
        <w:rPr>
          <w:rFonts w:ascii="FangSong" w:hAnsi="FangSong" w:eastAsia="FangSong" w:cs="FangSong"/>
          <w:color w:val="000000"/>
          <w:sz w:val="28"/>
        </w:rPr>
        <w:t xml:space="preserve">接口与大模型服务进行交互，避免本地化部署带来的高昂算力成本与运维压力。</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提示工程：针对泰州市合法性审查的特定场景，设计专门的</w:t>
      </w:r>
      <w:r>
        <w:rPr>
          <w:rFonts w:ascii="Times New Roman" w:hAnsi="Times New Roman" w:eastAsia="Times New Roman" w:cs="Times New Roman"/>
          <w:color w:val="000000"/>
          <w:sz w:val="28"/>
        </w:rPr>
        <w:t xml:space="preserve">Prompt</w:t>
      </w:r>
      <w:r>
        <w:rPr>
          <w:rFonts w:ascii="FangSong" w:hAnsi="FangSong" w:eastAsia="FangSong" w:cs="FangSong"/>
          <w:color w:val="000000"/>
          <w:sz w:val="28"/>
        </w:rPr>
        <w:t xml:space="preserve">模板，引导大模型以“资深法制审核员”的角色进行思考与输出。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多模态智能体（</w:t>
      </w:r>
      <w:r>
        <w:rPr>
          <w:rFonts w:ascii="Times New Roman" w:hAnsi="Times New Roman" w:eastAsia="Times New Roman" w:cs="Times New Roman"/>
          <w:color w:val="000000"/>
          <w:sz w:val="28"/>
        </w:rPr>
        <w:t xml:space="preserve">Agent</w:t>
      </w:r>
      <w:r>
        <w:rPr>
          <w:rFonts w:ascii="FangSong" w:hAnsi="FangSong" w:eastAsia="FangSong" w:cs="FangSong"/>
          <w:color w:val="000000"/>
          <w:sz w:val="28"/>
        </w:rPr>
        <w:t xml:space="preserve">）架构设计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构建一个具备感知、思考、行动能力的多模态</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智能体（</w:t>
      </w:r>
      <w:r>
        <w:rPr>
          <w:rFonts w:ascii="Times New Roman" w:hAnsi="Times New Roman" w:eastAsia="Times New Roman" w:cs="Times New Roman"/>
          <w:color w:val="000000"/>
          <w:sz w:val="28"/>
        </w:rPr>
        <w:t xml:space="preserve">Agent</w:t>
      </w:r>
      <w:r>
        <w:rPr>
          <w:rFonts w:ascii="FangSong" w:hAnsi="FangSong" w:eastAsia="FangSong" w:cs="FangSong"/>
          <w:color w:val="000000"/>
          <w:sz w:val="28"/>
        </w:rPr>
        <w:t xml:space="preserve">），作为合法性审查的核心引擎：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感知层（多模态输入）：支持接收文本（</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TXT</w:t>
      </w:r>
      <w:r>
        <w:rPr>
          <w:rFonts w:ascii="FangSong" w:hAnsi="FangSong" w:eastAsia="FangSong" w:cs="FangSong"/>
          <w:color w:val="000000"/>
          <w:sz w:val="28"/>
        </w:rPr>
        <w:t xml:space="preserve">）、图像（扫描件、截图）、</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等多种格式的审查材料。通过</w:t>
      </w:r>
      <w:r>
        <w:rPr>
          <w:rFonts w:ascii="Times New Roman" w:hAnsi="Times New Roman" w:eastAsia="Times New Roman" w:cs="Times New Roman"/>
          <w:color w:val="000000"/>
          <w:sz w:val="28"/>
        </w:rPr>
        <w:t xml:space="preserve">OCR</w:t>
      </w:r>
      <w:r>
        <w:rPr>
          <w:rFonts w:ascii="FangSong" w:hAnsi="FangSong" w:eastAsia="FangSong" w:cs="FangSong"/>
          <w:color w:val="000000"/>
          <w:sz w:val="28"/>
        </w:rPr>
        <w:t xml:space="preserve">与文档解析技术，将非结构化数据转化为结构化文本。</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思考层（大模型</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）：基于大模型强大的自然语言理解与逻辑推理能力，结合</w:t>
      </w:r>
      <w:r>
        <w:rPr>
          <w:rFonts w:ascii="Times New Roman" w:hAnsi="Times New Roman" w:eastAsia="Times New Roman" w:cs="Times New Roman"/>
          <w:color w:val="000000"/>
          <w:sz w:val="28"/>
        </w:rPr>
        <w:t xml:space="preserve">RAG</w:t>
      </w:r>
      <w:r>
        <w:rPr>
          <w:rFonts w:ascii="FangSong" w:hAnsi="FangSong" w:eastAsia="FangSong" w:cs="FangSong"/>
          <w:color w:val="000000"/>
          <w:sz w:val="28"/>
        </w:rPr>
        <w:t xml:space="preserve">检索到的本地法律知识，对审查材料进行深度分析，识别潜在的合法性、合理性及规范性问题。</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行动层（工具调用）：智能体可自主调用系统内部工具，如：查询历史相似案例、比对文件版本差异、生成审查意见书草稿、发送预警通知等。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智能体任务规划与工具调用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任务分解：当用户发起一项复杂的审查任务时，智能体能够自动将任务分解为多个子步骤：材料完整性检查 </w:t>
      </w:r>
      <w:r>
        <w:rPr>
          <w:rFonts w:ascii="Times New Roman" w:hAnsi="Times New Roman" w:eastAsia="Times New Roman" w:cs="Times New Roman"/>
          <w:color w:val="000000"/>
          <w:sz w:val="28"/>
        </w:rPr>
        <w:t xml:space="preserve">-&gt; </w:t>
      </w:r>
      <w:r>
        <w:rPr>
          <w:rFonts w:ascii="FangSong" w:hAnsi="FangSong" w:eastAsia="FangSong" w:cs="FangSong"/>
          <w:color w:val="000000"/>
          <w:sz w:val="28"/>
        </w:rPr>
        <w:t xml:space="preserve">主体权限审查 </w:t>
      </w:r>
      <w:r>
        <w:rPr>
          <w:rFonts w:ascii="Times New Roman" w:hAnsi="Times New Roman" w:eastAsia="Times New Roman" w:cs="Times New Roman"/>
          <w:color w:val="000000"/>
          <w:sz w:val="28"/>
        </w:rPr>
        <w:t xml:space="preserve">-&gt; </w:t>
      </w:r>
      <w:r>
        <w:rPr>
          <w:rFonts w:ascii="FangSong" w:hAnsi="FangSong" w:eastAsia="FangSong" w:cs="FangSong"/>
          <w:color w:val="000000"/>
          <w:sz w:val="28"/>
        </w:rPr>
        <w:t xml:space="preserve">内容合法性审查 </w:t>
      </w:r>
      <w:r>
        <w:rPr>
          <w:rFonts w:ascii="Times New Roman" w:hAnsi="Times New Roman" w:eastAsia="Times New Roman" w:cs="Times New Roman"/>
          <w:color w:val="000000"/>
          <w:sz w:val="28"/>
        </w:rPr>
        <w:t xml:space="preserve">-&gt; </w:t>
      </w:r>
      <w:r>
        <w:rPr>
          <w:rFonts w:ascii="FangSong" w:hAnsi="FangSong" w:eastAsia="FangSong" w:cs="FangSong"/>
          <w:color w:val="000000"/>
          <w:sz w:val="28"/>
        </w:rPr>
        <w:t xml:space="preserve">程序合规性审查 </w:t>
      </w:r>
      <w:r>
        <w:rPr>
          <w:rFonts w:ascii="Times New Roman" w:hAnsi="Times New Roman" w:eastAsia="Times New Roman" w:cs="Times New Roman"/>
          <w:color w:val="000000"/>
          <w:sz w:val="28"/>
        </w:rPr>
        <w:t xml:space="preserve">-&gt; </w:t>
      </w:r>
      <w:r>
        <w:rPr>
          <w:rFonts w:ascii="FangSong" w:hAnsi="FangSong" w:eastAsia="FangSong" w:cs="FangSong"/>
          <w:color w:val="000000"/>
          <w:sz w:val="28"/>
        </w:rPr>
        <w:t xml:space="preserve">意见书生成。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动态工具链：智能体根据当前子任务的需求，动态选择并调用最合适的工具。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 </w:t>
      </w:r>
      <w:r>
        <w:rPr>
          <w:rFonts w:ascii="FangSong" w:hAnsi="FangSong" w:eastAsia="FangSong" w:cs="FangSong"/>
          <w:color w:val="000000"/>
          <w:sz w:val="28"/>
        </w:rPr>
        <w:t xml:space="preserve">智能体记忆与上下文管理：为确保智能体在复杂审查场景中的连贯性与个性化，系统设计了两级记忆管理机制。短期记忆（会话级）：在单次审查任务或对话过程中，智能体能够记住用户的多轮指令与上下文信息，实现连贯的交互体验，避免用户重复描述需求。长期记忆（全局级）：智能体能够记录用户的偏好设置、历史审查习惯及常见错误类型，在后续审查中提供更加个性化、精准的辅助建议，实现“越用越懂你”的智能化体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 </w:t>
      </w:r>
      <w:r>
        <w:rPr>
          <w:rFonts w:ascii="FangSong" w:hAnsi="FangSong" w:eastAsia="FangSong" w:cs="FangSong"/>
          <w:color w:val="000000"/>
          <w:sz w:val="28"/>
        </w:rPr>
        <w:t xml:space="preserve">提示工程（</w:t>
      </w:r>
      <w:r>
        <w:rPr>
          <w:rFonts w:ascii="Times New Roman" w:hAnsi="Times New Roman" w:eastAsia="Times New Roman" w:cs="Times New Roman"/>
          <w:color w:val="000000"/>
          <w:sz w:val="28"/>
        </w:rPr>
        <w:t xml:space="preserve">Prompt Engineering</w:t>
      </w:r>
      <w:r>
        <w:rPr>
          <w:rFonts w:ascii="FangSong" w:hAnsi="FangSong" w:eastAsia="FangSong" w:cs="FangSong"/>
          <w:color w:val="000000"/>
          <w:sz w:val="28"/>
        </w:rPr>
        <w:t xml:space="preserve">）设计：针对泰州市合法性审查的特定业务场景，设计一套完整的提示工程体系。包括：系统级提示词（定义智能体的角色为“资深法制审核员”，明确其专业能力边界与输出规范）、任务级提示词（针对不同审查类型如规范性文件审查、重大行政决策审查、合同审查等，设计差异化的审查要点模板）、以及安全级提示词（约束智能体不得编造法条、不得超越辅助角色、必须标注信息来源）。所有提示词模板均支持通过管理后台进行动态调整与版本管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 </w:t>
      </w:r>
      <w:r>
        <w:rPr>
          <w:rFonts w:ascii="FangSong" w:hAnsi="FangSong" w:eastAsia="FangSong" w:cs="FangSong"/>
          <w:color w:val="000000"/>
          <w:sz w:val="28"/>
        </w:rPr>
        <w:t xml:space="preserve">模型选型与安全策略：大模型基座选型遵循以下标准：一是须具备法律垂直领域的微调能力或已完成法律语料的预训练；二是须提供政务云专区或私有化</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部署选项，确保数据传输链路的安全可控；三是须支持国密算法的</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加密通信。在</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调用过程中，系统在请求发送前自动对涉密或敏感信息进行脱敏处理（如：替换具体人名、地名、金额等），并在接收到模型响应后进行安全审计与内容过滤，确保输出内容符合政务规范。</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4.3.6.智能审查核心功能建设</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4.3.6.1.</w:t>
      </w:r>
      <w:r>
        <w:rPr>
          <w:rFonts w:ascii="FangSong" w:hAnsi="FangSong" w:eastAsia="FangSong" w:cs="FangSong"/>
          <w:color w:val="000000"/>
          <w:sz w:val="28"/>
        </w:rPr>
        <w:t xml:space="preserve">智能审查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自动化初步审查：在用户提请文件审查时，智能体自动判断文件是否属于年度计划内任务，并根据文件类别自动核对所需上传材料的完整性，避免漏传。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深度内容审查：智能体对文件正文进行逐条扫描，识别是否存在违反上位法、超越法定权限、减损公民权利或增加公民义务等情形，并高亮标注疑似问题段落。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审查意见智能生成：基于审查发现的问题，智能体自动匹配相关法律依据，并生成结构化的审查意见草稿（包括：问题描述、法律依据、修改建议），供人工审核人员参考修改。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版本智能比对（花脸稿）：提供直观的</w:t>
      </w:r>
      <w:r>
        <w:rPr>
          <w:rFonts w:ascii="Times New Roman" w:hAnsi="Times New Roman" w:eastAsia="Times New Roman" w:cs="Times New Roman"/>
          <w:color w:val="000000"/>
          <w:sz w:val="28"/>
        </w:rPr>
        <w:t xml:space="preserve">Diff</w:t>
      </w:r>
      <w:r>
        <w:rPr>
          <w:rFonts w:ascii="FangSong" w:hAnsi="FangSong" w:eastAsia="FangSong" w:cs="FangSong"/>
          <w:color w:val="000000"/>
          <w:sz w:val="28"/>
        </w:rPr>
        <w:t xml:space="preserve">视图，左侧展示历史版本或本地上传的对比文件，右侧展示当前审查版本。新增、删除、修改的内容高亮标红，辅助审查人员快速核对修改落实情况。</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审查规则引擎：系统内置一套可配置的审查规则引擎，将合法性审查的核心要点（如：是否违反上位法、是否超越法定权限、是否减损公民权利或增加公民义务、是否符合法定程序等）编码为结构化规则。</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智能体在执行审查时，同时调用规则引擎与大模型进行双重校验，规则引擎确保基础合规项无遗漏，大模型负责深层语义分析与逻辑推理，两者互补形成完整的审查闭环。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查结果可视化：审查完成后，系统自动生成结构化的审查报告，包括：审查概要（文件基本信息、审查类型、审查时间）、问题清单（按严重程度分级标注，每个问题附带法律依据与修改建议）、合规评分（基于问题数量与严重程度的综合评分）。审查报告支持在线预览、</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导出及一键发送至相关责任人。</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4.3.6.2.</w:t>
      </w:r>
      <w:r>
        <w:rPr>
          <w:rFonts w:ascii="FangSong" w:hAnsi="FangSong" w:eastAsia="FangSong" w:cs="FangSong"/>
          <w:color w:val="000000"/>
          <w:sz w:val="28"/>
        </w:rPr>
        <w:t xml:space="preserve">辅助录入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非结构化文档解析：支持业务承办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起草人员通过泰政通、</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端拖拽等极简方式上传各类格式（</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、图片等）的原始需求文件。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关键信息自动提取：智能体利用</w:t>
      </w:r>
      <w:r>
        <w:rPr>
          <w:rFonts w:ascii="Times New Roman" w:hAnsi="Times New Roman" w:eastAsia="Times New Roman" w:cs="Times New Roman"/>
          <w:color w:val="000000"/>
          <w:sz w:val="28"/>
        </w:rPr>
        <w:t xml:space="preserve">OCR</w:t>
      </w:r>
      <w:r>
        <w:rPr>
          <w:rFonts w:ascii="FangSong" w:hAnsi="FangSong" w:eastAsia="FangSong" w:cs="FangSong"/>
          <w:color w:val="000000"/>
          <w:sz w:val="28"/>
        </w:rPr>
        <w:t xml:space="preserve">与</w:t>
      </w:r>
      <w:r>
        <w:rPr>
          <w:rFonts w:ascii="Times New Roman" w:hAnsi="Times New Roman" w:eastAsia="Times New Roman" w:cs="Times New Roman"/>
          <w:color w:val="000000"/>
          <w:sz w:val="28"/>
        </w:rPr>
        <w:t xml:space="preserve">NLP</w:t>
      </w:r>
      <w:r>
        <w:rPr>
          <w:rFonts w:ascii="FangSong" w:hAnsi="FangSong" w:eastAsia="FangSong" w:cs="FangSong"/>
          <w:color w:val="000000"/>
          <w:sz w:val="28"/>
        </w:rPr>
        <w:t xml:space="preserve">技术，自动提取文件中的关键要素（如：文件名称、起草单位、核心条款、涉及金额等），并自动填入系统标准表单，大幅减少人工录入工作量。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渐进式对话补充：对于提取失败或缺失的关键信息，智能体通过自然语言对话的方式，主动向用户提问并引导补充，直至表单信息完整。</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4.3.6.3.</w:t>
      </w:r>
      <w:r>
        <w:rPr>
          <w:rFonts w:ascii="FangSong" w:hAnsi="FangSong" w:eastAsia="FangSong" w:cs="FangSong"/>
          <w:color w:val="000000"/>
          <w:sz w:val="28"/>
        </w:rPr>
        <w:t xml:space="preserve">辅助报告生成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审查工作纪实自动记录：智能体在后台自动记录审查人员的操作轨迹、审查耗时及处理的案件类型与复杂度，形成完整的工作日志。</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智能工作台账生成：根据记录的审查日志，智能体定期自动生成结构化的个人工作报表（工作台账），包括：审查文件数量、发现问题数、采纳率等指标，经审查人员一键确认后提交归档。</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4.3.6.4.</w:t>
      </w:r>
      <w:r>
        <w:rPr>
          <w:rFonts w:ascii="FangSong" w:hAnsi="FangSong" w:eastAsia="FangSong" w:cs="FangSong"/>
          <w:color w:val="000000"/>
          <w:sz w:val="28"/>
        </w:rPr>
        <w:t xml:space="preserve">双模交互</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为满足不同用户群体的使用习惯，系统创新性地引入“双模交互”架构，将传统的表单驱动转化为意图驱动：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智能引导对话模式：适用移动端办公、快速发起审查、简单查询、乡镇基层人员。交互方式类似微信聊天的对话界面。用户可直接发送文件或语音</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文字指令。智能体接收指令后，自动解析意图、执行审查并返回结果。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专业表单工作台模式：适用</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端深度办公、复杂案件精细化审查、市局专业法制审核人员。交互方式为结构化的表单填报、多页签切换、左右分屏的文档阅读与批注界面。提供丰富的可视化工具。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双模无缝切换：两种交互模式底层数据完全互通。用户可在对话模式中快速发起任务，随后在</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端表单模式中接力进行深度处理，实现无缝切换与协同办公。</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模交互的核心设计理念源自“意图驱动”的人机交互范式变革。传统政务系统以“表单驱动”为主，用户必须理解系统的菜单结构与字段含义才能完成操作，这对信息化素养较低的乡镇基层人员构成了较高的使用门槛。本次升级引入的“</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引导对话模式”，将交互范式从“用户适应系统”转变为“系统理解用户”，用户只需用自然语言表达意图（如：“帮我审查一下这份宅基地管理通知的草案”），智能体即可自动解析意图、调度后端服务、完成任务并返回结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智能引导对话模式的典型使用场景包括：（</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）快速发起审查——用户通过泰政通将文件转发给“泰</w:t>
      </w:r>
      <w:r>
        <w:rPr>
          <w:rFonts w:ascii="Times New Roman" w:hAnsi="Times New Roman" w:eastAsia="Times New Roman" w:cs="Times New Roman"/>
          <w:color w:val="000000"/>
          <w:sz w:val="28"/>
        </w:rPr>
        <w:t xml:space="preserve">E</w:t>
      </w:r>
      <w:r>
        <w:rPr>
          <w:rFonts w:ascii="FangSong" w:hAnsi="FangSong" w:eastAsia="FangSong" w:cs="FangSong"/>
          <w:color w:val="000000"/>
          <w:sz w:val="28"/>
        </w:rPr>
        <w:t xml:space="preserve">法”智能体，智能体自动识别文件类型、提取关键信息、创建审查任务并启动智能审查流程；（</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）渐进式信息补充——当智能体检测到提交材料不完整时，通过多轮对话主动引导用户补充缺失信息，无需用户返回表单逐一排查；（</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）审查进度查询——用户发送“我的审查进度”等自然语言指令，智能体即时返回当前所有待办与在办事项的状态摘要。</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专业表单工作台模式面向市、县级专业法制审核人员，提供功能完备的深度办公环境。核心功能包括：左右分屏的文档阅读与批注界面（左侧展示待审查文件，右侧展示</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生成的审查意见与法律依据）、多页签切换的案件管理工作台、结构化的审查意见编辑器（支持富文本编辑、法条引用插入、修改建议标注）、以及版本比对花脸稿的可视化展示。该模式充分满足专业审核人员对精细化操作与深度分析的需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双模协同的技术实现基于统一的后端服务架构。两种交互模式共享同一套业务逻辑层、数据持久层与</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引擎层，仅在前端表现层进行差异化适配。这意味着用户在对话模式中发起的审查任务，其全部数据（包括上传的文件、</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生成的审查意见、流转状态等）均可在表单模式中完整呈现，反之亦然。系统通过</w:t>
      </w:r>
      <w:r>
        <w:rPr>
          <w:rFonts w:ascii="Times New Roman" w:hAnsi="Times New Roman" w:eastAsia="Times New Roman" w:cs="Times New Roman"/>
          <w:color w:val="000000"/>
          <w:sz w:val="28"/>
        </w:rPr>
        <w:t xml:space="preserve">WebSocket</w:t>
      </w:r>
      <w:r>
        <w:rPr>
          <w:rFonts w:ascii="FangSong" w:hAnsi="FangSong" w:eastAsia="FangSong" w:cs="FangSong"/>
          <w:color w:val="000000"/>
          <w:sz w:val="28"/>
        </w:rPr>
        <w:t xml:space="preserve">实时同步机制，确保跨模式、跨终端的数据一致性，真正实现“移动端快速发起、</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端深度处理”的协同办公体验。</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4.3.7.系统对接与集成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泰政通对接升级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组织架构与用户同步：深化与“泰政通”系统的对接，实现市、县、乡三级组织机构和用户信息的每日定时自动同步，确保基础数据的准确性与一致性。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小程序深度集成：在“泰政通”小程序中嵌入“泰</w:t>
      </w:r>
      <w:r>
        <w:rPr>
          <w:rFonts w:ascii="Times New Roman" w:hAnsi="Times New Roman" w:eastAsia="Times New Roman" w:cs="Times New Roman"/>
          <w:color w:val="000000"/>
          <w:sz w:val="28"/>
        </w:rPr>
        <w:t xml:space="preserve">E</w:t>
      </w:r>
      <w:r>
        <w:rPr>
          <w:rFonts w:ascii="FangSong" w:hAnsi="FangSong" w:eastAsia="FangSong" w:cs="FangSong"/>
          <w:color w:val="000000"/>
          <w:sz w:val="28"/>
        </w:rPr>
        <w:t xml:space="preserve">法”核心功能模块，支持移动端待办提醒、文件在线预览、快捷审批与全流程进度查询。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统一身份认证与单点登录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依托“泰政通”统一身份认证体系，实现</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端与移动端的单点登录（</w:t>
      </w:r>
      <w:r>
        <w:rPr>
          <w:rFonts w:ascii="Times New Roman" w:hAnsi="Times New Roman" w:eastAsia="Times New Roman" w:cs="Times New Roman"/>
          <w:color w:val="000000"/>
          <w:sz w:val="28"/>
        </w:rPr>
        <w:t xml:space="preserve">SSO</w:t>
      </w:r>
      <w:r>
        <w:rPr>
          <w:rFonts w:ascii="FangSong" w:hAnsi="FangSong" w:eastAsia="FangSong" w:cs="FangSong"/>
          <w:color w:val="000000"/>
          <w:sz w:val="28"/>
        </w:rPr>
        <w:t xml:space="preserve">）。用户只需在“泰政通”登录一次，即可直接跳转至“泰</w:t>
      </w:r>
      <w:r>
        <w:rPr>
          <w:rFonts w:ascii="Times New Roman" w:hAnsi="Times New Roman" w:eastAsia="Times New Roman" w:cs="Times New Roman"/>
          <w:color w:val="000000"/>
          <w:sz w:val="28"/>
        </w:rPr>
        <w:t xml:space="preserve">E</w:t>
      </w:r>
      <w:r>
        <w:rPr>
          <w:rFonts w:ascii="FangSong" w:hAnsi="FangSong" w:eastAsia="FangSong" w:cs="FangSong"/>
          <w:color w:val="000000"/>
          <w:sz w:val="28"/>
        </w:rPr>
        <w:t xml:space="preserve">法”业务系统，无需重复输入账号密码。</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消息中心与短信平台对接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多渠道消息推送：构建统一的消息中心，实现系统内站内信、泰政通通知、短信等多渠道的消息触达。</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智能预警提醒：针对即将超期的审查任务、领导退回重审的文件、长时间未处理的待办事项，系统自动触发分级预警机制，通过短信或泰政通精准推送到相关责任人。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 </w:t>
      </w:r>
      <w:r>
        <w:rPr>
          <w:rFonts w:ascii="FangSong" w:hAnsi="FangSong" w:eastAsia="FangSong" w:cs="FangSong"/>
          <w:color w:val="000000"/>
          <w:sz w:val="28"/>
        </w:rPr>
        <w:t xml:space="preserve">政务数据共享与协同：预留与泰州市政务数据共享交换平台的标准化对接接口，支持合法性审查数据在授权范围内与其他政务系统（如：行政执法监督平台、公共法律服务平台等）实现互联互通。通过数据共享，打破信息孤岛，为跨部门协同治理提供数据支撑。</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 </w:t>
      </w:r>
      <w:r>
        <w:rPr>
          <w:rFonts w:ascii="FangSong" w:hAnsi="FangSong" w:eastAsia="FangSong" w:cs="FangSong"/>
          <w:color w:val="000000"/>
          <w:sz w:val="28"/>
        </w:rPr>
        <w:t xml:space="preserve">接口规范与数据标准：所有系统间的数据交互均采用标准</w:t>
      </w:r>
      <w:r>
        <w:rPr>
          <w:rFonts w:ascii="Times New Roman" w:hAnsi="Times New Roman" w:eastAsia="Times New Roman" w:cs="Times New Roman"/>
          <w:color w:val="000000"/>
          <w:sz w:val="28"/>
        </w:rPr>
        <w:t xml:space="preserve">RESTful API</w:t>
      </w:r>
      <w:r>
        <w:rPr>
          <w:rFonts w:ascii="FangSong" w:hAnsi="FangSong" w:eastAsia="FangSong" w:cs="FangSong"/>
          <w:color w:val="000000"/>
          <w:sz w:val="28"/>
        </w:rPr>
        <w:t xml:space="preserve">接口，数据格式统一为</w:t>
      </w:r>
      <w:r>
        <w:rPr>
          <w:rFonts w:ascii="Times New Roman" w:hAnsi="Times New Roman" w:eastAsia="Times New Roman" w:cs="Times New Roman"/>
          <w:color w:val="000000"/>
          <w:sz w:val="28"/>
        </w:rPr>
        <w:t xml:space="preserve">JSON</w:t>
      </w:r>
      <w:r>
        <w:rPr>
          <w:rFonts w:ascii="FangSong" w:hAnsi="FangSong" w:eastAsia="FangSong" w:cs="FangSong"/>
          <w:color w:val="000000"/>
          <w:sz w:val="28"/>
        </w:rPr>
        <w:t xml:space="preserve">，接口文档遵循</w:t>
      </w:r>
      <w:r>
        <w:rPr>
          <w:rFonts w:ascii="Times New Roman" w:hAnsi="Times New Roman" w:eastAsia="Times New Roman" w:cs="Times New Roman"/>
          <w:color w:val="000000"/>
          <w:sz w:val="28"/>
        </w:rPr>
        <w:t xml:space="preserve">OpenAPI 3.0</w:t>
      </w:r>
      <w:r>
        <w:rPr>
          <w:rFonts w:ascii="FangSong" w:hAnsi="FangSong" w:eastAsia="FangSong" w:cs="FangSong"/>
          <w:color w:val="000000"/>
          <w:sz w:val="28"/>
        </w:rPr>
        <w:t xml:space="preserve">规范。关键数据字段（如：文件类型编码、审查状态编码、组织机构编码等）严格对照国家及泰州市政务数据标准进行映射，确保数据的一致性与互操作性。</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4.3.8.信息安全与自主可控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根据国家信息安全等级保护相关要求，同时结合业务实际情况，本项目的定级为等保三级。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详细安全需求如下：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系统安全访问功能要求：系统应具有严格的权限管理、身份认证和访问控制的功能。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重要数据保密性功能要求：重要数据资料必须遵守国家有关保密制度的规定，系统应保证个人隐私在非授权条件下不受侵犯。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数据备份功能要求：系统应实现数据备份功能，所有静态数据表和录入的资料在运行机器外必须有一个数据库的备份和一个通用格式文件的备份。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自主可控安全方面：为实现信息技术产品的安全可控，加快推进国产自主可控替代，平台兼容适配主流国产化网络系统环境，实现自主安全可控，夯实信息安全基础。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信息系统密码方面：通过应用国产密码技术，减少或消除系统建设存在的安全风险；应用加密算法对敏感数据的传输和存储进行加密。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大模型调用安全方面：在调用外部大模型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的全链路中，实施严格的数据安全管控。请求发送前，系统自动对输入文本中的敏感信息（如：具体人名、单位名称、金额数据等）进行脱敏替换处理；</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通信链路采用国密算法加密的</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协议；模型响应内容经过安全审计与内容过滤后方可呈现给用户，确保</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输出内容符合政务规范，杜绝敏感信息泄露风险。</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审计与日志方面：建立完善的安全审计体系，对系统的所有关键操作（包括用户登录、文件上传、审查流转、</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调用等）进行全程日志记录。日志数据采用防篡改存储机制，支持按时间、用户、操作类型等多维度检索与回溯，满足等保三级对审计日志的完整性、可用性要求。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应急响应方面：制定信息安全应急预案，建立安全事件分级响应机制。针对可能出现的数据泄露、系统入侵、</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模型异常输出等安全事件，明确响应流程、责任分工与处置措施，确保安全事件能够在最短时间内得到有效控制与妥善处理。</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4.4.服务预算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5"/>
        <w:gridCol w:w="895"/>
        <w:gridCol w:w="895"/>
        <w:gridCol w:w="895"/>
        <w:gridCol w:w="895"/>
        <w:gridCol w:w="895"/>
        <w:gridCol w:w="895"/>
        <w:gridCol w:w="895"/>
        <w:gridCol w:w="895"/>
        <w:gridCol w:w="895"/>
      </w:tblGrid>
      <w:tr>
        <w:trPr>
          <w:trHeight w:val="11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模块名称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一级功能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二级功能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功能描述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泰</w:t>
            </w:r>
            <w:r>
              <w:rPr>
                <w:rFonts w:ascii="Times New Roman" w:hAnsi="Times New Roman" w:eastAsia="Times New Roman" w:cs="Times New Roman"/>
                <w:color w:val="000000"/>
                <w:sz w:val="21"/>
              </w:rPr>
              <w:t xml:space="preserve">E</w:t>
            </w:r>
            <w:r>
              <w:rPr>
                <w:rFonts w:ascii="FangSong" w:hAnsi="FangSong" w:eastAsia="FangSong" w:cs="FangSong"/>
                <w:color w:val="000000"/>
                <w:sz w:val="21"/>
              </w:rPr>
              <w:t xml:space="preserve">法</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合法性审查应用系统升级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平台应用功能升级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乡镇基层适配升级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乡镇专属审查流程配置、极简操作台、移动端协同。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领导驾驶舱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核心指标整体感知，多维数据分析，区域效能画像，风险预警等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业务督查与统计分析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tabs>
                <w:tab w:val="left" w:pos="9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全流程穿透式督查、深度问题分析、智能报表生成。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智能审查核心功能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智能审查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自动化初审、深度内容审查、审查意见智能生成、版本智能比对（花脸稿）。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辅助录入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非结构化文档解析、关键信息自动提取、渐进式对话补充。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辅助报告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审查日志自动记录、智能工作台账生成。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双模交互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FangSong" w:hAnsi="FangSong" w:eastAsia="FangSong" w:cs="FangSong"/>
                <w:color w:val="000000"/>
                <w:sz w:val="21"/>
              </w:rPr>
              <w:t xml:space="preserve">智能引导对话模式与专业表单工作台模式开发及无缝切换。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系统对接与集成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泰政通对接与消息中心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FangSong" w:hAnsi="FangSong" w:eastAsia="FangSong" w:cs="FangSong"/>
                <w:color w:val="000000"/>
                <w:sz w:val="21"/>
              </w:rPr>
              <w:t xml:space="preserve">泰政通组织架构与用户同步、小程序深度集成。</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FangSong" w:hAnsi="FangSong" w:eastAsia="FangSong" w:cs="FangSong"/>
                <w:color w:val="000000"/>
                <w:sz w:val="21"/>
              </w:rPr>
              <w:t xml:space="preserve">统一身份认证与单点登录（</w:t>
            </w:r>
            <w:r>
              <w:rPr>
                <w:rFonts w:ascii="Times New Roman" w:hAnsi="Times New Roman" w:eastAsia="Times New Roman" w:cs="Times New Roman"/>
                <w:color w:val="000000"/>
                <w:sz w:val="21"/>
              </w:rPr>
              <w:t xml:space="preserve">SSO</w:t>
            </w:r>
            <w:r>
              <w:rPr>
                <w:rFonts w:ascii="FangSong" w:hAnsi="FangSong" w:eastAsia="FangSong" w:cs="FangSong"/>
                <w:color w:val="000000"/>
                <w:sz w:val="21"/>
              </w:rPr>
              <w:t xml:space="preserve">）。</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FangSong" w:hAnsi="FangSong" w:eastAsia="FangSong" w:cs="FangSong"/>
                <w:color w:val="000000"/>
                <w:sz w:val="21"/>
              </w:rPr>
              <w:t xml:space="preserve">消息中心构建、多渠道推送及智能预警提醒机制。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大模型能力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通用大模型基础能力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tokens</w:t>
            </w:r>
            <w:r>
              <w:rPr>
                <w:rFonts w:ascii="FangSong" w:hAnsi="FangSong" w:eastAsia="FangSong" w:cs="FangSong"/>
                <w:color w:val="000000"/>
                <w:sz w:val="21"/>
              </w:rPr>
              <w:t xml:space="preserve">调用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国内领先大模型</w:t>
            </w:r>
            <w:r>
              <w:rPr>
                <w:rFonts w:ascii="Times New Roman" w:hAnsi="Times New Roman" w:eastAsia="Times New Roman" w:cs="Times New Roman"/>
                <w:color w:val="000000"/>
                <w:sz w:val="21"/>
              </w:rPr>
              <w:t xml:space="preserve">API</w:t>
            </w:r>
            <w:r>
              <w:rPr>
                <w:rFonts w:ascii="FangSong" w:hAnsi="FangSong" w:eastAsia="FangSong" w:cs="FangSong"/>
                <w:color w:val="000000"/>
                <w:sz w:val="21"/>
              </w:rPr>
              <w:t xml:space="preserve">政务云专区年度调用服务，含输入</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输出调用额度（</w:t>
            </w:r>
            <w:r>
              <w:rPr>
                <w:rFonts w:ascii="Times New Roman" w:hAnsi="Times New Roman" w:eastAsia="Times New Roman" w:cs="Times New Roman"/>
                <w:color w:val="000000"/>
                <w:sz w:val="21"/>
              </w:rPr>
              <w:t xml:space="preserve">3</w:t>
            </w:r>
            <w:r>
              <w:rPr>
                <w:rFonts w:ascii="FangSong" w:hAnsi="FangSong" w:eastAsia="FangSong" w:cs="FangSong"/>
                <w:color w:val="000000"/>
                <w:sz w:val="21"/>
              </w:rPr>
              <w:t xml:space="preserve">年的费用）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百万</w:t>
            </w:r>
            <w:r>
              <w:rPr>
                <w:rFonts w:ascii="Times New Roman" w:hAnsi="Times New Roman" w:eastAsia="Times New Roman" w:cs="Times New Roman"/>
                <w:color w:val="000000"/>
                <w:sz w:val="21"/>
              </w:rPr>
              <w:t xml:space="preserve">tokens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每次审查输入消耗二十万</w:t>
            </w:r>
            <w:r>
              <w:rPr>
                <w:rFonts w:ascii="Times New Roman" w:hAnsi="Times New Roman" w:eastAsia="Times New Roman" w:cs="Times New Roman"/>
                <w:color w:val="000000"/>
                <w:sz w:val="21"/>
              </w:rPr>
              <w:t xml:space="preserve">tokens</w:t>
            </w:r>
            <w:r>
              <w:rPr>
                <w:rFonts w:ascii="FangSong" w:hAnsi="FangSong" w:eastAsia="FangSong" w:cs="FangSong"/>
                <w:color w:val="000000"/>
                <w:sz w:val="21"/>
              </w:rPr>
              <w:t xml:space="preserve">，输出消耗二百万</w:t>
            </w:r>
            <w:r>
              <w:rPr>
                <w:rFonts w:ascii="Times New Roman" w:hAnsi="Times New Roman" w:eastAsia="Times New Roman" w:cs="Times New Roman"/>
                <w:color w:val="000000"/>
                <w:sz w:val="21"/>
              </w:rPr>
              <w:t xml:space="preserve">tokens</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FangSong" w:hAnsi="FangSong" w:eastAsia="FangSong" w:cs="FangSong"/>
                <w:color w:val="000000"/>
                <w:sz w:val="21"/>
              </w:rPr>
              <w:t xml:space="preserve">底座功能构建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AI</w:t>
            </w:r>
            <w:r>
              <w:rPr>
                <w:rFonts w:ascii="FangSong" w:hAnsi="FangSong" w:eastAsia="FangSong" w:cs="FangSong"/>
                <w:color w:val="000000"/>
                <w:sz w:val="21"/>
              </w:rPr>
              <w:t xml:space="preserve">控制台与安全编排引擎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AI</w:t>
            </w:r>
            <w:r>
              <w:rPr>
                <w:rFonts w:ascii="FangSong" w:hAnsi="FangSong" w:eastAsia="FangSong" w:cs="FangSong"/>
                <w:color w:val="000000"/>
                <w:sz w:val="21"/>
              </w:rPr>
              <w:t xml:space="preserve">控制台建设：多模型配置与路由、模型参数调优与监控、调用额度管控。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API</w:t>
            </w:r>
            <w:r>
              <w:rPr>
                <w:rFonts w:ascii="FangSong" w:hAnsi="FangSong" w:eastAsia="FangSong" w:cs="FangSong"/>
                <w:color w:val="000000"/>
                <w:sz w:val="21"/>
              </w:rPr>
              <w:t xml:space="preserve">密钥管理：密钥安全托管、</w:t>
            </w:r>
            <w:r>
              <w:rPr>
                <w:rFonts w:ascii="Times New Roman" w:hAnsi="Times New Roman" w:eastAsia="Times New Roman" w:cs="Times New Roman"/>
                <w:color w:val="000000"/>
                <w:sz w:val="21"/>
              </w:rPr>
              <w:t xml:space="preserve">URL</w:t>
            </w:r>
            <w:r>
              <w:rPr>
                <w:rFonts w:ascii="FangSong" w:hAnsi="FangSong" w:eastAsia="FangSong" w:cs="FangSong"/>
                <w:color w:val="000000"/>
                <w:sz w:val="21"/>
              </w:rPr>
              <w:t xml:space="preserve">自定义与环境隔离、动态轮换与访问控制。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FangSong" w:hAnsi="FangSong" w:eastAsia="FangSong" w:cs="FangSong"/>
                <w:color w:val="000000"/>
                <w:sz w:val="21"/>
              </w:rPr>
              <w:t xml:space="preserve">敏感词管理与双向拦截：政务敏感词库建设、输入端脱敏拦截、输出端内容过滤。</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rPr>
                <w:rFonts w:ascii="FangSong" w:hAnsi="FangSong" w:eastAsia="FangSong" w:cs="FangSong"/>
                <w:color w:val="000000"/>
                <w:sz w:val="21"/>
              </w:rPr>
              <w:t xml:space="preserve">智能体编排引擎：智能体角色创建、工作流（</w:t>
            </w:r>
            <w:r>
              <w:rPr>
                <w:rFonts w:ascii="Times New Roman" w:hAnsi="Times New Roman" w:eastAsia="Times New Roman" w:cs="Times New Roman"/>
                <w:color w:val="000000"/>
                <w:sz w:val="21"/>
              </w:rPr>
              <w:t xml:space="preserve">Workflow</w:t>
            </w:r>
            <w:r>
              <w:rPr>
                <w:rFonts w:ascii="FangSong" w:hAnsi="FangSong" w:eastAsia="FangSong" w:cs="FangSong"/>
                <w:color w:val="000000"/>
                <w:sz w:val="21"/>
              </w:rPr>
              <w:t xml:space="preserve">）设计。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rPr>
                <w:rFonts w:ascii="FangSong" w:hAnsi="FangSong" w:eastAsia="FangSong" w:cs="FangSong"/>
                <w:color w:val="000000"/>
                <w:sz w:val="21"/>
              </w:rPr>
              <w:t xml:space="preserve">知识库数据权限管理：多层级知识库架构、基于角色的访问控制（</w:t>
            </w:r>
            <w:r>
              <w:rPr>
                <w:rFonts w:ascii="Times New Roman" w:hAnsi="Times New Roman" w:eastAsia="Times New Roman" w:cs="Times New Roman"/>
                <w:color w:val="000000"/>
                <w:sz w:val="21"/>
              </w:rPr>
              <w:t xml:space="preserve">RBAC</w:t>
            </w:r>
            <w:r>
              <w:rPr>
                <w:rFonts w:ascii="FangSong" w:hAnsi="FangSong" w:eastAsia="FangSong" w:cs="FangSong"/>
                <w:color w:val="000000"/>
                <w:sz w:val="21"/>
              </w:rPr>
              <w:t xml:space="preserve">）、文档级与字段级保密控制。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司法大模型能力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司法大模型（</w:t>
            </w:r>
            <w:r>
              <w:rPr>
                <w:rFonts w:ascii="Times New Roman" w:hAnsi="Times New Roman" w:eastAsia="Times New Roman" w:cs="Times New Roman"/>
                <w:color w:val="000000"/>
                <w:sz w:val="21"/>
              </w:rPr>
              <w:t xml:space="preserve">Agent</w:t>
            </w:r>
            <w:r>
              <w:rPr>
                <w:rFonts w:ascii="FangSong" w:hAnsi="FangSong" w:eastAsia="FangSong" w:cs="FangSong"/>
                <w:color w:val="000000"/>
                <w:sz w:val="21"/>
              </w:rPr>
              <w:t xml:space="preserve">）构建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FangSong" w:hAnsi="FangSong" w:eastAsia="FangSong" w:cs="FangSong"/>
                <w:color w:val="000000"/>
                <w:sz w:val="21"/>
              </w:rPr>
              <w:t xml:space="preserve">提示工程：设计专属</w:t>
            </w:r>
            <w:r>
              <w:rPr>
                <w:rFonts w:ascii="Times New Roman" w:hAnsi="Times New Roman" w:eastAsia="Times New Roman" w:cs="Times New Roman"/>
                <w:color w:val="000000"/>
                <w:sz w:val="21"/>
              </w:rPr>
              <w:t xml:space="preserve">Prompt</w:t>
            </w:r>
            <w:r>
              <w:rPr>
                <w:rFonts w:ascii="FangSong" w:hAnsi="FangSong" w:eastAsia="FangSong" w:cs="FangSong"/>
                <w:color w:val="000000"/>
                <w:sz w:val="21"/>
              </w:rPr>
              <w:t xml:space="preserve">引导大模型扮演</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资深法制审核员</w:t>
            </w:r>
            <w:r>
              <w:rPr>
                <w:rFonts w:ascii="Times New Roman" w:hAnsi="Times New Roman" w:eastAsia="Times New Roman" w:cs="Times New Roman"/>
                <w:color w:val="000000"/>
                <w:sz w:val="21"/>
              </w:rPr>
              <w:t xml:space="preserve">”</w:t>
            </w:r>
            <w:r>
              <w:rPr>
                <w:rFonts w:ascii="FangSong" w:hAnsi="FangSong" w:eastAsia="FangSong" w:cs="FangSong"/>
                <w:color w:val="000000"/>
                <w:sz w:val="21"/>
              </w:rPr>
              <w:t xml:space="preserve">。</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FangSong" w:hAnsi="FangSong" w:eastAsia="FangSong" w:cs="FangSong"/>
                <w:color w:val="000000"/>
                <w:sz w:val="21"/>
              </w:rPr>
              <w:t xml:space="preserve">多模态</w:t>
            </w:r>
            <w:r>
              <w:rPr>
                <w:rFonts w:ascii="Times New Roman" w:hAnsi="Times New Roman" w:eastAsia="Times New Roman" w:cs="Times New Roman"/>
                <w:color w:val="000000"/>
                <w:sz w:val="21"/>
              </w:rPr>
              <w:t xml:space="preserve">Agent</w:t>
            </w:r>
            <w:r>
              <w:rPr>
                <w:rFonts w:ascii="FangSong" w:hAnsi="FangSong" w:eastAsia="FangSong" w:cs="FangSong"/>
                <w:color w:val="000000"/>
                <w:sz w:val="21"/>
              </w:rPr>
              <w:t xml:space="preserve">架构：感知层（</w:t>
            </w:r>
            <w:r>
              <w:rPr>
                <w:rFonts w:ascii="Times New Roman" w:hAnsi="Times New Roman" w:eastAsia="Times New Roman" w:cs="Times New Roman"/>
                <w:color w:val="000000"/>
                <w:sz w:val="21"/>
              </w:rPr>
              <w:t xml:space="preserve">OCR</w:t>
            </w:r>
            <w:r>
              <w:rPr>
                <w:rFonts w:ascii="FangSong" w:hAnsi="FangSong" w:eastAsia="FangSong" w:cs="FangSong"/>
                <w:color w:val="000000"/>
                <w:sz w:val="21"/>
              </w:rPr>
              <w:t xml:space="preserve">文档解析转化结构化文本）、思考层（大模型</w:t>
            </w:r>
            <w:r>
              <w:rPr>
                <w:rFonts w:ascii="Times New Roman" w:hAnsi="Times New Roman" w:eastAsia="Times New Roman" w:cs="Times New Roman"/>
                <w:color w:val="000000"/>
                <w:sz w:val="21"/>
              </w:rPr>
              <w:t xml:space="preserve">+RAG</w:t>
            </w:r>
            <w:r>
              <w:rPr>
                <w:rFonts w:ascii="FangSong" w:hAnsi="FangSong" w:eastAsia="FangSong" w:cs="FangSong"/>
                <w:color w:val="000000"/>
                <w:sz w:val="21"/>
              </w:rPr>
              <w:t xml:space="preserve">深度分析识别问题）、行动层（自主调用内部工具）。</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FangSong" w:hAnsi="FangSong" w:eastAsia="FangSong" w:cs="FangSong"/>
                <w:color w:val="000000"/>
                <w:sz w:val="21"/>
              </w:rPr>
              <w:t xml:space="preserve">任务规划与工具调用：自动分解审查任务（材料检查</w:t>
            </w:r>
            <w:r>
              <w:rPr>
                <w:rFonts w:ascii="Times New Roman" w:hAnsi="Times New Roman" w:eastAsia="Times New Roman" w:cs="Times New Roman"/>
                <w:color w:val="000000"/>
                <w:sz w:val="21"/>
              </w:rPr>
              <w:t xml:space="preserve">-&gt;</w:t>
            </w:r>
            <w:r>
              <w:rPr>
                <w:rFonts w:ascii="FangSong" w:hAnsi="FangSong" w:eastAsia="FangSong" w:cs="FangSong"/>
                <w:color w:val="000000"/>
                <w:sz w:val="21"/>
              </w:rPr>
              <w:t xml:space="preserve">主体审查</w:t>
            </w:r>
            <w:r>
              <w:rPr>
                <w:rFonts w:ascii="Times New Roman" w:hAnsi="Times New Roman" w:eastAsia="Times New Roman" w:cs="Times New Roman"/>
                <w:color w:val="000000"/>
                <w:sz w:val="21"/>
              </w:rPr>
              <w:t xml:space="preserve">-&gt;</w:t>
            </w:r>
            <w:r>
              <w:rPr>
                <w:rFonts w:ascii="FangSong" w:hAnsi="FangSong" w:eastAsia="FangSong" w:cs="FangSong"/>
                <w:color w:val="000000"/>
                <w:sz w:val="21"/>
              </w:rPr>
              <w:t xml:space="preserve">内容审查</w:t>
            </w:r>
            <w:r>
              <w:rPr>
                <w:rFonts w:ascii="Times New Roman" w:hAnsi="Times New Roman" w:eastAsia="Times New Roman" w:cs="Times New Roman"/>
                <w:color w:val="000000"/>
                <w:sz w:val="21"/>
              </w:rPr>
              <w:t xml:space="preserve">-&gt;</w:t>
            </w:r>
            <w:r>
              <w:rPr>
                <w:rFonts w:ascii="FangSong" w:hAnsi="FangSong" w:eastAsia="FangSong" w:cs="FangSong"/>
                <w:color w:val="000000"/>
                <w:sz w:val="21"/>
              </w:rPr>
              <w:t xml:space="preserve">程序审查</w:t>
            </w:r>
            <w:r>
              <w:rPr>
                <w:rFonts w:ascii="Times New Roman" w:hAnsi="Times New Roman" w:eastAsia="Times New Roman" w:cs="Times New Roman"/>
                <w:color w:val="000000"/>
                <w:sz w:val="21"/>
              </w:rPr>
              <w:t xml:space="preserve">-&gt;</w:t>
            </w:r>
            <w:r>
              <w:rPr>
                <w:rFonts w:ascii="FangSong" w:hAnsi="FangSong" w:eastAsia="FangSong" w:cs="FangSong"/>
                <w:color w:val="000000"/>
                <w:sz w:val="21"/>
              </w:rPr>
              <w:t xml:space="preserve">意见书生成），动态调用最合适工具。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根据业务需求，构建司法大模型，以及调用工具的开发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法律法规知识库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司法知识库建设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知识库构建与</w:t>
            </w:r>
            <w:r>
              <w:rPr>
                <w:rFonts w:ascii="Times New Roman" w:hAnsi="Times New Roman" w:eastAsia="Times New Roman" w:cs="Times New Roman"/>
                <w:color w:val="000000"/>
                <w:sz w:val="21"/>
              </w:rPr>
              <w:t xml:space="preserve">RAG</w:t>
            </w:r>
            <w:r>
              <w:rPr>
                <w:rFonts w:ascii="FangSong" w:hAnsi="FangSong" w:eastAsia="FangSong" w:cs="FangSong"/>
                <w:color w:val="000000"/>
                <w:sz w:val="21"/>
              </w:rPr>
              <w:t xml:space="preserve">检索增强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rPr>
                <w:rFonts w:ascii="FangSong" w:hAnsi="FangSong" w:eastAsia="FangSong" w:cs="FangSong"/>
                <w:color w:val="000000"/>
                <w:sz w:val="21"/>
              </w:rPr>
              <w:t xml:space="preserve">整合法律法规、规范性文件、审查案例，通过</w:t>
            </w:r>
            <w:r>
              <w:rPr>
                <w:rFonts w:ascii="Times New Roman" w:hAnsi="Times New Roman" w:eastAsia="Times New Roman" w:cs="Times New Roman"/>
                <w:color w:val="000000"/>
                <w:sz w:val="21"/>
              </w:rPr>
              <w:t xml:space="preserve">OCR</w:t>
            </w:r>
            <w:r>
              <w:rPr>
                <w:rFonts w:ascii="FangSong" w:hAnsi="FangSong" w:eastAsia="FangSong" w:cs="FangSong"/>
                <w:color w:val="000000"/>
                <w:sz w:val="21"/>
              </w:rPr>
              <w:t xml:space="preserve">与清洗转化为结构化知识。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rPr>
                <w:rFonts w:ascii="FangSong" w:hAnsi="FangSong" w:eastAsia="FangSong" w:cs="FangSong"/>
                <w:color w:val="000000"/>
                <w:sz w:val="21"/>
              </w:rPr>
              <w:t xml:space="preserve">向量化与</w:t>
            </w:r>
            <w:r>
              <w:rPr>
                <w:rFonts w:ascii="Times New Roman" w:hAnsi="Times New Roman" w:eastAsia="Times New Roman" w:cs="Times New Roman"/>
                <w:color w:val="000000"/>
                <w:sz w:val="21"/>
              </w:rPr>
              <w:t xml:space="preserve">RAG</w:t>
            </w:r>
            <w:r>
              <w:rPr>
                <w:rFonts w:ascii="FangSong" w:hAnsi="FangSong" w:eastAsia="FangSong" w:cs="FangSong"/>
                <w:color w:val="000000"/>
                <w:sz w:val="21"/>
              </w:rPr>
              <w:t xml:space="preserve">技术：采用文本向量化、混合检索（</w:t>
            </w:r>
            <w:r>
              <w:rPr>
                <w:rFonts w:ascii="Times New Roman" w:hAnsi="Times New Roman" w:eastAsia="Times New Roman" w:cs="Times New Roman"/>
                <w:color w:val="000000"/>
                <w:sz w:val="21"/>
              </w:rPr>
              <w:t xml:space="preserve">BM25+</w:t>
            </w:r>
            <w:r>
              <w:rPr>
                <w:rFonts w:ascii="FangSong" w:hAnsi="FangSong" w:eastAsia="FangSong" w:cs="FangSong"/>
                <w:color w:val="000000"/>
                <w:sz w:val="21"/>
              </w:rPr>
              <w:t xml:space="preserve">语义）及上下文增强，为</w:t>
            </w:r>
            <w:r>
              <w:rPr>
                <w:rFonts w:ascii="Times New Roman" w:hAnsi="Times New Roman" w:eastAsia="Times New Roman" w:cs="Times New Roman"/>
                <w:color w:val="000000"/>
                <w:sz w:val="21"/>
              </w:rPr>
              <w:t xml:space="preserve">Agent</w:t>
            </w:r>
            <w:r>
              <w:rPr>
                <w:rFonts w:ascii="FangSong" w:hAnsi="FangSong" w:eastAsia="FangSong" w:cs="FangSong"/>
                <w:color w:val="000000"/>
                <w:sz w:val="21"/>
              </w:rPr>
              <w:t xml:space="preserve">提供精准知识。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rPr>
                <w:rFonts w:ascii="FangSong" w:hAnsi="FangSong" w:eastAsia="FangSong" w:cs="FangSong"/>
                <w:color w:val="000000"/>
                <w:sz w:val="21"/>
              </w:rPr>
              <w:t xml:space="preserve">管理与维护：提供可视化后台，支持手动管理。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需要搭建并训练文本识别小模型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系统培训和驻场服务费用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包含场地、教材、师资及片区下沉指导费用和首年上门驻场费用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总计</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7"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4.5.升级成效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通过全流程线上化实现审查标准统一、节点责任明晰，有效弥补基层人员业务短板；借助</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大模型快速扫描文本、匹配法律法规、识别矛盾缺陷，大幅提升审查效率与精准度；通过三级协同联应用、夯实法治政府建设基层基础的现实需要。</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5.市住建局“智慧住建”政务信息化平台升级（2026）项目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5.1.预期目标</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5.1.1.项目建设目标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填补城市体检功能空白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慧住建”平台开发时城市体检工作尚未部署，未能将相关内容纳入平台建设内容，通过建设城市体检模块，填补“智慧住建”平台在城市体检领域的功能空缺，整合城市体检数据对城市发展状况进行全面深入分析，精准识别城市规划、基础设施、生态环境、公共服务等方面的问题与短板，为城市更新提供科学依据和决策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促进多方协同治理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依托平台信息共享与交流机制，推动政府、社会各界共同参与城市体检工作，加强各方沟通协作，形成工作合力，助力提升城市治理现代化水平，服务城市高质量发展目标。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实现精准识别与降本增效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系统对城区、街区、社区、住房等多维度的全面体检与数据分析，精准识别城市关键问题及优先级；同时整合用户信息、体检台账等基础数据，通过标准化接口、数据脱敏及统一规范，避免重复采集与数据统计难题，节省人力、物力及时间成本。</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5.1.2.项目绩效目标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精准识别城市问题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通过城市体检系统对城市各个维度（城区、街区、社区、住房）的全面体检与数据分析，能够精准识别城市体检中的关键问题和优先级。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数据共享减少重复工作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合了用户信息、组织结构、行政区划等基础数据，以及体检台账、体检指标调研表。各部门和实施主体可以通过接口实时或者每天共享这些数据，包括居民改善意见数据、楼栋及设施空间信息、街区社区信息、体检结果统计数据、问卷调查结果统计数据，通过标准化数据接口、数据脱敏与匿名化、制定统一的数据标准和规范（如格式、命名规则），避免了以往各自为政、重复采集和数据难以统计的情况，节省了大量的人力、物力和时间成本。</w:t>
      </w:r>
      <w:r/>
    </w:p>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5.2.需求分析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5.2.1.业务需求</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5.2.1.1.</w:t>
      </w:r>
      <w:r>
        <w:rPr>
          <w:rFonts w:ascii="FangSong" w:hAnsi="FangSong" w:eastAsia="FangSong" w:cs="FangSong"/>
          <w:color w:val="000000"/>
          <w:sz w:val="28"/>
        </w:rPr>
        <w:t xml:space="preserve">用户分析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本项目主要用户包括公众用户和主管部门用户，主管部门用户可以根据操作权限以及岗位设置情况可以进行数据调阅统计等操作。</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5.2.1.2.</w:t>
      </w:r>
      <w:r>
        <w:rPr>
          <w:rFonts w:ascii="FangSong" w:hAnsi="FangSong" w:eastAsia="FangSong" w:cs="FangSong"/>
          <w:color w:val="000000"/>
          <w:sz w:val="28"/>
        </w:rPr>
        <w:t xml:space="preserve">业务功能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城市体检情况摸底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信息化手段，对城市教育养老资源、楼道安全隐患、垃圾分类等城市基础问题进行大摸底，清晰了解到城市整体体检情况，便于各部门各机构的业务针对性开展。另外采集的数据不属于“本部门面向基层的报表摸底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日常巡检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重点打造日常巡检模块，通过对接</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政务服务热线、数字化城管平台，结合现场采集上报、市民游客在线提交等多渠道，全面归集城市问题信息，经系统智能分析整理后自动生成日常巡检任务，按照职能分工精准下发至各相关部门和板块，实行限时认领、限期办结，形成全流程闭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城市问题调研汇总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打通与城市住户间的最后一公里，以“泰州通”调查问卷等方式汇总城市发展痛点，便于有关部门机构根据优先级针对性解决问题。</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5</w:t>
      </w:r>
      <w:r>
        <w:rPr>
          <w:rFonts w:ascii="KaiTi" w:hAnsi="KaiTi" w:eastAsia="KaiTi" w:cs="KaiTi"/>
          <w:color w:val="000000"/>
          <w:sz w:val="32"/>
        </w:rPr>
        <w:t xml:space="preserve">.2.2.技术需求</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5.2.2.1.</w:t>
      </w:r>
      <w:r>
        <w:rPr>
          <w:rFonts w:ascii="FangSong" w:hAnsi="FangSong" w:eastAsia="FangSong" w:cs="FangSong"/>
          <w:color w:val="000000"/>
          <w:sz w:val="28"/>
        </w:rPr>
        <w:t xml:space="preserve">系统功能需求分析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满足管理员管理体检配置的需求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集成化功能模块为城市发展评估提供数字化支撑，其核心工作台具备可视化统计与便捷操作能力，集中展示指标配置入口、年度任务进度看板及多层级区域问题分布态势。平台支持按自然年创建差异化体检批次，通过城区、街道、社区、住房四级指标配置构建分层管理体系，结合移动端表单优化现场填报流程。管理员可分类创建体检任务，批量下发至指定人员，任务状态随填报进度动态更新，支持审核批注与流程驳回。填报记录管理模块整合现场调研数据与多维进度统计，按街区、社区、住房维度展示填报详情与区域完成率，通过可视化图表呈现各级行政区划工作进展，</w:t>
      </w:r>
      <w:r>
        <w:rPr>
          <w:rFonts w:ascii="FangSong" w:hAnsi="FangSong" w:eastAsia="FangSong" w:cs="FangSong"/>
          <w:color w:val="000000"/>
          <w:sz w:val="28"/>
        </w:rPr>
        <w:t xml:space="preserve">实现城市体检全流程闭环管理与数据决策支持。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满足查看年度体检结果的需求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结果管理模块通过集成台账动态生成、整治建议协同及历史数据融合三大功能，实现从问题发现到整改闭环的全流程管理。系统自动将现场问题转化为标准化台账文档及体检问题清单，清单包含责任区域、整改建议等内容，支持在线预览与一键下载；针对问题清单可结构化填报整治建议，涵盖责任单位、整治类型等关键字段，通过模板批量导入导出简化一线操作；同时支持按城区、街区、社区、住房四层级导入历史体检数据，借助标准化</w:t>
      </w:r>
      <w:r>
        <w:rPr>
          <w:rFonts w:ascii="Times New Roman" w:hAnsi="Times New Roman" w:eastAsia="Times New Roman" w:cs="Times New Roman"/>
          <w:color w:val="000000"/>
          <w:sz w:val="28"/>
        </w:rPr>
        <w:t xml:space="preserve">Excel</w:t>
      </w:r>
      <w:r>
        <w:rPr>
          <w:rFonts w:ascii="FangSong" w:hAnsi="FangSong" w:eastAsia="FangSong" w:cs="FangSong"/>
          <w:color w:val="000000"/>
          <w:sz w:val="28"/>
        </w:rPr>
        <w:t xml:space="preserve">模板实现跨年度问题对比分析，为城市更新决策提供连续性数据支撑。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5</w:t>
      </w: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系统性能需求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5.2.2.2.1.</w:t>
      </w:r>
      <w:r>
        <w:rPr>
          <w:rFonts w:ascii="FangSong" w:hAnsi="FangSong" w:eastAsia="FangSong" w:cs="FangSong"/>
          <w:color w:val="000000"/>
          <w:sz w:val="28"/>
        </w:rPr>
        <w:t xml:space="preserve">稳定性指标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操作简单：操作人员对照简单的使用说明书就可操作，或者略经培训就可方便操作。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系统有效工作时间：≥</w:t>
      </w:r>
      <w:r>
        <w:rPr>
          <w:rFonts w:ascii="Times New Roman" w:hAnsi="Times New Roman" w:eastAsia="Times New Roman" w:cs="Times New Roman"/>
          <w:color w:val="000000"/>
          <w:sz w:val="28"/>
        </w:rPr>
        <w:t xml:space="preserve">99%</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系统故障恢复时间不超过</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小时；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平均年故障时间＜</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当系统处理能力不足时，可通过增加相应的节点和处理能力来实现系统处理能力的动态增长；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数据传输网络畅通、快捷、可扩展。核心网络设备、线路均具有冗余，设备处理能力满足业务需要；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采用通用性好、安全可靠的操作系统以及大型数据库系统，以保证系统良好的性能；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不出现以下情况：无故退出系统；发生系统不可控制的故障提示；因系统故障导致操作系统或机器无法正常操作。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5.2.2.2.2.</w:t>
      </w:r>
      <w:r>
        <w:rPr>
          <w:rFonts w:ascii="FangSong" w:hAnsi="FangSong" w:eastAsia="FangSong" w:cs="FangSong"/>
          <w:color w:val="000000"/>
          <w:sz w:val="28"/>
        </w:rPr>
        <w:t xml:space="preserve">数据服务响应指标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）数据承载能力：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系统能够完成要求的所有功能操作，同时具有良好的运行速度，有较高的数据承载能力。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）运行速度和效率：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平均响应时间：普通业务操作</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秒以内，复杂业务操作</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秒以内。</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普通的统计报表生成时间一般不超过</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秒，需要多重计算的复杂报表和专题图生成时间一般不超过</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秒。</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5</w:t>
      </w:r>
      <w:r>
        <w:rPr>
          <w:rFonts w:ascii="KaiTi" w:hAnsi="KaiTi" w:eastAsia="KaiTi" w:cs="KaiTi"/>
          <w:color w:val="000000"/>
          <w:sz w:val="32"/>
        </w:rPr>
        <w:t xml:space="preserve">.2.3.技术需求分析</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5.2.3.1.</w:t>
      </w:r>
      <w:r>
        <w:rPr>
          <w:rFonts w:ascii="FangSong" w:hAnsi="FangSong" w:eastAsia="FangSong" w:cs="FangSong"/>
          <w:color w:val="000000"/>
          <w:sz w:val="28"/>
        </w:rPr>
        <w:t xml:space="preserve">计算存储性能要求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涉及调研数据系统和管理系统对应数据归集、共享、发布体量大，用户对象涉及广泛，对数据的存储、处理等方面的要求较高，需要提供高可靠性、高可用性、易维护性、易管理性、高扩充性、开放性、先进性、冗余性等方面支持。</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5.2.3.2.</w:t>
      </w:r>
      <w:r>
        <w:rPr>
          <w:rFonts w:ascii="FangSong" w:hAnsi="FangSong" w:eastAsia="FangSong" w:cs="FangSong"/>
          <w:color w:val="000000"/>
          <w:sz w:val="28"/>
        </w:rPr>
        <w:t xml:space="preserve">数据资源质量要求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依照相关的数据库设计和质量控制规定，对文件名称、文件内容、数据内容、元数据结构与内容等进行处理。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）数据完整性检查：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依据数据规定，需要检查数据是否完整、是否存在缺项漏项等情况；对数据时效性进行把控，时效性较低的数据应作为历史数据进行归档。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）数据结构一致性：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整合后的数据与数据库模型设计保持一致，通过数据质量检查模块中的方案检测可完成一致性自动检测。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）数据内容一致性：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整合后的数据内容与整合前的数据内容保持一致，依照相关时间维度的标识进行判别。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）数据安全性要求：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保证数据和隐私安全，在数据失效后，依照相关法律法规要求应建立相应的数据销毁机制，明确销毁方式和销毁要求。同时，遵守全过程可审计原则，建立数据销毁策略和管理制度，明确销毁数据范围和流程，记录数据删除的操作时间、操作人、操作方式、数据内容等相关信息。</w:t>
      </w:r>
      <w:r/>
    </w:p>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5.3.技术方案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5.3.1.总体架构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534025" cy="41052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940243" name=""/>
                        <pic:cNvPicPr>
                          <a:picLocks noChangeAspect="1"/>
                        </pic:cNvPicPr>
                        <pic:nvPr/>
                      </pic:nvPicPr>
                      <pic:blipFill>
                        <a:blip/>
                        <a:stretch/>
                      </pic:blipFill>
                      <pic:spPr bwMode="auto">
                        <a:xfrm>
                          <a:off x="0" y="0"/>
                          <a:ext cx="5534024" cy="4105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5.8pt;height:323.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平台总体结构主要为</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个层次，分别为：设施层、数据层、支撑层、应用层和展示层，同时系统配套安全运维保障体系和规范标准体系。规范标准体系、信息安全运维保障体系贯穿系统各个层次，保证系统建设符合标准，安全可靠。</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（一）展示层：平台主要为政府部门、专业技术人员提供数据服务及信息化产品支撑。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应用层：新建城市体检评估相关的业务应用，包括一屏总览、城市体检业务管理、城市体检指标管理、城市体检数据采集、城市体检分析诊断以及日常巡查闭环管理，同时与外部平台将进行对接获取城市问题信息并生成巡查任务推送至相关部门、板块进行处置。其中移动端接入泰州通，并对专项排查功能进行复用改造，满足城市体检数据采集的要求。</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（三）支撑层：复用泰州市智慧住建政务信息化平台的系统运维管理服务。</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（四）数据层：依托泰州市智慧住建政务信息化平台数据中心的专题库，新建建设城市体检数据库。</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（五）设施层：复用泰州市智慧住建政务信息化平台的网络环境、网络安全建设等。</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5.3.2.主要建设功能</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城市体检评估平台</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阶段工作由城市体检业务管理、指标管理、数据采集、分析诊断四大系统协同支撑。平台建设同步开展跨部门协调和调研、数据核对、数据清洗与治理、接口适配、联调测试等全流程实施工作。由于城市体检指标数量多、涉及部门广，需开展多轮跨部门沟通与现场调研；同时各单位信息化水平与数据质量存在差异，需对采集数据进行标准化处理、去重补全、格式转换与质量校验，完成数据治理后，方可与体检指标精准关联并纳入分析诊断体系，保障平台数据权威、流程规范、运行稳定。</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城市体检业务管理：负责体检业务的核心流程管理，包括体检方案的制定与调整、体检满意度的调查与分析、体检成果的汇总与管理，以及系统的基础设置与配置，为整个体检工作提供坚实的业务支撑。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城市体检指标管理：专注于体检指标的管理与评估，涵盖体检指标的设定、评估标准的制定、指标评估结果的记录与查询，以及体检知识库的建立与维护。这一模块为体检数据的准确性和科学性提供了有力保障。</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城市体检数据采集：负责体检数据的全面采集与审核，包括调查数据的收集、指标数据的审核与确认，以及城市体检数据的统一管理。。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分析诊断：是系统的核心分析模块，负责体检数据的深度挖掘与分析诊断。通过提供指标计算模型，该模块能够对体检数据进行多维度、多层次的分析，为城市体检工作提供科学、准确的诊断结果和决策支持。</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可视化分析</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视化分析模块面向城市体检工作总览展示、过程监管和综合研判需求，依托空间底图、指标数据和调查成果，构建“总体态势可感知、重点问题可定位、分析结果可对比、民意反馈可映射”的综合展示体系，为领导决策、业务调度和成果汇报提供统一展示窗口。</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城市体检数据总览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数据总览重点围绕年度城市体检工作的总体推进情况和阶段性成果，形成集空间展示、数据汇总、指标对比和满意度画像于一体的总览界面，支撑管理人员全面掌握体检实施进展、指标表现情况和重点关注方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w:t>
      </w:r>
      <w:r>
        <w:rPr>
          <w:rFonts w:ascii="Times New Roman" w:hAnsi="Times New Roman" w:eastAsia="Times New Roman" w:cs="Times New Roman"/>
          <w:color w:val="000000"/>
          <w:sz w:val="28"/>
        </w:rPr>
        <w:t xml:space="preserve">3D</w:t>
      </w:r>
      <w:r>
        <w:rPr>
          <w:rFonts w:ascii="FangSong" w:hAnsi="FangSong" w:eastAsia="FangSong" w:cs="FangSong"/>
          <w:color w:val="000000"/>
          <w:sz w:val="28"/>
        </w:rPr>
        <w:t xml:space="preserve">地图</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平台空间底图和三维场景能力，构建城市体检三维展示界面，实现市、区两级联动展示和重点区域联动查看。通过对体检对象、专题要素、区域信息和相关设施的空间关联展示，直观反映城市体检对象分布、区域特征和问题位置，为城市体检成果空间表达和综合研判提供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城市数据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集中展示本年度城市体检工作的总体推进情况，涵盖体检任务数量、体检范围覆盖、参与人员构成、指标体系配置、采集进度和阶段成果等核心信息，形成对年度体检工作的全景式展示。通过对关键业务数据的统一归集和图表化呈现，便于主管部门实时掌握项目实施进度和资源投入情况，提高体检组织调度效率。</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指标优良分布</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城市体检评价结果，对各行政区域优良指标数量进行分类统计、对比展示和排序分析，直观反映不同区域在城市建设、运行和治理方面的相对优势。通过优良指标分布分析，可支撑区域间横向对标、经验提炼和短板识别，为后续分类施策提供依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指标达标情况</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住房、小区（社区）、街区、城区等不同维度，对指标体系达标情况进行综合展示和对比分析，反映各类指标的达标率、未达标项分布及结构差异。通过对重点指标、薄弱指标和连续性未达标指标的展示，支撑管理部门快速识别问题集中领域和重点整治方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社会满意度统计</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居民问卷调查数据进行多维统计分析，形成参与人群性别比例、年龄结构、区域分布、参与规模和满意度评分等民意画像信息。通过将主观评价结果与客观体检结果联动展示，支撑从群众感受角度识别城市问题、校验体检判断、优化治理导向，提升城市体检成果的针对性和社会认同度。</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指标分析</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指标分析模块围绕城市体检指标结果的空间表达和专题研判需求，对各维度指标结果进行集中展示、对比分析和空间诊断，推动体检结果由静态统计向可视化研判转化。</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体检结果可视化</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面向住房维度、小区（社区）维度、街区维度和城区维度的体检指标结果，构建</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地图可视化展示能力，对各指标结果面板、区域排行、问题清单和关联信息进行综合呈现。通过指标结果落图展示和区域对比分析，支撑主管部门从不同空间层级识别城市问题分布特征和差异化短板。</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空间分析</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结合城市体检业务场景，提供热力分析、</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分钟生活圈分析、最短路径分析和设施服务半径覆盖率分析等空间分析能力。通过将指标结果、设施数据和空间对象进行叠加分析，识别公共服务短板区域、问题集聚区域和潜在改善区域，为城市更新、设施补短板和治理资源配置提供空间依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城市体检智能应用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城市体检智能应用模块围绕知识库、数据检索和成果生成需求，构建“知识沉淀—智能查询—智能生成”的辅助应用体系。该模块通过融合城市体检业务数据、政策规范和历史成果，为体检工作提供智能化支撑，提高业务办理效率和成果编制质量。</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体检知识库</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城市体检工作需要，建设城市体检专业知识库，统一汇集国家和地方政策文件、技术指南、指标体系说明、工作方案、历史体检成果等资料，实现知识资源的分类管理、结构化沉淀和持续更新。通过建立统一知识支撑体系，为体检业务办理、指标解释、规则应用和智能场景提供权威依据，保障体检工作口径统一、理解一致。</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智能查询</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体检业务数据和知识资源，提供自然语言驱动的智能查询能力。支持围绕体检进度、指标结果、问题分布、区域对比、统计汇总等内容进行便捷检索和分析，系统自动完成数据识别、条件匹配、结果汇总和展示反馈，降低数据使用门槛，提高业务人员快速获取信息、开展辅助研判的效率。</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城市体检业务管理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业务管理模块是平台运行和城市体检工作组织实施的核心支撑模块，主要负责体检批次组织、任务分发、调查管理、成果归档和基础配置等内容，构建统一、有序、可追溯的业务管理体系，保障城市体检工作按计划推进、按流程实施、按成果留痕。</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体检方案管理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体检方案管理用于支撑年度体检和专项体检的总体组织实施，通过批次建立、任务拆解和区域配置，形成从方案制定到任务落地的业务管理链条，为城市体检工作组织提供统一入口。</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体检批次管理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城市体检批次的新建、调整和全过程管理，可结合年度工作安排和专项任务需要，配置体检范围、实施周期、对象层级和基础属性。通过批次化管理，明确不同年度、不同专题体检工作的边界和组织单元，为分阶段实施、分批次推进提供基础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体检任务分配</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年度任务和专项任务的关联配置、分解下达和过程跟踪，可将体检任务按照业务要求精准分派至责任部门、实施单位和调研人员工作台。通过任务分配与状态跟踪相结合，强化责任传导、过程监督和结果回收，确保各项体检工作落实到位。</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体检区域管理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行政区、街道、社区、小区和楼栋等体检区域进行统一管理，支持维护各层级区域之间的隶属关系，并支持通过标准模板开展批量导入。通过区域管理，建立清晰完整的体检对象范围体系，为任务派发、数据采集、指标统计和成果分析提供统一的空间和组织基础。</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体检满意度调查</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体检满意度调查模块用于支撑城市体检中的公众参与和主观评价工作，通过调查任务管理、问卷配置发布和反馈结果汇总分析，形成规范化的满意度调查业务流程，补充客观数据之外的民意感知信息。</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调查任务列表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各阶段问卷调查任务进行统一管理，支持任务新建、编辑、发布、状态跟踪和归档管理。通过对调查对象、调查周期、调查范围和任务状态的全过程管理，保障满意度调查工作有序组织、过程可控、结果可追溯。</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调查反馈管理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回收的调查数据进行自动汇总和集中管理，支持反馈结果统计、信息提取、成果导出和数据应用。通过对问卷结果的结构化整理和分类分析，为满意度评价、问题识别和成果应用提供可靠的数据基础，减少人工整理工作量。</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调查问卷配置与发布</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问卷模板、题型结构、调查字段和发布方式的灵活配置，可根据不同对象和不同调查主题进行定向发布，并支持二维码生成和多渠道回收。通过统一配置与发布机制，提升问卷组织的规范性、覆盖面和回收效率，满足不同场景下的调查应用需求。</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体检成果管理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体检成果管理模块用于汇聚各年度综合体检成果、阶段性成果和报告类成果，推动体检成果标准化归档和持续积累，为后续查阅调用、对比分析和成果转化提供支撑。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体检成果总览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集中展示各年度综合体检方案、指标体系、实施方案、阶段成果和报告成果等内容，并支持分类汇总和统一管理。通过对成果资料的系统沉淀与归集，形成城市体检成果资产库，便于主管部门开展成果查阅、复用、比对和业务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系统基础设置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城市体检业务系统基础参数、组织架构、岗位权限和通用配置的统一管理能力，对业务运行所需的行政区划、组织单元、角色权限、字典参数等内容进行集中维护。通过系统基础设置，保障平台运行规则清晰、管理边界明确，为业务持续开展提供基础保障。</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城市体检指标管理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城市体检指标管理模块围绕指标体系建设、指标要素维护、表单配置和专题支撑等需求，建立统一、灵活、可持续维护的指标管理体系，保障体检指标可配置、可维护、可追溯、可应用。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体检指标管理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体检指标管理主要面向城区、街道、社区、住房等不同体检维度，建立分类清晰、结构完整的指标组织体系，并与数据采集、评价分析和成果应用相衔接，为不同层级体检评价提供统一支撑。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指标项管理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不同体检维度，对指标项进行统一配置和动态维护，支持指标名称、指标解释、适用层级、数据来源、填报要求和参考口径等内容管理。通过指标项管理，夯实城市体检指标体系基础，保障指标定义统一、采集有据、分析可依。</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指标体系管理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在各指标体系下配置具体指标项，并区分标准指标与特色指标，满足国家、省级要求和本地特色需求并行的体检指标管理要求。通过指标体系方案管理，实现年度体检、专项体检和专题分析场景下的灵活组合与动态调整，增强指标体系的适配性和延展性。</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表单配置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街区、社区、住房等维度，支持配置填报基础信息表头和指标问题项，形成由基础属性、位置要素和指标内容共同组成的结构化表单。支持位置选择、树形选择、单选、多选和填空等配置方式，满足不同体检对象和不同业务场景的采集需要，提升一线填报的规范性和便利性。</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设施管理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体检涉及的各类设施点位、设施名称、设施状态及相关填报信息进行统一配置和维护，实现设施类体检对象与指标项、空间位置和业务数据的关联管理。通过设施管理，支撑设施类数据采集、专题分析和成果展示，提升设施短板识别和空间诊断能力。</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专项体检</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专项体检模块用于支撑围绕重点领域、重点问题和重点区域开展专题化体检工作，通过专项任务配置和专项类型维护，提升城市体检工作的针对性和专题支撑能力。</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专项体检管理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年度专项体检工作进行统一组织和管理，支持专项名称、体检内容、工作内容和实施要求等信息配置。通过专项体检管理，可按需建立专题化工作任务，作用于重点片区、重点设施和重点问题的定向体检与持续跟踪。</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专项体检类型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于配置专项体检下不同专项类型的空间采集对象、图标标识、启用状态、评价标准和调研填写内容。通过对专项体检类型的精细化维护，增强专项采集和专题分析的适配性，为后续专项任务实施和成果应用提供标准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城市体检数据采集管理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城市体检数据采集管理模块主要支撑调查数据归集、现场调研记录管理和填报进度掌握等工作，构建覆盖公众参与数据和一线采集数据的统一管理机制，保障城市体检数据采得全、采得准、采得清。</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调查数据管理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市民问卷填报数据进行分类归集、汇总整理和集中管理，形成城市体检主观评价和意见建议基础数据。通过对问卷数据开展去重、校核和标准化整理，可为满意度分析、公众诉求识别和问题研判提供可靠的数据支撑，增强城市体检工作的公众参与基础。</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调研记录管理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调研记录管理面向体检任务实施过程中的现场填报成果和过程数据，建立进度统计、记录查看和状态跟踪相结合的管理机制，支撑主管部门动态掌握不同区域、不同层级体检工作的开展情况。</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市（县）进度总览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当前项目体检进度进行综合统计展示，重点反映街区、社区、住房三个维度任务完成情况和区域覆盖情况。通过图表化方式展示各区划完成率、未完成量和阶段进展，有助于主管部门开展进度调度、任务督办和资源统筹。</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社区填报总览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列表方式展示社区层级体检填报状态和填报记录，记录内容包括填报人、填报时间、经纬度、具体地址和审核状态等信息。通过社区填报总览，可对社区体检数据采集情况进行筛选、核查和追溯，提升过程监管能力。</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小区填报总览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以小区为单位对填报状态和具体记录进行集中展示，关联所属区域、填报时间、空间位置和填报详情等信息。通过小区填报总览，便于掌握小区层级体检实施情况，及时发现漏报、迟报和异常填报问题。</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住房填报总览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楼栋和住房体检记录，对填报状态、空间位置、填报时间和详细内容进行统一展示。通过住房填报总览，可实现对楼栋层级采集数据的精细化管理，为后续问题台账生成、指标调研表形成和问题清单提取提供基础数据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城市体检数据中心</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数据中心是平台的数据基础能力模块，主要承担体检数据归集、标准治理、质量控制和数据资产沉淀等工作。通过建立统一的数据标准和处理规则，实现多源数据规范入库、统一管理和持续积累，为指标计算、分析诊断和成果应用提供稳定可靠的数据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数据资产管理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城市体检业务需要，建立统一的数据标准、数据模型和数据资产管理机制，对住房、小区（社区）、街区、城区等不同层级数据进行归集、分类和结构化存储。支持对部门共享数据、调查采集数据、空间数据和成果数据进行统一管理，保障数据口径统一、来源清晰、流转可追溯，为跨年度积累和持续分析奠定基础。</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数据质量控制</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数据质量控制模块用于保障城市体检数据的准确性、完整性和可用性，通过数据探查和数据清洗两类能力，建立覆盖空值、重复值、异常值和格式不一致等问题的质量控制机制，提升体检数据治理水平。</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数据探查</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归集数据进行扫描分析，识别空值、重复、异常、缺失和逻辑冲突等质量问题，并提供数据预览、统计汇总和维度分析能力。通过数据探查，提前发现数据问题、掌握数据质量状况，为后续规则配置和清洗治理提供依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数据清洗</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多源数据开展标准化处理和异常过滤，支持修复、过滤两类规则配置，实现数据去重、补全、格式转换、值映射和质量校验。通过数据清洗，将治理合格的数据统一纳入城市体检数据体系，提高数据的一致性和可分析性，支撑后续指标计算和成果输出。</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城市体检分析诊断</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城市体检分析诊断模块围绕“问题识别、成果形成、整治建议生成、支撑治理应用”的业务目标，对体检数据进行规则化分析和结构化输出，推动体检成果由数据汇总向问题清单和治理建议转化。</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分析诊断</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体检分析诊断面向住房、小区（社区）、街区和城区等不同层级体检成果，构建问题台账、调研表、问题清单和整治清单等标准化成果输出机制，形成问题发现、成果沉淀和建议生成的业务闭环。</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问题台账</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存在问题项的住房维度填报记录自动整理形成标准化问题台账，并按照区域层级和空间位置进行分类展示。通过问题台账管理，可实现问题信息集中归集、分层查看和批量导出，为问题核查、任务分派和后续整治提供依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指标调研表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根据现场填报记录自动生成指标调研表，对各类指标采集成果进行结构化沉淀和规范化展示。通过指标调研表，可形成可查、可核、可留存的基础成果资料，为报告编制和后续业务复用提供支撑。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问题清单</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系统调研数据和规则分析结果，自动生成问题清单，并支持按区域、类型和层级进行分类展示、编辑完善和批量导出。问题清单重点反映城市体检发现的突出问题和短板事项，为主管部门开展问题研判和整治安排提供清晰依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整治清单</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问题清单自动形成整治建议列表，支持录入建议内容、整治区域、整治类型、责任单位和备注等信息，并支持模板导入导出。通过整治清单管理，推动体检发现问题与后续整治任务衔接，支撑形成“发现问题—提出建议—推动整改”的业务闭环。</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指标计算模型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指标计算模型模块用于支撑城市体检指标结果形成和空间表达，通过基础计算和空间落图能力，将分散数据转化为可计算、可展示、可比对的分析成果。</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基础计算</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结合不同业务场景灵活配置数据类型、分析范围、口径参数和计算规则，形成面向城市体检指标的基础计算支撑能力。通过统一计算规则和计算过程管理，保障指标结果形成过程规范一致，为评价分析和成果输出提供统一基础。</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空间落图</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指标计算结果、问题识别结果和重点对象信息在空间地图上进行可视化落位和展示，直观反映问题分布、覆盖范围和区域差异。通过空间落图，可增强体检成果的空间表达能力，为综合展示、专题分析和治理决策提供支持。</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日常巡检闭环管理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巡检闭环管理模块面向城市问题动态发现和日常治理协同需求，对接外部问题来源数据和平台内部上报信息，构建“线索归集—任务生成—派单处置—结果反馈”的闭环处置机制，推动城市体检与日常治理协同联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处置任务管理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处置任务管理用于承接问题线索并形成标准化处置任务，支持任务生成、分配、查看和成果导出，实现问题从发现到处置的全过程管理和业务留痕。</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处置任务生成</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对接相关问题来源数据，按照业务规则归集形成待处置任务，并自动关联区域、问题类别和基础信息。通过处置任务生成，可提升问题线索承接效率，推动问题发现及时纳入处置流程。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处置任务分配</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支持将处置任务分派至相应部门或责任单位，并可设置办理时限、提醒规则和处置要求。通过任务分配机制，强化责任落实和时限约束，促进问题处置流程规范流转和闭环办理。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处置任务查看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支持处置人员查看任务详情、办理要求、时限信息和位置情况，便于快速理解任务内容并组织现场或线上处置。通过任务查看和过程反馈，形成处置结果留痕和办理状态跟踪，为业务监管和统计分析提供依据。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导出管理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支持对任务信息、处置进展和工作统计台账进行分类导出，满足业务留痕、过程汇报、考核督办和成果归档需要。通过导出管理，提升日常巡检结果汇总和对外报送效率。</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依托统一移动入口建设，重点支撑一线调研、公众参与和移动巡检等业务场景，实现城市体检业务的移动办理、现场采集和即时反馈。移动端与平台业务数据统一归集、统一管理、统一分析，提升一线作业效率和群众参与便利度。</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首页</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设移动端统一工作台，集中展示任务事项、办理进度、常用功能入口和消息提醒等内容，作为工作人员开展指标采集、专项体检、问卷调查和日常巡检的总入口。通过首页聚合能力，提升移动办公效率和业务协同水平。</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可视化统计</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对体检数据采集情况进行实时汇总和可视化展示，便于移动端用户快速掌握采集规模、完成状态和阶段性进展。通过图表化统计，增强移动端对工作进度和任务态势的感知能力。</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指标调研</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移动端完成城区、街区、社区、住房等不同层级指标填报，并关联房屋底板等基础信息开展现场采集。系统支持文本、图片、位置等多种采集方式，兼顾在线填报、暂存续填和审核反馈需求，提升现场调研的连续性、准确性和规范性。</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专项体检</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支持在专项业务场景下围绕统一空间底图开展不同专项类型的空间采集与属性信息填报。通过移动端专项体检能力，可满足重点区域、重点设施和重点问题的现场化采集需要，提高专项体检实施效率。</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日常巡检</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支持移动端开展日常巡检任务填报、问题上报和处置跟踪，实现巡检事项从现场发现到结果反馈的全过程移动化办理。通过移动端巡检应用，增强问题发现的及时性和处置跟踪的便捷性。</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指标体系查看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支持移动端查看本年度体检项目标准指标、特色指标、指标说明及示范案例等内容，为一线人员开展指标填报、口径理解和业务学习提供参考。通过指标体系查看，可促进体检口径统一和现场作业规范。</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问卷调查</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支持市民通过移动端在线参与满意度问卷填答，便捷提交对住房、小区（社区）、街区和城市整体建设情况的评价与建议。通过移动端问卷调查，可扩大公众参与覆盖面，提高问卷组织效率和民意采集便捷性。</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码上采集</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支持居民通过二维码方式快速上报问题，采集内容可包含现场拍照、自动定位、问题描述和问题类型等信息。通过码上采集，可拓宽城市问题发现渠道，提高问题上报的便捷性、真实性和时效性。</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体检结果查看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体检结果查看模块面向移动端用户提供个人成果和任务成果的回看能力，便于对已形成的调研成果和问题成果进行核对、追踪和留存。</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调研表查看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支持查看当前用户填报任务所形成的调研表成果列表，并可按需查阅具体内容。通过调研表查看，便于个人对采集成果进行核对、补充和业务留存。</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台账查看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支持查看当前用户填报任务形成的体检台账成果列表，并可按需查阅具体文件内容。通过台账查看，便于问题记录追踪、成果复核和后续调用。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我的</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“我的”模块主要用于支撑移动端用户开展个人工作留痕、业务学习和使用反馈，形成围绕个人任务履历和系统的基础支撑能力。</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工作记录</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支持回溯当前用户参与的各维度任务记录、基础信息和指标填报内容，实现个人工作过程查询、留痕管理和复盘总结，为任务核查和绩效管理提供支撑。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体检教学</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提供覆盖移动端各模块及各维度任务填报流程的教学培训内容，包括政策指导、调查规范、指标介绍和操作指引等资料，帮助一线人员快速掌握业务要求和操作方法，提升规范作业水平。</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意见反馈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提供统一的意见反馈入口，用于收集用户在使用过程中的问题建议和改进诉求。通过意见反馈机制，支撑系统持续优化，增强平台实用性和用户体验。</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系统对接</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全面开展需求调研、接口设计开发、数据联调测试、上线部署与运行保障全流程工作。通过梳理各平台对接边界、数据标准与业务流程，完成接口开发、数据适配与格式转换；组织多方联调联试，确保数据传输准确、业务交互顺畅；最终实现统一身份认证、数据互通共享、问题线索归集、处置结果闭环，为城市体检全流程业务提供稳定高效的系统支撑。</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与泰州市智慧住建政务信息化平台对接</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实现与泰州市智慧住建政务信息化平台的深度对接，建立统一身份认证机制；同时完成业务数据标准化对接，推动数据资源共享共用、业务协同联动。</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与泰州通对接</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实现与泰州通平台的深度对接，建立统一身份认证机制，并在泰州通上线问卷调查及指标数据采集。面向公众提供便捷的问卷填报入口，面向管理人员开放指标数据采集与上报功能，实现数据采集全流程线上化。</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与泰州市孪生城市数字底座平台对接</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实现与泰州市孪生城市数字底座平台的互联互通，将城市体检的相关数据统一推送至底座平台，并保障数据实时汇聚、动态更新。</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政务服务热线、数字化城管平台对接</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政务服务热线、数字化城管平台进行对接，全面归集城市问题信息，为后续生成巡检任务提供数据支撑，同时将问题处置结果反馈至原平台形成闭环。</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5.3.3.与市级基础平台关联关系</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5</w:t>
      </w:r>
      <w:r>
        <w:rPr>
          <w:rFonts w:ascii="Times New Roman" w:hAnsi="Times New Roman" w:eastAsia="Times New Roman" w:cs="Times New Roman"/>
          <w:color w:val="000000"/>
          <w:sz w:val="28"/>
        </w:rPr>
        <w:t xml:space="preserve">.3.3.1.</w:t>
      </w:r>
      <w:r>
        <w:rPr>
          <w:rFonts w:ascii="FangSong" w:hAnsi="FangSong" w:eastAsia="FangSong" w:cs="FangSong"/>
          <w:color w:val="000000"/>
          <w:sz w:val="28"/>
        </w:rPr>
        <w:t xml:space="preserve">与泰州市智慧住建政务信息化平台的关系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项目是依托在泰州市智慧住建政务信息化平台现有功能基础上建设，等保、密评等可纳入泰州市智慧住建政务信息化平台统一建设。城市体检模块与智慧住建打通用户体系，充分利用现有的基础数据及系统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泰州市智慧住建政务信息化平台开发时城市体检工作尚未部署，未能将相关内容纳入平台建设内容，此次项目的建设，将填补泰州市智慧住建政务信息化平台在该领域的空缺。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作为泰州市智慧住建政务信息化平台的模块，需要满足泰州市智慧住建政务信息化平台根据市数据局的归集要求，进行数据归集，归集内容包括数据资源名称、数据资源格式分类、归集方式和周期、共享类型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可以归集数据如下：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5"/>
        <w:gridCol w:w="995"/>
        <w:gridCol w:w="995"/>
        <w:gridCol w:w="995"/>
        <w:gridCol w:w="995"/>
        <w:gridCol w:w="995"/>
        <w:gridCol w:w="995"/>
        <w:gridCol w:w="995"/>
        <w:gridCol w:w="995"/>
      </w:tblGrid>
      <w:tr>
        <w:trPr/>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数据资源名称</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数据资源提供部门</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数据资源描述</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数据资源格式分类</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所属业务信息系统名称</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归集方式和周期</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共享类型</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开放类型</w:t>
            </w:r>
            <w:r/>
          </w:p>
        </w:tc>
        <w:tc>
          <w:tcPr>
            <w:shd w:val="clear" w:color="7f7f7f" w:fill="7f7f7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其他说明</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体检现场指标调研记录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住建局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移动端自采集现场调研数据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结构化数据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共享平台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归集方式：前置机交换；</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归集周期：每天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有条件共享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有条件开放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街区、社区、楼栋信息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住建局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移动端采集调研数据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结构化数据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共享平台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归集方式：前置机交换；</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归集周期：每天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有条件共享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有条件开放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楼栋及设施空间数据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住建局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移动端采集空间数据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结构化数据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共享平台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归集方式：前置机交换；</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归集周期：每天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有条件共享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有条件开放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体检结果统计数据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住建局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体检结果数据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结构化数据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共享平台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归集方式：前置机交换；</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归集周期：每天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有条件共享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有条件开放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5</w:t>
      </w:r>
      <w:r>
        <w:rPr>
          <w:rFonts w:ascii="Times New Roman" w:hAnsi="Times New Roman" w:eastAsia="Times New Roman" w:cs="Times New Roman"/>
          <w:color w:val="000000"/>
          <w:sz w:val="28"/>
        </w:rPr>
        <w:t xml:space="preserve">.3.3.2.</w:t>
      </w:r>
      <w:r>
        <w:rPr>
          <w:rFonts w:ascii="FangSong" w:hAnsi="FangSong" w:eastAsia="FangSong" w:cs="FangSong"/>
          <w:color w:val="000000"/>
          <w:sz w:val="28"/>
        </w:rPr>
        <w:t xml:space="preserve">与数字泰州底座和公共能力的关系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通过平台建设，有利于提升泰州市城市治理的综合水平。平台建设将充分利用政务云资源，与泰州市城市数字平台进一步对接，充分利用泰州市城市数字平台中的统一身份认证等功能所提供的服务。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）充分利用政务云基础设施能力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平台部署于政务云，充分利用政务云提供的基础设施能力，为应用系统提供底层的运行环境。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）充分利用泰州市城市数字平台共性服务能力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城市数字平台提供数据汇聚、存储、共享交换及可视化引擎等共性服务资源和能力，充分利用数字平台共性能力，避免重复建设，针对所需个性化支撑能力，建设完成后统一纳入公共能力，便于统一管理和能力共享。</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5.3.4.数据供需</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5.3.4.1.</w:t>
      </w:r>
      <w:r>
        <w:rPr>
          <w:rFonts w:ascii="FangSong" w:hAnsi="FangSong" w:eastAsia="FangSong" w:cs="FangSong"/>
          <w:color w:val="000000"/>
          <w:sz w:val="28"/>
        </w:rPr>
        <w:t xml:space="preserve">数据需求分析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城市体检涉及住房、小区（社区）、街区、城区四个维度，共一百项指标，数据来源广泛，涉及多个部门。本项目数据需求分为部门共享数据、现场采集数据和居民反馈数据三类。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门共享数据优先通过部门资料移交或接口汇聚方式获取，减少重复采集。房屋安全数据来源于住建局相关处室，通过批量导入或接口方式获取，涵盖房屋结构安全排查信息和危房鉴定报告。燃气安全数据来源于住建局或燃气公司，通过批量导入方式获取，涵盖燃气管网及立管安全隐患信息。市政管网数据来源于住建局及相关部门，通过批量导入或接口方式获取，涵盖供水、排水、供热、供电、通信等管线数据。城市管理数据来源于数字化城管平台，通过接口对接方式获取，涵盖数字城管事件和问题处置记录。民生诉求数据来源于</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政务服务热线，通过接口对接方式获取，涵盖热线工单和群众反映问题。设施台账数据来源于民政、卫健、教育等部门，通过批量导入方式获取，涵盖养老、托育、教育、医疗等公共服务设施台账。交通数据来源于交通局和公安交管部门，通过批量导入方式获取，涵盖道路设施、停车泊位、公共交通站点等信息。统计数据来源于统计局，通过批量导入方式获取，涵盖人口、经济、用地等基础统计数据。空间底图数据来源于孪生城市数字底座，通过接口对接方式获取，涵盖行政区划、社区边界、小区边界和</w:t>
      </w:r>
      <w:r>
        <w:rPr>
          <w:rFonts w:ascii="Times New Roman" w:hAnsi="Times New Roman" w:eastAsia="Times New Roman" w:cs="Times New Roman"/>
          <w:color w:val="000000"/>
          <w:sz w:val="28"/>
        </w:rPr>
        <w:t xml:space="preserve">CIM</w:t>
      </w:r>
      <w:r>
        <w:rPr>
          <w:rFonts w:ascii="FangSong" w:hAnsi="FangSong" w:eastAsia="FangSong" w:cs="FangSong"/>
          <w:color w:val="000000"/>
          <w:sz w:val="28"/>
        </w:rPr>
        <w:t xml:space="preserve">数据。历史体检成果来源于住建局和设计院，通过批量导入方式获取，涵盖上一年度体检报告、指标结果和问题清单。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现场采集数据针对无法从部门获取或需要现场核实的数据，通过移动端和</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进行采集。住房维度采集楼道安全隐患、围护安全、管线管道、适老化改造需求等内容，由社区和网格员通过移动端填报。小区（社区）维度采集公共活动场地、步行道、垃圾分类、物业管理等内容，由社区和物业通过移动端填报。街区维度采集乱停乱放、老旧商业街区、老旧厂区等内容，由街道和第三方通过移动端填报。设施点位核实通过移动端定位和拍照方式，由网格员确认设施空间位置和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居民反馈数据通过问卷调查和码上采集获取居民主观评价和问题上报。满意度问卷通过泰州通在线问卷方式，由市民填答对住房、社区、街区的满意度评价。问题上报通过码上采集二维码方式，由市民反映城市问题并附带照片、定位和描述。</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5.3.4.2.</w:t>
      </w:r>
      <w:r>
        <w:rPr>
          <w:rFonts w:ascii="FangSong" w:hAnsi="FangSong" w:eastAsia="FangSong" w:cs="FangSong"/>
          <w:color w:val="000000"/>
          <w:sz w:val="28"/>
        </w:rPr>
        <w:t xml:space="preserve">数据供给分析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本系统归集整合后，面向泰州市智慧住建平台、泰州市孪生城市数字底座、泰州市数据局和城市更新项目库等平台和部门提供数据服务。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向泰州市智慧住建平台供给体检指标结果、问题台账、整治清单和成果数据，通过前置机交换方式，按每天周期更新。向泰州市孪生城市数字底座供给体检空间数据、设施点位、专题图层和指标结果，通过接口推送方式，按每天周期更新。向泰州市数据局归集体检现场指标调研记录、街区社区楼栋信息、楼栋及设施空间数据、体检结果统计数据，通过前置机交换方式，按每天周期更新。向城市更新项目库供给问题清单、整治建议清单和项目转化建议，通过批量导出方式，按需周期更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按照《泰州市政务数据资源共享管理暂行办法》要求，制定统一的数据标准和规范。数据格式标准方面，结构化数据采用</w:t>
      </w:r>
      <w:r>
        <w:rPr>
          <w:rFonts w:ascii="Times New Roman" w:hAnsi="Times New Roman" w:eastAsia="Times New Roman" w:cs="Times New Roman"/>
          <w:color w:val="000000"/>
          <w:sz w:val="28"/>
        </w:rPr>
        <w:t xml:space="preserve">JSON</w:t>
      </w:r>
      <w:r>
        <w:rPr>
          <w:rFonts w:ascii="FangSong" w:hAnsi="FangSong" w:eastAsia="FangSong" w:cs="FangSong"/>
          <w:color w:val="000000"/>
          <w:sz w:val="28"/>
        </w:rPr>
        <w:t xml:space="preserve">或</w:t>
      </w:r>
      <w:r>
        <w:rPr>
          <w:rFonts w:ascii="Times New Roman" w:hAnsi="Times New Roman" w:eastAsia="Times New Roman" w:cs="Times New Roman"/>
          <w:color w:val="000000"/>
          <w:sz w:val="28"/>
        </w:rPr>
        <w:t xml:space="preserve">XML</w:t>
      </w:r>
      <w:r>
        <w:rPr>
          <w:rFonts w:ascii="FangSong" w:hAnsi="FangSong" w:eastAsia="FangSong" w:cs="FangSong"/>
          <w:color w:val="000000"/>
          <w:sz w:val="28"/>
        </w:rPr>
        <w:t xml:space="preserve">格式，非结构化数据采用统一编码规则。数据命名规范方面，统一字段命名规则，确保跨系统数据可识别。数据脱敏规则方面，涉及姓名、手机号、身份证号等个人信息须脱敏处理后共享。接口规范方面，采用</w:t>
      </w:r>
      <w:r>
        <w:rPr>
          <w:rFonts w:ascii="Times New Roman" w:hAnsi="Times New Roman" w:eastAsia="Times New Roman" w:cs="Times New Roman"/>
          <w:color w:val="000000"/>
          <w:sz w:val="28"/>
        </w:rPr>
        <w:t xml:space="preserve">RESTful API</w:t>
      </w:r>
      <w:r>
        <w:rPr>
          <w:rFonts w:ascii="FangSong" w:hAnsi="FangSong" w:eastAsia="FangSong" w:cs="FangSong"/>
          <w:color w:val="000000"/>
          <w:sz w:val="28"/>
        </w:rPr>
        <w:t xml:space="preserve">标准接口，支持</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加密传输。更新频率方面，体检采集期间每天同步，非采集期按需同步。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市数据局归集要求，项目需归集四类数据。体检现场指标调研记录为移动端自采集现场调研数据，属结构化数据，通过前置机交换方式每天归集，为有条件共享且有条件开放类型。街区、社区、楼栋信息为移动端采集调研数据，属结构化数据，通过前置机交换方式每天归集，为有条件共享且有条件开放类型。楼栋及设施空间数据为移动端采集空间数据，属结构化数据，通过前置机交换方式每天归集，为有条件共享且有条件开放类型。体检结果统计数据为体检结果数据，属结构化数据，通过前置机交换方式每天归集，为有条件共享且有条件开放类型。</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5.3.4.3.</w:t>
      </w:r>
      <w:r>
        <w:rPr>
          <w:rFonts w:ascii="FangSong" w:hAnsi="FangSong" w:eastAsia="FangSong" w:cs="FangSong"/>
          <w:color w:val="000000"/>
          <w:sz w:val="28"/>
        </w:rPr>
        <w:t xml:space="preserve">数据流向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数据流向分为数据来源层、数据治理层和数据供给层三个环节。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在数据来源层，部门共享数据包括房屋安全数据、市政管网数据、设施台账数据、统计数据等，现场采集数据包括移动端填报和定位拍照数据，居民反馈数据包括问卷调查和码上采集数据。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在数据治理层，各类数据统一汇入城市体检数据中心，经过数据探查识别空值、重复、异常等质量问题，再通过数据清洗完成标准化处理、去重、补全、格式转换和质量校验，最后进行标准化入库和空间落图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在数据供给层，治理完成的数据分别供给至智慧住建平台（成果数据）、孪生城市数字底座（空间数据）、市数据局（归集数据）和城市更新项目库（问题清单和整治清单）。</w:t>
      </w:r>
      <w:r/>
    </w:p>
    <w:p>
      <w:pPr>
        <w:ind w:left="0" w:right="0" w:firstLine="6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5.3.5.信息安全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应用安全建设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体检模块重点加强信息安全建设，丰富安全防护技术手段，将互联网接入线路独立为互联网接入区域，业务系统及数据库均部署在独立政务内网区域，通过光闸安全设备映射对外服务，便于后续对互联网接入区域进行统一的安全建设和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在互联网接入区域，根据国家信息安全等级保护建设的要求，统筹规划无线网络的接入建设，设置入侵防御系统和防火墙保障互联网接入安全。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入侵防御系统。互联网接入边界处端口扫描、强力攻击、木马后门攻击、拒绝服务攻击、缓冲区溢出攻击、</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碎片攻击和网络蠕虫等攻击行为的实时检测和拦截。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防火墙。网络边界安全隔离，互联网接入边界处细粒度的访问控制，阻止来自互联网的扫描及恶意攻击。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隐私数据加密。对城市体检数据库中的关系数据，包括姓名、手机号以及日志数据进行加密方式存储，防止数据泄露。</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数据密级分级。对相关数据库中的数据进行保密分级，实现对保密性要求高的数据的查询、浏览和展现等行为的严格控制。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前置库安全保密。采用前置共享库的信息共享方式，定时清理共享库中已被抓取走的数据，以确保数据不会泄露，同时，将前置机部署在安全防护体系内，保障前置机整体安全。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制定严格的数据库备份及恢复机制。冷备份和热备份结合，全库备份与增量备份结合，同时定期对备份的数据进行恢复演练，确保备份数据的可恢复性。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数据保密机制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管理和使用的数据存在部分涉密数据，因此在项目建设过程中，需要建立数据保密机制，以保障数据的安全。数据的安全主要包括存储的安全和数据外泄的安全，对于存储的安全，项目设计了数据安全备份模块实现数据的备份与恢复方案。对于外泄的安全，通过建立安全保密机制来保障，主要包括设施的安全措施和信息保密措施两个主要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设施安全措施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设施安全措施主要包括软、硬件、网络及工作场所的安全。从以下方面进行保障。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提高环境安全意识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建立完善的安全工作管理规定，并向项目所有成员进行针对性地培训，使所有项目成员具备工作环境安全意识。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安全作业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离开办公场地时关闭所有电脑，同时关闭总电源开关。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使电脑、电源开关等远离水杯等液体物体。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信息保密措施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拟建项目涉及数据众多，部分数据涉密涉敏，需严格遵循保密制度，针对信息保密工作主要从以下几个方面进行保障：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提高安全保密意识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建设单位对原始资料、数据成果的具体要求，制定相应的措施，组织所有参与项目的人员学习有关文件精神，提高安全保密意识。对接触涉密资料和数据的人员重点进行保密教育；负责保密的资料管理人员必须掌握有关保密规定，忠于职守；参与人员应对数据进行全程保密，项目原始资料、项目中间成果和最终成果，严格遵循保密要求，不得以口头、书面等任何方式对外提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明确安全保密职责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配置安全管理人员负责保证作业设备之间数据的流动只能在局域网内部互相进行，同时封闭无关设备的</w:t>
      </w:r>
      <w:r>
        <w:rPr>
          <w:rFonts w:ascii="Times New Roman" w:hAnsi="Times New Roman" w:eastAsia="Times New Roman" w:cs="Times New Roman"/>
          <w:color w:val="000000"/>
          <w:sz w:val="28"/>
        </w:rPr>
        <w:t xml:space="preserve">USB</w:t>
      </w:r>
      <w:r>
        <w:rPr>
          <w:rFonts w:ascii="FangSong" w:hAnsi="FangSong" w:eastAsia="FangSong" w:cs="FangSong"/>
          <w:color w:val="000000"/>
          <w:sz w:val="28"/>
        </w:rPr>
        <w:t xml:space="preserve">接口，避免作业人员与外界交换数据；且由配置管理人员负责本项目原始数据、辅助资料和成果的保密管理工作。作业人员要严格遵守安全保密规章制度，禁止作业中的违章行为，杜绝各种事故，保证作业顺利进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资料（成果）管理措施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根据项目组织有关要求，结合项目的实际工作，更加严格地执行资料接收、保管、使用和销毁制度。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接收和整理。项目组织实施单位下发任务书和原始资料后，资料管理组派专人第一时间对资料进行一次全面的检查，包括数量、质量和类型等，按照资料类型进行合理的分类整理，做好详细记录，并签字备案。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保管。对存放保密资料和数据的场所和设施，采用相应的安全防范，务必确保资料的安全妥善保管，不得损坏、遗失、转借第三者、挪作他用等。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使用。为确保资料的保密性和安全使用，对于不同人员，只能得到和使用所负责区域的部分原始数据，不得留存、转借第三者、挪作他用。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安全合规和密码应用建设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在设计和建设阶段充分考虑网络安全等级保护、商用密码应用安全性评估以及政务信息化安全管理要求，按照“同步规划、同步建设、同步运行、同步整改”的原则，将安全防护、密码应用、数据保护、访问控制、日志审计等能力纳入系统整体架构设计，确保平台具备支撑等保测评和密评工作的基础条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在等级保护方面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建设纳入泰州市智慧住建政务信息化平台统一安全体系，结合系统服务范围、数据敏感程度和业务影响范围开展分级分类管理。市级平台及主要接入业务系统原则上按照网络安全等级保护三级要求进行安全建设和测评，县级应用系统根据实际业务属性和主管部门要求，可按照二级或三级要求开展建设。接入系统普遍按照三级防护要求进行安全加固，并按年度组织等级保护测评、问题整改和复测闭环，保障平台持续符合等保合规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在密码应用方面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平台按照商用密码应用安全性评估要求，综合采用国产密码算法和密码产品，围绕身份鉴别、访问控制、数据传输、数据存储、日志审计、接口调用等关键环节开展密码应用设计。系统支持国密算法体系，包括</w:t>
      </w:r>
      <w:r>
        <w:rPr>
          <w:rFonts w:ascii="Times New Roman" w:hAnsi="Times New Roman" w:eastAsia="Times New Roman" w:cs="Times New Roman"/>
          <w:color w:val="000000"/>
          <w:sz w:val="28"/>
        </w:rPr>
        <w:t xml:space="preserve">SM2</w:t>
      </w:r>
      <w:r>
        <w:rPr>
          <w:rFonts w:ascii="FangSong" w:hAnsi="FangSong" w:eastAsia="FangSong" w:cs="FangSong"/>
          <w:color w:val="000000"/>
          <w:sz w:val="28"/>
        </w:rPr>
        <w:t xml:space="preserve">非对称加密算法、</w:t>
      </w:r>
      <w:r>
        <w:rPr>
          <w:rFonts w:ascii="Times New Roman" w:hAnsi="Times New Roman" w:eastAsia="Times New Roman" w:cs="Times New Roman"/>
          <w:color w:val="000000"/>
          <w:sz w:val="28"/>
        </w:rPr>
        <w:t xml:space="preserve">SM3</w:t>
      </w:r>
      <w:r>
        <w:rPr>
          <w:rFonts w:ascii="FangSong" w:hAnsi="FangSong" w:eastAsia="FangSong" w:cs="FangSong"/>
          <w:color w:val="000000"/>
          <w:sz w:val="28"/>
        </w:rPr>
        <w:t xml:space="preserve">密码杂凑算法、</w:t>
      </w:r>
      <w:r>
        <w:rPr>
          <w:rFonts w:ascii="Times New Roman" w:hAnsi="Times New Roman" w:eastAsia="Times New Roman" w:cs="Times New Roman"/>
          <w:color w:val="000000"/>
          <w:sz w:val="28"/>
        </w:rPr>
        <w:t xml:space="preserve">SM4</w:t>
      </w:r>
      <w:r>
        <w:rPr>
          <w:rFonts w:ascii="FangSong" w:hAnsi="FangSong" w:eastAsia="FangSong" w:cs="FangSong"/>
          <w:color w:val="000000"/>
          <w:sz w:val="28"/>
        </w:rPr>
        <w:t xml:space="preserve">对称加密算法等，逐步实现网络通信加密、重要数据加密存储、接口数据签名验签、用户身份认证、操作行为完整性保护等能力，确保密码应用覆盖网络、系统、应用和数据等关键层面。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后续将配合智慧住建平台统一开展等保测评、密评评估、备案管理及安全整改工作，形成“建设前规划、上线前测评、运行中监测、年度复评、问题闭环整改”的安全合规管理机制，确保系统具备通过网络安全等级保护测评和商用密码应用安全性评估的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网络安全等级保护方案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本项目网络安全等级保护纳入泰州市智慧住建政务信息化平台统一建设。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信创适配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本项目信创适配按照智慧住建平台工作计划推进，最终实现国产化服务器环境、国产化操作系统、国产化数据库、国产化文字处理软件以及中间件的全面适配。</w:t>
      </w:r>
      <w:r/>
    </w:p>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5.4.服务预算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2"/>
        <w:gridCol w:w="1198"/>
        <w:gridCol w:w="1147"/>
        <w:gridCol w:w="3851"/>
        <w:gridCol w:w="1174"/>
      </w:tblGrid>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一级模块</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二级模块</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三级模块</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功能简述</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金额（万元）</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可视化分析</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城市体检数据总览</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w:t>
            </w:r>
            <w:r>
              <w:rPr>
                <w:rFonts w:ascii="Times New Roman" w:hAnsi="Times New Roman" w:eastAsia="Times New Roman" w:cs="Times New Roman"/>
                <w:color w:val="000000"/>
                <w:sz w:val="24"/>
              </w:rPr>
              <w:t xml:space="preserve">3D</w:t>
            </w:r>
            <w:r>
              <w:rPr>
                <w:rFonts w:ascii="FangSong" w:hAnsi="FangSong" w:eastAsia="FangSong" w:cs="FangSong"/>
                <w:color w:val="000000"/>
                <w:sz w:val="24"/>
              </w:rPr>
              <w:t xml:space="preserve">地图</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基于中央</w:t>
            </w:r>
            <w:r>
              <w:rPr>
                <w:rFonts w:ascii="Times New Roman" w:hAnsi="Times New Roman" w:eastAsia="Times New Roman" w:cs="Times New Roman"/>
                <w:color w:val="000000"/>
                <w:sz w:val="24"/>
              </w:rPr>
              <w:t xml:space="preserve">3D</w:t>
            </w:r>
            <w:r>
              <w:rPr>
                <w:rFonts w:ascii="FangSong" w:hAnsi="FangSong" w:eastAsia="FangSong" w:cs="FangSong"/>
                <w:color w:val="000000"/>
                <w:sz w:val="24"/>
              </w:rPr>
              <w:t xml:space="preserve">城市地图，以立体地图模型实现市、区两级联动展示场景，实现体检对象、专题要素与区域信息的统一浏览、关联查看和直观呈现，提升城市体检空间表达与综合研判效率。</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城市数据</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集中展示本年度城市体检工作的总体推进情况，涵盖任务进度、空间覆盖范围、参与人员构成、指标体系配置等核心信息，为项目统筹管理和阶段性成效掌握提供总览支撑。</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指标优良分布</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对城市体检结果中各行政区优良指标数量进行分类汇总、对比展示和排名分析，直观反映各区域指标表现水平，为横向比较和精准提升提供依据。</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指标达标情况</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围绕住房、小区（社区）、街区、城区等不同维度，对指标体系达标情况进行综合呈现与对比分析，辅助快速识别薄弱环节、结构差异及重点改进方向。</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社会满意度统计</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对居民问卷调查数据进行多维统计分析，形成性别比例、年龄结构、参与规模、区域分布、满意度评分等画像信息，为民意研判、问题识别和决策支撑提供参考。</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指标分析</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体检结果可视化</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呈现住房维度、小区（社区）维度、街区维度、城区维度的指标结果，以</w:t>
            </w: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地图可视化的形式查看每个指标的体检结果面板及区域排行、问题清单等数据。</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空间分析</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w:t>
            </w: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一张图上进行热力图分析、</w:t>
            </w:r>
            <w:r>
              <w:rPr>
                <w:rFonts w:ascii="Times New Roman" w:hAnsi="Times New Roman" w:eastAsia="Times New Roman" w:cs="Times New Roman"/>
                <w:color w:val="000000"/>
                <w:sz w:val="24"/>
              </w:rPr>
              <w:t xml:space="preserve">15</w:t>
            </w:r>
            <w:r>
              <w:rPr>
                <w:rFonts w:ascii="FangSong" w:hAnsi="FangSong" w:eastAsia="FangSong" w:cs="FangSong"/>
                <w:color w:val="000000"/>
                <w:sz w:val="24"/>
              </w:rPr>
              <w:t xml:space="preserve">分钟生活圈、最短路径分析、设施半径覆盖率分析等空间分析功能，利用</w:t>
            </w: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的空间分析能力对城市进行</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体检诊断</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AI+</w:t>
            </w:r>
            <w:r>
              <w:rPr>
                <w:rFonts w:ascii="FangSong" w:hAnsi="FangSong" w:eastAsia="FangSong" w:cs="FangSong"/>
                <w:color w:val="000000"/>
                <w:sz w:val="24"/>
              </w:rPr>
              <w:t xml:space="preserve">城市体检智能应用</w:t>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体检知识库</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围绕城市体检工作需要，构建城市体检专业知识库，统一汇集国家和地方政策文件、技术指南、指标体系说明、工作方案以及历史体检成果等资料，实现体检知识的结构化管理和持续更新。向量化知识库内容，可快速检索定位。</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智能查询</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支持用户通过自然语言方式对体检数据进行查询和统计分析。系统自动完成</w:t>
            </w:r>
            <w:r>
              <w:rPr>
                <w:rFonts w:ascii="Times New Roman" w:hAnsi="Times New Roman" w:eastAsia="Times New Roman" w:cs="Times New Roman"/>
                <w:color w:val="000000"/>
                <w:sz w:val="24"/>
              </w:rPr>
              <w:t xml:space="preserve">Text-to-SQL</w:t>
            </w:r>
            <w:r>
              <w:rPr>
                <w:rFonts w:ascii="FangSong" w:hAnsi="FangSong" w:eastAsia="FangSong" w:cs="FangSong"/>
                <w:color w:val="000000"/>
                <w:sz w:val="24"/>
              </w:rPr>
              <w:t xml:space="preserve">转换并进行数据检索、统计计算和结果汇总，并以图表或文字方式进行反馈。支持查询结果导出</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城市体检业务管理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体检方案管理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体检批次管理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支持体检批次的新建、调整与全过程管理，可结合年度任务需要配置体检范围、实施周期和基础属性，为分阶段组织实施提供统一管理入口。</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体检任务分配</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支持年度任务或专项任务的关联配置与分发管理，可按业务要求将任务精准下达至相应调研人员工作台，强化任务落实、过程跟踪和责任传导。</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体检区域管理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管理体检区域，包括行政区、街道、社区及小区范围管理。可自定义添加社区的下辖小区、小区的下辖楼栋，可通过模板批量导入。</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体检满意度调查</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调查任务列表</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对各阶段问卷调查任务进行统一管理，支持任务新建、编辑、发布及状态跟踪，保障满意度调查工作有序推进和全过程可控。</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调查反馈管理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对调查回收数据进行自动汇总和集中管理，支持结果分析、信息提取、成果导出等处理，为问卷数据应用和调查成效评估提供支撑。</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调查问卷配置与发布</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支持问卷模板、题型结构等内容的灵活配置，实现问卷定向发布、便捷回收及二维码生成，满足不同场景下调查组织需要。</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体检成果管理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体检成果总览</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集中展示各年度综合体检方案、指标体系、实施方案及报告成果等内容，并支持分类汇总和批量管理，便于成果归档、查阅调用和持续积累。</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系统基础设置</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提供城市体检业务系统基础参数、组织架构及相关通用配置的统一管理能力，保障系统运行规则清晰、业务组织顺畅。</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城市体检指标管理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体检指标管理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指标项管理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围绕城区、街道、社区、住房等体检维度，支持指标体系的分类建设与动态管理，为不同层级体检评价提供统一的指标组织基础。</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指标体系管理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支持在各指标体系下配置具体指标项，并区分标准指标与特色指标，满足共性评价与地方特色需求并行的体检指标管理要求。</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表单配置</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街区、社区、住房三个维度指标可配置填报基本信息表头，包含位置选择器、树形选择器、单选、多选、填空，表头与指标问题项共同组成维度填报表单。</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设施管理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对设施点位、名称、状态及相关填报信息进行统一配置和维护，为设施类体检数据采集、更新管理和成果应用提供基础支撑。</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专项体检</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专项体检管理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对年度专项体检工作进行统一管理，支持专项名称、体检内容、工作内容等信息配置，便于专项任务组织实施与过程管控。</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专项体检类型</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用于配置专项体检下不同专项类型的空间数据采集类型、图标、是否启用、评价标准、调研所需填写的内容。</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城市体检数据采集管理</w:t>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调查数据管理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对市民问卷填报数据进行分类归集、汇总整理与集中管理，形成民意信息基础数据，为满意度分析和问题研判提供数据支撑。</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调研记录管理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市（县）进度总览</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可查看当前项目的体检进度。体检进度展示街区、社区、住房三个维度，按体检任务下发体检的区域完成情况进行进度完成统计。支持以图表查看各区划的进度完成情况，支持查看行政区辖区的完成情况。</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社区填报总览</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展示社区填报状态，以列表形式展示各具体填报记录，填报记录的属性信息包括填报人、填报时间、经纬度、具体地址，可点击查看填报记录详情。</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小区填报总览</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展示小区填报状态，以列表形式展示各具体填报记录，填报记录的属性信息包括填报人、填报时间、经纬度、具体地址，可点击查看填报记录详情。</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住房填报总览</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展示楼栋住房填报状态，以列表形式展示各具体填报记录，填报记录的属性信息包括填报人、填报时间、经纬度、具体地址，可点击查看填报记录详情。</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城市体检数据中心</w:t>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数据资产管理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通过建立统一的数据标准和数据模型，实现多源数据的结构化存储和一致性管理，保障体检数据口径统一、来源清晰、可追溯。</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数据质量控制</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数据探查</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对归集数据进行扫描分析，识别空值、重复、异常等质量问题，提供数据预览、统计与维度分析，为清洗治理提供依据</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数据清洗</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对多源数据开展标准化处理与异常过滤，支持修复、过滤两大类规则配置，实现数据去重、补全、格式转换与质量校验</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城市体检分析诊断</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体检分析诊断</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问题台账</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将存在问题项的住房维度填报记录生成小区问题台账。在体检台账页面通过树表的方式展示各地点生成的台账记录，支持批量下载导出。</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指标调研表</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将填报记录生成指标调研表。在体检台账页面通过树表的方式展示各地点生成的台账记录，支持批量下载导出。</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问题清单</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根据系统调研数据自动生成问题清单，以列表的形式对支持问题清单文件的批量导出，支持手动编辑存在问题。</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整治清单</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根据问题清单自动生成整治建议列表，支持录入对应整治建议，包括建议内容、整治区域、整治类型、责任单位、备注，支持模板批量导入和导出。</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指标计算模型</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基础计算</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支持结合业务场景灵活设置数据类型、分析范围等关键参数，形成基础性指标计算支撑能力，为后续评价分析和成果输出提供统一计算依据。</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空间落图</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将计算结果在空间地图上进行可视化落位与展示，直观呈现覆盖范围与分布情况。</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日常巡检闭环管理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处置任务管理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处置任务生成</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对接相关问题来源数据，按业务规则归集形成待处置任务，提升问题发现后的任务承接效率和处置流程规范性。</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处置任务分配</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支持将处置任务分派至相应部门或责任单位，并可配置办理时限和提醒机制，促进任务闭环流转和责任落实。</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处置任务查看</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支持处置人员查看任务详情、办理要求、时限信息及位置情况，便于快速理解任务内容并开展现场或线上处置。</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导出管理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支持对任务信息、进度情况及工作统计台账进行分类导出，满足业务留痕、过程汇报和成果归档需要。</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移动端</w:t>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首页</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提供移动端统一工作入口，集中展示任务事项、办理进度、常用功能入口及消息提醒，提升一线人员移动办公与业务协同效率。</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可视化统计</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对体检数据采集情况进行实时汇总与可视化展示，便于移动端快速掌握采集规模、完成状态和阶段性进展。</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指标调研</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支持移动端完成四级维度指标填报，并关联房屋底板等基础信息，兼顾离线作业与审核管理需求，提升现场采集的连续性和规范性。</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专项体检</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支持在专项业务场景下，围绕统一空间底图开展不同专项类型的空间采集与属性信息填报，满足专项体检作业的移动化实施需求。</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日常巡检</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支持移动端开展日常巡检任务填报、问题上报和处置跟踪，强化巡检事项从发现到反馈的闭环管理。</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指标体系查看</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支持查看本年度项目标准指标、特色指标、指标说明及示范案例等内容，为一线填报、业务学习和口径统一提供参考。</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问卷调查</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支持市民通过移动端在线参与满意度问卷填答，便捷收集意见建议，扩大公众参与覆盖面并提升调查组织效率。</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码上采集</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支持居民扫码上报问题，可结合拍照、定位、文字描述及问题类型选择等信息进行采集，提升问题发现渠道的便捷性和真实性。</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体检结果查看</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调研表查看</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支持查看当前用户填报任务所形成的调研表成果列表，并可按需查阅具体文件内容，便于个人成果核对与业务留存。</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台账查看</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支持查看当前用户填报任务所形成的体检台账成果列表，并可按需查阅具体文件内容，便于问题记录追踪与成果调用。</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9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我的</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工作记录</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支持回溯当前用户参与的各维度任务记录及相关基础信息、指标填报内容等，便于个人工作过程查询、留痕管理和复盘总结。</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体检教学</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提供覆盖移动端各模块及各维度任务填报流程的教学培训内容，包括政策指导、调查规范、指标介绍等资料，支撑人员快速上手与规范作业。</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意见反馈</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提供统一的意见反馈入口，用于收集用户在使用过程中的问题建议和改进诉求，支撑系统持续优化。</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1152"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系统对接</w:t>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与智慧住建平台对接</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与智慧住建平台实现身份认证衔接、数据共享及业务协同，减少重复建设，提升体检业务与行业平台之间的协同应用能力。</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与泰州通对接</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与泰州通相关能力进行业务衔接，承载调查和采集线上办理场景，提升公众参与便利度和业务办理完整性。</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与孪生城市数字底座对接</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数据获取（用于体检分析）：从孪生城市底座获取城市基础地理信息、建筑物白模及已有的城市体征数据。用于辅助体检指标的测算、空间关联分析和历史数据对比，支撑体检问题的精准定位。</w:t>
              <w:br/>
              <w:t xml:space="preserve">数据推送（用于治理协同）：将城市体检成果数据（如发现的城市短板指标、隐患点位、评价结果等）推送至孪生城市底座。用于更新底座图层，支撑城市更新、规划决策与跨部门协同应用。</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6.5</w:t>
            </w:r>
            <w:r/>
          </w:p>
        </w:tc>
      </w:tr>
      <w:tr>
        <w:trPr/>
        <w:tc>
          <w:tcPr>
            <w:vMerge w:val="continue"/>
            <w:textDirection w:val="lrTb"/>
            <w:noWrap w:val="false"/>
          </w:tcPr>
          <w:p>
            <w:r/>
            <w:r/>
          </w:p>
        </w:tc>
        <w:tc>
          <w:tcPr>
            <w:gridSpan w:val="2"/>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23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w:t>
            </w:r>
            <w:r>
              <w:rPr>
                <w:rFonts w:ascii="Times New Roman" w:hAnsi="Times New Roman" w:eastAsia="Times New Roman" w:cs="Times New Roman"/>
                <w:color w:val="000000"/>
                <w:sz w:val="24"/>
              </w:rPr>
              <w:t xml:space="preserve"> 12345</w:t>
            </w:r>
            <w:r>
              <w:rPr>
                <w:rFonts w:ascii="FangSong" w:hAnsi="FangSong" w:eastAsia="FangSong" w:cs="FangSong"/>
                <w:color w:val="000000"/>
                <w:sz w:val="24"/>
              </w:rPr>
              <w:t xml:space="preserve">、数字化城管对接</w:t>
            </w:r>
            <w:r/>
          </w:p>
        </w:tc>
        <w:tc>
          <w:tcPr>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385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w:t>
            </w:r>
            <w:r>
              <w:rPr>
                <w:rFonts w:ascii="Times New Roman" w:hAnsi="Times New Roman" w:eastAsia="Times New Roman" w:cs="Times New Roman"/>
                <w:color w:val="000000"/>
                <w:sz w:val="24"/>
              </w:rPr>
              <w:t xml:space="preserve">12345</w:t>
            </w:r>
            <w:r>
              <w:rPr>
                <w:rFonts w:ascii="FangSong" w:hAnsi="FangSong" w:eastAsia="FangSong" w:cs="FangSong"/>
                <w:color w:val="000000"/>
                <w:sz w:val="24"/>
              </w:rPr>
              <w:t xml:space="preserve">、数字化城管等平台进行业务衔接，归集问题线索数据、联动生成巡检任务，并对处置结果进行反馈闭环，提升跨平台协同处置能力。</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c>
          <w:tcPr>
            <w:gridSpan w:val="4"/>
            <w:tcBorders>
              <w:top w:val="single" w:color="000000" w:sz="8" w:space="0"/>
              <w:left w:val="single" w:color="000000" w:sz="8" w:space="0"/>
              <w:bottom w:val="none" w:color="000000" w:sz="4" w:space="0"/>
              <w:right w:val="none" w:color="000000" w:sz="4" w:space="0"/>
            </w:tcBorders>
            <w:tcMar>
              <w:left w:w="15" w:type="dxa"/>
              <w:top w:w="15" w:type="dxa"/>
              <w:right w:w="15" w:type="dxa"/>
              <w:bottom w:w="15" w:type="dxa"/>
            </w:tcMar>
            <w:tcW w:w="73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信创适配（纳入国产化专项资金）</w:t>
            </w:r>
            <w:r/>
          </w:p>
        </w:tc>
        <w:tc>
          <w:tcPr>
            <w:tcBorders>
              <w:top w:val="single" w:color="000000" w:sz="8" w:space="0"/>
              <w:left w:val="single" w:color="000000" w:sz="8" w:space="0"/>
              <w:bottom w:val="none" w:color="000000" w:sz="4"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w:t>
            </w:r>
            <w:r/>
          </w:p>
        </w:tc>
      </w:tr>
      <w:tr>
        <w:trPr/>
        <w:tc>
          <w:tcPr>
            <w:gridSpan w:val="4"/>
            <w:tcBorders>
              <w:top w:val="single" w:color="000000" w:sz="8" w:space="0"/>
              <w:left w:val="single" w:color="000000" w:sz="8" w:space="0"/>
              <w:bottom w:val="single" w:color="000000" w:sz="8" w:space="0"/>
              <w:right w:val="none" w:color="000000" w:sz="4" w:space="0"/>
            </w:tcBorders>
            <w:tcMar>
              <w:left w:w="15" w:type="dxa"/>
              <w:top w:w="15" w:type="dxa"/>
              <w:right w:w="15" w:type="dxa"/>
              <w:bottom w:w="15" w:type="dxa"/>
            </w:tcMar>
            <w:tcW w:w="73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合计（万元）</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17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130</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5.5.升级成效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致力于打造“数据全汇聚、指标可动态、业务可追溯、诊断智能化”的城市体检管理新模式。通过构建统一的数字化平台，最终实现三大目标：政府监管层面，精准识别城市短板，提升决策科学性；部门协作层面，打破数据壁垒，减少重复工作；公众体验层面，拓宽参与渠道，增强城市治理透明度。为泰州市建立“一年一体检、五年一评估”的长效机制奠定坚实基础，助力城市更新行动高效落地。</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6.市急救中心智慧急救系统升级（2026）项目</w:t>
      </w:r>
      <w:r/>
    </w:p>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6.1.预期目标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智慧急救系统建设预期目标</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（1）AI语音识别三要素精准提取：基本实现“信息获取零延迟、零误差”</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该模块以解决传统调度中“地址说不清、症状讲不明、信息记不全”的核心痛点为目标，通过语音识别与自然语言处理技术，构建高效、精准的信息采集闭环。</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提取效率目标：对急救呼叫中的地址、主诉、联系电话三大核心要素，实现实时识别与结构化提取，提取响应时间≤10秒，较人工录入效率提升60%以上，大幅压缩从接警到派车的前置时间。</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提取精度目标：在应对方言（如粤语、川语等）、模糊表述（如“XX大厦附近”）、背景噪音等复杂场景时，核心要素提取准确率≥95%。</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辅助决策目标：基于提取的主诉信息（如“心梗”“窒息”），自动触发病情初步分级，为后续优先级调度提供即时数据支撑，分级分诊准确率达到90%。</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（2）调度员情绪识别与干预：保障“调度中枢稳定运行”</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针对调度员长期处于高压环境、易出现情绪波动的问题，通过AI技术实现情绪状态的精准感知与及时干预，确保调度决策的稳定性与专业性。</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识别精准度目标：通过分析调度员通话录音中的语速、语调、音量变化及关键词情绪倾向（如频繁急促应答、语气不耐烦），结合操作行为数据（如指令输入延迟），构建情绪识别模型，对“焦虑、疲惫、烦躁”等负面情绪的识别准确率≥90%。</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长期管理目标：通过对情绪数据的持续分析，生成调度员个人情绪波动曲线与团队压力分布报告，为优化排班制度（如避免连续高强度值班）、开展针对性心理培训提供数据依据，降低个人情绪问题导致的调度差错。</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（3）主动启动生命支持：打造“呼入即救治”的黄金窗口</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针对专业急救人员到达前的“救治空窗期”，通过AI技术主动匹配急救指导方案，实现从“被动接警”到“主动施救”的转变，提升危急重症患者的救治成功率。</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时效目标：结合AI语音识别的主诉信息，在派车指令发出的同时，自动启动生命支持流程，15秒内为现场报警人推送标准化自救互救指导（语音+文字），较人工口述指导响应速度大幅提升，有效覆盖救护车到达前的关键时间。</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导精准度目标：建立涵盖37种以上常见危急重症（如心梗、窒息、溺水、外伤出血）的急救指导库，AI可根据患者症状、年龄、现场环境（如是否有AED设备）智能匹配最优方案，指导内容准确率高达95%以上。例如，识别“食物噎住无法呼吸”时，自动推送海姆立克急救法的分步操作指引；识别“昏迷无呼吸”时，立即启动心肺复苏术指导。</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（4）业务流程规范实时质控：实现“过程管控零死角”</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打破传统“事后检查”的质控模式，通过AI技术对调度全流程进行实时监测与智能纠错，确保业务操作符合医疗规范与管理要求，提升急救服务的标准化水平。</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控覆盖目标：实现对“接警-信息采集-病情分级-派车-信息同步-病历录入”全流程的实时监控，覆盖8大类常见质控点，包括信息完整性（如是否漏填患者年龄）、逻辑一致性（如派车时间早于接警时间）、规范合规性（如是否按分级优先派车）等。</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提升目标：通过实时质控与持续优化，使院前急救电子病历书写完整率及调度流程合规率大幅提升，为医疗质量评估、后续诊疗及管理决策提供准确的数据支撑。同时，生成月度质控分析报告，精准定位高频问题环节，推动业务流程的迭代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（二）地图双图源建设预期目标</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地图双图源项目聚焦于提升急救导航的“精准度”与“可靠性”，为生命救援压缩时间成本，具体目标包括：</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打造高可靠、全覆盖的地理信息底座</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实现多源地图优势互补：融合两类不同数据源的核心优势（如一类侧重城市道路细节与建筑物标注，另一类侧重乡村路网与实时交通动态），解决单一地图在复杂场景下的信息盲区问题。</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保障定位与地图数据准确性：通过多源信息融合算法交叉验证，将救护车与患者定位误差控制在米级以内，地图道路、POI（如医院、AED点位）更新频率提升至周级甚至日级。</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实现动态智能的路径规划与导航</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构建“时间最优”导航模型：系统可结合双图源的实时交通数据（拥堵、事故、施工）、道路属性（限高、限行）与救护车状态，自动规划并动态调整最优救援路径，缩短救护车的在途时间。</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适配多场景导航需求：针对城市密集区、乡村偏远地区、大型活动现场等不同场景，自动切换适配的地图数据源与规划策略，确保复杂环境下导航的有效性。</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支撑一体化应急指挥与资源调度</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实现全域资源可视化调度：在指挥中心大屏集成双图源地图，直观展示救护车实时位置、急救站点分布等信息，辅助调度员快速完成最优车辆派单。</w:t>
      </w:r>
      <w:r/>
    </w:p>
    <w:p>
      <w:pPr>
        <w:ind w:left="0" w:right="0" w:firstLine="48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强化重大事件应急支撑：在突发公共卫生事件或灾害现场，通过双图源融合单兵设备等回传的现场地理信息，快速生成应急救援地图，为前线指挥与资源投送提供精准空间支持。</w:t>
      </w:r>
      <w:r/>
    </w:p>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6.2.需求分析</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6.2.1.业务需求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语音识别三要素精准提取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呼救电话：需能快速、准确识别来电号码，包括固定电话和移动电话，且能与系统内的相关信息进行关联，如该号码是否有过呼救记录等。同时，要应对可能出现的号码遮挡、杂音干扰等情况，保证识别的准确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呼叫地址：能够精准识别呼救者提供的地址信息，涵盖小区名称、楼栋号、单元号、门牌号等详细信息。对于模糊地址，具备联想匹配能力，结合</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系统进行地址验证和定位，提高地址的准确性和完整性。此外，要适配泰州地区的方言表述和地名习惯，比如一些老地名、俗称等。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呼救原因：准确识别呼救者描述的病情或伤情等呼救原因，如“心脏骤停”“车祸受伤”等。能应对呼救者紧张、语无伦次等情况，提取关键信息，判断病情的紧急程度，为后续的调度决策提供依据。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 情绪识别监测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同时精准识别对话中调度员与患者（含家属）的情绪状态，涵盖紧急场景下典型情绪类型，如调度员的焦虑、烦躁、疲惫、冷静、耐心，患者的恐慌、焦虑、痛苦、愤怒、平静等，为后续分析提供全面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后回溯分析需求：支持对历史对话录音进行批量或单条回溯分析，生成详细的情绪监测报告，清晰呈现对话全流程中双主体情绪的变化轨迹、关键情绪节点（如患者情绪失控点、调度员情绪波动点），辅助管理人员复盘调度过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结合情绪识别结果，关联调度员的沟通话术、应急处置流程，形成个性化能力评估维度，重点分析调度员在高压情绪场景下的情绪管理能力、安抚引导能力，为培训优化提供数据依据。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心理压力预警需求：通过长期监测调度员的情绪数据，建立个人情绪基线，当出现持续情绪异常（如连续多通电话表现出烦躁、疲惫）时，自动触发预警，提示管理人员介入干预，保障调度员心理健康，降低职业倦怠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优化需求：通过分析患者情绪变化与调度员沟通方式的关联性，提炼优质沟通策略（如有效安抚患者恐慌情绪的话术），同时识别服务短板（如因调度员情绪问题导致患者不满的场景），为服务规范完善提供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（三）主动启动生命支持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智能受理提示：分析当前的通话内容和调度员在受理过程中录入的信息，实时给出可辅助调度员快速准确开展受理对话的提示用语，提高受理效率。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辅助电话指导生命支持：根据呼救者与调度员的对话，实时分析现场事件情况、患者病情，实时给出可供调度员开展受理询问和电话指导的口语化信息，并可根据患者的响应及时更新指导内容，提高急救电话指导的智能性和可操作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（四）业务流程规范实时质控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对调度过程中的各个环节进行实时监测，确保业务流程的规范性。如调度员的话术是否符合标准，是否按照规定的流程询问呼救信息、下达急救指令等。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监测指令下达的时效性，保证调度员能够在规定的时间内将急救指令传达给急救人员，避免因延迟导致不良后果。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对调度过程中的关键节点进行把控，如受理时间、派车时间、到达现场时间等，确保每个环节都在合理的时间范围内完成。</w:t>
      </w:r>
      <w:r/>
    </w:p>
    <w:p>
      <w:pPr>
        <w:ind w:left="0" w:right="0" w:firstLine="624"/>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6.2.2.技术需求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平台稳定保障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）系统拥有稳定可靠的性能，能够支持</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小时不间断的运行，连续稳定运行时间不少于</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个月。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）支持异地备份与应急恢复。保障系统的稳定、持续运行，确保各系统全年开网率不低于</w:t>
      </w:r>
      <w:r>
        <w:rPr>
          <w:rFonts w:ascii="Times New Roman" w:hAnsi="Times New Roman" w:eastAsia="Times New Roman" w:cs="Times New Roman"/>
          <w:color w:val="000000"/>
          <w:sz w:val="28"/>
        </w:rPr>
        <w:t xml:space="preserve">99%</w:t>
      </w:r>
      <w:r>
        <w:rPr>
          <w:rFonts w:ascii="FangSong" w:hAnsi="FangSong" w:eastAsia="FangSong" w:cs="FangSong"/>
          <w:color w:val="000000"/>
          <w:sz w:val="28"/>
        </w:rPr>
        <w:t xml:space="preserve">；全年累计中断访问时间不超过</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小时。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（二）平台灵活扩展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）系统基于集群化部署，以提高系统的可用性和可扩展性。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）支持根据业务需求和计算资源进行灵活扩展，以适应不断增长的业务需求。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（三）平台响应性能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端页面响应时间：≤</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）信息查询：≤</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）支持同时在线访问人数≥</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人，单一业务并发访问用户数≥</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）用户登录出现登录页面时间：≤</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）跨业务系统间访问相应时间：≤</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（四）平台处理性能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）平台系统具有良好的并发响应能力以及负载均衡的支持，整体响应性能在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秒钟以内，正常情况下单一并发访问量不小于</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）在非业务高峰期间，应用系统平均响应时间要求如下：应用系统内在线事务处理的响应时间不大于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秒钟，跨系统在线事务处理的响应时间不大于</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秒钟，应用系统内查询的响应时间不大于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秒钟，应用系统内大数据汇总、统计的响应时间可适当延长；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）在业务高峰期间，应用系统平均响应时间要求不超过非业务高峰期间平均响应时间的</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）平台支持</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至</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年内，年均增长</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以上的处理能力要求；平台内的应用系统并发数设计应该支持一定的冗余，保证系统在业务高峰期间稳定运行。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）数据写入。非批量输入数据，提交后应在两秒内插入数据库。系统提供的数据查询接口，单次</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条数据以内的查询需在两秒内完成（涉及图片等数据量较大的情况除外）。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（五）硬件需求（该部分申请政务资源，市级层面统筹，不纳入本次项目报价）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算力服务器是专门为人工智能模型训练、推理及相关数据处理而设计的高性能计算设备，核心作用是提供远超普通服务器的并行计算能力，支撑</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技术从研发到落地的全流程需求。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具体应用场景和作用可以分为以下几类：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AI</w:t>
      </w:r>
      <w:r>
        <w:rPr>
          <w:rFonts w:ascii="FangSong" w:hAnsi="FangSong" w:eastAsia="FangSong" w:cs="FangSong"/>
          <w:color w:val="000000"/>
          <w:sz w:val="28"/>
        </w:rPr>
        <w:t xml:space="preserve">模型训练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这是</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算力服务器最核心的用途。大语言模型（如</w:t>
      </w:r>
      <w:r>
        <w:rPr>
          <w:rFonts w:ascii="Times New Roman" w:hAnsi="Times New Roman" w:eastAsia="Times New Roman" w:cs="Times New Roman"/>
          <w:color w:val="000000"/>
          <w:sz w:val="28"/>
        </w:rPr>
        <w:t xml:space="preserve">GPT</w:t>
      </w:r>
      <w:r>
        <w:rPr>
          <w:rFonts w:ascii="FangSong" w:hAnsi="FangSong" w:eastAsia="FangSong" w:cs="FangSong"/>
          <w:color w:val="000000"/>
          <w:sz w:val="28"/>
        </w:rPr>
        <w:t xml:space="preserve">系列）、计算机视觉模型（如</w:t>
      </w:r>
      <w:r>
        <w:rPr>
          <w:rFonts w:ascii="Times New Roman" w:hAnsi="Times New Roman" w:eastAsia="Times New Roman" w:cs="Times New Roman"/>
          <w:color w:val="000000"/>
          <w:sz w:val="28"/>
        </w:rPr>
        <w:t xml:space="preserve">ResNet</w:t>
      </w:r>
      <w:r>
        <w:rPr>
          <w:rFonts w:ascii="FangSong" w:hAnsi="FangSong" w:eastAsia="FangSong" w:cs="FangSong"/>
          <w:color w:val="000000"/>
          <w:sz w:val="28"/>
        </w:rPr>
        <w:t xml:space="preserve">）、多模态模型等的训练需要处理海量数据和复杂的矩阵运算，普通服务器的</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完全无法满足效率需求。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算力服务器搭载</w:t>
      </w:r>
      <w:r>
        <w:rPr>
          <w:rFonts w:ascii="Times New Roman" w:hAnsi="Times New Roman" w:eastAsia="Times New Roman" w:cs="Times New Roman"/>
          <w:color w:val="000000"/>
          <w:sz w:val="28"/>
        </w:rPr>
        <w:t xml:space="preserve">GPU</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TPU</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NPU</w:t>
      </w:r>
      <w:r>
        <w:rPr>
          <w:rFonts w:ascii="FangSong" w:hAnsi="FangSong" w:eastAsia="FangSong" w:cs="FangSong"/>
          <w:color w:val="000000"/>
          <w:sz w:val="28"/>
        </w:rPr>
        <w:t xml:space="preserve">等专用加速芯片，通过大规模并行计算架构，能快速完成数十亿甚至上万亿参数模型的训练迭代，大幅缩短研发周期。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AI</w:t>
      </w:r>
      <w:r>
        <w:rPr>
          <w:rFonts w:ascii="FangSong" w:hAnsi="FangSong" w:eastAsia="FangSong" w:cs="FangSong"/>
          <w:color w:val="000000"/>
          <w:sz w:val="28"/>
        </w:rPr>
        <w:t xml:space="preserve">模型推理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当训练好的</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模型投入实际应用时，需要实时响应外部请求并输出结果，这个过程就是推理。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比如此次建设内容中的语音识别三要素、情绪识别、生命支持及质控功能等，都需要算力服务器提供低延迟、高并发的推理算力，保障应用的流畅运行。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海量数据预处理与分析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模型训练前，需要对原始数据（文本、图像、音频、视频等）进行清洗、标注、特征提取等预处理工作，这些操作同样涉及大规模并行计算。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 </w:t>
      </w:r>
      <w:r>
        <w:rPr>
          <w:rFonts w:ascii="FangSong" w:hAnsi="FangSong" w:eastAsia="FangSong" w:cs="FangSong"/>
          <w:color w:val="000000"/>
          <w:sz w:val="28"/>
        </w:rPr>
        <w:t xml:space="preserve">算力服务器可以高效完成数据的分布式处理，提升数据准备阶段的效率，为后续模型训练奠定基础。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算力服务器是</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技术的“动力引擎”，没有它的强大算力支撑，无论是大模型的研发，还是各类</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应用的落地，都无法高效实现。</w:t>
      </w:r>
      <w:r/>
    </w:p>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6.3.技术方案</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6</w:t>
      </w:r>
      <w:r>
        <w:rPr>
          <w:rFonts w:ascii="KaiTi" w:hAnsi="KaiTi" w:eastAsia="KaiTi" w:cs="KaiTi"/>
          <w:color w:val="000000"/>
          <w:sz w:val="32"/>
        </w:rPr>
        <w:t xml:space="preserve">.3.1.总体架构</w:t>
      </w:r>
      <w:r/>
    </w:p>
    <w:p>
      <w:pPr>
        <w:ind w:left="0" w:right="0" w:firstLine="560"/>
        <w:jc w:val="both"/>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系统具体架构示意图如下图所示：</w:t>
      </w:r>
      <w:r/>
    </w:p>
    <w:p>
      <w:pPr>
        <w:ind w:left="0" w:right="0" w:firstLine="0"/>
        <w:jc w:val="center"/>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334000" cy="32766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60770" name=""/>
                        <pic:cNvPicPr>
                          <a:picLocks noChangeAspect="1"/>
                        </pic:cNvPicPr>
                        <pic:nvPr/>
                      </pic:nvPicPr>
                      <pic:blipFill>
                        <a:blip/>
                        <a:stretch/>
                      </pic:blipFill>
                      <pic:spPr bwMode="auto">
                        <a:xfrm>
                          <a:off x="0" y="0"/>
                          <a:ext cx="5333999" cy="3276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20.0pt;height:258.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采用</w:t>
      </w:r>
      <w:r>
        <w:rPr>
          <w:rFonts w:ascii="Times New Roman" w:hAnsi="Times New Roman" w:eastAsia="Times New Roman" w:cs="Times New Roman"/>
          <w:color w:val="000000"/>
          <w:sz w:val="28"/>
          <w:u w:val="none"/>
        </w:rPr>
        <w:t xml:space="preserve">“</w:t>
      </w:r>
      <w:r>
        <w:rPr>
          <w:rFonts w:ascii="FangSong" w:hAnsi="FangSong" w:eastAsia="FangSong" w:cs="FangSong"/>
          <w:color w:val="000000"/>
          <w:sz w:val="28"/>
          <w:u w:val="none"/>
        </w:rPr>
        <w:t xml:space="preserve">云边协同</w:t>
      </w:r>
      <w:r>
        <w:rPr>
          <w:rFonts w:ascii="Times New Roman" w:hAnsi="Times New Roman" w:eastAsia="Times New Roman" w:cs="Times New Roman"/>
          <w:color w:val="000000"/>
          <w:sz w:val="28"/>
          <w:u w:val="none"/>
        </w:rPr>
        <w:t xml:space="preserve">+</w:t>
      </w:r>
      <w:r>
        <w:rPr>
          <w:rFonts w:ascii="FangSong" w:hAnsi="FangSong" w:eastAsia="FangSong" w:cs="FangSong"/>
          <w:color w:val="000000"/>
          <w:sz w:val="28"/>
          <w:u w:val="none"/>
        </w:rPr>
        <w:t xml:space="preserve">微服务</w:t>
      </w:r>
      <w:r>
        <w:rPr>
          <w:rFonts w:ascii="Times New Roman" w:hAnsi="Times New Roman" w:eastAsia="Times New Roman" w:cs="Times New Roman"/>
          <w:color w:val="000000"/>
          <w:sz w:val="28"/>
          <w:u w:val="none"/>
        </w:rPr>
        <w:t xml:space="preserve">”</w:t>
      </w:r>
      <w:r>
        <w:rPr>
          <w:rFonts w:ascii="FangSong" w:hAnsi="FangSong" w:eastAsia="FangSong" w:cs="FangSong"/>
          <w:color w:val="000000"/>
          <w:sz w:val="28"/>
          <w:u w:val="none"/>
        </w:rPr>
        <w:t xml:space="preserve">架构，实现</w:t>
      </w:r>
      <w:r>
        <w:rPr>
          <w:rFonts w:ascii="Times New Roman" w:hAnsi="Times New Roman" w:eastAsia="Times New Roman" w:cs="Times New Roman"/>
          <w:color w:val="000000"/>
          <w:sz w:val="28"/>
          <w:u w:val="none"/>
        </w:rPr>
        <w:t xml:space="preserve">AI</w:t>
      </w:r>
      <w:r>
        <w:rPr>
          <w:rFonts w:ascii="FangSong" w:hAnsi="FangSong" w:eastAsia="FangSong" w:cs="FangSong"/>
          <w:color w:val="000000"/>
          <w:sz w:val="28"/>
          <w:u w:val="none"/>
        </w:rPr>
        <w:t xml:space="preserve">能力与业务系统的深度融合。边缘端部署实时处理模块（如语音转写、情绪识别），确保毫秒级响应；云端负责模型训练、数据存储与全局调度，通过微服务拆分核心功能（语音识别、情绪分析、质控引擎等），各模块独立部署又通过</w:t>
      </w:r>
      <w:r>
        <w:rPr>
          <w:rFonts w:ascii="Times New Roman" w:hAnsi="Times New Roman" w:eastAsia="Times New Roman" w:cs="Times New Roman"/>
          <w:color w:val="000000"/>
          <w:sz w:val="28"/>
          <w:u w:val="none"/>
        </w:rPr>
        <w:t xml:space="preserve">API</w:t>
      </w:r>
      <w:r>
        <w:rPr>
          <w:rFonts w:ascii="FangSong" w:hAnsi="FangSong" w:eastAsia="FangSong" w:cs="FangSong"/>
          <w:color w:val="000000"/>
          <w:sz w:val="28"/>
          <w:u w:val="none"/>
        </w:rPr>
        <w:t xml:space="preserve">网关联动，既保障急救场景的实时性要求，又便于后续功能扩展。</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6.3.2.主要功能设计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（一）</w:t>
      </w:r>
      <w:r>
        <w:rPr>
          <w:rFonts w:ascii="Times New Roman" w:hAnsi="Times New Roman" w:eastAsia="Times New Roman" w:cs="Times New Roman"/>
          <w:color w:val="000000"/>
          <w:sz w:val="28"/>
          <w:u w:val="none"/>
        </w:rPr>
        <w:t xml:space="preserve">AI</w:t>
      </w:r>
      <w:r>
        <w:rPr>
          <w:rFonts w:ascii="FangSong" w:hAnsi="FangSong" w:eastAsia="FangSong" w:cs="FangSong"/>
          <w:color w:val="000000"/>
          <w:sz w:val="28"/>
          <w:u w:val="none"/>
        </w:rPr>
        <w:t xml:space="preserve">应用主要功能设计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语音识别三要素提取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基础模型选型：基于预训练大语言模型构建语音转文本基线模型，通过微调适配急救场景。采用端到端的语音识别框架，提升长语音序列的识别连贯性。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专属语料库建设：采集泰州地区近</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年呼救录音（约</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万条），标注方言词汇、地名别名，构建含</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专业术语的标注数据集。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引入数据增强技术，模拟嘈杂环境下的语音特征，提升模型抗干扰能力。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三要素精准提取：电话识别</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通过正则表达式匹配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语义校验，自动提取</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位手机号码或固定电话，关联历史呼救记录。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地址解析：结合泰州</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矢量地图，构建地址分词器与实体链接模型，支持模糊地址的拓扑推理。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原因识别：采用多标签分类模型，从文本中提取“疾病类型”“受伤原因”等标签，关联急救预案库。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）情绪识别监测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情感特征提取：采用先进的语音信号处理技术，从录音中提取关键情感特征，包括语调、语速、音量、音频频率、停顿间隔等，全面捕捉情绪表达的语音表征。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双主体情绪识别：基于训练完善的深度学习模型，同时对调度员和患者的语音片段进行情绪分类，识别出预设的多种情绪类型；支持对对话进行逐句或分段分析，精准定位情绪变化的时间节点。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调度员个人分析报告：基于某一调度员的历史通话数据，生成情绪分析报告，包括：情绪状态、情绪波动频率，为个性化培训和心理干预提供依据。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）生命支持主动启动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构建实时响应的智能辅助系统，通过分析呼救者与调度员的对话，动态生成口语化的询问引导和急救指导内容，辅助调度员精准开展电话生命支持指导，提升急救响应效率与准确性。口语化指导模板库：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基于急救指南拆解标准化操作（如</w:t>
      </w:r>
      <w:r>
        <w:rPr>
          <w:rFonts w:ascii="Times New Roman" w:hAnsi="Times New Roman" w:eastAsia="Times New Roman" w:cs="Times New Roman"/>
          <w:color w:val="000000"/>
          <w:sz w:val="28"/>
        </w:rPr>
        <w:t xml:space="preserve">CPR</w:t>
      </w:r>
      <w:r>
        <w:rPr>
          <w:rFonts w:ascii="FangSong" w:hAnsi="FangSong" w:eastAsia="FangSong" w:cs="FangSong"/>
          <w:color w:val="000000"/>
          <w:sz w:val="28"/>
        </w:rPr>
        <w:t xml:space="preserve">步骤、气道开放、止血等），预定义分层级的口语化模板（避免专业术语，如“双手交叉放于胸部中间，向下按压</w:t>
      </w:r>
      <w:r>
        <w:rPr>
          <w:rFonts w:ascii="Times New Roman" w:hAnsi="Times New Roman" w:eastAsia="Times New Roman" w:cs="Times New Roman"/>
          <w:color w:val="000000"/>
          <w:sz w:val="28"/>
        </w:rPr>
        <w:t xml:space="preserve">5-6cm</w:t>
      </w:r>
      <w:r>
        <w:rPr>
          <w:rFonts w:ascii="FangSong" w:hAnsi="FangSong" w:eastAsia="FangSong" w:cs="FangSong"/>
          <w:color w:val="000000"/>
          <w:sz w:val="28"/>
        </w:rPr>
        <w:t xml:space="preserve">”而非“胸外按压深度</w:t>
      </w:r>
      <w:r>
        <w:rPr>
          <w:rFonts w:ascii="Times New Roman" w:hAnsi="Times New Roman" w:eastAsia="Times New Roman" w:cs="Times New Roman"/>
          <w:color w:val="000000"/>
          <w:sz w:val="28"/>
        </w:rPr>
        <w:t xml:space="preserve">5-6cm</w:t>
      </w:r>
      <w:r>
        <w:rPr>
          <w:rFonts w:ascii="FangSong" w:hAnsi="FangSong" w:eastAsia="FangSong" w:cs="FangSong"/>
          <w:color w:val="000000"/>
          <w:sz w:val="28"/>
        </w:rPr>
        <w:t xml:space="preserve">”），并关联触发条件（如“呼吸停止→启动</w:t>
      </w:r>
      <w:r>
        <w:rPr>
          <w:rFonts w:ascii="Times New Roman" w:hAnsi="Times New Roman" w:eastAsia="Times New Roman" w:cs="Times New Roman"/>
          <w:color w:val="000000"/>
          <w:sz w:val="28"/>
        </w:rPr>
        <w:t xml:space="preserve">CPR</w:t>
      </w:r>
      <w:r>
        <w:rPr>
          <w:rFonts w:ascii="FangSong" w:hAnsi="FangSong" w:eastAsia="FangSong" w:cs="FangSong"/>
          <w:color w:val="000000"/>
          <w:sz w:val="28"/>
        </w:rPr>
        <w:t xml:space="preserve">指导”）。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动态生成逻辑：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结合患者状态向量与风险等级，通过强化学习（</w:t>
      </w:r>
      <w:r>
        <w:rPr>
          <w:rFonts w:ascii="Times New Roman" w:hAnsi="Times New Roman" w:eastAsia="Times New Roman" w:cs="Times New Roman"/>
          <w:color w:val="000000"/>
          <w:sz w:val="28"/>
        </w:rPr>
        <w:t xml:space="preserve">RL</w:t>
      </w:r>
      <w:r>
        <w:rPr>
          <w:rFonts w:ascii="FangSong" w:hAnsi="FangSong" w:eastAsia="FangSong" w:cs="FangSong"/>
          <w:color w:val="000000"/>
          <w:sz w:val="28"/>
        </w:rPr>
        <w:t xml:space="preserve">）模型（状态：当前病情；动作：输出指导内容；奖励：是否推动对话获取关键信息</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是否符合指南）实时选择或拼接模板，生成下一步操作：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询问引导：当信息缺失时生成补充问题（如“能再确认一下患者是否有心跳吗？请您摸一下喉结旁边两个指头的地方看有没有搏动”）；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急救指导：当信息完整时输出步骤化指令（如“现在开始按压，每分钟</w:t>
      </w:r>
      <w:r>
        <w:rPr>
          <w:rFonts w:ascii="Times New Roman" w:hAnsi="Times New Roman" w:eastAsia="Times New Roman" w:cs="Times New Roman"/>
          <w:color w:val="000000"/>
          <w:sz w:val="28"/>
        </w:rPr>
        <w:t xml:space="preserve">100-120</w:t>
      </w:r>
      <w:r>
        <w:rPr>
          <w:rFonts w:ascii="FangSong" w:hAnsi="FangSong" w:eastAsia="FangSong" w:cs="FangSong"/>
          <w:color w:val="000000"/>
          <w:sz w:val="28"/>
        </w:rPr>
        <w:t xml:space="preserve">次，按压</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次后做</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次人工呼吸”）。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实时更新机制：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每轮对话后，根据新抽取的实体信息更新患者状态模型，触发指导内容迭代（如“刚才您说按压时患者有反应，现在请再次判断患者有无呼吸和心跳”）。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）业务流程实时质控系统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规则引擎构建：将</w:t>
      </w:r>
      <w:r>
        <w:rPr>
          <w:rFonts w:ascii="Times New Roman" w:hAnsi="Times New Roman" w:eastAsia="Times New Roman" w:cs="Times New Roman"/>
          <w:color w:val="000000"/>
          <w:sz w:val="28"/>
        </w:rPr>
        <w:t xml:space="preserve">120</w:t>
      </w:r>
      <w:r>
        <w:rPr>
          <w:rFonts w:ascii="FangSong" w:hAnsi="FangSong" w:eastAsia="FangSong" w:cs="FangSong"/>
          <w:color w:val="000000"/>
          <w:sz w:val="28"/>
        </w:rPr>
        <w:t xml:space="preserve">调度规范拆解为多条可量化规则（如“受理后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分钟内完成地址确认”），采用</w:t>
      </w:r>
      <w:r>
        <w:rPr>
          <w:rFonts w:ascii="Times New Roman" w:hAnsi="Times New Roman" w:eastAsia="Times New Roman" w:cs="Times New Roman"/>
          <w:color w:val="000000"/>
          <w:sz w:val="28"/>
        </w:rPr>
        <w:t xml:space="preserve">Drools</w:t>
      </w:r>
      <w:r>
        <w:rPr>
          <w:rFonts w:ascii="FangSong" w:hAnsi="FangSong" w:eastAsia="FangSong" w:cs="FangSong"/>
          <w:color w:val="000000"/>
          <w:sz w:val="28"/>
        </w:rPr>
        <w:t xml:space="preserve">规则引擎将其转化为</w:t>
      </w:r>
      <w:r>
        <w:rPr>
          <w:rFonts w:ascii="Times New Roman" w:hAnsi="Times New Roman" w:eastAsia="Times New Roman" w:cs="Times New Roman"/>
          <w:color w:val="000000"/>
          <w:sz w:val="28"/>
        </w:rPr>
        <w:t xml:space="preserve">if-then</w:t>
      </w:r>
      <w:r>
        <w:rPr>
          <w:rFonts w:ascii="FangSong" w:hAnsi="FangSong" w:eastAsia="FangSong" w:cs="FangSong"/>
          <w:color w:val="000000"/>
          <w:sz w:val="28"/>
        </w:rPr>
        <w:t xml:space="preserve">逻辑（如“</w:t>
      </w:r>
      <w:r>
        <w:rPr>
          <w:rFonts w:ascii="Times New Roman" w:hAnsi="Times New Roman" w:eastAsia="Times New Roman" w:cs="Times New Roman"/>
          <w:color w:val="000000"/>
          <w:sz w:val="28"/>
        </w:rPr>
        <w:t xml:space="preserve">IF</w:t>
      </w:r>
      <w:r>
        <w:rPr>
          <w:rFonts w:ascii="FangSong" w:hAnsi="FangSong" w:eastAsia="FangSong" w:cs="FangSong"/>
          <w:color w:val="000000"/>
          <w:sz w:val="28"/>
        </w:rPr>
        <w:t xml:space="preserve">询问地址耗时</w:t>
      </w:r>
      <w:r>
        <w:rPr>
          <w:rFonts w:ascii="Times New Roman" w:hAnsi="Times New Roman" w:eastAsia="Times New Roman" w:cs="Times New Roman"/>
          <w:color w:val="000000"/>
          <w:sz w:val="28"/>
        </w:rPr>
        <w:t xml:space="preserve">&gt;30</w:t>
      </w:r>
      <w:r>
        <w:rPr>
          <w:rFonts w:ascii="FangSong" w:hAnsi="FangSong" w:eastAsia="FangSong" w:cs="FangSong"/>
          <w:color w:val="000000"/>
          <w:sz w:val="28"/>
        </w:rPr>
        <w:t xml:space="preserve">秒</w:t>
      </w:r>
      <w:r>
        <w:rPr>
          <w:rFonts w:ascii="Times New Roman" w:hAnsi="Times New Roman" w:eastAsia="Times New Roman" w:cs="Times New Roman"/>
          <w:color w:val="000000"/>
          <w:sz w:val="28"/>
        </w:rPr>
        <w:t xml:space="preserve">AND</w:t>
      </w:r>
      <w:r>
        <w:rPr>
          <w:rFonts w:ascii="FangSong" w:hAnsi="FangSong" w:eastAsia="FangSong" w:cs="FangSong"/>
          <w:color w:val="000000"/>
          <w:sz w:val="28"/>
        </w:rPr>
        <w:t xml:space="preserve">未标记‘语言障碍’</w:t>
      </w:r>
      <w:r>
        <w:rPr>
          <w:rFonts w:ascii="Times New Roman" w:hAnsi="Times New Roman" w:eastAsia="Times New Roman" w:cs="Times New Roman"/>
          <w:color w:val="000000"/>
          <w:sz w:val="28"/>
        </w:rPr>
        <w:t xml:space="preserve">THEN</w:t>
      </w:r>
      <w:r>
        <w:rPr>
          <w:rFonts w:ascii="FangSong" w:hAnsi="FangSong" w:eastAsia="FangSong" w:cs="FangSong"/>
          <w:color w:val="000000"/>
          <w:sz w:val="28"/>
        </w:rPr>
        <w:t xml:space="preserve">触发提醒”）。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支持规则可视化配置（通过</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界面拖拽编辑），适配业务流程更新（如新增“疫情期间需询问旅居史”规则）。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实时监测与反馈：基于事件驱动架构，在调度流程节点（接听、派车、挂断）触发规则校验，通过时间戳比对监测节点耗时，通过表单字段校验确保信息完整。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生成实时质控看板，以颜色编码显示合规状态，违规项自动关联整改建议。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（二）地图双图源主要功能设计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图台增加调用高德地图接口及相关应用功能：在输入框上方有一个高德和百度的切换按钮，默认是百度地图源且功能和展现形式不变，当地图源切换为高德地图，在做搜索和呼入定位时，会打开一个弹窗地图选点、推荐急救资源，推荐车辆轨迹等都功能在弹窗中实现，当切换为百度地图或者清空输人框中的定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结束任务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时，弹框将会自动关闭。</w:t>
      </w:r>
      <w:r/>
    </w:p>
    <w:p>
      <w:pPr>
        <w:numPr>
          <w:ilvl w:val="0"/>
          <w:numId w:val="10"/>
        </w:numPr>
        <w:spacing w:before="240" w:after="240"/>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调度员登录时可选择默认基础图源</w:t>
      </w:r>
      <w:r/>
    </w:p>
    <w:p>
      <w:pPr>
        <w:ind w:left="0" w:right="0" w:firstLine="0"/>
        <w:spacing w:before="240" w:after="240"/>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16859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97798" name=""/>
                        <pic:cNvPicPr>
                          <a:picLocks noChangeAspect="1"/>
                        </pic:cNvPicPr>
                        <pic:nvPr/>
                      </pic:nvPicPr>
                      <pic:blipFill>
                        <a:blip/>
                        <a:stretch/>
                      </pic:blipFill>
                      <pic:spPr bwMode="auto">
                        <a:xfrm>
                          <a:off x="0" y="0"/>
                          <a:ext cx="5276849" cy="16859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5pt;height:132.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numPr>
          <w:ilvl w:val="0"/>
          <w:numId w:val="10"/>
        </w:numPr>
        <w:spacing w:before="240" w:after="240"/>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列表上部分显示</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条搜索结果，下部分显示推荐车辆数据。</w:t>
      </w:r>
      <w:r/>
    </w:p>
    <w:p>
      <w:pPr>
        <w:ind w:left="0" w:right="0" w:firstLine="0"/>
        <w:jc w:val="both"/>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mc:AlternateContent>
          <mc:Choice Requires="wpg">
            <w:drawing>
              <wp:inline xmlns:wp="http://schemas.openxmlformats.org/drawingml/2006/wordprocessingDrawing" distT="0" distB="0" distL="0" distR="0">
                <wp:extent cx="5324475" cy="29241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20103" name=""/>
                        <pic:cNvPicPr>
                          <a:picLocks noChangeAspect="1"/>
                        </pic:cNvPicPr>
                        <pic:nvPr/>
                      </pic:nvPicPr>
                      <pic:blipFill>
                        <a:blip/>
                        <a:stretch/>
                      </pic:blipFill>
                      <pic:spPr bwMode="auto">
                        <a:xfrm>
                          <a:off x="0" y="0"/>
                          <a:ext cx="5324474" cy="29241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9.2pt;height:230.2pt;mso-wrap-distance-left:0.0pt;mso-wrap-distance-top:0.0pt;mso-wrap-distance-right:0.0pt;mso-wrap-distance-bottom:0.0pt;" stroked="false">
                <v:path textboxrect="0,0,0,0"/>
              </v:shape>
            </w:pict>
          </mc:Fallback>
        </mc:AlternateContent>
      </w:r>
      <w:r/>
    </w:p>
    <w:p>
      <w:pPr>
        <w:numPr>
          <w:ilvl w:val="0"/>
          <w:numId w:val="10"/>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派车后可查看车辆状态、仍距</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初估距离、仍需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用时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初估时间</w:t>
      </w:r>
      <w:r/>
    </w:p>
    <w:p>
      <w:pPr>
        <w:ind w:left="0" w:right="0" w:firstLine="0"/>
        <w:jc w:val="both"/>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88607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7364" name=""/>
                        <pic:cNvPicPr>
                          <a:picLocks noChangeAspect="1"/>
                        </pic:cNvPicPr>
                        <pic:nvPr/>
                      </pic:nvPicPr>
                      <pic:blipFill>
                        <a:blip/>
                        <a:stretch/>
                      </pic:blipFill>
                      <pic:spPr bwMode="auto">
                        <a:xfrm>
                          <a:off x="0" y="0"/>
                          <a:ext cx="5267324" cy="2886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8pt;height:227.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numPr>
          <w:ilvl w:val="0"/>
          <w:numId w:val="10"/>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显示车辆推荐行驶路线</w:t>
      </w:r>
      <w:r/>
    </w:p>
    <w:p>
      <w:pPr>
        <w:ind w:left="0" w:right="0" w:firstLine="0"/>
        <w:spacing w:before="240" w:after="240"/>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88607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086" name=""/>
                        <pic:cNvPicPr>
                          <a:picLocks noChangeAspect="1"/>
                        </pic:cNvPicPr>
                        <pic:nvPr/>
                      </pic:nvPicPr>
                      <pic:blipFill>
                        <a:blip/>
                        <a:stretch/>
                      </pic:blipFill>
                      <pic:spPr bwMode="auto">
                        <a:xfrm>
                          <a:off x="0" y="0"/>
                          <a:ext cx="5276849" cy="2886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5.5pt;height:227.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886075"/>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197170" name=""/>
                        <pic:cNvPicPr>
                          <a:picLocks noChangeAspect="1"/>
                        </pic:cNvPicPr>
                        <pic:nvPr/>
                      </pic:nvPicPr>
                      <pic:blipFill>
                        <a:blip/>
                        <a:stretch/>
                      </pic:blipFill>
                      <pic:spPr bwMode="auto">
                        <a:xfrm>
                          <a:off x="0" y="0"/>
                          <a:ext cx="5267324" cy="2886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8pt;height:227.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6.3.3.与市级基础平台关联关系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此次升级建设以“兼容传承、创新赋能”为核心原则，在充分保留原系统核心业务逻辑与数据资源的基础上，实现技术架构与服务能力的跨越式提升。</w:t>
      </w:r>
      <w:r>
        <w:rPr>
          <w:rFonts w:ascii="Times New Roman" w:hAnsi="Times New Roman" w:eastAsia="Times New Roman" w:cs="Times New Roman"/>
          <w:color w:val="000000"/>
          <w:sz w:val="28"/>
          <w:u w:val="none"/>
        </w:rPr>
        <w:t xml:space="preserve">AI</w:t>
      </w:r>
      <w:r>
        <w:rPr>
          <w:rFonts w:ascii="FangSong" w:hAnsi="FangSong" w:eastAsia="FangSong" w:cs="FangSong"/>
          <w:color w:val="000000"/>
          <w:sz w:val="28"/>
          <w:u w:val="none"/>
        </w:rPr>
        <w:t xml:space="preserve">应用的融入，为急救服务注入了“智慧大脑”：通过构建智能调度算法，系统可实时整合全市急救车辆、急救站点、交通路况等多维数据，在接到</w:t>
      </w:r>
      <w:r>
        <w:rPr>
          <w:rFonts w:ascii="Times New Roman" w:hAnsi="Times New Roman" w:eastAsia="Times New Roman" w:cs="Times New Roman"/>
          <w:color w:val="000000"/>
          <w:sz w:val="28"/>
          <w:u w:val="none"/>
        </w:rPr>
        <w:t xml:space="preserve">120</w:t>
      </w:r>
      <w:r>
        <w:rPr>
          <w:rFonts w:ascii="FangSong" w:hAnsi="FangSong" w:eastAsia="FangSong" w:cs="FangSong"/>
          <w:color w:val="000000"/>
          <w:sz w:val="28"/>
          <w:u w:val="none"/>
        </w:rPr>
        <w:t xml:space="preserve">呼救后，瞬间完成呼救者定位、病情初步研判、最优急救车辆匹配与最短救援路线规划，将传统“被动响应”升级为“主动预判、精准调度”。同时，</w:t>
      </w:r>
      <w:r>
        <w:rPr>
          <w:rFonts w:ascii="Times New Roman" w:hAnsi="Times New Roman" w:eastAsia="Times New Roman" w:cs="Times New Roman"/>
          <w:color w:val="000000"/>
          <w:sz w:val="28"/>
          <w:u w:val="none"/>
        </w:rPr>
        <w:t xml:space="preserve">AI</w:t>
      </w:r>
      <w:r>
        <w:rPr>
          <w:rFonts w:ascii="FangSong" w:hAnsi="FangSong" w:eastAsia="FangSong" w:cs="FangSong"/>
          <w:color w:val="000000"/>
          <w:sz w:val="28"/>
          <w:u w:val="none"/>
        </w:rPr>
        <w:t xml:space="preserve">辅助指导模块可为急救人员提供现场处置指导，同步将关键信息推送至接诊医院，实现“上车即入院”的院前院内协同救治模式，为危急重症患者抢占黄金救治时间窗。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地图双图源建设则为急救调度提供了“精准导航罗盘”。系统采用网络电子地图与卫星地图双源融合模式，覆盖全市城乡全域范围，支持</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级以上高精度缩放，可清晰呈现街区、居民区、重点单位、急救站点、医院分布等关键地理信息。双图源架构具备在线离线双模适配能力，既保障了正常网络环境下实时路况更新、动态路径优化的精准性，又能在网络信号薄弱区域通过离线地图缓存确保调度工作不中断，有效解决偏远地区定位导航难题。通过地图与急救业务的深度融合，调度人员可直观掌握急救车辆实时位置、行进轨迹，实现对救援全过程的可视化监控与动态管控，大幅提升调度指挥的科学性与高效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互通共享是此次升级的核心突破点。系统通过标准化接口设计，实现与原系统的无缝对接，确保历史急救数据、业务流程的平稳过渡与延续。全市急救调度情况、急救车辆、急救站点、出诊任务等各项急救工作数据需实时更新、确保准确，急救信息数据可实时同步至泰康云平台，借助云端算力实现大数据分析与智能预警，为急救资源优化配置、急救服务质量提升提供数据支撑；同时，严格遵循《泰州市公共数据交换管理规范》要求，通过公共数据共享交换平台的前置节点完成数据适配与传输，打破了“信息孤岛”，实现急救数据与政务服务、医疗健康等公共数据资源的互</w:t>
      </w:r>
      <w:r>
        <w:rPr>
          <w:rFonts w:ascii="FangSong" w:hAnsi="FangSong" w:eastAsia="FangSong" w:cs="FangSong"/>
          <w:color w:val="000000"/>
          <w:sz w:val="28"/>
        </w:rPr>
        <w:t xml:space="preserve">联互通。从“单打独斗”到“协同作战”，从“经验驱动”到“数据智能”，泰州市急救中心此次系统升级建设，不仅是技术层面的迭代，更是急救服务理念与模式的革新。通过</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应用与地图双图源的深度融合，结合全链路数据共享机制，急救响应效率、调度精准度、救治协同性将实现全方位提升。未来，泰州市急救中心将以此次升级为起点，持续深化数字技术在急救领域的应用，让科技赋能贯穿急救服务全流程，为建设更高水平的“健康泰州”贡献力量。</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6.3.4.数据供需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（一）内部共享范围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系统与泰州市急救中心原系统及中心内部各业务模块（如调度指挥模块、急救车辆管理模块）共享数据，包括但不限于：患者基本信息、病（伤）情信息、生命体征数据、急救救治措施、车载监控音视频信息、急救车辆定位信息、地图双图源融合数据、</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辅助决策结果等，支撑内部急救调度、资源优化配置、业务流程管控等业务需求。新增模块内部共享数据：</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语音识别三要素提取数据：向调度指挥模块共享“呼救电话</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地点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伤情”结构化数据，支撑快速派车决策；生命支持主动启动数据：向急救车辆终端共享生命体征异常预警及启动指令数据，支撑现场救治；业务流程实时质控数据：向质控管理模块、管理层决策模块共享实时质控指标，用于急救服务质量动态优化；地图双图源融合数据：向调度指挥模块、车载导航终端共享高精度融合路径数据，支撑动态路径规划与急救车辆实时调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（二）外部共享范围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根据急救服务协同需求，与指定外部单位进行数据共享：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医疗机构：与市内各医院急诊科室共享患者院前急救信息（含生命体征、救治措施、病种分类等），支撑院内提前启动急诊流程，实现院前院内协同救治；新增共享数据：生命支持主动启动记录（含启动时机、干预措施）、</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语音识别提取的伤情核心数据，助力院内精准准备救治资源；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跨部门单位：与公安、消防救援等部门共享急救事件发生地点信息、应急资源需求信息等，提升应急响应效率。</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6.3.5.信息安全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（一）原系统对接及安全设备复用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）兼容性对接：项目系统需采用标准化接口与原急救系统实现无缝对接，接口协议需符合原系统安全规范，支持数据双向传输过程中的安全校验，确保对接过程不影响原系统正常运行及安全防护体系完整性。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）安全设备复用：全面复用原系统已部署的网闸、防火墙、入侵检测</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防御系统（</w:t>
      </w:r>
      <w:r>
        <w:rPr>
          <w:rFonts w:ascii="Times New Roman" w:hAnsi="Times New Roman" w:eastAsia="Times New Roman" w:cs="Times New Roman"/>
          <w:color w:val="000000"/>
          <w:sz w:val="28"/>
        </w:rPr>
        <w:t xml:space="preserve">IDS/IPS</w:t>
      </w:r>
      <w:r>
        <w:rPr>
          <w:rFonts w:ascii="FangSong" w:hAnsi="FangSong" w:eastAsia="FangSong" w:cs="FangSong"/>
          <w:color w:val="000000"/>
          <w:sz w:val="28"/>
        </w:rPr>
        <w:t xml:space="preserve">）、身份认证系统、数据加密设备等安全设施，项目新增模块及地图双图源相关组件需适配原有安全设备策略，无需额外新增同类型基础安全设备。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）策略协同：项目系统安全策略需与原系统安全策略保持一致，由原安全管理平台统一管控，实现安全告警、日志审计、权限管理的集中化运维，确保原有安全防护能力对新项目模块的全面覆盖。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（二）网络安全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）边界防护：复用原系统防火墙实现项目系统网络边界隔离，针对</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智慧急救模块及地图双图源数据传输需求，配置精细化访问控制策略，仅开放必要的网络端口及通信协议，禁止无关网络访问。同时，利用原有入侵检测</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防御系统对网络传输数据进行实时监测，及时阻断恶意攻击、病毒入侵等异常行为。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）网络分区：遵循原系统网络分区架构，将项目系统部署在对应的数据区、应用区，地图双图源数据传输需限定在专用传输通道内，实现“专网专用”，避免与公网数据交叉传输，降低数据泄露风险。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）通信安全：项目所有数据（含</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分析结果、急救调度信息、地图数据）在网络传输过程中，需采用原系统指定的加密协议（如</w:t>
      </w:r>
      <w:r>
        <w:rPr>
          <w:rFonts w:ascii="Times New Roman" w:hAnsi="Times New Roman" w:eastAsia="Times New Roman" w:cs="Times New Roman"/>
          <w:color w:val="000000"/>
          <w:sz w:val="28"/>
        </w:rPr>
        <w:t xml:space="preserve">SSL/TLS</w:t>
      </w:r>
      <w:r>
        <w:rPr>
          <w:rFonts w:ascii="FangSong" w:hAnsi="FangSong" w:eastAsia="FangSong" w:cs="FangSong"/>
          <w:color w:val="000000"/>
          <w:sz w:val="28"/>
        </w:rPr>
        <w:t xml:space="preserve">）进行加密处理，确保数据传输过程中的保密性、完整性，防止数据被窃听、篡改或伪造。针对地图双图源的实时传输，需优化加密传输效率，避免因加密延迟影响急救调度时效性。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（三）数据安全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）数据分级分类：依据</w:t>
      </w:r>
      <w:r>
        <w:rPr>
          <w:rFonts w:ascii="Times New Roman" w:hAnsi="Times New Roman" w:eastAsia="Times New Roman" w:cs="Times New Roman"/>
          <w:color w:val="000000"/>
          <w:sz w:val="28"/>
        </w:rPr>
        <w:t xml:space="preserve">GB/T 39725</w:t>
      </w:r>
      <w:r>
        <w:rPr>
          <w:rFonts w:ascii="FangSong" w:hAnsi="FangSong" w:eastAsia="FangSong" w:cs="FangSong"/>
          <w:color w:val="000000"/>
          <w:sz w:val="28"/>
        </w:rPr>
        <w:t xml:space="preserve">标准，对项目涉及的所有数据进行分级分类管理，其中患者基本信息、生命体征数据、诊疗记录等属于高敏感数据，地图基础数据属于一般数据，急救调度指令、</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决策结果属于核心业务数据，针对不同级别数据制定差异化安全防护策略。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）数据存储安全：高敏感数据存储需复用原系统加密存储设备，采用</w:t>
      </w:r>
      <w:r>
        <w:rPr>
          <w:rFonts w:ascii="Times New Roman" w:hAnsi="Times New Roman" w:eastAsia="Times New Roman" w:cs="Times New Roman"/>
          <w:color w:val="000000"/>
          <w:sz w:val="28"/>
        </w:rPr>
        <w:t xml:space="preserve">AES-256</w:t>
      </w:r>
      <w:r>
        <w:rPr>
          <w:rFonts w:ascii="FangSong" w:hAnsi="FangSong" w:eastAsia="FangSong" w:cs="FangSong"/>
          <w:color w:val="000000"/>
          <w:sz w:val="28"/>
        </w:rPr>
        <w:t xml:space="preserve">等符合国家标准的加密算法进行加密处理；核心业务数据需实行双机热备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异地备份机制，备份频率不低于每日一次，备份数据需进行加密校验，定期开展恢复演练，确保数据可恢复性；地图双图源数据需存储在专用加密存储设备中，建立数据完整性校验机制，防止地图数据被篡改。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）数据访问控制：严格遵循“最小权限”和“职责分离”原则，复用原系统身份认证系统，实现基于角色（</w:t>
      </w:r>
      <w:r>
        <w:rPr>
          <w:rFonts w:ascii="Times New Roman" w:hAnsi="Times New Roman" w:eastAsia="Times New Roman" w:cs="Times New Roman"/>
          <w:color w:val="000000"/>
          <w:sz w:val="28"/>
        </w:rPr>
        <w:t xml:space="preserve">RBAC</w:t>
      </w:r>
      <w:r>
        <w:rPr>
          <w:rFonts w:ascii="FangSong" w:hAnsi="FangSong" w:eastAsia="FangSong" w:cs="FangSong"/>
          <w:color w:val="000000"/>
          <w:sz w:val="28"/>
        </w:rPr>
        <w:t xml:space="preserve">）的精细化权限管理，为不同岗位人员分配差异化数据访问权限。访问高敏感数据需采用多因素认证（如用户名密码</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），并对访问行为进行实时日志记录。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）数据全生命周期安全：数据收集需获得合法授权，患者相关数据需遵循“知情同意”原则；数据使用过程中，如需用于</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训练、科研等非诊疗场景，需对数据进行脱敏处理，去除可识别个人身份的信息；数据共享需严格执行审批流程，签订数据共享安全协议；数据销毁需符合原系统介质销毁规范，确保数据全生命周期可追溯、可管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数据安全：针对</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智慧急救系统的训练数据，需核查数据来源合法性，确保数据采集过程符合相关法规要求；</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算法模型需部署在安全隔离的环境中，防止模型被窃取或篡改；</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决策结果数据需与人工审核记录关联存储，确保决策过程可追溯。</w:t>
      </w:r>
      <w:r/>
    </w:p>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6.4.服务预算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5"/>
        <w:gridCol w:w="859"/>
        <w:gridCol w:w="6465"/>
        <w:gridCol w:w="412"/>
        <w:gridCol w:w="413"/>
        <w:gridCol w:w="550"/>
      </w:tblGrid>
      <w:tr>
        <w:trPr>
          <w:trHeight w:val="3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建设内容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总价</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AI</w:t>
            </w:r>
            <w:r>
              <w:rPr>
                <w:rFonts w:ascii="FangSong" w:hAnsi="FangSong" w:eastAsia="FangSong" w:cs="FangSong"/>
                <w:b/>
                <w:color w:val="000000"/>
                <w:sz w:val="24"/>
              </w:rPr>
              <w:t xml:space="preserve">辅助下的急救电话受理和电话医疗指导系统</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受理调度智能体模块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AI</w:t>
            </w:r>
            <w:r>
              <w:rPr>
                <w:rFonts w:ascii="FangSong" w:hAnsi="FangSong" w:eastAsia="FangSong" w:cs="FangSong"/>
                <w:color w:val="000000"/>
                <w:sz w:val="24"/>
              </w:rPr>
              <w:t xml:space="preserve">语音识别三要素精准提取</w:t>
              <w:br/>
              <w:t xml:space="preserve">呼救电话：需能快速、准确识别来电号码，包括固定电话和移动电话，且能与系统内的相关信息进行关联，如该号码是否有过呼救记录等。同时，要应对可能出现的号码遮挡、杂音干扰等情况，保证识别的准确性。呼叫地址：能够精准识别呼救者提供的地址信息，涵盖小区名称、楼栋号、单元号、门牌号等详细信息。对于模糊地址，具备联想匹配能力，结合</w:t>
            </w: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系统进行地址验证和定位，提高地址的准确性和完整性。此外，要适配泰州地区的方言表述和地名习惯，比如一些老地名、俗称等。呼救原因：准确识别呼救者描述的病情或伤情等呼救原因，如</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心脏骤停</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车祸受伤</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等。能应对呼救者紧张、语无伦次等情况，提取关键信息，判断病情的紧急程度，为后续的调度决策提供依据。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情绪识别模块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通过录音识别通话过程中的调度员情绪，分析患者情绪变化与调度员沟通方式的关联性，识别服务短板（如因调度员情绪问题导致患者不满的场景），为服务规范完善提供支撑。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8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主动启动生命支持模块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受理提示：分析当前的通话内容和调度员在受理过程中录入的信息，实时给出可辅助调度员快速准确开展受理对话的提示用语，提高受理效率。辅助电话指导生命支持：根据呼救者与调度员的对话，实时分析现场事件情况、患者病情，实时给出可供调度员开展受理询问和电话指导的口语化信息，并可根据患者的响应及时更新指导内容，提高急救电话指导的智能性和可操作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业务流程规范实时质控模块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调度过程中的各个环节进行实时监测，确保业务流程的规范性。如调度员的话术是否符合标准，是否按照规定的流程询问呼救信息、下达急救指令等。监测指令下达的时效性，保证调度员能够在规定的时间内将急救指令传达给急救人员，避免因延迟导致不良后果。对调度过程中的关键节点进行把控，如受理时间、派车时间、到达现场时间等，确保每个环节都在合理的时间范围内完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GIS</w:t>
            </w:r>
            <w:r>
              <w:rPr>
                <w:rFonts w:ascii="FangSong" w:hAnsi="FangSong" w:eastAsia="FangSong" w:cs="FangSong"/>
                <w:b/>
                <w:color w:val="000000"/>
                <w:sz w:val="24"/>
              </w:rPr>
              <w:t xml:space="preserve">双图源地图台授权</w:t>
            </w:r>
            <w:r/>
          </w:p>
        </w:tc>
      </w:tr>
      <w:tr>
        <w:trPr>
          <w:trHeight w:val="11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授权服务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双图源地图台授权服务：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）提供百度和高德双图源（</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）保障泰州市急救中心</w:t>
            </w: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地图台稳定运行，双图源准实时更新。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3"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算力服务器（该部分申请政务资源，市级层面统筹，不纳入本次项目报价）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台</w:t>
            </w:r>
            <w:r/>
          </w:p>
        </w:tc>
      </w:tr>
      <w:tr>
        <w:trPr>
          <w:trHeight w:val="3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合计（万元）</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w:t>
            </w:r>
            <w:r/>
          </w:p>
        </w:tc>
      </w:tr>
    </w:tbl>
    <w:p>
      <w:pPr>
        <w:ind w:left="640" w:right="0" w:firstLine="64"/>
        <w:jc w:val="both"/>
        <w:spacing w:before="0" w:after="0" w:line="59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6.5.升级成效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挽救生命，提升急救成功率：通过</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语音识别快速准确获取呼救电话、呼叫地址和呼救原因，大大缩短调度员信息采集时间，为急救行动争取宝贵的“黄金时间”。对调度员的情绪识别有助于保障接警服务质量，避免因情绪因素导致的信息误判。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通过“实时感知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动态决策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口语化输出”的闭环，将急救电话指导升级为“标准化、智能化、动态化”服务，核心解决信息采集效率低、指导精准度不足、操作依从性差、服务质量不均等问题，最终目标是在急救人员到达前，通过高效的电话指导提升现场抢救成功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提升公众安全感与满意度：公众在遭遇紧急情况拨打</w:t>
      </w:r>
      <w:r>
        <w:rPr>
          <w:rFonts w:ascii="Times New Roman" w:hAnsi="Times New Roman" w:eastAsia="Times New Roman" w:cs="Times New Roman"/>
          <w:color w:val="000000"/>
          <w:sz w:val="28"/>
        </w:rPr>
        <w:t xml:space="preserve">120</w:t>
      </w:r>
      <w:r>
        <w:rPr>
          <w:rFonts w:ascii="FangSong" w:hAnsi="FangSong" w:eastAsia="FangSong" w:cs="FangSong"/>
          <w:color w:val="000000"/>
          <w:sz w:val="28"/>
        </w:rPr>
        <w:t xml:space="preserve">时，智能化系统带来的快速响应和专业服务，能极大缓解患者及家属的焦虑情绪。这种高效、可靠的急救服务，增强了市民对城市公共安全保障体系的信任，提升了公众对政府应急服务能力的满意度，营造更安全、稳定、和谐的社会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提高急救效率：运用大数据、遥感、</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等技术，实现全市数字交通一张图，可快速获取患者位置、周边交通状况等信息，帮助急救人员更精准、高效地规划救援路线，缩短到达现场的时间。地图双图源项目通过融合不同来源的地图数据，能提供更准确的地理信息，进一步提升急救定位和路径规划的准确性，从而提高整体急救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为城市安全提供保障：地图双图源提供的准确地理信息和丰富的数据支持，不仅有助于急救工作，还能为城市的应急管理等提供有力支撑，提升城市的安全保障水平和应对突发事件的能力。</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7.市卫健委健康泰州数字化能力提升工程升级（2026）项目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7.1.预期目标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（一）构建医疗机构财务数据监管体系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符合行政事业单位内控“以预算管理为主线、资金管控为核心”的理念，实现经济业务活动的内控管理，包含预算编审、分解和下达、收入管理、支出管理、采购过程管理、合同管理、资产管理、项目管理、绩效管理等为一体的闭环内控管理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完成后，行政效能与便民利企成效显著。行政效率上，通过信息化平台，部门领导能快速获取数据并决策，财务人员电子票据验真查重更高效，报销人员线上一键报销，各环节流转加速，极大提升行政运转速度。履职能力方面，借助数据共享与分析，监管更精准，助力精准施策。降低行政成本上，减少手工统计等人力投入，线上流程替代部分线下工作，节省人力物力。在经济社会层面，优化医疗资源配置，为政策制定提供科学依据，保障医疗服务与经济运行高效、规范，让群众享受更便捷的医疗财务服务，助力医疗行业健康发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（二）构建医学专家库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成后，能有力提升行政效能与行业协同水平。行政效率方面，基础数据维护、案件与专家工作管理信息化，让卫健系统内相关工作流转更顺畅，减少人工操作耗时。履职能力上，凭借系统对专家资源的高效管理，在医疗案件处理、学术工作开展等方面，能快速匹配专家，提升卫健系统履职的专业性与及时性。同时，通过信息化手段，减少不必要的人力协调等成本，降低行政支出。从社会意义看，为医疗领域提供可靠的专家资源支撑，推动医疗行业协同发展，助力提升整体医疗服务质量与效率，惠及广大群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（三）探索数据应用场景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以全民健康信息平台为基础，提升平台数据治理能力建设，推动区域医疗健康数据要素应用，打造区域健康数据要素标杆。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构建数据治理体系，制定数据应用顶层规划，持续推动平台数据质量提升。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建立健康泰州数据资产目录，形成行业应用高质量数据集，支撑数据要素应用及数据交易流通。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探索建设真实世界用药人群研究等应用场景，协助药企等第三方机构开展数据应用。</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7.2.需求分析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7.2.1.业务需求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（一）业务服务方面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整合与协同不足：现有系统分散，协同管理平台缺失，电脑端、移动端、第三方财务系统间集成度低，导致业务流程割裂，如预算管理与费用报销、项目资金管控间数据流转不畅，医学专家库与资金管理模块也缺乏有效联动，严重影响工作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不完善：资金管理模块中，项目资金对进度、成本、风险等核心要素的专项管控功能欠缺，难以全面分析预警资金执行情况；医学专家库模块在案件分配（主动回避后重新分配）、专家“一站式”任务入口与数据概览等功能上存在不足，制约了专家工作与案件处理的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（二）平台采集维护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）采集服务内容</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ab/>
        <w:t xml:space="preserve">采集工作内容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内容如下表所示：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2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工作分类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详细内容</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前置机端数据服务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日常标准更新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采集标准升级</w:t>
            </w:r>
            <w:r/>
          </w:p>
        </w:tc>
      </w:tr>
      <w:tr>
        <w:trPr>
          <w:trHeight w:val="40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码表标准更新</w:t>
            </w:r>
            <w:r/>
          </w:p>
        </w:tc>
      </w:tr>
      <w:tr>
        <w:trPr>
          <w:trHeight w:val="5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数据同步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采集数据同步</w:t>
            </w:r>
            <w:r/>
          </w:p>
        </w:tc>
      </w:tr>
      <w:tr>
        <w:trPr>
          <w:trHeight w:val="57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监控日志同步</w:t>
            </w:r>
            <w:r/>
          </w:p>
        </w:tc>
      </w:tr>
      <w:tr>
        <w:trPr>
          <w:trHeight w:val="57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质控结果同步</w:t>
            </w:r>
            <w:r/>
          </w:p>
        </w:tc>
      </w:tr>
      <w:tr>
        <w:trPr>
          <w:trHeight w:val="5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索引数据库清理</w:t>
            </w:r>
            <w:r/>
          </w:p>
        </w:tc>
      </w:tr>
      <w:tr>
        <w:trPr>
          <w:trHeight w:val="57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质控数据库清理</w:t>
            </w:r>
            <w:r/>
          </w:p>
        </w:tc>
      </w:tr>
      <w:tr>
        <w:trPr>
          <w:trHeight w:val="5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安全问题处理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前置机端安全漏洞处理</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数据采集监控系统服务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程序日常运维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保障程序日常稳定</w:t>
            </w:r>
            <w:r/>
          </w:p>
        </w:tc>
      </w:tr>
      <w:tr>
        <w:trPr>
          <w:trHeight w:val="56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程序安全漏洞处置</w:t>
            </w:r>
            <w:r/>
          </w:p>
        </w:tc>
      </w:tr>
      <w:tr>
        <w:trPr>
          <w:trHeight w:val="6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数据查询服务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数据对接情况查询服务</w:t>
            </w:r>
            <w:r/>
          </w:p>
        </w:tc>
      </w:tr>
      <w:tr>
        <w:trPr>
          <w:trHeight w:val="60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质控结果查询服务</w:t>
            </w:r>
            <w:r/>
          </w:p>
        </w:tc>
      </w:tr>
    </w:tbl>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ab/>
        <w:t xml:space="preserve">采集服务范围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覆盖</w:t>
      </w:r>
      <w:r>
        <w:rPr>
          <w:rFonts w:ascii="Times New Roman" w:hAnsi="Times New Roman" w:eastAsia="Times New Roman" w:cs="Times New Roman"/>
          <w:color w:val="000000"/>
          <w:sz w:val="28"/>
        </w:rPr>
        <w:t xml:space="preserve">29</w:t>
      </w:r>
      <w:r>
        <w:rPr>
          <w:rFonts w:ascii="FangSong" w:hAnsi="FangSong" w:eastAsia="FangSong" w:cs="FangSong"/>
          <w:color w:val="000000"/>
          <w:sz w:val="28"/>
        </w:rPr>
        <w:t xml:space="preserve">个接入点，同时采集期内如新增二、三级医院及区县级平台接入，也需提供采集服务。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）信息系统运行维护要求</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ab/>
        <w:t xml:space="preserve">日常维护服务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按照预先制定的维护作业计划执行的日常维护服务。分为监控、预防性检查和常规作业，其中：</w:t>
      </w:r>
      <w:r/>
    </w:p>
    <w:p>
      <w:pPr>
        <w:numPr>
          <w:ilvl w:val="0"/>
          <w:numId w:val="11"/>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监控：通过监控工具，对服务对象的动态和静态指标进行记录、分析和告警，包括对象状态、运行状况和发展趋势等；</w:t>
      </w:r>
      <w:r/>
    </w:p>
    <w:p>
      <w:pPr>
        <w:numPr>
          <w:ilvl w:val="0"/>
          <w:numId w:val="11"/>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预防性检查：指为保证服务对象的持续正常运行，根据服务对象的监控记录、运行条件和运行状况进行检查和趋势分析，发现其脆弱性，以便消除或改进；</w:t>
      </w:r>
      <w:r/>
    </w:p>
    <w:p>
      <w:pPr>
        <w:numPr>
          <w:ilvl w:val="0"/>
          <w:numId w:val="11"/>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常规作业：对服务对象进行的日常维护操作，包括定期设备检查、配置信息备份，数据备份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恢复，批处理作业等活动，以保证服务对象的稳定运行。</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ab/>
        <w:t xml:space="preserve">响应支持服务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根据响应的前提不同，分为故障响应、服务请求响应和问题解决，其中：</w:t>
      </w:r>
      <w:r/>
    </w:p>
    <w:p>
      <w:pPr>
        <w:numPr>
          <w:ilvl w:val="0"/>
          <w:numId w:val="12"/>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响应：由于不可预测原因导致服务对象整体或部分性能下降、功能丧失，触发将服务对象恢复到正常状态的服务活动。故障响应的处理过程争取在最短的时间内恢复服务或启用备份资源，保证服务的持续提供。</w:t>
      </w:r>
      <w:r/>
    </w:p>
    <w:p>
      <w:pPr>
        <w:numPr>
          <w:ilvl w:val="0"/>
          <w:numId w:val="12"/>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服务请求响应：由于用户提出各类服务请求，引发的需要针对服务对象、服务等级做出调整或修改的响应型服务。服务请求响应将根据总体服务策略并参考已有的</w:t>
      </w:r>
      <w:r>
        <w:rPr>
          <w:rFonts w:ascii="Times New Roman" w:hAnsi="Times New Roman" w:eastAsia="Times New Roman" w:cs="Times New Roman"/>
          <w:color w:val="000000"/>
          <w:sz w:val="28"/>
        </w:rPr>
        <w:t xml:space="preserve">SLA/SOW</w:t>
      </w:r>
      <w:r>
        <w:rPr>
          <w:rFonts w:ascii="FangSong" w:hAnsi="FangSong" w:eastAsia="FangSong" w:cs="FangSong"/>
          <w:color w:val="000000"/>
          <w:sz w:val="28"/>
        </w:rPr>
        <w:t xml:space="preserve">做出判断，对服务的实施进行影响评估，制定详细的实施方案和回退措施，并在条件允许的情况下执行实施方案和回退方案的测试。变更型响应服务实施完成后，应进行总结，确认已达到预期的目标。</w:t>
      </w:r>
      <w:r/>
    </w:p>
    <w:p>
      <w:pPr>
        <w:numPr>
          <w:ilvl w:val="0"/>
          <w:numId w:val="12"/>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问题解决：故障恢复后，对故障做出进一步分析、明确引发故障的原因，制定根本解决方案</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变通方案</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采取有效的纠正措施以及预防措施，避免或者减少类似故障的再次发生。</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ab/>
        <w:t xml:space="preserve">优化改进服务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包括适应性改进、增强性改进和预防性改进三种类型，其中：</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适应性改进：为保持服务对象在已变化或正在变化的环境中可持续运行而实施的改造；</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增强性改进：根据新的服务需求或由于服务对象的缺陷，采取相应改进措施增强服务的安全性、可用性和可靠性；</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防性改进：检测和纠正服务对象运行过程中潜在的问题或缺陷，以降低系统风险，满足服务可靠运营的需求。运维厂商应在优化改进服务实施前提供详细方案，方案内容通常包括改进原因、改进依据、实施方案、实施计划、风险评估、风险应对措施等，方案必须在获得省卫健委审批通过后实施。</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ab/>
        <w:t xml:space="preserve">故障处理服务</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故障处理流程：</w:t>
      </w:r>
      <w:r>
        <w:rPr>
          <w:rFonts w:ascii="FangSong" w:hAnsi="FangSong" w:eastAsia="FangSong" w:cs="FangSong"/>
          <w:color w:val="000000"/>
          <w:sz w:val="28"/>
        </w:rPr>
        <w:t xml:space="preserve">经过诊断，是应用软件相关其他系统接口问题，将由运维服务工程师汇报省卫健委运维机构，并协助相应的运维技术进行故障解决。</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故障管理：</w:t>
      </w:r>
      <w:r>
        <w:rPr>
          <w:rFonts w:ascii="FangSong" w:hAnsi="FangSong" w:eastAsia="FangSong" w:cs="FangSong"/>
          <w:color w:val="000000"/>
          <w:sz w:val="28"/>
        </w:rPr>
        <w:t xml:space="preserve">通过对系统运行过程中的故障和问题进行汇总、分析，可以改善系统维护管理制度、提高故障的处理能力、保障系统的稳定运行。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系统运行过程中的故障维护包括：应用系统、相关系统接口。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针对系统运行的故障维护，将遵循以下的工作规范。</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意外事件分级</w:t>
      </w:r>
      <w:r>
        <w:rPr>
          <w:rFonts w:ascii="FangSong" w:hAnsi="FangSong" w:eastAsia="FangSong" w:cs="FangSong"/>
          <w:color w:val="000000"/>
          <w:sz w:val="28"/>
        </w:rPr>
        <w:t xml:space="preserve">：按照故障停机时间的不同，可以把系统的运行故障分成几个类别；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一级故障；应用系统停止运行；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二级故障；应用系统虽然可以运行，但性能急剧下降；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三级故障；应用系统可以运行，但有隐患；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四级故障；问题或者故障轻微，不会影响应用系统运行等。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针对不同的故障等级、提供相应的服务响应，对提高服务效率、合理利用服务资源有利。</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系统运行故障报告：</w:t>
      </w:r>
      <w:r>
        <w:rPr>
          <w:rFonts w:ascii="FangSong" w:hAnsi="FangSong" w:eastAsia="FangSong" w:cs="FangSong"/>
          <w:color w:val="000000"/>
          <w:sz w:val="28"/>
        </w:rPr>
        <w:t xml:space="preserve">根据故障分析情况，填写《系统运行故障报告》，非应用导致的系统问题，或者虽然没有引起系统的停机、但对系统的管理与维护带来很多不利的因素等问题时，也要填写《系统运行故障报告》。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该报告的主要内容包括：故障时间、故障部位、停机时间、故障原因分析、故障责任划分、处理过程、处理意见、成本分析等。</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故障问题记录：</w:t>
      </w:r>
      <w:r>
        <w:rPr>
          <w:rFonts w:ascii="FangSong" w:hAnsi="FangSong" w:eastAsia="FangSong" w:cs="FangSong"/>
          <w:color w:val="000000"/>
          <w:sz w:val="28"/>
        </w:rPr>
        <w:t xml:space="preserve">全面、完整的记录系统运行中发生的各种问题，对系统运行过程中的各个问题的发生、处理过程及其处理结果等相关内容进行记录。</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系统故障统计与分析：</w:t>
      </w:r>
      <w:r>
        <w:rPr>
          <w:rFonts w:ascii="FangSong" w:hAnsi="FangSong" w:eastAsia="FangSong" w:cs="FangSong"/>
          <w:color w:val="000000"/>
          <w:sz w:val="28"/>
        </w:rPr>
        <w:t xml:space="preserve">需对系统运行中发生的问题定期进行统计，并加以分析，是维护系统稳定运行的经验保障，是系统运行状态评估的重要内容，也是系统升级、应用扩展的参照要求。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统计与分析半年进行年中总结，全年进行全面总结。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ab/>
        <w:t xml:space="preserve">运维服务响应时间</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紧急故障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严重影响整个系统运行，导致系统不能正常运转，业务处理错误严重且工作流程不能正常进行，网络联络中断等；此类问题需要在最短的时间内予以解决，由现场运维厂商服务工程师确定问题原因；</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小时之内针对实际问题给出详细解决方案，并立即着手进行处理；</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严重故障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影响了系统的正常运行，但没有导致系统工作流程和业务处理；此类问题我们在发现后应该立即着手解决，并在最快时间内予以解决</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由现场运维服务工程师确定问题原因，并将在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小时内针对实际问题给出详细解决方案，并立即着手进行处理；</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较严重故障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没有影响到系统的正常运行，但为了系统日后的正常使用必须加以修改或完善；此类问题需要同运维人员进行协调，在确定后具体的解决方案后，现场人员将与卫健委相关人员联系并确定问题原因，在</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小时内与卫健委相关人员协商出具体解决办法和时间安排，并着手按照计划进行修改，保证在约定时间内完成问题解决；</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普通问题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着卫健委信息化不断的深入，必然需要不断的完善和加强，这是需要通过修改、测试和再应用的多次循环来逐步实现的；因此随着系统应用的不断深入，可能会提出一些的软件系统的完善和修改建议，在接到用户书面形式的正式通知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个工作日内，将同技术人员一道对软件功能的发展和完善进行协商，在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个工作日内给出问题的具体解决办法和时间安排，并据此开展工作。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）系统建设运行情况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ab/>
        <w:t xml:space="preserve">服务器硬件和软件配置</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硬件配置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29</w:t>
      </w:r>
      <w:r>
        <w:rPr>
          <w:rFonts w:ascii="FangSong" w:hAnsi="FangSong" w:eastAsia="FangSong" w:cs="FangSong"/>
          <w:color w:val="000000"/>
          <w:sz w:val="28"/>
        </w:rPr>
        <w:t xml:space="preserve">家前置机端，每家机构都有配置差异，根据市平台的文件要求，主要配置如下：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2"/>
        <w:gridCol w:w="1492"/>
        <w:gridCol w:w="1492"/>
        <w:gridCol w:w="1492"/>
        <w:gridCol w:w="1492"/>
        <w:gridCol w:w="14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主机名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操作系统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CPU</w:t>
            </w:r>
            <w:r>
              <w:rPr>
                <w:rFonts w:ascii="FangSong" w:hAnsi="FangSong" w:eastAsia="FangSong" w:cs="FangSong"/>
                <w:b/>
                <w:color w:val="000000"/>
                <w:sz w:val="28"/>
              </w:rPr>
              <w:t xml:space="preserve">（核）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内存（</w:t>
            </w:r>
            <w:r>
              <w:rPr>
                <w:rFonts w:ascii="Times New Roman" w:hAnsi="Times New Roman" w:eastAsia="Times New Roman" w:cs="Times New Roman"/>
                <w:b/>
                <w:color w:val="000000"/>
                <w:sz w:val="28"/>
              </w:rPr>
              <w:t xml:space="preserve">GB</w:t>
            </w:r>
            <w:r>
              <w:rPr>
                <w:rFonts w:ascii="FangSong" w:hAnsi="FangSong" w:eastAsia="FangSong" w:cs="FangSong"/>
                <w:b/>
                <w:color w:val="000000"/>
                <w:sz w:val="2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磁盘（</w:t>
            </w:r>
            <w:r>
              <w:rPr>
                <w:rFonts w:ascii="Times New Roman" w:hAnsi="Times New Roman" w:eastAsia="Times New Roman" w:cs="Times New Roman"/>
                <w:b/>
                <w:color w:val="000000"/>
                <w:sz w:val="28"/>
              </w:rPr>
              <w:t xml:space="preserve">GB</w:t>
            </w:r>
            <w:r>
              <w:rPr>
                <w:rFonts w:ascii="FangSong" w:hAnsi="FangSong" w:eastAsia="FangSong" w:cs="FangSong"/>
                <w:b/>
                <w:color w:val="000000"/>
                <w:sz w:val="28"/>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数据磁盘（</w:t>
            </w:r>
            <w:r>
              <w:rPr>
                <w:rFonts w:ascii="Times New Roman" w:hAnsi="Times New Roman" w:eastAsia="Times New Roman" w:cs="Times New Roman"/>
                <w:b/>
                <w:color w:val="000000"/>
                <w:sz w:val="28"/>
              </w:rPr>
              <w:t xml:space="preserve">GB</w:t>
            </w:r>
            <w:r>
              <w:rPr>
                <w:rFonts w:ascii="FangSong" w:hAnsi="FangSong" w:eastAsia="FangSong" w:cs="FangSong"/>
                <w:b/>
                <w:color w:val="000000"/>
                <w:sz w:val="28"/>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前置机端</w:t>
            </w:r>
            <w:r>
              <w:rPr>
                <w:rFonts w:ascii="Times New Roman" w:hAnsi="Times New Roman" w:eastAsia="Times New Roman" w:cs="Times New Roma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国产操作系统（如银河麒麟、统信、</w:t>
            </w:r>
            <w:r>
              <w:rPr>
                <w:rFonts w:ascii="Times New Roman" w:hAnsi="Times New Roman" w:eastAsia="Times New Roman" w:cs="Times New Roman"/>
                <w:color w:val="000000"/>
                <w:sz w:val="28"/>
              </w:rPr>
              <w:t xml:space="preserve">Anolis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openEuler</w:t>
            </w:r>
            <w:r>
              <w:rPr>
                <w:rFonts w:ascii="FangSong" w:hAnsi="FangSong" w:eastAsia="FangSong" w:cs="FangSong"/>
                <w:color w:val="000000"/>
                <w:sz w:val="28"/>
              </w:rPr>
              <w:t xml:space="preserve">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1000</w:t>
            </w:r>
            <w:r/>
          </w:p>
        </w:tc>
      </w:tr>
    </w:tbl>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软件配置</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版本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描述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Docker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容器化部署工具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Mysql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8.0.39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存储业务数据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Redis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缓存数据库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Rabbitmq</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消息队列服务软件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Mongodb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文件存储服务器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Nginx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高性能的</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和反向代理</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服务器</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ab/>
        <w:t xml:space="preserve">项目运行情况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江苏省医疗机构统一数据采集软件自上线以来，运行稳定，系统主要由中心端和前置机端组成。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中心端主要提供统一的监控和运维，保障通过中心端可以查询所有前置机的运行情况，以及前置端程序的每日任务每月任务执行情况，便于中心端人员管理机构的数据上传。</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端主要提供医疗机构进行数据上传，各医疗机构可以通过系统配置数据库链接和数据传输流程，并配置定时任务执行时间和执行脚本，根据定时时间程序自动将数据传入省平台的前置库中，保障数据传输稳定。同时医疗机构可以对全流程进行上传监控，对于失败的任务进行数据补传，保证数据的完整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市平台系统目前已经接入了全市所有二三级医疗机构，合计</w:t>
      </w:r>
      <w:r>
        <w:rPr>
          <w:rFonts w:ascii="Times New Roman" w:hAnsi="Times New Roman" w:eastAsia="Times New Roman" w:cs="Times New Roman"/>
          <w:color w:val="000000"/>
          <w:sz w:val="28"/>
        </w:rPr>
        <w:t xml:space="preserve">29</w:t>
      </w:r>
      <w:r>
        <w:rPr>
          <w:rFonts w:ascii="FangSong" w:hAnsi="FangSong" w:eastAsia="FangSong" w:cs="FangSong"/>
          <w:color w:val="000000"/>
          <w:sz w:val="28"/>
        </w:rPr>
        <w:t xml:space="preserve">家机构的数据（含基层医疗机构，由市区卫健委业务系统产生）。目前平台定制相应中心端管理软件，用以监控</w:t>
      </w:r>
      <w:r>
        <w:rPr>
          <w:rFonts w:ascii="Times New Roman" w:hAnsi="Times New Roman" w:eastAsia="Times New Roman" w:cs="Times New Roman"/>
          <w:color w:val="000000"/>
          <w:sz w:val="28"/>
        </w:rPr>
        <w:t xml:space="preserve">29</w:t>
      </w:r>
      <w:r>
        <w:rPr>
          <w:rFonts w:ascii="FangSong" w:hAnsi="FangSong" w:eastAsia="FangSong" w:cs="FangSong"/>
          <w:color w:val="000000"/>
          <w:sz w:val="28"/>
        </w:rPr>
        <w:t xml:space="preserve">家机构的前置机端的数据流程以及数据同步情况。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ab/>
        <w:t xml:space="preserve">技术栈和开发环境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应用如下技术：</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前端开发技术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是一种动态的编程语言，广泛应用于网页开发中，主要用于增强网页的交互性和动态性。作为</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开发的核心技术之一，它与</w:t>
      </w:r>
      <w:r>
        <w:rPr>
          <w:rFonts w:ascii="Times New Roman" w:hAnsi="Times New Roman" w:eastAsia="Times New Roman" w:cs="Times New Roman"/>
          <w:color w:val="000000"/>
          <w:sz w:val="28"/>
        </w:rPr>
        <w:t xml:space="preserve">HTML</w:t>
      </w:r>
      <w:r>
        <w:rPr>
          <w:rFonts w:ascii="FangSong" w:hAnsi="FangSong" w:eastAsia="FangSong" w:cs="FangSong"/>
          <w:color w:val="000000"/>
          <w:sz w:val="28"/>
        </w:rPr>
        <w:t xml:space="preserve">和</w:t>
      </w:r>
      <w:r>
        <w:rPr>
          <w:rFonts w:ascii="Times New Roman" w:hAnsi="Times New Roman" w:eastAsia="Times New Roman" w:cs="Times New Roman"/>
          <w:color w:val="000000"/>
          <w:sz w:val="28"/>
        </w:rPr>
        <w:t xml:space="preserve">CSS</w:t>
      </w:r>
      <w:r>
        <w:rPr>
          <w:rFonts w:ascii="FangSong" w:hAnsi="FangSong" w:eastAsia="FangSong" w:cs="FangSong"/>
          <w:color w:val="000000"/>
          <w:sz w:val="28"/>
        </w:rPr>
        <w:t xml:space="preserve">共同协作，</w:t>
      </w:r>
      <w:r>
        <w:rPr>
          <w:rFonts w:ascii="Times New Roman" w:hAnsi="Times New Roman" w:eastAsia="Times New Roman" w:cs="Times New Roman"/>
          <w:color w:val="000000"/>
          <w:sz w:val="28"/>
        </w:rPr>
        <w:t xml:space="preserve">HTML</w:t>
      </w:r>
      <w:r>
        <w:rPr>
          <w:rFonts w:ascii="FangSong" w:hAnsi="FangSong" w:eastAsia="FangSong" w:cs="FangSong"/>
          <w:color w:val="000000"/>
          <w:sz w:val="28"/>
        </w:rPr>
        <w:t xml:space="preserve">负责定义网页的内容结构，</w:t>
      </w:r>
      <w:r>
        <w:rPr>
          <w:rFonts w:ascii="Times New Roman" w:hAnsi="Times New Roman" w:eastAsia="Times New Roman" w:cs="Times New Roman"/>
          <w:color w:val="000000"/>
          <w:sz w:val="28"/>
        </w:rPr>
        <w:t xml:space="preserve">CSS</w:t>
      </w:r>
      <w:r>
        <w:rPr>
          <w:rFonts w:ascii="FangSong" w:hAnsi="FangSong" w:eastAsia="FangSong" w:cs="FangSong"/>
          <w:color w:val="000000"/>
          <w:sz w:val="28"/>
        </w:rPr>
        <w:t xml:space="preserve">处理样式和布局，而</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则控制网页的行为和交互。用户可以利用</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进行事件处理、表单验证、动画创建等多种功能。此外，</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的应用已经扩展到服务器端（如</w:t>
      </w:r>
      <w:r>
        <w:rPr>
          <w:rFonts w:ascii="Times New Roman" w:hAnsi="Times New Roman" w:eastAsia="Times New Roman" w:cs="Times New Roman"/>
          <w:color w:val="000000"/>
          <w:sz w:val="28"/>
        </w:rPr>
        <w:t xml:space="preserve">Node.js</w:t>
      </w:r>
      <w:r>
        <w:rPr>
          <w:rFonts w:ascii="FangSong" w:hAnsi="FangSong" w:eastAsia="FangSong" w:cs="FangSong"/>
          <w:color w:val="000000"/>
          <w:sz w:val="28"/>
        </w:rPr>
        <w:t xml:space="preserve">）、移动应用开发和游戏开发等领域，成为现代编程环境中不可或缺的一部分。其跨平台和高适应性的特点，使得</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成为全球最受欢迎和广泛使用的脚本语言之一。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Vue</w:t>
      </w:r>
      <w:r>
        <w:rPr>
          <w:rFonts w:ascii="FangSong" w:hAnsi="FangSong" w:eastAsia="FangSong" w:cs="FangSong"/>
          <w:color w:val="000000"/>
          <w:sz w:val="28"/>
        </w:rPr>
        <w:t xml:space="preserve">：是一款用于构建用户界面的</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框架。它基于标准</w:t>
      </w:r>
      <w:r>
        <w:rPr>
          <w:rFonts w:ascii="Times New Roman" w:hAnsi="Times New Roman" w:eastAsia="Times New Roman" w:cs="Times New Roman"/>
          <w:color w:val="000000"/>
          <w:sz w:val="28"/>
        </w:rPr>
        <w:t xml:space="preserve">HTML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CSS</w:t>
      </w:r>
      <w:r>
        <w:rPr>
          <w:rFonts w:ascii="FangSong" w:hAnsi="FangSong" w:eastAsia="FangSong" w:cs="FangSong"/>
          <w:color w:val="000000"/>
          <w:sz w:val="28"/>
        </w:rPr>
        <w:t xml:space="preserve">和</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构建，并提供了一套声明式的、组件化的编程模型，可以高效地开发用户界面。无论是简单还是复杂的界面，</w:t>
      </w:r>
      <w:r>
        <w:rPr>
          <w:rFonts w:ascii="Times New Roman" w:hAnsi="Times New Roman" w:eastAsia="Times New Roman" w:cs="Times New Roman"/>
          <w:color w:val="000000"/>
          <w:sz w:val="28"/>
        </w:rPr>
        <w:t xml:space="preserve">Vue</w:t>
      </w:r>
      <w:r>
        <w:rPr>
          <w:rFonts w:ascii="FangSong" w:hAnsi="FangSong" w:eastAsia="FangSong" w:cs="FangSong"/>
          <w:color w:val="000000"/>
          <w:sz w:val="28"/>
        </w:rPr>
        <w:t xml:space="preserve">都可以胜任。它是目前生产环境中使用最广泛的</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框架之一，可以轻松处理大多数</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应用的场景，并且几乎不需要手动优化，并且</w:t>
      </w:r>
      <w:r>
        <w:rPr>
          <w:rFonts w:ascii="Times New Roman" w:hAnsi="Times New Roman" w:eastAsia="Times New Roman" w:cs="Times New Roman"/>
          <w:color w:val="000000"/>
          <w:sz w:val="28"/>
        </w:rPr>
        <w:t xml:space="preserve">Vue</w:t>
      </w:r>
      <w:r>
        <w:rPr>
          <w:rFonts w:ascii="FangSong" w:hAnsi="FangSong" w:eastAsia="FangSong" w:cs="FangSong"/>
          <w:color w:val="000000"/>
          <w:sz w:val="28"/>
        </w:rPr>
        <w:t xml:space="preserve">完全有能力处理大规模的应用。</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后端开发技术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Java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Java</w:t>
      </w:r>
      <w:r>
        <w:rPr>
          <w:rFonts w:ascii="FangSong" w:hAnsi="FangSong" w:eastAsia="FangSong" w:cs="FangSong"/>
          <w:color w:val="000000"/>
          <w:sz w:val="28"/>
        </w:rPr>
        <w:t xml:space="preserve">是一门面向对象的编程语言，不仅吸收了</w:t>
      </w:r>
      <w:r>
        <w:rPr>
          <w:rFonts w:ascii="Times New Roman" w:hAnsi="Times New Roman" w:eastAsia="Times New Roman" w:cs="Times New Roman"/>
          <w:color w:val="000000"/>
          <w:sz w:val="28"/>
        </w:rPr>
        <w:t xml:space="preserve">C++</w:t>
      </w:r>
      <w:r>
        <w:rPr>
          <w:rFonts w:ascii="FangSong" w:hAnsi="FangSong" w:eastAsia="FangSong" w:cs="FangSong"/>
          <w:color w:val="000000"/>
          <w:sz w:val="28"/>
        </w:rPr>
        <w:t xml:space="preserve">语言的各种优点，还摒弃了</w:t>
      </w:r>
      <w:r>
        <w:rPr>
          <w:rFonts w:ascii="Times New Roman" w:hAnsi="Times New Roman" w:eastAsia="Times New Roman" w:cs="Times New Roman"/>
          <w:color w:val="000000"/>
          <w:sz w:val="28"/>
        </w:rPr>
        <w:t xml:space="preserve">C++</w:t>
      </w:r>
      <w:r>
        <w:rPr>
          <w:rFonts w:ascii="FangSong" w:hAnsi="FangSong" w:eastAsia="FangSong" w:cs="FangSong"/>
          <w:color w:val="000000"/>
          <w:sz w:val="28"/>
        </w:rPr>
        <w:t xml:space="preserve">里难以理解的多继承、指针等概念，因此</w:t>
      </w:r>
      <w:r>
        <w:rPr>
          <w:rFonts w:ascii="Times New Roman" w:hAnsi="Times New Roman" w:eastAsia="Times New Roman" w:cs="Times New Roman"/>
          <w:color w:val="000000"/>
          <w:sz w:val="28"/>
        </w:rPr>
        <w:t xml:space="preserve">Java</w:t>
      </w:r>
      <w:r>
        <w:rPr>
          <w:rFonts w:ascii="FangSong" w:hAnsi="FangSong" w:eastAsia="FangSong" w:cs="FangSong"/>
          <w:color w:val="000000"/>
          <w:sz w:val="28"/>
        </w:rPr>
        <w:t xml:space="preserve">语言具有功能强大和简单易用两个特征。</w:t>
      </w:r>
      <w:r>
        <w:rPr>
          <w:rFonts w:ascii="Times New Roman" w:hAnsi="Times New Roman" w:eastAsia="Times New Roman" w:cs="Times New Roman"/>
          <w:color w:val="000000"/>
          <w:sz w:val="28"/>
        </w:rPr>
        <w:t xml:space="preserve">Java</w:t>
      </w:r>
      <w:r>
        <w:rPr>
          <w:rFonts w:ascii="FangSong" w:hAnsi="FangSong" w:eastAsia="FangSong" w:cs="FangSong"/>
          <w:color w:val="000000"/>
          <w:sz w:val="28"/>
        </w:rPr>
        <w:t xml:space="preserve">语言作为静态面向对象编程语言的代表，极好地实现了面向对象理论，允许程序员以优雅的思维方式进行复杂的编程。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Spring</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Spring</w:t>
      </w:r>
      <w:r>
        <w:rPr>
          <w:rFonts w:ascii="FangSong" w:hAnsi="FangSong" w:eastAsia="FangSong" w:cs="FangSong"/>
          <w:color w:val="000000"/>
          <w:sz w:val="28"/>
        </w:rPr>
        <w:t xml:space="preserve">框架是一个开放源代码的</w:t>
      </w:r>
      <w:r>
        <w:rPr>
          <w:rFonts w:ascii="Times New Roman" w:hAnsi="Times New Roman" w:eastAsia="Times New Roman" w:cs="Times New Roman"/>
          <w:color w:val="000000"/>
          <w:sz w:val="28"/>
        </w:rPr>
        <w:t xml:space="preserve">J2EE</w:t>
      </w:r>
      <w:r>
        <w:rPr>
          <w:rFonts w:ascii="FangSong" w:hAnsi="FangSong" w:eastAsia="FangSong" w:cs="FangSong"/>
          <w:color w:val="000000"/>
          <w:sz w:val="28"/>
        </w:rPr>
        <w:t xml:space="preserve">应用程序框架，由</w:t>
      </w:r>
      <w:r>
        <w:rPr>
          <w:rFonts w:ascii="Times New Roman" w:hAnsi="Times New Roman" w:eastAsia="Times New Roman" w:cs="Times New Roman"/>
          <w:color w:val="000000"/>
          <w:sz w:val="28"/>
        </w:rPr>
        <w:t xml:space="preserve">RodJohnson</w:t>
      </w:r>
      <w:r>
        <w:rPr>
          <w:rFonts w:ascii="FangSong" w:hAnsi="FangSong" w:eastAsia="FangSong" w:cs="FangSong"/>
          <w:color w:val="000000"/>
          <w:sz w:val="28"/>
        </w:rPr>
        <w:t xml:space="preserve">发起，是针对</w:t>
      </w:r>
      <w:r>
        <w:rPr>
          <w:rFonts w:ascii="Times New Roman" w:hAnsi="Times New Roman" w:eastAsia="Times New Roman" w:cs="Times New Roman"/>
          <w:color w:val="000000"/>
          <w:sz w:val="28"/>
        </w:rPr>
        <w:t xml:space="preserve">bean</w:t>
      </w:r>
      <w:r>
        <w:rPr>
          <w:rFonts w:ascii="FangSong" w:hAnsi="FangSong" w:eastAsia="FangSong" w:cs="FangSong"/>
          <w:color w:val="000000"/>
          <w:sz w:val="28"/>
        </w:rPr>
        <w:t xml:space="preserve">的生命周期进行管理的轻量级容器（</w:t>
      </w:r>
      <w:r>
        <w:rPr>
          <w:rFonts w:ascii="Times New Roman" w:hAnsi="Times New Roman" w:eastAsia="Times New Roman" w:cs="Times New Roman"/>
          <w:color w:val="000000"/>
          <w:sz w:val="28"/>
        </w:rPr>
        <w:t xml:space="preserve">lightweightcontainer</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Spring</w:t>
      </w:r>
      <w:r>
        <w:rPr>
          <w:rFonts w:ascii="FangSong" w:hAnsi="FangSong" w:eastAsia="FangSong" w:cs="FangSong"/>
          <w:color w:val="000000"/>
          <w:sz w:val="28"/>
        </w:rPr>
        <w:t xml:space="preserve">解决了开发者在</w:t>
      </w:r>
      <w:r>
        <w:rPr>
          <w:rFonts w:ascii="Times New Roman" w:hAnsi="Times New Roman" w:eastAsia="Times New Roman" w:cs="Times New Roman"/>
          <w:color w:val="000000"/>
          <w:sz w:val="28"/>
        </w:rPr>
        <w:t xml:space="preserve">J2EE</w:t>
      </w:r>
      <w:r>
        <w:rPr>
          <w:rFonts w:ascii="FangSong" w:hAnsi="FangSong" w:eastAsia="FangSong" w:cs="FangSong"/>
          <w:color w:val="000000"/>
          <w:sz w:val="28"/>
        </w:rPr>
        <w:t xml:space="preserve">开发中遇到的许多常见的问题，提供了功能强大</w:t>
      </w:r>
      <w:r>
        <w:rPr>
          <w:rFonts w:ascii="Times New Roman" w:hAnsi="Times New Roman" w:eastAsia="Times New Roman" w:cs="Times New Roman"/>
          <w:color w:val="000000"/>
          <w:sz w:val="28"/>
        </w:rPr>
        <w:t xml:space="preserve">IOC</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AOP</w:t>
      </w:r>
      <w:r>
        <w:rPr>
          <w:rFonts w:ascii="FangSong" w:hAnsi="FangSong" w:eastAsia="FangSong" w:cs="FangSong"/>
          <w:color w:val="000000"/>
          <w:sz w:val="28"/>
        </w:rPr>
        <w:t xml:space="preserve">及</w:t>
      </w:r>
      <w:r>
        <w:rPr>
          <w:rFonts w:ascii="Times New Roman" w:hAnsi="Times New Roman" w:eastAsia="Times New Roman" w:cs="Times New Roman"/>
          <w:color w:val="000000"/>
          <w:sz w:val="28"/>
        </w:rPr>
        <w:t xml:space="preserve">WebMVC</w:t>
      </w:r>
      <w:r>
        <w:rPr>
          <w:rFonts w:ascii="FangSong" w:hAnsi="FangSong" w:eastAsia="FangSong" w:cs="FangSong"/>
          <w:color w:val="000000"/>
          <w:sz w:val="28"/>
        </w:rPr>
        <w:t xml:space="preserve">等功能。</w:t>
      </w:r>
      <w:r>
        <w:rPr>
          <w:rFonts w:ascii="Times New Roman" w:hAnsi="Times New Roman" w:eastAsia="Times New Roman" w:cs="Times New Roman"/>
          <w:color w:val="000000"/>
          <w:sz w:val="28"/>
        </w:rPr>
        <w:t xml:space="preserve">Spring</w:t>
      </w:r>
      <w:r>
        <w:rPr>
          <w:rFonts w:ascii="FangSong" w:hAnsi="FangSong" w:eastAsia="FangSong" w:cs="FangSong"/>
          <w:color w:val="000000"/>
          <w:sz w:val="28"/>
        </w:rPr>
        <w:t xml:space="preserve">可以单独应用于构筑应用程序，也可以和</w:t>
      </w:r>
      <w:r>
        <w:rPr>
          <w:rFonts w:ascii="Times New Roman" w:hAnsi="Times New Roman" w:eastAsia="Times New Roman" w:cs="Times New Roman"/>
          <w:color w:val="000000"/>
          <w:sz w:val="28"/>
        </w:rPr>
        <w:t xml:space="preserve">Struts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Webwork</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Tapestry</w:t>
      </w:r>
      <w:r>
        <w:rPr>
          <w:rFonts w:ascii="FangSong" w:hAnsi="FangSong" w:eastAsia="FangSong" w:cs="FangSong"/>
          <w:color w:val="000000"/>
          <w:sz w:val="28"/>
        </w:rPr>
        <w:t xml:space="preserve">等众多</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框架组合使用，并且可以与</w:t>
      </w:r>
      <w:r>
        <w:rPr>
          <w:rFonts w:ascii="Times New Roman" w:hAnsi="Times New Roman" w:eastAsia="Times New Roman" w:cs="Times New Roman"/>
          <w:color w:val="000000"/>
          <w:sz w:val="28"/>
        </w:rPr>
        <w:t xml:space="preserve">Swing</w:t>
      </w:r>
      <w:r>
        <w:rPr>
          <w:rFonts w:ascii="FangSong" w:hAnsi="FangSong" w:eastAsia="FangSong" w:cs="FangSong"/>
          <w:color w:val="000000"/>
          <w:sz w:val="28"/>
        </w:rPr>
        <w:t xml:space="preserve">等桌面应用程序</w:t>
      </w:r>
      <w:r>
        <w:rPr>
          <w:rFonts w:ascii="Times New Roman" w:hAnsi="Times New Roman" w:eastAsia="Times New Roman" w:cs="Times New Roman"/>
          <w:color w:val="000000"/>
          <w:sz w:val="28"/>
        </w:rPr>
        <w:t xml:space="preserve">AP</w:t>
      </w:r>
      <w:r>
        <w:rPr>
          <w:rFonts w:ascii="FangSong" w:hAnsi="FangSong" w:eastAsia="FangSong" w:cs="FangSong"/>
          <w:color w:val="000000"/>
          <w:sz w:val="28"/>
        </w:rPr>
        <w:t xml:space="preserve">组合。因此，</w:t>
      </w:r>
      <w:r>
        <w:rPr>
          <w:rFonts w:ascii="Times New Roman" w:hAnsi="Times New Roman" w:eastAsia="Times New Roman" w:cs="Times New Roman"/>
          <w:color w:val="000000"/>
          <w:sz w:val="28"/>
        </w:rPr>
        <w:t xml:space="preserve">Spring</w:t>
      </w:r>
      <w:r>
        <w:rPr>
          <w:rFonts w:ascii="FangSong" w:hAnsi="FangSong" w:eastAsia="FangSong" w:cs="FangSong"/>
          <w:color w:val="000000"/>
          <w:sz w:val="28"/>
        </w:rPr>
        <w:t xml:space="preserve">不仅仅能应用于</w:t>
      </w:r>
      <w:r>
        <w:rPr>
          <w:rFonts w:ascii="Times New Roman" w:hAnsi="Times New Roman" w:eastAsia="Times New Roman" w:cs="Times New Roman"/>
          <w:color w:val="000000"/>
          <w:sz w:val="28"/>
        </w:rPr>
        <w:t xml:space="preserve">J2EE</w:t>
      </w:r>
      <w:r>
        <w:rPr>
          <w:rFonts w:ascii="FangSong" w:hAnsi="FangSong" w:eastAsia="FangSong" w:cs="FangSong"/>
          <w:color w:val="000000"/>
          <w:sz w:val="28"/>
        </w:rPr>
        <w:t xml:space="preserve">应用程序之中，也可以应用于桌面应用程序以及小应用程序之中。</w:t>
      </w:r>
      <w:r>
        <w:rPr>
          <w:rFonts w:ascii="Times New Roman" w:hAnsi="Times New Roman" w:eastAsia="Times New Roman" w:cs="Times New Roman"/>
          <w:color w:val="000000"/>
          <w:sz w:val="28"/>
        </w:rPr>
        <w:t xml:space="preserve">Spring</w:t>
      </w:r>
      <w:r>
        <w:rPr>
          <w:rFonts w:ascii="FangSong" w:hAnsi="FangSong" w:eastAsia="FangSong" w:cs="FangSong"/>
          <w:color w:val="000000"/>
          <w:sz w:val="28"/>
        </w:rPr>
        <w:t xml:space="preserve">框架主要由七部分组成，分别是</w:t>
      </w:r>
      <w:r>
        <w:rPr>
          <w:rFonts w:ascii="Times New Roman" w:hAnsi="Times New Roman" w:eastAsia="Times New Roman" w:cs="Times New Roman"/>
          <w:color w:val="000000"/>
          <w:sz w:val="28"/>
        </w:rPr>
        <w:t xml:space="preserve">SpringCore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SpringAOP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SpringORM</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SpringDAO</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SpringContext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SpringWeb</w:t>
      </w:r>
      <w:r>
        <w:rPr>
          <w:rFonts w:ascii="FangSong" w:hAnsi="FangSong" w:eastAsia="FangSong" w:cs="FangSong"/>
          <w:color w:val="000000"/>
          <w:sz w:val="28"/>
        </w:rPr>
        <w:t xml:space="preserve">和</w:t>
      </w:r>
      <w:r>
        <w:rPr>
          <w:rFonts w:ascii="Times New Roman" w:hAnsi="Times New Roman" w:eastAsia="Times New Roman" w:cs="Times New Roman"/>
          <w:color w:val="000000"/>
          <w:sz w:val="28"/>
        </w:rPr>
        <w:t xml:space="preserve">SpringWebMVC</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SpringBoot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SpringBoot</w:t>
      </w:r>
      <w:r>
        <w:rPr>
          <w:rFonts w:ascii="FangSong" w:hAnsi="FangSong" w:eastAsia="FangSong" w:cs="FangSong"/>
          <w:color w:val="000000"/>
          <w:sz w:val="28"/>
        </w:rPr>
        <w:t xml:space="preserve">是由</w:t>
      </w:r>
      <w:r>
        <w:rPr>
          <w:rFonts w:ascii="Times New Roman" w:hAnsi="Times New Roman" w:eastAsia="Times New Roman" w:cs="Times New Roman"/>
          <w:color w:val="000000"/>
          <w:sz w:val="28"/>
        </w:rPr>
        <w:t xml:space="preserve">Pivotal</w:t>
      </w:r>
      <w:r>
        <w:rPr>
          <w:rFonts w:ascii="FangSong" w:hAnsi="FangSong" w:eastAsia="FangSong" w:cs="FangSong"/>
          <w:color w:val="000000"/>
          <w:sz w:val="28"/>
        </w:rPr>
        <w:t xml:space="preserve">团队提供的全新框架，其设计目的是用来简化新</w:t>
      </w:r>
      <w:r>
        <w:rPr>
          <w:rFonts w:ascii="Times New Roman" w:hAnsi="Times New Roman" w:eastAsia="Times New Roman" w:cs="Times New Roman"/>
          <w:color w:val="000000"/>
          <w:sz w:val="28"/>
        </w:rPr>
        <w:t xml:space="preserve">Spring</w:t>
      </w:r>
      <w:r>
        <w:rPr>
          <w:rFonts w:ascii="FangSong" w:hAnsi="FangSong" w:eastAsia="FangSong" w:cs="FangSong"/>
          <w:color w:val="000000"/>
          <w:sz w:val="28"/>
        </w:rPr>
        <w:t xml:space="preserve">应用的初始搭建以及开发过程。该框架使用了特定的方式来进行配置，从而使开发人员不再需要定义样板化的配置。通过这种方式，</w:t>
      </w:r>
      <w:r>
        <w:rPr>
          <w:rFonts w:ascii="Times New Roman" w:hAnsi="Times New Roman" w:eastAsia="Times New Roman" w:cs="Times New Roman"/>
          <w:color w:val="000000"/>
          <w:sz w:val="28"/>
        </w:rPr>
        <w:t xml:space="preserve">SpringBoot</w:t>
      </w:r>
      <w:r>
        <w:rPr>
          <w:rFonts w:ascii="FangSong" w:hAnsi="FangSong" w:eastAsia="FangSong" w:cs="FangSong"/>
          <w:color w:val="000000"/>
          <w:sz w:val="28"/>
        </w:rPr>
        <w:t xml:space="preserve">致力于在蓬勃发展的快速应用开发领域</w:t>
      </w:r>
      <w:r>
        <w:rPr>
          <w:rFonts w:ascii="Times New Roman" w:hAnsi="Times New Roman" w:eastAsia="Times New Roman" w:cs="Times New Roman"/>
          <w:color w:val="000000"/>
          <w:sz w:val="28"/>
        </w:rPr>
        <w:t xml:space="preserve">(rapidapplicationdevelopment)</w:t>
      </w:r>
      <w:r>
        <w:rPr>
          <w:rFonts w:ascii="FangSong" w:hAnsi="FangSong" w:eastAsia="FangSong" w:cs="FangSong"/>
          <w:color w:val="000000"/>
          <w:sz w:val="28"/>
        </w:rPr>
        <w:t xml:space="preserve">成为领导者。</w:t>
      </w:r>
      <w:r/>
    </w:p>
    <w:p>
      <w:pPr>
        <w:numPr>
          <w:ilvl w:val="0"/>
          <w:numId w:val="13"/>
        </w:numPr>
        <w:spacing w:before="240" w:after="24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开发工具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IntelliJIDEA</w:t>
      </w:r>
      <w:r>
        <w:rPr>
          <w:rFonts w:ascii="FangSong" w:hAnsi="FangSong" w:eastAsia="FangSong" w:cs="FangSong"/>
          <w:color w:val="000000"/>
          <w:sz w:val="28"/>
        </w:rPr>
        <w:t xml:space="preserve">：是由</w:t>
      </w:r>
      <w:r>
        <w:rPr>
          <w:rFonts w:ascii="Times New Roman" w:hAnsi="Times New Roman" w:eastAsia="Times New Roman" w:cs="Times New Roman"/>
          <w:color w:val="000000"/>
          <w:sz w:val="28"/>
        </w:rPr>
        <w:t xml:space="preserve">JetBrains</w:t>
      </w:r>
      <w:r>
        <w:rPr>
          <w:rFonts w:ascii="FangSong" w:hAnsi="FangSong" w:eastAsia="FangSong" w:cs="FangSong"/>
          <w:color w:val="000000"/>
          <w:sz w:val="28"/>
        </w:rPr>
        <w:t xml:space="preserve">开发的一款广泛使用的集成开发环境（</w:t>
      </w:r>
      <w:r>
        <w:rPr>
          <w:rFonts w:ascii="Times New Roman" w:hAnsi="Times New Roman" w:eastAsia="Times New Roman" w:cs="Times New Roman"/>
          <w:color w:val="000000"/>
          <w:sz w:val="28"/>
        </w:rPr>
        <w:t xml:space="preserve">IDE</w:t>
      </w:r>
      <w:r>
        <w:rPr>
          <w:rFonts w:ascii="FangSong" w:hAnsi="FangSong" w:eastAsia="FangSong" w:cs="FangSong"/>
          <w:color w:val="000000"/>
          <w:sz w:val="28"/>
        </w:rPr>
        <w:t xml:space="preserve">），专为提高开发者的生产力和代码质量而设计。作为一个强大的多语言</w:t>
      </w:r>
      <w:r>
        <w:rPr>
          <w:rFonts w:ascii="Times New Roman" w:hAnsi="Times New Roman" w:eastAsia="Times New Roman" w:cs="Times New Roman"/>
          <w:color w:val="000000"/>
          <w:sz w:val="28"/>
        </w:rPr>
        <w:t xml:space="preserve">IDE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IntelliJIDEA</w:t>
      </w:r>
      <w:r>
        <w:rPr>
          <w:rFonts w:ascii="FangSong" w:hAnsi="FangSong" w:eastAsia="FangSong" w:cs="FangSong"/>
          <w:color w:val="000000"/>
          <w:sz w:val="28"/>
        </w:rPr>
        <w:t xml:space="preserve">以其智能代码补全、代码分析和重构功能而闻名。</w:t>
      </w:r>
      <w:r>
        <w:rPr>
          <w:rFonts w:ascii="Times New Roman" w:hAnsi="Times New Roman" w:eastAsia="Times New Roman" w:cs="Times New Roman"/>
          <w:color w:val="000000"/>
          <w:sz w:val="28"/>
        </w:rPr>
        <w:t xml:space="preserve">IntelliJIDEA</w:t>
      </w:r>
      <w:r>
        <w:rPr>
          <w:rFonts w:ascii="FangSong" w:hAnsi="FangSong" w:eastAsia="FangSong" w:cs="FangSong"/>
          <w:color w:val="000000"/>
          <w:sz w:val="28"/>
        </w:rPr>
        <w:t xml:space="preserve">提供了强大的调试工具、版本控制集成（如</w:t>
      </w:r>
      <w:r>
        <w:rPr>
          <w:rFonts w:ascii="Times New Roman" w:hAnsi="Times New Roman" w:eastAsia="Times New Roman" w:cs="Times New Roman"/>
          <w:color w:val="000000"/>
          <w:sz w:val="28"/>
        </w:rPr>
        <w:t xml:space="preserve">Git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SVN</w:t>
      </w:r>
      <w:r>
        <w:rPr>
          <w:rFonts w:ascii="FangSong" w:hAnsi="FangSong" w:eastAsia="FangSong" w:cs="FangSong"/>
          <w:color w:val="000000"/>
          <w:sz w:val="28"/>
        </w:rPr>
        <w:t xml:space="preserve">和</w:t>
      </w:r>
      <w:r>
        <w:rPr>
          <w:rFonts w:ascii="Times New Roman" w:hAnsi="Times New Roman" w:eastAsia="Times New Roman" w:cs="Times New Roman"/>
          <w:color w:val="000000"/>
          <w:sz w:val="28"/>
        </w:rPr>
        <w:t xml:space="preserve">Mercurial</w:t>
      </w:r>
      <w:r>
        <w:rPr>
          <w:rFonts w:ascii="FangSong" w:hAnsi="FangSong" w:eastAsia="FangSong" w:cs="FangSong"/>
          <w:color w:val="000000"/>
          <w:sz w:val="28"/>
        </w:rPr>
        <w:t xml:space="preserve">），以及丰富的插件生态系统，使得开发者能够根据需要扩展和定制其功能。此外，</w:t>
      </w:r>
      <w:r>
        <w:rPr>
          <w:rFonts w:ascii="Times New Roman" w:hAnsi="Times New Roman" w:eastAsia="Times New Roman" w:cs="Times New Roman"/>
          <w:color w:val="000000"/>
          <w:sz w:val="28"/>
        </w:rPr>
        <w:t xml:space="preserve">IntelliJIDEA</w:t>
      </w:r>
      <w:r>
        <w:rPr>
          <w:rFonts w:ascii="FangSong" w:hAnsi="FangSong" w:eastAsia="FangSong" w:cs="FangSong"/>
          <w:color w:val="000000"/>
          <w:sz w:val="28"/>
        </w:rPr>
        <w:t xml:space="preserve">拥有直观的用户界面和高度可配置的工作环境，支持快速导航和高效的代码编辑，适用于从小型项目到大型企业级应用的开发。这些特性使得</w:t>
      </w:r>
      <w:r>
        <w:rPr>
          <w:rFonts w:ascii="Times New Roman" w:hAnsi="Times New Roman" w:eastAsia="Times New Roman" w:cs="Times New Roman"/>
          <w:color w:val="000000"/>
          <w:sz w:val="28"/>
        </w:rPr>
        <w:t xml:space="preserve">IntelliJIDEA</w:t>
      </w:r>
      <w:r>
        <w:rPr>
          <w:rFonts w:ascii="FangSong" w:hAnsi="FangSong" w:eastAsia="FangSong" w:cs="FangSong"/>
          <w:color w:val="000000"/>
          <w:sz w:val="28"/>
        </w:rPr>
        <w:t xml:space="preserve">成为了众多开发者的首选</w:t>
      </w:r>
      <w:r>
        <w:rPr>
          <w:rFonts w:ascii="Times New Roman" w:hAnsi="Times New Roman" w:eastAsia="Times New Roman" w:cs="Times New Roman"/>
          <w:color w:val="000000"/>
          <w:sz w:val="28"/>
        </w:rPr>
        <w:t xml:space="preserve">IDE</w:t>
      </w:r>
      <w:r>
        <w:rPr>
          <w:rFonts w:ascii="FangSong" w:hAnsi="FangSong" w:eastAsia="FangSong" w:cs="FangSong"/>
          <w:color w:val="000000"/>
          <w:sz w:val="28"/>
        </w:rPr>
        <w:t xml:space="preserve">。其社区版（免费）和终极版（付费）满足了不同层次开发者的需求。专业版支持多种编程语言，特别是对</w:t>
      </w:r>
      <w:r>
        <w:rPr>
          <w:rFonts w:ascii="Times New Roman" w:hAnsi="Times New Roman" w:eastAsia="Times New Roman" w:cs="Times New Roman"/>
          <w:color w:val="000000"/>
          <w:sz w:val="28"/>
        </w:rPr>
        <w:t xml:space="preserve">Java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Kotlin</w:t>
      </w:r>
      <w:r>
        <w:rPr>
          <w:rFonts w:ascii="FangSong" w:hAnsi="FangSong" w:eastAsia="FangSong" w:cs="FangSong"/>
          <w:color w:val="000000"/>
          <w:sz w:val="28"/>
        </w:rPr>
        <w:t xml:space="preserve">和</w:t>
      </w:r>
      <w:r>
        <w:rPr>
          <w:rFonts w:ascii="Times New Roman" w:hAnsi="Times New Roman" w:eastAsia="Times New Roman" w:cs="Times New Roman"/>
          <w:color w:val="000000"/>
          <w:sz w:val="28"/>
        </w:rPr>
        <w:t xml:space="preserve">Scala</w:t>
      </w:r>
      <w:r>
        <w:rPr>
          <w:rFonts w:ascii="FangSong" w:hAnsi="FangSong" w:eastAsia="FangSong" w:cs="FangSong"/>
          <w:color w:val="000000"/>
          <w:sz w:val="28"/>
        </w:rPr>
        <w:t xml:space="preserve">等</w:t>
      </w:r>
      <w:r>
        <w:rPr>
          <w:rFonts w:ascii="Times New Roman" w:hAnsi="Times New Roman" w:eastAsia="Times New Roman" w:cs="Times New Roman"/>
          <w:color w:val="000000"/>
          <w:sz w:val="28"/>
        </w:rPr>
        <w:t xml:space="preserve">JVM</w:t>
      </w:r>
      <w:r>
        <w:rPr>
          <w:rFonts w:ascii="FangSong" w:hAnsi="FangSong" w:eastAsia="FangSong" w:cs="FangSong"/>
          <w:color w:val="000000"/>
          <w:sz w:val="28"/>
        </w:rPr>
        <w:t xml:space="preserve">语言进行了深度优化和支持，而免费版则支持</w:t>
      </w:r>
      <w:r>
        <w:rPr>
          <w:rFonts w:ascii="Times New Roman" w:hAnsi="Times New Roman" w:eastAsia="Times New Roman" w:cs="Times New Roman"/>
          <w:color w:val="000000"/>
          <w:sz w:val="28"/>
        </w:rPr>
        <w:t xml:space="preserve">Java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Kotlin</w:t>
      </w:r>
      <w:r>
        <w:rPr>
          <w:rFonts w:ascii="FangSong" w:hAnsi="FangSong" w:eastAsia="FangSong" w:cs="FangSong"/>
          <w:color w:val="000000"/>
          <w:sz w:val="28"/>
        </w:rPr>
        <w:t xml:space="preserve">等少数语言。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WebStorm</w:t>
      </w:r>
      <w:r>
        <w:rPr>
          <w:rFonts w:ascii="FangSong" w:hAnsi="FangSong" w:eastAsia="FangSong" w:cs="FangSong"/>
          <w:color w:val="000000"/>
          <w:sz w:val="28"/>
        </w:rPr>
        <w:t xml:space="preserve">：是</w:t>
      </w:r>
      <w:r>
        <w:rPr>
          <w:rFonts w:ascii="Times New Roman" w:hAnsi="Times New Roman" w:eastAsia="Times New Roman" w:cs="Times New Roman"/>
          <w:color w:val="000000"/>
          <w:sz w:val="28"/>
        </w:rPr>
        <w:t xml:space="preserve">JetBrains</w:t>
      </w:r>
      <w:r>
        <w:rPr>
          <w:rFonts w:ascii="FangSong" w:hAnsi="FangSong" w:eastAsia="FangSong" w:cs="FangSong"/>
          <w:color w:val="000000"/>
          <w:sz w:val="28"/>
        </w:rPr>
        <w:t xml:space="preserve">公司旗下一款</w:t>
      </w:r>
      <w:r>
        <w:rPr>
          <w:rFonts w:ascii="Times New Roman" w:hAnsi="Times New Roman" w:eastAsia="Times New Roman" w:cs="Times New Roman"/>
          <w:color w:val="000000"/>
          <w:sz w:val="28"/>
        </w:rPr>
        <w:t xml:space="preserve">JavaScript</w:t>
      </w:r>
      <w:r>
        <w:rPr>
          <w:rFonts w:ascii="FangSong" w:hAnsi="FangSong" w:eastAsia="FangSong" w:cs="FangSong"/>
          <w:color w:val="000000"/>
          <w:sz w:val="28"/>
        </w:rPr>
        <w:t xml:space="preserve">开发工具。已经被广大中国</w:t>
      </w:r>
      <w:r>
        <w:rPr>
          <w:rFonts w:ascii="Times New Roman" w:hAnsi="Times New Roman" w:eastAsia="Times New Roman" w:cs="Times New Roman"/>
          <w:color w:val="000000"/>
          <w:sz w:val="28"/>
        </w:rPr>
        <w:t xml:space="preserve">JS</w:t>
      </w:r>
      <w:r>
        <w:rPr>
          <w:rFonts w:ascii="FangSong" w:hAnsi="FangSong" w:eastAsia="FangSong" w:cs="FangSong"/>
          <w:color w:val="000000"/>
          <w:sz w:val="28"/>
        </w:rPr>
        <w:t xml:space="preserve">开发者誉为“</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前端开发神器”、“最强大的</w:t>
      </w:r>
      <w:r>
        <w:rPr>
          <w:rFonts w:ascii="Times New Roman" w:hAnsi="Times New Roman" w:eastAsia="Times New Roman" w:cs="Times New Roman"/>
          <w:color w:val="000000"/>
          <w:sz w:val="28"/>
        </w:rPr>
        <w:t xml:space="preserve">HTML5</w:t>
      </w:r>
      <w:r>
        <w:rPr>
          <w:rFonts w:ascii="FangSong" w:hAnsi="FangSong" w:eastAsia="FangSong" w:cs="FangSong"/>
          <w:color w:val="000000"/>
          <w:sz w:val="28"/>
        </w:rPr>
        <w:t xml:space="preserve">编辑器”、“最智能的</w:t>
      </w:r>
      <w:r>
        <w:rPr>
          <w:rFonts w:ascii="Times New Roman" w:hAnsi="Times New Roman" w:eastAsia="Times New Roman" w:cs="Times New Roman"/>
          <w:color w:val="000000"/>
          <w:sz w:val="28"/>
        </w:rPr>
        <w:t xml:space="preserve">JavaScriptIDE</w:t>
      </w:r>
      <w:r>
        <w:rPr>
          <w:rFonts w:ascii="FangSong" w:hAnsi="FangSong" w:eastAsia="FangSong" w:cs="FangSong"/>
          <w:color w:val="000000"/>
          <w:sz w:val="28"/>
        </w:rPr>
        <w:t xml:space="preserve">”等。与</w:t>
      </w:r>
      <w:r>
        <w:rPr>
          <w:rFonts w:ascii="Times New Roman" w:hAnsi="Times New Roman" w:eastAsia="Times New Roman" w:cs="Times New Roman"/>
          <w:color w:val="000000"/>
          <w:sz w:val="28"/>
        </w:rPr>
        <w:t xml:space="preserve">IntelliJIDEA</w:t>
      </w:r>
      <w:r>
        <w:rPr>
          <w:rFonts w:ascii="FangSong" w:hAnsi="FangSong" w:eastAsia="FangSong" w:cs="FangSong"/>
          <w:color w:val="000000"/>
          <w:sz w:val="28"/>
        </w:rPr>
        <w:t xml:space="preserve">同源，继承了</w:t>
      </w:r>
      <w:r>
        <w:rPr>
          <w:rFonts w:ascii="Times New Roman" w:hAnsi="Times New Roman" w:eastAsia="Times New Roman" w:cs="Times New Roman"/>
          <w:color w:val="000000"/>
          <w:sz w:val="28"/>
        </w:rPr>
        <w:t xml:space="preserve">IntelliJIDEA</w:t>
      </w:r>
      <w:r>
        <w:rPr>
          <w:rFonts w:ascii="FangSong" w:hAnsi="FangSong" w:eastAsia="FangSong" w:cs="FangSong"/>
          <w:color w:val="000000"/>
          <w:sz w:val="28"/>
        </w:rPr>
        <w:t xml:space="preserve">强大的</w:t>
      </w:r>
      <w:r>
        <w:rPr>
          <w:rFonts w:ascii="Times New Roman" w:hAnsi="Times New Roman" w:eastAsia="Times New Roman" w:cs="Times New Roman"/>
          <w:color w:val="000000"/>
          <w:sz w:val="28"/>
        </w:rPr>
        <w:t xml:space="preserve">JS</w:t>
      </w:r>
      <w:r>
        <w:rPr>
          <w:rFonts w:ascii="FangSong" w:hAnsi="FangSong" w:eastAsia="FangSong" w:cs="FangSong"/>
          <w:color w:val="000000"/>
          <w:sz w:val="28"/>
        </w:rPr>
        <w:t xml:space="preserve">部分的功能。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（三）平台安全方面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运行维护服务不规范、不专业，安全防护存在短板，无法为业务应用系统提供稳定、安全的运行环境，一旦系统出现故障或安全问题，将对医疗卫生管理工作造成较大影响，甚至可能导致数据丢失、业务中断。</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7.2.2.技术需求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可扩展性原则：兼顾技术先进性与扩展升级能力，立足医院长期信息化规划，实现数据标准与业务应用的灵活拓展，适配未来业务迭代需求。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易用性原则：协同运营平台</w:t>
      </w:r>
      <w:r>
        <w:rPr>
          <w:rFonts w:ascii="Times New Roman" w:hAnsi="Times New Roman" w:eastAsia="Times New Roman" w:cs="Times New Roman"/>
          <w:color w:val="000000"/>
          <w:sz w:val="28"/>
        </w:rPr>
        <w:t xml:space="preserve">UI</w:t>
      </w:r>
      <w:r>
        <w:rPr>
          <w:rFonts w:ascii="FangSong" w:hAnsi="FangSong" w:eastAsia="FangSong" w:cs="FangSong"/>
          <w:color w:val="000000"/>
          <w:sz w:val="28"/>
        </w:rPr>
        <w:t xml:space="preserve">界面遵循一致性、直观性与合理性设计规范，提升用户操作便捷性与体验流畅度。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兼容性原则：具备高兼容性，支持部署于国产化服务器，适配主流国产化中间件、数据库及操作系统，同时兼容</w:t>
      </w:r>
      <w:r>
        <w:rPr>
          <w:rFonts w:ascii="Times New Roman" w:hAnsi="Times New Roman" w:eastAsia="Times New Roman" w:cs="Times New Roman"/>
          <w:color w:val="000000"/>
          <w:sz w:val="28"/>
        </w:rPr>
        <w:t xml:space="preserve">Windows</w:t>
      </w:r>
      <w:r>
        <w:rPr>
          <w:rFonts w:ascii="FangSong" w:hAnsi="FangSong" w:eastAsia="FangSong" w:cs="FangSong"/>
          <w:color w:val="000000"/>
          <w:sz w:val="28"/>
        </w:rPr>
        <w:t xml:space="preserve">系统、国产化客户端与移动端；保障同构产品平滑过渡，保护既有投资并支撑系统后续升级。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先进性原则：基于业界先进成熟的技术架构进行总体规划，为系统的持续发展与功能扩充预留充足空间。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放性原则：采用开放式技术架构与标准化产品选型，支持跨硬件平台、跨操作系统、跨数据库部署；通过组件化框架设计，可灵活新增功能模块与业务组件，提供二次开发平台及元数据、数据字典支持，便于系统维护；基于</w:t>
      </w:r>
      <w:r>
        <w:rPr>
          <w:rFonts w:ascii="Times New Roman" w:hAnsi="Times New Roman" w:eastAsia="Times New Roman" w:cs="Times New Roman"/>
          <w:color w:val="000000"/>
          <w:sz w:val="28"/>
        </w:rPr>
        <w:t xml:space="preserve">XML</w:t>
      </w:r>
      <w:r>
        <w:rPr>
          <w:rFonts w:ascii="FangSong" w:hAnsi="FangSong" w:eastAsia="FangSong" w:cs="FangSong"/>
          <w:color w:val="000000"/>
          <w:sz w:val="28"/>
        </w:rPr>
        <w:t xml:space="preserve">标准实现数据交换，保障与第三方软件的协同集成。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安全可靠性原则：融入多重安全防护技术与措施，保障系统信息安全与长期稳定运行，满足“简便、实用、快捷、安全、准确”的核心建设目标。</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7.3.技术方案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7.3.1.总体架构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按照业务领域分类，数据平台共分为：数据源层、数据平台层、数据应用能力层、中台应用层四个层级。系统具体架构示意图如下图所示：</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810125" cy="3019425"/>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459930" name=""/>
                        <pic:cNvPicPr>
                          <a:picLocks noChangeAspect="1"/>
                        </pic:cNvPicPr>
                        <pic:nvPr/>
                      </pic:nvPicPr>
                      <pic:blipFill>
                        <a:blip/>
                        <a:stretch/>
                      </pic:blipFill>
                      <pic:spPr bwMode="auto">
                        <a:xfrm>
                          <a:off x="0" y="0"/>
                          <a:ext cx="4810124" cy="30194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8.8pt;height:237.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highlight w:val="yellow"/>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数据源层：医疗卫生行业不同细分领域的数据源。主要包括医院各类信息系统，主要为</w:t>
      </w:r>
      <w:r>
        <w:rPr>
          <w:rFonts w:ascii="Times New Roman" w:hAnsi="Times New Roman" w:eastAsia="Times New Roman" w:cs="Times New Roman"/>
          <w:color w:val="000000"/>
          <w:sz w:val="28"/>
        </w:rPr>
        <w:t xml:space="preserve">HIS</w:t>
      </w:r>
      <w:r>
        <w:rPr>
          <w:rFonts w:ascii="FangSong" w:hAnsi="FangSong" w:eastAsia="FangSong" w:cs="FangSong"/>
          <w:color w:val="000000"/>
          <w:sz w:val="28"/>
        </w:rPr>
        <w:t xml:space="preserve">、电子病历、</w:t>
      </w:r>
      <w:r>
        <w:rPr>
          <w:rFonts w:ascii="Times New Roman" w:hAnsi="Times New Roman" w:eastAsia="Times New Roman" w:cs="Times New Roman"/>
          <w:color w:val="000000"/>
          <w:sz w:val="28"/>
        </w:rPr>
        <w:t xml:space="preserve">LIS</w:t>
      </w:r>
      <w:r>
        <w:rPr>
          <w:rFonts w:ascii="FangSong" w:hAnsi="FangSong" w:eastAsia="FangSong" w:cs="FangSong"/>
          <w:color w:val="000000"/>
          <w:sz w:val="28"/>
        </w:rPr>
        <w:t xml:space="preserve">、体检系统等；基层各类信息化系统，主要为基层</w:t>
      </w:r>
      <w:r>
        <w:rPr>
          <w:rFonts w:ascii="Times New Roman" w:hAnsi="Times New Roman" w:eastAsia="Times New Roman" w:cs="Times New Roman"/>
          <w:color w:val="000000"/>
          <w:sz w:val="28"/>
        </w:rPr>
        <w:t xml:space="preserve">HIS</w:t>
      </w:r>
      <w:r>
        <w:rPr>
          <w:rFonts w:ascii="FangSong" w:hAnsi="FangSong" w:eastAsia="FangSong" w:cs="FangSong"/>
          <w:color w:val="000000"/>
          <w:sz w:val="28"/>
        </w:rPr>
        <w:t xml:space="preserve">、基层公卫、公共卫生业专业业务系统、健康档案等；市县区域信息系统，主要为县域医共体、全民健康信息平台、疾控相关业务系统等；其他医疗卫生行业业务系统。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数据平台层：数据平台核心业务及技术能力，主要包括数据集成、数据存储、数据治理、数据开发、数据资产管理、数据服务。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数据应用能力层：医疗信息化相关业务能力，如</w:t>
      </w:r>
      <w:r>
        <w:rPr>
          <w:rFonts w:ascii="Times New Roman" w:hAnsi="Times New Roman" w:eastAsia="Times New Roman" w:cs="Times New Roman"/>
          <w:color w:val="000000"/>
          <w:sz w:val="28"/>
        </w:rPr>
        <w:t xml:space="preserve">EMPI</w:t>
      </w:r>
      <w:r>
        <w:rPr>
          <w:rFonts w:ascii="FangSong" w:hAnsi="FangSong" w:eastAsia="FangSong" w:cs="FangSong"/>
          <w:color w:val="000000"/>
          <w:sz w:val="28"/>
        </w:rPr>
        <w:t xml:space="preserve">、患者统一服务、综合管理、医学知识图谱等。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数据应用层：面向公卫大数据平台、传染病监测预警与应急指挥平台、院内集成平台等平台。</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7.3.2.主要功能设计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（一）项目建设清单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0"/>
        <w:gridCol w:w="2340"/>
        <w:gridCol w:w="5180"/>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建设模块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建设内容</w:t>
            </w:r>
            <w:r/>
          </w:p>
        </w:tc>
      </w:tr>
      <w:tr>
        <w:trPr>
          <w:trHeight w:val="818"/>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0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平台数据采集升级工作（</w:t>
            </w:r>
            <w:r>
              <w:rPr>
                <w:rFonts w:ascii="Times New Roman" w:hAnsi="Times New Roman" w:eastAsia="Times New Roman" w:cs="Times New Roman"/>
                <w:color w:val="000000"/>
                <w:sz w:val="24"/>
              </w:rPr>
              <w:t xml:space="preserve">2026</w:t>
            </w: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FangSong" w:hAnsi="FangSong" w:eastAsia="FangSong" w:cs="FangSong"/>
                <w:color w:val="000000"/>
                <w:sz w:val="24"/>
              </w:rPr>
              <w:t xml:space="preserve">家医院前置机端医疗健康数据采集</w:t>
            </w:r>
            <w:r/>
          </w:p>
        </w:tc>
      </w:tr>
      <w:tr>
        <w:trPr>
          <w:trHeight w:val="81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数据采集监控系统建设（医疗数据比对、数据质量校验等）</w:t>
            </w:r>
            <w:r/>
          </w:p>
        </w:tc>
      </w:tr>
      <w:tr>
        <w:trPr>
          <w:trHeight w:val="413"/>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0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业务应用系统升级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资金管理模块</w:t>
            </w:r>
            <w:r/>
          </w:p>
        </w:tc>
      </w:tr>
      <w:tr>
        <w:trPr>
          <w:trHeight w:val="40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市卫健系统医学专家库模块</w:t>
            </w:r>
            <w:r/>
          </w:p>
        </w:tc>
      </w:tr>
      <w:tr>
        <w:trPr>
          <w:trHeight w:val="40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基层业务系统升级</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（二）平台数据采集实施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制度与流程编制工作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编制平台数据采集项目管理制度，明确数据接入投产、业务运行、数据源下线、突发问题应急处置全环节管理要求。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编制数据采集业务流程规范，明确各业务环节岗位设置、权责划分，确定流程执行约束条件。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梳理各医疗机构数据接入的业务规则，形成统一的采集业务执行依据。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项目组织与人员配置工作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梳理数据采集全流程业务节点，分解各节点工作任务，明确各岗位工作职责与分工。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配置医疗业务、数据技术、平台对接等多专业项目实施人员，组建专项项目工作小组。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开展项目内部业务交底，统一采集工作标准、技术口径。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前置机端数据采集实施工作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对接全市各区县医疗机构，完成前置机部署、对接调试工作。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完成电子健康档案、电子病历、公共卫生、医疗业务等医疗健康数据的采集对接。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完成医疗机构侧数据接口联调，保障原始业务数据向泰州市全民健康信息平台推送通路打通。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数据采集监控系统建设工作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搭建数据采集监控功能模块，开发数据比对校验能力。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建设数据质量校验能力，对采集到的医疗数据开展完整性、规范性、一致性校验。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实现采集任务状态、数据传输情况、质量问题的可视化查看。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采集实施流程落地工作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制定统一的数据采集项目实施流程，规范数据源对接、数据上报、问题处置、下线归档全流程。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按照既定流程开展医疗机构数据源接入实施，完成批量机构的数据归集落地。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 </w:t>
      </w:r>
      <w:r>
        <w:rPr>
          <w:rFonts w:ascii="FangSong" w:hAnsi="FangSong" w:eastAsia="FangSong" w:cs="FangSong"/>
          <w:color w:val="000000"/>
          <w:sz w:val="28"/>
        </w:rPr>
        <w:t xml:space="preserve">针对采集过程中出现的数据异常，按流程开展问题核查、源头整改、重新归集。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4.4.5.2.1</w:t>
      </w:r>
      <w:r>
        <w:rPr>
          <w:rFonts w:ascii="FangSong" w:hAnsi="FangSong" w:eastAsia="FangSong" w:cs="FangSong"/>
          <w:color w:val="000000"/>
          <w:sz w:val="28"/>
        </w:rPr>
        <w:t xml:space="preserve">采集服务参考标准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1)ISO/IEC 20000-1:2005 </w:t>
      </w:r>
      <w:r>
        <w:rPr>
          <w:rFonts w:ascii="FangSong" w:hAnsi="FangSong" w:eastAsia="FangSong" w:cs="FangSong"/>
          <w:color w:val="000000"/>
          <w:sz w:val="28"/>
        </w:rPr>
        <w:t xml:space="preserve">信息技术—服务管理－第</w:t>
      </w:r>
      <w:r>
        <w:rPr>
          <w:rFonts w:ascii="Times New Roman" w:hAnsi="Times New Roman" w:eastAsia="Times New Roman" w:cs="Times New Roman"/>
          <w:color w:val="000000"/>
          <w:sz w:val="28"/>
        </w:rPr>
        <w:t xml:space="preserve">1 </w:t>
      </w:r>
      <w:r>
        <w:rPr>
          <w:rFonts w:ascii="FangSong" w:hAnsi="FangSong" w:eastAsia="FangSong" w:cs="FangSong"/>
          <w:color w:val="000000"/>
          <w:sz w:val="28"/>
        </w:rPr>
        <w:t xml:space="preserve">部分：规范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2)ISO/IEC 20000-2:2005 </w:t>
      </w:r>
      <w:r>
        <w:rPr>
          <w:rFonts w:ascii="FangSong" w:hAnsi="FangSong" w:eastAsia="FangSong" w:cs="FangSong"/>
          <w:color w:val="000000"/>
          <w:sz w:val="28"/>
        </w:rPr>
        <w:t xml:space="preserve">信息技术—服务管理－第</w:t>
      </w:r>
      <w:r>
        <w:rPr>
          <w:rFonts w:ascii="Times New Roman" w:hAnsi="Times New Roman" w:eastAsia="Times New Roman" w:cs="Times New Roman"/>
          <w:color w:val="000000"/>
          <w:sz w:val="28"/>
        </w:rPr>
        <w:t xml:space="preserve">2 </w:t>
      </w:r>
      <w:r>
        <w:rPr>
          <w:rFonts w:ascii="FangSong" w:hAnsi="FangSong" w:eastAsia="FangSong" w:cs="FangSong"/>
          <w:color w:val="000000"/>
          <w:sz w:val="28"/>
        </w:rPr>
        <w:t xml:space="preserve">部分：实施指南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3)ISO/IEC 27001:2005 </w:t>
      </w:r>
      <w:r>
        <w:rPr>
          <w:rFonts w:ascii="FangSong" w:hAnsi="FangSong" w:eastAsia="FangSong" w:cs="FangSong"/>
          <w:color w:val="000000"/>
          <w:sz w:val="28"/>
        </w:rPr>
        <w:t xml:space="preserve">信息技术 安全技术 信息安全管理体系要求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4)GB/T XXXX (200X) </w:t>
      </w:r>
      <w:r>
        <w:rPr>
          <w:rFonts w:ascii="FangSong" w:hAnsi="FangSong" w:eastAsia="FangSong" w:cs="FangSong"/>
          <w:color w:val="000000"/>
          <w:sz w:val="28"/>
        </w:rPr>
        <w:t xml:space="preserve">信息安全技术 信息系统安全等级保护定级指南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5)GB/T XXXX (200X) </w:t>
      </w:r>
      <w:r>
        <w:rPr>
          <w:rFonts w:ascii="FangSong" w:hAnsi="FangSong" w:eastAsia="FangSong" w:cs="FangSong"/>
          <w:color w:val="000000"/>
          <w:sz w:val="28"/>
        </w:rPr>
        <w:t xml:space="preserve">信息安全技术 信息系统安全等级保护基本要求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6)GB/T XXXX (200X) </w:t>
      </w:r>
      <w:r>
        <w:rPr>
          <w:rFonts w:ascii="FangSong" w:hAnsi="FangSong" w:eastAsia="FangSong" w:cs="FangSong"/>
          <w:color w:val="000000"/>
          <w:sz w:val="28"/>
        </w:rPr>
        <w:t xml:space="preserve">信息安全技术 信息系统安全等级保护实施指南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采集内容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前置机端医疗健康数据采集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①采集标准升级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年省平台均会对采集数据集标准进行更新，每年涉及的数据集字段更新内容，包括字段长度变化、字段类型变化、字段增加、字段删除等更新，均需通过就脚本更新到前置机，同时将更新的内容同步给泰州市平台的采集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②码表标准更新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年省平台均会对采集数据集中的码表标准进行更新，包括国家医保医用耗材分类编码、江苏省医疗服务项目价格表——医疗服务项目编码、医保药品挂网目录、检查分类编码、检验分类编码等，均需通过就脚本更新到前置机，同时将更新的内容同步给泰州市平台的采集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③采集数据同步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将每日医疗机构传输到省平台的数据，同步给泰州市平台采集库，定期监测采集数据同步过程的执行情况，保障数据不缺失。</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④监控日志同步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将每日医疗机构数据传输至泰州市平台的数据流程，同步给泰州市统一采集管理端，在管理端可以查询到相关流程情况，便于运维工作的开展。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⑤质控结果同步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将前置机每天数据质控的结果，同步给泰州市平台数据质控系统，定期监测质控数据的同步执行情况，保障质控数据的一致性，便于泰州市平台开展日常数据质控。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⑥索引数据库清理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根据泰州市平台采集数据的卡顿情况，定期清理索引数据库，保障数据传输的效率。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⑦质控数据库清理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根据泰州市平台质控数据的卡顿情况，定期清理质控数据库，保障数据质控的效率。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⑧前置机端安全漏洞处理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于前置端软件分散在各市县及医疗机构，由接入点进行管理，各接入点的安全策略并不一致，接入点会定期针对前置机进行安全漏洞扫描，针对各接入点扫描出的安全漏洞，运维厂商需予以解决，针对中间件等共性问题需统一解决，针对各接入点的个性化安全要求需在该接入点前置机配合解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同时针对泰州市平台安全扫描的漏洞，在各前置机也需要予以解决。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数据采集监控系统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①保障程序日常稳定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保障中心管理平台的程序日常稳定运行。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②程序安全漏洞处置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根据泰州市卫健委的安全漏洞扫描情况，修改安全漏洞，保障程序的安全性。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③数据对接情况查询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根据泰州市平台的需求，定期查询每个接入点前置机的数据对接情况，生成数据报表。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④质控结果查询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控结果存储分为两部分，一部分是质控分析结果，在接入点和中心端同步存储，一部分是质控明细结果，由于数据量的原因存储在每个接入点前置机，在需要查询明细质控数据时，需登录每个接入点前置机端程序将质控结果数据导出并提供给需求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根据泰州市平台的需求，定期查询每个接入点的质控结果，生成相关数据表提供给需求方。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工作质量与安全管理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为了保证项目的工作质量，需设立一套严谨的质量保证和监控体系来确保服务的高质量交付。需从以下几个方面对质量进行监控和改进：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专职的项目经理：厂商指定专职的项目经理来负责整个服务项目实施管理</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监督设定的服务级别</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处理用户投诉</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帮助解决需求变化。厂商的</w:t>
      </w:r>
      <w:r>
        <w:rPr>
          <w:rFonts w:ascii="Times New Roman" w:hAnsi="Times New Roman" w:eastAsia="Times New Roman" w:cs="Times New Roman"/>
          <w:color w:val="000000"/>
          <w:sz w:val="28"/>
        </w:rPr>
        <w:t xml:space="preserve">IT</w:t>
      </w:r>
      <w:r>
        <w:rPr>
          <w:rFonts w:ascii="FangSong" w:hAnsi="FangSong" w:eastAsia="FangSong" w:cs="FangSong"/>
          <w:color w:val="000000"/>
          <w:sz w:val="28"/>
        </w:rPr>
        <w:t xml:space="preserve">服务管理团队需要拥有丰富的服务支持和服务交付管理经验并具备相关专业资格认证。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质量管理部门的定期和随机检查：设置独立的质量管理部门来监控服务项目的实施质量。每年通过定期或者随机的内部质量审计，检查服务项目实施的过程合规性与质量，发现项目中存在的不符合项和质量问题，协助厂商项目团队制定改进措施并实施改进，评估改进效果，实现质量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定期的服务报告和项目例会：厂商项目经理将定期向卫健委提交服务报告</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报告包括服务周期内的服务情况、事件分类统计、事件趋势分析、问题分析和解决措施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、服务改进建议等。服务报告将使卫健委</w:t>
      </w:r>
      <w:r>
        <w:rPr>
          <w:rFonts w:ascii="Times New Roman" w:hAnsi="Times New Roman" w:eastAsia="Times New Roman" w:cs="Times New Roman"/>
          <w:color w:val="000000"/>
          <w:sz w:val="28"/>
        </w:rPr>
        <w:t xml:space="preserve">IT</w:t>
      </w:r>
      <w:r>
        <w:rPr>
          <w:rFonts w:ascii="FangSong" w:hAnsi="FangSong" w:eastAsia="FangSong" w:cs="FangSong"/>
          <w:color w:val="000000"/>
          <w:sz w:val="28"/>
        </w:rPr>
        <w:t xml:space="preserve">经理和管理层全面了解当前</w:t>
      </w:r>
      <w:r>
        <w:rPr>
          <w:rFonts w:ascii="Times New Roman" w:hAnsi="Times New Roman" w:eastAsia="Times New Roman" w:cs="Times New Roman"/>
          <w:color w:val="000000"/>
          <w:sz w:val="28"/>
        </w:rPr>
        <w:t xml:space="preserve">IT</w:t>
      </w:r>
      <w:r>
        <w:rPr>
          <w:rFonts w:ascii="FangSong" w:hAnsi="FangSong" w:eastAsia="FangSong" w:cs="FangSong"/>
          <w:color w:val="000000"/>
          <w:sz w:val="28"/>
        </w:rPr>
        <w:t xml:space="preserve">服务的现状。项目经理同时和卫健委</w:t>
      </w:r>
      <w:r>
        <w:rPr>
          <w:rFonts w:ascii="Times New Roman" w:hAnsi="Times New Roman" w:eastAsia="Times New Roman" w:cs="Times New Roman"/>
          <w:color w:val="000000"/>
          <w:sz w:val="28"/>
        </w:rPr>
        <w:t xml:space="preserve">IT </w:t>
      </w:r>
      <w:r>
        <w:rPr>
          <w:rFonts w:ascii="FangSong" w:hAnsi="FangSong" w:eastAsia="FangSong" w:cs="FangSong"/>
          <w:color w:val="000000"/>
          <w:sz w:val="28"/>
        </w:rPr>
        <w:t xml:space="preserve">服务管理人员定期召开服务总结会议来回顾服务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发现存在的问题并制定解决措施与预防措施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持续改进服务质量。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定期的用户满意度调查：厂商定期在卫健委的协助下进行满意度调查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通过反馈的信息分析服务质量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发现存在的问题</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及时调整服务来持续提高用户满意度。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自身安全管理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以下是厂商在物理环境／系统网络及人员管理方面的各项信息安全管理措施：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物理环境设施：办公区域设有门禁系统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只有经授权的项目相关人员才可以持卡进入；外来人员根据预先设计的访问控制流程进行进出管理。重要服务器所在 机房设有中央</w:t>
      </w:r>
      <w:r>
        <w:rPr>
          <w:rFonts w:ascii="Times New Roman" w:hAnsi="Times New Roman" w:eastAsia="Times New Roman" w:cs="Times New Roman"/>
          <w:color w:val="000000"/>
          <w:sz w:val="28"/>
        </w:rPr>
        <w:t xml:space="preserve">TV</w:t>
      </w:r>
      <w:r>
        <w:rPr>
          <w:rFonts w:ascii="FangSong" w:hAnsi="FangSong" w:eastAsia="FangSong" w:cs="FangSong"/>
          <w:color w:val="000000"/>
          <w:sz w:val="28"/>
        </w:rPr>
        <w:t xml:space="preserve">监控、门禁系统、</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小时保安和访问审批控制措施。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系统网络：严格的访问控制管理、周密的信息备份策略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系统安全监控及审计等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确保系统中存放的数据安全。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人力资源：雇佣前背景调查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入职时信息安全培训及保密协议的签属，权限的分配管理，以及离职时权限的收回及保密义务的持续。</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（三）业务应用系统升级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资金管理模块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内控平台化管理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①结构化组织形态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达成单位内部及下属单位控制管理中对信息的统一管理。通过单位业务的统一规划和实施，支持单位对内控业务的集中管控，达成单位价值观、行为的统一和层级管理的和谐，为单位提供业务一体化的内部控制管控平台。它需具备如下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支持结构化构建多种类型的组织形态，包括功能形组织形态、多层功有型组织形态、团队形组织形态、区域形组织形态；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支持对多维组织进行定义、使用和呈现，包括：组织形态机构基本信息定义、组织架构图、单位管理、部门管理；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支持岗位角色管理，包括岗位管理、职务级别管理、角色权限设置、工作范围管理等；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支持人员信息管理，包括人员管理与兼职管理等；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支持其他的组织管理功能，包括多维组织管理、组管理、编外人员管理、通讯录设置等。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②分级授权体系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支持集中式部署模式下，各单位之间的访问权限控制；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支持个人向上的访问权限控制，根据职务层级的级差，通过工作范围的设置，来灵活配置人员的访问权力；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支持多维度的操作权限设置，如角色权限、管理员权限、菜单权限等；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③自定义工作流管理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工作流程是内控平台内控业务工作之间传递信息和执行组织管理规则的事务处理工具，用它来完成事务的发起、处理和管理，由人通过流程规则来完成事项的办理，并支持规则的成型和管理，从而规范管理流程，执行组织制度，充分发挥制度优势沉淀管理过程与结果。它需具备如下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支持图形化流程设计、用户授权、流程处理、流程模板设置、流程催办、流程提醒、流程督办事项、自定义表单、流程查询、流程统计、流程分析、流程仿真等。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④自定义表单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表格单据是单位进行制度化，标准化的管理的一种有效手段，科学化和规范化的表单有利于不断提高管理能力和效率。在单位日常工作中，各种表格的应用可以说是日常管理工作的灵魂，涉及到工作的运转、业务的流转、费用的控管、人员的管理等等。表单管理的是否规范、齐全，维系着各项流程、制度的操作与控管、日常管理工作是否能够正常的进行。它需具备如下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支持新建表单、发布表单、编辑表单、分支流程设置、表单流程节点设置、业务规则校验、表单二维码、流水号管理、审批路径动态表等功能。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⑤自定义查询统计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平台需支持查询统计自定义设计，提供相关内控业务的查询和统计报表，并自动统计的一个较复杂的表单，授权给相关人员查看。它需具备如下能力：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支持查询报表设计、统计报表设计，支持普通查询、单表统计、多表统计、静态报表与报表指标。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⑥内控流程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内部业务开展过程中需要针对不同环节和流程，自定义需要进行流程控制的流程编号和名称，在此基础上进一步针对该流程每一个流程节点进行：流程步骤、步骤描述、责任部门、责任岗位、控制对象、节点匹配、控制要求、控制依据、是否关键控制点、系统固化、系统名称、功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节点等流程控制要素内容固化。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⑦内控门户应用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门户是单位所有职工的唯一办公入口，它将单位的所有内控应用和数据集成到一个信息管理平台之上，并且为用户支持个性化的信息和服务，能够快速地实现信息交流的实时共享和双向性，满足客户需求，提高单位的竞争力。对于单位来说，门户既是一个展示单位的窗口，又是单位相关内控业务的处理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支持预置个人门户、部门门户、财务门户、领导门户等角色门户，支持门户内容自定义。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支持与单位现有财务系统对接。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内控业务管理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部控制的信息化是将内控理念、控制流程、控制方法等要素通过信息化手段固化到信息系统中的单位层面内控管理、风险管理和业务层面内控管理包括预算管理和支出管理，从而实现内部控制体系的系统化与常态化，完善信息系统控制有利于提高单位内部控制的效率和效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①预算管理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单位经济活动中预算项目主要涉及到从预算编制、审批、批复、执行、调整和决算分析等预算内部全过程管控，根据规划要求它要具备如下能力：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支持可视化业务导航快捷入口；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支持上级资金来文登记，查看当前下发资金使用情况；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支持预算任务，通过预算编制任务下发，正确把握预算编制政策，明确预算编制标准及要求，确保预算编制人员及时全面掌握相关规定；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支持预算编制，实现全员参与到预算编制活动，结合符合内控要求的审批流程，保证预算编制更精细、更合理；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支持编制汇总平衡，财务人员针对本单位编制的支出预算项目进行汇总，对经费来源进行平衡调整；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支持预算审批，针对单位全盘资金进行预算编制审批管理；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支持指标分解，用来管理和细化正式下达的可用指标；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支持预算发布，可以批量发布也可以单项发布；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支持预算控制设置，包括执行方式、经费到账控制（关联文号）、执行预警比例等；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支出预算调整，包括内部调剂与追加追减预算；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支持预算分析、包括单位预算分析与部门预算分析，实现对预算单位和部门支出财务数据进行自动汇总、综合查询、数据追踪、动态分析和监管等；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支持预算预警提醒功能。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②支出管理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业务部门在推进支持业务过程中主要包含：支出申请、业务单据审批、归口审核、财务审批、借款审批、费用报销、会计核算等环节，根据规划要求它要具备如下能力：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支持可视化业务导航快捷入口；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支持事前申请，事前申请匹配资金使用前的请款环节，实现了新型财务管理模式中的“关口前移”；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支持资金申请的自动或手动关闭，对已占用的预算资金及及时释放，避免造成资金损失；</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支持资金申请失效预警提醒，提醒经办人员及时进行所申请资金的报销业务；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支持预算执行，支持报销时直接调用资金申请信息；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支持汇总报销，实现统一集中审批；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支持借款管理，借款人根据工作需求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在借款授权范围内提出借款需求；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支持借款的额度和次数控制；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支持借款到期提醒，避免资金的长时间占用或发生资金风险；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支持支付记录管理，包括支付记录查询、统计；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支持支出分析，实现对单位财务数据进行自动汇总、综合查询、数据追踪、动态分析和监管等。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③项目管理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聚焦项目进度、成本、风险、资源等核心管理要素，以“流程”为枢纽，构建项目过程跟踪、控制及信息沟通、共享渠道，实现项目从启动、规划、实施到收尾全过程数字化管理，项目从立项、任务计划、进度管控到质量监督、风险把控各环节透明、可控；同时，项目资金预算专项管理，与普通事项资金预算分类管理，实现项目成本预算分类编制，费用支出在线登记、资金走向实时掌控，帮助单位成员跟踪项目成本，及时发现成本超支的问题，并采取有效措施，控制项目成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④电子发票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在报销、付款等支付业务场景中，支持上传电子发票，系统自动对上传发票进行验真查重。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w:t>
      </w:r>
      <w:r>
        <w:rPr>
          <w:rFonts w:ascii="Times New Roman" w:hAnsi="Times New Roman" w:eastAsia="Times New Roman" w:cs="Times New Roman"/>
          <w:color w:val="000000"/>
          <w:sz w:val="28"/>
        </w:rPr>
        <w:t xml:space="preserve">BI</w:t>
      </w:r>
      <w:r>
        <w:rPr>
          <w:rFonts w:ascii="FangSong" w:hAnsi="FangSong" w:eastAsia="FangSong" w:cs="FangSong"/>
          <w:color w:val="000000"/>
          <w:sz w:val="28"/>
        </w:rPr>
        <w:t xml:space="preserve">分析报表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提供各种数据库平台的接入功能，实现跨系统的数据接入，完成不同系统的数据统一加工处理，为数据的跨系统连接提供支撑。同时，数据仓库还为</w:t>
      </w:r>
      <w:r>
        <w:rPr>
          <w:rFonts w:ascii="Times New Roman" w:hAnsi="Times New Roman" w:eastAsia="Times New Roman" w:cs="Times New Roman"/>
          <w:color w:val="000000"/>
          <w:sz w:val="28"/>
        </w:rPr>
        <w:t xml:space="preserve">BI</w:t>
      </w:r>
      <w:r>
        <w:rPr>
          <w:rFonts w:ascii="FangSong" w:hAnsi="FangSong" w:eastAsia="FangSong" w:cs="FangSong"/>
          <w:color w:val="000000"/>
          <w:sz w:val="28"/>
        </w:rPr>
        <w:t xml:space="preserve">大屏展示与报表分析提供数据基础。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⑥系统集成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支持与“泰政通”实现系统跳转，有权限账号直接登录，不用二次输入账号密码。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⑦内控移动平台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内控平台同样需要实现单位应用移动化，移动内控能力必须能提供从开发、调试、测试以及到部署、运行和管控的全生命周期的管理支撑，不仅提供快速集成单位现有的原生、</w:t>
      </w:r>
      <w:r>
        <w:rPr>
          <w:rFonts w:ascii="Times New Roman" w:hAnsi="Times New Roman" w:eastAsia="Times New Roman" w:cs="Times New Roman"/>
          <w:color w:val="000000"/>
          <w:sz w:val="28"/>
        </w:rPr>
        <w:t xml:space="preserve">H5</w:t>
      </w:r>
      <w:r>
        <w:rPr>
          <w:rFonts w:ascii="FangSong" w:hAnsi="FangSong" w:eastAsia="FangSong" w:cs="FangSong"/>
          <w:color w:val="000000"/>
          <w:sz w:val="28"/>
        </w:rPr>
        <w:t xml:space="preserve">移动应用的能力，还能支撑单位应用定制化开发，根据建设规划移动内控平台要具备如下能力：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支持内控报告，包括单位层面、业务层面，业务层面包括单位预算分析、部门预算分析、资金看板、我的项目；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支持移动门户，通过灵活配置实现内容上的不同组合呈现，达到在同一个入口、不同信息呈现，实现千人千面的移动工作门户。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市卫健系统医学专家库模块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①基础数据维护模块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功能定位：作为专家库的基础支撑，对学科、医疗机构、专家信息进行全面且精准的管理。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学科信息管理：支持学科的新增、修改、删除与查询，建立清晰的学科分类体系，为专家与案件的学科归属提供依据。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医疗机构信息管理：维护医疗机构的基本信息，包括机构名称、地址、等级等，便于关联医疗机构内的专家。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专家信息管理：录入专家的详细资料，如姓名、职称、专业、擅长领域等；同时实现专家请假管理，记录专家请假时段，以及回避单位设置，明确专家需回避的单位，为案件分配提供参考。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②案件台账模块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功能定位：实现案件从录入到台账管理的全流程把控。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案件录入：支持案件基本信息（如案件名称、涉及学科、相关医疗机构等）的录入，确保案件信息的完整性。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案件分配：根据专家信息（包括回避情况），自动或手动进行案件分配；当专家因主动回避等原因无法参与时，能快速重新分配案件。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案件审核：设置审核流程，对案件相关情况进行审核，保障案件处理的合规性。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台账管理：建立案件台账，对案件的全生命周期信息进行记录与管理，方便后续查询与统计。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③我的案件管理模块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功能定位：为专家提供个人案件管理的专属入口。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案件查询与列表：专家可根据自身需求，查询参与的案件，并以列表形式清晰展示案件基本信息与处理状态。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案件办理流程：展示案件办理的具体流程节点，方便专家了解案件进展，按流程开展工作。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专家管理：专家可进行主动回避等操作，自主管理参与案件的相关权限与情况。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④工作台模块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功能定位：为当前登录用户（包括管理人员、专家等）提供 “一站式” 任务入口与数据概览，提升工作效率。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统计看板：以图表等直观形式展示案件数量、处理进度、专家参与情况等核心数据，便于用户快速把握整体工作态势。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待办列表：清晰列出用户待处理的任务（如待审核案件、待办理案件等），提醒用户及时开展工作。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⑤系统管理模块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功能定位：保障系统的安全与规范运行，实现用户、角色、权限的有效管理。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用户管理：对系统用户进行新增、删除、修改等操作，维护用户基本信息。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角色管理：设置不同的用户角色（如管理员、专家等），并为各角色分配相应的功能权限。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权限分配：根据用户角色，精准分配系统功能模块的访问与操作权限，确保系统安全。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账号密码管理：支持用户账号密码的设置、修改与重置，保障账号安全。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⑥单点登录模块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功能定位：为专家提供便捷的登录方式，实现多端登录的统一管理。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具体功能：专家可通过泰政通电脑端、移动端等不同终端，使用统一的登录入口登录系统，方便快捷地开展工作。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基层业务系统升级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业务功能升级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①药品管理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药品库存冻结明细：支持检索所有药品冻结库存明细。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药品调价：支持批量导入调价清单，系统自动同步至各模块。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②医嘱管理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住院医嘱频率绑定：预设常用频率模板，支持自定义频率，医嘱保存时自动校验匹配性。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③门诊日结回滚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支持的日结单回滚，回滚前需二次确认。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④数据报表管理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报表对账优化：自动对账，生成对账结果汇总表和差异清单。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2)LIS</w:t>
      </w:r>
      <w:r>
        <w:rPr>
          <w:rFonts w:ascii="FangSong" w:hAnsi="FangSong" w:eastAsia="FangSong" w:cs="FangSong"/>
          <w:color w:val="000000"/>
          <w:sz w:val="28"/>
        </w:rPr>
        <w:t xml:space="preserve">系统升级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报告文件生成与上传：实现</w:t>
      </w:r>
      <w:r>
        <w:rPr>
          <w:rFonts w:ascii="Times New Roman" w:hAnsi="Times New Roman" w:eastAsia="Times New Roman" w:cs="Times New Roman"/>
          <w:color w:val="000000"/>
          <w:sz w:val="28"/>
        </w:rPr>
        <w:t xml:space="preserve">LIS</w:t>
      </w:r>
      <w:r>
        <w:rPr>
          <w:rFonts w:ascii="FangSong" w:hAnsi="FangSong" w:eastAsia="FangSong" w:cs="FangSong"/>
          <w:color w:val="000000"/>
          <w:sz w:val="28"/>
        </w:rPr>
        <w:t xml:space="preserve">系统</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报告文件的生成与上传功能。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LIS</w:t>
      </w:r>
      <w:r>
        <w:rPr>
          <w:rFonts w:ascii="FangSong" w:hAnsi="FangSong" w:eastAsia="FangSong" w:cs="FangSong"/>
          <w:color w:val="000000"/>
          <w:sz w:val="28"/>
        </w:rPr>
        <w:t xml:space="preserve">前置机程序开发与部署：开发并部署各机构</w:t>
      </w:r>
      <w:r>
        <w:rPr>
          <w:rFonts w:ascii="Times New Roman" w:hAnsi="Times New Roman" w:eastAsia="Times New Roman" w:cs="Times New Roman"/>
          <w:color w:val="000000"/>
          <w:sz w:val="28"/>
        </w:rPr>
        <w:t xml:space="preserve">LIS</w:t>
      </w:r>
      <w:r>
        <w:rPr>
          <w:rFonts w:ascii="FangSong" w:hAnsi="FangSong" w:eastAsia="FangSong" w:cs="FangSong"/>
          <w:color w:val="000000"/>
          <w:sz w:val="28"/>
        </w:rPr>
        <w:t xml:space="preserve">前置机程序，实现数据的实时传输和共享。</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7.3.3.与市级基础平台关联关系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健康泰州数字化全民健康信息平台，不仅为全市医疗卫生机构提供了一个统一的数据交换和共享中心，还为市民提供了便捷的医疗服务接入点，通过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持续为老百姓提供便捷查询服务，显著提高了医疗服务的可及性和效率；同时根据政务信息化项目要求，已与市公共数据平台对接。</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7.3.4.数据供需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以跨界协同合作为核心路径，联合多方外部单位构建紧密的合作体系，全面整合分散的优质数据资源，致力于打造一个覆盖全场景、运转高效能、服务精准化的市级健康信息平台，为“健康泰州”数字化建设筑牢技术支撑底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数据资源储备方面，已建立多元化、多层次的合作网络，成功联动江苏省卫健委、市县区各级医疗卫生机构、专业体检机构等关键主体，精准归集人口基本信息、医疗服务全流程数据、医疗保障结算数据、公共卫生监测数据等核心信息维度。这些多源异构数据的深度融合与标准化处理，将为平台提供全面、连续、完整的数据支撑，有效保障医疗服务全链条的连贯性与精准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功能价值上，将通过构建标准化电子病历体系、统一健康档案管理模块及智能统计分析系统，生成具备科学性与指导性的决策参考报告，为医疗资源优化配置、临床诊疗质量提升、公共卫生应急响应等提供数据驱动的科学依据，助力医疗服务效率与服务质量实现双重跃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保障层面，将严格遵循《网络安全法》《数据安全法》《个人信息保护法》等国家法律法规及医疗行业数据安全标准，采用加密传输、权限分级、安全审计、风险预警等先进技术手段，搭配全流程规范化管理机制，构建“技术</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管理”的双重安全防线，确保数据存储、传输、使用全生命周期的安全性与隐私性，筑牢数据安全保护屏障。</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7.3.5.信息安全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本次项目建设遵循国产化适配原则：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兼容性：国产化中间件应兼容原有国际化中间件的接口和功能。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可升级性：应具备良好的可升级性和扩展性，以适应不断变化的需求。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稳定性：保证稳定可靠，不会因适配问题而导致系统的崩溃或脆弱。</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安全性：具备良好的安全性能，能够保护用户的数据和隐私。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易用性：易于使用，具备良好的用户友好性，方便用户使用。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延续性：具备可持续性，不会因为技术变化而失去其使用价值。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遵循依法合规、客观研判、风险导向、全域统筹原则，本期项目建设符合信息安全等级保护定级（平台三级等保）以及商用密码应用安全性相关要求。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保障层面，将严格遵循《网络安全法》《数据安全法》《个人信息保护法》等国家法律法规及医疗行业数据安全标准，采用加密传输、权限分级、安全审计、风险预警等先进技术手段，搭配全流程规范化管理机制，构建“技术</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管理”的双重安全防线，确保数据存储、传输、使用全生命周期的安全性与隐私性，筑牢数据安全保护屏障。</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7.4.服务预算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880"/>
        <w:gridCol w:w="910"/>
        <w:gridCol w:w="5060"/>
        <w:gridCol w:w="1312"/>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费用构成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金额（万元）</w:t>
            </w:r>
            <w:r/>
          </w:p>
        </w:tc>
      </w:tr>
      <w:tr>
        <w:trPr>
          <w:trHeight w:val="1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平台数据采集升级工作（</w:t>
            </w:r>
            <w:r>
              <w:rPr>
                <w:rFonts w:ascii="Times New Roman" w:hAnsi="Times New Roman" w:eastAsia="Times New Roman" w:cs="Times New Roman"/>
                <w:color w:val="000000"/>
                <w:sz w:val="24"/>
              </w:rPr>
              <w:t xml:space="preserve">2026</w:t>
            </w:r>
            <w:r>
              <w:rPr>
                <w:rFonts w:ascii="FangSong" w:hAnsi="FangSong" w:eastAsia="FangSong" w:cs="FangSong"/>
                <w:color w:val="000000"/>
                <w:sz w:val="24"/>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FangSong" w:hAnsi="FangSong" w:eastAsia="FangSong" w:cs="FangSong"/>
                <w:color w:val="000000"/>
                <w:sz w:val="24"/>
              </w:rPr>
              <w:t xml:space="preserve">家医院前置机端医疗健康数据采集：</w:t>
              <w:br/>
              <w:t xml:space="preserve">根据省里要求，采集本年度数据、新增数据目录标准更新与采集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r>
      <w:tr>
        <w:trPr>
          <w:trHeight w:val="8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数据采集监控系统建设（医疗数据比对、数据质量校验等）：数据对比、质量校验、数据库优化、安全问题处理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业务应用系统升级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资金管理模块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协同管理平台（电脑端应用）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4.7</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集成开发平台（与第三方财务系统）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预算管理（预算编制、调整预警、统计）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费用报销（费用使用，与预算关联）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r>
      <w:tr>
        <w:trPr>
          <w:trHeight w:val="10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项目管理（覆盖项目进度、成本、风险、资源等核心管理要素，对项目资金专项管控，全面分析、预警资金执行情况）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电子发票（含</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个单位税号每个税号预置</w:t>
            </w:r>
            <w:r>
              <w:rPr>
                <w:rFonts w:ascii="Times New Roman" w:hAnsi="Times New Roman" w:eastAsia="Times New Roman" w:cs="Times New Roman"/>
                <w:color w:val="000000"/>
                <w:sz w:val="24"/>
              </w:rPr>
              <w:t xml:space="preserve">1000</w:t>
            </w:r>
            <w:r>
              <w:rPr>
                <w:rFonts w:ascii="FangSong" w:hAnsi="FangSong" w:eastAsia="FangSong" w:cs="FangSong"/>
                <w:color w:val="000000"/>
                <w:sz w:val="24"/>
              </w:rPr>
              <w:t xml:space="preserve">张增票验证，后续充值每</w:t>
            </w:r>
            <w:r>
              <w:rPr>
                <w:rFonts w:ascii="Times New Roman" w:hAnsi="Times New Roman" w:eastAsia="Times New Roman" w:cs="Times New Roman"/>
                <w:color w:val="000000"/>
                <w:sz w:val="24"/>
              </w:rPr>
              <w:t xml:space="preserve">10000</w:t>
            </w:r>
            <w:r>
              <w:rPr>
                <w:rFonts w:ascii="FangSong" w:hAnsi="FangSong" w:eastAsia="FangSong" w:cs="FangSong"/>
                <w:color w:val="000000"/>
                <w:sz w:val="24"/>
              </w:rPr>
              <w:t xml:space="preserve">张</w:t>
            </w:r>
            <w:r>
              <w:rPr>
                <w:rFonts w:ascii="Times New Roman" w:hAnsi="Times New Roman" w:eastAsia="Times New Roman" w:cs="Times New Roman"/>
                <w:color w:val="000000"/>
                <w:sz w:val="24"/>
              </w:rPr>
              <w:t xml:space="preserve">1500</w:t>
            </w:r>
            <w:r>
              <w:rPr>
                <w:rFonts w:ascii="FangSong" w:hAnsi="FangSong" w:eastAsia="FangSong" w:cs="FangSong"/>
                <w:color w:val="000000"/>
                <w:sz w:val="24"/>
              </w:rPr>
              <w:t xml:space="preserve">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BI</w:t>
            </w:r>
            <w:r>
              <w:rPr>
                <w:rFonts w:ascii="FangSong" w:hAnsi="FangSong" w:eastAsia="FangSong" w:cs="FangSong"/>
                <w:color w:val="000000"/>
                <w:sz w:val="24"/>
              </w:rPr>
              <w:t xml:space="preserve">报表：报表分析、领导驾驶仓（医疗监管平台）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单点登录：全市各医院使用登录页面（泰政通电脑端、移动端）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市卫健系统医学专家库模块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基础数据维护：学科、医疗机构、专家信息（请假、回避单位设置等）管理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8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案件台账：案件录入、分配（主动回避后重新分配）、审核、台账管理等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我的案件管理：我的案件管理的功能，案件查询与列表、案件办理流程、专家管理（主动回避等功能）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作台：为当前登录用户提供</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一站式</w:t>
            </w:r>
            <w:r>
              <w:rPr>
                <w:rFonts w:ascii="Times New Roman" w:hAnsi="Times New Roman" w:eastAsia="Times New Roman" w:cs="Times New Roman"/>
                <w:color w:val="000000"/>
                <w:sz w:val="24"/>
              </w:rPr>
              <w:t xml:space="preserve">” </w:t>
            </w:r>
            <w:r>
              <w:rPr>
                <w:rFonts w:ascii="FangSong" w:hAnsi="FangSong" w:eastAsia="FangSong" w:cs="FangSong"/>
                <w:color w:val="000000"/>
                <w:sz w:val="24"/>
              </w:rPr>
              <w:t xml:space="preserve">任务入口与数据概览，核心功能：统计看板、待办列表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系统管理：用户、角色、权限分配等管理以及账号密码管理等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单点登录：专家登录页面（泰政通电脑端、移动端）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基层业务系统升级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业务功能升级</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药品库存冻结明细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r>
      <w:tr>
        <w:trPr>
          <w:trHeight w:val="3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业务功能升级</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药品调价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r>
      <w:tr>
        <w:trPr>
          <w:trHeight w:val="2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业务功能升级</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住院医嘱频率绑定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0.9</w:t>
            </w:r>
            <w:r/>
          </w:p>
        </w:tc>
      </w:tr>
      <w:tr>
        <w:trPr>
          <w:trHeight w:val="2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业务功能升级</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门诊日结回滚功能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r>
      <w:tr>
        <w:trPr>
          <w:trHeight w:val="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业务功能升级</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报表对账优化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r>
      <w:tr>
        <w:trPr>
          <w:trHeight w:val="1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LIS</w:t>
            </w:r>
            <w:r>
              <w:rPr>
                <w:rFonts w:ascii="FangSong" w:hAnsi="FangSong" w:eastAsia="FangSong" w:cs="FangSong"/>
                <w:color w:val="000000"/>
                <w:sz w:val="24"/>
              </w:rPr>
              <w:t xml:space="preserve">系统升级</w:t>
            </w:r>
            <w:r>
              <w:rPr>
                <w:rFonts w:ascii="Times New Roman" w:hAnsi="Times New Roman" w:eastAsia="Times New Roman" w:cs="Times New Roman"/>
                <w:color w:val="000000"/>
                <w:sz w:val="24"/>
              </w:rPr>
              <w:t xml:space="preserve">-PDF</w:t>
            </w:r>
            <w:r>
              <w:rPr>
                <w:rFonts w:ascii="FangSong" w:hAnsi="FangSong" w:eastAsia="FangSong" w:cs="FangSong"/>
                <w:color w:val="000000"/>
                <w:sz w:val="24"/>
              </w:rPr>
              <w:t xml:space="preserve">报告文件生成与上传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LIS</w:t>
            </w:r>
            <w:r>
              <w:rPr>
                <w:rFonts w:ascii="FangSong" w:hAnsi="FangSong" w:eastAsia="FangSong" w:cs="FangSong"/>
                <w:color w:val="000000"/>
                <w:sz w:val="24"/>
              </w:rPr>
              <w:t xml:space="preserve">系统升级</w:t>
            </w:r>
            <w:r>
              <w:rPr>
                <w:rFonts w:ascii="Times New Roman" w:hAnsi="Times New Roman" w:eastAsia="Times New Roman" w:cs="Times New Roman"/>
                <w:color w:val="000000"/>
                <w:sz w:val="24"/>
              </w:rPr>
              <w:t xml:space="preserve">-LIS</w:t>
            </w:r>
            <w:r>
              <w:rPr>
                <w:rFonts w:ascii="FangSong" w:hAnsi="FangSong" w:eastAsia="FangSong" w:cs="FangSong"/>
                <w:color w:val="000000"/>
                <w:sz w:val="24"/>
              </w:rPr>
              <w:t xml:space="preserve">前置机程序开发与部署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p>
        </w:tc>
      </w:tr>
      <w:tr>
        <w:trPr>
          <w:trHeight w:val="53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80</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7.5.升级成效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（一）经济效益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元化增收赋能：依托平台便捷的就医服务体验（如跨院预约、在线咨询等），有效提升患者就诊意愿与机构接诊能力，间接带动医疗服务收入增长；创新增值服务场景，打造新的收入增长点，推动医疗服务从“线下单一”向“线上线下融合”的盈利模式转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（二）社会效益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患者就医体验优化：平台整合个人健康档案、诊疗记录、费用明细等核心信息，为患者提供一站式健康管理入口，简化就医流程，降低就医复杂度；通过公开就诊信息、医保报销明细等信息，增强医疗服务的透明度，有效减少医患信息不对称，提升患者的信任感与满意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（三）技术效益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价值深度释放：构建跨机构、跨领域的数据集成体系，打破医院内部与外部单位的数据壁垒，实现人口健康、医疗服务、医保结算等多源数据的统一归集与标准化处理，显著提升数据处理效率与综合分析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防线筑牢：采用加密传输、权限分级管控、安全审计、异常行为预警等先进技术手段，构建全生命周期数据安全防护体系，有效抵御网络攻击与数据泄露风险；严格遵循《数据安全法》《个人信息保护法》等法律法规及医疗行业数据安全标准，确保平台运营全程合规，保障患者隐私与数据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（四）长期效益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可持续迭代优化：建立患者、医务人员及合作机构的多元反馈机制，精准捕捉用户需求与服务痛点，为平台功能迭代与服务升级提供方向；紧跟人工智能、区块链、</w:t>
      </w:r>
      <w:r>
        <w:rPr>
          <w:rFonts w:ascii="Times New Roman" w:hAnsi="Times New Roman" w:eastAsia="Times New Roman" w:cs="Times New Roman"/>
          <w:color w:val="000000"/>
          <w:sz w:val="28"/>
        </w:rPr>
        <w:t xml:space="preserve">5G</w:t>
      </w:r>
      <w:r>
        <w:rPr>
          <w:rFonts w:ascii="FangSong" w:hAnsi="FangSong" w:eastAsia="FangSong" w:cs="FangSong"/>
          <w:color w:val="000000"/>
          <w:sz w:val="28"/>
        </w:rPr>
        <w:t xml:space="preserve">等前沿技术发展趋势，持续推进平台技术架构升级与功能创新，确保平台始终适配未来医疗健康服务的发展需求。</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8.市退役军人事务局“四全”服务智能支持保障系统（2026）项目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8.1.预期目标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推进泰州市退役军人事务局横向与职能部门、纵向与上级业务系统数据对接，破除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信息孤岛</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效应。推进信息化统一管理平台建设，强化退役军人事务局对于退役军人业务数据的监督和管理。建立符合泰州退役军人服务需求的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人工智能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平台，提升线上服务的整体水平，达成退役军人政务服务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规范化、实用化、易用化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的目标，将退役军人业务数据与相关部门的业务数据做好对接工作，实现数据集成与共享，实现对业务内容的监督、审核的功能。进而提升退役军人事务部门的服务管理水平。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本项目结合退役军人事务厅信息化建设工作要求，依托云计算、大数据、互联网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等技术，构建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统一、智慧、融合、便捷、可靠</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的退役军人事务信息化体系，基于电子政务公共云平台（信创），建成市、县、街道三级管理联动和市、县、街道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乡、社区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村</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级服务保障业务应用的级退役军人信息管理一体化平台，形成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四横三纵</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的服务保障格局，为退役军人事务工作提供上下协同的数据服务支撑，为退役军人科学管理提供高效便捷的保障，为退役军人提供精细精准专属的精准服务。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具体目标如下：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建成全市统一的退役军人综合信息主题数据库：整合全市退役军人各类信息，形成标准化、一体化的主题数据库，为开展全景分析、趋势研判和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一人一策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精准建模提供完整、可靠的数据基础。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纵向与横向数据共享互通：纵向贯通部、省、市、区县、乡镇数据，横向联通人社、民政、公安、市场监管、卫健委等关键部门数据，实现多源异构数据的有效汇聚与关联，为构建跨领域、多维度的综合分析提供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实现精准服务与科学决策：基于全量数据，构建退役军人特征分析模型，刻画动态、立体的群体与个体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全息画像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。利用数据分析与可视化技术，为就业创业推荐、技能培训规划、优抚政策制定与效果评估提供量化依据和决策支持。通过模型算法精准识别不同类别（如就业困难、年老体弱等）的服务对象，实现从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人找政策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政策找人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的主动服务模式转变。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提升行政效能、降低行政成本：通过数据分析模型与自动化比对核验，优化业务流程，将数据核查、资格认证等环节的效率提升</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以上，减少约</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的重复人工审核工作，从而显著降低行政运行成本。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安全防护加固，保证信息安全：建立与数据分析平台相匹配的数据安全与隐私保护体系，确保在数据汇聚、处理、应用及成果输出全过程中的安全合规，为分析工作的可靠开展奠定基础。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实现业务协同与动态监测：依托跨部门数据共享，推动协同业务在线办理。对优待抚恤、就业状况、困难帮扶等核心指标进行实时监测与动态分析，建立预警模型，实现风险与需求的早期发现、主动干预。</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8.2.需求分析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8.2.1.业务需求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用户对象描述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171"/>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用户群体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退役军人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业务办理更智能，业务办理更便捷，实现办事指南、政策解读、荣耀征程、军人退役</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一件事</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、尊崇行动、烈士纪念、教育培训（包括人社</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优惠项目）、就业超市、创业服务、志愿者服务、老兵文艺工作队、老兵调解员、老兵宣讲团、军休服务、荣誉墙、云中课堂、服务地图、法律援助、新闻资讯、通知公告、权益维护、数字大厅、双拥文化、党建新闻、智能问答、诉求服务、建档立卡等和人工智能结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工作人员（退役军人事务局）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台、退役军人综合信息库、建档立卡、移交安置、志愿服务、老兵品牌（文艺工作队、调解员、宣讲团管理）、政策法规、烈士褒扬、设施保护、尊崇行动、教育培训、服务矩阵、就业管理、创业管理、资金管理、服务保障、优抚褒扬、信息管理、法律援助、军休服务、双拥管理、常态化联系、权益维护、通知公告、待办事项、服务中心（站）管理、系统管理、日志管理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系统维护人员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系统设置、数据字典、权限管理、系统监控等</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业务内容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）管理精致化需求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办公管理平台能够提高工作人员办事效率，让人员有更多的时间思考工作，可以更加智能化、便捷化、精准化的管理退役军人事务。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）处置精细化需求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设自动、灵活、可配置的快速数据报告输出系统，通过快速灵敏的数据抽取、清洗、稽核、建模、统一指标、规范标签等技术手段和流程规范，构建按需主题统计数据，综合分析退役军人全生命周期数据，可以对退役军人权益维护、创业就业指导、优抚褒扬等业务，提供精细化的处置。</w:t>
      </w:r>
      <w:r>
        <w:rPr>
          <w:rFonts w:ascii="Times New Roman" w:hAnsi="Times New Roman" w:eastAsia="Times New Roman" w:cs="Times New Roman"/>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）服务精细化需求</w:t>
      </w:r>
      <w:r>
        <w:rPr>
          <w:rFonts w:ascii="Times New Roman" w:hAnsi="Times New Roman" w:eastAsia="Times New Roman" w:cs="Times New Roman"/>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退役军人服务保障体系信息系统和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退役军人服务专区网上办理平台可以有效解决退役军人反映诉求、申请救助渠道单一、最后一公里不通，以及军人退役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跑断腿</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等问题。同时，也可以让基层工作人员能够及时掌握退役军人思想、教育、创（就）业、生活困难等各方面的需求，形成良性的内外互动，更好的为退役军人实施精细化服务。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）数据交换共享需求：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业务需求：在办理就业登记时，需自动核验人社部门的社保信息；在审核优抚待遇时，需自动核验民政、公安的相关信息。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功能要求：平台需提供安全、可控、高效的数据交换接口服务，支持多种数据格式和传输协议。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用户角色：包括市级管理员、区县经办员、街道服务站工作人员、退役军人（个人用户查询自身信息）、协同部门数据接口管理员等</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8.2.2.技术需求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开发技术需求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本项目应采用</w:t>
      </w:r>
      <w:r>
        <w:rPr>
          <w:rFonts w:ascii="Times New Roman" w:hAnsi="Times New Roman" w:eastAsia="Times New Roman" w:cs="Times New Roman"/>
          <w:color w:val="000000"/>
          <w:sz w:val="28"/>
        </w:rPr>
        <w:t xml:space="preserve">Java B/S</w:t>
      </w:r>
      <w:r>
        <w:rPr>
          <w:rFonts w:ascii="FangSong" w:hAnsi="FangSong" w:eastAsia="FangSong" w:cs="FangSong"/>
          <w:color w:val="000000"/>
          <w:sz w:val="28"/>
        </w:rPr>
        <w:t xml:space="preserve">开发技术，应基于</w:t>
      </w:r>
      <w:r>
        <w:rPr>
          <w:rFonts w:ascii="Times New Roman" w:hAnsi="Times New Roman" w:eastAsia="Times New Roman" w:cs="Times New Roman"/>
          <w:color w:val="000000"/>
          <w:sz w:val="28"/>
        </w:rPr>
        <w:t xml:space="preserve">J2EE</w:t>
      </w:r>
      <w:r>
        <w:rPr>
          <w:rFonts w:ascii="FangSong" w:hAnsi="FangSong" w:eastAsia="FangSong" w:cs="FangSong"/>
          <w:color w:val="000000"/>
          <w:sz w:val="28"/>
        </w:rPr>
        <w:t xml:space="preserve">架构。综合门户平台应采用</w:t>
      </w:r>
      <w:r>
        <w:rPr>
          <w:rFonts w:ascii="Times New Roman" w:hAnsi="Times New Roman" w:eastAsia="Times New Roman" w:cs="Times New Roman"/>
          <w:color w:val="000000"/>
          <w:sz w:val="28"/>
        </w:rPr>
        <w:t xml:space="preserve">portal</w:t>
      </w:r>
      <w:r>
        <w:rPr>
          <w:rFonts w:ascii="FangSong" w:hAnsi="FangSong" w:eastAsia="FangSong" w:cs="FangSong"/>
          <w:color w:val="000000"/>
          <w:sz w:val="28"/>
        </w:rPr>
        <w:t xml:space="preserve">技术对平台内容进行展现，业务协同平台应采用</w:t>
      </w:r>
      <w:r>
        <w:rPr>
          <w:rFonts w:ascii="Times New Roman" w:hAnsi="Times New Roman" w:eastAsia="Times New Roman" w:cs="Times New Roman"/>
          <w:color w:val="000000"/>
          <w:sz w:val="28"/>
        </w:rPr>
        <w:t xml:space="preserve">ESB</w:t>
      </w:r>
      <w:r>
        <w:rPr>
          <w:rFonts w:ascii="FangSong" w:hAnsi="FangSong" w:eastAsia="FangSong" w:cs="FangSong"/>
          <w:color w:val="000000"/>
          <w:sz w:val="28"/>
        </w:rPr>
        <w:t xml:space="preserve">总线服务架构。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平台开放性需求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本项目的基础框架应满足全面的开放性与跨平台要求，支持国产化中间件和国产数据库的技术，同时支持主流中间件与主流数据库技术，此外，为满足泰州市各用户群体不同系统和平台的要求。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性能需求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退役军人服务保障体系信息系统：应通过负载均衡技术达到系统的高稳定性及高性能；具有较强的系统安全性、可扩展性。性能指标：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）需满足</w:t>
      </w:r>
      <w:r>
        <w:rPr>
          <w:rFonts w:ascii="Times New Roman" w:hAnsi="Times New Roman" w:eastAsia="Times New Roman" w:cs="Times New Roman"/>
          <w:color w:val="000000"/>
          <w:sz w:val="28"/>
        </w:rPr>
        <w:t xml:space="preserve">10000</w:t>
      </w:r>
      <w:r>
        <w:rPr>
          <w:rFonts w:ascii="FangSong" w:hAnsi="FangSong" w:eastAsia="FangSong" w:cs="FangSong"/>
          <w:color w:val="000000"/>
          <w:sz w:val="28"/>
        </w:rPr>
        <w:t xml:space="preserve">用户同时在线，支持并发数</w:t>
      </w:r>
      <w:r>
        <w:rPr>
          <w:rFonts w:ascii="Times New Roman" w:hAnsi="Times New Roman" w:eastAsia="Times New Roman" w:cs="Times New Roman"/>
          <w:color w:val="000000"/>
          <w:sz w:val="28"/>
        </w:rPr>
        <w:t xml:space="preserve">5000</w:t>
      </w:r>
      <w:r>
        <w:rPr>
          <w:rFonts w:ascii="FangSong" w:hAnsi="FangSong" w:eastAsia="FangSong" w:cs="FangSong"/>
          <w:color w:val="000000"/>
          <w:sz w:val="28"/>
        </w:rPr>
        <w:t xml:space="preserve">以上。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2000</w:t>
      </w:r>
      <w:r>
        <w:rPr>
          <w:rFonts w:ascii="FangSong" w:hAnsi="FangSong" w:eastAsia="FangSong" w:cs="FangSong"/>
          <w:color w:val="000000"/>
          <w:sz w:val="28"/>
        </w:rPr>
        <w:t xml:space="preserve">个并发用户登录平台响应时间平均不超过</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2000</w:t>
      </w:r>
      <w:r>
        <w:rPr>
          <w:rFonts w:ascii="FangSong" w:hAnsi="FangSong" w:eastAsia="FangSong" w:cs="FangSong"/>
          <w:color w:val="000000"/>
          <w:sz w:val="28"/>
        </w:rPr>
        <w:t xml:space="preserve">个并发用户复杂数据信息查询平均响应时间不超过</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输出需求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本项目需要支持</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端（用户端、管理端）访问，同时，也需要支持泰州通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的访问。实现政策、培训、安置等线上发布和管理；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管理平台，事务部管理的退役军人信息录入、监管及资料更新；优抚对象补贴发放情况查询；泰州通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，面向退役军人推出的网上服务。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安全需求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考虑到相关系统平台主要服务于办公人员、退役军人，平台个人信息属于高度敏感信息，因此在安全上提供保障，符合等保三级和国密相关标准。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培训需求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在系统上线前，需要完成所有使用人员的培训工作，并在软件功能增加或者升级时按要求对系统维护人员及操作人员进行相关培训。</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u w:val="none"/>
        </w:rPr>
        <w:t xml:space="preserve">信息交换需求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本项目应通过合理的方式实现各类业务应用信息的准确、高效和安全交换，支持基于内容的路由和过滤进行传输交换，并可以提供一系列的标准接口。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u w:val="none"/>
        </w:rPr>
        <w:t xml:space="preserve">统计分析需求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需运用先进技术解决方案，通过智能统计、可视化图表、多维分析等功能来满足各级领导、板块全面监控单位分布和管理。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权限管理需求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系统应提供便捷、灵活、安全、严格的权限管理功能，提供基于系统角色的、多层面授权，包括系统功能授权、操作授权、数据处理授权、查询授权等。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u w:val="none"/>
        </w:rPr>
        <w:t xml:space="preserve">消息管理需求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系统需实现各部门之间业务往来过程中的消息推送，消息提醒等功能。保障消息稳定可靠传输。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运维需求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为保证系统正常运行需培训不少于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名合格的维护工作人员，维护工作人员经培训后能熟练地进行系统的管理和维护工作，并能及时排除大部分的故障。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安全性需求：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性：需达到国家信息安全等级保护第三级（三级）要求，对敏感数据实行加密存储和传输。需进行全面的密码应用安全性评估，建立数据分类分级管理制度，确保在共享交换过程中的数据安全，防止信息泄露。</w:t>
      </w:r>
      <w:r/>
    </w:p>
    <w:p>
      <w:pPr>
        <w:ind w:left="0" w:right="0" w:firstLine="624"/>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8.3.技术方案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8.3.1.总体架构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市退役军人事务局工作的实际需要定制开发，是以流程化处理为核心的、同时集数据采集、分析、处理等功能，技术要求高、涉及用户范围广的大型应用系统，系统设计在保证整个系统的安全性的同时，也确保系统的规范性、实用性、开放性、合理性、全覆盖、关联性和兼容性，以满足对复杂业务逻辑可定制和可管理的个性化开发需求。系统采用基于分布式组件技术的多层应用体系结构、模块化的设计方法以及</w:t>
      </w:r>
      <w:r>
        <w:rPr>
          <w:rFonts w:ascii="Times New Roman" w:hAnsi="Times New Roman" w:eastAsia="Times New Roman" w:cs="Times New Roman"/>
          <w:color w:val="000000"/>
          <w:sz w:val="28"/>
        </w:rPr>
        <w:t xml:space="preserve">B/S </w:t>
      </w:r>
      <w:r>
        <w:rPr>
          <w:rFonts w:ascii="FangSong" w:hAnsi="FangSong" w:eastAsia="FangSong" w:cs="FangSong"/>
          <w:color w:val="000000"/>
          <w:sz w:val="28"/>
        </w:rPr>
        <w:t xml:space="preserve">为主的技术架构。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平台总体架构遵循</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数字泰州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总体框架，自下而上，本系统架构主要为：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）感知终端层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主要由移动工作端、自助服务专区、干休所及服务站等组成，实现对退役军人相关信息的数据采集，如：人员信息、位置信息等。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）基础设施层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用于部署退役军人服务保障体系建设信息系统的信息化基础设施，本项目计划使用政务云资源，以云化资源部署，利用云计算弹性扩展、按需使用的特性。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本项目将建设以基础数据库、共享数据库、业务数据库为核心的数据仓库。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基础数据库：由退役军人档案库、军属烈属库、服务机构库、法律法规库及地理信息库组成，实现本项目的基础数据的保存。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共享数据库：主要是对接省厅、市大数据局及其大数据池、其他委办局的信息系统，实现不同系统之间的数据交换，该数据库进行数据交换时，需要进行脱敏、加密等方式进行处理，保障退役军人的隐私。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业务数据库：主要是退役军人服务和业务交互的数据，通过相关数据的分析和研判更好为退役军人提供服务，同时做好退役军人管理的支撑。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）业务层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建设退役军人管理服务一体化，建设基层管理体系、权益维护体系、移交安置体系、就业服务体系、走访服务体系、军休安置体系、优待抚恤体系、资金管理系统、网格分布体系、服务保障体系等。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）展现层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端、泰州通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端进行展现。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）体系及机制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为了保障系统正常运营，需要建设合规的体系及机制，主要如下：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体系：服务保障体系、安全管理体系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机制：服务机制、监督机制、考评机制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基础设施层：依托泰州市政务云资源。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数据资源层：核心为退役军人主题数据库，由基础信息库、业务信息库、共享信息库等构成。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平台服务层：（重点）</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包含数据分析和数据共享交换平台，作为整个系统的核心引擎。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应用支撑层：集成市级基础平台能力。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业务应用层：面向不同用户的服务管理系统。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用户访问层：通过政务外网为各级用户提供</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、移动端等多种访问方式。</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8.3.2.主要功能设计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市退役军人事务局的业务以及发展需要，结合部系统和省厅综合服务管理平台系统功能和模块，本着以部系统为基础、厅系统为辅、市系统创新延申的模式，避免重复建设，突出泰州退役军人服务特色，本项目主要建设内容包括以下几个方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功能描述</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退役军人数智综合服务管理平台（升级）</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退役军人综合信息库（升级）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融合部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厅系统数据（建档立卡系统数据、优待证管理信息系统数据、军供保障管理系统数据、军休安置服务系统数据、困难帮扶系统数据、企业军转系统数据、信访系统数据、移交安置系统数据、自主择业系统数据、优抚信息系统数据和逐月领取退役金系统等数据）和泰州市各协同部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社、民政、公安、税务、市监、司法等）数据，以及服务服务数据和业务数据，打造泰州退役军人全量数据信息库，为工作人员提供全量的数据支撑和分析服务，同时进行定制预案筛选、智能筛选和自检式供给预案等，如</w:t>
            </w:r>
            <w:r>
              <w:rPr>
                <w:rFonts w:ascii="Times New Roman" w:hAnsi="Times New Roman" w:eastAsia="Times New Roman" w:cs="Times New Roman"/>
                <w:color w:val="000000"/>
                <w:sz w:val="28"/>
              </w:rPr>
              <w:t xml:space="preserve">60</w:t>
            </w:r>
            <w:r>
              <w:rPr>
                <w:rFonts w:ascii="FangSong" w:hAnsi="FangSong" w:eastAsia="FangSong" w:cs="FangSong"/>
                <w:color w:val="000000"/>
                <w:sz w:val="28"/>
              </w:rPr>
              <w:t xml:space="preserve">岁农村籍退役军人，征召数据，减员人员数据、预退役数据、风险管理人员、</w:t>
            </w:r>
            <w:r>
              <w:rPr>
                <w:rFonts w:ascii="Times New Roman" w:hAnsi="Times New Roman" w:eastAsia="Times New Roman" w:cs="Times New Roman"/>
                <w:color w:val="000000"/>
                <w:sz w:val="28"/>
              </w:rPr>
              <w:t xml:space="preserve">XF</w:t>
            </w:r>
            <w:r>
              <w:rPr>
                <w:rFonts w:ascii="FangSong" w:hAnsi="FangSong" w:eastAsia="FangSong" w:cs="FangSong"/>
                <w:color w:val="000000"/>
                <w:sz w:val="28"/>
              </w:rPr>
              <w:t xml:space="preserve">信息库等</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大核心管理数据库。</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荣誉墙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退役荣誉墙实现服役和退役的荣誉的发布管理。</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退役军人服务专区（升级）</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泰州通</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退役军人端</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互联网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就业服务（升级）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优化升级，融合就业服务智慧体，提供智能简历识别优化，职业指导、就业创业政策精准推送宣讲，教育培训推荐、职业方向规划，提供智能岗位推荐等</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互联网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办事指南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对各类业务办理指南的查询。</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互联网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荣誉墙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退役军人荣誉墙，展示退役军人风采</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专属助理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为每一个退役军人提供专属服务机器人，帮助他们实现政策宣讲和解读，业务办理辅助和指南，就业创业的帮扶，服务业务免审即办等</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泰州通</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服务人员端</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我的特助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为退役军人工作提供核心服务辅助，如政策查询和解读，案例分析检索和业务服务功能</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建档立卡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为退役工作人员提供建档立卡数据分析，标签化管理，服务叠加，数据查询、更新和修改等功能。</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数据共享交换服务</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接口管理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实现数据接口的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标准化、资产化、全生命周期管理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，解决接口</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找不到、管不住、用不好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的问题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API</w:t>
            </w:r>
            <w:r>
              <w:rPr>
                <w:rFonts w:ascii="FangSong" w:hAnsi="FangSong" w:eastAsia="FangSong" w:cs="FangSong"/>
                <w:b/>
                <w:color w:val="000000"/>
                <w:sz w:val="28"/>
              </w:rPr>
              <w:t xml:space="preserve">注册与发布：</w:t>
            </w:r>
            <w:r>
              <w:rPr>
                <w:rFonts w:ascii="FangSong" w:hAnsi="FangSong" w:eastAsia="FangSong" w:cs="FangSong"/>
                <w:color w:val="000000"/>
                <w:sz w:val="28"/>
              </w:rPr>
              <w:t xml:space="preserve">将平台提供的每个数据服务（如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查询退役军人社保信息</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接收区县上报数据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）封装成标准的</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（应用程序编程接口），并在统一的</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网关进行注册和发布。为每个接口提供清晰的文档，说明其功能、参数、返回格式和调用示例。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API</w:t>
            </w:r>
            <w:r>
              <w:rPr>
                <w:rFonts w:ascii="FangSong" w:hAnsi="FangSong" w:eastAsia="FangSong" w:cs="FangSong"/>
                <w:b/>
                <w:color w:val="000000"/>
                <w:sz w:val="28"/>
              </w:rPr>
              <w:t xml:space="preserve">目录与服务市场：</w:t>
            </w:r>
            <w:r>
              <w:rPr>
                <w:rFonts w:ascii="FangSong" w:hAnsi="FangSong" w:eastAsia="FangSong" w:cs="FangSong"/>
                <w:color w:val="000000"/>
                <w:sz w:val="28"/>
              </w:rPr>
              <w:t xml:space="preserve">形成一个内部的服务目录，就像一个</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数据服务超市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。业务部门（如就业扶持科）可以在此查找到由人社部门提供的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就业信息查询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接口，并申请调用。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版本控制与生命周期管理：</w:t>
            </w:r>
            <w:r>
              <w:rPr>
                <w:rFonts w:ascii="FangSong" w:hAnsi="FangSong" w:eastAsia="FangSong" w:cs="FangSong"/>
                <w:color w:val="000000"/>
                <w:sz w:val="28"/>
              </w:rPr>
              <w:t xml:space="preserve">管理接口的版本迭代（如</w:t>
            </w:r>
            <w:r>
              <w:rPr>
                <w:rFonts w:ascii="Times New Roman" w:hAnsi="Times New Roman" w:eastAsia="Times New Roman" w:cs="Times New Roman"/>
                <w:color w:val="000000"/>
                <w:sz w:val="28"/>
              </w:rPr>
              <w:t xml:space="preserve">v1.0, v2.0</w:t>
            </w:r>
            <w:r>
              <w:rPr>
                <w:rFonts w:ascii="FangSong" w:hAnsi="FangSong" w:eastAsia="FangSong" w:cs="FangSong"/>
                <w:color w:val="000000"/>
                <w:sz w:val="28"/>
              </w:rPr>
              <w:t xml:space="preserve">），确保旧版本平稳下线，新版本顺利升级，不影响现有调用方。</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访问控制与安全策略：</w:t>
            </w:r>
            <w:r>
              <w:rPr>
                <w:rFonts w:ascii="FangSong" w:hAnsi="FangSong" w:eastAsia="FangSong" w:cs="FangSong"/>
                <w:color w:val="000000"/>
                <w:sz w:val="28"/>
              </w:rPr>
              <w:t xml:space="preserve">对接入方（如某区县服务站）进行身份认证（如使用</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密钥、数字证书），并为其分配调用权限和频次配额，防止接口被滥用或恶意攻击。</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服务编排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将多个简单的、单一的数据服务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组装</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成一个复杂的、符合特定业务场景的复合服务，实现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一站式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数据获取。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图形化流程设计：</w:t>
            </w:r>
            <w:r>
              <w:rPr>
                <w:rFonts w:ascii="FangSong" w:hAnsi="FangSong" w:eastAsia="FangSong" w:cs="FangSong"/>
                <w:color w:val="000000"/>
                <w:sz w:val="28"/>
              </w:rPr>
              <w:t xml:space="preserve">通过拖拽方式，将多个</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像积木一样组合成一个业务流程。</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数据映射与转换：</w:t>
            </w:r>
            <w:r>
              <w:rPr>
                <w:rFonts w:ascii="FangSong" w:hAnsi="FangSong" w:eastAsia="FangSong" w:cs="FangSong"/>
                <w:color w:val="000000"/>
                <w:sz w:val="28"/>
              </w:rPr>
              <w:t xml:space="preserve">在流程中，对不同接口返回的数据格式进行转换和映射，确保它们能无缝对接。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逻辑处理：支持条件判断（如果</w:t>
            </w: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接口返回成功，</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任务调度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实现数据交换任务的自动化、定时、可靠执行，解放人力，保证数据的时效性。</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任务定义：</w:t>
            </w:r>
            <w:r>
              <w:rPr>
                <w:rFonts w:ascii="FangSong" w:hAnsi="FangSong" w:eastAsia="FangSong" w:cs="FangSong"/>
                <w:color w:val="000000"/>
                <w:sz w:val="28"/>
              </w:rPr>
              <w:t xml:space="preserve">创建各种类型的任务，如：定时从区县平台批量抽取退役军人信息（每日凌晨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点执行）、定期向省平台增量上报数据（每周一上午</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点执行）。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调度引擎：</w:t>
            </w:r>
            <w:r>
              <w:rPr>
                <w:rFonts w:ascii="FangSong" w:hAnsi="FangSong" w:eastAsia="FangSong" w:cs="FangSong"/>
                <w:color w:val="000000"/>
                <w:sz w:val="28"/>
              </w:rPr>
              <w:t xml:space="preserve">是一个强大的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定时任务管理中心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，能够精确地按照预设的周期（每天、每周、每月）或特定时点触发任务执行。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依赖关系与执行策略：</w:t>
            </w:r>
            <w:r>
              <w:rPr>
                <w:rFonts w:ascii="FangSong" w:hAnsi="FangSong" w:eastAsia="FangSong" w:cs="FangSong"/>
                <w:color w:val="000000"/>
                <w:sz w:val="28"/>
              </w:rPr>
              <w:t xml:space="preserve">支持设置任务间的依赖关系，例如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任务</w:t>
            </w:r>
            <w:r>
              <w:rPr>
                <w:rFonts w:ascii="Times New Roman" w:hAnsi="Times New Roman" w:eastAsia="Times New Roman" w:cs="Times New Roman"/>
                <w:color w:val="000000"/>
                <w:sz w:val="28"/>
              </w:rPr>
              <w:t xml:space="preserve">B</w:t>
            </w:r>
            <w:r>
              <w:rPr>
                <w:rFonts w:ascii="FangSong" w:hAnsi="FangSong" w:eastAsia="FangSong" w:cs="FangSong"/>
                <w:color w:val="000000"/>
                <w:sz w:val="28"/>
              </w:rPr>
              <w:t xml:space="preserve">（数据清洗）必须在任务</w:t>
            </w: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（数据抽取）成功完成后才能启动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。还支持失败重试、超时处理、优先级设置等策略。</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省厅数据共享交换服务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按照退役军人事务部下发的《全国退役军人信息化工程地方平台建设指南》及十四五规划要求，一方面，自治区退役军人事务厅</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需要实现与退役军人事务部联通对接和数据共享，实现退役军人事务部与自治区的数据联动；另一方面，本项目为满足退役军人综合管理、退役军人服务等应用系统建设，需要通过政务数据共享交换平台以共享方式获取其他行政机关依职能采集的数据资源，</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避免政务数据资源的重复采集和加工，从而降低项目建设成本，并</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最大程度发挥项目建设作用效果。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同时本项目建成后需通过政务数据共享交换平台为其他</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政机关主动提供普遍共享类政务数据资源的共享服务。并通过线上申请线下审核的方式对按需共享类政务数据资源进行共享，可采用接口交换、文件下载或离线交换等多种方式提供服务。</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8.3.3.与市级基础平台关联关系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泰州退役军人信息管理平台与市级基础平台之间的关联关系，为了实现信息资源的共享和业务协同。主要是以下四个方面：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与交互：泰州退役军人信息管理平台可以通过市级基础平台获取或共享其他部门的数据，比如社保、医疗、教育等信息，从而为退役军人提供更加全面的服务。同时，退役军人相关的数据也可以通过市级基础平台与其他部门进行交互，帮助政府更好地了解退役军人的需求和情况，为政策制定提供数据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协同：通过与市级基础平台的关联，泰州退役军人信息管理平台可以实现跨部门业务的协同处理，比如退役军人就业创业指导、教育培训报名、优抚政策咨询等，这样可以提高政府部门服务退役军人的效率和质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整合：市级基础平台作为市政府统一的服务平台，可以将各个垂直领域的服务进行整合，泰州退役军人信息管理平台作为其中一个垂直领域，其服务可以被整合进市级基础平台中，为退役军人提供一站式的服务体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泰州退役军人信息管理平台与市级基础平台之间的充分融合互通，通过对接统一身份认证平台进行实名认证和信息技术手段，加强政府部门间的信息交流和服务整合，提高服务退役军人的能力和水平。</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8.3.4.数据供需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退役军人事务局需预留接口，实现与江苏省退役军人事务厅应用系统、市政府（大数据局）、市级其他部门业务进行数据对接。需要进行数据交换的政府部门包括：市大数据局、市住房和城乡建设局、市教育局、市卫生健康委员会、市市场监管局、市民政局、市人力资源和社会保障局、市公安局、市交通运输局、市财政局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数据共享责任清单如下：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2"/>
        <w:gridCol w:w="1492"/>
        <w:gridCol w:w="1492"/>
        <w:gridCol w:w="1492"/>
        <w:gridCol w:w="1492"/>
        <w:gridCol w:w="1492"/>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共享信息名称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包含内容（数据项）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共享服务</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数据提供</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数据更新</w:t>
            </w:r>
            <w:r>
              <w:rPr>
                <w:rFonts w:ascii="Times New Roman" w:hAnsi="Times New Roman" w:eastAsia="Times New Roman" w:cs="Times New Roman"/>
                <w:b/>
                <w:color w:val="000000"/>
                <w:sz w:val="28"/>
              </w:rPr>
              <w:t xml:space="preserve"> </w:t>
            </w:r>
            <w:r>
              <w:rPr>
                <w:rFonts w:ascii="FangSong" w:hAnsi="FangSong" w:eastAsia="FangSong" w:cs="FangSong"/>
                <w:b/>
                <w:color w:val="000000"/>
                <w:sz w:val="28"/>
              </w:rPr>
              <w:t xml:space="preserve">周期</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基础信息、就业创业信息、帮扶救援信息、教育培训信息、优待抚恤信息、服役信息、安置信息、组织生活</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社会活动情况信息、褒扬激励信息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核验或批量交换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前置机交换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增量数据实时更新</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各级退役军人事务机构服务中心信息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名称、地址、联系方式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核验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前置机交换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增量数据实时更新</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烈士纪念设施信息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名称、地址、纪念设施简介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核验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前置机交换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增量数据实时更新</w:t>
            </w:r>
            <w:r/>
          </w:p>
        </w:tc>
      </w:tr>
      <w:tr>
        <w:trPr>
          <w:trHeight w:val="10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退役军人政策法规知识信息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退役军人政策法规知识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核验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前置机交换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增量数据实时更新</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数据共享需求清单如下：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1"/>
        <w:gridCol w:w="1791"/>
        <w:gridCol w:w="1791"/>
        <w:gridCol w:w="1791"/>
        <w:gridCol w:w="1791"/>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所属部门</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共享信息名称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数据提供和使用方式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应用场景</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市公安局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户籍信息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接口调用，输入退役军人身份证号（或其父母、配偶、配偶父母、子女）身份证号，返回查询姓名、性别、民族、出生日期、住址、与户主关系、迁移记录、入伍注销、相关家属信息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退役军人出具入户介绍信、退役军人易地安置以及分析户籍信息</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市自然资源局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不动产登记信息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接口调用，输入退役军人身份证号，返回查询退役军人的不动产情况：不动产单元号，坐落，姓名，身份证号，不动产权登记证号，共有情况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分析不动产信息</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市教育局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学历教育信息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接口调用，输入退役军人身份证号，返回查询退役军人的学历情况：学校、学制、获得学历时间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分析学历教育信息</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市人社局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养老保险信息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接口调用，输入退役军人身份证号，返回查询退役军人社会救助信息：姓名、身份证号、参保单位、参保登记时间、月缴纳金额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分析养老保险信息</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市民政局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社会救助信息婚姻信息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接口调用，输入退役军人身份证号，返回查询退役军人社会救助信息：姓名、身份证号、救助类型、救助金额、死亡时间、退役军人结婚、离婚信息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分析社会救助信息、退役军人出具入户介绍信、退役军人易地安置</w:t>
            </w:r>
            <w:r/>
          </w:p>
        </w:tc>
      </w:tr>
      <w:tr>
        <w:trPr>
          <w:trHeight w:val="1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市医疗保障局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医疗保险信息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接口调用，输入退役军人身份证号，返回查询退役军人医疗保险信息：姓名、身份证号、参保单位、参保登记时间、医疗保险类型、全省退役军人和其他优抚对象参加社保、医保情况、学历、就业类型、是否党员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分析医疗保险信息、实时查询</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市高级人民法院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刑事判决信息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接口调用，输入退役军人身份证号，返回查询退役军人刑事判决信息：姓名、身份证号、判决信息、判决时间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根据该信息判断相关政策的执行</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市委组织部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党员党组织信息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接口调用，输入身份证号或党员关系凭证号，返回查询退役军人党员基本信息、党员关系归属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分析退役军人党员党组织信息</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市市场监管局、市税务局、市人社局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自主创业信息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接口调用，输入身份证号，返回核对退役军人开办公司的工商登记信息、纳税信息、社会保险信息以及享受创业扶持政策情况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分析自主创业信息</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市卫健委、市人社局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大病慢病医疗信息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接口调用，输入身份证号核对大病医疗保险使用情况、慢性病登记记录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分析医疗健康信息</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社会征信信息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接口调用，输入身份证号，返回核对社会征信信息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分析征信信息</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8.3.5.信息安全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安全风险与需求分析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）安全风险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保障泰州市退役军人事务局本次项目所有信息化系统的安全可靠，必须全面分析系统面临的所有威胁。这些威胁虽然有各种各样的存在形式，但其结果是一致的，都将导致对信息或资源的破坏，影响平台的正常运行，破坏政府为企业提供服务的有效性、可靠性和权威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本项目所有信息化系统的全面分析，系统可能承受各方面的攻击，其面临的威胁和风险主要有：敌对势力、犯罪团伙、黑客、管理人员等。下表从信息系统涉及安全的层面，综述了本项目各个系统可能面临的安全威胁和风险：</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480"/>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安全层面</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安全威胁与风险存在形式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安全威胁与风险描述</w:t>
            </w:r>
            <w:r/>
          </w:p>
        </w:tc>
      </w:tr>
      <w:tr>
        <w:trPr>
          <w:trHeight w:val="4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网络</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与</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系统</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网络互联的安全隐患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互联网与政府专网互联而带来的越权访问、恶意攻击、病毒入侵等安全隐患</w:t>
            </w:r>
            <w:r/>
          </w:p>
        </w:tc>
      </w:tr>
      <w:tr>
        <w:trPr>
          <w:trHeight w:val="4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搭线窃取的隐患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黑客或犯罪团体通过搭线和架设协议分析设备非法窃取系统信息。</w:t>
            </w:r>
            <w:r/>
          </w:p>
        </w:tc>
      </w:tr>
      <w:tr>
        <w:trPr>
          <w:trHeight w:val="4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病毒侵袭的隐患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病毒在系统内感染、传播和发作。</w:t>
            </w:r>
            <w:r/>
          </w:p>
        </w:tc>
      </w:tr>
      <w:tr>
        <w:trPr>
          <w:trHeight w:val="4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网页篡改的隐患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来自互联网的黑客对在线服务平台中各Web服务器的页面进行篡改</w:t>
            </w:r>
            <w:r/>
          </w:p>
        </w:tc>
      </w:tr>
      <w:tr>
        <w:trPr>
          <w:trHeight w:val="4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操作系统安全隐患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操作系统安全漏洞、安全设置不当、安全级别低等，缺乏文件系统的保护和对操作的控制，让各种攻击有可乘之机。</w:t>
            </w:r>
            <w:r/>
          </w:p>
        </w:tc>
      </w:tr>
      <w:tr>
        <w:trPr>
          <w:trHeight w:val="4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数据库系统安全隐患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不能实时监控数据库系统的运行情况</w:t>
            </w:r>
            <w:r/>
          </w:p>
        </w:tc>
      </w:tr>
      <w:tr>
        <w:trPr>
          <w:trHeight w:val="4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应用系统安全隐患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应用系统存在后门，因考虑不周出现安全漏洞等，可能出现非法访问。</w:t>
            </w:r>
            <w:r/>
          </w:p>
        </w:tc>
      </w:tr>
      <w:tr>
        <w:trPr>
          <w:trHeight w:val="4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恶意攻击和非法访问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DOS/DDOS攻击、网页篡改、下载不怀好意的Java、ActiveX小程序等，对系统进行恶意攻击，或对系统进行非法访问。</w:t>
            </w:r>
            <w:r/>
          </w:p>
        </w:tc>
      </w:tr>
      <w:tr>
        <w:trPr>
          <w:trHeight w:val="61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应用安全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身份假冒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关键业务系统被假冒身份者闯入。</w:t>
            </w:r>
            <w:r/>
          </w:p>
        </w:tc>
      </w:tr>
      <w:tr>
        <w:trPr>
          <w:trHeight w:val="61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非授权访问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关键业务系统被越权访问。</w:t>
            </w:r>
            <w:r/>
          </w:p>
        </w:tc>
      </w:tr>
      <w:tr>
        <w:trPr>
          <w:trHeight w:val="61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数据失泄密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数据在处理、传输、存储过程中，被窃取或非授权访问。</w:t>
            </w:r>
            <w:r/>
          </w:p>
        </w:tc>
      </w:tr>
      <w:tr>
        <w:trPr>
          <w:trHeight w:val="4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数据被修改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数据在处理、传输、存储过程中被修改和删除。</w:t>
            </w:r>
            <w:r/>
          </w:p>
        </w:tc>
      </w:tr>
      <w:tr>
        <w:trPr>
          <w:trHeight w:val="6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否认操作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为逃避责任而否认其操作行为。</w:t>
            </w:r>
            <w:r/>
          </w:p>
        </w:tc>
      </w:tr>
      <w:tr>
        <w:trPr>
          <w:trHeight w:val="7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安全管理组织不健全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没有相应的安全管理组织，缺少安全管理人员编制，没有建立应急响应支援体系等。</w:t>
            </w:r>
            <w:r/>
          </w:p>
        </w:tc>
      </w:tr>
      <w:tr>
        <w:trPr>
          <w:trHeight w:val="7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缺乏安全管理手段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不能实时监控机房工作、网络连接和系统运行状态，不能及时发现已经发生的网络安全事件，不能追踪安全事件等。</w:t>
            </w:r>
            <w:r/>
          </w:p>
        </w:tc>
      </w:tr>
      <w:tr>
        <w:trPr>
          <w:trHeight w:val="7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人员安全意识淡薄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无意泄漏系统口令等系统操作信息，随意放置操作员卡，私自接入外网，私自拷贝窃取信息，私自安装程序，不按操作规程操作和越权操作，擅离岗位，没有交接手续等均会造成安全隐患。</w:t>
            </w:r>
            <w:r/>
          </w:p>
        </w:tc>
      </w:tr>
      <w:tr>
        <w:trPr>
          <w:trHeight w:val="7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管理制度不完善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缺乏相应的管理制度，人员分工和职责不明，没有监督、约束和奖惩机制，存在潜在的管理风险</w:t>
            </w:r>
            <w:r/>
          </w:p>
        </w:tc>
      </w:tr>
      <w:tr>
        <w:trPr>
          <w:trHeight w:val="7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缺少标准规范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系统缺乏总体论证，没有或缺少相关的标准规范，各子系统各自为政，系统的互联性差，扩展性不强。</w:t>
            </w:r>
            <w:r/>
          </w:p>
        </w:tc>
      </w:tr>
      <w:tr>
        <w:trPr>
          <w:trHeight w:val="7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缺乏安全服务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人员缺少安全培训，系统从不进行安全评估和安全加固，系统故障不能及时恢复等。</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）安全需求分析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所有信息化系统的安全，涉及到硬件设备及各种系统软件、通用应用软件和自行开发的应用程序的安全；既涉及各种信息安全技术本身，也涉及保障这些安全技术顺利实施的各种安全管理。任何一种或几种单元安全技术都无法解决所有系统的安全问题，必须以科学的安全保障体系结构模型为依据，全面系统地分析各个系统的安全保障需求，为建立科学合理的安全保障体系打下坚实的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在参考国际标准</w:t>
      </w:r>
      <w:r>
        <w:rPr>
          <w:rFonts w:ascii="Times New Roman" w:hAnsi="Times New Roman" w:eastAsia="Times New Roman" w:cs="Times New Roman"/>
          <w:color w:val="000000"/>
          <w:sz w:val="28"/>
        </w:rPr>
        <w:t xml:space="preserve">ISO17799</w:t>
      </w:r>
      <w:r>
        <w:rPr>
          <w:rFonts w:ascii="FangSong" w:hAnsi="FangSong" w:eastAsia="FangSong" w:cs="FangSong"/>
          <w:color w:val="000000"/>
          <w:sz w:val="28"/>
        </w:rPr>
        <w:t xml:space="preserve">和中华人民共和国国家标准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计算机信息系统安全保护等级划分准则（</w:t>
      </w:r>
      <w:r>
        <w:rPr>
          <w:rFonts w:ascii="Times New Roman" w:hAnsi="Times New Roman" w:eastAsia="Times New Roman" w:cs="Times New Roman"/>
          <w:color w:val="000000"/>
          <w:sz w:val="28"/>
        </w:rPr>
        <w:t xml:space="preserve">GB 17859-1999</w:t>
      </w:r>
      <w:r>
        <w:rPr>
          <w:rFonts w:ascii="FangSong" w:hAnsi="FangSong" w:eastAsia="FangSong" w:cs="FangSong"/>
          <w:color w:val="000000"/>
          <w:sz w:val="28"/>
        </w:rPr>
        <w:t xml:space="preserve">），通过借鉴</w:t>
      </w:r>
      <w:r>
        <w:rPr>
          <w:rFonts w:ascii="Times New Roman" w:hAnsi="Times New Roman" w:eastAsia="Times New Roman" w:cs="Times New Roman"/>
          <w:color w:val="000000"/>
          <w:sz w:val="28"/>
        </w:rPr>
        <w:t xml:space="preserve">ISO 7498-2 </w:t>
      </w:r>
      <w:r>
        <w:rPr>
          <w:rFonts w:ascii="FangSong" w:hAnsi="FangSong" w:eastAsia="FangSong" w:cs="FangSong"/>
          <w:color w:val="000000"/>
          <w:sz w:val="28"/>
        </w:rPr>
        <w:t xml:space="preserve">中所描述的开放系统互联安全的体系结构，该模型分别从安全单元、安全要素和协议层次三个层面对泰州市退役军人服务保障体系建设信息系统的安全体系进行全面的分析。从上图中可以看到，所有三个层面都包含了安全管理的内容，体现了技术手段为辅、严格高效的管理为主的现代管理思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基本的安全要素角度出发来考虑泰州市退役军人事务局所有信息系统安全体系的建设。这些基本安全要素包括用户身份鉴别、访问控制、数据完整性、数据保密性、抗抵赖、审计跟踪和可用性服务。其中前五种安全要素取自于国际标准化组织制订的安全体系结构模型</w:t>
      </w:r>
      <w:r>
        <w:rPr>
          <w:rFonts w:ascii="Times New Roman" w:hAnsi="Times New Roman" w:eastAsia="Times New Roman" w:cs="Times New Roman"/>
          <w:color w:val="000000"/>
          <w:sz w:val="28"/>
        </w:rPr>
        <w:t xml:space="preserve">[ISO7498-2]</w:t>
      </w:r>
      <w:r>
        <w:rPr>
          <w:rFonts w:ascii="FangSong" w:hAnsi="FangSong" w:eastAsia="FangSong" w:cs="FangSong"/>
          <w:color w:val="000000"/>
          <w:sz w:val="28"/>
        </w:rPr>
        <w:t xml:space="preserve">，在</w:t>
      </w:r>
      <w:r>
        <w:rPr>
          <w:rFonts w:ascii="Times New Roman" w:hAnsi="Times New Roman" w:eastAsia="Times New Roman" w:cs="Times New Roman"/>
          <w:color w:val="000000"/>
          <w:sz w:val="28"/>
        </w:rPr>
        <w:t xml:space="preserve">[ISO7498-2]</w:t>
      </w:r>
      <w:r>
        <w:rPr>
          <w:rFonts w:ascii="FangSong" w:hAnsi="FangSong" w:eastAsia="FangSong" w:cs="FangSong"/>
          <w:color w:val="000000"/>
          <w:sz w:val="28"/>
        </w:rPr>
        <w:t xml:space="preserve">基础上增加了审计跟踪服务和可用性服务。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协议层次从</w:t>
      </w:r>
      <w:r>
        <w:rPr>
          <w:rFonts w:ascii="Times New Roman" w:hAnsi="Times New Roman" w:eastAsia="Times New Roman" w:cs="Times New Roman"/>
          <w:color w:val="000000"/>
          <w:sz w:val="28"/>
        </w:rPr>
        <w:t xml:space="preserve">TCP/IP</w:t>
      </w:r>
      <w:r>
        <w:rPr>
          <w:rFonts w:ascii="FangSong" w:hAnsi="FangSong" w:eastAsia="FangSong" w:cs="FangSong"/>
          <w:color w:val="000000"/>
          <w:sz w:val="28"/>
        </w:rPr>
        <w:t xml:space="preserve">协议的分层模型出发，分别从</w:t>
      </w:r>
      <w:r>
        <w:rPr>
          <w:rFonts w:ascii="Times New Roman" w:hAnsi="Times New Roman" w:eastAsia="Times New Roman" w:cs="Times New Roman"/>
          <w:color w:val="000000"/>
          <w:sz w:val="28"/>
        </w:rPr>
        <w:t xml:space="preserve">TCP/IP</w:t>
      </w:r>
      <w:r>
        <w:rPr>
          <w:rFonts w:ascii="FangSong" w:hAnsi="FangSong" w:eastAsia="FangSong" w:cs="FangSong"/>
          <w:color w:val="000000"/>
          <w:sz w:val="28"/>
        </w:rPr>
        <w:t xml:space="preserve">协议的网络链路层、网络层、传输层和应用层来考虑本项目信息化系统的建设。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安全单元层次从信息系统所处的环境及其自身的各个组成单元出发，分别从物理环境安全、网络平台安全、系统平台安全和应用程序安全等四个方面来考虑泰州市退役军人事务局各信息系统安全体系的建设。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安全管理涉及到所有协议层次、系统单元、安全服务。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安全保障体系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确保政务服务平台整个安全体系的完备性、合理性和适应性，提供全面的、多方位的和合理的安全服务，切实满足行政审批各方面各层次的安全需求，在合理的代价下将各种安全风险降低到可以接受的水平，最终达到保证泰州市退役军人事务局各个信息系统正常可靠运行和使用的目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下表综述了行政审批主要的安全需求。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480"/>
        </w:trPr>
        <w:tc>
          <w:tcPr>
            <w:shd w:val="clear" w:color="ffffff" w:fill="ffffff"/>
            <w:tcBorders>
              <w:top w:val="single" w:color="000000" w:sz="8"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安全层面</w:t>
            </w:r>
            <w:r/>
          </w:p>
        </w:tc>
        <w:tc>
          <w:tcPr>
            <w:shd w:val="clear" w:color="ffffff" w:fill="ffffff"/>
            <w:tcBorders>
              <w:top w:val="single" w:color="000000" w:sz="8"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安全需求</w:t>
            </w:r>
            <w:r/>
          </w:p>
        </w:tc>
        <w:tc>
          <w:tcPr>
            <w:shd w:val="clear" w:color="ffffff" w:fill="ffffff"/>
            <w:tcBorders>
              <w:top w:val="single" w:color="000000" w:sz="8"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安全需求描述</w:t>
            </w:r>
            <w:r/>
          </w:p>
        </w:tc>
      </w:tr>
      <w:tr>
        <w:trPr>
          <w:trHeight w:val="480"/>
        </w:trPr>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网络</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与</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系统</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深层防御</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层防御就是采用层次化保护策略，预防能攻破一层或一类保护的攻击行为无法破坏整个泰州市退役军人服务保障体系建设信息系统。要求合理划分安全域，对每个安全域的边界和局部计算环境，以及域之间的远程访问，根据需要采用适当的有效保护。</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边界防护</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边界防护用于预防来自本安全域以外的各种恶意攻击和远程访问控制。边界防护机制有防火墙、入侵检测等，实现与互联网和CPIP网的安全隔离。</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网络防病毒</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网络防病毒用于预防病毒在网络内传播、感染和发作。</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网站监测</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网站监测用于预防泰州市退役军人服务保障体系建设信息系统服务网站WEB页面的保护。</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备份恢复</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备份恢复用于意外情况下的数据备份和系统恢复。</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漏洞扫描</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漏洞扫描用于及时发现操作系统、数据库系统、应用系统以及网络协议安全漏洞，防止安全漏洞引起的安全隐患。</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安全审计</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用于事件追踪。要求网络、安全设备和操作系统、数据库系统有自代审计功能。</w:t>
            </w:r>
            <w:r/>
          </w:p>
        </w:tc>
      </w:tr>
      <w:tr>
        <w:trPr>
          <w:trHeight w:val="480"/>
        </w:trPr>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应用安全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身份认证</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身份认证用于保证身份的真实性。泰州市退役军人服务保障体系建设信息系统中身份认证包括市民身份认证、管理人员身份认证、操作员身份认证服务器身份认证（采用统一资源平台统一认证）。</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权限管理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权限管理指对泰州市退役军人服务保障体系建设信息系统中所有操作和访问权限进行管理，防止非授权访问和操作。</w:t>
            </w:r>
            <w:r/>
          </w:p>
        </w:tc>
      </w:tr>
      <w:tr>
        <w:trPr>
          <w:trHeight w:val="9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数据完整性</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数据完整性指对泰州市退役军人服务保障体系建设信息系统中存储、传输的数据进行数据完整性保护（采用统一资源平台统一认证）。</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安全审计</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各应用系统对各种访问和操作要有完善的日志记录，并提供相应的审计工具。</w:t>
            </w:r>
            <w:r/>
          </w:p>
        </w:tc>
      </w:tr>
      <w:tr>
        <w:trPr>
          <w:trHeight w:val="779"/>
        </w:trPr>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组织建设</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安全管理组织建设包括：组织机构、人才队伍、应急响应支援体系等的建设。</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制度建设</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安全管理制度建设包括：人员管理制度，机房管理制度，卡、机具生产管理制度，设备管理制度等的建设</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标准建设</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安全标准规范建设包括：数据交换安全协议、认证协议、密码服务接口等标准规范的建立。</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安全服务</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安全服务包括安全培训、日常维护、安全评估、安全加固、紧急响应等</w:t>
            </w:r>
            <w:r/>
          </w:p>
        </w:tc>
      </w:tr>
      <w:tr>
        <w:trPr>
          <w:trHeight w:val="48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技术建设</w:t>
            </w:r>
            <w:r/>
          </w:p>
        </w:tc>
        <w:tc>
          <w:tcPr>
            <w:shd w:val="clear" w:color="ffffff" w:fill="ffffff"/>
            <w:tcBorders>
              <w:top w:val="none" w:color="000000" w:sz="4" w:space="0"/>
              <w:left w:val="single" w:color="000000" w:sz="8" w:space="0"/>
              <w:bottom w:val="single" w:color="000000" w:sz="8" w:space="0"/>
              <w:right w:val="single" w:color="000000" w:sz="8" w:space="0"/>
            </w:tcBorders>
            <w:tcMar>
              <w:left w:w="57" w:type="dxa"/>
              <w:top w:w="0" w:type="dxa"/>
              <w:right w:w="57" w:type="dxa"/>
              <w:bottom w:w="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安全管理技术建设主要指充分利用已有的安全管理技术，利用和开发相关的安全管理工具，提高安全管理的自动化、智能化水平。</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安全设计目标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各个子系统是提供退役军人业务服务的承载和体现，是电子政务的重要应用，存储着珍贵的数据资源，流动着经济建设和社会生活中重要的数据信息。所以，必须从硬件设施、软件系统、安全管理几方面，加强安全保障体系的建设，为电子政务应用提供安全可靠的运行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基于上述本次项目各个子系统将面临的威胁和风险，泰州市退役军人事务局信息化建设系统安全总体目标是：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当前信息安全技术的发展水平，设计一套科学合理的深层防御安全保障体系，形成有效的安全防护能力、隐患发现能力、应急反应能力和系统恢复能力，从物理、网络、系统、应用和管理等方面保证安全、高效、可靠运行，保证信息的机密性、完整性、可用性和操作的不可否认性，避免各种潜在的威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具体的安全目标是：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确保合法用户使用合法网络资源；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确保各个子系统运行环境的安全；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能及时发现和阻断各种攻击行为，特别是防止</w:t>
      </w:r>
      <w:r>
        <w:rPr>
          <w:rFonts w:ascii="Times New Roman" w:hAnsi="Times New Roman" w:eastAsia="Times New Roman" w:cs="Times New Roman"/>
          <w:color w:val="000000"/>
          <w:sz w:val="28"/>
        </w:rPr>
        <w:t xml:space="preserve">DoS/DDoS</w:t>
      </w:r>
      <w:r>
        <w:rPr>
          <w:rFonts w:ascii="FangSong" w:hAnsi="FangSong" w:eastAsia="FangSong" w:cs="FangSong"/>
          <w:color w:val="000000"/>
          <w:sz w:val="28"/>
        </w:rPr>
        <w:t xml:space="preserve">等恶意攻击，确保各个系统所处的网络系统不受到攻击；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能实时监控和跟踪网络连接状态；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确保所有系统主机资源安全，及时发现系统和数据库的安全漏洞，以有效避免黑客攻击的发生，做到防患于未然；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确保信息系统不被病毒感染、传播和发作，阻止不怀好意的</w:t>
      </w:r>
      <w:r>
        <w:rPr>
          <w:rFonts w:ascii="Times New Roman" w:hAnsi="Times New Roman" w:eastAsia="Times New Roman" w:cs="Times New Roman"/>
          <w:color w:val="000000"/>
          <w:sz w:val="28"/>
        </w:rPr>
        <w:t xml:space="preserve">Java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ActiveX</w:t>
      </w:r>
      <w:r>
        <w:rPr>
          <w:rFonts w:ascii="FangSong" w:hAnsi="FangSong" w:eastAsia="FangSong" w:cs="FangSong"/>
          <w:color w:val="000000"/>
          <w:sz w:val="28"/>
        </w:rPr>
        <w:t xml:space="preserve">小程序等攻击内部网络系统；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具有灵活、方便、有效的注册机制、身份认证机制和授权管理机制，保证审批操作的可控性和不可否认性。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具有有效的应急处理和灾难恢复机制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确保突发事件后能迅速恢复系统的各项审批服务；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具有完善的安全管理保障体系，确保信息系统的运营安全；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制定相关有安全要求和规范，指导对各区县、委办局的审批业务系统建设；设计并实现支持规范实施的安全共性模块（如接口软件），推进审批系统的安全互联互通。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u w:val="none"/>
        </w:rPr>
        <w:t xml:space="preserve">安全应对策略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退役军人事务局政务信息化系统的安全保障主要依赖于全市政务内网的安全保障体系，目前该体系已经具备了基本的网络和系统安全保障功能，对于具体的应用系统，安全保障的重点更多的是在应用系统设计架构、系统软件安全防护、数据安全和用户身份安全等方面。因此，本次项目的安全策略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安全保障体系的设计、建设要遵守国家、政府部门相关的安全法律、法规、制度、标准和技术指南。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分级保护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，网络层面的安全防护依据网上审批服务中所需的网络防护最高等级实施。业务安全保护依据具体服务所需的业务保护等级实施；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构建统一认证网关，支持多种注册手段，提供统一的身份认证。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建立完备的容灾备份和应急响应机制，关键网络设备、系统信息和数据均要有备份手段和恢复机制。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建立完备的安全审计机制，从网络、系统、应用三个层面对每一项事务均有详细的日志记录，保证事务完全可以被追踪；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建立有效的安全服务体系，以适应系统安全的动态性、复杂性和长期性特点。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数据库加密安全体系，充分利用数据库自身提供的应用定制扩展能力，分别使用其触发器扩展能力、索引扩展能力、自定义函数扩展能力以及视图等技术来满足数据存储加密，加密后数据检索，对应用无缝透明等需求。</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8.4.服务预算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退役军人数智综合服务管理平台（升级）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退役军人智能服务专区（升级）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数据共享交换服务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厅数据交换平台中间件软件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r>
      <w:tr>
        <w:trPr>
          <w:trHeight w:val="3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40</w:t>
            </w:r>
            <w:r/>
          </w:p>
        </w:tc>
      </w:tr>
    </w:tbl>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8.5.升级成效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通过项目建设，能够全面提高退役军人管理的工作效率，提高服务的精准化程度，节约工作成本，降低工作失误；“应用互联网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退役军人服务保障”、云计算等信息化手段，有效解决了服务最后一公里的问题，能够让退役军人、军属少跑路，让信息多跑腿，提高服务水平，提升服务对象满意度。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让军人成为备受尊崇的职业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让军人成为全社会尊崇的职业，就是要提高军人福利待遇，全面落实国家政策，提高军人的社会地位。通过系统建设，一是可以辅助退役军人事务局各部门对退役军人信息实行动态管理，精准化服务，更好地为退役军人提供安置就业、教育培训、社会保障、优抚优待、经济补助、个人及家庭诉求、政策咨询、困难帮扶等服务，全面落实国家政策，提高军人福利待遇，让军人成为全社会尊崇的职业。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全面落实国家政策，减少集体上访事件，维护社会稳定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针对涉军群体的各种诉求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在处理上稍有不慎就有可能演变成重 大的群体性事件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引发社会的不稳定。通过系统建设，能够完善各类线上线下服务渠道，做到上下信息畅通、措施有力，在第一时间弄清情况，了解诉求，做好政策宣讲、思想沟通工作，及时化解矛盾。系统可以辅助工作人员制定周密的走访计划，定期开展矛盾纠纷排查，实现周期内服务对象全覆盖，积极主动地做好息访工作，经常与优抚对象进行思想沟通和感情联络，及时了解他们思想情况，宣传 党和国家的政策，消除思想疑惑，增强法律意识，提高思想觉悟。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信访牵扯头绪多，需要密切配合，加强沟通，通力合作。通过系统建设，可以加强退役军人事务局与公安、信访等部门、单位通力配合，实现信息共享，互联互通，有助于及时发现重点信访人员，确定参与稳控人员，与相关部门互通情况、协同工作，并灵活选择领导约谈、社区教育疏导、同类涉军对象劝导等措施，确保不发生问题。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全面提升服务水平，让退役军人安心投入地方建设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系统建设，辅助退役军人事务局各部门对退役军人信息实行动态管理，精准化服务，实时记录，全面、及时、精确地做好退役军人服务保障工作，准确动态反映服务保障情况，这一切有助于全面提升退役军人服务保障水平，让军人能够学所有用、力有所得、住有所居、老有所养、病有所医，解决退役军人的后顾之忧，让退役军人安心从战场转战地方经济建设，再创辉煌，为地方经济建设再立新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（二）风险分析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退役军人信息服务平台的实施和推广涉及到市、县、乡多级退役军人管理机关及烈士陵园，实施范围广，系统功能复杂，运维压力大，都是实施过程中必须认真对待的问题。主要风险如下：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业务规范化程度低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于退役军人事务局刚刚成立，服务体系正在初步构建阶段，目前退役军人服务工作体制有待完善，各部门的配合有待磨合，业务流程缺乏标准化梳理，这些问题会让平台与业务的契合度受到不利影响。因此整个平台设计也需要充分考虑灵活性和可扩展性，建设实施过程需要配合服务体系逐步完善，逐步调整。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运维力量薄弱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退役军人信息服务平台结构复杂，数据量大，可用性要求高，系统建成后将对全市退役军人提供管理与服务功能，并支持市、县、乡、村工作人员在平台上完成服务工作。鉴于平台的业务支撑范围和规模，平台上线后的运维压力会非常大，信息中心现有人员不足以支持平台的运维工作。因此需要在项目进入运维阶段之前，通过各种方法扩充运维团队，增强运维力量，保障平台稳定运行。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平台推广难度大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用户包括大量基层工作人员，这些人员业务水平和信息化认知水平参差不齐，计算机的操作能力相对较低，平台推广使用难度大。因此平台软件功能设计方面需要尽量直观、扁平化，便于基层人员使用。同时重视平台培训工作，针对系统使用中普遍问题组织专项培训。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组织协调风险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涉及多个、多级业务部门与单位，涉及多个单位的业务系统对接，需要大量的协调沟通工作，可能存在沟通不及时，配合不到位等问题，将会对项目的整体进度造成影响。因此需要充分发挥项目领导小组的组织领导作用，并制定有力的实施保障措施，从而保证项目建设工作能够按进度有序推进。</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9.市应急局智慧应急综合管理平台升级优化（2026）项目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9.1.预期目标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短期目标。完成现有核心系统优化升级，实现地震系统监测数据实时化、自动化处理，监测仪器异常状态告警准确率达</w:t>
      </w:r>
      <w:r>
        <w:rPr>
          <w:rFonts w:ascii="Times New Roman" w:hAnsi="Times New Roman" w:eastAsia="Times New Roman" w:cs="Times New Roman"/>
          <w:color w:val="000000"/>
          <w:sz w:val="28"/>
        </w:rPr>
        <w:t xml:space="preserve">95%</w:t>
      </w:r>
      <w:r>
        <w:rPr>
          <w:rFonts w:ascii="FangSong" w:hAnsi="FangSong" w:eastAsia="FangSong" w:cs="FangSong"/>
          <w:color w:val="000000"/>
          <w:sz w:val="28"/>
        </w:rPr>
        <w:t xml:space="preserve">以上；监测预警和应急指挥“一张图”系统实现多源数据“一网汇聚”，移动端突发事件上报响应时间缩短至</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分钟内；防灾减灾救灾系统界面操作效率提升，提高预警信息发送精准度，避免无效预警打扰，实现专家组别二级分类、专家申报、两级审批、一单多派等基础业务线上化运行，完成专家信息、有效期、审批流程的规范化与可追溯，满足日常专家选派、入库审核、费用结算的基础业务刚需。启动新系统核心模块建设，风险报告本地化系统、工贸重点有限空间企业监测预警系统等模块上线运行，给企业提供免费服务，提升企业管理质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中期目标。现有优化系统功能全面成熟，地震系统形成覆盖全市的震情实时跟踪体系，为震后应急决策提供数据支撑的时间缩短至</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分钟内；“一张图”系统实现风险研判、态势感知和资源调度的智能化联动，跨部门指挥协同效率逐渐提升；防灾减灾救灾系统实现灾害风险点动态监测与预警分级精准推送，预警信息覆盖率</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全面深化专家管理应用与流程闭环，实现专家申请、选派、审批、费用确认、统计分析全流程线上协同，完善多条件查询、数据导出、费用调整、服务考评等精细化管理能力，提升区县、业务处室、主管部门多级管理效率，形成标准化、可监督、可量化的专家管理与入库运行机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系统全面建成并试运行，专业化“智能决策”模块风险预测模型准确率稳步提升，可自动匹配不放心企业名单及风险管理薄弱点；企业安全管理服务平台“实体化资源协同”“手册化流程优化”模块全面启用，重点企业人员资质动态管理覆盖率</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，鼓励企业高风险场所作业许可线上化。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长期目标。构建形成“六化”（精准化、专业化、全员化、实体化、手册化、数字化）融合的应急管理信息化体系，实现风险实时可知、安全态势可视、隐患处置可控、管理流程可溯、绩效评价可量的总体目标。所有系统数据互联互通，形成统一的数据资源池与智能分析中心，为应急管理决策提供全方位、高精度的数据支撑，推动应急管理工作从被动响应向主动防控转变，全面提升泰州市应急管理综合能力与水平，为全市安全发展提供坚实的信息化保障。</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9.2.需求分析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9.2.1.业务需求</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现有系统优化业务分析</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）地震系统优化业务需求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业务实操层面来看，当前地震系统虽已启动第一阶段建设，但在震情监测与应急响应的业务链条中仍存在明显短板。一方面，现有监测数据处理依赖人工介入，当地震发生后，震中区地质构造、历史地震数据等关键信息的收集与整理需耗费大量时间，导致汇报材料编制滞后，难以满足应急决策“争分夺秒”的需求；另一方面，对地震监测仪器的运行状态缺乏实时、智能的监控手段，仪器停测、断计等异常情况往往无法及时发现，可能导致关键监测数据缺失，影响震情研判的准确性。</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业务发展角度而言，随着应急管理工作对数据时效性、智能化要求的提升，现有系统已无法支撑震情跟踪的精细化管理。地震处工作人员在日常工作中，需要实时掌握各地震监测站点的观测数据连续率、仪器运行状态等核心指标，以便及时排查设备故障、保障监测网络稳定。因此，亟需通过优化升级，实现监测数据的自动处理、仪器状态的智能告警以及震后信息的快速整合，构建“监测</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分析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告警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汇报”一体化的业务流程，提升地震应急管理的业务响应效率与决策支撑能力。</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）监测预警和应急指挥“一张图”系统优化业务需求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值班管理业务中，当前采用人工排班模式，不仅耗时耗力，还易出现排班冲突、补贴计算错误等问题。应急指挥中心工作人员每月需花费大量时间整理值班表与补贴清单，且在调班、换班后需重新手动调整，业务效率低下。同时，跨部门数据共享不畅是制约应急指挥业务的关键瓶颈，各部门视频监控、气象数据、危化品运输动态等信息分散存储，</w:t>
      </w:r>
      <w:r>
        <w:rPr>
          <w:rFonts w:ascii="Times New Roman" w:hAnsi="Times New Roman" w:eastAsia="Times New Roman" w:cs="Times New Roman"/>
          <w:color w:val="000000"/>
          <w:sz w:val="28"/>
        </w:rPr>
        <w:t xml:space="preserve">119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120</w:t>
      </w:r>
      <w:r>
        <w:rPr>
          <w:rFonts w:ascii="FangSong" w:hAnsi="FangSong" w:eastAsia="FangSong" w:cs="FangSong"/>
          <w:color w:val="000000"/>
          <w:sz w:val="28"/>
        </w:rPr>
        <w:t xml:space="preserve">接警数据无法实时互通，导致“一张图”系统难以全面掌握风险态势，影响风险研判与资源调度的准确性。</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无人机作为应急现场勘查的重要工具，利用无人机对动火作业区域开展常态化航拍，采集现场高清图像、红外影像等数据，重点识别动火点、作业人员、周边可燃物、安全防护设施及违规操作行为，为</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算法训练提供真实、丰富、标注规范的样本，满足动火作业智能识别、风险预警、违规判定及全过程监管的模型训练与验证需求。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）安全生产专家管理系统优化业务需求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系统建设旨在补齐现有专家管理短板，通过优化专家组别二级分类、一单多派选派、审批佐证留痕、费用自动结算与调整、统计分析及有效期数据同步等功能，实现专家日常管理、使用、结算、监督全流程线上化、规范化运行，提升专家管理效率与操作便捷性。</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围绕两级专家入库管理要求，搭建统一申报入口，建立区县初审、业务处室复审、主管部门终审的标准化审批流程，完善申报反馈、材料规范、数据汇总查询与导出功能，满足多级管理部门对专家入库审核、动态管控、数据追溯的业务需求。</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新系统建设业务需求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项目推进将在遵循《江苏省工业企业安全生产风险报告规定》（省政府令第</w:t>
      </w:r>
      <w:r>
        <w:rPr>
          <w:rFonts w:ascii="Times New Roman" w:hAnsi="Times New Roman" w:eastAsia="Times New Roman" w:cs="Times New Roman"/>
          <w:color w:val="000000"/>
          <w:sz w:val="28"/>
        </w:rPr>
        <w:t xml:space="preserve">140</w:t>
      </w:r>
      <w:r>
        <w:rPr>
          <w:rFonts w:ascii="FangSong" w:hAnsi="FangSong" w:eastAsia="FangSong" w:cs="FangSong"/>
          <w:color w:val="000000"/>
          <w:sz w:val="28"/>
        </w:rPr>
        <w:t xml:space="preserve">号）要求的基础上，强化企业通过省厅安全生产风险报告系统填报信息后的数据资源属地回流与深化利用，具体建设思路如下：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）保留企业通过省厅系统填报途径不变。</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地市部署完成后，企业仍通过省系统完成每年的风险报告。处理方式是：地市系统与省系统实现单点登录，使得省级和市级系统的填报入口一致，实际企业是在省级系统填报。此方式既遵循了风险报告规定在省系统统一填报的要求，又不影响企业数据直接通过省级系统和地市系统间的数据回流实现数据一致。</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）省厅系统数据资源申请与回流。</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按需申请、应归尽归、安全共享的原则，推进省厅系统数据资源申请与回流及市县系统数据上传共享工作：市级层面依托省级政务数据共享体系，根据应急管理业务实际需求，依规向省厅申请相关数据资源，推动省级应急数据按需回流至市级平台，为区域应急指挥、风险研判提供省级数据支撑；市县两级严格落实数据归集共享要求，将辖区内应急管理相关的风险隐患、灾害事故、应急资源、监测预警等数据，按照统一标准和更新频率全量、规范上传至对应上级平台，实现应急数据纵向贯通、逐级汇聚。同时建立健全数据质量校核、安全管理及使用监管机制，保障数据真实</w:t>
      </w:r>
      <w:r>
        <w:rPr>
          <w:rFonts w:ascii="FangSong" w:hAnsi="FangSong" w:eastAsia="FangSong" w:cs="FangSong"/>
          <w:color w:val="000000"/>
          <w:sz w:val="28"/>
        </w:rPr>
        <w:t xml:space="preserve">准确、流转安全、应用规范，确保省市县三级应急数据资源高效共享、按需调配，为三级一体化应急管理指挥体系建设筑牢数据根基。</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）实现属地化系统间互联互通。</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报告系统实现地市级属地部署后，可与市级已建系统对接并互联互通，为属地已建系统提供必要的企业数据资源（如企业基础信息、企业风险源信息、企业分级管理信息、企业问题隐患信息等），以提升对属地企业填报数据的利用率，同时减少本地系统对属地企业相关数据信息的多头管理与维护工作。</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）已建系统企业安全监管深化应用。</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基于省厅系统回流的属地企业同步更新数据支撑，结合本市已建系统和企业安全监管实际业务需求，构建面向本市安全生产企业监管业务的深化应用，做到一企一档、一企一策，实现企业安全精准监管。</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）企业安全管理服务业务应用</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企业安全管理存在诸多问题：企业管理水平参差不齐，部分企业缺乏专业的安全管理知识，隐患判定标准不清晰，安全台账编制不规范；员工参与安全管理的积极性低，隐患上报渠道不畅通，安全培训多采用线下集中培训模式，效果差且难以覆盖所有员工，安全文化氛围难以营造。</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贯彻落实企业关键人员的精准化、动态化监管要求，实体化“资源协同”模块，需要对重点企业人员进行精细化管理，旨在实现人员数据的统一归集、智能校验、动态管理及业务联动，赋能基层监管，压实企业主体责任。建设企业安全管理服务平台，鼓励企业线上查、线上管，逐步实现全员化参与、实体化资源协同、手册化流程优化，提升企业安全管理水平与监管部门的监管效率。</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用户需求分析</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）内部用户需求（局各处室工作人员）</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高效性需求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处室工作人员希望通过信息化系统简化工作流程，减少人工操作，提升工作效率。例如，地震处工作人员希望地震系统能自动处理监测数据、生成汇报初稿，减少数据整理与文档编制时间；应急指挥中心工作人员希望“一张图”系统能智能生成值班表与补贴清单，避免人工排班的繁琐；减灾处工作人员希望防灾减灾救灾系统能支持批量数据导入，简化预警短信发送操作；科信处等安全生产专家管理、试用部门人员希望能够通过系统更便捷、更细致的使用和监督安全生产专家、能够通过系统对专家库人员进行全流程线上管理。</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精准性需求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人员需要系统提供精准的数据与信息，支撑决策与业务开展。火防处工作人员希望网格化管理平台能精准划分电子网格、明确责任人，准确统计巡查督查数据；基础处工作人员希望有限空间风险监测平台能精准识别员工不安全行为，减少误判；危化处工作人员希望企业安全管理服务平台能精准匹配企业风险管控措施，准确提醒人员资质到期。</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便捷性需求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人员希望系统操作便捷、易上手，支持多终端访问。例如，巡查督查处工作人员希望通过移动端随时记录问题隐患、查询整改情况；企业安全管理人员希望通过手机扫码快速获取设备操作规程与风险提示；所有工作人员希望系统界面简洁直观，关键信息一目了然，减少学习与操作成本。</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）外部用户需求（企业工作人员、社会公众）</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企业工作人员需求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安全管理人员希望系统能提供专业的安全管理工具，如隐患判定标准查询、安全台账模板、在线学习资源等，帮助企业提升安全管理水平；员工希望能通过简单的操作参与安全管理，如随手拍上报隐患、在线学习安全知识，并能获得相应的奖励，提升参与积极性；企业特种作业人员希望系统能及时提醒资质到期，避免影响工作。</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社会公众需求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会公众希望能及时获取准确的灾害预警信息，且避免频繁的无效预警打扰；在突发事件发生后，希望能通过官方渠道了解事件进展与应对措施，增强安全感；部分公众（如应急志愿者）希望能参与到应急管理工作中，获取相关的应急知识与技能培训资源，另外符合安全生产专家相关要求的社会公众，可以通过系统申报加入市级或区县级安全生产专家库。</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数据需求分析</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）数据采集需求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采集的数据类型丰富多样，涵盖基础数据、监测数据、业务数据、外部共享数据等。基础数据包括泰州市行政区划数据、企业基础信息（名称、地址、行业类型、风险等级）、人员信息（工作人员、企业员工、特种作业人员、专家人员）、应急资源信息（应急避难场所、消防站点、应急物资储备点）等；监测数据包括地震监测数据（地震波、震级、震中位置）、气象数据（温度、降雨量、风力、风向）、视频监控数据（企业内部监控、道路监控、有限空间作业监控）、设备运行数据（企业生产设备、地震监测仪器）等；业务数据包括值班信息（值班人员、值班时段、补贴</w:t>
      </w:r>
      <w:r>
        <w:rPr>
          <w:rFonts w:ascii="FangSong" w:hAnsi="FangSong" w:eastAsia="FangSong" w:cs="FangSong"/>
          <w:color w:val="000000"/>
          <w:sz w:val="28"/>
        </w:rPr>
        <w:t xml:space="preserve">金额）、巡查督查数据（问题隐患、整改情况、验收结果）、预警信息（预警级别、预警区域、发送对象）、作业许可数据（作业类型、作业人员、审批结果）等；外部共享数据包括</w:t>
      </w:r>
      <w:r>
        <w:rPr>
          <w:rFonts w:ascii="Times New Roman" w:hAnsi="Times New Roman" w:eastAsia="Times New Roman" w:cs="Times New Roman"/>
          <w:color w:val="000000"/>
          <w:sz w:val="28"/>
        </w:rPr>
        <w:t xml:space="preserve">119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120</w:t>
      </w:r>
      <w:r>
        <w:rPr>
          <w:rFonts w:ascii="FangSong" w:hAnsi="FangSong" w:eastAsia="FangSong" w:cs="FangSong"/>
          <w:color w:val="000000"/>
          <w:sz w:val="28"/>
        </w:rPr>
        <w:t xml:space="preserve">接警数据、省风险报告系统数据、华为</w:t>
      </w:r>
      <w:r>
        <w:rPr>
          <w:rFonts w:ascii="Times New Roman" w:hAnsi="Times New Roman" w:eastAsia="Times New Roman" w:cs="Times New Roman"/>
          <w:color w:val="000000"/>
          <w:sz w:val="28"/>
        </w:rPr>
        <w:t xml:space="preserve">MCU</w:t>
      </w:r>
      <w:r>
        <w:rPr>
          <w:rFonts w:ascii="FangSong" w:hAnsi="FangSong" w:eastAsia="FangSong" w:cs="FangSong"/>
          <w:color w:val="000000"/>
          <w:sz w:val="28"/>
        </w:rPr>
        <w:t xml:space="preserve">会控系统数据等。</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）数据处理需求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对采集到的原始数据进行清洗、转换、整合、分析等处理。数据清洗需去除冗余数据、纠正错误数据、补全缺失数据，确保数据准确性；数据转换需将不同格式、不同标准的数据统一转换为系统可识别的格式，保障数据兼容性；数据整合需将分散在不同系统、不同部门的数据进行关联整合，形成完整的数据视图；数据分析需利用大数据与</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算法对历史数据、实时数据进行深度挖掘，如风险预测分析、隐患趋势分析、人员资质状态分析等，为业务决策提供数据支撑。</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）数据存储需求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根据数据类型与访问频率选择合适的存储方式，确保数据安全、可靠、易访问。结构化数据（如人员信息、企业信息、值班信息）适合采用关系型数据库存储，便于查询与关联操作；非结构化数据（如视频监控数据、文档数据、图片数据）适合采用非关系型数据库或对象存储服务，满足大容量、高并发的存储需求；历史数据与决策支持数据适合存储在数据仓库中，为数据分析与挖掘提供支撑。同时，需要满足数据备份与恢复需求，定期对数据进行备份，确保在数据丢失或损坏时能及时恢复。</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）数据共享与安全需求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实现数据在局内部各处室、上下级部门、企业之间的安全共享。在局内部，需打破处室数据壁垒，实现值班数据、巡查督查数据、预警数据等的共享共用；在上下级部门之间，需向上归集数据至省级应急管理平台，向下推送指令与政策文件至市（区）应急管理部门；在与企业之间，需为企业提供必要的数据服务（如人员资质查询、风险管控措施参考），同时接收企业上报的数据（如隐患信息、作业许可信息）。</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数据安全是核心需求，需保障数据在采集、传输、存储、使用过程中的安全。在数据传输过程中，需采用加密技术（如</w:t>
      </w:r>
      <w:r>
        <w:rPr>
          <w:rFonts w:ascii="Times New Roman" w:hAnsi="Times New Roman" w:eastAsia="Times New Roman" w:cs="Times New Roman"/>
          <w:color w:val="000000"/>
          <w:sz w:val="28"/>
        </w:rPr>
        <w:t xml:space="preserve">SSL/TLS</w:t>
      </w:r>
      <w:r>
        <w:rPr>
          <w:rFonts w:ascii="FangSong" w:hAnsi="FangSong" w:eastAsia="FangSong" w:cs="FangSong"/>
          <w:color w:val="000000"/>
          <w:sz w:val="28"/>
        </w:rPr>
        <w:t xml:space="preserve">）防止数据被窃取；在数据存储过程中，需采用加密存储、访问控制等手段，防止数据泄露；在数据使用过程中，需实现“可用不可见”，通过数据脱敏、权限管理等方式，确保数据仅被授权人员在授权范围内使用，避免数据滥用与泄露。</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9.2.2.技术需求</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现有系统优化升级：提升核心业务支撑能力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）地震监测系统功能强化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针对当前地震系统人工依赖度高、响应滞后的问题，开展深度优化升级，构建“数据自动处理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设备智能监控</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应急快速响应”一体化体系：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数据智能分析模块建设：开发地震监测数据自动处理引擎，集成地质构造、历史地震、应急避难场所等多维度数据，实现震后</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分钟内自动生成灾情初步研判报告，包含影响范围、重点防护目标、救援资源分布等核心信息，替代传统人工编制模式。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设备状态实时监控体系：为地震监测仪器加装物联网传感器，实时采集运行参数（如供电状态、数据传输速率、检测精度），在系统内构建仪器运维台账，设置异常阈值（如数据中断超过</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分钟、检测误差超标），触发自动告警并推送至运维人员移动端，确保监测数据连续性。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应急响应联动适配：将地震监测系统与省市应急指挥平台对接，实现震情信息自动同步，联动调出事发点地形地貌、交通路网、医疗救援点等空间数据，为指挥决策提供可视化支撑。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）监测预警与应急指挥“一张图”系统迭代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破解现有系统数据孤岛、协同不足问题，打造“全域可视、全程贯通”的指挥中枢：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值班管理子系统开发：构建自动化值班排班模块，支持按部门、岗位、人员资质自动生成排班表，具备冲突检测、调班申请审批、补贴自动核算功能；开发值班日志电子化模块，支持文字、图片、视频等多格式记录上传，与突发事件管理模块无缝衔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无人机动火作业监管采集数据模型训练应用：依托无人机智能方舱常态化采集动火作业现场高清影像、红外画面等多源数据样本，开展明火辨识、动火作业行为等目标特征标注与 </w:t>
      </w:r>
      <w:r>
        <w:rPr>
          <w:rFonts w:ascii="Times New Roman" w:hAnsi="Times New Roman" w:eastAsia="Times New Roman" w:cs="Times New Roman"/>
          <w:color w:val="000000"/>
          <w:sz w:val="28"/>
        </w:rPr>
        <w:t xml:space="preserve">AI </w:t>
      </w:r>
      <w:r>
        <w:rPr>
          <w:rFonts w:ascii="FangSong" w:hAnsi="FangSong" w:eastAsia="FangSong" w:cs="FangSong"/>
          <w:color w:val="000000"/>
          <w:sz w:val="28"/>
        </w:rPr>
        <w:t xml:space="preserve">算法专项训练。通过海量实景图片迭代优化模型识别精度与泛化能力，赋能动火作业全流程智能巡检监管，有效弥补人工监管盲区，提升危化及施工现场动火作业安全管控的智能化、精准化水平。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）安全生产专家管理系统升级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为规范专家管理流程、提升管理效率与服务质量，对现有专家管理功能进行全方位优化，并搭建科学规范的两级专家入库管理体系，实现专家全生命周期管理的标准化、可追溯。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管理功能完成多维度优化：涵盖专家组别二级分类管理、一单多派的申请选派模式、审批过程佐证信息完善、按科室自动生成并可调整的费用结算、强化监督的统计分析，以及聘书有效期与专家信息同步，全面优化专家全流程管理与数据支撑。</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新业务系统建设：覆盖精细化监管新场景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）风险报告系统本地化及企业安全管理服务需求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工业企业安全生产风险报告系统市级本地化部署，在省、市、区三级应急部门监管和企业安全生产风险填报不受影响的基础上，打开省、市安全生产监管条线信息互通共享通道，确保属地企业填报与更新的各项信息市级监管部门能够及时获取，同时基于本地企业安全监督管理的实际需求，在地市系统的框架下，积极拓展属地深化应用，如强化智能化应用、细化重点人员与特殊作业管理、深化员工扫码应用等，为落实企业安全主体责任、安全生产精准监管、生产风险高效管控提供数据技术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贯彻落实企业关键人员的精准化、动态化监管要求，实体化“资源协同”模块，需要对重点企业人员进行精细化管理，旨在实现人员数据的统一归集、智能校验、动态管理及业务联动，赋能基层监管，压实企业主体责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）工贸重点有限空间企业监测预警需求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为强化工贸行业重点有限空间安全管控，需建设集多源数据汇聚管理、实时环境监测、</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装备识别、电子围栏防护及智能报警于一体的监测预警系统，依托大数据分析与</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可视化实现全局态势感知与风险超前预警，并覆盖作业票办理、智能开锁、过程检测、全程监护至完工闭环的全流程规范化管理，全面提升有限空间作业安全监管能力，有效防范违规作业、非法闯入、中毒等安全事故。</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技术底座与数据体系建设：保障系统安全高效运行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）信创适配数据库与硬件部署</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严格遵循自主可控要求，构建基于国产技术的数据库底座：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信创数据库选型与部署：采用“达梦</w:t>
      </w:r>
      <w:r>
        <w:rPr>
          <w:rFonts w:ascii="Times New Roman" w:hAnsi="Times New Roman" w:eastAsia="Times New Roman" w:cs="Times New Roman"/>
          <w:color w:val="000000"/>
          <w:sz w:val="28"/>
        </w:rPr>
        <w:t xml:space="preserve">DM8</w:t>
      </w:r>
      <w:r>
        <w:rPr>
          <w:rFonts w:ascii="FangSong" w:hAnsi="FangSong" w:eastAsia="FangSong" w:cs="FangSong"/>
          <w:color w:val="000000"/>
          <w:sz w:val="28"/>
        </w:rPr>
        <w:t xml:space="preserve">为主、人大金仓</w:t>
      </w:r>
      <w:r>
        <w:rPr>
          <w:rFonts w:ascii="Times New Roman" w:hAnsi="Times New Roman" w:eastAsia="Times New Roman" w:cs="Times New Roman"/>
          <w:color w:val="000000"/>
          <w:sz w:val="28"/>
        </w:rPr>
        <w:t xml:space="preserve">KingbaseES</w:t>
      </w:r>
      <w:r>
        <w:rPr>
          <w:rFonts w:ascii="FangSong" w:hAnsi="FangSong" w:eastAsia="FangSong" w:cs="FangSong"/>
          <w:color w:val="000000"/>
          <w:sz w:val="28"/>
        </w:rPr>
        <w:t xml:space="preserve">为辅”的架构，核心业务（如地震监测、值班管理）使用达梦</w:t>
      </w:r>
      <w:r>
        <w:rPr>
          <w:rFonts w:ascii="Times New Roman" w:hAnsi="Times New Roman" w:eastAsia="Times New Roman" w:cs="Times New Roman"/>
          <w:color w:val="000000"/>
          <w:sz w:val="28"/>
        </w:rPr>
        <w:t xml:space="preserve">DM8</w:t>
      </w:r>
      <w:r>
        <w:rPr>
          <w:rFonts w:ascii="FangSong" w:hAnsi="FangSong" w:eastAsia="FangSong" w:cs="FangSong"/>
          <w:color w:val="000000"/>
          <w:sz w:val="28"/>
        </w:rPr>
        <w:t xml:space="preserve">（适配</w:t>
      </w:r>
      <w:r>
        <w:rPr>
          <w:rFonts w:ascii="Times New Roman" w:hAnsi="Times New Roman" w:eastAsia="Times New Roman" w:cs="Times New Roman"/>
          <w:color w:val="000000"/>
          <w:sz w:val="28"/>
        </w:rPr>
        <w:t xml:space="preserve">Oracle</w:t>
      </w:r>
      <w:r>
        <w:rPr>
          <w:rFonts w:ascii="FangSong" w:hAnsi="FangSong" w:eastAsia="FangSong" w:cs="FangSong"/>
          <w:color w:val="000000"/>
          <w:sz w:val="28"/>
        </w:rPr>
        <w:t xml:space="preserve">语法，降低迁移成本），半结构化数据场景（如预警信息、作业记录）搭配人大金仓（优化</w:t>
      </w:r>
      <w:r>
        <w:rPr>
          <w:rFonts w:ascii="Times New Roman" w:hAnsi="Times New Roman" w:eastAsia="Times New Roman" w:cs="Times New Roman"/>
          <w:color w:val="000000"/>
          <w:sz w:val="28"/>
        </w:rPr>
        <w:t xml:space="preserve">JSONB</w:t>
      </w:r>
      <w:r>
        <w:rPr>
          <w:rFonts w:ascii="FangSong" w:hAnsi="FangSong" w:eastAsia="FangSong" w:cs="FangSong"/>
          <w:color w:val="000000"/>
          <w:sz w:val="28"/>
        </w:rPr>
        <w:t xml:space="preserve">类型支持）；完成数据库集群部署，实现一主两备高可用架构。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国产软硬件适配集成：确保数据库与麒麟</w:t>
      </w:r>
      <w:r>
        <w:rPr>
          <w:rFonts w:ascii="Times New Roman" w:hAnsi="Times New Roman" w:eastAsia="Times New Roman" w:cs="Times New Roman"/>
          <w:color w:val="000000"/>
          <w:sz w:val="28"/>
        </w:rPr>
        <w:t xml:space="preserve">OS</w:t>
      </w:r>
      <w:r>
        <w:rPr>
          <w:rFonts w:ascii="FangSong" w:hAnsi="FangSong" w:eastAsia="FangSong" w:cs="FangSong"/>
          <w:color w:val="000000"/>
          <w:sz w:val="28"/>
        </w:rPr>
        <w:t xml:space="preserve">、统信</w:t>
      </w:r>
      <w:r>
        <w:rPr>
          <w:rFonts w:ascii="Times New Roman" w:hAnsi="Times New Roman" w:eastAsia="Times New Roman" w:cs="Times New Roman"/>
          <w:color w:val="000000"/>
          <w:sz w:val="28"/>
        </w:rPr>
        <w:t xml:space="preserve">UOS</w:t>
      </w:r>
      <w:r>
        <w:rPr>
          <w:rFonts w:ascii="FangSong" w:hAnsi="FangSong" w:eastAsia="FangSong" w:cs="FangSong"/>
          <w:color w:val="000000"/>
          <w:sz w:val="28"/>
        </w:rPr>
        <w:t xml:space="preserve">操作系统，华为鲲鹏、曙光海光服务器，东方通、金蝶天燕中间件全栈兼容；部署国产</w:t>
      </w:r>
      <w:r>
        <w:rPr>
          <w:rFonts w:ascii="Times New Roman" w:hAnsi="Times New Roman" w:eastAsia="Times New Roman" w:cs="Times New Roman"/>
          <w:color w:val="000000"/>
          <w:sz w:val="28"/>
        </w:rPr>
        <w:t xml:space="preserve">KMS</w:t>
      </w:r>
      <w:r>
        <w:rPr>
          <w:rFonts w:ascii="FangSong" w:hAnsi="FangSong" w:eastAsia="FangSong" w:cs="FangSong"/>
          <w:color w:val="000000"/>
          <w:sz w:val="28"/>
        </w:rPr>
        <w:t xml:space="preserve">系统用于敏感数据加密密钥管理，符合等保二级要求。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）数据资源融合与安全体系构建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打破数据壁垒，强化数据全生命周期安全：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跨部门数据共享平台建设：制定应急数据统一采集标准，打通交通、自然资源、气象等部门数据接口，建立“一数一源、动态更新”的数据资源池，涵盖基础地理、风险隐患、应急资源、人员资质等</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大类数据。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数据安全防护体系搭建：对企业人员身份证号、手机号等敏感数据实施字段级加密（达梦</w:t>
      </w:r>
      <w:r>
        <w:rPr>
          <w:rFonts w:ascii="Times New Roman" w:hAnsi="Times New Roman" w:eastAsia="Times New Roman" w:cs="Times New Roman"/>
          <w:color w:val="000000"/>
          <w:sz w:val="28"/>
        </w:rPr>
        <w:t xml:space="preserve">AES-256</w:t>
      </w:r>
      <w:r>
        <w:rPr>
          <w:rFonts w:ascii="FangSong" w:hAnsi="FangSong" w:eastAsia="FangSong" w:cs="FangSong"/>
          <w:color w:val="000000"/>
          <w:sz w:val="28"/>
        </w:rPr>
        <w:t xml:space="preserve">加密）与动态脱敏（人大金仓</w:t>
      </w:r>
      <w:r>
        <w:rPr>
          <w:rFonts w:ascii="Times New Roman" w:hAnsi="Times New Roman" w:eastAsia="Times New Roman" w:cs="Times New Roman"/>
          <w:color w:val="000000"/>
          <w:sz w:val="28"/>
        </w:rPr>
        <w:t xml:space="preserve">masking</w:t>
      </w:r>
      <w:r>
        <w:rPr>
          <w:rFonts w:ascii="FangSong" w:hAnsi="FangSong" w:eastAsia="FangSong" w:cs="FangSong"/>
          <w:color w:val="000000"/>
          <w:sz w:val="28"/>
        </w:rPr>
        <w:t xml:space="preserve">策略）；建立细粒度访问控制体系，按角色分配数据查看权限（企业仅看自身数据，监管看辖区数据）；开启全量审计日志，留存时间≥</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个月。</w:t>
      </w:r>
      <w:r/>
    </w:p>
    <w:p>
      <w:pPr>
        <w:ind w:left="0" w:right="0" w:firstLine="562"/>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配套支撑体系建设：保障项目落地见效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）宣传与运营赋能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系统操作培训与推广：编制针对不同用户群体（监管人员、网格员、企业人员）的操作手册，开展线上线下结合的培训；建立运维服务群，提供</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小时技术支持。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）运维与保障体系建设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国产化运维工具部署：配备达梦</w:t>
      </w:r>
      <w:r>
        <w:rPr>
          <w:rFonts w:ascii="Times New Roman" w:hAnsi="Times New Roman" w:eastAsia="Times New Roman" w:cs="Times New Roman"/>
          <w:color w:val="000000"/>
          <w:sz w:val="28"/>
        </w:rPr>
        <w:t xml:space="preserve">DMS</w:t>
      </w:r>
      <w:r>
        <w:rPr>
          <w:rFonts w:ascii="FangSong" w:hAnsi="FangSong" w:eastAsia="FangSong" w:cs="FangSong"/>
          <w:color w:val="000000"/>
          <w:sz w:val="28"/>
        </w:rPr>
        <w:t xml:space="preserve">管理工具、人大金仓</w:t>
      </w:r>
      <w:r>
        <w:rPr>
          <w:rFonts w:ascii="Times New Roman" w:hAnsi="Times New Roman" w:eastAsia="Times New Roman" w:cs="Times New Roman"/>
          <w:color w:val="000000"/>
          <w:sz w:val="28"/>
        </w:rPr>
        <w:t xml:space="preserve">KingbaseManager</w:t>
      </w:r>
      <w:r>
        <w:rPr>
          <w:rFonts w:ascii="FangSong" w:hAnsi="FangSong" w:eastAsia="FangSong" w:cs="FangSong"/>
          <w:color w:val="000000"/>
          <w:sz w:val="28"/>
        </w:rPr>
        <w:t xml:space="preserve">，实现数据库可视化管理；部署监控平台，实时监测</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、内存、锁等待等指标，异常时自动告警。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备份与灾备策略实施：制定“全量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增量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日志”二级备份方案（每周全量、每日增量、每</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分钟日志备份），备份文件存储于本地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异地灾备中心；每季度开展灾备切换演练，确保</w:t>
      </w:r>
      <w:r>
        <w:rPr>
          <w:rFonts w:ascii="Times New Roman" w:hAnsi="Times New Roman" w:eastAsia="Times New Roman" w:cs="Times New Roman"/>
          <w:color w:val="000000"/>
          <w:sz w:val="28"/>
        </w:rPr>
        <w:t xml:space="preserve">RTO</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分钟、</w:t>
      </w:r>
      <w:r>
        <w:rPr>
          <w:rFonts w:ascii="Times New Roman" w:hAnsi="Times New Roman" w:eastAsia="Times New Roman" w:cs="Times New Roman"/>
          <w:color w:val="000000"/>
          <w:sz w:val="28"/>
        </w:rPr>
        <w:t xml:space="preserve">RPO=0</w:t>
      </w:r>
      <w:r>
        <w:rPr>
          <w:rFonts w:ascii="FangSong" w:hAnsi="FangSong" w:eastAsia="FangSong" w:cs="FangSong"/>
          <w:color w:val="000000"/>
          <w:sz w:val="28"/>
        </w:rPr>
        <w:t xml:space="preserve">。</w:t>
      </w:r>
      <w:r/>
    </w:p>
    <w:p>
      <w:pPr>
        <w:ind w:left="0" w:right="0" w:firstLine="624"/>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9.3.技术方案</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9.3.1.总体架构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端”一体化架构，构建分层、解耦、可扩展的技术体系，具体分为以下层级：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终端层：涵盖各类感知设备与用户终端，包括地震监测仪器、视频监控设备、无人机、移动终端（手机、平板）、企业端操作设备等，负责采集地震数据、视频数据、气象数据、企业安全数据等各类原始数据，同时为用户提供系统操作入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边缘层：部署在靠近数据采集终端的边缘节点，实现数据的就近处理与分析，如有限空间场所视频</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智能监测模块的现场语音提醒功能、地震监测数据的预处理等，减少数据传输带宽占用，降低数据延迟，提高实时响应能力。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云层：依托泰州市政务云平台，搭建系统的核心计算与存储资源池，包括应用服务器、数据库服务器、存储设备等，为各类系统应用提供稳定、高效的计算与存储支撑，同时实现资源的动态分配与弹性扩展，满足系统不同时期的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层：包含现有系统优化模块与新系统建设模块，如地震系统优化模块、监测预警和应急指挥“一张图”系统优化模块、防灾减灾救灾系统优化模块、网格化管理平台、有限空间风险监测平台、安全生产专家管理系统、风险报告系统、工贸重点有限空间企业监测预警系统等，各应用模块相互独立又可通过接口实现数据交互与功能联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层：构建统一的数据资源池，整合来自终端层的各类原始数据，以及各应用模块产生的业务数据，按照数据类型分为基础数据（如企业基础信息、人员信息）、监测数据（如地震观测数据、气象数据）、业务数据（如值班信息、隐患整改信息）等，通过数据清洗、转换、整合等处理，形成标准化的数据资产，为应用层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撑层：提供系统建设所需的共性技术支撑，包括统一身份认证、权限管理、接口管理、安全防护、日志管理等，确保系统的安全性、稳定性与可维护性。其中，安全防护涵盖数据加密、访问控制、漏洞扫描、入侵检测等技术，保障数据“可用不可见”，防止数据泄露与系统攻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总体业务框架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以“六化”监管为核心，围绕应急管理全业务流程，构建覆盖“监测</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研判</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预警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处置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评估”的业务架构：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监测环节：通过地震监测系统、视频监控、无人机、有限空间监测设备等，实现对地震、气象、企业安全、有限空间作业等风险因素的实时监测，获取全面、准确的监测数据。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研判环节：依托大数据与人工智能技术，对监测数据、历史数据、业务数据等进行深度分析，构建风险预测模型，实现对灾害风险、企业安全风险、有限空间作业风险等的智能化研判，识别不放心企业、风险管理薄弱点等，为决策提供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预警环节：根据研判结果，通过防灾减灾救灾系统、“一张图”系统等，按照预警级别与区域，精准推送预警信息，包括短信提醒、系统通知等，确保预警信息及时传达至相关责任人与受影响对象。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处置环节：通过“一张图”系统的资源调度功能、网格化管理平台的问题流转功能、企业安全管理服务平台的作业许可功能等，实现对突发事件与隐患的快速处置，协调各方资源，推动跨部门协同，确保处置工作高效、有序开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评估环节：对突发事件处置效果、隐患整改情况、系统运行效率等进行评估，通过绩效评价指标体系，量化管理成效，为后续系统优化与业务改进提供参考。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总体数据框架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遵循“统一归集、分类管理、共享共用”的原则，构建以下数据架构：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数据采集：采用批量导入、实时接口、手工录入等多种方式，采集来自政府部门（如</w:t>
      </w:r>
      <w:r>
        <w:rPr>
          <w:rFonts w:ascii="Times New Roman" w:hAnsi="Times New Roman" w:eastAsia="Times New Roman" w:cs="Times New Roman"/>
          <w:color w:val="000000"/>
          <w:sz w:val="28"/>
        </w:rPr>
        <w:t xml:space="preserve">119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120</w:t>
      </w:r>
      <w:r>
        <w:rPr>
          <w:rFonts w:ascii="FangSong" w:hAnsi="FangSong" w:eastAsia="FangSong" w:cs="FangSong"/>
          <w:color w:val="000000"/>
          <w:sz w:val="28"/>
        </w:rPr>
        <w:t xml:space="preserve">接警数据、气象部门数据）、企业（如企业基础信息、设备运行数据）、监测设备（如地震仪器、视频监控）、用户（如值班人员信息、隐患上报信息）等多源数据，确保数据采集的全面性与及时性。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存储：根据数据类型与访问需求，采用关系型数据库、非关系型数据库、数据仓库等多种存储方式。其中，关系型数据库用于存储结构化数据（如人员信息、企业信息），非关系型数据库用于存储非结构化数据（如视频数据、文档数据），数据仓库用于存储整合后的历史数据与决策支持数据，为数据分析与挖掘提供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治理：建立数据治理机制，包括数据标准制定、数据质量管控、数据生命周期管理等。制定统一的数据编码标准、格式标准、接口标准，确保数据的一致性与规范性；通过数据清洗、去重、补全、校验等手段，提升数据质量，确保数据准确、完整；对数据进行分类分级管理，明确数据的存储期限与使用权限，实现数据的有效管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与服务：搭建数据共享平台，通过统一接口为各应用系统提供数据服务，实现数据在不同系统间的共享共用。同时，按照“可用不可见”的原则，采用数据加密、脱敏等技术，保障数据共享过程中的安全性，确保数据仅用于授权的业务场景。</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9.3.2.主要功能设计</w:t>
      </w:r>
      <w:r/>
    </w:p>
    <w:p>
      <w:pPr>
        <w:ind w:left="0" w:right="0" w:firstLine="560"/>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9.3.2.1</w:t>
      </w:r>
      <w:r>
        <w:rPr>
          <w:rFonts w:ascii="FangSong" w:hAnsi="FangSong" w:eastAsia="FangSong" w:cs="FangSong"/>
          <w:color w:val="000000"/>
          <w:sz w:val="28"/>
        </w:rPr>
        <w:t xml:space="preserve">现有系统优化：地震系统优化功能模块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数据实时处理模块：具备数据自动接入功能，支持通过接口从地震监测仪器、数据库中实时调取地震波、震级、震中位置等数据，数据接入频率不低于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秒；数据预处理功能，对采集到的原始数据进行去噪（采用小波变换去噪算法）、滤波（采用卡尔曼滤波算法）、格式转换（将仪器输出的二进制数据转换为</w:t>
      </w:r>
      <w:r>
        <w:rPr>
          <w:rFonts w:ascii="Times New Roman" w:hAnsi="Times New Roman" w:eastAsia="Times New Roman" w:cs="Times New Roman"/>
          <w:color w:val="000000"/>
          <w:sz w:val="28"/>
        </w:rPr>
        <w:t xml:space="preserve">JSON</w:t>
      </w:r>
      <w:r>
        <w:rPr>
          <w:rFonts w:ascii="FangSong" w:hAnsi="FangSong" w:eastAsia="FangSong" w:cs="FangSong"/>
          <w:color w:val="000000"/>
          <w:sz w:val="28"/>
        </w:rPr>
        <w:t xml:space="preserve">格式）处理；图形绘制功能，自动生成地震波形图（展示地震波随时间的变化）、震中分布图（在地图上标注震中位置、震级）、监测站点分布图（展示各监测站点位置与运行状态），图形支持缩放、平移、导出（支持</w:t>
      </w:r>
      <w:r>
        <w:rPr>
          <w:rFonts w:ascii="Times New Roman" w:hAnsi="Times New Roman" w:eastAsia="Times New Roman" w:cs="Times New Roman"/>
          <w:color w:val="000000"/>
          <w:sz w:val="28"/>
        </w:rPr>
        <w:t xml:space="preserve">PNG</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格式）；大屏展示功能，将处理后的数据与图形实时推送至应急指挥中心大屏，支持多页面切换（如数据概览页、站点状态页、震情分析页）。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仪器状态监控模块：指标统计功能，自动统计观测数据连续率（计算公式：实际观测时长</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应观测时长×</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）、数据完整率（计算公式：有效数据条数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总数据条数×</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）、设备在线率（计算公式：在线设备数量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总设备数量×</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）等指标，统计频率不低于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小时；状态判断功能，根据预设阈值（如数据连续率低于</w:t>
      </w:r>
      <w:r>
        <w:rPr>
          <w:rFonts w:ascii="Times New Roman" w:hAnsi="Times New Roman" w:eastAsia="Times New Roman" w:cs="Times New Roman"/>
          <w:color w:val="000000"/>
          <w:sz w:val="28"/>
        </w:rPr>
        <w:t xml:space="preserve">90%</w:t>
      </w:r>
      <w:r>
        <w:rPr>
          <w:rFonts w:ascii="FangSong" w:hAnsi="FangSong" w:eastAsia="FangSong" w:cs="FangSong"/>
          <w:color w:val="000000"/>
          <w:sz w:val="28"/>
        </w:rPr>
        <w:t xml:space="preserve">判定为异常）判断仪器运行状态（正常、异常、离线），异常状态包括停测（无数据传输）、断计（数据中断）、数据异常（数据超出正常范围）；告警功能，当仪器出现异常状态时，自动触发告警，告警方式包括系统通知（在系统首页弹出告警弹窗）、短信（发送至责任人手机）、邮件（发送至责任人邮箱），告警信息包含仪器名称、站点位置、异常类型、发生时间，支持告警级别设置（一般、重要、紧急），紧急告警需在</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分钟内送达责任人；告警处理功能，责任人收到告警后，可在系统中标记告警处理状态（未处理、处理中、已处理），填写处理记录（如故障原因、处理措施、处理结果），支持上传处理照片，形成告警处理闭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震后信息处理模块：信息自动收集功能，地震发生后，通过接口自动调取震中区地质构造数据（从地质勘察数据库获取地层分布、断层信息）、历史地震数据（从历史地震数据库获取过往</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年震中区及周边地震记录）、应急避难场所数据（从应急资源数据库获取避难场所位置、容量、设施配置、联系方式）、地震观测数据（从地震监测数据库获取本次地震的震级、震源深度、震中烈度），信息收集时间不超过</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分钟；汇报初稿生成功能，按照预设模板（模板可自定义编辑，包含震情概况、地质构造、历史地震、应急资源、应对措施等章节）自动整合收集到的信息，生成汇报初稿，支持在线编辑（修改内容、添加图片、调整格式）、导出（支持</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格式）、打印功能，初稿生成时间不超过</w:t>
      </w: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分钟。</w:t>
      </w:r>
      <w:r/>
    </w:p>
    <w:p>
      <w:pPr>
        <w:ind w:left="0" w:right="0" w:firstLine="560"/>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9.3.2.2</w:t>
      </w:r>
      <w:r>
        <w:rPr>
          <w:rFonts w:ascii="FangSong" w:hAnsi="FangSong" w:eastAsia="FangSong" w:cs="FangSong"/>
          <w:color w:val="000000"/>
          <w:sz w:val="28"/>
        </w:rPr>
        <w:t xml:space="preserve">现有系统优化：监测预警和应急指挥“一张图”系统优化功能模块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值班智能自动排班模块：场景管理功能，支持预设工作日、双休、节假日等默认场景，用户可自定义场景（如特殊活动值班场景），设置场景名称、值班时段（如工作日</w:t>
      </w:r>
      <w:r>
        <w:rPr>
          <w:rFonts w:ascii="Times New Roman" w:hAnsi="Times New Roman" w:eastAsia="Times New Roman" w:cs="Times New Roman"/>
          <w:color w:val="000000"/>
          <w:sz w:val="28"/>
        </w:rPr>
        <w:t xml:space="preserve">8:30-17:30</w:t>
      </w:r>
      <w:r>
        <w:rPr>
          <w:rFonts w:ascii="FangSong" w:hAnsi="FangSong" w:eastAsia="FangSong" w:cs="FangSong"/>
          <w:color w:val="000000"/>
          <w:sz w:val="28"/>
        </w:rPr>
        <w:t xml:space="preserve">，节假日</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小时轮班）、值班人数（如工作日</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人，节假日</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人）、补贴标准（按日或按时长设置补贴金额，支持不同场景不同标准），场景支持启用、禁用、修改、删除；人员管理功能，支持导入（</w:t>
      </w:r>
      <w:r>
        <w:rPr>
          <w:rFonts w:ascii="Times New Roman" w:hAnsi="Times New Roman" w:eastAsia="Times New Roman" w:cs="Times New Roman"/>
          <w:color w:val="000000"/>
          <w:sz w:val="28"/>
        </w:rPr>
        <w:t xml:space="preserve">Excel</w:t>
      </w:r>
      <w:r>
        <w:rPr>
          <w:rFonts w:ascii="FangSong" w:hAnsi="FangSong" w:eastAsia="FangSong" w:cs="FangSong"/>
          <w:color w:val="000000"/>
          <w:sz w:val="28"/>
        </w:rPr>
        <w:t xml:space="preserve">格式）、手动录入值班人员信息，包括姓名、部门、职务、联系方式、可值班时段（设置每周可值班日期与时段）、特殊限制（如每月最多值班次数、不参与节假日值班），支持人员信息查询、修改、删除、批量操作；智能排班功能，用户选择排班周期（如全年、季度、月度）、适用场景，导入值班人员信息后，系统基于贪心算法（优先满足人员可值班时段，均衡分配值班任务，避免连续值班超过</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天）自动生成值班表，值班表支持按日、按周、按月查看，显示值班人员姓名、部门、联系方式、值班时段、补贴金额；调班换班管理功能，值班人员可提交调班申请，选择调班对象（需对方确认）、调班日期、原值班时段、新值班时段，填写调班原因，提交后经部门负责人审批（审批流程可自定义，支持多级审批），审批通过后系统自动更新值班表，重新计算补贴金额，生成调班记录（包含申请人、调班对象、审批人、调班时间、状态）；补贴管理功能，每月自动根据值班表计算值班人员补贴金额（计算公式：值班天数×每日补贴标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超时值班时长×每小时补贴标准），生成补贴清单，支持清单查询（按部门、按人员、按月份）、编辑（手动调整补贴金额，需填写调整原因）、导出（</w:t>
      </w:r>
      <w:r>
        <w:rPr>
          <w:rFonts w:ascii="Times New Roman" w:hAnsi="Times New Roman" w:eastAsia="Times New Roman" w:cs="Times New Roman"/>
          <w:color w:val="000000"/>
          <w:sz w:val="28"/>
        </w:rPr>
        <w:t xml:space="preserve">Excel</w:t>
      </w:r>
      <w:r>
        <w:rPr>
          <w:rFonts w:ascii="FangSong" w:hAnsi="FangSong" w:eastAsia="FangSong" w:cs="FangSong"/>
          <w:color w:val="000000"/>
          <w:sz w:val="28"/>
        </w:rPr>
        <w:t xml:space="preserve">格式）、打印功能，补贴清单可直接对接财务系统，减少人工录入。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多源数据汇聚与处理模块：数据接入功能，支持多种数据接入方式，包括接口接入（</w:t>
      </w:r>
      <w:r>
        <w:rPr>
          <w:rFonts w:ascii="Times New Roman" w:hAnsi="Times New Roman" w:eastAsia="Times New Roman" w:cs="Times New Roman"/>
          <w:color w:val="000000"/>
          <w:sz w:val="28"/>
        </w:rPr>
        <w:t xml:space="preserve">RESTAPI</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WebService</w:t>
      </w:r>
      <w:r>
        <w:rPr>
          <w:rFonts w:ascii="FangSong" w:hAnsi="FangSong" w:eastAsia="FangSong" w:cs="FangSong"/>
          <w:color w:val="000000"/>
          <w:sz w:val="28"/>
        </w:rPr>
        <w:t xml:space="preserve">，对接各部门系统、省风险报告系统、华为</w:t>
      </w:r>
      <w:r>
        <w:rPr>
          <w:rFonts w:ascii="Times New Roman" w:hAnsi="Times New Roman" w:eastAsia="Times New Roman" w:cs="Times New Roman"/>
          <w:color w:val="000000"/>
          <w:sz w:val="28"/>
        </w:rPr>
        <w:t xml:space="preserve">MCU</w:t>
      </w:r>
      <w:r>
        <w:rPr>
          <w:rFonts w:ascii="FangSong" w:hAnsi="FangSong" w:eastAsia="FangSong" w:cs="FangSong"/>
          <w:color w:val="000000"/>
          <w:sz w:val="28"/>
        </w:rPr>
        <w:t xml:space="preserve">会控系统）、文件导入（</w:t>
      </w:r>
      <w:r>
        <w:rPr>
          <w:rFonts w:ascii="Times New Roman" w:hAnsi="Times New Roman" w:eastAsia="Times New Roman" w:cs="Times New Roman"/>
          <w:color w:val="000000"/>
          <w:sz w:val="28"/>
        </w:rPr>
        <w:t xml:space="preserve">Excel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CSV</w:t>
      </w:r>
      <w:r>
        <w:rPr>
          <w:rFonts w:ascii="FangSong" w:hAnsi="FangSong" w:eastAsia="FangSong" w:cs="FangSong"/>
          <w:color w:val="000000"/>
          <w:sz w:val="28"/>
        </w:rPr>
        <w:t xml:space="preserve">，导入企业基础信息、应急资源信息）、实时流接入（</w:t>
      </w:r>
      <w:r>
        <w:rPr>
          <w:rFonts w:ascii="Times New Roman" w:hAnsi="Times New Roman" w:eastAsia="Times New Roman" w:cs="Times New Roman"/>
          <w:color w:val="000000"/>
          <w:sz w:val="28"/>
        </w:rPr>
        <w:t xml:space="preserve">Kafka</w:t>
      </w:r>
      <w:r>
        <w:rPr>
          <w:rFonts w:ascii="FangSong" w:hAnsi="FangSong" w:eastAsia="FangSong" w:cs="FangSong"/>
          <w:color w:val="000000"/>
          <w:sz w:val="28"/>
        </w:rPr>
        <w:t xml:space="preserve">，接入视频监控数据、接警数据），数据接入支持定时（如每小时一次）、实时（数据产生后立即接入）两种模式；数据整合功能，对接入的多源数据进行清洗（去除重复数据、纠正格式错误数据、补全缺失字段）、标准化（按照统一数据标准转换数据格式，如将不同格式的日期统一转换为</w:t>
      </w:r>
      <w:r>
        <w:rPr>
          <w:rFonts w:ascii="Times New Roman" w:hAnsi="Times New Roman" w:eastAsia="Times New Roman" w:cs="Times New Roman"/>
          <w:color w:val="000000"/>
          <w:sz w:val="28"/>
        </w:rPr>
        <w:t xml:space="preserve">YYYY-MM-DDHH:MM:SS</w:t>
      </w:r>
      <w:r>
        <w:rPr>
          <w:rFonts w:ascii="FangSong" w:hAnsi="FangSong" w:eastAsia="FangSong" w:cs="FangSong"/>
          <w:color w:val="000000"/>
          <w:sz w:val="28"/>
        </w:rPr>
        <w:t xml:space="preserve">）、关联（建立数据关联关系，如通过企业</w:t>
      </w:r>
      <w:r>
        <w:rPr>
          <w:rFonts w:ascii="Times New Roman" w:hAnsi="Times New Roman" w:eastAsia="Times New Roman" w:cs="Times New Roman"/>
          <w:color w:val="000000"/>
          <w:sz w:val="28"/>
        </w:rPr>
        <w:t xml:space="preserve">ID</w:t>
      </w:r>
      <w:r>
        <w:rPr>
          <w:rFonts w:ascii="FangSong" w:hAnsi="FangSong" w:eastAsia="FangSong" w:cs="FangSong"/>
          <w:color w:val="000000"/>
          <w:sz w:val="28"/>
        </w:rPr>
        <w:t xml:space="preserve">关联企业基础信息与隐患信息，通过地理位置关联视频监控数据与应急资源数据），形成标准化数据集；智能分析功能，采用大数据分析算法对整合后的数据进行分析，包括风险研判（基于企业隐患数量、整改率、设备故障频率、气象数据，采用层次分析法评估企业风险等级，划分为高、中、低风险）、态势感知（基于接警数据、视频监控数据、气象数据，实时分析突发事件发生趋势、影响范围，在地图上动态展示态势）、资源匹配（基于突发事件位置、类型、规模，采用</w:t>
      </w:r>
      <w:r>
        <w:rPr>
          <w:rFonts w:ascii="Times New Roman" w:hAnsi="Times New Roman" w:eastAsia="Times New Roman" w:cs="Times New Roman"/>
          <w:color w:val="000000"/>
          <w:sz w:val="28"/>
        </w:rPr>
        <w:t xml:space="preserve">K</w:t>
      </w:r>
      <w:r>
        <w:rPr>
          <w:rFonts w:ascii="FangSong" w:hAnsi="FangSong" w:eastAsia="FangSong" w:cs="FangSong"/>
          <w:color w:val="000000"/>
          <w:sz w:val="28"/>
        </w:rPr>
        <w:t xml:space="preserve">近邻算法推荐最近的应急资源，如消防站点、医院、应急物资储备点）；数据共享功能，采用数据加密、访问控制技术实现数据“可用不可见”，支持通过接口向局内部处室、市（区）应急管理部门、相关企业提供数据服务，数据服务需申请授权（填写申请用途、数据范围、使用期限），经审批通过后分配访问密钥，支持数据使用监控（记录访问次数、访问时间、使用情况），防止数据滥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无人机智能</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算法分析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无人机动火作业监管采集数据模型训练应用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依托无人机智能方舱常态化采集动火作业现场高清影像、红外画面等多源数据样本，开展明火辨识、动火作业行为等目标特征标注与 </w:t>
      </w:r>
      <w:r>
        <w:rPr>
          <w:rFonts w:ascii="Times New Roman" w:hAnsi="Times New Roman" w:eastAsia="Times New Roman" w:cs="Times New Roman"/>
          <w:color w:val="000000"/>
          <w:sz w:val="28"/>
        </w:rPr>
        <w:t xml:space="preserve">AI </w:t>
      </w:r>
      <w:r>
        <w:rPr>
          <w:rFonts w:ascii="FangSong" w:hAnsi="FangSong" w:eastAsia="FangSong" w:cs="FangSong"/>
          <w:color w:val="000000"/>
          <w:sz w:val="28"/>
        </w:rPr>
        <w:t xml:space="preserve">算法专项训练。通过海量实景图片迭代优化模型识别精度与泛化能力，赋能动火作业全流程智能巡检监管，有效弥补人工监管盲区，提升危化及施工现场动火作业安全管控的智能化、精准化水平。围绕重点区域动火作业安全监管需求，依托无人机智能方舱、高清航拍、红外成像及 </w:t>
      </w:r>
      <w:r>
        <w:rPr>
          <w:rFonts w:ascii="Times New Roman" w:hAnsi="Times New Roman" w:eastAsia="Times New Roman" w:cs="Times New Roman"/>
          <w:color w:val="000000"/>
          <w:sz w:val="28"/>
        </w:rPr>
        <w:t xml:space="preserve">AI </w:t>
      </w:r>
      <w:r>
        <w:rPr>
          <w:rFonts w:ascii="FangSong" w:hAnsi="FangSong" w:eastAsia="FangSong" w:cs="FangSong"/>
          <w:color w:val="000000"/>
          <w:sz w:val="28"/>
        </w:rPr>
        <w:t xml:space="preserve">图像识别技术，构建集自动巡航、数据采集、智能识别监管体系，实现动火作业全过程、全覆盖、全天候智能管控。</w:t>
      </w:r>
      <w:r/>
    </w:p>
    <w:p>
      <w:pPr>
        <w:ind w:left="0" w:right="0" w:firstLine="560"/>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9.3.2.3</w:t>
      </w:r>
      <w:r>
        <w:rPr>
          <w:rFonts w:ascii="FangSong" w:hAnsi="FangSong" w:eastAsia="FangSong" w:cs="FangSong"/>
          <w:color w:val="000000"/>
          <w:sz w:val="28"/>
        </w:rPr>
        <w:t xml:space="preserve">现有系统优化：安全生产专家管理系统功能模块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专家管理功能优化：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）专家组别精细化管理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优化现有专家组别一级分类模式，新增专家组别前端管理维护功能，支持管理人员在系统前端直接完成组别新增、编辑、删除、启用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禁用等操作，操作流程简洁直观，无需后台技术干预。同时，支持专家组别二级分类设置，可根据业务需求灵活划分一级类别和二级类别，并实现二级类别的层级关联与动态调整。此外，同步优化专家选派、查询、统计、考评等所有与专家使用相关的功能模块，确保各模块均能适配二级分类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）专家申请选派优化（一单多派）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优化专家系统现有申请选派模式，打破“一单一派”的局限，支持用户在同一个申请单中同时申请、选派多种类型的专家，单个申请单最多可选择</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不同类型的专家，满足复杂业务场景的专家选派需求。同步对审批环节和选派环节进行改造适配，审批环节支持多类型专家对应的审批流程并行处理，可由不同领域的审批人员分别审核对应类型专家；选派环节支持按专家类型分别分配选派任务。实现“一单申报、多类选派、全程可控”，大幅提升专家选派效率，减少重复申请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）专家审批佐证信息优化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构审批流程与审批查验表的关联模式，将专家申请、审批等全流程审批节点及相关人员、时间等信息，全面融入审批查验表中，实现审批流程与查验表的无缝衔接，并按审批环节顺序排列佐证信息，便于后续监督检查、问题追溯及资料归档，提升审批流程的规范性和透明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）专家费用支报优化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针对专家的结算费用，按照选派科室自动生成费用表单，分发给各个科室，各科室可对服务费用进行确认，并支持科室确认人员对费用的调整功能（不同服务质态费用可能会需要有所调整）。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）统计分析功能优化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根据业务要求，对专家参加服务次数、考评质量等数据的统计分析进行优化，强化对专家服务监督的数据支撑。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）有效期管理优化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聘书有效期与专家信息的数据同步机制，实现两者数据源统一、信息实时同步，确保系统内专家信息的来源和结果保持一致。系统自动关联专家聘书信息，将聘书有效期、聘书编号、颁发单位等关键信息同步至专家基础信息模块，管理人员可在专家信息页面直接查看聘书有效期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两级专家入库管理：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）专家入库申报公众端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）入口提供：提供统一的专家申报入口，管理人员可控制该申报入口的开放与关闭；有意愿的专家通过此申报入口，进行入库申报。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）用户验证：针对已申报的用户，自动生成认证信息，提供用户验证功能，用户通过验证后，可通过入口登录，查看、管理其相关信息。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在线申报：支持有意愿的专家通过统一申报入口在线填写申请表（申请表内容由主管部门提供），提交申请后进入审核流程；同时支持申报材料规范化管理，附件按类型分类，用户按分类上传，且提供照片上传功能，上传的照片作为后续专家入库的资料之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）资料验证：对用户填写信息以及上传的申报材料、分类附件及照片进行规范化校验，提醒申报用户数据错误信息，确保申报资料符合要求，为后续人工审核工作提供基础。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）结果查询：用户通过验证后，可根据审核结果查看相关信息，具体包括：审核中可查看审核进度、审核通过可查看通过信息、审核退回可查看退回原因、审核驳回可查看驳回结果。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）驳回管理：审核退回时，用户可查看具体退回原因，且支持对申报信息修改后再次提交；审核驳回时，用户可查看驳回结果，明确驳回情况。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）信息提醒：推送各类关键信息提醒，包括申报入口关闭通知、审核状态变更（审核中、审核通过、退回、驳回）提醒等，确保用户及时掌握申报及审核动态。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）专家入库应用（区县端）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线审批（区县）：区县用户可查看所属待审批的专家入库申请（专家归属区县由专家申报时自行选择），对用户提交的申报资料进行全面审查后完成审批操作；系统支持同意、退回、驳回三种审批结果，审批同意后，申请单将自动推送至市局业务处室进行下一步审批（业务归属由专家组别归属判断）。</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）公示管理（区县）：对本区县内审批同意、拟入库的专家信息信息管理，支持查看、导出公示数据。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）入库管理（区县）：负责本区县专家入库的相关管理工作，对审批通过、公示无异议的专家，完成区县层面入库登记。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）数据汇总（区县）：汇总本区县内所有专家入库申请、审批相关数据，包括待审批、已审批（同意、退回、驳回）、已入库等各类状态的申请单信息，形成区县层面入库审批数据汇总台账。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）专家库管理（区县）：管理本区县已入库专家信息，支持专家信息查询、修改、更新，确保本区县专家库信息准确、完整。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）数据统计（区县）：对本区县专家入库相关数据进行统计分析，包括申报数量、审批通过率、各专家组别申报及审批情况等，形成区县层面统计报表，为管理决策提供数据支撑。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）信息提醒：推送各类关键信息提醒，包括新的待审批申请提醒、审批退回提醒等，确保区县用户及时掌握各项工作动态，高效推进审批及管理工作。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）专家入库应用（市级端）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）业务处室审批管理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业务处室可以查看所属待审批申请，对用户提交的资料进行审查后进行审批，系统支持审批结果包括同意、退回两种，审批同意申请单推送主管部门终审；审批退回申请单退回到区县用户。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终审部门可以分配专家用户为业务处室处理审批工作。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）终审管理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终审主管部门可以查看待审批申请，对用户提交的资料进行审查后进行审批，系统支持审批结果包括同意、退回、待定三种，审批同意后专家自动进入专家库；审批退回申请单退回到业务处室审批环节，审批待定则审批单标记为待定状态，可以进行再次审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）入库审批汇总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区县、业务处室、主管部门均可查看入库申请数据汇总信息，可以通过申请时间、申请人、专家组别等条件对申请审批单进行多条件查询与信息查看。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支持导出功能，可按照分类进行数据查询和数据导出。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）公示管理：对审批同意、拟入库的专家信息信息管理，支持查看、导出公示数据，支持生成公示页面，可将页面提供给第三方系统调用。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）专家库管理：负责全市专家库的统一管理，管理已入库专家的完整信息，支持专家信息查询、修改、更新、注销等操作，同步衔接专家选派专家库，确保全市专家库数据统一、准确、完整。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）数据统计：对全市专家入库申请、审批全流程数据进行统计分析，包括各区县申报数量、业务处室审批情况、终审结果、各专家组别入库数量等，生成市级层面统计报表，为市级管理部门决策提供数据支撑。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过程监测：对专家入库全流程（区县初审、业务处室复审、主管部门终审）进行实时监测，可查看各环节审批进度、审批人员、审批时间等关键信息，及时发现审批流程中的异常情况（如超长时间未审批等），保障审批工作规范、高效推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信息提醒与管理：推送各类关键信息提醒，包括业务处室待审批申请提醒、终审待审批提醒等；同时支持信息提醒的管理功能，可向业务处室、区县用户、申报用户推送提醒信息，确保市级各相关用户及时掌握工作动态，高效完成各项审批及管理工作。</w:t>
      </w:r>
      <w:r/>
    </w:p>
    <w:p>
      <w:pPr>
        <w:ind w:left="0" w:right="0" w:firstLine="560"/>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9.3.2.4</w:t>
      </w:r>
      <w:r>
        <w:rPr>
          <w:rFonts w:ascii="FangSong" w:hAnsi="FangSong" w:eastAsia="FangSong" w:cs="FangSong"/>
          <w:color w:val="000000"/>
          <w:sz w:val="28"/>
        </w:rPr>
        <w:t xml:space="preserve">新系统建设：风险报告系统本地化部署</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风险报告系统本地化部署：</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1"/>
        <w:gridCol w:w="1791"/>
        <w:gridCol w:w="1791"/>
        <w:gridCol w:w="1791"/>
        <w:gridCol w:w="17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子功能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操作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总览页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数据统计分析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数据统计</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行业维度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数据统计</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风险代码维度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数据统计</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重点行业领域维度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工作进展统计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导出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上报信息查询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高级查询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导出清单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信息处理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企业撤回记录（处理）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对企业撤回走审核流程</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变更申请处理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企业发起变更申请进行审核处理</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名录库治理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辖区内企业调整的把控和协调</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销号抽查管理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辖区内管理员对下级提出企业销号申请处理</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抽查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对辖区内销号的企业进行抽查核验</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信息发布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撤回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对已发布的信息在系统内撤回</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删除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名录库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包括信息调整和销号发起</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标识库管理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标签管理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删除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区划管理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删除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权限管理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用户管理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机构管理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用户信息管理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用户角色配置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角色管理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删除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操作指南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文本</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视频信息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43</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删除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200" w:after="20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）系统培训服务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系统本地化部署后，将提供针对该系统使用的培训服务，确保各用户能够熟悉并能够正常操作和使用该系统。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）定制化技术咨询服务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系统本地化部署并正式运行后，将提供定制化的技术咨询服务，针对日常系统使用过程中各项业务和系统使用疑难点进行答疑解惑，并帮助相关监管人员做好针对本辖区内企业安全生产的风险防控与监管工作。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）风险管理智能“问数问策”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模块使用省厅风险报告系统已建设的大模型，包括风险管理智能“问数问策”智能体，实现自然语言到结构化查询的自动转换（问数）、政策知识精准问答（问策）、多模态附件隐患识别（隐患识别），全面提升风险数据利用效率、隐患发现能力和应急响应速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）智能报告推送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系统对接回流省平台的风险隐患数据、执法数据、监测预警数据，利用大模型分析技术按市级、区县、镇街、网格员、企业生成风险隐患报告、执法报告、监测报告，并向各级监管人员和企业推送。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智能报告生成功能：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）报告需求识别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系统识别用户需生成的总结报告类型，例如应区域风险情况报告，明确报告主题与核心指标，作为后续处理的起点。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）调用已有查询结果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直接复用已执行完成的查询结果（如按区县统计的风险高低情况数据），无需重新计算，作为报告生成的数据基础。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）自动汇总与结构化生成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利用大模型对查询结果进行归纳、排序和组织，自动生成符合行文习惯的结构化文本内容，如按排名列出区县名称、企业数量等，确保逻辑清晰、格式规范。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）总结报告导出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将生成的结构化报告支持导出为标准文件格式（如</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等），供用户直接用于报送或存档，显著减少人工整理、复制粘贴等重复性工作，提升文书效率。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执法报告推送：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对同一企业多次执法、同一行业多次执法、同一地区多次执法生成执法的情况，生成执法报向企业、网格员及各级监管人员推送。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风险报告推送：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对于同一企业风险多次出现、同一行业风险多次出现、同一区域风险多次出现情况，生成风险报告向企业、网格员及各级监管人员推送。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监测预警报告推送：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对于同一监测预警数据在多家企业发生超标、一家企业多次发生监测预警数据超标、某一区域多次发生监测预警数据超标的情况，定期生成监测预警报告向企业、网格员及各级监管人员推送。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报告排名：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风险情况、执法情况、风险监测预警情况按照泰州辖区内的区县、镇街分行业分别进行顺序排名，客观真实反应某一区域、某一行业的风险、执法、监测预警高低。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企业安全管理服务平台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重点企业人员管理：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贯彻落实企业关键人员的精准化、动态化监管要求，实体化“资源协同”模块，需要对重点企业人员进行精细化管理，旨在实现人员数据的统一归集、智能校验、动态管理及业务联动，赋能基层监管，压实企业主体责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①数据自动同步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现有省风险报告系统，通过接口自动同步重点企业（危化品企业、矿山企业、建筑施工企业等）人员数据，包括企业负责人、安全管理人员、特种作业人员（电工、焊工、起重工、有限空间作业人员等）、注安师的姓名、性别、年龄、学历、岗位、联系方式、资质证书信息（证书名称、编号、发证机关、有效期、证书照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②数据手动维护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支持企业手动补充录入未同步的人员信息，导入（</w:t>
      </w:r>
      <w:r>
        <w:rPr>
          <w:rFonts w:ascii="Times New Roman" w:hAnsi="Times New Roman" w:eastAsia="Times New Roman" w:cs="Times New Roman"/>
          <w:color w:val="000000"/>
          <w:sz w:val="28"/>
        </w:rPr>
        <w:t xml:space="preserve">Excel</w:t>
      </w:r>
      <w:r>
        <w:rPr>
          <w:rFonts w:ascii="FangSong" w:hAnsi="FangSong" w:eastAsia="FangSong" w:cs="FangSong"/>
          <w:color w:val="000000"/>
          <w:sz w:val="28"/>
        </w:rPr>
        <w:t xml:space="preserve">格式）、手动添加，人员信息支持查询（按企业、岗位、资质类型查询）、修改（企业可修改本企业人员信息，需审核）、删除（离职人员可标记为离职，保留历史记录）、批量操作；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）资质动态管理与提醒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系统每日扫描特种作人员证书、企业注册安全师证书、安全管理人员证书库，计算剩余天数，当剩余天数等于预设的提醒阈值（默认</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天，可配置为</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60</w:t>
      </w:r>
      <w:r>
        <w:rPr>
          <w:rFonts w:ascii="FangSong" w:hAnsi="FangSong" w:eastAsia="FangSong" w:cs="FangSong"/>
          <w:color w:val="000000"/>
          <w:sz w:val="28"/>
        </w:rPr>
        <w:t xml:space="preserve">天）时，生成提醒任务，将提醒信息发送到企业管理员和持证人本人，系统将提醒内容进行模板化，包含持证人、证书名、到期日、换证指引链接等。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）注安师等配备不足预警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系统监控企业注安师和企业安全管理员配备是否符合法规标准。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标准库管理：后台维护不同行业、不同规模企业的注安师、安全管理员应配数量标准。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实时统计：系统实时统计各企业当前状态为“在职”的注安师、安全管理员数量。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比对预警：将实时数量与应配标准比对，若低于标准，则：在企业系统首页推送强提示弹窗，向企业负责人和属地监管人员发送预警短信，在监管端生成预警企业名单，可跟踪企业整改情况。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）特种作业联动与智能预警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设置特殊作业审批流程表作为附件上传，与系统填报的特殊作业情况进行比对，发现不具备特殊作业证书的人员进行特殊作业时，发出预警提醒。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种作业审批流程模板：系统为企业用户提供标准的特种作业流程审批模板，企业可自行下载使用，并可按照自身企业的实际情况进行修改，企业也可以使用自行设计或者沿用以前的特种作业审批流程模板，模板内包含特种作业人员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作业许可资质联动：企业须上传特种作业审批流程单（作为附件上传），同时在风险报告系统内填报特种作业信息，系统通过</w:t>
      </w:r>
      <w:r>
        <w:rPr>
          <w:rFonts w:ascii="Times New Roman" w:hAnsi="Times New Roman" w:eastAsia="Times New Roman" w:cs="Times New Roman"/>
          <w:color w:val="000000"/>
          <w:sz w:val="28"/>
        </w:rPr>
        <w:t xml:space="preserve">OCR</w:t>
      </w:r>
      <w:r>
        <w:rPr>
          <w:rFonts w:ascii="FangSong" w:hAnsi="FangSong" w:eastAsia="FangSong" w:cs="FangSong"/>
          <w:color w:val="000000"/>
          <w:sz w:val="28"/>
        </w:rPr>
        <w:t xml:space="preserve">技术识别企业上传特种作业审批流程单上的作业人员信息，与企业填报的特种作业信息人员和系统内的持证的特种作业人员进行三方比对比对，及时发现未持证人员作业、证书过期人员作业等现象，并对企业发出预警提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资质二维码（加芯赋码）：此功能已在电气焊加芯赋码系统已实现，本次将系统数据同步到本系统内。</w:t>
      </w:r>
      <w:r/>
    </w:p>
    <w:p>
      <w:pPr>
        <w:ind w:left="0" w:right="0" w:firstLine="560"/>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9.3.2.5</w:t>
      </w:r>
      <w:r>
        <w:rPr>
          <w:rFonts w:ascii="FangSong" w:hAnsi="FangSong" w:eastAsia="FangSong" w:cs="FangSong"/>
          <w:color w:val="000000"/>
          <w:sz w:val="28"/>
        </w:rPr>
        <w:t xml:space="preserve">新系统建设：工贸重点有限空间企业监测预警系统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数据治理与大数据分析中心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构建系统核心底座。整合业务系统接口数据、填报数据、基础数据、视频监控及传感器数据等多源信息，通过数据清洗、加工形成主题数据库，实现数据资源的统一归集、存储和管理，为全流程监管提供坚实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）数据驾驶舱。基于地理信息系统（</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），在电子地图上可视化呈现企业分布、设备状态、报警信息等各类数据，支持多维度查询历史数据统计，提供直观的全局管控视图。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）安全生产形势分析与预警。构建科学预警指标体系和模型，运用</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、大数据技术综合分析安全生产形势，生成预警指数和分析报告，实现风险超前预警。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有限空间智能化监测预警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）有限空间环境监测功能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集成有毒有害及可燃气体传感器，可实时硫化氢气体浓度等关键指标，检测数据实时采集并传输至平台，对数进行直观形式展示，当检测数据超出预设范围时，自动触发后续报警流程，便于工作人员实时掌握作业环境安全状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）装备识别功能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搭载先进的</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图像识别算法，通过前端摄像头采集的实时画面，隔离式防护面具、安全帽等，识别结果实时反馈至平台，若发现未规范穿戴情况，立即触发预警提示，从源头规避违规作业带来的安全风险，强化作业人员安全防护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）电子围栏防护功能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在重点有限空间区域灵活划定电子围栏范围，可根据企业有限空间实际布局调整围栏大小与位置，当有人员非法闯入围栏区域时，系统立即启动现场声光报警，同时将预警信息同步推送至系统后台及相关负责人终端，实现风险靠前预警、及时处置，防范非法作业引发的安全事故。</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）触发报警机制功能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支持自动报警（根据预设安全阈值，环境指标超标时自动触发），确保异常情况快速响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有限空间作业管理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）作业全流程监管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汇总特殊作业票信息，支持通过辖区、作业票状态、等级时间等多条件查询，支持查看作业票记录以及作业票详情（如基本信息、审核和气体检测、作业过程、现场完工等）。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）作业统计分析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根据辖区、时间等维度对有限空间特殊作业情况进行统计分析，支持通过统计数据穿透查看作业信息。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企业应用端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）作业票申报：作业负责人在移动端填写作业地点、内容、时间、监护人、签发人、作业人名单；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）审核、签发：审核人在移动端完成管控措施、作业管控填写，安全交底签字，签发人作业内容检查，签发通过；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）“电子锁”解锁：监护人或负责人扫描入口处的智能电子锁二维码（或手机靠近蓝牙锁），校验通过，电子锁自动弹开，同时系统记录“开锁时间”和“开锁人”。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）气体检测：检测数据（如</w:t>
      </w:r>
      <w:r>
        <w:rPr>
          <w:rFonts w:ascii="Times New Roman" w:hAnsi="Times New Roman" w:eastAsia="Times New Roman" w:cs="Times New Roman"/>
          <w:color w:val="000000"/>
          <w:sz w:val="28"/>
        </w:rPr>
        <w:t xml:space="preserve">H2S</w:t>
      </w:r>
      <w:r>
        <w:rPr>
          <w:rFonts w:ascii="FangSong" w:hAnsi="FangSong" w:eastAsia="FangSong" w:cs="FangSong"/>
          <w:color w:val="000000"/>
          <w:sz w:val="28"/>
        </w:rPr>
        <w:t xml:space="preserve">等）同步至作业票系统；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）作业过程：上传作业过程，半小时进行一次气体检测数据更新；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）完工确认：作业结束，负责人在移动端确认“人员已全部撤出”、“工具已清点”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上传现场清理后的照片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点击“完工”，作业票状态变更为“已结束”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电子锁上锁。</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9.3.3.与市级基础平台关联关系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与应急现有业务系统数据对接设计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应急已建系统，本次建设系统对其数据需求将根据离线数据导入及平台对接的方式设计。网络环境允许可通过泰州市公共数据平台进行在线对接方式，获取并交换相关数据。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与省级、市级及区县系统关联关系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期建设升级优化的系统具有良好的兼容性和扩展性，能够实现与省级系统、市级系统以及各区县系统的对接。通过与上级系统的对接，可以及时获取更宏观层面的应急政策、指导方针以及资源调配信息，为泰州市的应急管理工作提供有力的支持和保障。同时，与各区县系统的对接能够实现信息的快速流通和共享，确保在应急事件发生时，全市能够形成统一指挥、协同作战的工作格局，提高应急响应的效率和效果。总之，这种多层面的系统对接将有助于构建一个更加完善、高效的应急管理体系，为泰州市的安全稳定发展保驾护航。</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9.3.4.数据供需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专业部门数据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气象部门：提供台风、城市洪涝等自然灾害相关的气象数据，如降雨量、风向、风速、气温等。这些数据对于预测自然灾害的发生和发展趋势至关重要。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水利部门：提供水文数据，包括河流、湖泊的水位、流量等信息。在应对城市洪涝等灾害时，这些数据可以帮助评估灾害风险和制定相应的应急措施。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交通部门：提供交通流量、重点车辆运行状态等数据。对于大客流及交通枢纽风险、重点车辆运输风险的监测和预警，交通部门的数据是关键来源。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消防部门：提供化工园区消防、高层建筑火灾等方面的数据，包括消防设施分布、火灾事故记录等。这些数据有助于评估消防安全风险和制定消防应急预案。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住建部门：提供高层建筑、老旧房屋等建筑物的相关数据，如建筑结构、使用年限、安全隐患排查记录等。对于公共安全风险中的高层建筑火灾和老旧房屋倒塌风险的监测和管理，住建部门的数据不可或缺。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环保部门：在化工园区生产与消防场景中，环保部门提供环境监测数据，如大气质量、水质、土壤污染等信息。这些数据可以帮助评估化工园区的环境风险和制定相应的环保措施。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自然资源部门：提供地理信息数据，包括地形地貌、土地利用类型、地质灾害风险区等。这些数据对于自然灾害的监测和预警以及工程建设安全风险的评估具有重要意义。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传感器和监测设备数据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在化工园区，安装温度、压力、气体浓度等传感器，实时监测生产设备的运行状态和环境安全。这些传感器数据可以及时发现潜在的安全隐患，如设备故障、泄漏等问题。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在交通枢纽、重点路段和车辆上安装流量监测设备、定位设备等，收集交通流量、车辆位置和运行状态等数据。这些数据对于交通管理和应急响应至关重要。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在高层建筑和老旧房屋安装结构监测传感器，如位移传感器、裂缝监测仪等，实时监测建筑物的安全状态。这些数据可以提前预警建筑物的倒塌风险。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在森林、河流等自然区域安装火灾监测传感器、水位监测设备等，收集自然灾害相关的数据。这些数据可以帮助及时发现森林火灾、洪涝等灾害的发生。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视频监控数据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在城市的重要场所、交通枢纽、化工园区、高层建筑等区域安装视频监控设备，实时传输现场画面。这些视频数据可以为应急指挥提供直观的现场情况，帮助决策人员制定合理的应急措施。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无人机搭载的视频监控设备可以在突发事件发生时快速到达现场上空，提供全局视野和实时画面。这些视频数据对于评估事件的严重程度和制定救援方案具有重要价值。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公众数据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公众可以通过手机应用、热线电话等渠道向应急管理部门提供突发事件的线索和信息。这些公众数据可以作为应急管理的补充信息来源，帮助及时发现和处理突发事件。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社交媒体平台上的用户发布的信息也可以作为应急管理的参考数据。例如，在自然灾害发生时，用户发布的现场照片和视频可以帮助应急管理部门了解灾害的影响范围和程度。</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9.3.5.信息安全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系统设计严格遵循《信息安全等级保护基本要求》第二级标准，从技术和管理两个层面确保安全性。技术层面，采用多层次防御架构：网络边界部署防火墙和入侵检测系统（</w:t>
      </w:r>
      <w:r>
        <w:rPr>
          <w:rFonts w:ascii="Times New Roman" w:hAnsi="Times New Roman" w:eastAsia="Times New Roman" w:cs="Times New Roman"/>
          <w:color w:val="000000"/>
          <w:sz w:val="28"/>
        </w:rPr>
        <w:t xml:space="preserve">IDS</w:t>
      </w:r>
      <w:r>
        <w:rPr>
          <w:rFonts w:ascii="FangSong" w:hAnsi="FangSong" w:eastAsia="FangSong" w:cs="FangSong"/>
          <w:color w:val="000000"/>
          <w:sz w:val="28"/>
        </w:rPr>
        <w:t xml:space="preserve">），实现访问控制和异常流量监控；主机系统启用强身份认证、定期漏洞扫描和补丁更新，防止未授权访问和恶意攻击；应用层通过输入验证、会话管理和权限控制，有效防御</w:t>
      </w:r>
      <w:r>
        <w:rPr>
          <w:rFonts w:ascii="Times New Roman" w:hAnsi="Times New Roman" w:eastAsia="Times New Roman" w:cs="Times New Roman"/>
          <w:color w:val="000000"/>
          <w:sz w:val="28"/>
        </w:rPr>
        <w:t xml:space="preserve">SQL</w:t>
      </w:r>
      <w:r>
        <w:rPr>
          <w:rFonts w:ascii="FangSong" w:hAnsi="FangSong" w:eastAsia="FangSong" w:cs="FangSong"/>
          <w:color w:val="000000"/>
          <w:sz w:val="28"/>
        </w:rPr>
        <w:t xml:space="preserve">注入、</w:t>
      </w:r>
      <w:r>
        <w:rPr>
          <w:rFonts w:ascii="Times New Roman" w:hAnsi="Times New Roman" w:eastAsia="Times New Roman" w:cs="Times New Roman"/>
          <w:color w:val="000000"/>
          <w:sz w:val="28"/>
        </w:rPr>
        <w:t xml:space="preserve">XSS</w:t>
      </w:r>
      <w:r>
        <w:rPr>
          <w:rFonts w:ascii="FangSong" w:hAnsi="FangSong" w:eastAsia="FangSong" w:cs="FangSong"/>
          <w:color w:val="000000"/>
          <w:sz w:val="28"/>
        </w:rPr>
        <w:t xml:space="preserve">等常见漏洞；数据安全方面，采用加密存储和传输技术，确保数据的机密性和完整性，并建立定期备份与恢复机制，保障业务连续性。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层面，制定完善的安全管理制度，明确安全责任分工，定期开展安全培训和演练，提升全员安全意识。系统内置安全审计功能，记录关键操作日志，支持事后追溯和分析，满足等保二级的审计要求。同时，建立应急预案和响应机制，确保安全事件能够及时处置。通过技术措施与管理制度的有机结合，本项目全面满足等保二级的安全需求，为系统稳定运行提供可靠保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本项目按照密码管理要求进行建设。</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9.4.服务预算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8"/>
        <w:gridCol w:w="2238"/>
        <w:gridCol w:w="2238"/>
        <w:gridCol w:w="22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名称及类别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费用构成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地震系统优化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数据实时处理与展示模块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仪器状态监控与告警模块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震后信息自动收集与汇报初稿生成模块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监测预警和应急指挥</w:t>
            </w:r>
            <w:r>
              <w:rPr>
                <w:rFonts w:ascii="Times New Roman" w:hAnsi="Times New Roman" w:eastAsia="Times New Roman" w:cs="Times New Roman"/>
                <w:b/>
                <w:color w:val="000000"/>
                <w:sz w:val="28"/>
              </w:rPr>
              <w:t xml:space="preserve">“</w:t>
            </w:r>
            <w:r>
              <w:rPr>
                <w:rFonts w:ascii="FangSong" w:hAnsi="FangSong" w:eastAsia="FangSong" w:cs="FangSong"/>
                <w:color w:val="000000"/>
                <w:sz w:val="28"/>
              </w:rPr>
              <w:t xml:space="preserve">一张图</w:t>
            </w:r>
            <w:r>
              <w:rPr>
                <w:rFonts w:ascii="Times New Roman" w:hAnsi="Times New Roman" w:eastAsia="Times New Roman" w:cs="Times New Roman"/>
                <w:b/>
                <w:color w:val="000000"/>
                <w:sz w:val="28"/>
              </w:rPr>
              <w:t xml:space="preserve">”</w:t>
            </w:r>
            <w:r>
              <w:rPr>
                <w:rFonts w:ascii="FangSong" w:hAnsi="FangSong" w:eastAsia="FangSong" w:cs="FangSong"/>
                <w:color w:val="000000"/>
                <w:sz w:val="28"/>
              </w:rPr>
              <w:t xml:space="preserve">系统优化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值班智能自动排班模块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无人机画面融合模块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中介专家管理系统功能模块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专家组别精细化管理、专家申请选派优化（一单多派）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rHeight w:val="1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专家申请选派监管优化（专家审批信息佐证优化、专家费用支报优化、统计分析功能优化、有效期管理优化等）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rHeight w:val="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专家入库申请公众端（入口管理、用户验证、在线申报、资料验证、结果查询、驳回处理、信息提醒等）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专家入库应用区县端（在线审批、公示管理、入库管理、数据汇总、专家库管理、数据统计、信息统计等）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专家入库应用市级端（业务处室审批管理、终审管理、入库审批汇总、公示管理、数据统计、过程监测、信息提醒与管理等）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风险报告本地化部署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系统本地化部署及运维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13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智能报告生成、执法报告推送、风险报告推送、监测预警报告推送、报告排名（包括各类数据的归集和接口费用）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1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企业安全管理服务平台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重点企业人员管理：数据管理、资质动态管理与提醒、注安师等配备不足预警、特种作业联动与智能预警。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r>
      <w:tr>
        <w:trPr>
          <w:trHeight w:val="1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工贸重点有限空间企业监测预警系统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构建系统核心底座，整合业务系统接口数据、填报数据、基础数据、视频监控及传感器数据等多源信息，包括接入企业实时数据并对数据进行治理。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数据驾驶舱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安全生产形势分析与预警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r>
      <w:tr>
        <w:trPr>
          <w:trHeight w:val="1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有限空间智能化监测预警（有限空间环境监测功能、装备识别功能、电子围栏防护功能、触发报警机制功能）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有限空间作业管理（作业全流程监管、作业统计分析）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企业应用端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94</w:t>
            </w:r>
            <w:r/>
          </w:p>
        </w:tc>
      </w:tr>
    </w:tbl>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9.5.升级成效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价值效益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高度集成数字化技术，实现对应急事故风险的全链条管理，从预防、监测到应急响应，全面提升应急工作的智能化水平。为泰州构建起一个高效、精准的应急管理体系，极大地提高了城市的安全保障能力。其虚拟数字模型与实体应急系统紧密结合，再加上无人机的灵活运用，能够实时、全方位地反映各类状况。不仅可以精准监测设备运行状态、建筑物风险等级以及潜在隐患，还能通过提前预判事故风险，制定更加科学合理的预防措施，从根本上降低事故发生的可能性。这一价值不仅体现在当下对风险的有效管控，更在于为城市的长远稳定发展提供了坚实的保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先进的应急管理模式，使各部门之间能够实现信息的高效共享和协同作战，打破传统应急管理中的信息孤岛，提升整体应急管理效率。无论是自然灾害、安全生产风险还是公共安全风险，都能得到更加及时、准确地应对，为城市的稳定运行保驾护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社会效益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显著提高了公众的安全感和对政府应急管理能力的信任度。在突发事件发生时，能够快速、有效地进行应急响应，最大限度地减少人员伤亡和财产损失，切实保障人民群众的生命财产安全。公众在面对各类风险时，能够感受到政府强有力地保护，从而增强对城市的归属感和认同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促进社会的和谐稳定发展。高效的应急管理体系有助于减少因突发事件带来的社会不稳定因素，维护社会秩序，为经济社会发展创造良好的社会环境。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升城市的整体形象和竞争力。一个拥有先进应急管理体系的城市，在吸引投资、促进旅游等方面具有更大的优势。投资者会更倾向于选择安全稳定的城市进行投资，游客也会更放心地前往旅游。这不仅有利于城市的经济发展，还能提升城市在国内外的知名度和影响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经济效益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降低应急事故带来的经济损失。通过提前预警和快速响应，能够在事故发生的初期就采取有效的措施，最大限度地减少事故对企业和社会经济造成的破坏。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高应急资源的利用效率。通过统筹建设，实现对各类应急资源的实时监控和管理，能够在突发事件发生时进行快速调度和优化配置，实现跨部门、跨区域的协同作战，避免资源浪费，提高资源利用效率。通过对资源的优化配置，可以减少不必要的重复建设和储备，节约资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促进应急产业的发展。建设将带动相关技术和设备的研发、生产和应用，推动应急产业的发展，为经济增长注入新的动力。应急管理平台的建设也需要大量的信息技术、传感器技术、通信技术等，这些技术的发展将推动相关产业的升级和创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生态效益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推动城市的可持续发展。高效的应急管理体系有助于提高城市的抗风险能力，促进城市的生态、经济和社会协调发展，实现城市的可持续发展目标，为城市的长远发展奠定坚实的基础。</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10.市国资国企在线监管平台升级改造（2026）项目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10.1.预期目标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高效推动国有资产管理提质增效相关工作，泰州市国资委，调研学习重庆、徐州、张家港等先进地区建设经验，结合本地国有企业信息化现状，计划依托现有国资国企在线监管平台，升级构建“资产穿透式监管”与“资产地图一张网”两大体系，实现国有资产实时可视、风险预警、高效盘活，不仅能针对性解决当前国有资产管理中监管不全面、信息不对称、盘活效率低等突出问题，通过提高行政运转效率、强化国资监管履职能力、降低人力物力等行政成本，筑牢国有资产不流失的安全防线，为国有资产保值增值提供坚实支撑，彰显规范国有资产管理、服务地方经济社会高质</w:t>
      </w:r>
      <w:r>
        <w:rPr>
          <w:rFonts w:ascii="FangSong" w:hAnsi="FangSong" w:eastAsia="FangSong" w:cs="FangSong"/>
          <w:color w:val="000000"/>
          <w:sz w:val="28"/>
        </w:rPr>
        <w:t xml:space="preserve">量发展的重要价值。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项目遵循“总体规划、分步实施”的建设原则，从统筹协调、全局管控、辅助决策的顶层设计出发，逐步实现对泰州市国有企业资产的规范化管理、全方位监控。</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10.2.需求分析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10.2.1.业务需求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国有企业资产管理数字化应用不足（基层依赖Excel手动填报）、资产数据仅表单归档（无动态模型）、系统数据不互通（多系统操作繁琐）”三大核心问题，以“资产穿透式监管”“资产地图一张网”为核心目标，实现11类重点资产（土地、房屋、股权债权、特许经营权等）的实时可视、风险预警、高效盘活，保障国有资产不流失、保值增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资产基础家底管理：全维度归集资产基本信息（名称、位置、面积）、权属关系（产权单位、产权证号）、财务状况（原值、评估价值）、使用状态（自用/出租/闲置）、出租处置记录（合同编号、租期、处置金额），形成资产“全景画像”，解决“资产家底不清”问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（2）资产风险管控：聚焦资产抵押环节，统计“可抵押-已抵押-不可抵押”资产的价值/面积，分析不可抵押原因（产权缺失、政策限制），按“本年/明年/未来3-5年”分级预警抵押到期资产，规避违约流失风险。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穿透式经营监管：覆盖“国资委-市属国企-子公司”三级层级，监管资产出租（招租流程、合同履约）、产证完善度（有证/无证资产面积及缺证原因）、闲置情况（闲置面积、空置预警），解决“经营监管不到位”问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分级数据归集：针对不同信息化水平国企分类施策——已建资产管理系统的企业按接口标准推送数据、试点建设系统的企业使用企业端功能、资产总量少的企业通过专属端口填报，解决“数据收集不规范（重复报/漏报）”问题。</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10.2.2.技术需求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（1）响应速度：PC端平均响应时间＜1秒，100用户并发访问响应时间＜2秒；手机端平均响应时间＜1秒，400用户并发访问响应时间＜2秒。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（2）可靠性：支持7×24小时不间断运行，单个子系统（如资产上报模块）异常停止不影响其他模块，用户界面崩溃不影响服务器端数据。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（3）存储能力：支持3年业务数据在线存储，重要数据（如产权证明、抵押合同）长期离线保存，总存储容量≥1.0T（含业务数据+数仓数据）。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（4）并发能力：支持500用户日常访问（覆盖国资委+7大国企），日访问量≥600次，每日查询操作≥2000次，数据采集峰值带宽≤20Mbps。</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10.3.技术方案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10.3.1.主要功能设计</w:t>
      </w:r>
      <w:r/>
    </w:p>
    <w:p>
      <w:pPr>
        <w:ind w:left="0" w:right="0" w:firstLine="560"/>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10.3.1.1.</w:t>
      </w:r>
      <w:r>
        <w:rPr>
          <w:rFonts w:ascii="FangSong" w:hAnsi="FangSong" w:eastAsia="FangSong" w:cs="FangSong"/>
          <w:color w:val="000000"/>
          <w:sz w:val="28"/>
        </w:rPr>
        <w:t xml:space="preserve">监管侧建设方案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统一资产分类，统一数据口径和资产盘点维度指导企业盘清资产，包括资产权属情况、抵押情况等。通过资产系统中资产台账、资产地图及时查阅市属企业整体资产规模、分布情况。通过业务监督，保证企业严格按照管理办法执行，保证业务过程合法合规。最终实现资产综合分析、资产抵押分析、企业资产数据分析，掌握市属企业资产业务数据，为资产盘活打下基础。</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181600" cy="2867025"/>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01630" name=""/>
                        <pic:cNvPicPr>
                          <a:picLocks noChangeAspect="1"/>
                        </pic:cNvPicPr>
                        <pic:nvPr/>
                      </pic:nvPicPr>
                      <pic:blipFill>
                        <a:blip/>
                        <a:stretch/>
                      </pic:blipFill>
                      <pic:spPr bwMode="auto">
                        <a:xfrm>
                          <a:off x="0" y="0"/>
                          <a:ext cx="5181599" cy="28670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08.0pt;height:225.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构建资产指标体系，盘清市属企业资产家底</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资产指标总览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对市属企业资产的总体情况进行统计分析，掌握市属企业资产总价值、资产总面积、资产总数量、已抵押资产的抵押贷款金额、本年度到期的抵押贷款金额情况。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资产分类分析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掌握市属企业的资产分类分布情况，了解土地资产的占比、房产资产的占比、不同单位的资产占比情况、不同使用土地权的资产的占比情况。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资产使用现状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对市属企业资产的使用情况进行分析，掌握市属企业企业自用资产、出租运营资产、闲置资产的使用结构，同时对管理企业的空置资产面积进行盘点预警。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资产产证分析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掌握市属企业资产的产权情况，哪些资产手续不全、缺乏证照；不同企业的无证资产的面积、原值情况。</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建立抵押预警机制，把控抵押风险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资产抵押总览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掌握市属企业资产中，可被抵押的资产价值和面积、不可被抵押的资产价值和面积以及可被抵押资产中，已被抵押资产的面积和贷款金额。</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抵押状态分析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掌握市属企业资产中，有多少资产可用于抵押，当前资产抵押情况、不可抵押资产的占比情况、不可抵押资产的原因。</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抵押到期预警分析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掌握市属企业已被抵押资产的到期时间，对于本年、明年、未来</w:t>
      </w: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年的资产到期预警。</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逐级穿透，监管企业资产经营情况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企业资产指标总览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对企业资产的总体情况进行统计分析，掌握企业资产总价值、资产总面积、资产总数量、已抵押资产的抵押贷款金额、本年度到期的抵押贷款金额情况。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企业资产分类分析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掌握企业的资产分类分布情况，了解土地资产的占比、房产资产的占比、不同子公司的资产占比情况、不同使用土地权的资产的占比情况。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企业资产使用现状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对企业资产的使用情况进行分析，掌握市属企业企业自用资产、出租运营资产、闲置资产的使用结构，同时对管理企业的空置资产面积进行盘点预警。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企业资产产证分析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掌握企业资产的产权情况，哪些资产手续不全、缺乏证照；不同企业的无证资产的面积、原值情况。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企业资产抵押分析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掌握企业资产的抵押情况，已被抵押资产的情况，不可被抵押的资产原因，以及已被抵押资产的到期时间及预警。</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构建定期上报体系，有序收集企业资产信息</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企业资产信息填报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按照国资资产监管要求，支持企业在资产信息上报模块更新本企业资产信息。</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企业资产信息系统导入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对企业本身存在资产相关系统，支持从业务系统获取资产数据，一键导入上报系统。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上报信息进度监督</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支持国资层对企业上报的资产数据进度进行追踪。</w:t>
      </w:r>
      <w:r/>
    </w:p>
    <w:p>
      <w:pPr>
        <w:ind w:left="0" w:right="0" w:firstLine="560"/>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10.3.1.2.</w:t>
      </w:r>
      <w:r>
        <w:rPr>
          <w:rFonts w:ascii="FangSong" w:hAnsi="FangSong" w:eastAsia="FangSong" w:cs="FangSong"/>
          <w:color w:val="000000"/>
          <w:sz w:val="28"/>
        </w:rPr>
        <w:t xml:space="preserve">企业侧建设方案</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建立统一标准的资产数字档案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　统一分类：统一资产分类管理标准，加强资产管理精细度</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810125" cy="20193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09026" name=""/>
                        <pic:cNvPicPr>
                          <a:picLocks noChangeAspect="1"/>
                        </pic:cNvPicPr>
                        <pic:nvPr/>
                      </pic:nvPicPr>
                      <pic:blipFill>
                        <a:blip/>
                        <a:stretch/>
                      </pic:blipFill>
                      <pic:spPr bwMode="auto">
                        <a:xfrm>
                          <a:off x="0" y="0"/>
                          <a:ext cx="4810124" cy="2019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78.8pt;height:15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数字化平台建设以及咨询实施，梳理资产的动态盘点方法，通过资产的分类管理，能够实现资产运营管理的有效区分，发挥公司资产的最大效益。针对公司管理和运营的资产实现分类管理，有效地把不同类别资产的不同功能有效发挥出来，以更加符合国有资产的管理要求，加强资产管理的精细度，更好的满足国有资产的使用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　科学建模：科学建立资产管理模型，理清资产的权属关系</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962525" cy="2343150"/>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468729" name=""/>
                        <pic:cNvPicPr>
                          <a:picLocks noChangeAspect="1"/>
                        </pic:cNvPicPr>
                        <pic:nvPr/>
                      </pic:nvPicPr>
                      <pic:blipFill>
                        <a:blip/>
                        <a:stretch/>
                      </pic:blipFill>
                      <pic:spPr bwMode="auto">
                        <a:xfrm>
                          <a:off x="0" y="0"/>
                          <a:ext cx="4962524" cy="2343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390.8pt;height:184.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厘清资产权属类型、盘清资产权属关系，规范统一资产管理口径、产权口径、经营权口径、使用权口径，建立四级结构化档案，科学建立资产管理模型，以多维度资产台账呈现。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　资产建档：建立资产</w:t>
      </w:r>
      <w:r>
        <w:rPr>
          <w:rFonts w:ascii="Times New Roman" w:hAnsi="Times New Roman" w:eastAsia="Times New Roman" w:cs="Times New Roman"/>
          <w:color w:val="000000"/>
          <w:sz w:val="28"/>
        </w:rPr>
        <w:t xml:space="preserve">360</w:t>
      </w:r>
      <w:r>
        <w:rPr>
          <w:rFonts w:ascii="FangSong" w:hAnsi="FangSong" w:eastAsia="FangSong" w:cs="FangSong"/>
          <w:color w:val="000000"/>
          <w:sz w:val="28"/>
        </w:rPr>
        <w:t xml:space="preserve">°档案，资产全貌信息动态可视</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581525" cy="3362325"/>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27082" name=""/>
                        <pic:cNvPicPr>
                          <a:picLocks noChangeAspect="1"/>
                        </pic:cNvPicPr>
                        <pic:nvPr/>
                      </pic:nvPicPr>
                      <pic:blipFill>
                        <a:blip/>
                        <a:stretch/>
                      </pic:blipFill>
                      <pic:spPr bwMode="auto">
                        <a:xfrm>
                          <a:off x="0" y="0"/>
                          <a:ext cx="4581524" cy="3362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360.8pt;height:264.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规范统一资产建档标准、统一口径和信息审核流程，完整在线建立资产档案。通过</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大档案信息分类页，将资产的基础信息、接收信息、产证信息、价值信息、规划信息、安全信息、处置信息分类、及关系图谱信息完整记录在案，实现资产全貌信息记录。</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86400" cy="2076450"/>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412544" name=""/>
                        <pic:cNvPicPr>
                          <a:picLocks noChangeAspect="1"/>
                        </pic:cNvPicPr>
                        <pic:nvPr/>
                      </pic:nvPicPr>
                      <pic:blipFill>
                        <a:blip/>
                        <a:stretch/>
                      </pic:blipFill>
                      <pic:spPr bwMode="auto">
                        <a:xfrm>
                          <a:off x="0" y="0"/>
                          <a:ext cx="5486400" cy="20764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2.0pt;height:163.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完善资产全生命周期过程管理</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　资产接收：接收有序，档案完整</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管理部在接收获取资产后，按照明确的资产档案登记规则，登记资产信息、上传产证资料、填报指标内容，登记形成完善的资产档案，后由资管管理人员对该档案进行审核；审批通过后，资产正式纳入资产台账，便于未来的资产运营管理与统计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　资产维护：动态维护，数据统一</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资产维护是在资产的管理、使用、经营过程中发生的资产信息变更调整。通过提供对资产产权变更、面积调整、拆分合并、划拨收回等的关键场景支撑，保证资产档案数据的统一性。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　资产划拨：统筹规划，优化配置</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在经营过程中，资产向二级公司，或与其他公司之间，进行资产流转，出现经营权属的调整时，使用资产系统资产划拨功能，将资产的经营权划拨至其他公司，对应的资产使用权限即随之转移，整个资产划拨的过程，在线留痕。</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　资产退出：处置合规、过程留痕</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管理资产退出管理，可针对资产处置、销售、置换、转让等不同退出方式的资产进行统一出库管控。清晰记录资产处置方案、处置评估、处置合同、处置结案报告等信息，确保资产退出流程规范，记录留痕可查。</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资产运营，提升资产利用率</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只有在运营中才会有收益，实现资产保值增值，公司除资产的盘点建档，形成资产的物理盘清，还需要对所有经营性资产的经营收益进行统一管理，一是统筹资产布局，清晰的知道哪些资产交由哪些经营单元或责任人在做经营，资产经营行为具体是在租赁、销售、或自营、自用。二是经营联动，资产中心联动租赁中心，规划后“经营资源”在线分发，资源信息快速同步，同时业务行为、数据、流程自动反馈上报，避免“多头”签约或违规签约。通过这两个举措，实现合理规划不同类型资产的经营规划，及时掌控资产经营收益。</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统筹资产布局</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　统筹规划：通过资产用途规划，明确资产运营方案，自运营，或委托、划拨资产等方式给运营单元负责经营。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需要规范统一资产用途规划、经营划拨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收回、经营变更流程，并固化系统。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以数字化平台支撑多类资产经营规划、分类管理，规划、划拨过程在线记录、在线留痕。实现在线化的租赁类、销售类、非经营类等资产规划类型的分类管理。同时每一个规划的详情及相关附件均可穿透查看。</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590800"/>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465394" name=""/>
                        <pic:cNvPicPr>
                          <a:picLocks noChangeAspect="1"/>
                        </pic:cNvPicPr>
                        <pic:nvPr/>
                      </pic:nvPicPr>
                      <pic:blipFill>
                        <a:blip/>
                        <a:stretch/>
                      </pic:blipFill>
                      <pic:spPr bwMode="auto">
                        <a:xfrm>
                          <a:off x="0" y="0"/>
                          <a:ext cx="5276849" cy="25907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5.5pt;height:204.0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　规划管控：资产利用方式“资产规划利用率”，准确追踪闲置资产所述项目和管理单位，管“每一天、每平米的资产规划利用情况”。</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资产利用方式的“分类规划”，管好“每一天、每平米的资产规划利用情况”。根据资产的性质、特点，进行对应的“租赁、销售、改造、自营、处置”等规划利用，然后通过分类规划台账，加强精细化管理。同时，系统根据规划方式能进行“业务联动智能校验”，有效的进行规划合理性、合规性的管控。</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85155" cy="2621017"/>
                <wp:effectExtent l="0" t="0" r="0" b="0"/>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20758" name=""/>
                        <pic:cNvPicPr>
                          <a:picLocks noChangeAspect="1"/>
                        </pic:cNvPicPr>
                        <pic:nvPr/>
                      </pic:nvPicPr>
                      <pic:blipFill>
                        <a:blip/>
                        <a:stretch/>
                      </pic:blipFill>
                      <pic:spPr bwMode="auto">
                        <a:xfrm>
                          <a:off x="0" y="0"/>
                          <a:ext cx="5685154" cy="262101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47.6pt;height:206.4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　规划全景图：借助数字化工具高效掌控在管资产运营状况，支撑后续资产布局优化调整工作。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通过规划全景图，借助数字化工具高效掌控在管资产运营状况，支撑后续的资产布局优化调整。支持基于资产规划，来了解实际执行情况。</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85155" cy="2255268"/>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099807" name=""/>
                        <pic:cNvPicPr>
                          <a:picLocks noChangeAspect="1"/>
                        </pic:cNvPicPr>
                        <pic:nvPr/>
                      </pic:nvPicPr>
                      <pic:blipFill>
                        <a:blip/>
                        <a:stretch/>
                      </pic:blipFill>
                      <pic:spPr bwMode="auto">
                        <a:xfrm>
                          <a:off x="0" y="0"/>
                          <a:ext cx="5685154" cy="22552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47.6pt;height:177.6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一能看规划全景，按项目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楼栋</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房间不同颗粒度来进行执行情况的监控；</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二能经营穿透，点击查看经营合同详情，快速预览承租方、合同等信息；</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三能管理筛查，按管理需要查看资源经营现状。</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资产运营管控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　资源租控：全局资源租控，多业态资源在线管理，资源出租情况一手掌握。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资管中心的资产建档，租赁中心承载所有资产管理数据，形成资产租控管理界面，同时对所有不同类型资产，充分挖掘可以经营利用的资产资源，除了不动产资产外，比如说广告点位、活动场地、临时场地等“资源”，统一纳入到租控界面中，支撑资源租控工作的开展，从而有效提高出租率以及可出租经营的资产基数。</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609850"/>
                <wp:effectExtent l="0" t="0" r="0" b="0"/>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14772" name=""/>
                        <pic:cNvPicPr>
                          <a:picLocks noChangeAspect="1"/>
                        </pic:cNvPicPr>
                        <pic:nvPr/>
                      </pic:nvPicPr>
                      <pic:blipFill>
                        <a:blip/>
                        <a:stretch/>
                      </pic:blipFill>
                      <pic:spPr bwMode="auto">
                        <a:xfrm>
                          <a:off x="0" y="0"/>
                          <a:ext cx="5276849" cy="2609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15.5pt;height:205.5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通过资源租控图，根据颜色区域，可以快速了解哪些资源目前是空置的，哪些是即将到期的，便于公司精准监控项目的出租情况，也可以帮助资产管理部门前置一些招租的准备动作。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　预警提醒：智能化资源空置预警、合同到期提醒、款项到期提醒，规避合同逾期、款项逾期以及资源空置风险，减轻工作量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系统中设置好到期天数、空置天数的预警规则，并且制定提醒推送的时间、人员范围等，并可以根据不同的项目、资源、物业类型做不同的规则设置，从而不仅实时掌控资源状态，且以事找人快速监控即将到期、控制资源，并分级分层预警，与移动端联动，快速应对。</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85155" cy="2800291"/>
                <wp:effectExtent l="0" t="0" r="0" b="0"/>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99455" name=""/>
                        <pic:cNvPicPr>
                          <a:picLocks noChangeAspect="1"/>
                        </pic:cNvPicPr>
                        <pic:nvPr/>
                      </pic:nvPicPr>
                      <pic:blipFill>
                        <a:blip/>
                        <a:stretch/>
                      </pic:blipFill>
                      <pic:spPr bwMode="auto">
                        <a:xfrm>
                          <a:off x="0" y="0"/>
                          <a:ext cx="5685154" cy="2800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47.6pt;height:220.5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　合同提效：围绕合同签约履约全过程，根据不同资产业态的签约计费规则、文本条款，标准化合同模板，形成标准化线上流程，提效减负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同业态的资产租赁合同，其签约规则差异较大，以及算费模型也有不小差异，系统能够根据不同业态的签约规则配置多业态合同模板，进而提高合同拟定效率，且围绕合同签约过程，建立标准化的审核审批流程，提升合同办理效率防范出错。</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67375" cy="2857500"/>
                <wp:effectExtent l="0" t="0" r="0" b="0"/>
                <wp:docPr id="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05293" name=""/>
                        <pic:cNvPicPr>
                          <a:picLocks noChangeAspect="1"/>
                        </pic:cNvPicPr>
                        <pic:nvPr/>
                      </pic:nvPicPr>
                      <pic:blipFill>
                        <a:blip/>
                        <a:stretch/>
                      </pic:blipFill>
                      <pic:spPr bwMode="auto">
                        <a:xfrm>
                          <a:off x="0" y="0"/>
                          <a:ext cx="5667374" cy="28575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46.2pt;height:225.0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　业财一体：围智能算费引擎快速精准计费，各类费用自动整理归结，提升财务日常对账效率</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个财务收缴环节里，所有跟合同挂钩的费项，通过计费引擎快速精准算费，费用自动整理归结，大幅度提升财务日常对账效率。在签完合同进入履约期后，租户周期性的费用账单计算，占据了财务人员大量的时间精力，而通过租赁中心的“计费引擎”，能够根据每份合同内的计费类型、计费场景、合同约定、以及合同变更后计费逻辑，快速精准的进行算费，生成账单。同时，系统的费用台账列表内，根据财务人员的日常费用管理需求，分模块展示各类费用台账，提升财务日常对账的效率。</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经营合规，加强资产监督</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市场化发展的同时，遵守合法合规、风控安全的底线，以国资安全“双”保险，防止国有资产“流失”，维护国有资产安全。明确资产安全维护、合规经营监管内容，借助数字化工具赋能安全巡检、合规监管落地执行。“保障资产安全”两个重点，一个是“实体空间安全”，一个是“经营生产安全”，需要做好定期的【资产盘点】和【安全巡检】工作。</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67375" cy="2095500"/>
                <wp:effectExtent l="0" t="0" r="0" b="0"/>
                <wp:docPr id="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733762" name=""/>
                        <pic:cNvPicPr>
                          <a:picLocks noChangeAspect="1"/>
                        </pic:cNvPicPr>
                        <pic:nvPr/>
                      </pic:nvPicPr>
                      <pic:blipFill>
                        <a:blip/>
                        <a:stretch/>
                      </pic:blipFill>
                      <pic:spPr bwMode="auto">
                        <a:xfrm>
                          <a:off x="0" y="0"/>
                          <a:ext cx="5667374" cy="20954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46.2pt;height:165.0pt;mso-wrap-distance-left:0.0pt;mso-wrap-distance-top:0.0pt;mso-wrap-distance-right:0.0pt;mso-wrap-distance-bottom:0.0pt;" stroked="false">
                <v:path textboxrect="0,0,0,0"/>
              </v:shape>
            </w:pict>
          </mc:Fallback>
        </mc:AlternateContent>
      </w:r>
      <w:r>
        <w:rPr>
          <w:rFonts w:ascii="FangSong" w:hAnsi="FangSong" w:eastAsia="FangSong" w:cs="FangSong"/>
          <w:b/>
          <w:color w:val="000000"/>
          <w:sz w:val="28"/>
        </w:rPr>
        <w:t xml:space="preserve">资产盘点：明确盘点内容和标准，制定盘点工作机制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明确盘点内容和标准，制定盘点工作机制。构建公司日常标准化自主盘点能力，动态盘点资产家底，确保“账实相符”，同时逐步完善档案信息完整度。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　场景一：“资产实体空间”核查盘点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定期的盘集团手中的资产盘盈盘亏情况。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　场景二：“证照信息缺失”补录盘点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部分资产的证照、信息不全，需按计划、有节奏的补录，不断的完善档案信息的完整度。</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系统支持在线制定盘点计划、任务派发、进度跟进和业务的审批审核，同时一线的执行人员，可以通过移动</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工具来进行移动盘点。</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85155" cy="2104917"/>
                <wp:effectExtent l="0" t="0" r="0" b="0"/>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644775" name=""/>
                        <pic:cNvPicPr>
                          <a:picLocks noChangeAspect="1"/>
                        </pic:cNvPicPr>
                        <pic:nvPr/>
                      </pic:nvPicPr>
                      <pic:blipFill>
                        <a:blip/>
                        <a:stretch/>
                      </pic:blipFill>
                      <pic:spPr bwMode="auto">
                        <a:xfrm>
                          <a:off x="0" y="0"/>
                          <a:ext cx="5685154" cy="210491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47.6pt;height:165.7pt;mso-wrap-distance-left:0.0pt;mso-wrap-distance-top:0.0pt;mso-wrap-distance-right:0.0pt;mso-wrap-distance-bottom:0.0pt;" stroked="false">
                <v:path textboxrect="0,0,0,0"/>
              </v:shape>
            </w:pict>
          </mc:Fallback>
        </mc:AlternateContent>
      </w:r>
      <w:r>
        <w:rPr>
          <w:rFonts w:ascii="FangSong" w:hAnsi="FangSong" w:eastAsia="FangSong" w:cs="FangSong"/>
          <w:b/>
          <w:color w:val="000000"/>
          <w:sz w:val="28"/>
        </w:rPr>
        <w:t xml:space="preserve">安全巡检：明确巡检内容和标准，制定巡检工作机制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　巡检计划：科学制定巡检机制，有效落实巡检执行，确保问题整改到位</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定科学的巡检机制，定义巡检范围、巡检内容、巡检频次，一线巡检人员，借用移动工具进行高效的巡检任务执行，从现场巡检，隐患识别，快速上报，到生成整改任务，整改跟进，最后自动生成巡检分析报告，降本提效、防止违规操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　巡检落实：巡检任务、问题整改“事找人”，落实安全隐患可识别、有整改、能验收闭环</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495925" cy="1704975"/>
                <wp:effectExtent l="0" t="0" r="0" b="0"/>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08917" name=""/>
                        <pic:cNvPicPr>
                          <a:picLocks noChangeAspect="1"/>
                        </pic:cNvPicPr>
                        <pic:nvPr/>
                      </pic:nvPicPr>
                      <pic:blipFill>
                        <a:blip/>
                        <a:stretch/>
                      </pic:blipFill>
                      <pic:spPr bwMode="auto">
                        <a:xfrm>
                          <a:off x="0" y="0"/>
                          <a:ext cx="5495924" cy="17049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32.8pt;height:134.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通过数字化工具，巡检任务、问题整改“事找人”，落实安全隐患可识别、有整改、能验收闭环，比如像水印拍照、定位拍照等功能，也能进一步落实任务的执行。同时，现场发现的隐患问题，也可以快速的生成整改单，派发给相关人员进行整改。帮公司实现“巡检执行</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”和“隐患整改</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　巡检分析：巡检情况自动汇总，实时监控安全巡检“两个</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”，巡检报告一键打印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巡检情况移动端记录后，</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端系统自动汇总，实时监控安全巡检“两个</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”，巡检报告一键打印。通过巡检任务看板主动跟进进展情况，监管整体执行情况，如目前的巡检执行完成百分比、隐患量占比、整改完成率、异常类型占比等等。</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合规自查：建立合规指标体系，满足合规审查要求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上级监管要求、和公司资产管理业务的战略发展目标，进行资管体系搭建和资产合规监管工作开展。基于国有资产管理和运营视角，梳理管理合规、资产合规、经营合规、安全合规指标体系，并构建数字化看板、报表、台账等管理工具，助力日常合规自查和内外部单位合规审查工作开展。</w:t>
      </w:r>
      <w:r/>
    </w:p>
    <w:p>
      <w:pPr>
        <w:ind w:left="0" w:right="0" w:firstLine="64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业务合规：建立合规预警体系，确保过程合规</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合规管控三大要点，一是操作留痕、二是审批流程、三是指标监控。从资产接收建档、到变更维护、经营规划、经营划拨、资产运营、盘点、巡检、到资产退出的全周期在线化闭环，借助数字化能力，实现过程管控，步步有留痕、能溯源，确保合规操作。如信息变更的审核、生效时间的留痕、变更先后的内容对比、审批审核流程，同时资产的“变化”，可以在“资产履历”里按时间轴浏览业务的痕迹，以此来实现业务合规的监控。</w:t>
      </w:r>
      <w:r/>
    </w:p>
    <w:p>
      <w:pPr>
        <w:ind w:left="0" w:right="0" w:firstLine="562"/>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管理抓手“三个一”</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“资产一本帐”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在不同资管业务阶段，根据当前业务重点和管理诉求，构建对应的视图台账。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产权确权阶段：便捷查看“产权”情况。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资产规划阶段：待规划资产、已规划资产视图；经营性资产实际用途规划和经营状态。</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“千人千面”建立个人视图，保存个人筛选条件，满足日常工作高效开展。</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助分析：“拖拉拽”快速生成自定义报表，高效支撑日常报表、临时汇报输出应用。例如董事长关心的从资产业态分类、经营属性分类，以及其他各类分类方式、上级国资关心的报表分类方式，方便快捷的自定义筛选条件进行实时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“布局一幅图”</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资产地图：从宏观到微观查看资产分布，穿透查看每一处资产详情，全域资产一图掌控。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资管中心和租赁中心数据联动，可实现按项目楼栋楼层、按每一个租户，更直观可视的查看经营状况。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“管理一张屏”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资产管理决策体系，梳理关键指标数据，多端呈现，实现管理“一张屏”。通过资管中心和租赁中心数据的集成分析，覆盖资产整体情况、资产分类情况、资产经营情况，通过数据中心的数据清洗、分析、输出，最终以多端可视化工具呈现，数据同元，实现真正意义上的“一张屏”。</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10.3.2.与市级基础平台关联关系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国资国企在线监管平台一期已建立泰州市国资监管数据指标标准体系，建成国资委与省国资委之间、市属企业之间面向国资监管数据的统一数据采集交换平台。对跨网、跨域的结构化与非结构化数据，提供时效性、多样性的采集交换能力，保证数据持续、动态、可靠、安全传输。平台按照《泰州市高频数据元标准规范》进行数据库设计，实现全市统一数据标准。本次平台建设将继续依托市公共数据平台实现数据归集、治理和共享等需求。</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10.3.3.数据供需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国资国企在线监管平台将采集市属国有资产、经营等数据，具体如下：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8"/>
        <w:gridCol w:w="2238"/>
        <w:gridCol w:w="2238"/>
        <w:gridCol w:w="2238"/>
      </w:tblGrid>
      <w:tr>
        <w:trPr>
          <w:trHeight w:val="347"/>
        </w:trPr>
        <w:tc>
          <w:tcPr>
            <w:shd w:val="clear" w:color="f2f2f2" w:fill="f2f2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数据类别</w:t>
            </w: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数据名称</w:t>
            </w: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数据来源</w:t>
            </w:r>
            <w:r/>
          </w:p>
        </w:tc>
        <w:tc>
          <w:tcPr>
            <w:shd w:val="clear" w:color="f2f2f2" w:fill="f2f2f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数据内容</w:t>
            </w:r>
            <w:r/>
          </w:p>
        </w:tc>
      </w:tr>
      <w:tr>
        <w:trPr>
          <w:trHeight w:val="10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基础资产数据库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国有资产核心档案数据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FangSong" w:hAnsi="FangSong" w:eastAsia="FangSong" w:cs="FangSong"/>
                <w:color w:val="000000"/>
                <w:sz w:val="24"/>
              </w:rPr>
              <w:t xml:space="preserve">企业侧</w:t>
            </w:r>
            <w:r>
              <w:rPr>
                <w:rFonts w:ascii="Times New Roman" w:hAnsi="Times New Roman" w:eastAsia="Times New Roman" w:cs="Times New Roman"/>
                <w:color w:val="000000"/>
                <w:sz w:val="24"/>
              </w:rPr>
              <w:t xml:space="preserve">“360°</w:t>
            </w:r>
            <w:r>
              <w:rPr>
                <w:rFonts w:ascii="FangSong" w:hAnsi="FangSong" w:eastAsia="FangSong" w:cs="FangSong"/>
                <w:color w:val="000000"/>
                <w:sz w:val="24"/>
              </w:rPr>
              <w:t xml:space="preserve">档案</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模块；</w:t>
            </w:r>
            <w:r>
              <w:rPr>
                <w:rFonts w:ascii="Times New Roman" w:hAnsi="Times New Roman" w:eastAsia="Times New Roman" w:cs="Times New Roman"/>
                <w:color w:val="000000"/>
                <w:sz w:val="24"/>
              </w:rPr>
              <w:t xml:space="preserve">②</w:t>
            </w:r>
            <w:r>
              <w:rPr>
                <w:rFonts w:ascii="FangSong" w:hAnsi="FangSong" w:eastAsia="FangSong" w:cs="FangSong"/>
                <w:color w:val="000000"/>
                <w:sz w:val="24"/>
              </w:rPr>
              <w:t xml:space="preserve">外单位权属核验数据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FangSong" w:hAnsi="FangSong" w:eastAsia="FangSong" w:cs="FangSong"/>
                <w:color w:val="000000"/>
                <w:sz w:val="24"/>
              </w:rPr>
              <w:t xml:space="preserve">资产唯一编码、基础信息（名称</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位置</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面积）、权属信息（产权证号</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使用权类型）；</w:t>
            </w:r>
            <w:r>
              <w:rPr>
                <w:rFonts w:ascii="Times New Roman" w:hAnsi="Times New Roman" w:eastAsia="Times New Roman" w:cs="Times New Roman"/>
                <w:color w:val="000000"/>
                <w:sz w:val="24"/>
              </w:rPr>
              <w:t xml:space="preserve">②</w:t>
            </w:r>
            <w:r>
              <w:rPr>
                <w:rFonts w:ascii="FangSong" w:hAnsi="FangSong" w:eastAsia="FangSong" w:cs="FangSong"/>
                <w:color w:val="000000"/>
                <w:sz w:val="24"/>
              </w:rPr>
              <w:t xml:space="preserve">资产二维码关联记录、权属核验结果</w:t>
            </w:r>
            <w:r/>
          </w:p>
        </w:tc>
      </w:tr>
      <w:tr>
        <w:trPr>
          <w:trHeight w:val="134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业务运营数据库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资产全生命周期业务数据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FangSong" w:hAnsi="FangSong" w:eastAsia="FangSong" w:cs="FangSong"/>
                <w:color w:val="000000"/>
                <w:sz w:val="24"/>
              </w:rPr>
              <w:t xml:space="preserve">企业侧</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资产维护</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模块；</w:t>
            </w:r>
            <w:r>
              <w:rPr>
                <w:rFonts w:ascii="Times New Roman" w:hAnsi="Times New Roman" w:eastAsia="Times New Roman" w:cs="Times New Roman"/>
                <w:color w:val="000000"/>
                <w:sz w:val="24"/>
              </w:rPr>
              <w:t xml:space="preserve">②“</w:t>
            </w:r>
            <w:r>
              <w:rPr>
                <w:rFonts w:ascii="FangSong" w:hAnsi="FangSong" w:eastAsia="FangSong" w:cs="FangSong"/>
                <w:color w:val="000000"/>
                <w:sz w:val="24"/>
              </w:rPr>
              <w:t xml:space="preserve">资产规划</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模块；</w:t>
            </w:r>
            <w:r>
              <w:rPr>
                <w:rFonts w:ascii="Times New Roman" w:hAnsi="Times New Roman" w:eastAsia="Times New Roman" w:cs="Times New Roman"/>
                <w:color w:val="000000"/>
                <w:sz w:val="24"/>
              </w:rPr>
              <w:t xml:space="preserve">③“</w:t>
            </w:r>
            <w:r>
              <w:rPr>
                <w:rFonts w:ascii="FangSong" w:hAnsi="FangSong" w:eastAsia="FangSong" w:cs="FangSong"/>
                <w:color w:val="000000"/>
                <w:sz w:val="24"/>
              </w:rPr>
              <w:t xml:space="preserve">收费管理</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模块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FangSong" w:hAnsi="FangSong" w:eastAsia="FangSong" w:cs="FangSong"/>
                <w:color w:val="000000"/>
                <w:sz w:val="24"/>
              </w:rPr>
              <w:t xml:space="preserve">业务操作记录：接收登记审批单、资产变更前后对比、处置备案凭证；</w:t>
            </w:r>
            <w:r>
              <w:rPr>
                <w:rFonts w:ascii="Times New Roman" w:hAnsi="Times New Roman" w:eastAsia="Times New Roman" w:cs="Times New Roman"/>
                <w:color w:val="000000"/>
                <w:sz w:val="24"/>
              </w:rPr>
              <w:t xml:space="preserve">②</w:t>
            </w:r>
            <w:r>
              <w:rPr>
                <w:rFonts w:ascii="FangSong" w:hAnsi="FangSong" w:eastAsia="FangSong" w:cs="FangSong"/>
                <w:color w:val="000000"/>
                <w:sz w:val="24"/>
              </w:rPr>
              <w:t xml:space="preserve">经营协议记录：租赁合同、销售合同、改造方案；</w:t>
            </w:r>
            <w:r>
              <w:rPr>
                <w:rFonts w:ascii="Times New Roman" w:hAnsi="Times New Roman" w:eastAsia="Times New Roman" w:cs="Times New Roman"/>
                <w:color w:val="000000"/>
                <w:sz w:val="24"/>
              </w:rPr>
              <w:t xml:space="preserve">③</w:t>
            </w:r>
            <w:r>
              <w:rPr>
                <w:rFonts w:ascii="FangSong" w:hAnsi="FangSong" w:eastAsia="FangSong" w:cs="FangSong"/>
                <w:color w:val="000000"/>
                <w:sz w:val="24"/>
              </w:rPr>
              <w:t xml:space="preserve">资金流转记录：收款单、退款单、票据信息</w:t>
            </w:r>
            <w:r/>
          </w:p>
        </w:tc>
      </w:tr>
      <w:tr>
        <w:trPr>
          <w:trHeight w:val="134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监管分析数据库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监管指标与预警数据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FangSong" w:hAnsi="FangSong" w:eastAsia="FangSong" w:cs="FangSong"/>
                <w:color w:val="000000"/>
                <w:sz w:val="24"/>
              </w:rPr>
              <w:t xml:space="preserve">监管侧</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资产监督分析</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模块（自动计算）；</w:t>
            </w:r>
            <w:r>
              <w:rPr>
                <w:rFonts w:ascii="Times New Roman" w:hAnsi="Times New Roman" w:eastAsia="Times New Roman" w:cs="Times New Roman"/>
                <w:color w:val="000000"/>
                <w:sz w:val="24"/>
              </w:rPr>
              <w:t xml:space="preserve">②“</w:t>
            </w:r>
            <w:r>
              <w:rPr>
                <w:rFonts w:ascii="FangSong" w:hAnsi="FangSong" w:eastAsia="FangSong" w:cs="FangSong"/>
                <w:color w:val="000000"/>
                <w:sz w:val="24"/>
              </w:rPr>
              <w:t xml:space="preserve">资产抵押分析</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模块（预警规则触发）；</w:t>
            </w:r>
            <w:r>
              <w:rPr>
                <w:rFonts w:ascii="Times New Roman" w:hAnsi="Times New Roman" w:eastAsia="Times New Roman" w:cs="Times New Roman"/>
                <w:color w:val="000000"/>
                <w:sz w:val="24"/>
              </w:rPr>
              <w:t xml:space="preserve">③</w:t>
            </w:r>
            <w:r>
              <w:rPr>
                <w:rFonts w:ascii="FangSong" w:hAnsi="FangSong" w:eastAsia="FangSong" w:cs="FangSong"/>
                <w:color w:val="000000"/>
                <w:sz w:val="24"/>
              </w:rPr>
              <w:t xml:space="preserve">系统定时任务（指标统计）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①</w:t>
            </w:r>
            <w:r>
              <w:rPr>
                <w:rFonts w:ascii="FangSong" w:hAnsi="FangSong" w:eastAsia="FangSong" w:cs="FangSong"/>
                <w:color w:val="000000"/>
                <w:sz w:val="24"/>
              </w:rPr>
              <w:t xml:space="preserve">监管指标：资产分类占比、闲置率、抵押率、租金收缴率；</w:t>
            </w:r>
            <w:r>
              <w:rPr>
                <w:rFonts w:ascii="Times New Roman" w:hAnsi="Times New Roman" w:eastAsia="Times New Roman" w:cs="Times New Roman"/>
                <w:color w:val="000000"/>
                <w:sz w:val="24"/>
              </w:rPr>
              <w:t xml:space="preserve">②</w:t>
            </w:r>
            <w:r>
              <w:rPr>
                <w:rFonts w:ascii="FangSong" w:hAnsi="FangSong" w:eastAsia="FangSong" w:cs="FangSong"/>
                <w:color w:val="000000"/>
                <w:sz w:val="24"/>
              </w:rPr>
              <w:t xml:space="preserve">预警数据：抵押到期预警、闲置超期预警、租金欠缴预警；</w:t>
            </w:r>
            <w:r>
              <w:rPr>
                <w:rFonts w:ascii="Times New Roman" w:hAnsi="Times New Roman" w:eastAsia="Times New Roman" w:cs="Times New Roman"/>
                <w:color w:val="000000"/>
                <w:sz w:val="24"/>
              </w:rPr>
              <w:t xml:space="preserve">③</w:t>
            </w:r>
            <w:r>
              <w:rPr>
                <w:rFonts w:ascii="FangSong" w:hAnsi="FangSong" w:eastAsia="FangSong" w:cs="FangSong"/>
                <w:color w:val="000000"/>
                <w:sz w:val="24"/>
              </w:rPr>
              <w:t xml:space="preserve">分析结果：资产效率排名、风险等级评估</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10.4.服务预算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1"/>
        <w:gridCol w:w="1791"/>
        <w:gridCol w:w="1791"/>
        <w:gridCol w:w="1791"/>
        <w:gridCol w:w="1791"/>
      </w:tblGrid>
      <w:tr>
        <w:trPr>
          <w:trHeight w:val="3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一级模块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二级模块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价格（万元）</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资产监督分析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资产监管地图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全局资产穿透查看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需支持全局视角从市域到项目资产层层穿透，掌握资产动态；支持市域资产热力分布、管理单位规模排行；联动指标查看项目经营情况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7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国资监管大屏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市属集团公司资产、安全、督办、司库等数据穿透式查看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可穿透式监管防风险，压实责任强化监督，三流合一切实防止国有资产流失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资产综合分析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资产家底汇总分析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需支持汇总各企业资产分类、分布、用途、使用状态，盘清资产家底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9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企业督办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企业风险事项穿透督办</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需支持对市属集团公司存在的经营风险、运营预警数据、安全生产管理等维度进行主动提醒，提前规避风险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安全执行分析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企业安全执行分析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需支持汇总各企业安全执行情况、安全教育情况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资产证券化模型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企业资产模型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需支持对各企业经营性资产进行模型化分析，统计适合资产证券化的相关资产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大型资产分析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企业大型资产分析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需支持汇总各企业大型资产并对相关指标进行分析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闲置资产分析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企业闲置资产分析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需支持汇总各企业闲置资产并对相关指标进行分析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新增资产分析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企业新增资产分析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需支持汇总各企业新增资产并对相关指标进行分析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租赁分析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企业租赁分析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需支持汇总各企业的租赁情况，并对超期、逾期、应收等情况进行分析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收缴分析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企业收缴分析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需支持汇总各企业收缴费用情况并进行统计分析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产证情况分析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企业产证办理分析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需支持汇总各企业产证办理情况并进行统计分析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7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监管工作台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国资日常工作办理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搭建国资委端工作台，可进行日常工作处理，并办理企业提交的相关信息，进行流程审批等工作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7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企业风险预警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企业各类风险预警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需支持对企业资产经营过程所产生的各类风险通过阈值控制等方式进行提前预警，防范风险发生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7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资产抵押分析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抵押风险监控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需支持分析各企业资产抵押情况、抵押期限、抵押金额（抵押价值、已抵押资产占比）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企业资产分析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企业资产穿透监管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需支持穿透查看企业资产分类、分布、用途、使用状态及抵押情况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资产信息登记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资产信息登记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企业资产信息登记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需支持主动填报、</w:t>
            </w:r>
            <w:r>
              <w:rPr>
                <w:rFonts w:ascii="Times New Roman" w:hAnsi="Times New Roman" w:eastAsia="Times New Roman" w:cs="Times New Roman"/>
                <w:color w:val="000000"/>
                <w:sz w:val="24"/>
              </w:rPr>
              <w:t xml:space="preserve">Excel</w:t>
            </w:r>
            <w:r>
              <w:rPr>
                <w:rFonts w:ascii="FangSong" w:hAnsi="FangSong" w:eastAsia="FangSong" w:cs="FangSong"/>
                <w:color w:val="000000"/>
                <w:sz w:val="24"/>
              </w:rPr>
              <w:t xml:space="preserve">导入、系统对接等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360°</w:t>
            </w:r>
            <w:r>
              <w:rPr>
                <w:rFonts w:ascii="FangSong" w:hAnsi="FangSong" w:eastAsia="FangSong" w:cs="FangSong"/>
                <w:color w:val="000000"/>
                <w:sz w:val="24"/>
              </w:rPr>
              <w:t xml:space="preserve">档案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资产分布地图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资产全景展示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同</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资产监督分析</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资产监管地图</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功能说明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7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项目全信息管理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需支持对外沉淀区域</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周边配套信息，对内记录项目配套</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经营数据；按项目业务类型配置指标，灵活筛选数据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7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资产全维度管理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w:t>
            </w:r>
            <w:r>
              <w:rPr>
                <w:rFonts w:ascii="Times New Roman" w:hAnsi="Times New Roman" w:eastAsia="Times New Roman" w:cs="Times New Roman"/>
                <w:color w:val="000000"/>
                <w:sz w:val="24"/>
              </w:rPr>
              <w:t xml:space="preserve">8</w:t>
            </w:r>
            <w:r>
              <w:rPr>
                <w:rFonts w:ascii="FangSong" w:hAnsi="FangSong" w:eastAsia="FangSong" w:cs="FangSong"/>
                <w:color w:val="000000"/>
                <w:sz w:val="24"/>
              </w:rPr>
              <w:t xml:space="preserve">大维度构建资产全貌，生成唯一二维码，穿透查看经营状况；自定义视图构建台账，自助分析数据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接收登记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资产接收建档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需支持记录资产来源（租入</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购入等）、来源单位、移交时间、文件清单及遗留问题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资产变更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资产信息更新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需支持资产信息在线变更，审批留痕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处置备案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资产处置归档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需支持按处置方式登记处置归档信息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规划管控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规划全局监控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需支持查看规划完成情况、规划方式占比，发现闲置与到期情况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租赁经营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租赁规划管理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需支持资产租赁规划，实时查看租赁信息与业务状态，实现管理权与经营权分离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销售去化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销售规划管理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需支持可售资产销售规划，实时查看销售信息与业务状态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更新改造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改造规划管理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需支持不合格资产更新改造规划，记录改造结果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专业自营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自营规划管理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需支持企业自主经营资产规划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多经规划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多业态经营规划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需支持企业多经营业态规划管理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暂缓搁置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搁置资产管理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需支持不可用</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非法占用资产归类搁置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非经他用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非经营性用途管理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需支持资产非经营性其他用途规划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报表中心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统计明细报表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资产数据统计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需支持提供资产规模</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产权</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规划</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面积变动等统计表与明细表，一键导出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资管总工作台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领导决策支持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需支持展示核心指标、风险业务，包含资产地图、项目全景、资产看板、常用功能、消息待办、流程中心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资管专员工作台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专员作业支持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需支持展示常用报表、功能与待办，包含常用报表、功能、消息待办、流程中心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移动资产全景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检索资产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资产快速查询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需支持通过名称</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位置检索资产，获取基础</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规划</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经营</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风险信息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项目台账（穿透）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项目筛选查询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需支持多条件筛选项目，展示规模与价值统计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资产台账（穿透）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资产筛选查询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需支持多条件筛选资产，展示规模与价值统计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扫描资产二维码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二维码查资产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需支持扫描资产二维码获取资产信息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移动资产查看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需支持获取省市区资产项目分布，支持定位查看周边资产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资源租控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资源台账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租赁资源管理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需支持批量导入资源，统计出租率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租控管理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租赁状态监控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需支持反映出租情况，统计出租率等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需支持查询合同信息，统一管理合同档案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收费管理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费用台账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费用统一管理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需支持查询费用收缴情况，统一管理费用情况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37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10.5.升级成效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建设的直接经济效益是指国资资产监管成本的降低。提高国资资产监管效率，提高国资资产监管数据的时效性、准确性和可利用性,降低国资资产监管成本是本项目建设的直接经济效益分析。主要体现在项目建设本身的经济性。项目建设本身直接增加了成本，必须在确保社会效益与间接经济效益的最大化的前提下实现最小的投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利用现代信息工程技术，辅助提高国资资产监管工作数字化，提高工作效率，最大限度地提高国资资产监管工作的时效性、准确性和可利用性，是泰州市国资资产监管项目建设重要的原则和价值取向。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重视电子政务建设与管理的经济效益，是对市属各国企健康快速发展高度负责任的表现。本项目建设将产生直接和间接的经济效益。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（1）间接经济效益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国资委并非营利机构，电子政务建设的经济效益，总体上首先体现在国资资产监管及服务各国企发展创造的间接经济效益。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建设本项目，系统自动汇市属各国企集团的国资资产关键数据，改变以往通过电话通知,手工上报,汇总困难的局面.与市属各国企在用系统集成融合,通过数据挖掘，获取一手真实数据资源,为国资委履行国资资产监管职责提供决策支撑，从而带来巨大的经济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（2）直接经济效益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的建设是为了规范国资资产监管行为，降低国资资产监管成本。通过建设统一的数据采集、存储、分析平台，解决现有国资资产监管数据采集处理多乱状况，统一规范数据采集过程，提高国资资产监管数据质量，保证国资资产监管数据的准确性。</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综上所述，无论是从项目建设带来的间接经济效益还是国资资产监管成本降低带来的直接经济效益，以及本项目建设自身的经济性等多方面看，本项目经济效益明显。</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11.市公共资源交易平台升级改造（2026）项目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11.1.预期目标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新建电子服务系统、优化电子交易系统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建设遵循国家相关法律、法规的精神，贴合公共资源交易实际管理和工作流程，运用先进技术手段和理念，将各类信息资源进行整合和集成，提高工作效能，实现公共资源交易运行动态透明，从而建成一套与实际业务和应用基础相适应，面向各类交易用户，安全可靠、稳定高效、操作方便、可持续扩展的一体化信息管理系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实现跨行业数据共享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自动获取业务系统中的各类项目信息，发布到公共服务门户上，保障交易公平、公正、公开实现跨行业数据互通，强化枢纽平台定位，优化中心服务能力。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推动资源共享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公共资源交易电子服务系统为交易主体、平台提供注册的功能并提供统一管理，还可以进行信息的汇总和共享。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加强标准化建设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统一进场交易目录、项目编号、统一标准规范，实现项目“一口进、一口出”，对数据数量、数据质量进行把控，做到可控可查。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提升人员工作效率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通过系统建设，以电子化方式对项目受理信息进行快速流转，并由科室负责人合理分配项目至每个业务人员，保证各类资源的合理调配，提高工作效率。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优化办事流程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将原有分散的各行业登记受理工作进行集中受理，对各类资源进行统一的管理，优化办事流程。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拓展电子交易服务能力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现有电子交易系统的基础上，新增公共资源交易门户网站智能问答服务，构建无人值守、即时响应、持续交互的线上咨询服务体系，提升用户使用体验；同时新增招标文件智能检测服务，实现招标文件审核标准化、智能化、精细化、闭环化管控，持续优化公共资源交易营商环境，保障交易活动公开、公平、公正、合规开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新增</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智能场景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智能场景的应用以提升泰州市公共资源交易中心见证管理智能化水平为核心，通过引入</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视频分析技术，对现有见证系统进行智能</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升级改造，建成覆盖开标、评标等关键交易环节的</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视频智能分析能力，构建“智能研判—动态干预”的闭环见证体系，实现交易全过程的无感化数字见证、流程节点异常自动预警和违法线索智能归集，全面满足国家和省市相关政策法规对交易中心现场管理的职责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具体目标主要包括提供如下服务能力：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视频智能分析能力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实现对开标室、评标室等关键场所的视频流实时接入与</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智能分析，支持流程节点监测、执行偏差研判、场景智能分析等功能，覆盖标前进场核验、标中实施过程、标后核验存证等全流程环节，形成贯穿交易全流程的智慧监测能力。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）异常行为实时预警能力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建立分级预警机制，对</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研判发现的流程偏离与异常情形进行实时预警，支持弹窗提醒、声音告警、消息推送等多种预警方式，确保见证人员第一时间获取异常信息并及时处置。预警响应时间不超过</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）全过程数字见证能力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实现交易全过程的自动记录和智能标注，对异常行为发生的时间、地点、类型、画面截图等信息进行自动归集和完整记录，确保证据材料客观、完整，为后续执纪执法提供依据。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）智能统计与分析能力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具备见证数据统计分析功能，可按时间、项目、场所、异常类型等多维度生成统计报表和趋势分析，为交易管理决策提供数据支撑。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）系统集成与协同能力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实现与现有见证系统、监控后台的无缝对接，</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分析结果可推送至现有业务系统，形成业务协同闭环。</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11.2.需求分析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11.2.1.业务需求</w:t>
      </w:r>
      <w:r/>
    </w:p>
    <w:p>
      <w:pPr>
        <w:ind w:left="0" w:right="0" w:firstLine="562"/>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Sun" w:hAnsi="SimSun" w:eastAsia="SimSun" w:cs="SimSun"/>
          <w:b/>
          <w:color w:val="000000"/>
          <w:sz w:val="28"/>
        </w:rPr>
        <w:t xml:space="preserve">电子服务系统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政策要求及现状问题，需提升多维度公共服务能力，新建电子服务系统包括统一身份认证、统一项目登记、统一场地安排、统一权限管理。最终实现交易服务标准化、流程权限精细化，有效减少重复环节、提升人员工作效率。同时，对已有的电子交易系统进行优化升级并新增</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应用场景相关内容。</w:t>
      </w:r>
      <w:r/>
    </w:p>
    <w:p>
      <w:pPr>
        <w:ind w:left="0" w:right="0" w:firstLine="562"/>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SimSun" w:hAnsi="SimSun" w:eastAsia="SimSun" w:cs="SimSun"/>
          <w:b/>
          <w:color w:val="000000"/>
          <w:sz w:val="28"/>
        </w:rPr>
        <w:t xml:space="preserve">见证系统智能</w:t>
      </w:r>
      <w:r>
        <w:rPr>
          <w:rFonts w:ascii="Times New Roman" w:hAnsi="Times New Roman" w:eastAsia="Times New Roman" w:cs="Times New Roman"/>
          <w:b/>
          <w:color w:val="000000"/>
          <w:sz w:val="28"/>
        </w:rPr>
        <w:t xml:space="preserve">AI</w:t>
      </w:r>
      <w:r>
        <w:rPr>
          <w:rFonts w:ascii="SimSun" w:hAnsi="SimSun" w:eastAsia="SimSun" w:cs="SimSun"/>
          <w:b/>
          <w:color w:val="000000"/>
          <w:sz w:val="28"/>
        </w:rPr>
        <w:t xml:space="preserve">升级改造</w:t>
      </w:r>
      <w:r>
        <w:rPr>
          <w:rFonts w:ascii="SimSun" w:hAnsi="SimSun" w:eastAsia="SimSun" w:cs="SimSun"/>
          <w:b/>
          <w:color w:val="000000"/>
          <w:sz w:val="28"/>
          <w:u w:val="none"/>
        </w:rPr>
        <w:t xml:space="preserve">技术需求</w:t>
      </w:r>
      <w:r/>
    </w:p>
    <w:p>
      <w:pPr>
        <w:ind w:left="0" w:right="0" w:firstLine="560"/>
        <w:spacing w:before="0" w:after="62"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本项目业务需求主要围绕</w:t>
      </w:r>
      <w:r>
        <w:rPr>
          <w:rFonts w:ascii="SimSun" w:hAnsi="SimSun" w:eastAsia="SimSun" w:cs="SimSun"/>
          <w:color w:val="000000"/>
          <w:sz w:val="28"/>
        </w:rPr>
        <w:t xml:space="preserve">AI</w:t>
      </w:r>
      <w:r>
        <w:rPr>
          <w:rFonts w:ascii="FangSong" w:hAnsi="FangSong" w:eastAsia="FangSong" w:cs="FangSong"/>
          <w:color w:val="000000"/>
          <w:sz w:val="28"/>
        </w:rPr>
        <w:t xml:space="preserve">视频智能分析与智能见证管理展开：</w:t>
      </w:r>
      <w:r/>
    </w:p>
    <w:p>
      <w:pPr>
        <w:ind w:left="0" w:right="0" w:firstLine="560"/>
        <w:spacing w:before="0" w:after="62"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一是</w:t>
      </w:r>
      <w:r>
        <w:rPr>
          <w:rFonts w:ascii="SimSun" w:hAnsi="SimSun" w:eastAsia="SimSun" w:cs="SimSun"/>
          <w:color w:val="000000"/>
          <w:sz w:val="28"/>
        </w:rPr>
        <w:t xml:space="preserve">AI</w:t>
      </w:r>
      <w:r>
        <w:rPr>
          <w:rFonts w:ascii="FangSong" w:hAnsi="FangSong" w:eastAsia="FangSong" w:cs="FangSong"/>
          <w:color w:val="000000"/>
          <w:sz w:val="28"/>
        </w:rPr>
        <w:t xml:space="preserve">视频智能分析，实现对开标、评标等关键场所的人员行为识别、异常行为检测及场景智能分析；</w:t>
      </w:r>
      <w:r/>
    </w:p>
    <w:p>
      <w:pPr>
        <w:ind w:left="0" w:right="0" w:firstLine="560"/>
        <w:spacing w:before="0" w:after="62"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二是智能见证管理，实现交易全过程自动记录、异常行为实时分级预警、干预提醒及违法线索报告；</w:t>
      </w:r>
      <w:r/>
    </w:p>
    <w:p>
      <w:pPr>
        <w:ind w:left="0" w:right="0" w:firstLine="560"/>
        <w:spacing w:before="0" w:after="62"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三是数据追溯与证据管理，支持按项目、时间、场所、异常类型等条件快速检索追溯见证记录，对异常行为相关视频片段、截图、分析报告等证据材料进行自动归集和规范导出；</w:t>
      </w:r>
      <w:r/>
    </w:p>
    <w:p>
      <w:pPr>
        <w:ind w:left="0" w:right="0" w:firstLine="560"/>
        <w:spacing w:before="0" w:after="62"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四是统计分析，按多维度统计见证项目数量、异常行为数量、预警处置情况，生成趋势分析和统计报表。</w:t>
      </w:r>
      <w:r/>
    </w:p>
    <w:p>
      <w:pPr>
        <w:ind w:left="0" w:right="0" w:firstLine="0"/>
        <w:jc w:val="both"/>
        <w:keepLines/>
        <w:spacing w:before="156" w:after="156"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11.2.2.技术需求</w:t>
      </w:r>
      <w:r/>
    </w:p>
    <w:p>
      <w:pPr>
        <w:ind w:left="0" w:right="0" w:firstLine="0"/>
        <w:jc w:val="both"/>
        <w:keepLines/>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SimSun" w:hAnsi="SimSun" w:eastAsia="SimSun" w:cs="SimSun"/>
          <w:b/>
          <w:color w:val="000000"/>
          <w:sz w:val="28"/>
        </w:rPr>
        <w:t xml:space="preserve">非功能需求分析</w:t>
      </w:r>
      <w:r/>
    </w:p>
    <w:p>
      <w:pPr>
        <w:ind w:left="0" w:right="0" w:firstLine="0"/>
        <w:jc w:val="both"/>
        <w:keepLines/>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电子服务系统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）总体性能指标需求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系统框架采用</w:t>
      </w:r>
      <w:r>
        <w:rPr>
          <w:rFonts w:ascii="Times New Roman" w:hAnsi="Times New Roman" w:eastAsia="Times New Roman" w:cs="Times New Roman"/>
          <w:color w:val="000000"/>
          <w:sz w:val="28"/>
        </w:rPr>
        <w:t xml:space="preserve">SOA</w:t>
      </w:r>
      <w:r>
        <w:rPr>
          <w:rFonts w:ascii="FangSong" w:hAnsi="FangSong" w:eastAsia="FangSong" w:cs="FangSong"/>
          <w:color w:val="000000"/>
          <w:sz w:val="28"/>
        </w:rPr>
        <w:t xml:space="preserve">模式，能够下发组织架构数据，包括从应用级的管理功能、到数据订阅、数据下发、接入端同步等完整的一套体系。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系统采用三层架构的体系结构，充分考虑到系统今后纵向和横向的平滑扩张能力。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支持年数据量为</w:t>
      </w:r>
      <w:r>
        <w:rPr>
          <w:rFonts w:ascii="Times New Roman" w:hAnsi="Times New Roman" w:eastAsia="Times New Roman" w:cs="Times New Roman"/>
          <w:color w:val="000000"/>
          <w:sz w:val="28"/>
        </w:rPr>
        <w:t xml:space="preserve">500 </w:t>
      </w:r>
      <w:r>
        <w:rPr>
          <w:rFonts w:ascii="FangSong" w:hAnsi="FangSong" w:eastAsia="FangSong" w:cs="FangSong"/>
          <w:color w:val="000000"/>
          <w:sz w:val="28"/>
        </w:rPr>
        <w:t xml:space="preserve">万记录数、</w:t>
      </w:r>
      <w:r>
        <w:rPr>
          <w:rFonts w:ascii="Times New Roman" w:hAnsi="Times New Roman" w:eastAsia="Times New Roman" w:cs="Times New Roman"/>
          <w:color w:val="000000"/>
          <w:sz w:val="28"/>
        </w:rPr>
        <w:t xml:space="preserve">500GB</w:t>
      </w:r>
      <w:r>
        <w:rPr>
          <w:rFonts w:ascii="FangSong" w:hAnsi="FangSong" w:eastAsia="FangSong" w:cs="FangSong"/>
          <w:color w:val="000000"/>
          <w:sz w:val="28"/>
        </w:rPr>
        <w:t xml:space="preserve">字节的数据量。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系统应提供</w:t>
      </w:r>
      <w:r>
        <w:rPr>
          <w:rFonts w:ascii="Times New Roman" w:hAnsi="Times New Roman" w:eastAsia="Times New Roman" w:cs="Times New Roman"/>
          <w:color w:val="000000"/>
          <w:sz w:val="28"/>
        </w:rPr>
        <w:t xml:space="preserve">7×24 </w:t>
      </w:r>
      <w:r>
        <w:rPr>
          <w:rFonts w:ascii="FangSong" w:hAnsi="FangSong" w:eastAsia="FangSong" w:cs="FangSong"/>
          <w:color w:val="000000"/>
          <w:sz w:val="28"/>
        </w:rPr>
        <w:t xml:space="preserve">小时的连续运行，平均年故障时间：</w:t>
      </w:r>
      <w:r>
        <w:rPr>
          <w:rFonts w:ascii="Times New Roman" w:hAnsi="Times New Roman" w:eastAsia="Times New Roman" w:cs="Times New Roman"/>
          <w:color w:val="000000"/>
          <w:sz w:val="28"/>
        </w:rPr>
        <w:t xml:space="preserve">&lt;1 </w:t>
      </w:r>
      <w:r>
        <w:rPr>
          <w:rFonts w:ascii="FangSong" w:hAnsi="FangSong" w:eastAsia="FangSong" w:cs="FangSong"/>
          <w:color w:val="000000"/>
          <w:sz w:val="28"/>
        </w:rPr>
        <w:t xml:space="preserve">天，平均故障修复时间：</w:t>
      </w:r>
      <w:r>
        <w:rPr>
          <w:rFonts w:ascii="Times New Roman" w:hAnsi="Times New Roman" w:eastAsia="Times New Roman" w:cs="Times New Roman"/>
          <w:color w:val="000000"/>
          <w:sz w:val="28"/>
        </w:rPr>
        <w:t xml:space="preserve">&lt;30 </w:t>
      </w:r>
      <w:r>
        <w:rPr>
          <w:rFonts w:ascii="FangSong" w:hAnsi="FangSong" w:eastAsia="FangSong" w:cs="FangSong"/>
          <w:color w:val="000000"/>
          <w:sz w:val="28"/>
        </w:rPr>
        <w:t xml:space="preserve">分钟。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具有较强的系统安全性和灾难恢复能力。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）系统可拓展性要求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采用模块化设计，在整个系统正常运行的情况下，能够随时增加或取消服务实例。可动态增加服务器，增加处理能力，能够实现负载均衡。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系统必须保证软件新旧版本的平稳过渡，保证主机系统，网络系统在将来能够顺利扩容，且不影响正常的生产运行。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）系统可维护性要求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系统中的各种设备均具有良好的可维护性，各部件可进行模块式拆装与调整，便于日常维护。同时系统须具有较低的维护成本。</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u w:val="none"/>
        </w:rPr>
        <w:t xml:space="preserve">）系统易用性要求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目标系统用户界面应操作简洁、易用、灵活，风格统一易学。系统的用户帮助文档要求完整，易于进行软件使用。充分考虑系统的易用性。所有系统均提供中文图形界面，符合常规视窗系统的操作模式，对于非专业人员，经过短期培训可熟练地掌握整个系统的操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u w:val="none"/>
        </w:rPr>
        <w:t xml:space="preserve">）系统容错性要求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核心应用要求多活，避免单点设计，自身有容错和修复能力；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平台须具备数据冗余机制，数据存储的副本数可以设置，读写分离，冷热数据分离；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应用出现问题时，要求能回滚到上一版本，或做功能开关或降级；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确保系统的保密性能完整性，要求具有足够的防攻击能力。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）系统可扩展性要求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系统须采用模块化设计，可根据用户的需求不断周期性更新系统设计，可以进行扩展并预留接口，利于以后升级与扩展。</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见证系统智能</w:t>
      </w:r>
      <w:r>
        <w:rPr>
          <w:rFonts w:ascii="Times New Roman" w:hAnsi="Times New Roman" w:eastAsia="Times New Roman" w:cs="Times New Roman"/>
          <w:b/>
          <w:color w:val="000000"/>
          <w:sz w:val="28"/>
        </w:rPr>
        <w:t xml:space="preserve">AI</w:t>
      </w:r>
      <w:r>
        <w:rPr>
          <w:rFonts w:ascii="SimSun" w:hAnsi="SimSun" w:eastAsia="SimSun" w:cs="SimSun"/>
          <w:b/>
          <w:color w:val="000000"/>
          <w:sz w:val="28"/>
        </w:rPr>
        <w:t xml:space="preserve">升级改造</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）总体性能指标需求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系统框架采用</w:t>
      </w:r>
      <w:r>
        <w:rPr>
          <w:rFonts w:ascii="Times New Roman" w:hAnsi="Times New Roman" w:eastAsia="Times New Roman" w:cs="Times New Roman"/>
          <w:color w:val="000000"/>
          <w:sz w:val="28"/>
        </w:rPr>
        <w:t xml:space="preserve">SOA</w:t>
      </w:r>
      <w:r>
        <w:rPr>
          <w:rFonts w:ascii="FangSong" w:hAnsi="FangSong" w:eastAsia="FangSong" w:cs="FangSong"/>
          <w:color w:val="000000"/>
          <w:sz w:val="28"/>
        </w:rPr>
        <w:t xml:space="preserve">模式，能够下发组织架构数据，包括从应用级的管理功能、到数据订阅、数据下发、接入端同步等完整的一套体系。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系统采用三层架构的体系结构，充分考虑到系统今后纵向和横向的平滑扩张能力。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支持年数据量为</w:t>
      </w:r>
      <w:r>
        <w:rPr>
          <w:rFonts w:ascii="Times New Roman" w:hAnsi="Times New Roman" w:eastAsia="Times New Roman" w:cs="Times New Roman"/>
          <w:color w:val="000000"/>
          <w:sz w:val="28"/>
        </w:rPr>
        <w:t xml:space="preserve">500 </w:t>
      </w:r>
      <w:r>
        <w:rPr>
          <w:rFonts w:ascii="FangSong" w:hAnsi="FangSong" w:eastAsia="FangSong" w:cs="FangSong"/>
          <w:color w:val="000000"/>
          <w:sz w:val="28"/>
        </w:rPr>
        <w:t xml:space="preserve">万记录数、</w:t>
      </w:r>
      <w:r>
        <w:rPr>
          <w:rFonts w:ascii="Times New Roman" w:hAnsi="Times New Roman" w:eastAsia="Times New Roman" w:cs="Times New Roman"/>
          <w:color w:val="000000"/>
          <w:sz w:val="28"/>
        </w:rPr>
        <w:t xml:space="preserve">500GB</w:t>
      </w:r>
      <w:r>
        <w:rPr>
          <w:rFonts w:ascii="FangSong" w:hAnsi="FangSong" w:eastAsia="FangSong" w:cs="FangSong"/>
          <w:color w:val="000000"/>
          <w:sz w:val="28"/>
        </w:rPr>
        <w:t xml:space="preserve">字节的数据量。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系统应提供</w:t>
      </w:r>
      <w:r>
        <w:rPr>
          <w:rFonts w:ascii="Times New Roman" w:hAnsi="Times New Roman" w:eastAsia="Times New Roman" w:cs="Times New Roman"/>
          <w:color w:val="000000"/>
          <w:sz w:val="28"/>
        </w:rPr>
        <w:t xml:space="preserve">7×24 </w:t>
      </w:r>
      <w:r>
        <w:rPr>
          <w:rFonts w:ascii="FangSong" w:hAnsi="FangSong" w:eastAsia="FangSong" w:cs="FangSong"/>
          <w:color w:val="000000"/>
          <w:sz w:val="28"/>
        </w:rPr>
        <w:t xml:space="preserve">小时的连续运行，平均年故障时间：</w:t>
      </w:r>
      <w:r>
        <w:rPr>
          <w:rFonts w:ascii="Times New Roman" w:hAnsi="Times New Roman" w:eastAsia="Times New Roman" w:cs="Times New Roman"/>
          <w:color w:val="000000"/>
          <w:sz w:val="28"/>
        </w:rPr>
        <w:t xml:space="preserve">&lt;1 </w:t>
      </w:r>
      <w:r>
        <w:rPr>
          <w:rFonts w:ascii="FangSong" w:hAnsi="FangSong" w:eastAsia="FangSong" w:cs="FangSong"/>
          <w:color w:val="000000"/>
          <w:sz w:val="28"/>
        </w:rPr>
        <w:t xml:space="preserve">天，平均故障修复时间：</w:t>
      </w:r>
      <w:r>
        <w:rPr>
          <w:rFonts w:ascii="Times New Roman" w:hAnsi="Times New Roman" w:eastAsia="Times New Roman" w:cs="Times New Roman"/>
          <w:color w:val="000000"/>
          <w:sz w:val="28"/>
        </w:rPr>
        <w:t xml:space="preserve">&lt;30 </w:t>
      </w:r>
      <w:r>
        <w:rPr>
          <w:rFonts w:ascii="FangSong" w:hAnsi="FangSong" w:eastAsia="FangSong" w:cs="FangSong"/>
          <w:color w:val="000000"/>
          <w:sz w:val="28"/>
        </w:rPr>
        <w:t xml:space="preserve">分钟。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具有较强的系统安全性和灾难恢复能力。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）系统可拓展性要求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采用模块化设计，在整个系统正常运行的情况下，能够随时增加或取消服务实例。可动态增加服务器，增加处理能力，能够实现负载均衡。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系统必须保证软件新旧版本的平稳过渡，保证主机系统，网络系统在将来能够顺利扩容，且不影响正常的生产运行。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）系统可维护性要求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系统中的各种设备均具有良好的可维护性，各部件可进行模块式拆装与调整，便于日常维护。同时系统须具有较低的维护成本。</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）系统易用性要求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目标系统用户界面应操作简洁、易用、灵活，风格统一易学。系统的用户帮助文档要求完整，易于进行软件使用。充分考虑系统的易用性。所有系统均提供中文图形界面，符合常规视窗系统的操作模式，对于非专业人员，经过短期培训可熟练地掌握整个系统的操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）系统容错性要求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核心应用要求多活，避免单点设计，自身有容错和修复能力；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平台须具备数据冗余机制，数据存储的副本数可以设置，读写分离，冷热数据分离；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应用出现问题时，要求能回滚到上一版本，或做功能开关或降级；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确保系统的保密性能完整性，要求具有足够的防攻击能力。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）系统可扩展性要求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系统须采用模块化设计，可根据用户的需求不断周期性更新系统设计，可以进行扩展并预留接口，利于以后升级与扩展。</w:t>
      </w:r>
      <w:r/>
    </w:p>
    <w:p>
      <w:pPr>
        <w:ind w:left="0" w:right="0" w:firstLine="0"/>
        <w:jc w:val="both"/>
        <w:spacing w:before="156" w:after="156"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SimSun" w:hAnsi="SimSun" w:eastAsia="SimSun" w:cs="SimSun"/>
          <w:b/>
          <w:color w:val="000000"/>
          <w:sz w:val="28"/>
        </w:rPr>
        <w:t xml:space="preserve">安全需求分析</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电子服务系统</w:t>
      </w:r>
      <w:r/>
    </w:p>
    <w:p>
      <w:pPr>
        <w:ind w:left="840" w:right="0" w:firstLine="20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网络安全需求分析</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①</w:t>
      </w:r>
      <w:r>
        <w:rPr>
          <w:rFonts w:ascii="FangSong" w:hAnsi="FangSong" w:eastAsia="FangSong" w:cs="FangSong"/>
          <w:b/>
          <w:color w:val="000000"/>
          <w:sz w:val="28"/>
        </w:rPr>
        <w:t xml:space="preserve">网络安全合规需求分析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按照《中华人民共和国网络安全法》及</w:t>
      </w:r>
      <w:r>
        <w:rPr>
          <w:rFonts w:ascii="Times New Roman" w:hAnsi="Times New Roman" w:eastAsia="Times New Roman" w:cs="Times New Roman"/>
          <w:color w:val="000000"/>
          <w:sz w:val="28"/>
        </w:rPr>
        <w:t xml:space="preserve">GB/T22239-2019</w:t>
      </w:r>
      <w:r>
        <w:rPr>
          <w:rFonts w:ascii="FangSong" w:hAnsi="FangSong" w:eastAsia="FangSong" w:cs="FangSong"/>
          <w:color w:val="000000"/>
          <w:sz w:val="28"/>
        </w:rPr>
        <w:t xml:space="preserve">《信息安全技术网络安全等级保护基本要求》要求，云平台和云租户之间的安全责任划分是明确的，云服务商主要负责保障基础设施（云平台）的整体安全运转。这包括云平台的安全管理、应用安全、网络安全等方面的保障工作。租户则负责其业务系统的安全合规性，包括系统定级、安全策略配置、日常运维等。同时，租户也需要配合云服务商进行安全审计、漏洞扫描等工作，共同维护云平台的安全稳定。</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）安全物理环境需求分析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根据系统等级保护要求，平台所在的物理机房需要具备访问控制、防盗窃和防破坏、防雷击、防火、防水和防潮、防静电、温湿度控制、电力供应保障等能力。</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）安全通信网络需求分析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根据系统等级保护要求，本系统在网络架构层面应保证网络设备的业务处理能力满足业务高峰期需要；应保证网络各个部分的带宽满足业务高峰期需要；</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应划分不同的网络区域，并按照方便管理和控制的原则为各网络区域分配地址；</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应避免将重要网络区域部署在边界处，重要网络区域与其他网络区域之间应采取可靠的技术隔离手段；应提供通信线路、关键网络设备和关键计算设备的硬件冗余，保证系统的可用性。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在通信传输层面，应采用校验技术或密码技术保证通信过程中数据的完整性；应采用密码技术保证通信过程中数据的保密性。</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）安全区域边界需求分析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在边界防护层面，应保证跨越边界的访问和数据流通过边界设备提供的受控接口进行通信；应能够对非授权设备私自联到内部网络的行为进行检查或限制；应能够对内部用户非授权联到外部网络的行为进行检查或限制；应限制无线网络的使用，保证无线网络通过受控的边界设备接入内部网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访问控制层面，应在网络边界或区域之间根据访问控制策略设置访问控制规则，默认情况下除允许通信外受控接口拒绝所有通信；应删除多余或无效的访问控制规则，优化访问控制列表，并保证访问控制规则数量最小化；应对源地址、目的地址、源端口、目的端口和协议等进行检查，以允许</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拒绝数据包进出；应能根据会话状态信息为进出数据流提供明确的允许</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拒绝访问的能力；应对进出网络的数据流实现基于应用协议和应用内容的访问控制。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入侵防范层面，应在关键网络节点处检测、防止或限制从外部发起的网络攻击行为；应在关键网络节点处检测、防止或限制从内部发起的网络攻击行为；应采取技术措施对网络行为进行分析，实现对网络攻击特别是新型网络攻击行为的分析；当检测到攻击行为时，记录攻击源</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、攻击类型、攻击目标、攻击时间，在发生严重入侵事件时应提供报警。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恶意代码和垃圾邮件防范层面。应在关键网络节点处对恶意代码进行检测和清除，并维护恶意代码防护机制的升级和更新；应在关键网络节点处对垃圾邮件进行检测和防护，并维护垃圾邮件防护机制的升级和更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安全审计层面，应在网络边界、重要网络节点进行安全审计，审计覆盖到每个用户，对重要的用户行为和重要安全事件进行审计；审计记录应包括事件的日期和时间、用户、事件类型、事件是否成功及其他与审计相关的信息；应对审计记录进行保护，定期备份，避免受到未预期的删除、修改或覆盖等；应能对远程访问的用户行为、访问互联网的用户行为等单独进行行为审计和数据分析。</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w:t>
      </w:r>
      <w:r>
        <w:rPr>
          <w:rFonts w:ascii="FangSong" w:hAnsi="FangSong" w:eastAsia="FangSong" w:cs="FangSong"/>
          <w:b/>
          <w:color w:val="000000"/>
          <w:sz w:val="28"/>
        </w:rPr>
        <w:t xml:space="preserve">）安全计算环境需求分析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在身份鉴别层面，应对登录的用户进行身份标识和鉴别，身份标识具有唯一性，身份鉴别信息具有复杂度要求并定期更换；应具有登录失败处理功能，应配置并启用结束会话、限制非法登录次数和当登录连接超时自动退出等相关措施；当进行远程管理时，应采取必要措施防止鉴别信息在网络传输过程中被窃听；应采用口令、密码技术、生物技术等两种或两种以上组合的鉴别技术对用户进行身份鉴别，且其中一种鉴别技术至少应使用密码技术来实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访问控制层面，应对登录的用户分配账户和权限；应重命名或删除默认账户，修改默认账户的默认口令；应及时删除或停用多余的、过期的账户，避免共享账户的存在；应授予管理用户所需的最小权限，实现管理用户的权限分离；应由授权主体配置访问控制策略，访问控制策略规定主体对客体的访问规则；访问控制的粒度应达到主体为用户级或进程级，客体为文件、数据库表级；应对重要主体和客体设置安全标记，并控制主体对有安全标记信息资源的访问。</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安全审计层面，应启用安全审计功能，审计覆盖到每个用户，对重要的用户行为和重要安全事件进行审计；审计记录应包括事件的日期和时间、用户、事件类型、事件是否成功及其他与审计相关的信息；应对审计记录进行保护，定期备份，避免受到未预期的删除、修改或覆盖等；应对审计进程进行保护，防止未经授权的中断。</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入侵防范层面，应遵循最小安装的原则，仅安装需要的组件和应用程序；应关闭不需要的系统服务、默认共享和高危端口；应通过设定终端接入方式或网络地址范围对通过网络进行管理的管理终端进行限制；应提供数据有效性检验功能，保证通过人机接口输入或通过通信接口输入的内容符合系统设定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应能发现可能存在的已知漏洞，并在经过充分测试评估后，及时修补漏洞；应能够检测到对重要节点进行入侵的行为，并在发生严重入侵事件时提供报警。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在恶意代码防范层面，应采用免受恶意代码攻击的技术措施或主动免疫可信验证机制及时识别入侵和病毒行为，并将其有效阻断。</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w:t>
      </w:r>
      <w:r>
        <w:rPr>
          <w:rFonts w:ascii="FangSong" w:hAnsi="FangSong" w:eastAsia="FangSong" w:cs="FangSong"/>
          <w:b/>
          <w:color w:val="000000"/>
          <w:sz w:val="28"/>
        </w:rPr>
        <w:t xml:space="preserve">）安全管理中心需求分析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在系统管理层面，应对系统管理员进行身份鉴别，只允许其通过特定的命令或操作界面进行系统管理操作，并对这些操作进行审计；应通过系统管理员对系统的资源和运行进行配置、控制和管理，包括用户身份、系统资源配置、系统加载和启动、系统运行的异常处理、数据和设备的备份与恢复等。</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安全管理层面，应对安全管理员进行身份鉴别，只允许其通过特定的命令或操作界面进行安全管理操作，并对这些操作进行审计；应通过安全管理员对系统中的安全策略进行配置，包括安全参数的设置，主体、客体进行统一安全标记，对主体进行授权，配置可信验证策略等。</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集中管控层面，应划分出特定的管理区域，对分布在网络中的安全设备或安全组件进行管控；应能够建立一条安全的信息传输路径，对网络中的安全设备或安全组件进行管理；应对网络链路、安全设备、网络设备和服务器等的运行状况进行集中监测；应对分散在各个设备上的审计数据进行收集汇总和集中分析，并保证审计记录的留存时间符合法律法规要求；应对安全策略、恶意代码、补丁升级等安全相关事项进行集中管理；应能对网络中发生的各类安全事件进行识别、报警和分析。</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6</w:t>
      </w:r>
      <w:r>
        <w:rPr>
          <w:rFonts w:ascii="FangSong" w:hAnsi="FangSong" w:eastAsia="FangSong" w:cs="FangSong"/>
          <w:b/>
          <w:color w:val="000000"/>
          <w:sz w:val="28"/>
        </w:rPr>
        <w:t xml:space="preserve">）安全服务需求分析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w:t>
      </w:r>
      <w:r>
        <w:rPr>
          <w:rFonts w:ascii="Times New Roman" w:hAnsi="Times New Roman" w:eastAsia="Times New Roman" w:cs="Times New Roman"/>
          <w:color w:val="000000"/>
          <w:sz w:val="28"/>
        </w:rPr>
        <w:t xml:space="preserve">GB/T22239-2019</w:t>
      </w:r>
      <w:r>
        <w:rPr>
          <w:rFonts w:ascii="FangSong" w:hAnsi="FangSong" w:eastAsia="FangSong" w:cs="FangSong"/>
          <w:color w:val="000000"/>
          <w:sz w:val="28"/>
        </w:rPr>
        <w:t xml:space="preserve">《信息安全技术网络安全等级保护基本要求》安全管理中心、安全管理制度、安全管理机构、安全管理人员中要求，以及黑客攻击、病毒传播、数据泄露等网络安全事件频发、攻击手段不断升级，需要专业的网络安全服务来应对这些威胁，从网络安全监测、安全检查、应急响应、意识培训等方面来满足本项目常态化安全运行要求。</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7</w:t>
      </w:r>
      <w:r>
        <w:rPr>
          <w:rFonts w:ascii="FangSong" w:hAnsi="FangSong" w:eastAsia="FangSong" w:cs="FangSong"/>
          <w:b/>
          <w:color w:val="000000"/>
          <w:sz w:val="28"/>
        </w:rPr>
        <w:t xml:space="preserve">）安全管理体系需求分析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系统的技术安全与管理安全是一个整体，应按照国家和电子政务外网网络安全等级保护相关要求，在安全管理制度、安全管理机构、安全管理人员、安全建设管理及安全运维管理等方面展开建设，形成完善的安全管理体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在安全管理制度层面，应制定网络安全工作的总体方针和安全策略，阐明机构安全工作的总体目标、范围、原则和安全框架等。应对安全管理活动中的各类管理内容建立安全管理制度；应对管理人员或操作人员执行的日常管理操作建立操作规程；应形成由安全策略、管理制度、操作规程、记录表单等构成的全面的安全管理制度体系。应指定或授权专门的部门或人员负责安全管理制度的制定；安全管理制度应通过正式、有效的方式发布，并进行版本控制。应定期对安全管理制度的合理性和适用性进行论证和审定，对存在不足或需要改进的安全管理制</w:t>
      </w:r>
      <w:r>
        <w:rPr>
          <w:rFonts w:ascii="FangSong" w:hAnsi="FangSong" w:eastAsia="FangSong" w:cs="FangSong"/>
          <w:color w:val="000000"/>
          <w:sz w:val="28"/>
        </w:rPr>
        <w:t xml:space="preserve">度进行修订。</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另外，在安全管理机构、安全管理人员、安全建设管理及安全运维管理等方面，也均需要按照等保及相关法律法规，制定好完善的管理流程及方案。</w:t>
      </w:r>
      <w:r/>
    </w:p>
    <w:p>
      <w:pPr>
        <w:ind w:left="840" w:right="0" w:firstLine="20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密码应用需求分析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密码是保障网络与信息安全的核心技术和基础支撑，是解决网络与信息安全问题最有效、最可靠、最经济的手段。《密码法》的颁布实施，从法律层面为开展商用密码应用提供了根本遵循，《国家政务信息化项目建设管理办法》的颁布实施，进一步促进了商用密码的全面应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通过对平台建设的依托条件、建设内容和密码应用需求进行分析后，依据国标《信息安全技术信息系统密码应用基本要求》（</w:t>
      </w:r>
      <w:r>
        <w:rPr>
          <w:rFonts w:ascii="Times New Roman" w:hAnsi="Times New Roman" w:eastAsia="Times New Roman" w:cs="Times New Roman"/>
          <w:color w:val="000000"/>
          <w:sz w:val="28"/>
        </w:rPr>
        <w:t xml:space="preserve">GB∕T39786-2021</w:t>
      </w:r>
      <w:r>
        <w:rPr>
          <w:rFonts w:ascii="FangSong" w:hAnsi="FangSong" w:eastAsia="FangSong" w:cs="FangSong"/>
          <w:color w:val="000000"/>
          <w:sz w:val="28"/>
        </w:rPr>
        <w:t xml:space="preserve">）《信息安全技术信息系统密码应用设计指南》（</w:t>
      </w:r>
      <w:r>
        <w:rPr>
          <w:rFonts w:ascii="Times New Roman" w:hAnsi="Times New Roman" w:eastAsia="Times New Roman" w:cs="Times New Roman"/>
          <w:color w:val="000000"/>
          <w:sz w:val="28"/>
        </w:rPr>
        <w:t xml:space="preserve">GB/T43207-2023</w:t>
      </w:r>
      <w:r>
        <w:rPr>
          <w:rFonts w:ascii="FangSong" w:hAnsi="FangSong" w:eastAsia="FangSong" w:cs="FangSong"/>
          <w:color w:val="000000"/>
          <w:sz w:val="28"/>
        </w:rPr>
        <w:t xml:space="preserve">），从物理和环境安全、网络和通信安全、设备和计算安全、应用和数据安全等</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个层面，以及密钥管理、安全管理等方面，设计了该系统密码应用的安全管理方案和技术方案。</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合规性需求分析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本方案采用具有商密相关资质的密码产品和密码模块，全面满足《密码法》、《网络安全法》、《</w:t>
      </w:r>
      <w:r>
        <w:rPr>
          <w:rFonts w:ascii="Times New Roman" w:hAnsi="Times New Roman" w:eastAsia="Times New Roman" w:cs="Times New Roman"/>
          <w:color w:val="000000"/>
          <w:sz w:val="28"/>
        </w:rPr>
        <w:t xml:space="preserve">GB/T39786-2021</w:t>
      </w:r>
      <w:r>
        <w:rPr>
          <w:rFonts w:ascii="FangSong" w:hAnsi="FangSong" w:eastAsia="FangSong" w:cs="FangSong"/>
          <w:color w:val="000000"/>
          <w:sz w:val="28"/>
        </w:rPr>
        <w:t xml:space="preserve">信息系统密码应用基本要求》、《关键信息基础设施安全保护条例》以及</w:t>
      </w:r>
      <w:r>
        <w:rPr>
          <w:rFonts w:ascii="Times New Roman" w:hAnsi="Times New Roman" w:eastAsia="Times New Roman" w:cs="Times New Roman"/>
          <w:color w:val="000000"/>
          <w:sz w:val="28"/>
        </w:rPr>
        <w:t xml:space="preserve">GM/T0028-2024</w:t>
      </w:r>
      <w:r>
        <w:rPr>
          <w:rFonts w:ascii="FangSong" w:hAnsi="FangSong" w:eastAsia="FangSong" w:cs="FangSong"/>
          <w:color w:val="000000"/>
          <w:sz w:val="28"/>
        </w:rPr>
        <w:t xml:space="preserve">《密码模块安全要求》等相关政策法规和标准的要求，确保平台方案设计合规和相关应用系统设计的合规性，从而保障业务应用的合规性，同时需要方便快捷地为应用系统提供合规的密码服务，帮助业务应用以相关法律法规为指导，保证应用系统的安全合规。</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计算平台密码需求分析</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网络和通信安全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）风险分析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外部与应用系统网络边界的通信信道包括：</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终端用户通过电子政务外网使用国密安全浏览器访问系统的通信通道。</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：应用系统与其他外部系统之间的通信通道。</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：公众通过移动应用访问系统的通信通道。</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网络和通信安全层面存在的密码安全风险分析如下：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）身份鉴别：上述通信信道在建立通信前未使用密码技术对通信实体进行验证，存在恶意设备接入、网络攻击、恶意代码传播等风险。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）通信数据完整性：上述通信信道的通信数据未通过密码技术实现完整性保护，存在重要数据被篡改的风险。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）通信过程中重要数据的机密性：上述通信信道的通信数据未通过密码技术实现机密性保护，存在重要数据泄露的风险。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）网络边界访问控制信息完整性：上述通道未采用完整性技术保护访问控制信息，存在网络边界和系统资源访问控制信息被窃取，导致系统被非法访问的风险。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）安全接入认证：设备从外部连接到内部网络时，未采用密码技术对设备进行接入认证，确保接入设备身份的真实性，存在外部设备恶意接入、网络攻击等风险。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）密码应用需求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终端用户通过电子政务外网使用国密安全浏览器访问系统的通信通道。通过国密安全浏览器与</w:t>
      </w:r>
      <w:r>
        <w:rPr>
          <w:rFonts w:ascii="Times New Roman" w:hAnsi="Times New Roman" w:eastAsia="Times New Roman" w:cs="Times New Roman"/>
          <w:color w:val="000000"/>
          <w:sz w:val="28"/>
        </w:rPr>
        <w:t xml:space="preserve">IPsec/SSLVPN</w:t>
      </w:r>
      <w:r>
        <w:rPr>
          <w:rFonts w:ascii="FangSong" w:hAnsi="FangSong" w:eastAsia="FangSong" w:cs="FangSong"/>
          <w:color w:val="000000"/>
          <w:sz w:val="28"/>
        </w:rPr>
        <w:t xml:space="preserve">综合安全网关建立安全通信链路，基于国密</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协议进行数据传输；采用密码技术对业务通道从身份鉴别、通信数据完整性、通信过程中重要数据的机密性等方面进行建设。</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：应用系统与其他外部系统之间的通信通道；通过建立非高风险算法的</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协议进行传输以降低安全风险。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：公众通过移动应用、小程序访问系统的通信通道。系统通过站点证书与移动应用建立</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加密数据传输通道，基于</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协议进行数据传输；采用密码技术对业务通道从身份鉴别、通信数据完整性、通信过程中重要数据的机密性等方面进行建设。</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网络边界访问控制信息的完整性：根据系统责任主体对业务的分析，对于路由器和边界防火墙维持现状。通过配置网络访问权限列表和定期审查进行风险缓解。此外，对于</w:t>
      </w:r>
      <w:r>
        <w:rPr>
          <w:rFonts w:ascii="Times New Roman" w:hAnsi="Times New Roman" w:eastAsia="Times New Roman" w:cs="Times New Roman"/>
          <w:color w:val="000000"/>
          <w:sz w:val="28"/>
        </w:rPr>
        <w:t xml:space="preserve">IPsec/SSLVPN</w:t>
      </w:r>
      <w:r>
        <w:rPr>
          <w:rFonts w:ascii="FangSong" w:hAnsi="FangSong" w:eastAsia="FangSong" w:cs="FangSong"/>
          <w:color w:val="000000"/>
          <w:sz w:val="28"/>
        </w:rPr>
        <w:t xml:space="preserve">综合安全网关，经商用密码认证机构认证合格，可依赖自身的安全防护机制实现访问控制信息的完整性。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w:t>
      </w:r>
      <w:r>
        <w:rPr>
          <w:rFonts w:ascii="Times New Roman" w:hAnsi="Times New Roman" w:eastAsia="Times New Roman" w:cs="Times New Roman"/>
          <w:color w:val="000000"/>
          <w:sz w:val="28"/>
        </w:rPr>
        <w:t xml:space="preserve">GB/T39786-2021</w:t>
      </w:r>
      <w:r>
        <w:rPr>
          <w:rFonts w:ascii="FangSong" w:hAnsi="FangSong" w:eastAsia="FangSong" w:cs="FangSong"/>
          <w:color w:val="000000"/>
          <w:sz w:val="28"/>
        </w:rPr>
        <w:t xml:space="preserve">《信息安全技术信息系统密码应用基本要求》对等级保护第三级信息系统的密码应用技术要求，安全接入认证项应用要求为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可</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，同时被测评单位确认接入系统的设备无安全接入认证需求，因此本项做不适用处理。</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设备和计算安全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）风险分析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本项目涉及的设备主要包括应用服务器、数据库服务器、堡垒机等设备。设备和计算安全层面的密码安全风险包括：</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身份鉴别：应用服务器、数据库服务器、堡垒机等设备登录用户未实现身份鉴别，未对登录访问的用户进行身份真实性校验。身份鉴别信息未按复杂度和定期更换的要求实现。存在被非法人员登录、用户口令遭到窃取、系统被入侵的风险。系统遭到入侵后存在删除账户、恶意分配账户权限、通过修改用户权限获取更高级别信息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系统管理员使用用户名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口令登录通用服务器，未使用密码技术实现登录设备人员的身份鉴别，存在设备被非授权人员登录的风险。但系统管理员仅可在机房本地对通用服务器进行运维管理，能够降低该安全问题带来的风险。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）远程管理通道安全：远程管理设备时，未采用密码技术建立安全的信息传输通道，对管理员的身份鉴别信息未进行机密性保护，鉴别信息等重要信息有泄露的风险。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）系统资源访问控制信息完整性：应用服务器、数据库服务器、堡垒机等设备的访问控制信息未做完整性保护，存在被恶意篡改或删除的风险，导致无法对安全事件进行追溯。</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）重要信息资源安全标记完整性：应用服务器、数据库服务器、堡垒机等设备均未设置重要信息资源安全标记，因此该指标不适用。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）日志记录完整性：未实现对应用服务器、数据库服务器、堡垒机日志记录进行完整性保护，导致日志记录被恶意篡改或删除等风险。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）重要可执行程序完整性、重要可执行程序来源真实性：未采用密码技术对重要可执行程序进行完整性保护，并未对其来源真实性进行验证，有导致重要程序或文件被恶意篡改的风险。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）密码应用需求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对于身份鉴别，采用符合</w:t>
      </w:r>
      <w:r>
        <w:rPr>
          <w:rFonts w:ascii="Times New Roman" w:hAnsi="Times New Roman" w:eastAsia="Times New Roman" w:cs="Times New Roman"/>
          <w:color w:val="000000"/>
          <w:sz w:val="28"/>
        </w:rPr>
        <w:t xml:space="preserve">GM/T0027</w:t>
      </w:r>
      <w:r>
        <w:rPr>
          <w:rFonts w:ascii="FangSong" w:hAnsi="FangSong" w:eastAsia="FangSong" w:cs="FangSong"/>
          <w:color w:val="000000"/>
          <w:sz w:val="28"/>
        </w:rPr>
        <w:t xml:space="preserve">标准的智能密码钥匙（以下简称</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）基于</w:t>
      </w:r>
      <w:r>
        <w:rPr>
          <w:rFonts w:ascii="Times New Roman" w:hAnsi="Times New Roman" w:eastAsia="Times New Roman" w:cs="Times New Roman"/>
          <w:color w:val="000000"/>
          <w:sz w:val="28"/>
        </w:rPr>
        <w:t xml:space="preserve">SM2</w:t>
      </w:r>
      <w:r>
        <w:rPr>
          <w:rFonts w:ascii="FangSong" w:hAnsi="FangSong" w:eastAsia="FangSong" w:cs="FangSong"/>
          <w:color w:val="000000"/>
          <w:sz w:val="28"/>
        </w:rPr>
        <w:t xml:space="preserve">算法的数字签名机制的强身份鉴别方式登录堡垒机，实现对设备运维人员进行身份鉴别，保证用户身份的真实性。应用服务器、数据库服务器等由于底层接口未开放，无法改造成使用智能密钥钥匙方式进行登录，仍采用账号口令的方式登录该设备。但这类设备均由堡垒机进行远程集中管理，堡垒机使用合规的</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实现身份鉴别，可从一定程度上进行风险缓解。对于密码产品使用合规的</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实现身份鉴别。</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对于远程管理通道安全，堡垒机对应用服务器、数据库服务器统一运维；通过堡垒机对应用服务器、数据库服务器进行管理的信息传输通道；即堡垒机到应用服务器、数据库服务器采用不包含高风险密码算法的</w:t>
      </w:r>
      <w:r>
        <w:rPr>
          <w:rFonts w:ascii="Times New Roman" w:hAnsi="Times New Roman" w:eastAsia="Times New Roman" w:cs="Times New Roman"/>
          <w:color w:val="000000"/>
          <w:sz w:val="28"/>
        </w:rPr>
        <w:t xml:space="preserve">SSHV2</w:t>
      </w:r>
      <w:r>
        <w:rPr>
          <w:rFonts w:ascii="FangSong" w:hAnsi="FangSong" w:eastAsia="FangSong" w:cs="FangSong"/>
          <w:color w:val="000000"/>
          <w:sz w:val="28"/>
        </w:rPr>
        <w:t xml:space="preserve">协议，保证远程管理通道安全。堡垒机的远程管理通道采用不包含高风险密码算法的</w:t>
      </w:r>
      <w:r>
        <w:rPr>
          <w:rFonts w:ascii="Times New Roman" w:hAnsi="Times New Roman" w:eastAsia="Times New Roman" w:cs="Times New Roman"/>
          <w:color w:val="000000"/>
          <w:sz w:val="28"/>
        </w:rPr>
        <w:t xml:space="preserve">SSHV2</w:t>
      </w:r>
      <w:r>
        <w:rPr>
          <w:rFonts w:ascii="FangSong" w:hAnsi="FangSong" w:eastAsia="FangSong" w:cs="FangSong"/>
          <w:color w:val="000000"/>
          <w:sz w:val="28"/>
        </w:rPr>
        <w:t xml:space="preserve">协议，保证远程管理通道安全。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系统资源访问控制信息完整性、日志记录完整性、重要可执行程序完整性和来源真实性，应用服务器、数据库服务器等标准化产品目前难以进行二次开发以符合密码应用要求，暂时采用这些设备自身的安全机制进行安全防护；本项目中使用的密码服务需要经过商用密码认证机构认证合格，具备相应的安全防护能力，满足相应密码应用需求。</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业务应用密码需求分析</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安全风险分析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）身份鉴别：未使用密码技术对登录用户进行身份鉴别，存在合法账户的鉴别信息被攻击者获取，并对目标系统未授权访问的风险。系统管理员通过用户名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口令的方式实现用户的身份鉴别，未使用密码技术实现对访问应用用户的身份鉴别，存在应用被非授权人员登录的风险。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）访问控制信息完整性：未对业务应用系统访问控制策略、数据库表访问控制信息等信息进行完整性保护，导致访问控制信息被篡改后失效，将会有非法用户登录并操作等风险。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重要数据传输机密性和完整性：对重要数据在传输过程中未实现机密性和完整性保护，导致重要数据在传输过程中遭到窃听或窃取，将造成系统和个人隐私泄露和被篡改的风险。系统身份鉴别数据、重要业务数据，均未使用密码技术实现传输过程中的机密性保护，存在重要数据被非授权获取、被截获破解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重要数据存储机密性和完整性：对重要数据在存储过程中未实现机密性和完整性保护，导致数据在存储过程中遭到窃听或篡改，将造成系统和个人隐私泄露和被篡改的风险。系统身份鉴别数据的存储，使用不安全的</w:t>
      </w:r>
      <w:r>
        <w:rPr>
          <w:rFonts w:ascii="Times New Roman" w:hAnsi="Times New Roman" w:eastAsia="Times New Roman" w:cs="Times New Roman"/>
          <w:color w:val="000000"/>
          <w:sz w:val="28"/>
        </w:rPr>
        <w:t xml:space="preserve">MD5</w:t>
      </w:r>
      <w:r>
        <w:rPr>
          <w:rFonts w:ascii="FangSong" w:hAnsi="FangSong" w:eastAsia="FangSong" w:cs="FangSong"/>
          <w:color w:val="000000"/>
          <w:sz w:val="28"/>
        </w:rPr>
        <w:t xml:space="preserve">算法实现机密性保护；重要业务数据未使用密码技术实现机密性保护。存在密码算法不安全、核心技术不掌握、安全风险不可控，导致重要数据被非授权获取、被破解的风险。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）重要信息资源安全标记完整性：考虑到本系统目前不存在重要信息资源标记，本期暂不进行该应用点的改造，因此此项作为不适用项。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）不可否认性：未使用密码技术提供数据原发证据和数据接收证据，实现数据原发行为的不可否认性和数据接收行为的不可否认性。</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密码应用需求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本项目需通过密码技术从身份鉴别、访问控制、数据传输安全、重要资源安全标记完整性、数据存储安全、不可否认性等方面降低风险。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）身份鉴别。应用系统面向</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终端系统普通用户、</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终端系统管理员。</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终端系统普通用户、</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终端系统管理员需采用符合</w:t>
      </w:r>
      <w:r>
        <w:rPr>
          <w:rFonts w:ascii="Times New Roman" w:hAnsi="Times New Roman" w:eastAsia="Times New Roman" w:cs="Times New Roman"/>
          <w:color w:val="000000"/>
          <w:sz w:val="28"/>
        </w:rPr>
        <w:t xml:space="preserve">GM/T0027</w:t>
      </w:r>
      <w:r>
        <w:rPr>
          <w:rFonts w:ascii="FangSong" w:hAnsi="FangSong" w:eastAsia="FangSong" w:cs="FangSong"/>
          <w:color w:val="000000"/>
          <w:sz w:val="28"/>
        </w:rPr>
        <w:t xml:space="preserve">标准的</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基于</w:t>
      </w:r>
      <w:r>
        <w:rPr>
          <w:rFonts w:ascii="Times New Roman" w:hAnsi="Times New Roman" w:eastAsia="Times New Roman" w:cs="Times New Roman"/>
          <w:color w:val="000000"/>
          <w:sz w:val="28"/>
        </w:rPr>
        <w:t xml:space="preserve">SM2</w:t>
      </w:r>
      <w:r>
        <w:rPr>
          <w:rFonts w:ascii="FangSong" w:hAnsi="FangSong" w:eastAsia="FangSong" w:cs="FangSong"/>
          <w:color w:val="000000"/>
          <w:sz w:val="28"/>
        </w:rPr>
        <w:t xml:space="preserve">算法的数字签名机制的强身份鉴别方式登录应用系统，实现身份鉴别。</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）访问控制信息完整性：需使用密码技术对访问权限控制列表进行完整性保护，防止应用资源被非授权用户篡改。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）重要数据传输机密性：需使用密码技术对个人隐私数据、重要业务数据（被内部不公开重要数据）等进行传输机密性保护，实现重要数据防窃取。</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）重要数据传输完整性：需使用密码技术对个人隐私数据、重要业务数据（被内部不公开重要数据）等进行传输完整性保护，实现重要数据防篡改保护。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）重要数据存储机密性：需使用密码技术对个人隐私数据、重要业务数据（被内部不公开重要数据）等进行存储机密性保护，实现重要数据防窃取。</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）重要数据存储完整性：需使用密码技术对个人隐私数据、日志数据、重要业务数据（被内部不公开重要数据）等进行存储完整性保护，实现重要数据防篡改保护。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）不可否认性：本项目未涉及法律责任认定的数据原发行为的不可否认性和数据接收行为的不可否认性，因此本项为不适用项。</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安全管理需求分析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本项目根据</w:t>
      </w:r>
      <w:r>
        <w:rPr>
          <w:rFonts w:ascii="Times New Roman" w:hAnsi="Times New Roman" w:eastAsia="Times New Roman" w:cs="Times New Roman"/>
          <w:color w:val="000000"/>
          <w:sz w:val="28"/>
        </w:rPr>
        <w:t xml:space="preserve">GB/T22240-2020</w:t>
      </w:r>
      <w:r>
        <w:rPr>
          <w:rFonts w:ascii="FangSong" w:hAnsi="FangSong" w:eastAsia="FangSong" w:cs="FangSong"/>
          <w:color w:val="000000"/>
          <w:sz w:val="28"/>
        </w:rPr>
        <w:t xml:space="preserve">《信息安全技术网络安全等级保护定级指南》，拟定级为第三级。因此需依据密码应用相关国家、行业标准，制定密码应用方案，规划建设密码保障系统。同步落实密码应用的安全管理需求，发挥密码在信息系统安全中的基础支撑作用。</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风险分析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管理制度层面：本项目未建立起健全的密码安全管理制度，涵盖密码人员管理、密钥管理、建设运行、应急处置、密码软件介质管理等相关内容，存在密码安全管理混乱的安全风险。未建立密钥管理规则和操作规程，涵盖密钥管理制度及策略类文档，包括密钥全生命周期的安全性保护相关内容、密码相关管理人员或操作人员操作建立操作规程，未对密钥全生命周期的安全性进行保护，且未对密钥管理规则进行评审，存在密钥被非授权访问、使用、泄露修改和替换的风险。未定期修订安全管理制度、未明确管理制度发布流程和制度执行过程记录留存，未定期对密码应用安全管</w:t>
      </w:r>
      <w:r>
        <w:rPr>
          <w:rFonts w:ascii="FangSong" w:hAnsi="FangSong" w:eastAsia="FangSong" w:cs="FangSong"/>
          <w:color w:val="000000"/>
          <w:sz w:val="28"/>
        </w:rPr>
        <w:t xml:space="preserve">理制度和操作规程的合理性和使用性进行论证和审定。</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人员管理层面：本项目相关人员不了解和遵守密码相关法律法规和密码管理制度、未建立密码应用岗位责任制度、未建立上岗人员培训制度、未定期对安全岗位人员进行考核、未建立关键岗位人员保密制度和调离制度，存在相关人员会错误使用密码、操作失误、相关人员泄露密码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在建设运行层面：未制定密码应用方案、密钥安全管理策略、实施方案、同时需在投入运行前进行密码应用安全性评估、定期开展密码应用安全性评估及攻防对抗演习。</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在应急处置层面：未制定应急策略、未规定事件处理流程、未规定向有关主管部门上报处置情况，有应急事件发生后没有相应制度依据、责任划分不明确的风险。</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密码应用需求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管理制度层面：本项目应制定密码安全管理制度及相关操作规范、安全操作规范。密码安全管理制度应包括密码建设、运维、人员、设备、密钥等管理内容。应定期对密码安全管理制度的合理性和适用性进行论证和审定，对存在不足或需要改进的安全管理制度进行修订，并留存审定记录。应根据密码应用方案建立相应密钥管理规则。应对管理人员或操作人员执行的日常管理操作建立操作规程。应明确相关密码应用安全管理制度和操作规程的发布流程并进行版本控制；应具有密码应用操作规程的相关执行记录并妥善保存。</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人员管理层面：应定期宣贯普及密码相关法律法规和密码应用安全管理制度；应建立密码应用岗位责任制度，设置密钥管理员、密码安全审计员、密码操作员等关键岗位，并在关键岗位建立多人共管机制，其中重要岗位不由单人兼任；对于涉及的密码操作的操作和管理人员进行专门的培训，应确保其具备专业技能并定期对相应人员进行考核；对于离岗人员，应及时终止其所有密码应用相关的访问权限、操作权限，建立关键人员保密制度和调离制度，签订保密合同，承担保密义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建设运行层面：应根据密码应用需求制定密码应用方案；应确定密钥种类、体系及其生存周期环节，并制定密钥安全管理策略；应制定实施方案并在系统运行前组织进行密码应用安全性评估；定期开展密码应用安全性评估及攻防对抗演习，核查系统是否符合密码应用方案建设要求，并根据评估结果进行整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应急处置层面：应根据密码应用安全事件等级制定相应应急策略并对应急策略进行评审，在应急策略中明确密码应用安全事件发生时处理流程及其他管理措施，并遵照执行。应制定应急策略、事件处理、向有关主管部门上报等流程。</w:t>
      </w:r>
      <w:r/>
    </w:p>
    <w:p>
      <w:pPr>
        <w:ind w:left="840" w:right="0" w:firstLine="20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数据安全需求分析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一旦发生数据篡改、盗取、泄露等事件，在对公民造成重大影响的同时，也会对政府的公信力造成损害。依据《中华人民共和国个人信息保护法》《中华人民共和国数据安全法》《网络数据安全管理条例》等法律法规要求，应对网络数据实行分类分级保护，严格遵循相关法律法规要求处理个人信息，及时识别和防范数据全生命周期的全风险，如在数据采集阶段，存在非法或过度收集个人信息、数据来源不可靠等安全风险；在数据传输阶段存在数据非法拦截、数据恶意篡改风险等安全风险；在数据存储阶段存在数据泄露、数据破坏等安全风险，在数据处理阶段存在未授权</w:t>
      </w:r>
      <w:r>
        <w:rPr>
          <w:rFonts w:ascii="FangSong" w:hAnsi="FangSong" w:eastAsia="FangSong" w:cs="FangSong"/>
          <w:color w:val="000000"/>
          <w:sz w:val="28"/>
        </w:rPr>
        <w:t xml:space="preserve">访问、数据滥用等安全风险；在数据交换阶段存在非法访问、数据泄露等安全风险。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因此本项目应按照《</w:t>
      </w:r>
      <w:r>
        <w:rPr>
          <w:rFonts w:ascii="Times New Roman" w:hAnsi="Times New Roman" w:eastAsia="Times New Roman" w:cs="Times New Roman"/>
          <w:color w:val="000000"/>
          <w:sz w:val="28"/>
        </w:rPr>
        <w:t xml:space="preserve">GB/T37988-2019</w:t>
      </w:r>
      <w:r>
        <w:rPr>
          <w:rFonts w:ascii="FangSong" w:hAnsi="FangSong" w:eastAsia="FangSong" w:cs="FangSong"/>
          <w:color w:val="000000"/>
          <w:sz w:val="28"/>
        </w:rPr>
        <w:t xml:space="preserve">信息安全技术数据安全能力成熟度模型》，从数据采集、数据传输、数据处理、数据交换、数据销毁等过程对平台的重要业务数据、个人信息数据进行安全防护，确保数据从产生到销毁的全生命周期内都受到严格的安全保护。</w:t>
      </w:r>
      <w:r/>
    </w:p>
    <w:p>
      <w:pPr>
        <w:ind w:left="0" w:right="0" w:firstLine="0"/>
        <w:jc w:val="both"/>
        <w:spacing w:before="120" w:after="12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见证系统智能</w:t>
      </w:r>
      <w:r>
        <w:rPr>
          <w:rFonts w:ascii="Times New Roman" w:hAnsi="Times New Roman" w:eastAsia="Times New Roman" w:cs="Times New Roman"/>
          <w:b/>
          <w:color w:val="000000"/>
          <w:sz w:val="28"/>
        </w:rPr>
        <w:t xml:space="preserve">AI</w:t>
      </w:r>
      <w:r>
        <w:rPr>
          <w:rFonts w:ascii="SimSun" w:hAnsi="SimSun" w:eastAsia="SimSun" w:cs="SimSun"/>
          <w:b/>
          <w:color w:val="000000"/>
          <w:sz w:val="28"/>
        </w:rPr>
        <w:t xml:space="preserve">升级改造</w:t>
      </w:r>
      <w:r/>
    </w:p>
    <w:p>
      <w:pPr>
        <w:ind w:left="840" w:right="0" w:firstLine="20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网络安全需求分析</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网络安全合规需求分析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按照《中华人民共和国网络安全法》及</w:t>
      </w:r>
      <w:r>
        <w:rPr>
          <w:rFonts w:ascii="Times New Roman" w:hAnsi="Times New Roman" w:eastAsia="Times New Roman" w:cs="Times New Roman"/>
          <w:color w:val="000000"/>
          <w:sz w:val="28"/>
        </w:rPr>
        <w:t xml:space="preserve">GB/T22239-2019</w:t>
      </w:r>
      <w:r>
        <w:rPr>
          <w:rFonts w:ascii="FangSong" w:hAnsi="FangSong" w:eastAsia="FangSong" w:cs="FangSong"/>
          <w:color w:val="000000"/>
          <w:sz w:val="28"/>
        </w:rPr>
        <w:t xml:space="preserve">《信息安全技术网络安全等级保护基本要求》要求，云平台和云租户之间的安全责任划分是明确的，云服务商主要负责保障基础设施（云平台）的整体安全运转。这包括云平台的安全管理、应用安全、网络安全等方面的保障工作。租户则负责其业务系统的安全合规性，包括系统定级、安全策略配置、日常运维等。同时，租户也需要配合云服务商进行安全审计、漏洞扫描等工作，共同维护云平台的安全稳定。</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安全物理环境需求分析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根据系统等级保护要求，平台所在的物理机房需要具备访问控制、防盗窃和防破坏、防雷击、防火、防水和防潮、防静电、温湿度控制、电力供应保障等能力。</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安全通信网络需求分析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根据系统等级保护要求，本系统在网络架构层面应保证网络设备的业务处理能力满足业务高峰期需要；应保证网络各个部分的带宽满足业务高峰期需要；</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应划分不同的网络区域，并按照方便管理和控制的原则为各网络区域分配地址；</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应避免将重要网络区域部署在边界处，重要网络区域与其他网络区域之间应采取可靠的技术隔离手段；应提供通信线路、关键网络设备和关键计算设备的硬件冗余，保证系统的可用性。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在通信传输层面，应采用校验技术或密码技术保证通信过程中数据的完整性；应采用密码技术保证通信过程中数据的保密性。</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安全区域边界需求分析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在边界防护层面，应保证跨越边界的访问和数据流通过边界设备提供的受控接口进行通信；应能够对非授权设备私自联到内部网络的行为进行检查或限制；应能够对内部用户非授权联到外部网络的行为进行检查或限制；应限制无线网络的使用，保证无线网络通过受控的边界设备接入内部网络。</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访问控制层面，应在网络边界或区域之间根据访问控制策略设置访问控制规则，默认情况下除允许通信外受控接口拒绝所有通信；应删除多余或无效的访问控制规则，优化访问控制列表，并保证访问控制规则数量最小化；应对源地址、目的地址、源端口、目的端口和协议等进行检查，以允许</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拒绝数据包进出；应能根据会话状态信息为进出数据流提供明确的允许</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拒绝访问的能力；应对进出网络的数据流实现基于应用协议和应用内容的访问控制。</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入侵防范层面，应在关键网络节点处检测、防止或限制从外部发起的网络攻击行为；应在关键网络节点处检测、防止或限制从内部发起的网络攻击行为；应采取技术措施对网络行为进行分析，实现对网络攻击特别是新型网络攻击行为的分析；当检测到攻击行为时，记录攻击源</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、攻击类型、攻击目标、攻击时间，在发生严重入侵事件时应提供报警。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恶意代码和垃圾邮件防范层面。应在关键网络节点处对恶意代码进行检测和清除，并维护恶意代码防护机制的升级和更新；应在关键网络节点处对垃圾邮件进行检测和防护，并维护垃圾邮件防护机制的升级和更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安全审计层面，应在网络边界、重要网络节点进行安全审计，审计覆盖到每个用户，对重要的用户行为和重要安全事件进行审计；审计记录应包括事件的日期和时间、用户、事件类型、事件是否成功及其他与审计相关的信息；应对审计记录进行保护，定期备份，避免受到未预期的删除、修改或覆盖等；应能对远程访问的用户行为、访问互联网的用户行为等单独进行行为审计和数据分析。</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安全计算环境需求分析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在身份鉴别层面，应对登录的用户进行身份标识和鉴别，身份标识具有唯一性，身份鉴别信息具有复杂度要求并定期更换；应具有登录失败处理功能，应配置并启用结束会话、限制非法登录次数和当登录连接超时自动退出等相关措施；当进行远程管理时，应采取必要措施防止鉴别信息在网络传输过程中被窃听；应采用口令、密码技术、生物技术等两种或两种以上组合的鉴别技术对用户进行身份鉴别，且其中一种鉴别技术至少应使用密码技术来实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访问控制层面，应对登录的用户分配账户和权限；应重命名或删除默认账户，修改默认账户的默认口令；应及时删除或停用多余的、过期的账户，避免共享账户的存在；应授予管理用户所需的最小权限，实现管理用户的权限分离；应由授权主体配置访问控制策略，访问控制策略规定主体对客体的访问规则；访问控制的粒度应达到主体为用户级或进程级，客体为文件、数据库表级；应对重要主体和客体设置安全标记，并控制主体对有安全标记信息资源的访问。</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安全审计层面，应启用安全审计功能，审计覆盖到每个用户，对重要的用户行为和重要安全事件进行审计；审计记录应包括事件的日期和时间、用户、事件类型、事件是否成功及其他与审计相关的信息；应对审计记录进行保护，定期备份，避免受到未预期的删除、修改或覆盖等；应对审计进程进行保护，防止未经授权的中断。</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入侵防范层面，应遵循最小安装的原则，仅安装需要的组件和应用程序；应关闭不需要的系统服务、默认共享和高危端口；应通过设定终端接入方式或网络地址范围对通过网络进行管理的管理终端进行限制；应提供数据有效性检验功能，保证通过人机接口输入或通过通信接口输入的内容符合系统设定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应能发现可能存在的已知漏洞，并在经过充分测试评估后，及时修补漏洞；应能够检测到对重要节点进行入侵的行为，并在发生严重入侵事件时提供报警。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在恶意代码防范层面，应采用免受恶意代码攻击的技术措施或主动免疫可信验证机制及时识别入侵和病毒行为，并将其有效阻断。</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安全管理中心需求分析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在系统管理层面，应对系统管理员进行身份鉴别，只允许其通过特定的命令或操作界面进行系统管理操作，并对这些操作进行审计；应通过系统管理员对系统的资源和运行进行配置、控制和管理，包括用户身份、系统资源配置、系统加载和启动、系统运行的异常处理、数据和设备的备份与恢复等。</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安全管理层面，应对安全管理员进行身份鉴别，只允许其通过特定的命令或操作界面进行安全管理操作，并对这些操作进行审计；应通过安全管理员对系统中的安全策略进行配置，包括安全参数的设置，主体、客体进行统一安全标记，对主体进行授权，配置可信验证策略等。</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集中管控层面，应划分出特定的管理区域，对分布在网络中的安全设备或安全组件进行管控；应能够建立一条安全的信息传输路径，对网络中的安全设备或安全组件进行管理；应对网络链路、安全设备、网络设备和服务器等的运行状况进行集中监测；应对分散在各个设备上的审计数据进行收集汇总和集中分析，并保证审计记录的留存时间符合法律法规要求；应对安全策略、恶意代码、补丁升级等安全相关事项进行集中管理；应能对网络中发生的各类安全事件进行识别、报警和分析。</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安全服务需求分析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w:t>
      </w:r>
      <w:r>
        <w:rPr>
          <w:rFonts w:ascii="Times New Roman" w:hAnsi="Times New Roman" w:eastAsia="Times New Roman" w:cs="Times New Roman"/>
          <w:color w:val="000000"/>
          <w:sz w:val="28"/>
        </w:rPr>
        <w:t xml:space="preserve">GB/T22239-2019</w:t>
      </w:r>
      <w:r>
        <w:rPr>
          <w:rFonts w:ascii="FangSong" w:hAnsi="FangSong" w:eastAsia="FangSong" w:cs="FangSong"/>
          <w:color w:val="000000"/>
          <w:sz w:val="28"/>
        </w:rPr>
        <w:t xml:space="preserve">《信息安全技术网络安全等级保护基本要求》安全管理中心、安全管理制度、安全管理机构、安全管理人员中要求，以及黑客攻击、病毒传播、数据泄露等网络安全事件频发、攻击手段不断升级，需要专业的网络安全服务来应对这些威胁，从网络安全监测、安全检查、应急响应、意识培训等方面来满足本项目常态化安全运行要求。</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安全管理体系需求分析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系统的技术安全与管理安全是一个整体，应按照国家和电子政务外网网络安全等级保护相关要求，在安全管理制度、安全管理机构、安全管理人员、安全建设管理及安全运维管理等方面展开建设，形成完善的安全管理体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系统等级保护要求，平台在安全管理制度层面，应制定网络安全工作的总体方针和安全策略，阐明机构安全工作的总体目标、范围、原则和安全框架等。应对安全管理活动中的各类管理内容建立安全管理制度；应对管理人员或操作人员执行的日常管理操作建立操作规程；应形成由安全策略、管理制度、操作规程、记录表单等构成的全面的安全管理制度体系。应指定或授权专门的部门或人员负责安全管理制度的制定；安全管理制度应通过正式、有效的方式发布，并进行版本控制。应定期对安全管理制度的合理性和适用性进行论证和审定，对存在不足或需要改进的安全管理制</w:t>
      </w:r>
      <w:r>
        <w:rPr>
          <w:rFonts w:ascii="FangSong" w:hAnsi="FangSong" w:eastAsia="FangSong" w:cs="FangSong"/>
          <w:color w:val="000000"/>
          <w:sz w:val="28"/>
        </w:rPr>
        <w:t xml:space="preserve">度进行修订。</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另外，在安全管理机构、安全管理人员、安全建设管理及安全运维管理等方面，也均需要按照等保及相关法律法规，制定好完善的管理流程及方案。</w:t>
      </w:r>
      <w:r/>
    </w:p>
    <w:p>
      <w:pPr>
        <w:ind w:left="840" w:right="0" w:firstLine="20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密码应用需求分析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密码是保障网络与信息安全的核心技术和基础支撑，是解决网络与信息安全问题最有效、最可靠、最经济的手段。《密码法》的颁布实施，从法律层面为开展商用密码应用提供了根本遵循，《国家政务信息化项目建设管理办法》的颁布实施，进一步促进了商用密码的全面应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通过对平台建设的依托条件、建设内容和密码应用需求进行分析后，依据国标《信息安全技术信息系统密码应用基本要求》（</w:t>
      </w:r>
      <w:r>
        <w:rPr>
          <w:rFonts w:ascii="Times New Roman" w:hAnsi="Times New Roman" w:eastAsia="Times New Roman" w:cs="Times New Roman"/>
          <w:color w:val="000000"/>
          <w:sz w:val="28"/>
        </w:rPr>
        <w:t xml:space="preserve">GB∕T39786-2021</w:t>
      </w:r>
      <w:r>
        <w:rPr>
          <w:rFonts w:ascii="FangSong" w:hAnsi="FangSong" w:eastAsia="FangSong" w:cs="FangSong"/>
          <w:color w:val="000000"/>
          <w:sz w:val="28"/>
        </w:rPr>
        <w:t xml:space="preserve">）《信息安全技术信息系统密码应用设计指南》（</w:t>
      </w:r>
      <w:r>
        <w:rPr>
          <w:rFonts w:ascii="Times New Roman" w:hAnsi="Times New Roman" w:eastAsia="Times New Roman" w:cs="Times New Roman"/>
          <w:color w:val="000000"/>
          <w:sz w:val="28"/>
        </w:rPr>
        <w:t xml:space="preserve">GB/T43207-2023</w:t>
      </w:r>
      <w:r>
        <w:rPr>
          <w:rFonts w:ascii="FangSong" w:hAnsi="FangSong" w:eastAsia="FangSong" w:cs="FangSong"/>
          <w:color w:val="000000"/>
          <w:sz w:val="28"/>
        </w:rPr>
        <w:t xml:space="preserve">），从物理和环境安全、网络和通信安全、设备和计算安全、应用和数据安全等</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个层面，以及密钥管理、安全管理等方面，设计了该系统密码应用的安全管理方案和技术方案。</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合规性需求分析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本方案采用具有商密相关资质的密码产品和密码模块，全面满足《密码法》、《网络安全法》、《</w:t>
      </w:r>
      <w:r>
        <w:rPr>
          <w:rFonts w:ascii="Times New Roman" w:hAnsi="Times New Roman" w:eastAsia="Times New Roman" w:cs="Times New Roman"/>
          <w:color w:val="000000"/>
          <w:sz w:val="28"/>
        </w:rPr>
        <w:t xml:space="preserve">GB/T39786-2021</w:t>
      </w:r>
      <w:r>
        <w:rPr>
          <w:rFonts w:ascii="FangSong" w:hAnsi="FangSong" w:eastAsia="FangSong" w:cs="FangSong"/>
          <w:color w:val="000000"/>
          <w:sz w:val="28"/>
        </w:rPr>
        <w:t xml:space="preserve">信息系统密码应用基本要求》、《关键信息基础设施安全保护条例》以及</w:t>
      </w:r>
      <w:r>
        <w:rPr>
          <w:rFonts w:ascii="Times New Roman" w:hAnsi="Times New Roman" w:eastAsia="Times New Roman" w:cs="Times New Roman"/>
          <w:color w:val="000000"/>
          <w:sz w:val="28"/>
        </w:rPr>
        <w:t xml:space="preserve">GM/T0028-2024</w:t>
      </w:r>
      <w:r>
        <w:rPr>
          <w:rFonts w:ascii="FangSong" w:hAnsi="FangSong" w:eastAsia="FangSong" w:cs="FangSong"/>
          <w:color w:val="000000"/>
          <w:sz w:val="28"/>
        </w:rPr>
        <w:t xml:space="preserve">《密码模块安全要求》等相关政策法规和标准的要求，确保平台方案设计合规和相关应用系统设计的合规性，从而保障业务应用的合规性，同时需要方便快捷地为应用系统提供合规的密码服务，帮助业务应用以相关法律法规为指导，保证应用系统的安全合规。</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计算平台密码需求分析</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网络和通信安全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）风险分析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外部与应用系统网络边界的通信信道包括：</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终端用户通过电子政务外网使用国密安全浏览器访问系统的通信通道。</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：应用系统与其他外部系统之间的通信通道。</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：公众通过移动应用访问系统的通信通道。</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网络和通信安全层面存在的密码安全风险分析如下：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）身份鉴别：上述通信信道在建立通信前未使用密码技术对通信实体进行验证，存在恶意设备接入、网络攻击、恶意代码传播等风险。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）通信数据完整性：上述通信信道的通信数据未通过密码技术实现完整性保护，存在重要数据被篡改的风险。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）通信过程中重要数据的机密性：上述通信信道的通信数据未通过密码技术实现机密性保护，存在重要数据泄露的风险。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）网络边界访问控制信息完整性：上述通道未采用完整性技术保护访问控制信息，存在网络边界和系统资源访问控制信息被窃取，导致系统被非法访问的风险。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）安全接入认证：设备从外部连接到内部网络时，未采用密码技术对设备进行接入认证，确保接入设备身份的真实性，存在外部设备恶意接入、网络攻击等风险。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）密码应用需求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终端用户通过电子政务外网使用国密安全浏览器访问系统的通信通道。通过国密安全浏览器与</w:t>
      </w:r>
      <w:r>
        <w:rPr>
          <w:rFonts w:ascii="Times New Roman" w:hAnsi="Times New Roman" w:eastAsia="Times New Roman" w:cs="Times New Roman"/>
          <w:color w:val="000000"/>
          <w:sz w:val="28"/>
        </w:rPr>
        <w:t xml:space="preserve">IPsec/SSLVPN</w:t>
      </w:r>
      <w:r>
        <w:rPr>
          <w:rFonts w:ascii="FangSong" w:hAnsi="FangSong" w:eastAsia="FangSong" w:cs="FangSong"/>
          <w:color w:val="000000"/>
          <w:sz w:val="28"/>
        </w:rPr>
        <w:t xml:space="preserve">综合安全网关建立安全通信链路，基于国密</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协议进行数据传输；采用密码技术对业务通道从身份鉴别、通信数据完整性、通信过程中重要数据的机密性等方面进行建设。</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：应用系统与其他外部系统之间的通信通道；通过建立非高风险算法的</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协议进行传输以降低安全风险。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：公众通过移动应用、小程序访问系统的通信通道。系统通过站点证书与移动应用建立</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加密数据传输通道，基于</w:t>
      </w:r>
      <w:r>
        <w:rPr>
          <w:rFonts w:ascii="Times New Roman" w:hAnsi="Times New Roman" w:eastAsia="Times New Roman" w:cs="Times New Roman"/>
          <w:color w:val="000000"/>
          <w:sz w:val="28"/>
        </w:rPr>
        <w:t xml:space="preserve">SSL</w:t>
      </w:r>
      <w:r>
        <w:rPr>
          <w:rFonts w:ascii="FangSong" w:hAnsi="FangSong" w:eastAsia="FangSong" w:cs="FangSong"/>
          <w:color w:val="000000"/>
          <w:sz w:val="28"/>
        </w:rPr>
        <w:t xml:space="preserve">协议进行数据传输；采用密码技术对业务通道从身份鉴别、通信数据完整性、通信过程中重要数据的机密性等方面进行建设。</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网络边界访问控制信息的完整性：根据系统责任主体对业务的分析，对于路由器和边界防火墙维持现状。通过配置网络访问权限列表和定期审查进行风险缓解。此外，对于</w:t>
      </w:r>
      <w:r>
        <w:rPr>
          <w:rFonts w:ascii="Times New Roman" w:hAnsi="Times New Roman" w:eastAsia="Times New Roman" w:cs="Times New Roman"/>
          <w:color w:val="000000"/>
          <w:sz w:val="28"/>
        </w:rPr>
        <w:t xml:space="preserve">IPsec/SSLVPN</w:t>
      </w:r>
      <w:r>
        <w:rPr>
          <w:rFonts w:ascii="FangSong" w:hAnsi="FangSong" w:eastAsia="FangSong" w:cs="FangSong"/>
          <w:color w:val="000000"/>
          <w:sz w:val="28"/>
        </w:rPr>
        <w:t xml:space="preserve">综合安全网关，经商用密码认证机构认证合格，可依赖自身的安全防护机制实现访问控制信息的完整性。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w:t>
      </w:r>
      <w:r>
        <w:rPr>
          <w:rFonts w:ascii="Times New Roman" w:hAnsi="Times New Roman" w:eastAsia="Times New Roman" w:cs="Times New Roman"/>
          <w:color w:val="000000"/>
          <w:sz w:val="28"/>
        </w:rPr>
        <w:t xml:space="preserve">GB/T39786-2021</w:t>
      </w:r>
      <w:r>
        <w:rPr>
          <w:rFonts w:ascii="FangSong" w:hAnsi="FangSong" w:eastAsia="FangSong" w:cs="FangSong"/>
          <w:color w:val="000000"/>
          <w:sz w:val="28"/>
        </w:rPr>
        <w:t xml:space="preserve">《信息安全技术信息系统密码应用基本要求》对等级保护第三级信息系统的密码应用技术要求，安全接入认证项应用要求为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可</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，同时被测评单位确认接入系统的设备无安全接入认证需求，因此本项做不适用处理。</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设备和计算安全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）风险分析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本项目涉及的设备主要包括应用服务器、数据库服务器、堡垒机等设备。设备和计算安全层面的密码安全风险包括：</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身份鉴别：应用服务器、数据库服务器、堡垒机等设备登录用户未实现身份鉴别，未对登录访问的用户进行身份真实性校验。身份鉴别信息未按复杂度和定期更换的要求实现。存在被非法人员登录、用户口令遭到窃取、系统被入侵的风险。系统遭到入侵后存在删除账户、恶意分配账户权限、通过修改用户权限获取更高级别信息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系统管理员使用用户名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口令登录通用服务器，未使用密码技术实现登录设备人员的身份鉴别，存在设备被非授权人员登录的风险。但系统管理员仅可在机房本地对通用服务器进行运维管理，能够降低该安全问题带来的风险。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）远程管理通道安全：远程管理设备时，未采用密码技术建立安全的信息传输通道，对管理员的身份鉴别信息未进行机密性保护，鉴别信息等重要信息有泄露的风险。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）系统资源访问控制信息完整性：应用服务器、数据库服务器、堡垒机等设备的访问控制信息未做完整性保护，存在被恶意篡改或删除的风险，导致无法对安全事件进行追溯。</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）重要信息资源安全标记完整性：应用服务器、数据库服务器、堡垒机等设备均未设置重要信息资源安全标记，因此该指标不适用。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）日志记录完整性：未实现对应用服务器、数据库服务器、堡垒机日志记录进行完整性保护，导致日志记录被恶意篡改或删除等风险。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）重要可执行程序完整性、重要可执行程序来源真实性：未采用密码技术对重要可执行程序进行完整性保护，并未对其来源真实性进行验证，有导致重要程序或文件被恶意篡改的风险。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）密码应用需求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对于身份鉴别，采用符合</w:t>
      </w:r>
      <w:r>
        <w:rPr>
          <w:rFonts w:ascii="Times New Roman" w:hAnsi="Times New Roman" w:eastAsia="Times New Roman" w:cs="Times New Roman"/>
          <w:color w:val="000000"/>
          <w:sz w:val="28"/>
        </w:rPr>
        <w:t xml:space="preserve">GM/T0027</w:t>
      </w:r>
      <w:r>
        <w:rPr>
          <w:rFonts w:ascii="FangSong" w:hAnsi="FangSong" w:eastAsia="FangSong" w:cs="FangSong"/>
          <w:color w:val="000000"/>
          <w:sz w:val="28"/>
        </w:rPr>
        <w:t xml:space="preserve">标准的智能密码钥匙（以下简称</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）基于</w:t>
      </w:r>
      <w:r>
        <w:rPr>
          <w:rFonts w:ascii="Times New Roman" w:hAnsi="Times New Roman" w:eastAsia="Times New Roman" w:cs="Times New Roman"/>
          <w:color w:val="000000"/>
          <w:sz w:val="28"/>
        </w:rPr>
        <w:t xml:space="preserve">SM2</w:t>
      </w:r>
      <w:r>
        <w:rPr>
          <w:rFonts w:ascii="FangSong" w:hAnsi="FangSong" w:eastAsia="FangSong" w:cs="FangSong"/>
          <w:color w:val="000000"/>
          <w:sz w:val="28"/>
        </w:rPr>
        <w:t xml:space="preserve">算法的数字签名机制的强身份鉴别方式登录堡垒机，实现对设备运维人员进行身份鉴别，保证用户身份的真实性。应用服务器、数据库服务器等由于底层接口未开放，无法改造成使用智能密钥钥匙方式进行登录，仍采用账号口令的方式登录该设备。但这类设备均由堡垒机进行远程集中管理，堡垒机使用合规的</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实现身份鉴别，可从一定程度上进行风险缓解。对于密码产品使用合规的</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实现身份鉴别。</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对于远程管理通道安全，堡垒机对应用服务器、数据库服务器统一运维；通过堡垒机对应用服务器、数据库服务器进行管理的信息传输通道；即堡垒机到应用服务器、数据库服务器采用不包含高风险密码算法的</w:t>
      </w:r>
      <w:r>
        <w:rPr>
          <w:rFonts w:ascii="Times New Roman" w:hAnsi="Times New Roman" w:eastAsia="Times New Roman" w:cs="Times New Roman"/>
          <w:color w:val="000000"/>
          <w:sz w:val="28"/>
        </w:rPr>
        <w:t xml:space="preserve">SSHV2</w:t>
      </w:r>
      <w:r>
        <w:rPr>
          <w:rFonts w:ascii="FangSong" w:hAnsi="FangSong" w:eastAsia="FangSong" w:cs="FangSong"/>
          <w:color w:val="000000"/>
          <w:sz w:val="28"/>
        </w:rPr>
        <w:t xml:space="preserve">协议，保证远程管理通道安全。堡垒机的远程管理通道采用不包含高风险密码算法的</w:t>
      </w:r>
      <w:r>
        <w:rPr>
          <w:rFonts w:ascii="Times New Roman" w:hAnsi="Times New Roman" w:eastAsia="Times New Roman" w:cs="Times New Roman"/>
          <w:color w:val="000000"/>
          <w:sz w:val="28"/>
        </w:rPr>
        <w:t xml:space="preserve">SSHV2</w:t>
      </w:r>
      <w:r>
        <w:rPr>
          <w:rFonts w:ascii="FangSong" w:hAnsi="FangSong" w:eastAsia="FangSong" w:cs="FangSong"/>
          <w:color w:val="000000"/>
          <w:sz w:val="28"/>
        </w:rPr>
        <w:t xml:space="preserve">协议，保证远程管理通道安全。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系统资源访问控制信息完整性、日志记录完整性、重要可执行程序完整性和来源真实性，应用服务器、数据库服务器等标准化产品目前难以进行二次开发以符合密码应用要求，暂时采用这些设备自身的安全机制进行安全防护；本项目中使用的密码服务需要经过商用密码认证机构认证合格，具备相应的安全防护能力，满足相应密码应用需求。</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业务应用密码需求分析</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安全风险分析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）身份鉴别：未使用密码技术对登录用户进行身份鉴别，存在合法账户的鉴别信息被攻击者获取，并对目标系统未授权访问的风险。系统管理员通过用户名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口令的方式实现用户的身份鉴别，未使用密码技术实现对访问应用用户的身份鉴别，存在应用被非授权人员登录的风险。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）访问控制信息完整性：未对业务应用系统访问控制策略、数据库表访问控制信息等信息进行完整性保护，导致访问控制信息被篡改后失效，将会有非法用户登录并操作等风险。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重要数据传输机密性和完整性：对重要数据在传输过程中未实现机密性和完整性保护，导致重要数据在传输过程中遭到窃听或窃取，将造成系统和个人隐私泄露和被篡改的风险。系统身份鉴别数据、重要业务数据，均未使用密码技术实现传输过程中的机密性保护，存在重要数据被非授权获取、被截获破解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重要数据存储机密性和完整性：对重要数据在存储过程中未实现机密性和完整性保护，导致数据在存储过程中遭到窃听或篡改，将造成系统和个人隐私泄露和被篡改的风险。系统身份鉴别数据的存储，使用不安全的</w:t>
      </w:r>
      <w:r>
        <w:rPr>
          <w:rFonts w:ascii="Times New Roman" w:hAnsi="Times New Roman" w:eastAsia="Times New Roman" w:cs="Times New Roman"/>
          <w:color w:val="000000"/>
          <w:sz w:val="28"/>
        </w:rPr>
        <w:t xml:space="preserve">MD5</w:t>
      </w:r>
      <w:r>
        <w:rPr>
          <w:rFonts w:ascii="FangSong" w:hAnsi="FangSong" w:eastAsia="FangSong" w:cs="FangSong"/>
          <w:color w:val="000000"/>
          <w:sz w:val="28"/>
        </w:rPr>
        <w:t xml:space="preserve">算法实现机密性保护；重要业务数据未使用密码技术实现机密性保护。存在密码算法不安全、核心技术不掌握、安全风险不可控，导致重要数据被非授权获取、被破解的风险。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）重要信息资源安全标记完整性：考虑到本系统目前不存在重要信息资源标记，本期暂不进行该应用点的改造，因此此项作为不适用项。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）不可否认性：未使用密码技术提供数据原发证据和数据接收证据，实现数据原发行为的不可否认性和数据接收行为的不可否认性。</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密码应用需求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本项目需通过密码技术从身份鉴别、访问控制、数据传输安全、重要资源安全标记完整性、数据存储安全、不可否认性等方面降低风险。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）身份鉴别。应用系统面向</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终端系统普通用户、</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终端系统管理员。</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终端系统普通用户、</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终端系统管理员需采用符合</w:t>
      </w:r>
      <w:r>
        <w:rPr>
          <w:rFonts w:ascii="Times New Roman" w:hAnsi="Times New Roman" w:eastAsia="Times New Roman" w:cs="Times New Roman"/>
          <w:color w:val="000000"/>
          <w:sz w:val="28"/>
        </w:rPr>
        <w:t xml:space="preserve">GM/T0027</w:t>
      </w:r>
      <w:r>
        <w:rPr>
          <w:rFonts w:ascii="FangSong" w:hAnsi="FangSong" w:eastAsia="FangSong" w:cs="FangSong"/>
          <w:color w:val="000000"/>
          <w:sz w:val="28"/>
        </w:rPr>
        <w:t xml:space="preserve">标准的</w:t>
      </w:r>
      <w:r>
        <w:rPr>
          <w:rFonts w:ascii="Times New Roman" w:hAnsi="Times New Roman" w:eastAsia="Times New Roman" w:cs="Times New Roman"/>
          <w:color w:val="000000"/>
          <w:sz w:val="28"/>
        </w:rPr>
        <w:t xml:space="preserve">UKEY</w:t>
      </w:r>
      <w:r>
        <w:rPr>
          <w:rFonts w:ascii="FangSong" w:hAnsi="FangSong" w:eastAsia="FangSong" w:cs="FangSong"/>
          <w:color w:val="000000"/>
          <w:sz w:val="28"/>
        </w:rPr>
        <w:t xml:space="preserve">基于</w:t>
      </w:r>
      <w:r>
        <w:rPr>
          <w:rFonts w:ascii="Times New Roman" w:hAnsi="Times New Roman" w:eastAsia="Times New Roman" w:cs="Times New Roman"/>
          <w:color w:val="000000"/>
          <w:sz w:val="28"/>
        </w:rPr>
        <w:t xml:space="preserve">SM2</w:t>
      </w:r>
      <w:r>
        <w:rPr>
          <w:rFonts w:ascii="FangSong" w:hAnsi="FangSong" w:eastAsia="FangSong" w:cs="FangSong"/>
          <w:color w:val="000000"/>
          <w:sz w:val="28"/>
        </w:rPr>
        <w:t xml:space="preserve">算法的数字签名机制的强身份鉴别方式登录应用系统，实现身份鉴别。</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）访问控制信息完整性：需使用密码技术对访问权限控制列表进行完整性保护，防止应用资源被非授权用户篡改。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）重要数据传输机密性：需使用密码技术对个人隐私数据、重要业务数据（被内部不公开重要数据）等进行传输机密性保护，实现重要数据防窃取。</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）重要数据传输完整性：需使用密码技术对个人隐私数据、重要业务数据（被内部不公开重要数据）等进行传输完整性保护，实现重要数据防篡改保护。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）重要数据存储机密性：需使用密码技术对个人隐私数据、重要业务数据（被内部不公开重要数据）等进行存储机密性保护，实现重要数据防窃取。</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）重要数据存储完整性：需使用密码技术对个人隐私数据、日志数据、重要业务数据（被内部不公开重要数据）等进行存储完整性保护，实现重要数据防篡改保护。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）不可否认性：本项目未涉及法律责任认定的数据原发行为的不可否认性和数据接收行为的不可否认性，因此本项为不适用项。</w:t>
      </w:r>
      <w:r/>
    </w:p>
    <w:p>
      <w:pPr>
        <w:numPr>
          <w:ilvl w:val="4"/>
          <w:numId w:val="13"/>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安全管理需求分析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本项目根据</w:t>
      </w:r>
      <w:r>
        <w:rPr>
          <w:rFonts w:ascii="Times New Roman" w:hAnsi="Times New Roman" w:eastAsia="Times New Roman" w:cs="Times New Roman"/>
          <w:color w:val="000000"/>
          <w:sz w:val="28"/>
        </w:rPr>
        <w:t xml:space="preserve">GB/T22240-2020</w:t>
      </w:r>
      <w:r>
        <w:rPr>
          <w:rFonts w:ascii="FangSong" w:hAnsi="FangSong" w:eastAsia="FangSong" w:cs="FangSong"/>
          <w:color w:val="000000"/>
          <w:sz w:val="28"/>
        </w:rPr>
        <w:t xml:space="preserve">《信息安全技术网络安全等级保护定级指南》，拟定级为第三级。因此需依据密码应用相关国家、行业标准，制定密码应用方案，规划建设密码保障系统。同步落实密码应用的安全管理需求，发挥密码在信息系统安全中的基础支撑作用。</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风险分析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管理制度层面：本项目未建立起健全的密码安全管理制度，涵盖密码人员管理、密钥管理、建设运行、应急处置、密码软件介质管理等相关内容，存在密码安全管理混乱的安全风险。未建立密钥管理规则和操作规程，涵盖密钥管理制度及策略类文档，包括密钥全生命周期的安全性保护相关内容、密码相关管理人员或操作人员操作建立操作规程，未对密钥全生命周期的安全性进行保护，且未对密钥管理规则进行评审，存在密钥被非授权访问、使用、泄露修改和替换的风险。未定期修订安全管理制度、未明确管理制度发布流程和制度执行过程记录留存，未定期对密码应用安全管</w:t>
      </w:r>
      <w:r>
        <w:rPr>
          <w:rFonts w:ascii="FangSong" w:hAnsi="FangSong" w:eastAsia="FangSong" w:cs="FangSong"/>
          <w:color w:val="000000"/>
          <w:sz w:val="28"/>
        </w:rPr>
        <w:t xml:space="preserve">理制度和操作规程的合理性和使用性进行论证和审定。</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人员管理层面：本项目相关人员不了解和遵守密码相关法律法规和密码管理制度、未建立密码应用岗位责任制度、未建立上岗人员培训制度、未定期对安全岗位人员进行考核、未建立关键岗位人员保密制度和调离制度，存在相关人员会错误使用密码、操作失误、相关人员泄露密码等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在建设运行层面：未制定密码应用方案、密钥安全管理策略、实施方案、同时需在投入运行前进行密码应用安全性评估、定期开展密码应用安全性评估及攻防对抗演习。</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在应急处置层面：未制定应急策略、未规定事件处理流程、未规定向有关主管部门上报处置情况，有应急事件发生后没有相应制度依据、责任划分不明确的风险。</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密码应用需求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管理制度层面：本项目应制定密码安全管理制度及相关操作规范、安全操作规范。密码安全管理制度应包括密码建设、运维、人员、设备、密钥等管理内容。应定期对密码安全管理制度的合理性和适用性进行论证和审定，对存在不足或需要改进的安全管理制度进行修订，并留存审定记录。应根据密码应用方案建立相应密钥管理规则。应对管理人员或操作人员执行的日常管理操作建立操作规程。应明确相关密码应用安全管理制度和操作规程的发布流程并进行版本控制；应具有密码应用操作规程的相关执行记录并妥善保存。</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人员管理层面：应定期宣贯普及密码相关法律法规和密码应用安全管理制度；应建立密码应用岗位责任制度，设置密钥管理员、密码安全审计员、密码操作员等关键岗位，并在关键岗位建立多人共管机制，其中重要岗位不由单人兼任；对于涉及的密码操作的操作和管理人员进行专门的培训，应确保其具备专业技能并定期对相应人员进行考核；对于离岗人员，应及时终止其所有密码应用相关的访问权限、操作权限，建立关键人员保密制度和调离制度，签订保密合同，承担保密义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建设运行层面：应根据密码应用需求制定密码应用方案；应确定密钥种类、体系及其生存周期环节，并制定密钥安全管理策略；应制定实施方案并在系统运行前组织进行密码应用安全性评估；定期开展密码应用安全性评估及攻防对抗演习，核查系统是否符合密码应用方案建设要求，并根据评估结果进行整改。</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应急处置层面：应根据密码应用安全事件等级制定相应应急策略并对应急策略进行评审，在应急策略中明确密码应用安全事件发生时处理流程及其他管理措施，并遵照执行。应制定应急策略、事件处理、向有关主管部门上报等流程。</w:t>
      </w:r>
      <w:r/>
    </w:p>
    <w:p>
      <w:pPr>
        <w:ind w:left="840" w:right="0" w:firstLine="20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数据安全需求分析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一旦发生数据篡改、盗取、泄露等事件，在对公民造成重大影响的同时，也会对政府的公信力造成损害。依据《中华人民共和国个人信息保护法》《中华人民共和国数据安全法》《网络数据安全管理条例》等法律法规要求，应对网络数据实行分类分级保护，严格遵循相关法律法规要求处理个人信息，及时识别和防范数据全生命周期的全风险，如在数据采集阶段，存在非法或过度收集个人信息、数据来源不可靠等安全风险；在数据传输阶段存在数据非法拦截、数据恶意篡改风险等安全风险；在数据存储阶段存在数据泄露、数据破坏等安全风险，在数据处理阶段存在未授权</w:t>
      </w:r>
      <w:r>
        <w:rPr>
          <w:rFonts w:ascii="FangSong" w:hAnsi="FangSong" w:eastAsia="FangSong" w:cs="FangSong"/>
          <w:color w:val="000000"/>
          <w:sz w:val="28"/>
        </w:rPr>
        <w:t xml:space="preserve">访问、数据滥用等安全风险；在数据交换阶段存在非法访问、数据泄露等安全风险。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因此本项目应按照《</w:t>
      </w:r>
      <w:r>
        <w:rPr>
          <w:rFonts w:ascii="Times New Roman" w:hAnsi="Times New Roman" w:eastAsia="Times New Roman" w:cs="Times New Roman"/>
          <w:color w:val="000000"/>
          <w:sz w:val="28"/>
        </w:rPr>
        <w:t xml:space="preserve">GB/T37988-2019</w:t>
      </w:r>
      <w:r>
        <w:rPr>
          <w:rFonts w:ascii="FangSong" w:hAnsi="FangSong" w:eastAsia="FangSong" w:cs="FangSong"/>
          <w:color w:val="000000"/>
          <w:sz w:val="28"/>
        </w:rPr>
        <w:t xml:space="preserve">信息安全技术数据安全能力成熟度模型》，从数据采集、数据传输、数据处理、数据交换、数据销毁等过程对平台的重要业务数据、个人信息数据进行安全防护，确保数据从产生到销毁的全生命周期内都受到严格的安全保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（一）日常运维服务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）基础信息及流程配置服务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泰州市各区划信息、单位信息、角色、功能权限、角色菜单、业务流程等的确认和配置工作。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）单位基础信息维护服务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做好全市各类用户进行系统权限和参数配置，包括单位基础信息维护、单位角色信息、单位功能权限等。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）服务器维护服务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做好软件及硬件服务器的日常维护工作，包括日常巡检、系统升级、安全维护等。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）异常数据处理服务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包括系统有关硬件、网络等方面问题分析、排查和支持，软件异常情况处理、软件数据异常的维护等。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）技术咨询服务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为全省用户提供电话咨询、 </w:t>
      </w:r>
      <w:r>
        <w:rPr>
          <w:rFonts w:ascii="Times New Roman" w:hAnsi="Times New Roman" w:eastAsia="Times New Roman" w:cs="Times New Roman"/>
          <w:color w:val="000000"/>
          <w:sz w:val="28"/>
        </w:rPr>
        <w:t xml:space="preserve">QQ</w:t>
      </w:r>
      <w:r>
        <w:rPr>
          <w:rFonts w:ascii="FangSong" w:hAnsi="FangSong" w:eastAsia="FangSong" w:cs="FangSong"/>
          <w:color w:val="000000"/>
          <w:sz w:val="28"/>
        </w:rPr>
        <w:t xml:space="preserve">、远程等技术指导。对于远程客户端出现无法办理业务情况，给予协助和指导。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用户通过拨打运维服务热线，短信或线上沟通等方式，可获得系统应用过程中遇到的常见问题答疑，以及应用建议。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主要包括：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小时热线、短信支持；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远程网络服务（包括</w:t>
      </w:r>
      <w:r>
        <w:rPr>
          <w:rFonts w:ascii="Times New Roman" w:hAnsi="Times New Roman" w:eastAsia="Times New Roman" w:cs="Times New Roman"/>
          <w:color w:val="000000"/>
          <w:sz w:val="28"/>
        </w:rPr>
        <w:t xml:space="preserve">FTP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QQ</w:t>
      </w:r>
      <w:r>
        <w:rPr>
          <w:rFonts w:ascii="FangSong" w:hAnsi="FangSong" w:eastAsia="FangSong" w:cs="FangSong"/>
          <w:color w:val="000000"/>
          <w:sz w:val="28"/>
        </w:rPr>
        <w:t xml:space="preserve">在线、电子邮件等服务）支持；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专家服务团队诊断指导；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用户对系统及服务质量进行意见反馈。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响应时间：</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小时电话或电子邮件服务，接收到服务请求后，在</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分钟内给予响应，</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小时内做出明确的响应安排，</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小时内具有解决故障能力的工程师应做出故障诊断报告，并解决故障。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系统的一般故障应在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小时内处理完毕，并保证系统恢复正常运行。出现紧急系统故障等，短时间内不能处理完毕，可能影响到甲方业务正常运行的，要及时书面报告客户方，以便客户方采取应急措施。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）运行状态监控</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）每日监控：医疗票管系统运行状态监控，每日监控数据、应用服务器运行状态（包括</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、内存、硬盘使用率、连接池、缓冲池、表空间、吞吐量、数据交换、数据库容量、数据库连接数、软件访问速度等）。</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）定期巡检：委派技术专家定期对医疗票管系统定期巡检工作，确保医疗票管系统和数据安全。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对医疗电管系统的内存使用情况、队列是否有排队情况、数据库是否有长时间锁表的情况、连接池是否有泄漏情况、应用部署是否有异常情况，以及系统的宕机监控等进行定期巡检服务，保证系统的正常运行。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）数据备份与恢复服务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按照要求备份数据库，并保证备份的系统数据库能有效的恢复、回退。制定备份恢复计划，按时检查执行情况。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出现故障时，根据故障的紧急程度，在标准现场基础上提供加急响应，实现紧急问题紧急处理，并提供法定节假日及非工作时间的特殊支持保障服务。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当服务器遭遇突发故障而导致应用系统崩溃后，确保在</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小时内恢复系统。当重要数据误删除、遭受病毒感染或黑客攻击时、应通过技术手段尽力抢救，尽快恢复运行。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（二）系统功能完善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针对系统已上线核心模块（如票据开具、数据统计、权限管理等），解决使用中出现的功能漏洞、逻辑缺陷，优化操作流程以提升易用性，确保功能与业务场景精准匹配。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（三）运维整改服务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行电子票据平台运维整改服务，包括系统正常运行、安全运维服务。在运维过程中严格遵守用户对于平台使实施规范用、网络安全的相关管理要求。提升使用人员以及运维人员水平，增强规范使用、安全管理意识。加强操作平台、网络操作系统、数据库、中间件等基础软件的安全性配置，落实安全技术措施。运维过程中配合开展系统应急演练，保证运维环节系统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（四）性能优化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对医疗票管系统提供综合性（数据库、数据库、中间件）效率调优服务。优化查询、统计性能，缩短响应时间，多方面提升性能。</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11.3.技术方案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11.3.1.总体架构</w:t>
      </w:r>
      <w:r/>
    </w:p>
    <w:p>
      <w:pPr>
        <w:ind w:left="0" w:right="0" w:firstLine="0"/>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962275"/>
                <wp:effectExtent l="0" t="0" r="0" b="0"/>
                <wp:docPr id="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11366" name=""/>
                        <pic:cNvPicPr>
                          <a:picLocks noChangeAspect="1"/>
                        </pic:cNvPicPr>
                        <pic:nvPr/>
                      </pic:nvPicPr>
                      <pic:blipFill>
                        <a:blip/>
                        <a:stretch/>
                      </pic:blipFill>
                      <pic:spPr bwMode="auto">
                        <a:xfrm>
                          <a:off x="0" y="0"/>
                          <a:ext cx="5276849" cy="2962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15.5pt;height:233.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276850" cy="2371725"/>
                <wp:effectExtent l="0" t="0" r="0" b="0"/>
                <wp:docPr id="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013001" name=""/>
                        <pic:cNvPicPr>
                          <a:picLocks noChangeAspect="1"/>
                        </pic:cNvPicPr>
                        <pic:nvPr/>
                      </pic:nvPicPr>
                      <pic:blipFill>
                        <a:blip/>
                        <a:stretch/>
                      </pic:blipFill>
                      <pic:spPr bwMode="auto">
                        <a:xfrm>
                          <a:off x="0" y="0"/>
                          <a:ext cx="5276849" cy="2371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15.5pt;height:186.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11.3.2.主要功能设计</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11.3.2.1.新建电子服务系统</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统一身份认证</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平台搭建一体化、标准化的统一身份认证体系，核心是构建集中式、集约化的系统访问入口与身份管控机制，全面覆盖招标人、招标代理机构、中心内部工作人员三类核心用户群体。通过规范化的身份核验、差异化的权限分配、统一化的系统跳转登录能力，实现全用户、全场景的安全身份验证与资源访问管控，彻底解决多系统分散登录、身份不统一、权限管控混乱、访问合规性不足等问题，全方位保障泰州公共资源交易服务平台各类业务操作、系统访问的安全性、规范性与合规性，适配公共资源交易行业监管及业务运行标准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门户集成登录能力方面，服务平台门户网站完成泰州市公共资源交易领域所有在用业务子系统、功能模块的登录入口集约化整合，打破各独立系统的登录壁垒，实现平台所有业务系统访问入口的统一管控、统一运维。</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在外部用户身份认证管控方面，针对招标人、招标代理机构两类外部业务主体，平台采用实体</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移动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双重结合的复合型高强度认证方式，替代单一登录模式，提升身份核验的可靠性与防篡改、防冒用能力。外部用户登录平台及相关业务系统时，必须通过</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证书完成身份校验，系统自动核验证书有效性、合法性、绑定主体信息一致性，杜绝虚假身份、冒用他人账号、非法登录等风险。同时，本认证体系实现与省级统一主体信息库的标准化数据对接、实时数据同步与信息校验，用户登录认证过程中，系统自动调取省级主体库备案信息进行比对核验，严格校验用户主体资质、备案信息、主体状态的真实性、有效性、权威性，从用户准入源头把控系统访问安全，确保所有入驻平台开展业务的外部主体均为合规备案主体，保障交易业务的合法合规开展。</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内部工作人员身份认证管控方面，针对中心内部工作人员，结合内部办公及业务运维场景的便捷性、适配性需求，采用账号密码的基础登录认证方式。由平台管理员统一完成内部账号的创建、分配、激活、注销、密码重置等全生命周期管理，每个工作人员对应唯一专属账号，实现一人一号、专人专号管理。同时配套基础安全管控机制，支持密码复杂度校验、登录异常拦截、登录日志留存、操作轨迹溯源等功能，在保障内部工作人员高效登录、便捷开展业务审核、系统运维、数据管理等工作的同时，规范内部人员的系统访问权限与操作行为，落实内部操作可追溯、可监管的安</w:t>
      </w:r>
      <w:r>
        <w:rPr>
          <w:rFonts w:ascii="FangSong" w:hAnsi="FangSong" w:eastAsia="FangSong" w:cs="FangSong"/>
          <w:color w:val="000000"/>
          <w:sz w:val="28"/>
        </w:rPr>
        <w:t xml:space="preserve">全要求。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体身份认证体系依托差异化的认证规则与权限管控逻辑，可根据用户身份类型、岗位职能、业务权限范围，精准划分各用户可访问的业务系统、功能模块与网络资源，实现分级、分角色、分场景的精细化授权管理。有效规避越权访问、违规操作、非法接入等安全风险，构建形成准入可控、身份可验、权限可管、操作可溯的全流程安全认证管控体系，完全适配泰州公共资源交易服务平台常态化、规范化、安全化的运行需求。</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统一项目登记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项目登记是泰州公共资源交易服务平台集约化业务管理的核心基础功能，主要面向招标人、招标代理机构提供标准化、一体化的项目线上登记申报服务，由中心工作人员统一审核管控。功能核心实现分行业自适应填报、省级数据自动同步、统一编码管控、跨系统信息共享四大核心能力，彻底解决传统项目登记行业填报标准不统一、信息重复录入、数据来源不权威、各交易系统数据割裂、项目编码不规范等问题，全面实现全市公共资源交易项目源头标准化录入、规范化审核、一体化共享，为后续各类交易业务开展提供真实、有效、统一的项目基础数据支撑，保障全流程交易</w:t>
      </w:r>
      <w:r>
        <w:rPr>
          <w:rFonts w:ascii="FangSong" w:hAnsi="FangSong" w:eastAsia="FangSong" w:cs="FangSong"/>
          <w:color w:val="000000"/>
          <w:sz w:val="28"/>
        </w:rPr>
        <w:t xml:space="preserve">业务合规有序推进。</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自适应分行业填报方面，平台依据公共资源交易行业分类标准，将登记项目划分为住建、交通、水利、电力、农田农业、其他六大类别。招标人及招标代理机构发起项目登记申请时，系统可根据用户选择的项目行业类别，自动适配并展示对应行业所需的填报字段、表单模板与录入规范，屏蔽无关填报项，实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一行业一模板</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的差异化填报模式，有效降低用户填报复杂度，避免错填、漏填问题，保障不同行业项目登记信息的完整性与专业性。</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省级数据对接同步方面，本功能深度对接省发改委投资项目审批平台，依托投资项目统一代码作为唯一数据关联索引，实现项目基础信息的自动调取、同步回填与智能校验。用户录入投资项目统一代码后，系统自动向省级审批平台发起数据调取请求，同步获取项目审批文号、项目名称、项目类型、项目性质、项目属性、项目地点、项目审批机关等权威备案信息，无需用户手动录入，既大幅提升项目登记填报效率，又从源头保证项目基础数据的真实性、权威性、一致性，规避人工填报误差、信息造假等问题，实现项目数据省级同源、本地复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项目审核与跨系统共享方面，用户完整填报项目独有信息、补充平台个性化字段并提交登记申请后，项目登记流程自动流转至中心工作人员审核端口。审核人员可对项目填报信息、省级同步数据、项目资质合规性进行全面核验，支持审核通过、驳回修改等常规审核操作，全程留存审核日志与操作轨迹，实现审核流程可追溯、可监管。项目登记审核通过后，平台支持项目数据的在线记录，同时实现与各专项交易子系统的数据互通共享，各交易平台在开展项目注册、场地预约等业务时，可直接调取复用服务平台已录入、已审核的标准化项目信息，杜绝跨系统重复填报，实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一次登记、全平台复用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项目统一编码管控方面，平台针对全行业交易项目制定标准化、统一化的项目编码规则，编码规则覆盖住建、交通、水利、电力、农业、其他所有类别交易项目。所有完成审核的登记项目，系统将按照统一规则自动生成唯一项目编码，编码具备唯一性、规范性、可识别性，可作为项目全生命周期交易、监管、归档、查询的唯一标识，实现全市公共资源交易项目统一台账管理、精准分类管控、全流程溯源管理。</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①</w:t>
      </w:r>
      <w:r>
        <w:rPr>
          <w:rFonts w:ascii="FangSong" w:hAnsi="FangSong" w:eastAsia="FangSong" w:cs="FangSong"/>
          <w:b/>
          <w:color w:val="000000"/>
          <w:sz w:val="28"/>
        </w:rPr>
        <w:t xml:space="preserve">建设工程项目登记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设工程项目登记针对房屋建筑、市政基建类交易项目设置专属标准化填报表单，完整登记字段包含：投资项目统一代码、项目审批文号、项目名称、项目类型（审批、备案、核准、其他）、项目性质（新建、扩建、迁建、改建、其他）、项目属性（民间固定资产投资项目、国有控股项目、其他项目）、项目地点、项目审批机关、项目辖区、招标控制价、建设单位、建设单位经办人、经办人联系电话、代理机构、代理机构联系人、联系人联系电话、交易类别、招标组织方式、交易方式、资格审查方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登记过程中，用户录入投资项目统一代码后，系统自动对接省发改委审批平台，同步回填项目审批文号、项目名称、项目类型（审批、备案、核准、其他）、项目性质（新建、扩建、迁建、改建、其他）、项目属性（民间固定资产投资项目、国有控股项目、其他项目）、项目地点、项目审批机关等核心基础信息，用户仅需补充填报项目辖区、招标控制价、单位人员信息、交易相关方式等个性化业务字段。项目登记审核完成后，对应建设工程交易系统可直接获取平台归档的全部项目登记字段信息，支撑后续项目注册及交易业务开展。</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②</w:t>
      </w:r>
      <w:r>
        <w:rPr>
          <w:rFonts w:ascii="FangSong" w:hAnsi="FangSong" w:eastAsia="FangSong" w:cs="FangSong"/>
          <w:b/>
          <w:color w:val="000000"/>
          <w:sz w:val="28"/>
        </w:rPr>
        <w:t xml:space="preserve">交通工程项目登记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通工程项目登记适配公路、航道、轨道交通等交通类交易项目业务需求，标准化登记字段与平台统一登记体系保持一致，具体包含：投资项目统一代码、项目审批文号、项目名称、项目类型（审批、备案、核准、其他）、项目性质（新建、扩建、迁建、改建、其他）、项目属性（民间固定资产投资项目、国有控股项目、其他项目）、项目地点、项目审批机关、项目辖区、招标控制价、建设单位、建设单位经办人、经办人联系电话、代理机构、代理机构联系人、联系人联系电话、交易类别、招标组织方式、交易方式、资格审查方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省级数据对接能力，系统可通过投资项目统一代码自动同步省级平台备案的项目基础信息，包括项目审批文号、项目名称、项目类型（审批、备案、核准、其他）、项目性质（新建、扩建、迁建、改建、其他）、项目属性（民间固定资产投资项目、国有控股项目、其他项目）、项目地点、项目审批机关，无需人工重复录入。用户完成剩余业务字段填报并提交审核，审核通过后交通类专项交易系统可一键调取项目完整登记数据，实现数据互联互通。</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③</w:t>
      </w:r>
      <w:r>
        <w:rPr>
          <w:rFonts w:ascii="FangSong" w:hAnsi="FangSong" w:eastAsia="FangSong" w:cs="FangSong"/>
          <w:b/>
          <w:color w:val="000000"/>
          <w:sz w:val="28"/>
        </w:rPr>
        <w:t xml:space="preserve">电力工程项目登记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力工程项目登记适配电网建设、电力改造、电力配套等电力类交易项目，采用平台标准化登记字段体系，主要包括：投资项目统一代码、项目审批文号、项目名称、项目类型（审批、备案、核准、其他）、项目性质（新建、扩建、迁建、改建、其他）、项目属性（民间固定资产投资项目、国有控股项目、其他项目）、项目地点、项目审批机关、项目辖区、招标控制价、建设单位、建设单位经办人、经办人联系电话、代理机构、代理机构联系人、联系人联系电话、交易类别、招标组织方式、交易方式、资格审查方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登记填报时，系统联动省发改委审批平台自动抓取并回填项目核心备案信息，包括项目审批文号、项目名称、项目类型（审批、备案、核准、其他）、项目性质（新建、扩建、迁建、改建、其他）、项目属性（民间固定资产投资项目、国有控股项目、其他项目）、项目地点、项目审批机关，保障基础数据权威准确。待项目登记审核办结后，电力交易专项系统可直接复用平台登记数据，简化前端业务操作，实现数据统一流转。</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④</w:t>
      </w:r>
      <w:r>
        <w:rPr>
          <w:rFonts w:ascii="FangSong" w:hAnsi="FangSong" w:eastAsia="FangSong" w:cs="FangSong"/>
          <w:b/>
          <w:color w:val="000000"/>
          <w:sz w:val="28"/>
        </w:rPr>
        <w:t xml:space="preserve">水利工程项目登记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水利工程项目登记针对河道治理、水利设施建设、防汛改造等水利类交易项目设计专属填报流程，登记信息字段涵盖：投资项目统一代码、项目审批文号、项目名称、项目类型（审批、备案、核准、其他）、项目性质（新建、扩建、迁建、改建、其他）、项目属性（民间固定资产投资项目、国有控股项目、其他项目）、项目地点、项目审批机关、项目辖区、招标控制价、建设单位、建设单位经办人、经办人联系电话、代理机构、代理机构联系人、联系人联系电话、交易类别、招标组织方式、交易方式、资格审查方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省级数据对接机制，通过投资项目统一代码自动同步官方备案的项目基础信息，包括项目审批文号、项目名称、项目类型（审批、备案、核准、其他）、项目性质（新建、扩建、迁建、改建、其他）、项目属性（民间固定资产投资项目、国有控股项目、其他项目）、项目地点、项目审批机关等信息，用户仅需补充水利项目专属业务信息及交易配置信息。审核通过后，水利交易系统可全面共享项目登记数据，保障水利交易业务规范落地。</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⑤</w:t>
      </w:r>
      <w:r>
        <w:rPr>
          <w:rFonts w:ascii="FangSong" w:hAnsi="FangSong" w:eastAsia="FangSong" w:cs="FangSong"/>
          <w:b/>
          <w:color w:val="000000"/>
          <w:sz w:val="28"/>
        </w:rPr>
        <w:t xml:space="preserve">农业工程项目登记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农业（农田）工程项目登记适配农田改造、农业基础设施建设、乡村涉农配套等农业类交易项目，标准化登记字段包含：投资项目统一代码、项目审批文号、项目名称、项目类型（审批、备案、核准、其他）、项目性质（新建、扩建、迁建、改建、其他）、项目属性（民间固定资产投资项目、国有控股项目、其他项目）、项目地点、项目审批机关、项目辖区、招标控制价、建设单位、建设单位经办人、经办人联系电话、代理机构、代理机构联系人、联系人联系电话、交易类别、招标组织方式、交易方式、资格审查方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通过投资项目统一代码联动省发改委审批平台，自动同步核验、回填项目基础备案数据，包括项目审批文号、项目名称、项目类型（审批、备案、核准、其他）、项目性质（新建、扩建、迁建、改建、其他）、项目属性（民间固定资产投资项目、国有控股项目、其他项目）、项目地点、项目审批机关等信息，减少人工填报工作量。项目登记审核完成后，农业类交易系统可直接调取使用登记信息，实现涉农交易项目数据统一管理。</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⑥</w:t>
      </w:r>
      <w:r>
        <w:rPr>
          <w:rFonts w:ascii="FangSong" w:hAnsi="FangSong" w:eastAsia="FangSong" w:cs="FangSong"/>
          <w:b/>
          <w:color w:val="000000"/>
          <w:sz w:val="28"/>
        </w:rPr>
        <w:t xml:space="preserve">其他项目登记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项目登记作为通用类登记模块，适配不属于住建、交通、水利、电力、农业五大类的其余公共资源交易项目，统一登记字段包含：投资项目统一代码、项目审批文号、项目名称、项目类型（审批、备案、核准、其他）、项目性质（新建、扩建、迁建、改建、其他）、项目属性（民间固定资产投资项目、国有控股项目、其他项目）、项目地点、项目审批机关、项目辖区、招标控制价、建设单位、建设单位经办人、经办人联系电话、代理机构、代理机构联系人、联系人联系电话、交易类别、招标组织方式、交易方式、资格审查方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模块沿用平台标准化数据对接与审核机制，自动同步省级平台项目备案信息，包括项目审批文号、项目名称、项目类型（审批、备案、核准、其他）、项目性质（新建、扩建、迁建、改建、其他）、项目属性（民间固定资产投资项目、国有控股项目、其他项目）、项目地点、项目审批机关等信息，用户补充完善业务信息并审核通过后，对应通用交易模块可共享项目登记数据，实现全市所有交易项目全覆盖、标准化登记管理。</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统一场地安排</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统一场地安排模块是泰州市公共资源交易服务平台实现交易场地集约化、规范化、智能化管理的核心功能，覆盖市本级及各区县交易中心所有开评标场地资源，构建全域统一的场地资源管理体系。模块整体包含场地信息维护、场地预约申请、场地审核确认、场地使用情况统计四大子功能，实现场地基础信息建档、资源查询、在线预约、流程审核、变更取消、使用统计的全生命周期闭环管理。通过标准化、线上化的场地管控模式，替代传统人工登记、线下协调的管理方式，有效解决场地资源分散管理、预约冲突、信息更新不及时、场地利用率低、特殊项目场地无法统筹保障等问</w:t>
      </w:r>
      <w:r>
        <w:rPr>
          <w:rFonts w:ascii="FangSong" w:hAnsi="FangSong" w:eastAsia="FangSong" w:cs="FangSong"/>
          <w:color w:val="000000"/>
          <w:sz w:val="28"/>
          <w:u w:val="none"/>
        </w:rPr>
        <w:t xml:space="preserve">题，实现全市交易场地资源统一管控、动态调配、高效利用，全面支撑各类招投标交易活动规范、有序、稳定开展。</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①</w:t>
      </w:r>
      <w:r>
        <w:rPr>
          <w:rFonts w:ascii="FangSong" w:hAnsi="FangSong" w:eastAsia="FangSong" w:cs="FangSong"/>
          <w:b/>
          <w:color w:val="000000"/>
          <w:sz w:val="28"/>
        </w:rPr>
        <w:t xml:space="preserve">场地信息维护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场地信息维护是场地资源常态化管理的基础模块，由交易中心工作人员统一操作维护，负责搭建、更新、完善全域标准化场地资源信息库，保障所有场地、设备、设施信息真实有效、实时同步，为后续场地查询、预约、使用管控提供精准的数据支撑，实现场地基础资源的规范化建档管理。</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）开标、评标室统一管理</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人员依托平台统一场地资源库，对市本级及各区县开标室、评标室开展全方位、常态化的信息化管理维护工作。可实时维护更新场地基础属性信息，包含场地编号、场地位置、场地面积、容纳人数、场地功能定位、适用交易类型等基础信息；同时动态管控场地实时状态、日常使用情况、已预约排期、空闲时段等使用类数据，并同步更新场地配套设备运行状态、场地可用状态、停用检修状态等关键信息。工作人员可根据场地实际使用、检修、改造情况及时完成信息更新，确保平台展示的场地信息与线下实际情况完全一致，杜绝因信息滞后、信息错误导致的预约冲突、交易无</w:t>
      </w:r>
      <w:r>
        <w:rPr>
          <w:rFonts w:ascii="FangSong" w:hAnsi="FangSong" w:eastAsia="FangSong" w:cs="FangSong"/>
          <w:color w:val="000000"/>
          <w:sz w:val="28"/>
        </w:rPr>
        <w:t xml:space="preserve">法正常开展等问题，从场地源头保障各类招投标交易活动有序、顺利推进。</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）设备</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设施</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备品备件登记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支持工作人员对所有交易场地内的配套设备、基础设施、备品备件进行全维度、精细化登记与台账化管理。可完整登记各类软硬件设备信息，包含音视频监控设备、开标评标终端、录音录像设备、网络设备、办公配套设施等，详细录入设备名称、设备型号、购置时间、维保周期、运行状态、归属场地、备品备件库存数量、存放位置等关键信息。通过标准化登记管理，形成完整的场地设备资源台账，方便工作人员开展日常巡检、维保更新、备件调配等工作，实现场地配套资源可查、可管、可溯，保障开评标场地软硬件设施常态化稳定运行。</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②</w:t>
      </w:r>
      <w:r>
        <w:rPr>
          <w:rFonts w:ascii="FangSong" w:hAnsi="FangSong" w:eastAsia="FangSong" w:cs="FangSong"/>
          <w:b/>
          <w:color w:val="000000"/>
          <w:sz w:val="28"/>
        </w:rPr>
        <w:t xml:space="preserve">场地预约申请</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场地预约申请模块面向招标人、招标代理机构及中心管理人员提供线上化场地预约、预留服务，支持用户实时查询场地资源、自主发起预约申请、管理人员专项预留特殊场地，彻底实现场地预约全流程线上办理，打破线下沟通、人工登记的低效模式，提升场地预约便捷性与时效性。</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）场地在线查看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提供全域场地资源在线可视化查询功能，支持平台管理人员、业务办理人员实时查看市本级及各区县所有开评标场地的详细信息与使用状态。用户可按场地类型、所属区域、使用时段、空闲状态等维度筛选查询场地资源，实时查看场地当日、指定时段的占用情况、预约排期、空闲时段等信息，清晰掌握全域场地资源统筹情况，为场地预约、资源调配、统筹管理提供直观的数据支撑，便于管理人员科学管控场地资源。</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）场地预留</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预约服务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常规交易项目，招标人、招标代理机构可根据项目交易需求，在线自主查询对应交易时段的场地空闲情况，结合项目登记信息关联对应交易项目，选择适配的开评标场地及使用时段，在线提交场地预约申请，全程无需线下报备、人工对接，简化业务办理流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针对重点项目、应急项目、专项特殊交易项目，支持中心场地管理人员人工专项预留场地，可根据特殊业务需求锁定对应时段场地资源，保障特殊项目交易工作顺利落地，兼顾常规项目预约的便捷性与特殊项目场地使用的保障性。</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③</w:t>
      </w:r>
      <w:r>
        <w:rPr>
          <w:rFonts w:ascii="FangSong" w:hAnsi="FangSong" w:eastAsia="FangSong" w:cs="FangSong"/>
          <w:b/>
          <w:color w:val="000000"/>
          <w:sz w:val="28"/>
        </w:rPr>
        <w:t xml:space="preserve">场地审核确认</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场地审核确认模块是场地预约合规管控的核心环节，由中心工作人员统一负责审核管理，覆盖预约申请、预约变更、预约取消全流程审核场景，实现场地预约行为规范化管控，杜绝随意预约、无序变更、资源浪费等问题，保障场地资源有序利用。</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w:t>
      </w:r>
      <w:r>
        <w:rPr>
          <w:rFonts w:ascii="FangSong" w:hAnsi="FangSong" w:eastAsia="FangSong" w:cs="FangSong"/>
          <w:b/>
          <w:color w:val="000000"/>
          <w:sz w:val="28"/>
        </w:rPr>
        <w:t xml:space="preserve">）交易中心预约审核</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提交场地预约申请后，系统自动将申请工单推送至中心工作人员审核端口。审核人员可线上核验预约关联项目信息、预约场地、使用时段、项目类型等全部申请内容，核查场地时段是否冲突、预约信息是否合规、项目与场地适配性是否合理。对符合要求的预约申请予以审核通过，系统自动锁定对应场地及时段，完成场地预约生效；对存在问题的申请可驳回并备注原因，由申请人修改后重新提交，实现预约申请合规化、流程化管控。</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w:t>
      </w:r>
      <w:r>
        <w:rPr>
          <w:rFonts w:ascii="FangSong" w:hAnsi="FangSong" w:eastAsia="FangSong" w:cs="FangSong"/>
          <w:b/>
          <w:color w:val="000000"/>
          <w:sz w:val="28"/>
        </w:rPr>
        <w:t xml:space="preserve">）预约变更</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项目交易计划、交易时段发生调整，申请人可在线发起场地预约变更申请，支持变更场地类型、使用时段、使用场次等相关内容。变更申请提交后，由中心工作人员统一核验变更内容，核查变更后场地资源是否空闲、是否存在时段冲突、变更理由是否合规。审核通过后，系统自动更新场地预约信息，同步释放原预约场地资源、锁定新的场地时段，完成预约变更操作，全程留痕可追溯。</w:t>
      </w:r>
      <w:r/>
    </w:p>
    <w:p>
      <w:pPr>
        <w:ind w:left="0" w:right="0" w:firstLine="20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）预约取消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项目终止、延期、取消等场景，用户可在线提交场地预约取消申请。中心工作人员对取消申请进行合规核验，确认无后续交易需求、无业务纠纷后，审核通过取消申请。系统将自动释放已锁定的场地资源，恢复场地空闲状态，避免场地资源长期闲置、占用浪费，最大化盘活场地资源。</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④</w:t>
      </w:r>
      <w:r>
        <w:rPr>
          <w:rFonts w:ascii="FangSong" w:hAnsi="FangSong" w:eastAsia="FangSong" w:cs="FangSong"/>
          <w:b/>
          <w:color w:val="000000"/>
          <w:sz w:val="28"/>
        </w:rPr>
        <w:t xml:space="preserve">场地使用情况</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全市各级交易场地的使用数据进行实时跟踪、自动汇总、统一统计管理，全方位记录各场地的预约次数、使用时长、空闲时段、预约成功率、变更取消率、闲置时长等核心数据。通过对场地使用数据的动态监测与统筹分析，实现全域场地资源使用情况可视化管控，帮助管理人员精准掌握各场地使用频次与利用效率，及时优化场地资源调配方案，合理统筹高峰时段场地资源，盘活闲置场地资源，有效规避场地资源闲置、资源紧张分配不均等问题，持续优化场地资源配置，实现全市交易场地综合利用率最优化。</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统一权限管理</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权限管理模块是泰州市县一体化公共资源交易服务平台安全管控、合规运维的核心支撑功能。针对当前自建交易平台权限管理存在的短板，原有平台权限申请、变更、授予流程多依托线下沟通、人工登记、口头审批的方式开展，权限调整流程游离于业务系统之外，无标准化线上流程、无系统留痕记录、无规范审批链路，存在权限配置标准不统一、审批流程不规范、权限变动不可追溯、账号权限与岗位职能不匹配、数据访问安全风险较高等问题，难以满足公共资源交易平台安全等级保护、数据合规、审计溯源的管理要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模块通过搭建标准化、线上化、流程化的统一权限管控体系，重构平台权限全生命周期管理机制，实现权限申请、权限变更、权限审批、权限回收、轨迹审计的全流程线上闭环管理。系统依托标准化岗位权限模板，实现权限与岗位、职能、角色的精准匹配，杜绝超权限赋权、随意赋权、人情赋权等问题。所有权限调整操作均经过多级合规审批，审批流程全程电子化留痕、操作轨迹可查、变更记录可审计，全面提升平台权限管理的规范性、安全性、可控性与可追溯性，有效保障系统运行安全、业务操作合规、交易数据安全。</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平台严格制定标准化权限调整审批流程，固化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提交人发起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综合科初审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信息科复审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通知提交人办结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的四级规范审批链路，所有权限新增、变更、调整、回收需求均需严格按照既定流程执行，无越级审批、无线下特批、无私下调整，彻底取缔原有游离于系统外的非规范权限管理模式。</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业务办理逻辑上，当工作人员或业务用户因岗位调整、业务新增、职能变动等场景需要变更系统操作权限、功能访问权限、交易数据访问权限时，可通过平台在线发起权限变更申请，明确填报权限调整类型、调整原因、所需访问的系统模块及数据范围。</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申请提交后，工单自动流转至综合科初审端口，由综合科工作人员核验用户身份、岗位职能、业务场景与申请权限的匹配度，核查权限调整的必要性、合规性，对不符合规范的申请予以驳回并备注原因，对合规申请予以初审通过并流转下一环节。初审完成后，工单自动推送至信息科进行复审，由信息科从系统安全、权限管控、数据安全、平台运维规范等维度进行最终审核，确认无误后完成审批办结。</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每一次权限的发起、初审、复审、变更、生效、驳回等全流程操作进行日志固化，完整记录权限调整时间、调整内容、审批人员、审批意见、操作轨迹等关键信息，形成永久可追溯的权限审计台账。整体实现平台权限管理标准化、流程规范化、操作可审计、风险可管控，全面适配市县一体化交易平台常态化安全运维与合规监管要求。</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系统数据对接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系统数据对接是泰州市公共资源交易电子服务平台实现市县一体化、业务集约化、数据同源化的核心支撑能力。平台整体采用统一标准化</w:t>
      </w:r>
      <w:r>
        <w:rPr>
          <w:rFonts w:ascii="Times New Roman" w:hAnsi="Times New Roman" w:eastAsia="Times New Roman" w:cs="Times New Roman"/>
          <w:color w:val="000000"/>
          <w:sz w:val="28"/>
        </w:rPr>
        <w:t xml:space="preserve">RESTful API</w:t>
      </w:r>
      <w:r>
        <w:rPr>
          <w:rFonts w:ascii="FangSong" w:hAnsi="FangSong" w:eastAsia="FangSong" w:cs="FangSong"/>
          <w:color w:val="000000"/>
          <w:sz w:val="28"/>
        </w:rPr>
        <w:t xml:space="preserve">架构、</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加密传输、令牌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白名单双重鉴权、字段统一映射、全量初始化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增量实时同步、数据清洗校验、异常自动重试、全程日志留痕的统一技术对接范式，面向各行业交易系统、省级政务系统、省级主体库、预约模块实行规范化、标准化、体系化数据互通。其中，建设工程、电力工程、水利工程、农业工程四类行业交易系统采用完全一致的技术对接模式与同步机制，统一交互标准、统一安全策略、统一数据流转规则，仅业务同步内容适配各行业特性，彻底解决多系统对接标准杂乱、技术口径不统一、运维成本高、数据不同步等问题。通过全域跨系统数据互通、双向流转、同步更新、同源复用，构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立项源头赋能、各行业交易贯通、主体数据统一、场地资源共享、全业务协同联动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的数据流转体系，全面提升平台业务办理效率、数据精准度、业务协同能力与数字化监管水平，实现公共资源交易全流程规范化、一体化、智能化运行。</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①</w:t>
      </w:r>
      <w:r>
        <w:rPr>
          <w:rFonts w:ascii="FangSong" w:hAnsi="FangSong" w:eastAsia="FangSong" w:cs="FangSong"/>
          <w:b/>
          <w:color w:val="000000"/>
          <w:sz w:val="28"/>
        </w:rPr>
        <w:t xml:space="preserve">与建设工程交易系统对接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彻底打破建设工程领域跨系统数据壁垒，消除业务数据孤岛，实现建设工程领域业务数据互联互通、同源共享，电子服务平台与建设工程交易系统开展深度业务对接与数据协同。本对接采用平台统一标准化技术路径，严格遵循全域统一接口规范、安全传输机制与数据同步策略，基于</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加密传输协议，依托专属令牌鉴权、接口白名单、访问限流机制构建安全交互体系。数据同步采用首次全量数据初始化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业务事件实时触发增量推送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定时兜底巡检同步的标准模式，自动完成跨系统字段映射、格式归一、数据去重、脏数据清洗与一致性校验，保障双向数据交互稳定、安全、规范。系统双向同步建设工程项目信息、场地信息等关键业务数据，支撑电子服务平台完成建设工程类项目项目归集、业务校验、信息展示等上层业务应用。有效规避业务人员多系统重复录入项目基础信息的操作弊端，大幅减少人工录入疏漏、数据错乱、口径不一等问题，显著提升建设工程项目信息采集效率与数据质量，从源头保障项目基础数据的真实性、唯一性、一致性与时效性，实现建设工程相关业务上下游数据贯通。</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②</w:t>
      </w:r>
      <w:r>
        <w:rPr>
          <w:rFonts w:ascii="FangSong" w:hAnsi="FangSong" w:eastAsia="FangSong" w:cs="FangSong"/>
          <w:b/>
          <w:color w:val="000000"/>
          <w:sz w:val="28"/>
        </w:rPr>
        <w:t xml:space="preserve">与电力工程交易系统对接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为破除电力工程领域行业数据孤岛，实现电力工程交易全链条标准化数据互通与业务协同，电子服务平台与电力工程交易系统采用与建设工程完全统一的标准化技术对接方案开展深度对接。基于平台统一</w:t>
      </w:r>
      <w:r>
        <w:rPr>
          <w:rFonts w:ascii="Times New Roman" w:hAnsi="Times New Roman" w:eastAsia="Times New Roman" w:cs="Times New Roman"/>
          <w:color w:val="000000"/>
          <w:sz w:val="28"/>
        </w:rPr>
        <w:t xml:space="preserve">RESTful API</w:t>
      </w:r>
      <w:r>
        <w:rPr>
          <w:rFonts w:ascii="FangSong" w:hAnsi="FangSong" w:eastAsia="FangSong" w:cs="FangSong"/>
          <w:color w:val="000000"/>
          <w:sz w:val="28"/>
        </w:rPr>
        <w:t xml:space="preserve">标准架构，采用</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加密传输、令牌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白名单安全鉴权机制，沿用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全量初始化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事件增量同步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定时兜底校验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标准数据同步模式，自动完成跨系统字段适配、格式统一、数据清洗、重复剔除与一致性比对，整体交互规范、安全策略、同步机制与其他工程类交易系统保持高度统一。系统双向同步电力工程项目信息、场地信息等核心数据，支撑平台实现电力工程项目项目归集、业务校验、信息展示等功能应用。彻底替代传统多系统分开录入、线下同步信息的低效模式，降低人工操作成本与数据出错概率，固化行业统一源头数据标准，保障所有交易数据真实一致、实时同步、可查可溯，实现电力工程相关业务上下游数据贯通。</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③</w:t>
      </w:r>
      <w:r>
        <w:rPr>
          <w:rFonts w:ascii="FangSong" w:hAnsi="FangSong" w:eastAsia="FangSong" w:cs="FangSong"/>
          <w:b/>
          <w:color w:val="000000"/>
          <w:sz w:val="28"/>
        </w:rPr>
        <w:t xml:space="preserve">与水利工程交易系统对接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适配水利工程公共资源交易业务规范，打通水利行业数据壁垒，电子服务平台与水利工程交易系统沿用平台统一工程类对接技术体系，实现标准化、规范化跨系统数据互通。整体采用统一接口协议、统一加密传输方式、统一鉴权校验规则、统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全量覆盖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增量推送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兜底巡检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据同步机制，技术实现路径、安全管控逻辑、数据治理规则与建设工程、电力工程系统完全一致，保障四大行业交易系统对接标准统一、架构规整、运维统一。系统通过标准化接口双向同步水利工程项目信息、场地信息等核心业务数据，在交互过程中自动完成合规性校验、字段补全、格式统一及冗余数据清洗，支撑电子服务平台开展水利项目项目归集、业务校验、信息展示等业务工作。有效减少人工重复填报、跨系统信息手动同步等繁琐操作，规避人为操作导致的数据偏差、信息滞后、数据不一致等问题，持续提升水利工程交易数据采集效率与数据权威性，实现水利工程相</w:t>
      </w:r>
      <w:r>
        <w:rPr>
          <w:rFonts w:ascii="FangSong" w:hAnsi="FangSong" w:eastAsia="FangSong" w:cs="FangSong"/>
          <w:color w:val="000000"/>
          <w:sz w:val="28"/>
        </w:rPr>
        <w:t xml:space="preserve">关业务上下游数据贯通。</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④</w:t>
      </w:r>
      <w:r>
        <w:rPr>
          <w:rFonts w:ascii="FangSong" w:hAnsi="FangSong" w:eastAsia="FangSong" w:cs="FangSong"/>
          <w:b/>
          <w:color w:val="000000"/>
          <w:sz w:val="28"/>
        </w:rPr>
        <w:t xml:space="preserve">与农业工程交易系统对接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农业（农田）工程公共资源交易数字化管理需求，电子服务平台与农业工程交易系统采用全域统一的工程类交易系统对接标准，技术架构、接口规范、安全机制、数据同步策略与建设、电力、水利工程系统完全同源一致。依托统一</w:t>
      </w:r>
      <w:r>
        <w:rPr>
          <w:rFonts w:ascii="Times New Roman" w:hAnsi="Times New Roman" w:eastAsia="Times New Roman" w:cs="Times New Roman"/>
          <w:color w:val="000000"/>
          <w:sz w:val="28"/>
        </w:rPr>
        <w:t xml:space="preserve">RESTful API</w:t>
      </w:r>
      <w:r>
        <w:rPr>
          <w:rFonts w:ascii="FangSong" w:hAnsi="FangSong" w:eastAsia="FangSong" w:cs="FangSong"/>
          <w:color w:val="000000"/>
          <w:sz w:val="28"/>
        </w:rPr>
        <w:t xml:space="preserve">标准化接口体系，通过</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加密通道、专属权限鉴权、白名单准入控制搭建安全交互链路，严格执行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首次全量初始化、业务触发增量实时同步、定时巡检兜底校准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统一数据更新机制，自动完成字段映射、格式归一、数据清洗、差异比对，彻底打破农业领域交易数据孤岛。系统双向同步农业工程项目信息、场地信息等核心数据，保障跨系统数据实时同源、精准一致。支撑平台完成农业工程项目项目归集、业务校验、信息展示等业务能力，有效解决农业项目信息分散、同步滞后、填报繁琐等问题，进一步提升农业工程交易数字化、标准化、集约化管理水平。</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⑤</w:t>
      </w:r>
      <w:r>
        <w:rPr>
          <w:rFonts w:ascii="FangSong" w:hAnsi="FangSong" w:eastAsia="FangSong" w:cs="FangSong"/>
          <w:b/>
          <w:color w:val="000000"/>
          <w:sz w:val="28"/>
        </w:rPr>
        <w:t xml:space="preserve">与江苏省发改委立项审批系统对接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该对接为省级政务审批类专项对接，区别于四大工程类交易系统统一对接模式，严格遵循江苏省政务数据共享交换规范，依托政务外网专属安全传输通道，采用授权定向拉取、</w:t>
      </w:r>
      <w:r>
        <w:rPr>
          <w:rFonts w:ascii="Times New Roman" w:hAnsi="Times New Roman" w:eastAsia="Times New Roman" w:cs="Times New Roman"/>
          <w:color w:val="000000"/>
          <w:sz w:val="28"/>
        </w:rPr>
        <w:t xml:space="preserve">OAuth2.0</w:t>
      </w:r>
      <w:r>
        <w:rPr>
          <w:rFonts w:ascii="FangSong" w:hAnsi="FangSong" w:eastAsia="FangSong" w:cs="FangSong"/>
          <w:color w:val="000000"/>
          <w:sz w:val="28"/>
        </w:rPr>
        <w:t xml:space="preserve">令牌鉴权、唯一代码主键匹配、落地固化复用、变更增量更新的专属技术路径，实现立项源头权威数据一键复用、全链路合规流转。系统以投资项目统一代码为唯一关联主键，精准匹配本地项目台账，安全合规拉取立项审批相关项目数据，自动回填至平台项目登记表单，彻底替代人工手动录入方式，从源头保障立项数据的权威性、准确性与统一性。系统支持实时监测省级立项数据变更动态，自动触发增量更新同步，全程留存接口调用、数据同步、信息变更日志，实现对接过程可追溯、可监管。项目登记办结后，平台按照全域统一数据标准，将本地登记成果数据标准化推送至各</w:t>
      </w:r>
      <w:r>
        <w:rPr>
          <w:rFonts w:ascii="FangSong" w:hAnsi="FangSong" w:eastAsia="FangSong" w:cs="FangSong"/>
          <w:color w:val="000000"/>
          <w:sz w:val="28"/>
        </w:rPr>
        <w:t xml:space="preserve">行业交易系统，打通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省级立项审批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本地项目登记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全域交易执行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全业务、全数据链路，实现立项与交易业务深度协同、闭环流转，大幅提升项目登记办理效率与业务合规性。</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⑥</w:t>
      </w:r>
      <w:r>
        <w:rPr>
          <w:rFonts w:ascii="FangSong" w:hAnsi="FangSong" w:eastAsia="FangSong" w:cs="FangSong"/>
          <w:b/>
          <w:color w:val="000000"/>
          <w:sz w:val="28"/>
        </w:rPr>
        <w:t xml:space="preserve">与省统一主体库对接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对接为省级主体资源底座专项对接，独立于工程类交易系统对接体系，严格对标全省公共资源交易主体数据统一管理要求，采用省级主体库专属共享服务技术规范，依托实时调用比对、属地数据精准过滤、本地缓存留存、差异增量更新、</w:t>
      </w:r>
      <w:r>
        <w:rPr>
          <w:rFonts w:ascii="Times New Roman" w:hAnsi="Times New Roman" w:eastAsia="Times New Roman" w:cs="Times New Roman"/>
          <w:color w:val="000000"/>
          <w:sz w:val="28"/>
        </w:rPr>
        <w:t xml:space="preserve">SaaS</w:t>
      </w:r>
      <w:r>
        <w:rPr>
          <w:rFonts w:ascii="FangSong" w:hAnsi="FangSong" w:eastAsia="FangSong" w:cs="FangSong"/>
          <w:color w:val="000000"/>
          <w:sz w:val="28"/>
        </w:rPr>
        <w:t xml:space="preserve">属地数据隔离的专属技术路径，落实市场主体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一处维护、多处复用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全省统一管理机制。平台通过省级授权安全接口，按需合规调用市场主体基础备案信息、资质证照信息、信用监管信息等标准化主体数据，自动完成本地主体档案与省级主体库的比对纠错、归一整合、增量更新，无需本地重复建档、重复运维，大幅降低数据维护成本。同时依托平台</w:t>
      </w:r>
      <w:r>
        <w:rPr>
          <w:rFonts w:ascii="Times New Roman" w:hAnsi="Times New Roman" w:eastAsia="Times New Roman" w:cs="Times New Roman"/>
          <w:color w:val="000000"/>
          <w:sz w:val="28"/>
        </w:rPr>
        <w:t xml:space="preserve">SaaS</w:t>
      </w:r>
      <w:r>
        <w:rPr>
          <w:rFonts w:ascii="FangSong" w:hAnsi="FangSong" w:eastAsia="FangSong" w:cs="FangSong"/>
          <w:color w:val="000000"/>
          <w:sz w:val="28"/>
        </w:rPr>
        <w:t xml:space="preserve">化后台数据隔离能力，精准适配泰州属地业务场景，仅同步、留存泰州市属地备案市场主体数据，自动过滤外省、外市无关主体信息，杜绝跨区域数据混杂问题，保障本地主体数据纯净、精准、适配性强。该对接全面支撑平台主体身份核验、业务校验、主体信息公示等核心业务，彻底解决多系统主体信息杂乱、更新不同步、数据不一致等痛点，持续提升市场主体办事便利度与平台数据规范化水平。</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⑦</w:t>
      </w:r>
      <w:r>
        <w:rPr>
          <w:rFonts w:ascii="FangSong" w:hAnsi="FangSong" w:eastAsia="FangSong" w:cs="FangSong"/>
          <w:b/>
          <w:color w:val="000000"/>
          <w:sz w:val="28"/>
        </w:rPr>
        <w:t xml:space="preserve">与苏采云系统场地预约模块对接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对接为政府采购专项业务对接，聚焦政府采购场景场地资源统筹调度与业务协同需求，采用区别于工程交易系统的业务驱动型对接技术路径，依托业务事件驱动、双向状态联动、流程闭环回传、预约冲突智能校验、全程存证归档的核心机制，通过标准化安全接口实现电子服务平台与苏采云系统的深度互通。系统可实时同步两地场地资源台账、空闲场地信息、预约申请数据、审批结果、场地占用状态、预约变更及取消记录，实现数据双向实时联动、状态精准同步，有效规避跨系统预约冲突、状态滞后、信息不对称等问题。平台支撑政府采购项目线上查询空闲场地、自主提交预</w:t>
      </w:r>
      <w:r>
        <w:rPr>
          <w:rFonts w:ascii="FangSong" w:hAnsi="FangSong" w:eastAsia="FangSong" w:cs="FangSong"/>
          <w:color w:val="000000"/>
          <w:sz w:val="28"/>
        </w:rPr>
        <w:t xml:space="preserve">约申请、实时查看审批进度、自动接收结果回传的全流程线上闭环办理，统一政府采购场地预约业务入口与办理标准，替代传统线下沟通、人工报备的低效模式，简化业务办理流程，实现政府采购场地资源统一调度、预约业务全程线上化、流程可追溯、数据可监管，显著提升政府采购领域数字化服务水平与业务办理效率。</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⑧</w:t>
      </w:r>
      <w:r>
        <w:rPr>
          <w:rFonts w:ascii="FangSong" w:hAnsi="FangSong" w:eastAsia="FangSong" w:cs="FangSong"/>
          <w:b/>
          <w:color w:val="000000"/>
          <w:sz w:val="28"/>
        </w:rPr>
        <w:t xml:space="preserve">与目录外交易系统场地预约模块对接</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对接为目录外非标交易专项预约对接，适配目录外交易品类多、场景灵活、业务模式多元的特性，采用定制化、柔性化对接技术路径，依托标准化接口适配、业务状态联动同步、预约冲突智能校验、柔性增量更新、台账闭环管理机制，搭建跨系统安全稳定的数据交互通道。针对目录外非标交易的灵活业务场景，系统优化专属数据交互规则，兼容多类型非标交易场地预约需求，双向同步场地资源信息、预约申请内容、审批结果、场地使用状态、预约变更及取消数据。同时具备预约时段冲突、场地资源占用重复的智能校验能力，实现目录外交易项目场地线上预约、变更、取消、</w:t>
      </w:r>
      <w:r>
        <w:rPr>
          <w:rFonts w:ascii="FangSong" w:hAnsi="FangSong" w:eastAsia="FangSong" w:cs="FangSong"/>
          <w:color w:val="000000"/>
          <w:sz w:val="28"/>
        </w:rPr>
        <w:t xml:space="preserve">状态反馈、台账归档的全流程闭环管理。统一全市目录外交易项目场地预约线上办理入口，彻底替代线下纸质申报、人工对接的传统模式，规范全域场地资源统筹管理，实现目录外场地预约业务可记录、可查询、可监管、可追溯，全面补齐目录外交易数字化短板，提升全域公共资源交易一体化治理水平。</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11.3.2.2.优化电子交易系统</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公共资源交易门户网站智能问答服务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资源交易门户网站智能问答服务是平台面向招标人、招标代理机构、从业人员及社会公众打造的全天候、智能化、自助式咨询服务模块，依托标准化、全覆盖的行业知识库，结合智能语义识别技术，构建无人值守、即时响应、持续交互的线上咨询服务体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模块彻底解决传统人工咨询服务时间受限、咨询渠道单一、常见问题重复答疑、政策解读不集中、业务问题解答不及时等痛点，为用户提供</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小时不间断的政策咨询、行业知识解答、系统操作答疑服务，全面提升平台便民服务能力与用户使用体验，降低业务咨询沟通成本，实现交易咨询服务标准化、智能化、常态化。</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可通过门户网站统一入口进入智能问答系统，在咨询交互界面消息框内自主输入各类业务咨询、政策疑问、系统操作问题。系统搭载智能语义理解引擎，可精准识别用户提问意图、问题关键词及业务场景，无需人工干预，自动在后台海量标准化知识库中进行快速检索、智能匹配，筛选与用户问题高度契合的标准答案，并即时反馈至前端问答界面。系统输出的答疑内容支持多样化展示形式，既可以标准化文字描述直观解答用户疑问，也可通过内嵌跳转链接、原文链接的形式，为用户推送政策原文、操作文档、案例详情等拓展内容，满足用户基础答疑与深度查阅的双重需求。</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持续性交互咨询闭环服务，具备灵活的咨询收尾与续问机制。若系统推送的答疑内容能够精准匹配用户咨询诉求、完整解决本次业务及政策疑问，用户可直接结束本次咨询会话，完成自助答疑；若反馈答案与用户实际需求不符、解答内容不够详尽，或用户需要围绕同类业务、相关政策开展延伸咨询，可继续在交互界面发起二次及多次提问，系统持续响应、迭代解答，直至满足用户咨询需求，充分适配各类复杂、延伸性咨询场景。</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①</w:t>
      </w:r>
      <w:r>
        <w:rPr>
          <w:rFonts w:ascii="FangSong" w:hAnsi="FangSong" w:eastAsia="FangSong" w:cs="FangSong"/>
          <w:b/>
          <w:color w:val="000000"/>
          <w:sz w:val="28"/>
        </w:rPr>
        <w:t xml:space="preserve">运维服务说明</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建设，涵盖智能问答服务两年免费运维。具备可持续运维、迭代升级的能力，支持后期知识库常态化更新、问答模型优化、服务功能迭代、咨询场景拓展等运维升级工作，可根据国家、省、市最新招投标政策更新、平台业务功能调整、用户咨询需求变化，持续优化问答精准度、完善知识库内容、扩充答疑场景，保障智能问答服务长期适配公共资源交易业务发展需求，实现服务能力动态更新、长效稳定运营。</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②</w:t>
      </w:r>
      <w:r>
        <w:rPr>
          <w:rFonts w:ascii="FangSong" w:hAnsi="FangSong" w:eastAsia="FangSong" w:cs="FangSong"/>
          <w:b/>
          <w:color w:val="000000"/>
          <w:sz w:val="28"/>
        </w:rPr>
        <w:t xml:space="preserve">政策法规问答</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策法规问答聚焦公共资源交易招投标领域合规咨询场景，针对用户提出的各类法律法规、政策制度、合规性疑问，依托专业化、层级化的法律政策知识库，精准识别用户提问核心诉求，覆盖法律条文查询、政策精准解读、多政策整合归纳、典型案例分析等全场景答疑服务。系统可全天候为用户提供即时、权威、精准的智能化法律合规答疑，帮助用户快速掌握招投标领域政策要求、规范业务操作，规避合规风险。</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政策解读</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模块提供</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小时全天候不间断的智能化政策法律咨询与解读服务，实现用户政策疑问即时响应、精准解答。系统基于用户浏览行为、历史咨询记录、业务关注偏好、当下行业政策热点，具备智能预判能力，可主动推送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猜你想问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高频常见政策疑问，提前覆盖用户潜在咨询需求，进一步提升咨询答疑效率与服务体验。系统自动永久留存用户全部历史问答记录，支持用户随时在线检索、回看过往咨询问题及对应详细解答，方便用户复盘学习、追溯查阅。同时，答疑内容支持关联法规溯源展示，用户可点击页面法规图标，直接跳转查看当前解答内容所依据的官方政策条文、法律法规原文，确保答疑内容有据可依、权威合规，保障政策解读的准确性与严谨性。</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多政策归纳</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针对招投标领域繁杂分散的政策文件进行智能化整合梳理，对国家、省、市各级出台的招投标法律法规、管理制度、行业规范进行系统性归集、分类与深度解析。针对用户提出的复合型、跨条款、跨层级政策问题，系统可打破单一政策文件局限，自动整合关联多条同类、配套、补充政策内容，形成条理清晰、重点突出、逻辑连贯的归纳式解答，避免用户零散查阅、碎片化理解。同时支持法规原文溯源查看，用户可随时点击对应法规图标调取政策全文、引用条文，帮助用户系统、全面、准确掌握招投标相关法律法规要求，解决多政策交叉理解困难、政策条款混淆等问题，提</w:t>
      </w:r>
      <w:r>
        <w:rPr>
          <w:rFonts w:ascii="FangSong" w:hAnsi="FangSong" w:eastAsia="FangSong" w:cs="FangSong"/>
          <w:color w:val="000000"/>
          <w:sz w:val="28"/>
        </w:rPr>
        <w:t xml:space="preserve">升用户政策运用的专业性与精准度。</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包含泰州市地方法律法规的归纳。专项归集泰州市本地出台的公共资源交易、招投标、政府采购相关地方性法规、管理办法、实施细则、专项通知等本地化政策文件，涵盖泰州市政府采购条例、招投标管理办法等属地化规范要求，精准适配本地交易业务实操标准，解决国家、省级政策与地方细则差异化适配问题，保障用户严格遵循本地交易规范开展业务。</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各类交易系统操作问题答疑</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用户在平台使用过程中遇到的登录异常、功能找不到、操作报错、流程卡顿、权限异常、页面展示异常等各类系统问题，系统可快速识别问题场景、定位问题根源，智能匹配对应的排查方法、操作步骤与解决方案，为用户提供精准、可落地的实操解答，无需人工介入即可快速解决基础系统使用问题，大幅降低平台运维咨询压力，提升问题处置效率与用户操作体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面归集泰州市公共资源交易服务平台全业务模块的标准化操作手册，涵盖系统账号登录、信息维护、项目登记、场地预约、业务申报、资料提交、信息查询、数据导出等全流程操作步骤，搭配标准化流程说明与操作示例，通俗易懂、清晰直观，帮助新老用户快速熟练掌握平台各项功能使用方法，减少操作失误，提升整体业务办理效率。</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业务知识答疑</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覆盖招投标全流程专业业务知识答疑，针对项目登记、场地预约、交易发起、资料上传、流程报审、信息公示等各环节业务疑问，提供标准化、专业化的解答内容。精准解答各类业务办理规范、流程要求、资料标准、时限规定、常见易错点等核心内容，弥补用户业务知识盲点、规范业务办理行为，全面提升用户业务处理的专业性、规范性与准确性。</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招标文件智能检测服务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招标文件智能检测服务是泰州市公共资源交易电子交易系统新增的核心智能化风控与合规校验功能，依托成熟的</w:t>
      </w:r>
      <w:r>
        <w:rPr>
          <w:rFonts w:ascii="Times New Roman" w:hAnsi="Times New Roman" w:eastAsia="Times New Roman" w:cs="Times New Roman"/>
          <w:color w:val="000000"/>
          <w:sz w:val="28"/>
        </w:rPr>
        <w:t xml:space="preserve">SAAS</w:t>
      </w:r>
      <w:r>
        <w:rPr>
          <w:rFonts w:ascii="FangSong" w:hAnsi="FangSong" w:eastAsia="FangSong" w:cs="FangSong"/>
          <w:color w:val="000000"/>
          <w:sz w:val="28"/>
        </w:rPr>
        <w:t xml:space="preserve">化云端服务能力实现轻量化能力赋能，无需本地部署复杂算法模型、无需自建海量合规规则库与风险数据库，通过云端统一算力、统一规则、统一标准为本地交易平台提供智能化文件检测支撑。本功能全面替代传统招标文件人工逐条审核、经验化判断、人工纠错的传统审核模式，将智能化合规校验、风险筛查、问题纠错、合规判定能力贯穿招标文件编制、线上上传、内部初审、正式发布全业务流程，实现招标文件审核标准化、智能化、精细化、闭环化管控。系统可精准识别招标文件存在的合规性瑕疵、文本规范性错误、交易倾向性风险及业务漏洞隐患，全方位保障泰州市本级</w:t>
      </w:r>
      <w:r>
        <w:rPr>
          <w:rFonts w:ascii="FangSong" w:hAnsi="FangSong" w:eastAsia="FangSong" w:cs="FangSong"/>
          <w:color w:val="000000"/>
          <w:sz w:val="28"/>
        </w:rPr>
        <w:t xml:space="preserve">各类交易项目招标文件严格对标省级统一交易规范、国家法律法规及行业制式标准，在大幅提升招标文件审核效率、缩短项目备案周期的同时，有效规范本地交易编制行为、前置规避各类交易风险、减少项目质疑投诉与异议纠纷，持续优化公共资源交易营商环境，保障交易活动公开、公平、公正、合规开展。</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①</w:t>
      </w:r>
      <w:r>
        <w:rPr>
          <w:rFonts w:ascii="FangSong" w:hAnsi="FangSong" w:eastAsia="FangSong" w:cs="FangSong"/>
          <w:b/>
          <w:color w:val="000000"/>
          <w:sz w:val="28"/>
        </w:rPr>
        <w:t xml:space="preserve">标准化</w:t>
      </w:r>
      <w:r>
        <w:rPr>
          <w:rFonts w:ascii="Times New Roman" w:hAnsi="Times New Roman" w:eastAsia="Times New Roman" w:cs="Times New Roman"/>
          <w:b/>
          <w:color w:val="000000"/>
          <w:sz w:val="28"/>
        </w:rPr>
        <w:t xml:space="preserve">API</w:t>
      </w:r>
      <w:r>
        <w:rPr>
          <w:rFonts w:ascii="FangSong" w:hAnsi="FangSong" w:eastAsia="FangSong" w:cs="FangSong"/>
          <w:b/>
          <w:color w:val="000000"/>
          <w:sz w:val="28"/>
        </w:rPr>
        <w:t xml:space="preserve">接口对接适配</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标准化</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对接是招标文件智能检测服务落地运行的基础支撑能力，通过标准化、安全化、高兼容的接口体系，实现泰州本地电子交易系统与云端智能检测服务的无缝打通、双向数据互通、全流程指令联动，所有对接标准、检测规则完全适配省级统一交易规范、法律法规及行业制式要求，保障本地检测结果与省级标准统一、口径一致、合规同源。整体接口能力具备标准化调用、自适应解析、异常容错保障三大核心特性，支撑检测业务</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小时稳定运行。</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在标准化安全调用方面，平台搭建全品类、全覆盖的标准化接口调用体系，完整支持招标文件云端上传校验、批量文件智能检测、检测结果实时查询、异常任务重试、结构化数据回传、操作日志双向同步等全流程接口能力。所有接口传输采用</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加密传输协议，配套专属身份鉴权、密钥校验、接口权限管控机制，严格保障接口调用过程安全合规、数据传输加密、服务调用稳定可靠，杜绝数据泄露、接口盗用、数据篡改等安全风险。</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在数据格式自适应适配方面，接口具备强兼容、自动化的数据解析与格式转换能力，可针对本地平台上传的各类格式招标文件进行自动识别、完整解析与标准化封装，统一适配云端智能检测服务的入参规范与数据格式要求，无需人工预处理文件、无需统一模板格式。同时，系统可自动解析云端检测服务返回的结构化、标准化检测结果，完成数据格式二次转换，适配泰州本地平台的页面展示、数据统计、档案留存、业务审核场景，实现外部服务能力无缝本地化落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在接口状态监测与异常容错方面，系统搭载实时接口状态监测机制，可自动识别接口离线、网络超时、服务拥堵、调用失败、数据异常等各类问题，针对异常任务自动触发智能重试机制与后台运维告警提醒，及时告知管理人员排查处置。同时支持检测任务离线缓存能力，网络中断、服务临时异常时自动留存待检测任务，待网络与服务恢复后自动续传、接续执行检测流程，有效规避网络波动、服务瞬时异常导致的检测任务中断、任务失效问题，全方位保障招标文件智能检测业务连续不中断、流程闭环可落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招标文件智能检测服务后，依托云端统一迭代更新的法律法规库、省级交易规则库、标准化模板库、交易风险案例库四大权威资源库，为泰州本地平台提供全维度、全覆盖、高标准的招标文件智能检测能力。所有检测规则同步省级最新政策规范与交易标准，由云端统一迭代更新、统一维护优化，无需本地人工整理规则、无需手动更新条款、无需本地化运维投入，确保本地检测标准始终与省级保持高度一致，杜绝规则滞后、标准不一、检测漏项等问题。系统核心覆盖五大类智能合规检测场景，实现招标文件全方位合规风控校验。</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合规性法规检测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格对标《招标投标法》《政府采购法》及其配套实施条例、省市级公共资源交易管理办法、行业专项规范等法律法规，对招标文件全文内容进行逐条智能化合规校验。重点筛查文件中存在的违法违规条款、无效约定内容、违规限制性条件、排他性条款、歧视性门槛、违规加分条款等各类合规问题，精准识别变相指定供应商、设置不合理竞争壁垒、限制市场主体公平参与竞争等违规情形，从文件源头杜绝违规招标行为，保障招标流程合法合规、公平公正。</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标准化规范性检测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格对照省级统一招标文件标准模板、泰州市本地制式规范、文本格式要求、章节编制标准，对招标文件开展全方位规范性检测。全面校验文件整体结构完整性、条款编制规范性、业务内容完整性、全文格式统一性，重点排查缺失关键交易章节、条款表述模糊不严谨、文本格式错乱、必填内容空白、前后参数表述矛盾、文字错别字、标点符号错误、制式用语不规范等基础编制问题。通过标准化智能检测，统一全市招标文件编制标准，彻底解决人工编制随意性大、格式不统一、错漏项多发等问题，全面贴合省级规范化编制要求。</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交易风险隐患检测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省级统一交易风控规则库与风险案例库，聚焦招投标领域高频廉政风险、交易风险、操作风险，智能化挖掘招标文件中的倾向性、排他性、隐蔽性风险及交易漏洞。重点检测量身定制化条款、倾向性评标评分标准、不合理企业资质要求、过高业绩门槛、模糊权责划分、评标规则漏洞、履约条款缺失、风险权责不对等等潜在风险点，提前预判围标串标、暗箱操作、交易争议、投诉信访等各类隐患，实现交易风险前置预警、提前规避，筑牢交易风险防控第一道防线。</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关键参数一致性检测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招标文件内核心业务参数开展全文字交叉校验、逻辑比对与合规核验，覆盖项目基础信息、企业资质条件、评标办法细则、项目工期要求、项目预算金额、保证金缴纳规则、项目付款方式、各项评分细则等全部关键参数。系统自动筛查全文参数前后矛盾、数据填写错误、业务逻辑冲突、数值超标违规、规则不匹配等问题，有效解决人工编制易出现的参数疏漏、前后不一、逻辑混乱等问题，全面保障招标文件内容逻辑严谨、数据精准、条款规范。</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政策落地适配检测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步对标国家、省、市最新招投标改革政策、优化营商环境工作要求、企业减负政策、信用监管规则等规范性文件，对招标文件开展政策落地适配性专项检测。重点筛查文件中是否存在违规增设审批环节、不合理加重企业交易负担、违背惠企便民政策、不符合信用分级监管要求、与最新改革政策相悖等内容，确保各项招投标新政、营商环境优化政策精准落地执行，杜绝政策落地打折扣、执行不到位等问题，切实减轻市场主体交易负担，规范本地交易政策执行标准。</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②</w:t>
      </w:r>
      <w:r>
        <w:rPr>
          <w:rFonts w:ascii="FangSong" w:hAnsi="FangSong" w:eastAsia="FangSong" w:cs="FangSong"/>
          <w:b/>
          <w:color w:val="000000"/>
          <w:sz w:val="28"/>
        </w:rPr>
        <w:t xml:space="preserve">检测结果可视化展示与详情解析</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接收云端智能检测服务返回的结构化标准化检测结果后，对数据进行本地化梳理、精细化分类、可视化渲染，为招标文件编制人员、业务审核人员提供清晰直观、详情完备、可溯源、可整改的检测结果展示体系，快速辅助工作人员定位问题、分析问题、整改问题，提升文件审核与修正效率，形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智能检测</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问题展示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溯源解析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整改完善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的闭环管理能力。</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整体结果概览展示</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自动汇总本次招标文件全部检测数据，直观展示文件检测综合得分、合规等级评定结果（合规、基本合规、不合规）、整体问题总数量、各类别问题分类统计数据、合规条款数量、风险等级分布等宏观信息，让审核人员快速掌握招标文件整体合规水平与风险概况。</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精细化问题明细展示</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检测筛查出的所有违规问题、不规范内容、高风险隐患，系统逐条罗列完整问题清单，精准定位问题对应的文件页码、所属章节、具体行数，同时高亮标注问题原文内容，实现问题精准定位、一目了然，无需人工逐页排查，极大降低整改排查难度。</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标准化合规解析配套</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每一条检测出的问题，系统自动配套完整的合规解析依据，明确标注问题对应的国家法律法规、省级交易规则、地方制式条款等权威依据；同时划分问题风险等级，分为严重问题、一般问题、提示性问题三类，同步详细说明问题成因、违规风险、业务影响与整改必要性，帮助工作人员清晰理解问题本质、知晓风险危害、精准落实整改。</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合规亮点正向展示</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系统不仅识别问题风险，同时对完全符合省级标准、编制规范、条款优质合规的文件内容、标准条款进行专项标注展示，形成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问题纠错</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亮点展示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双向评价体系，最终生成完整、可导出、可存档、可溯源的标准化检测报告，为招标文件审核、备案、归档、溯源提供完整的数据支撑与材料依据。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11.3.2.3.新增AI智能场景</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智能场景模块是平台依托人工智能视频感知能力打造的评标现场智能化监管核心功能，基于</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神经网络视频智能分析算法，实现评标现场视频流媒体数据的全天候、实时化、自动化智能监测与风险预警。模块深度适配公共资源交易评标封闭场景管理规范，可精准识别评标全过程各类人员异常行为、违规操作与现场风险隐患，替代传统人工全程盯守、事后追溯的被动监管模式，构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实时</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感知、智能分析研判、自动预警推送、快速联动处置、全程存证追溯、合规数据上报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全流程主动防控闭环体系。系统支持全量视频数据、预警事件数据、处置台账数据的标准化存储，具备可视化追溯、多维度统计报表生成能力，可全方位辅助见证人员高效、精准开展评标现场见证监管工作，有效规避人为监管疏漏、人工疲劳值守等问题，从技术层面保障评标过程的规范性、公正性、严肃性，为公共资源交易评标活动合规开展、阳光运行提供智能化技术支撑。</w:t>
        <w:br/>
        <w:t xml:space="preserve">    本次项目建设，采用政务云算力部署模式实现</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见证相关功能，向政务云管理部门申请具备</w:t>
      </w:r>
      <w:r>
        <w:rPr>
          <w:rFonts w:ascii="Times New Roman" w:hAnsi="Times New Roman" w:eastAsia="Times New Roman" w:cs="Times New Roman"/>
          <w:color w:val="000000"/>
          <w:sz w:val="28"/>
        </w:rPr>
        <w:t xml:space="preserve">GPU</w:t>
      </w:r>
      <w:r>
        <w:rPr>
          <w:rFonts w:ascii="FangSong" w:hAnsi="FangSong" w:eastAsia="FangSong" w:cs="FangSong"/>
          <w:color w:val="000000"/>
          <w:sz w:val="28"/>
        </w:rPr>
        <w:t xml:space="preserve">算力的云服务器资源，在云端虚拟机或容器中部署视频智能分析模型；评标区视频流通过拉取专线传输至云端进行分析，分析结果再回传至交易中心见证系统进行展示和处置。</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开评标全流程智慧监测预警</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本模块以公共资源交易开评标业务流程为主线，依据《国家发展改革委等部门关于加快招标投标领域人工智能推广应用的实施意见》（发改法规〔</w:t>
      </w:r>
      <w:r>
        <w:rPr>
          <w:rFonts w:ascii="SimSun" w:hAnsi="SimSun" w:eastAsia="SimSun" w:cs="SimSun"/>
          <w:color w:val="000000"/>
          <w:sz w:val="28"/>
        </w:rPr>
        <w:t xml:space="preserve">2026</w:t>
      </w:r>
      <w:r>
        <w:rPr>
          <w:rFonts w:ascii="FangSong" w:hAnsi="FangSong" w:eastAsia="FangSong" w:cs="FangSong"/>
          <w:color w:val="000000"/>
          <w:sz w:val="28"/>
        </w:rPr>
        <w:t xml:space="preserve">〕</w:t>
      </w:r>
      <w:r>
        <w:rPr>
          <w:rFonts w:ascii="SimSun" w:hAnsi="SimSun" w:eastAsia="SimSun" w:cs="SimSun"/>
          <w:color w:val="000000"/>
          <w:sz w:val="28"/>
        </w:rPr>
        <w:t xml:space="preserve">195</w:t>
      </w:r>
      <w:r>
        <w:rPr>
          <w:rFonts w:ascii="FangSong" w:hAnsi="FangSong" w:eastAsia="FangSong" w:cs="FangSong"/>
          <w:color w:val="000000"/>
          <w:sz w:val="28"/>
        </w:rPr>
        <w:t xml:space="preserve">号）关于构建</w:t>
      </w:r>
      <w:r>
        <w:rPr>
          <w:rFonts w:ascii="SimSun" w:hAnsi="SimSun" w:eastAsia="SimSun" w:cs="SimSun"/>
          <w:color w:val="000000"/>
          <w:sz w:val="28"/>
        </w:rPr>
        <w:t xml:space="preserve">“</w:t>
      </w:r>
      <w:r>
        <w:rPr>
          <w:rFonts w:ascii="FangSong" w:hAnsi="FangSong" w:eastAsia="FangSong" w:cs="FangSong"/>
          <w:color w:val="000000"/>
          <w:sz w:val="28"/>
        </w:rPr>
        <w:t xml:space="preserve">智能研判</w:t>
      </w:r>
      <w:r>
        <w:rPr>
          <w:rFonts w:ascii="SimSun" w:hAnsi="SimSun" w:eastAsia="SimSun" w:cs="SimSun"/>
          <w:color w:val="000000"/>
          <w:sz w:val="28"/>
        </w:rPr>
        <w:t xml:space="preserve">—</w:t>
      </w:r>
      <w:r>
        <w:rPr>
          <w:rFonts w:ascii="FangSong" w:hAnsi="FangSong" w:eastAsia="FangSong" w:cs="FangSong"/>
          <w:color w:val="000000"/>
          <w:sz w:val="28"/>
        </w:rPr>
        <w:t xml:space="preserve">动态干预</w:t>
      </w:r>
      <w:r>
        <w:rPr>
          <w:rFonts w:ascii="SimSun" w:hAnsi="SimSun" w:eastAsia="SimSun" w:cs="SimSun"/>
          <w:color w:val="000000"/>
          <w:sz w:val="28"/>
        </w:rPr>
        <w:t xml:space="preserve">—</w:t>
      </w:r>
      <w:r>
        <w:rPr>
          <w:rFonts w:ascii="FangSong" w:hAnsi="FangSong" w:eastAsia="FangSong" w:cs="FangSong"/>
          <w:color w:val="000000"/>
          <w:sz w:val="28"/>
        </w:rPr>
        <w:t xml:space="preserve">链上存证</w:t>
      </w:r>
      <w:r>
        <w:rPr>
          <w:rFonts w:ascii="SimSun" w:hAnsi="SimSun" w:eastAsia="SimSun" w:cs="SimSun"/>
          <w:color w:val="000000"/>
          <w:sz w:val="28"/>
        </w:rPr>
        <w:t xml:space="preserve">”</w:t>
      </w:r>
      <w:r>
        <w:rPr>
          <w:rFonts w:ascii="FangSong" w:hAnsi="FangSong" w:eastAsia="FangSong" w:cs="FangSong"/>
          <w:color w:val="000000"/>
          <w:sz w:val="28"/>
        </w:rPr>
        <w:t xml:space="preserve">闭环见证体系的要求，落实《公共资源交易中心招标投标现场管理暂行办法》（国家发展改革委等</w:t>
      </w:r>
      <w:r>
        <w:rPr>
          <w:rFonts w:ascii="SimSun" w:hAnsi="SimSun" w:eastAsia="SimSun" w:cs="SimSun"/>
          <w:color w:val="000000"/>
          <w:sz w:val="28"/>
        </w:rPr>
        <w:t xml:space="preserve">7</w:t>
      </w:r>
      <w:r>
        <w:rPr>
          <w:rFonts w:ascii="FangSong" w:hAnsi="FangSong" w:eastAsia="FangSong" w:cs="FangSong"/>
          <w:color w:val="000000"/>
          <w:sz w:val="28"/>
        </w:rPr>
        <w:t xml:space="preserve">部门令</w:t>
      </w:r>
      <w:r>
        <w:rPr>
          <w:rFonts w:ascii="SimSun" w:hAnsi="SimSun" w:eastAsia="SimSun" w:cs="SimSun"/>
          <w:color w:val="000000"/>
          <w:sz w:val="28"/>
        </w:rPr>
        <w:t xml:space="preserve">2026</w:t>
      </w:r>
      <w:r>
        <w:rPr>
          <w:rFonts w:ascii="FangSong" w:hAnsi="FangSong" w:eastAsia="FangSong" w:cs="FangSong"/>
          <w:color w:val="000000"/>
          <w:sz w:val="28"/>
        </w:rPr>
        <w:t xml:space="preserve">年第</w:t>
      </w:r>
      <w:r>
        <w:rPr>
          <w:rFonts w:ascii="SimSun" w:hAnsi="SimSun" w:eastAsia="SimSun" w:cs="SimSun"/>
          <w:color w:val="000000"/>
          <w:sz w:val="28"/>
        </w:rPr>
        <w:t xml:space="preserve">43</w:t>
      </w:r>
      <w:r>
        <w:rPr>
          <w:rFonts w:ascii="FangSong" w:hAnsi="FangSong" w:eastAsia="FangSong" w:cs="FangSong"/>
          <w:color w:val="000000"/>
          <w:sz w:val="28"/>
        </w:rPr>
        <w:t xml:space="preserve">号）明确的现场管理职责，按照开评标业务实际办理流程，将交易现场管理要求逐环节拆解为可监测、可预警、可追溯的流程管控节点，构建</w:t>
      </w:r>
      <w:r>
        <w:rPr>
          <w:rFonts w:ascii="SimSun" w:hAnsi="SimSun" w:eastAsia="SimSun" w:cs="SimSun"/>
          <w:color w:val="000000"/>
          <w:sz w:val="28"/>
        </w:rPr>
        <w:t xml:space="preserve">“</w:t>
      </w:r>
      <w:r>
        <w:rPr>
          <w:rFonts w:ascii="FangSong" w:hAnsi="FangSong" w:eastAsia="FangSong" w:cs="FangSong"/>
          <w:color w:val="000000"/>
          <w:sz w:val="28"/>
        </w:rPr>
        <w:t xml:space="preserve">标前核验</w:t>
      </w:r>
      <w:r>
        <w:rPr>
          <w:rFonts w:ascii="SimSun" w:hAnsi="SimSun" w:eastAsia="SimSun" w:cs="SimSun"/>
          <w:color w:val="000000"/>
          <w:sz w:val="28"/>
        </w:rPr>
        <w:t xml:space="preserve">—</w:t>
      </w:r>
      <w:r>
        <w:rPr>
          <w:rFonts w:ascii="FangSong" w:hAnsi="FangSong" w:eastAsia="FangSong" w:cs="FangSong"/>
          <w:color w:val="000000"/>
          <w:sz w:val="28"/>
        </w:rPr>
        <w:t xml:space="preserve">标中研判</w:t>
      </w:r>
      <w:r>
        <w:rPr>
          <w:rFonts w:ascii="SimSun" w:hAnsi="SimSun" w:eastAsia="SimSun" w:cs="SimSun"/>
          <w:color w:val="000000"/>
          <w:sz w:val="28"/>
        </w:rPr>
        <w:t xml:space="preserve">—</w:t>
      </w:r>
      <w:r>
        <w:rPr>
          <w:rFonts w:ascii="FangSong" w:hAnsi="FangSong" w:eastAsia="FangSong" w:cs="FangSong"/>
          <w:color w:val="000000"/>
          <w:sz w:val="28"/>
        </w:rPr>
        <w:t xml:space="preserve">标后存证</w:t>
      </w:r>
      <w:r>
        <w:rPr>
          <w:rFonts w:ascii="SimSun" w:hAnsi="SimSun" w:eastAsia="SimSun" w:cs="SimSun"/>
          <w:color w:val="000000"/>
          <w:sz w:val="28"/>
        </w:rPr>
        <w:t xml:space="preserve">”</w:t>
      </w:r>
      <w:r>
        <w:rPr>
          <w:rFonts w:ascii="FangSong" w:hAnsi="FangSong" w:eastAsia="FangSong" w:cs="FangSong"/>
          <w:color w:val="000000"/>
          <w:sz w:val="28"/>
        </w:rPr>
        <w:t xml:space="preserve">全流程闭环监测体系。系统依托政务云集约化算力与多模态感知算法，将现场视频流转化为流程环节的执行数据，实现流程节点到位情况、制度执行合规情况、现场秩序运行情况的自动感知与智能研判，推动现场管理从</w:t>
      </w:r>
      <w:r>
        <w:rPr>
          <w:rFonts w:ascii="SimSun" w:hAnsi="SimSun" w:eastAsia="SimSun" w:cs="SimSun"/>
          <w:color w:val="000000"/>
          <w:sz w:val="28"/>
        </w:rPr>
        <w:t xml:space="preserve">“</w:t>
      </w:r>
      <w:r>
        <w:rPr>
          <w:rFonts w:ascii="FangSong" w:hAnsi="FangSong" w:eastAsia="FangSong" w:cs="FangSong"/>
          <w:color w:val="000000"/>
          <w:sz w:val="28"/>
        </w:rPr>
        <w:t xml:space="preserve">人工盯守</w:t>
      </w:r>
      <w:r>
        <w:rPr>
          <w:rFonts w:ascii="SimSun" w:hAnsi="SimSun" w:eastAsia="SimSun" w:cs="SimSun"/>
          <w:color w:val="000000"/>
          <w:sz w:val="28"/>
        </w:rPr>
        <w:t xml:space="preserve">”</w:t>
      </w:r>
      <w:r>
        <w:rPr>
          <w:rFonts w:ascii="FangSong" w:hAnsi="FangSong" w:eastAsia="FangSong" w:cs="FangSong"/>
          <w:color w:val="000000"/>
          <w:sz w:val="28"/>
        </w:rPr>
        <w:t xml:space="preserve">向</w:t>
      </w:r>
      <w:r>
        <w:rPr>
          <w:rFonts w:ascii="SimSun" w:hAnsi="SimSun" w:eastAsia="SimSun" w:cs="SimSun"/>
          <w:color w:val="000000"/>
          <w:sz w:val="28"/>
        </w:rPr>
        <w:t xml:space="preserve">“</w:t>
      </w:r>
      <w:r>
        <w:rPr>
          <w:rFonts w:ascii="FangSong" w:hAnsi="FangSong" w:eastAsia="FangSong" w:cs="FangSong"/>
          <w:color w:val="000000"/>
          <w:sz w:val="28"/>
        </w:rPr>
        <w:t xml:space="preserve">数据驱动、闭环管控</w:t>
      </w:r>
      <w:r>
        <w:rPr>
          <w:rFonts w:ascii="SimSun" w:hAnsi="SimSun" w:eastAsia="SimSun" w:cs="SimSun"/>
          <w:color w:val="000000"/>
          <w:sz w:val="28"/>
        </w:rPr>
        <w:t xml:space="preserve">”</w:t>
      </w:r>
      <w:r>
        <w:rPr>
          <w:rFonts w:ascii="FangSong" w:hAnsi="FangSong" w:eastAsia="FangSong" w:cs="FangSong"/>
          <w:color w:val="000000"/>
          <w:sz w:val="28"/>
        </w:rPr>
        <w:t xml:space="preserve">升级，形成覆盖三个环节、八项流程管控节点的智慧监测能力。</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①</w:t>
      </w:r>
      <w:r>
        <w:rPr>
          <w:rFonts w:ascii="FangSong" w:hAnsi="FangSong" w:eastAsia="FangSong" w:cs="FangSong"/>
          <w:b/>
          <w:color w:val="000000"/>
          <w:sz w:val="28"/>
        </w:rPr>
        <w:t xml:space="preserve">标前环节：进场核验监测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前环节聚焦人员进场与到场准备阶段的流程监控。系统按进场核验流程逐节点开展智能核验，覆盖人员到场、在岗状态、物品寄存等关键控制点，形成进场环节完整执行记录，确保核验流程按规范执行、过程留痕可查。</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人员到场核验监测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专家签到进场、候场等待、进入评标室、在岗值守等流程节点，系统对人员到位情况与在岗状态实施持续感知，自动比对到场人数、到场时序、在岗时长与流程要求的一致性，同步感知现场人员的安全状态，对异常姿态、突发不适等情况即时提醒处置，形成进场及在岗环节的执行记录与核验台账，确保人员到位环节规范、连续、可追溯。</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物品寄存核验监测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进场环节随身物品与资料介质的寄存、携入流程，系统对寄存核验节点执行情况、物品流转路径实施场景化感知与逻辑比对，自动发现未经核验的物品携入、资料介质私下流转等流程偏差，即时推送提醒并留存证据，实现物品管控环节从进场到离场的闭环留痕。</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②</w:t>
      </w:r>
      <w:r>
        <w:rPr>
          <w:rFonts w:ascii="FangSong" w:hAnsi="FangSong" w:eastAsia="FangSong" w:cs="FangSong"/>
          <w:b/>
          <w:color w:val="000000"/>
          <w:sz w:val="28"/>
        </w:rPr>
        <w:t xml:space="preserve">标中环节：实施过程研判</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中环节覆盖开标评标实施的完整区段，是流程监控的核心环节。系统围绕在岗履职、评审状态、设备管控、现场秩序等关键流程节点开展持续研判，将现场管理制度要求固化为可监测的节点规则，对偏离流程规范的节点自动预警、自动留痕，实现实施过程全程可控、全程可溯。</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在岗履职节点监测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专家在岗值守与离岗报备流程，系统持续采集在岗状态数据，自动记录离岗时间、离岗时长、报备情况，并按流程要求对超出规定的异常在岗状态生成预警，形成履职环节的过程记录，强化评标流程的连续性与规范性管理。</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评审状态合规监测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针对评审实施阶段的履职状态，系统对评审节奏、在场状态、评审动作时序进行智能研判，自动发现偏离规范的异常状态并即时提醒，同步生成过程记录，保障评审各环节按时序推进、评审质量与履职规范可控。</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通讯设备管控监测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封闭评标现场的通讯设备管控要求，系统对设备携入、使用等管控节点的执行情况实施持续监测，自动发现管控要求执行偏差，即时推送预警并抓拍留证，形成管控环节的闭环记录，落实评标现场通讯管理纪律。</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禁烟规范执行监测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针对评标现场禁烟管理要求，系统对现场烟雾、明火等风险特征实施自动感知，及时发现违规情形并即时提醒现场处置，同步生成管理记录，替代人工巡查，实现安全与规范管理要求的常态化执行。</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现场秩序监测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评标现场的活动秩序，系统对人员分布、聚集密度、活动轨迹等运行状态持续研判，自动识别偏离秩序的聚集、非正常交流等情形并及时预警，辅助管理人员维护现场秩序，防范评审意见互通等人为干预风险。</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现场交互风险监测</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针对评审过程中人员之间的非正常交互情形，系统对现场人员之间的接触、动作交互进行风险研判，及时发现现场争执、恶意干扰等风险并提醒管理人员介入处置，维护稳定有序的评审环境。</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③</w:t>
      </w:r>
      <w:r>
        <w:rPr>
          <w:rFonts w:ascii="FangSong" w:hAnsi="FangSong" w:eastAsia="FangSong" w:cs="FangSong"/>
          <w:b/>
          <w:color w:val="000000"/>
          <w:sz w:val="28"/>
        </w:rPr>
        <w:t xml:space="preserve">标后环节：核验存证分析</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后环节聚焦评标结束后的结果核验与资料归集流程，覆盖评标文书签署核验、评标记录完整性核验、预警处置结果核验等节点，形成完整的过程存证与核验台账，实现交易全过程可追溯。该环节能力由本模块「见证系统改造对接」部分统一承载，不单独新增功能项。</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840" w:right="0" w:firstLine="200"/>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见证系统改造对接</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①</w:t>
      </w:r>
      <w:r>
        <w:rPr>
          <w:rFonts w:ascii="FangSong" w:hAnsi="FangSong" w:eastAsia="FangSong" w:cs="FangSong"/>
          <w:b/>
          <w:color w:val="000000"/>
          <w:sz w:val="28"/>
        </w:rPr>
        <w:t xml:space="preserve">运行数据统计</w:t>
      </w:r>
      <w:r/>
    </w:p>
    <w:p>
      <w:pPr>
        <w:ind w:left="0" w:right="0" w:firstLine="560"/>
        <w:spacing w:before="0" w:after="62"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系统首页配置可视化运行数据统计看板，对</w:t>
      </w:r>
      <w:r>
        <w:rPr>
          <w:rFonts w:ascii="SimSun" w:hAnsi="SimSun" w:eastAsia="SimSun" w:cs="SimSun"/>
          <w:color w:val="000000"/>
          <w:sz w:val="28"/>
        </w:rPr>
        <w:t xml:space="preserve">AI</w:t>
      </w:r>
      <w:r>
        <w:rPr>
          <w:rFonts w:ascii="FangSong" w:hAnsi="FangSong" w:eastAsia="FangSong" w:cs="FangSong"/>
          <w:color w:val="000000"/>
          <w:sz w:val="28"/>
        </w:rPr>
        <w:t xml:space="preserve">智能监测的全量异常预警数据进行自动汇总、分类统计、趋势分析与可视化展示，实现评标现场监管数据可量化、可直观、可分析、可研判，辅助管理人员全面掌握评标现场违规行为发生规律、风险高发场景、监管运行态势，为现场精细化管理、制度优化、风险预判提供数据支撑。</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今日异常统计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自动实时统计当日评标全过程产生的所有异常行为预警总数量，并按照非授权离席、趴睡、聚集交谈、肢体接触、跌倒、物品传递、使用手机、抽烟等异常类型进行精准分类、分项统计展示，直观呈现当日各类违规行为的发生频次与分布情况，让见证人员实时掌握当日评标现场整体合规态势，快速聚焦高频风险问题。</w:t>
      </w:r>
      <w:r/>
    </w:p>
    <w:p>
      <w:pPr>
        <w:numPr>
          <w:ilvl w:val="5"/>
          <w:numId w:val="13"/>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历史异常统计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系统自动归集沉淀平台所有历史预警数据，支持历史累计异常预警总量统计，同时按月度维度汇总展示近</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个月异常行为预警数据，通过柱状图可视化呈现月度数据变化趋势、风险波动规律。管理人员可通过历史数据对比分析，研判评标现场风险变化趋势、管理薄弱环节、常态化违规问题，为优化现场监管机制、强化评标纪律管理、开展专项整治工作提供数据依据。</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②</w:t>
      </w:r>
      <w:r>
        <w:rPr>
          <w:rFonts w:ascii="FangSong" w:hAnsi="FangSong" w:eastAsia="FangSong" w:cs="FangSong"/>
          <w:b/>
          <w:color w:val="000000"/>
          <w:sz w:val="28"/>
        </w:rPr>
        <w:t xml:space="preserve">预警信息展示</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系统搭建标准化预警信息列表管理页面，对所有触发的</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智能预警事件进行结构化、规范化列表展示，每条预警信息完整涵盖异常行为类型、对应项目名称、事件发生场地与区域、精准发生时间、预警审核处置状态等核心字段，条理清晰、信息完备，方便见证人员统一查阅、集中管理、逐项处置。同时配备多维度精准检索能力，支持见证人员通过异常行为类型、项目名称、自定义时间范围等条件进行组合筛选、精准查询，快速定位目标预警事件，提升历史事件追溯、问题复盘、台账核查的工作效率。</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③</w:t>
      </w:r>
      <w:r>
        <w:rPr>
          <w:rFonts w:ascii="FangSong" w:hAnsi="FangSong" w:eastAsia="FangSong" w:cs="FangSong"/>
          <w:b/>
          <w:color w:val="000000"/>
          <w:sz w:val="28"/>
        </w:rPr>
        <w:t xml:space="preserve">预警信息处理</w:t>
      </w:r>
      <w:r/>
    </w:p>
    <w:p>
      <w:pPr>
        <w:numPr>
          <w:ilvl w:val="5"/>
          <w:numId w:val="6"/>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预警详情查看</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有现场触发的异常行为预警，均会实时同步展示在预警信息管理列表中，见证人员可随时点击进入预警详情页面，完整查看本条预警对应的异常行为类型、所属项目标段信息、精准发生时间、现场抓拍视频截图、关联监控点位等溯源信息，全方位掌握事件现场情况，为人工复核研判提供直观、精准的证据支撑。</w:t>
      </w:r>
      <w:r/>
    </w:p>
    <w:p>
      <w:pPr>
        <w:numPr>
          <w:ilvl w:val="5"/>
          <w:numId w:val="6"/>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预警详情处理</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见证人员结合预警截图、现场视频、实际场景对</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预警内容进行人工复核研判，精准判定预警属实情况，自主录入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违规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未违规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的最终处置结论与核查说明。系统自动将预警原始数据、抓拍素材、复核记录、处置结果进行打包整合，形成完整事件台账，完成单次预警事件闭环处置，确保每一条预警均可核查、可判定、可闭环、可存档。</w:t>
      </w:r>
      <w:r/>
    </w:p>
    <w:p>
      <w:pPr>
        <w:numPr>
          <w:ilvl w:val="5"/>
          <w:numId w:val="6"/>
        </w:numP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处理状态展示</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将已复核、待复核、已归档等处置状态实时同步展示在预警列表中，实现所有预警事件处置进度可视化、状态可跟踪。见证人员可快速区分未处置预警、已办结预警，精准跟进待办事项，有序推进预警核查处置工作，大幅提升现场监管与事后台账管理效率。</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④</w:t>
      </w:r>
      <w:r>
        <w:rPr>
          <w:rFonts w:ascii="FangSong" w:hAnsi="FangSong" w:eastAsia="FangSong" w:cs="FangSong"/>
          <w:b/>
          <w:color w:val="000000"/>
          <w:sz w:val="28"/>
        </w:rPr>
        <w:t xml:space="preserve">预警联动提醒</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实现异常风险快速响应、及时干预、当场纠偏，系统具备多设备、多渠道预警联动提醒能力。当现场异常行为预警触发后，系统第一时间推送告警信息至监管前台，工作人员核实风险需要现场干预时，可直接联动场地广播、</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对讲等智能设备，发起现场语音播报与规范提醒，实时引导评标人员纠正违规行为、规范参与评标活动，实现风险当场处置、问题即时整改。</w:t>
      </w:r>
      <w:r/>
    </w:p>
    <w:p>
      <w:pPr>
        <w:ind w:left="0" w:right="0" w:firstLine="200"/>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⑤</w:t>
      </w:r>
      <w:r>
        <w:rPr>
          <w:rFonts w:ascii="FangSong" w:hAnsi="FangSong" w:eastAsia="FangSong" w:cs="FangSong"/>
          <w:b/>
          <w:color w:val="000000"/>
          <w:sz w:val="28"/>
        </w:rPr>
        <w:t xml:space="preserve">预警事件存档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系统对所有</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识别触发的预警事件实行标准化、规范化自动归档管理，实现评标异常事件全量存证、全程可溯。系统自动归集每条预警的事件类型、发生时间、发生区域、事件描述、现场抓拍视频截图、原始监控片段、人工复核结果、处置意见、处置人员、办结时间等全维度资料。存档文件夹严格按照评标日期、项目（标段）编号、项目（标段）名称进行标准化命名分类，实现一项目一档案、一事件一存证，方便后续监管核查、问题复盘、资料调阅、责任追溯，构建完整的电子化存证台账体系。</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11.4.服务预算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005"/>
        <w:gridCol w:w="1479"/>
        <w:gridCol w:w="1420"/>
        <w:gridCol w:w="2547"/>
        <w:gridCol w:w="13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模块</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新建电子服务系统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统一身份认证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统一项目登记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建设工程项目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交通工程项目</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电力工程项目</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水利工程项目</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农业工程项目</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其他项目登记</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统一场地安排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场地信息维护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开标、评标室统一管理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设备</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设施</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备品备件登记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场地预约申请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场地在线查看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场地预留</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预约服务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场地审核确认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交易中心预约审核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0.7</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预约变更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预约取消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场地使用情况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vMerge w:val="continue"/>
            <w:textDirection w:val="lrTb"/>
            <w:noWrap w:val="false"/>
          </w:tcPr>
          <w:p>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统一权限管理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系统数据对接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与建设工程交易系统对接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与电力工程交易系统对接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与水利工程交易系统对接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与农业工程交易系统对接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与江苏省发改委立项审批系统对接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与省统一主体库对接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与苏采云系统场地预约模块对接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与目录外交易系统场地预约模块对接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优化电子交易系统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公共资源交易门户网站智能问答服务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政策法规问答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政策解读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多政策归纳（包含泰州本地）</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行业知识问答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各类交易系统操作问题</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答疑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业务知识答疑</w:t>
            </w:r>
            <w:r/>
          </w:p>
        </w:tc>
        <w:tc>
          <w:tcPr>
            <w:vMerge w:val="continue"/>
            <w:textDirection w:val="lrTb"/>
            <w:noWrap w:val="false"/>
          </w:tcPr>
          <w:p>
            <w:r/>
            <w:r/>
          </w:p>
        </w:tc>
      </w:tr>
      <w:tr>
        <w:trPr>
          <w:trHeight w:val="31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招标文件智能检测服务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标准化</w:t>
            </w:r>
            <w:r>
              <w:rPr>
                <w:rFonts w:ascii="Times New Roman" w:hAnsi="Times New Roman" w:eastAsia="Times New Roman" w:cs="Times New Roman"/>
                <w:color w:val="000000"/>
                <w:sz w:val="24"/>
              </w:rPr>
              <w:t xml:space="preserve">API</w:t>
            </w:r>
            <w:r>
              <w:rPr>
                <w:rFonts w:ascii="FangSong" w:hAnsi="FangSong" w:eastAsia="FangSong" w:cs="FangSong"/>
                <w:color w:val="000000"/>
                <w:sz w:val="24"/>
              </w:rPr>
              <w:t xml:space="preserve">接口对接适配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合规性法规检测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标准化规范性检测</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交易风险隐患检测</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关键参数一致性检测</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政策落地适配检测</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检测结果可视化展示与详情解析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整体结果概览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精细化问题明细</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标准化合规解析配套</w:t>
            </w:r>
            <w:r/>
          </w:p>
        </w:tc>
        <w:tc>
          <w:tcPr>
            <w:vMerge w:val="continue"/>
            <w:textDirection w:val="lrTb"/>
            <w:noWrap w:val="false"/>
          </w:tcPr>
          <w:p>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合规亮点正向展示</w:t>
            </w:r>
            <w:r/>
          </w:p>
        </w:tc>
        <w:tc>
          <w:tcPr>
            <w:vMerge w:val="continue"/>
            <w:textDirection w:val="lrTb"/>
            <w:noWrap w:val="false"/>
          </w:tcPr>
          <w:p>
            <w:r/>
            <w:r/>
          </w:p>
        </w:tc>
      </w:tr>
      <w:tr>
        <w:trPr>
          <w:trHeight w:val="2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新增</w:t>
            </w:r>
            <w:r>
              <w:rPr>
                <w:rFonts w:ascii="Times New Roman" w:hAnsi="Times New Roman" w:eastAsia="Times New Roman" w:cs="Times New Roman"/>
                <w:color w:val="000000"/>
                <w:sz w:val="24"/>
              </w:rPr>
              <w:t xml:space="preserve">AI</w:t>
            </w:r>
            <w:r>
              <w:rPr>
                <w:rFonts w:ascii="FangSong" w:hAnsi="FangSong" w:eastAsia="FangSong" w:cs="FangSong"/>
                <w:color w:val="000000"/>
                <w:sz w:val="24"/>
              </w:rPr>
              <w:t xml:space="preserve">智能场景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开评标全流程智慧监测预警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标前环节：进场核验监测分析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r>
      <w:tr>
        <w:trPr>
          <w:trHeight w:val="23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标中环节：实施过程研判分析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23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标后环节</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核验存证分析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见证系统改造对接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运行数据统计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预警信息展示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预警信息处理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预警联动提醒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3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预警事件归档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7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100</w:t>
            </w:r>
            <w:r/>
          </w:p>
        </w:tc>
      </w:tr>
    </w:tbl>
    <w:p>
      <w:pPr>
        <w:ind w:left="0" w:right="0"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11.5.升级成效</w:t>
      </w:r>
      <w:r/>
    </w:p>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业务服务层面：实现</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一网通办</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与</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规范高效</w:t>
      </w:r>
      <w:r>
        <w:rPr>
          <w:rFonts w:ascii="Times New Roman" w:hAnsi="Times New Roman" w:eastAsia="Times New Roman" w:cs="Times New Roman"/>
          <w:b/>
          <w:color w:val="000000"/>
          <w:sz w:val="28"/>
        </w:rPr>
        <w:t xml:space="preserve">”</w:t>
      </w:r>
      <w:r/>
    </w:p>
    <w:p>
      <w:pPr>
        <w:ind w:left="0" w:right="0" w:firstLine="560"/>
        <w:jc w:val="both"/>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通过新建电子服务系统，彻底解决跨行业数据孤岛、流程繁琐、效率低下等问题。</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8"/>
        <w:gridCol w:w="3240"/>
        <w:gridCol w:w="34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升级维度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预期成效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核心价值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服务入口统一化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构建统一身份认证体系，实现</w:t>
            </w:r>
            <w:r>
              <w:rPr>
                <w:rFonts w:ascii="SimSun" w:hAnsi="SimSun" w:eastAsia="SimSun" w:cs="SimSun"/>
                <w:color w:val="000000"/>
                <w:sz w:val="28"/>
              </w:rPr>
              <w:t xml:space="preserve">“</w:t>
            </w:r>
            <w:r>
              <w:rPr>
                <w:rFonts w:ascii="FangSong" w:hAnsi="FangSong" w:eastAsia="FangSong" w:cs="FangSong"/>
                <w:color w:val="000000"/>
                <w:sz w:val="28"/>
              </w:rPr>
              <w:t xml:space="preserve">一次登录、全网通办</w:t>
            </w:r>
            <w:r>
              <w:rPr>
                <w:rFonts w:ascii="SimSun" w:hAnsi="SimSun" w:eastAsia="SimSun" w:cs="SimSun"/>
                <w:color w:val="000000"/>
                <w:sz w:val="28"/>
              </w:rPr>
              <w:t xml:space="preserve">”</w:t>
            </w:r>
            <w:r>
              <w:rPr>
                <w:rFonts w:ascii="FangSong" w:hAnsi="FangSong" w:eastAsia="FangSong" w:cs="FangSong"/>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解决多系统分散登录、账号权限混乱问题，提升用户便捷性与系统安全性。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项目登记标准化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实现六大行业项目</w:t>
            </w:r>
            <w:r>
              <w:rPr>
                <w:rFonts w:ascii="SimSun" w:hAnsi="SimSun" w:eastAsia="SimSun" w:cs="SimSun"/>
                <w:color w:val="000000"/>
                <w:sz w:val="28"/>
              </w:rPr>
              <w:t xml:space="preserve">“</w:t>
            </w:r>
            <w:r>
              <w:rPr>
                <w:rFonts w:ascii="FangSong" w:hAnsi="FangSong" w:eastAsia="FangSong" w:cs="FangSong"/>
                <w:color w:val="000000"/>
                <w:sz w:val="28"/>
              </w:rPr>
              <w:t xml:space="preserve">一口进、一口出</w:t>
            </w:r>
            <w:r>
              <w:rPr>
                <w:rFonts w:ascii="SimSun" w:hAnsi="SimSun" w:eastAsia="SimSun" w:cs="SimSun"/>
                <w:color w:val="000000"/>
                <w:sz w:val="28"/>
              </w:rPr>
              <w:t xml:space="preserve">”</w:t>
            </w:r>
            <w:r>
              <w:rPr>
                <w:rFonts w:ascii="FangSong" w:hAnsi="FangSong" w:eastAsia="FangSong" w:cs="FangSong"/>
                <w:color w:val="000000"/>
                <w:sz w:val="28"/>
              </w:rPr>
              <w:t xml:space="preserve">的标准化登记，并与省发改委平台数据自动同步。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从源头保障数据权威一致，消除重复填报，大幅提升项目流转效率与合规性。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场地管理智能化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全市开评标场地资源实现线上可查、可约、可管、可统计的全生命周期闭环管理。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根治场地预约冲突、资源闲置问题，使场地利用率和管理透明度显著提升。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权限管控规范化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建立四级线上审批的权限管理体系，所有权限变更全程留痕、可审计。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杜绝越权、人情授权等风险，满足等保合规与内部审计要求。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数据孤岛全面打通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w:t>
            </w:r>
            <w:r>
              <w:rPr>
                <w:rFonts w:ascii="SimSun" w:hAnsi="SimSun" w:eastAsia="SimSun" w:cs="SimSun"/>
                <w:color w:val="000000"/>
                <w:sz w:val="28"/>
              </w:rPr>
              <w:t xml:space="preserve">4</w:t>
            </w:r>
            <w:r>
              <w:rPr>
                <w:rFonts w:ascii="FangSong" w:hAnsi="FangSong" w:eastAsia="FangSong" w:cs="FangSong"/>
                <w:color w:val="000000"/>
                <w:sz w:val="28"/>
              </w:rPr>
              <w:t xml:space="preserve">大行业交易系统、省立项审批平台、省主体库、苏采云等</w:t>
            </w:r>
            <w:r>
              <w:rPr>
                <w:rFonts w:ascii="SimSun" w:hAnsi="SimSun" w:eastAsia="SimSun" w:cs="SimSun"/>
                <w:color w:val="000000"/>
                <w:sz w:val="28"/>
              </w:rPr>
              <w:t xml:space="preserve">9</w:t>
            </w:r>
            <w:r>
              <w:rPr>
                <w:rFonts w:ascii="FangSong" w:hAnsi="FangSong" w:eastAsia="FangSong" w:cs="FangSong"/>
                <w:color w:val="000000"/>
                <w:sz w:val="28"/>
              </w:rPr>
              <w:t xml:space="preserve">大系统实现标准化数据对接。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实现跨层级、跨部门、跨行业的数据共享协同，业务办理真正实现</w:t>
            </w:r>
            <w:r>
              <w:rPr>
                <w:rFonts w:ascii="SimSun" w:hAnsi="SimSun" w:eastAsia="SimSun" w:cs="SimSun"/>
                <w:color w:val="000000"/>
                <w:sz w:val="28"/>
              </w:rPr>
              <w:t xml:space="preserve">“</w:t>
            </w:r>
            <w:r>
              <w:rPr>
                <w:rFonts w:ascii="FangSong" w:hAnsi="FangSong" w:eastAsia="FangSong" w:cs="FangSong"/>
                <w:color w:val="000000"/>
                <w:sz w:val="28"/>
              </w:rPr>
              <w:t xml:space="preserve">数据多跑路，群众少跑腿</w:t>
            </w:r>
            <w:r>
              <w:rPr>
                <w:rFonts w:ascii="SimSun" w:hAnsi="SimSun" w:eastAsia="SimSun" w:cs="SimSun"/>
                <w:color w:val="000000"/>
                <w:sz w:val="28"/>
              </w:rPr>
              <w:t xml:space="preserve">”</w:t>
            </w:r>
            <w:r>
              <w:rPr>
                <w:rFonts w:ascii="FangSong" w:hAnsi="FangSong" w:eastAsia="FangSong" w:cs="FangSong"/>
                <w:color w:val="000000"/>
                <w:sz w:val="28"/>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咨询服务智能化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上线</w:t>
            </w:r>
            <w:r>
              <w:rPr>
                <w:rFonts w:ascii="SimSun" w:hAnsi="SimSun" w:eastAsia="SimSun" w:cs="SimSun"/>
                <w:color w:val="000000"/>
                <w:sz w:val="28"/>
              </w:rPr>
              <w:t xml:space="preserve">7×24</w:t>
            </w:r>
            <w:r>
              <w:rPr>
                <w:rFonts w:ascii="FangSong" w:hAnsi="FangSong" w:eastAsia="FangSong" w:cs="FangSong"/>
                <w:color w:val="000000"/>
                <w:sz w:val="28"/>
              </w:rPr>
              <w:t xml:space="preserve">小时智能问答系统，覆盖政策、业务、操作全场景咨询。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大幅降低人工咨询压力，提升用户获取信息的即时性与准确性，优化营商环境体验。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文件审核自动化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引入招标文件智能检测服务，自动识别合规性、风险性、规范性问题。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将传统人工逐条审核升级为机器智能预检，审核效率显著提升，有效前置规避交易风险与质疑投诉。</w:t>
            </w:r>
            <w:r/>
          </w:p>
        </w:tc>
      </w:tr>
    </w:tbl>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智能监管层面：实现</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全天候无感化智慧见证</w:t>
      </w:r>
      <w:r>
        <w:rPr>
          <w:rFonts w:ascii="Times New Roman" w:hAnsi="Times New Roman" w:eastAsia="Times New Roman" w:cs="Times New Roman"/>
          <w:b/>
          <w:color w:val="000000"/>
          <w:sz w:val="28"/>
        </w:rPr>
        <w:t xml:space="preserve">”</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38"/>
        <w:gridCol w:w="3240"/>
        <w:gridCol w:w="34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升级维度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center"/>
            <w:textDirection w:val="lrTb"/>
            <w:noWrap w:val="false"/>
          </w:tcPr>
          <w:p>
            <w:pPr>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预期成效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ind w:left="0" w:right="0" w:firstLine="0"/>
              <w:jc w:val="center"/>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核心价值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监管模式变革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w:t>
            </w:r>
            <w:r>
              <w:rPr>
                <w:rFonts w:ascii="SimSun" w:hAnsi="SimSun" w:eastAsia="SimSun" w:cs="SimSun"/>
                <w:color w:val="000000"/>
                <w:sz w:val="28"/>
              </w:rPr>
              <w:t xml:space="preserve">“</w:t>
            </w:r>
            <w:r>
              <w:rPr>
                <w:rFonts w:ascii="FangSong" w:hAnsi="FangSong" w:eastAsia="FangSong" w:cs="FangSong"/>
                <w:color w:val="000000"/>
                <w:sz w:val="28"/>
              </w:rPr>
              <w:t xml:space="preserve">人工巡查、事后追溯</w:t>
            </w:r>
            <w:r>
              <w:rPr>
                <w:rFonts w:ascii="SimSun" w:hAnsi="SimSun" w:eastAsia="SimSun" w:cs="SimSun"/>
                <w:color w:val="000000"/>
                <w:sz w:val="28"/>
              </w:rPr>
              <w:t xml:space="preserve">”</w:t>
            </w:r>
            <w:r>
              <w:rPr>
                <w:rFonts w:ascii="FangSong" w:hAnsi="FangSong" w:eastAsia="FangSong" w:cs="FangSong"/>
                <w:color w:val="000000"/>
                <w:sz w:val="28"/>
              </w:rPr>
              <w:t xml:space="preserve">升级为</w:t>
            </w:r>
            <w:r>
              <w:rPr>
                <w:rFonts w:ascii="SimSun" w:hAnsi="SimSun" w:eastAsia="SimSun" w:cs="SimSun"/>
                <w:color w:val="000000"/>
                <w:sz w:val="28"/>
              </w:rPr>
              <w:t xml:space="preserve">“AI</w:t>
            </w:r>
            <w:r>
              <w:rPr>
                <w:rFonts w:ascii="FangSong" w:hAnsi="FangSong" w:eastAsia="FangSong" w:cs="FangSong"/>
                <w:color w:val="000000"/>
                <w:sz w:val="28"/>
              </w:rPr>
              <w:t xml:space="preserve">实时感知、主动预警、即时干预</w:t>
            </w:r>
            <w:r>
              <w:rPr>
                <w:rFonts w:ascii="SimSun" w:hAnsi="SimSun" w:eastAsia="SimSun" w:cs="SimSun"/>
                <w:color w:val="000000"/>
                <w:sz w:val="28"/>
              </w:rPr>
              <w:t xml:space="preserve">”</w:t>
            </w:r>
            <w:r>
              <w:rPr>
                <w:rFonts w:ascii="FangSong" w:hAnsi="FangSong" w:eastAsia="FangSong" w:cs="FangSong"/>
                <w:color w:val="000000"/>
                <w:sz w:val="28"/>
              </w:rPr>
              <w:t xml:space="preserve">的智能监管模式。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彻底解决人工见证视野有限、易疲劳、发现滞后的问题，实现监管无死角、全天候。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异常识别全面化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可精准识别</w:t>
            </w:r>
            <w:r>
              <w:rPr>
                <w:rFonts w:ascii="SimSun" w:hAnsi="SimSun" w:eastAsia="SimSun" w:cs="SimSun"/>
                <w:color w:val="000000"/>
                <w:sz w:val="28"/>
              </w:rPr>
              <w:t xml:space="preserve">8</w:t>
            </w:r>
            <w:r>
              <w:rPr>
                <w:rFonts w:ascii="FangSong" w:hAnsi="FangSong" w:eastAsia="FangSong" w:cs="FangSong"/>
                <w:color w:val="000000"/>
                <w:sz w:val="28"/>
              </w:rPr>
              <w:t xml:space="preserve">大类异常行为（通用类：跌倒、趴睡、用手机、抽烟；行业类：离席、传递物品、聚集交谈、异常肢体接触）。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全面覆盖评标现场高频风险场景，有效防范围标串标、消极履职等行为。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预警处置实时化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异常行为触发预警响应时间不超过</w:t>
            </w:r>
            <w:r>
              <w:rPr>
                <w:rFonts w:ascii="SimSun" w:hAnsi="SimSun" w:eastAsia="SimSun" w:cs="SimSun"/>
                <w:color w:val="000000"/>
                <w:sz w:val="28"/>
              </w:rPr>
              <w:t xml:space="preserve">3</w:t>
            </w:r>
            <w:r>
              <w:rPr>
                <w:rFonts w:ascii="FangSong" w:hAnsi="FangSong" w:eastAsia="FangSong" w:cs="FangSong"/>
                <w:color w:val="000000"/>
                <w:sz w:val="28"/>
              </w:rPr>
              <w:t xml:space="preserve">秒，并支持联动广播、对讲设备进行即时处置。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实现风险</w:t>
            </w:r>
            <w:r>
              <w:rPr>
                <w:rFonts w:ascii="SimSun" w:hAnsi="SimSun" w:eastAsia="SimSun" w:cs="SimSun"/>
                <w:color w:val="000000"/>
                <w:sz w:val="28"/>
              </w:rPr>
              <w:t xml:space="preserve">“</w:t>
            </w:r>
            <w:r>
              <w:rPr>
                <w:rFonts w:ascii="FangSong" w:hAnsi="FangSong" w:eastAsia="FangSong" w:cs="FangSong"/>
                <w:color w:val="000000"/>
                <w:sz w:val="28"/>
              </w:rPr>
              <w:t xml:space="preserve">早发现、早干预、早处置</w:t>
            </w:r>
            <w:r>
              <w:rPr>
                <w:rFonts w:ascii="SimSun" w:hAnsi="SimSun" w:eastAsia="SimSun" w:cs="SimSun"/>
                <w:color w:val="000000"/>
                <w:sz w:val="28"/>
              </w:rPr>
              <w:t xml:space="preserve">”</w:t>
            </w:r>
            <w:r>
              <w:rPr>
                <w:rFonts w:ascii="FangSong" w:hAnsi="FangSong" w:eastAsia="FangSong" w:cs="FangSong"/>
                <w:color w:val="000000"/>
                <w:sz w:val="28"/>
              </w:rPr>
              <w:t xml:space="preserve">，极大提升现场管控的时效性与震慑力。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证据管理电子化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所有预警事件的全过程资料（截图、视频、处置结果）自动按项目归档，形成完整电子存证档案。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解决证据归集繁琐、易遗漏问题，为后续监管部门执纪执法提供客观、完整、可追溯的依据。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管理决策数据化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0"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提供可视化的运行数据看板，支持按多维度生成统计报表与趋势分析。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top"/>
            <w:textDirection w:val="lrTb"/>
            <w:noWrap w:val="false"/>
          </w:tcPr>
          <w:p>
            <w:pPr>
              <w:ind w:left="0" w:right="0" w:firstLine="56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为管理人员科学调配监管资源、优化现场管理制度提供精准的数据决策支撑。</w:t>
            </w:r>
            <w:r/>
          </w:p>
        </w:tc>
      </w:tr>
    </w:tbl>
    <w:p>
      <w:pPr>
        <w:ind w:left="0" w:right="0" w:firstLine="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综合效益与风险防控</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经济效益</w:t>
      </w:r>
      <w:r/>
    </w:p>
    <w:p>
      <w:pPr>
        <w:ind w:left="0" w:right="0" w:firstLine="576"/>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市公共资源交易平台升级改造</w:t>
      </w:r>
      <w:r>
        <w:rPr>
          <w:rFonts w:ascii="Times New Roman" w:hAnsi="Times New Roman" w:eastAsia="Times New Roman" w:cs="Times New Roman"/>
          <w:color w:val="000000"/>
          <w:spacing w:val="4"/>
          <w:sz w:val="28"/>
        </w:rPr>
        <w:t xml:space="preserve">(2026)</w:t>
      </w:r>
      <w:r>
        <w:rPr>
          <w:rFonts w:ascii="FangSong" w:hAnsi="FangSong" w:eastAsia="FangSong" w:cs="FangSong"/>
          <w:color w:val="000000"/>
          <w:spacing w:val="4"/>
          <w:sz w:val="28"/>
        </w:rPr>
        <w:t xml:space="preserve">项目将显著降低制度性交易成本，提升资源配置效率，有效解决当前信息化建设不足的问题。统一制度规则、操作流程及技术标准形成的规范化管理体系，减少了企业适应不同规则的合规成本，优化了营商环境，吸引更多市场主体参与公共资源交易，扩大市场竞争。</w:t>
      </w:r>
      <w:r/>
    </w:p>
    <w:p>
      <w:pPr>
        <w:ind w:left="0" w:right="0" w:firstLine="576"/>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平台能够为项目提供优质资源保障，加快项目落地速度，缩短建设周期，从而提升全市经济发展的核心竞争力。通过优化营商环境、提升资源配置效能，为泰州市经济社会高质量发展注入强劲动力，助力构建统一开放、竞争有序的公共资源交易市场环境，最终实现公共资源配置效率和公平性的显著提升，为现代化经济体系打下坚实制度基础。</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社会效益</w:t>
      </w:r>
      <w:r/>
    </w:p>
    <w:p>
      <w:pPr>
        <w:ind w:left="0" w:right="0" w:firstLine="576"/>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8"/>
        </w:rPr>
        <w:t xml:space="preserve">市公共资源交易平台升级改造</w:t>
      </w:r>
      <w:r>
        <w:rPr>
          <w:rFonts w:ascii="Times New Roman" w:hAnsi="Times New Roman" w:eastAsia="Times New Roman" w:cs="Times New Roman"/>
          <w:color w:val="000000"/>
          <w:spacing w:val="4"/>
          <w:sz w:val="28"/>
        </w:rPr>
        <w:t xml:space="preserve">(2026)</w:t>
      </w:r>
      <w:r>
        <w:rPr>
          <w:rFonts w:ascii="FangSong" w:hAnsi="FangSong" w:eastAsia="FangSong" w:cs="FangSong"/>
          <w:color w:val="000000"/>
          <w:spacing w:val="4"/>
          <w:sz w:val="28"/>
        </w:rPr>
        <w:t xml:space="preserve">项目将全面提升公共资源交易服务质量，实现全市范围内交易服务的统一规划与整合，为市场主体提供公平、公正、便捷的交易环境。通过统一管理与服务，不仅满足了人民群众对公平、高效、透明交易环境的需求，也提升了政府公共服务形象，增强了公众对政府工作的信任度和满意度。同时，项目可实现互联互通、标准统一、信息共享，促进协调发展，为现代化经济体系打下坚实制度基础，支持泰州市经济社会全面协调发展，推动公共资源交易行业向规范化、数字化、高效化转型。</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合规保障</w:t>
      </w:r>
      <w:r/>
    </w:p>
    <w:p>
      <w:pPr>
        <w:ind w:left="0" w:right="0"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全面响应并满足国家及省市最新政策法规（如《公共资源交易中心招标投标现场管理暂行办法》）对交易中心现场管理职责的硬性要求，有效规避合规风险。</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12.市政务服务一体化平台（2026）项目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12.1.预期目标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本项目围绕政务服务数字化转型核心任务，聚焦基层高频事项办理、中介服务超市优化、“一件事”升级，通过系统集成与功能优化，全面提升政务服务效能与群众满意度，具体预期目标如下：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（一）基层高频事项“一平台办理”目标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事项覆盖全面化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实现人力资源社会保障、卫生健康、医疗保障等重点领域基层高频政务服务事项的全面接入，确保乡镇（街道）和村（社区）服务全覆盖，构建“基层高频事项一平台办理”服务体系。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关爱帮扶服务便捷化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推动困难群众关爱帮扶“一件事”改革，建成关爱帮扶“一平台办理”专区，实现社会救助与医保服务“一窗受理、一网通办”，提升困难群众关爱帮扶服务便捷度。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证明服务线上化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建立基层证明线上开具系统，实现企业群众在线申请与查询证明服务，减少群众跑动次数，推动证明服务“零跑动”办理。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医保服务标准化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健全医保基层经办服务体系，实现医保公共服务事项全面接入一体化政务服务平台，规范基层医保服务流程。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数据应用智慧化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推进基层数据创新应用，打造智慧化治理场景，提升数据在基层治理中的应用水平。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工作台功能智能化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建设功能完善的基层政务服务工作台，提供自适应页面布局、“我的事项”编辑功能、详细的办件查询与统计等功能，实现基层人员“一屏通办”。</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民政事项对接规范化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完成民政事项对接模式调整，实现与省民政厅系统对接，确保民政服务事项办理规范高效。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平台管理精细化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优化平台管理员权限汇总统计功能，增强平台管理与数据分析能力，提升平台管理效能。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（二）中介服务超市平台优化目标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内容安全规范化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建立敏感词过滤与智能文本纠错机制，确保平台信息发布内容合规、规范，减少内容安全风险。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档案管理数字化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建成网上中介数字化档案模块，实现项目全流程电子化归档与多维度查询统计，提升档案管理效率。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数据共享协同化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深化数据共享集成，实现与省电子营业执照、“苏服采”、多测合一等系统有效对接，提升数据协同效率。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评价体系闭环化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构建“苏税援”评价体系，实现平台服务“一事一评”与不满意评价闭环整改，提升服务质效。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智能服务精准化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拓展智能提醒服务，涵盖资质临期、交易状态、投诉异常等多场景，提升服务精准度。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平台功能优化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对平台功能进行系统优化，包括系统字段更新、选取算法改进、金额校验强化、承诺书上传、信息展示逻辑调整等，提升平台使用体验。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（三）“一件事”平台智能化升级目标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落实上级任务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年度国办下发的第一批重点“一件事”部署实施任务。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运行监测智能化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建立事项运行监测与预警机制，确保平台稳定运行，实现事项运行状态的实时掌握。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预审服务自动化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实现材料智能核验与预审自动化，减少人工审核环节，提升预审效率。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申报体验优化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针对申办用户群体进行申报端优化，提升平台易用性，简化操作流程，聚焦关键信息展示。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管理决策可视化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建设平台管理驾驶舱，提供平台运行态势的可视化展示，支持多维度数据分析，提升管理决策水平。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（四）政务服务智能化项目升级目标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以“提升窗口服务质效、缩短申请人办事周期”为核心导向，建设</w:t>
      </w:r>
      <w:r>
        <w:rPr>
          <w:rFonts w:ascii="Times New Roman" w:hAnsi="Times New Roman" w:eastAsia="Times New Roman" w:cs="Times New Roman"/>
          <w:color w:val="000000"/>
          <w:sz w:val="28"/>
        </w:rPr>
        <w:t xml:space="preserve">VR</w:t>
      </w:r>
      <w:r>
        <w:rPr>
          <w:rFonts w:ascii="FangSong" w:hAnsi="FangSong" w:eastAsia="FangSong" w:cs="FangSong"/>
          <w:color w:val="000000"/>
          <w:sz w:val="28"/>
        </w:rPr>
        <w:t xml:space="preserve">全景引导系统实现大厅</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实景复刻，支持</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与移动端</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沉浸式漫游，群众可查看窗口事项指南、实时排队人数，全流程网办事项一键跳转在线办理，并通过路线导航自动生成室内实景指引，减少问询跑空；同时部署大厅小巧灵应用，集成数智交互一体机、自助办引导、高频事项取转号及过号激活、等时通、排队预警和多次跑预警功能，多元化取号让等候更透明，系统自动识别一周内多次办理同一事项的群众并提醒管理员，助力提升一次办结率；另外搭建数字人智能屏，提供</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即时咨询问答，精准匹配政策法规和办事指南，降低沟通成本；并且结合大厅监控摄像头实时监测主要出入口动态人流量，实现高峰预警与人员识别，辅助管理人员优化服务布局和决策，全方位实现便民办事、数字化管理和政务形象宣传，减少群众时间成本与沟通障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（五）电子营业执照综合应用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电子营业执照应用技术支持服务体系，为泰州市本地自有的涉企政务业务应用提供基于电子营业执照的身份认证、照面信息获取、执照留档等电子营业执照应用支撑服务，解决经营主体网上身份认证问题，提供权威、准确的执照信息，减少和避免企业反复提交纸质证明文件及网上反复录入信息，不断提高政务服务效能，方便经营主体办事，同时集成基于电子营业执照的电子档案查询、企业信用报告查看创新应用，实现经营主体电子档案和信用报告的便捷查询，为企业提供更加高效、透明的政务服务体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电子营业执照和电子印章同步发放电子印章应用技术服务体系，基于市场监管总局全国统一电子营业执照，支撑同步发放电子印章安全便捷应用，为政务服务提供电子签章应用服务支撑，逐步减少对纸质文件的使用要求，优化企业开办流程，提高企业办事效率。</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12.2.需求分析</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旨在解决泰州市政务服务一体化平台在基层覆盖、数据共享和智能化服务等方面存在的突出问题。为确保项目目标的实现，从业务内容、流程、角色等维度系统梳理与现状问题、功能设计紧密关联的各类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业务内容需求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需求内容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解决的问题</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对应功能设计</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新增</w:t>
            </w:r>
            <w:r>
              <w:rPr>
                <w:rFonts w:ascii="Times New Roman" w:hAnsi="Times New Roman" w:eastAsia="Times New Roman" w:cs="Times New Roman"/>
                <w:color w:val="000000"/>
                <w:sz w:val="24"/>
              </w:rPr>
              <w:t xml:space="preserve">30</w:t>
            </w:r>
            <w:r>
              <w:rPr>
                <w:rFonts w:ascii="FangSong" w:hAnsi="FangSong" w:eastAsia="FangSong" w:cs="FangSong"/>
                <w:color w:val="000000"/>
                <w:sz w:val="24"/>
              </w:rPr>
              <w:t xml:space="preserve">项基层高频事项接入</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解决基层高频事项接入率不足</w:t>
            </w:r>
            <w:r>
              <w:rPr>
                <w:rFonts w:ascii="Times New Roman" w:hAnsi="Times New Roman" w:eastAsia="Times New Roman" w:cs="Times New Roman"/>
                <w:color w:val="000000"/>
                <w:sz w:val="24"/>
              </w:rPr>
              <w:t xml:space="preserve">60%</w:t>
            </w:r>
            <w:r>
              <w:rPr>
                <w:rFonts w:ascii="FangSong" w:hAnsi="FangSong" w:eastAsia="FangSong" w:cs="FangSong"/>
                <w:color w:val="000000"/>
                <w:sz w:val="24"/>
              </w:rPr>
              <w:t xml:space="preserve">的问题（现状：覆盖不全），满足《深化基层高频事项</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一平台办理</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改革数字赋能基层治理实施方案》要求。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数字赋能</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基层高频事项一平台办理</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中的</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新增接入基层高频政务服务事项</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关爱帮扶一件事</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专区</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解决困难群众需多部门跑动、重复提交材料的问题（现状：流程割裂）。通过</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一窗受理、综合研判、一表申请、一体办理</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，减少</w:t>
            </w:r>
            <w:r>
              <w:rPr>
                <w:rFonts w:ascii="Times New Roman" w:hAnsi="Times New Roman" w:eastAsia="Times New Roman" w:cs="Times New Roman"/>
                <w:color w:val="000000"/>
                <w:sz w:val="24"/>
              </w:rPr>
              <w:t xml:space="preserve">50%</w:t>
            </w:r>
            <w:r>
              <w:rPr>
                <w:rFonts w:ascii="FangSong" w:hAnsi="FangSong" w:eastAsia="FangSong" w:cs="FangSong"/>
                <w:color w:val="000000"/>
                <w:sz w:val="24"/>
              </w:rPr>
              <w:t xml:space="preserve">以上办理环节。</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数字赋能</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基层高频事项一平台办理</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中的</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推动困难群众关爱帮扶</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一件事</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改革</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w:t>
            </w:r>
            <w:r/>
          </w:p>
        </w:tc>
      </w:tr>
      <w:tr>
        <w:trPr>
          <w:trHeight w:val="2415"/>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上线基层证明线上开具系统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解决证明出具清单不规范、标准不统一、依赖纸质材料的问题（现状：功能缺失）。实现</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网上办、掌上办、一次办</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数字赋能</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基层高频事项一平台办理</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中的</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上线基层证明线上开具系统</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完善泰州市中介服务超市平台功能</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解决中介服务信息发布合规性差、缺乏全流程电子归档、评价体系不健全等问题（现状：平台功能不完善）。</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建设敏感词过滤引擎，集成智能文本纠错功能，建立网上中介数字化档案模块，构建</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苏税援</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评价体系，实施平台功能优化（算法更新、信息展示逻辑调整等）</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提升中介服务监管与透明度</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解决中介服务过程不透明、交易状态通知不及时、用户无法有效监督等问题（现状：智能化服务水平不高）。</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开发智能提醒功能（资质临期、交易状态变更等）；优化信息展示效果，按星级和服务次数排序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；构建多级审核机制，确保公告发布合规</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完善泰州市中介服务超市平台功能</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解决中介服务信息发布合规性差、缺乏全流程电子归档、评价体系不健全等问题（现状：平台功能不完善）。</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建设敏感词过滤引擎，集成智能文本纠错功能，建立网上中介数字化档案模块，构建</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苏税援</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评价体系，实施平台功能优化（算法更新、信息展示逻辑调整等）</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建立</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一件事</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事项运行监测与预警机制</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解决事项运行监测机制不完善（现状：无法及时发现和处理异常事项）的问题。</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建设事项运行监测与预警模块，提供多维度数据展示和异常自动检测功能。</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一件事</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材料智能核验与预审自动化</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解决材料核验与预审仍依赖人工（现状：效率低下）的问题。</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建设智能预审功能模块，对用户提交的材料进行自动核验，识别材料格式、齐全性、内容标准等。</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申报端</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好用性</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改造</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解决申报端界面设计陈旧，操作流程复杂（现状：用户体验不佳）的问题。</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重构申报端页面，简化界面功能与元素，优化操作流程，聚焦关键信息展示。</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建设平台管理驾驶舱</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解决管理决策支撑不足（现状：缺乏直观的平台运行情况展示）的问题。</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建设平台管理驾驶舱，提供平台运行态势的可视化展示，支持多维度数据分析。</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政务服务智能化改造</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缺乏相关智能化分析管理、服务能力。</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全景引导系统，</w:t>
            </w:r>
            <w:r>
              <w:rPr>
                <w:rFonts w:ascii="Times New Roman" w:hAnsi="Times New Roman" w:eastAsia="Times New Roman" w:cs="Times New Roman"/>
                <w:color w:val="000000"/>
                <w:sz w:val="24"/>
              </w:rPr>
              <w:t xml:space="preserve">1:1 </w:t>
            </w:r>
            <w:r>
              <w:rPr>
                <w:rFonts w:ascii="FangSong" w:hAnsi="FangSong" w:eastAsia="FangSong" w:cs="FangSong"/>
                <w:color w:val="000000"/>
                <w:sz w:val="24"/>
              </w:rPr>
              <w:t xml:space="preserve">实景复刻大厅全楼层窗口、自助终端、便民配套及无障碍设施，群众可通过</w:t>
            </w:r>
            <w:r>
              <w:rPr>
                <w:rFonts w:ascii="Times New Roman" w:hAnsi="Times New Roman" w:eastAsia="Times New Roman" w:cs="Times New Roman"/>
                <w:color w:val="000000"/>
                <w:sz w:val="24"/>
              </w:rPr>
              <w:t xml:space="preserve">PC</w:t>
            </w:r>
            <w:r>
              <w:rPr>
                <w:rFonts w:ascii="FangSong" w:hAnsi="FangSong" w:eastAsia="FangSong" w:cs="FangSong"/>
                <w:color w:val="000000"/>
                <w:sz w:val="24"/>
              </w:rPr>
              <w:t xml:space="preserve">端、移动端体验</w:t>
            </w:r>
            <w:r>
              <w:rPr>
                <w:rFonts w:ascii="Times New Roman" w:hAnsi="Times New Roman" w:eastAsia="Times New Roman" w:cs="Times New Roman"/>
                <w:color w:val="000000"/>
                <w:sz w:val="24"/>
              </w:rPr>
              <w:t xml:space="preserve">7×24</w:t>
            </w:r>
            <w:r>
              <w:rPr>
                <w:rFonts w:ascii="FangSong" w:hAnsi="FangSong" w:eastAsia="FangSong" w:cs="FangSong"/>
                <w:color w:val="000000"/>
                <w:sz w:val="24"/>
              </w:rPr>
              <w:t xml:space="preserve">小时沉浸式线上漫游。群众可查看各虚拟窗口可办理的事项及对应事项的事项指南，页面同步显示窗口排队等候人数。对于可全流程网办的事项，提供在线办理入口，并跳转至网办地址进行在线办理，实现在线网办。群众通过路线引导功能可选择去往的窗口或目的地，系统可自动计算出最优的引导路线并生成室内实景导航，群众根据全景路线箭头指引，前进或后退到达目的地位置，有效减少现场问路咨询、避免群众跑空，全方位实现便民办事、大厅数字化管理、政务形象宣传等多重价值；建设大厅小巧灵应用，包含数智交互一体机功能升级、自助办引导、高频事项取号、转号</w:t>
            </w:r>
            <w:r>
              <w:rPr>
                <w:rFonts w:ascii="FangSong" w:hAnsi="FangSong" w:eastAsia="FangSong" w:cs="FangSong"/>
                <w:color w:val="000000"/>
                <w:sz w:val="24"/>
              </w:rPr>
              <w:t xml:space="preserve">、过号激活、等时通、排队预警、多次跑预警功能，实现多元化取号方式，群众等候更透明，减少等待焦虑；同时系统可自动识别一周内多次办理同一事项的群众，发送预警信息给管理员，助力提升</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一次办结率</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和群众满意度；建设数字人智能屏，搭建咨询问答服务，精准识别群众咨询需求，快速匹配权威政策法规和办事指南，实现高频政务问题的</w:t>
            </w:r>
            <w:r>
              <w:rPr>
                <w:rFonts w:ascii="Times New Roman" w:hAnsi="Times New Roman" w:eastAsia="Times New Roman" w:cs="Times New Roman"/>
                <w:color w:val="000000"/>
                <w:sz w:val="24"/>
              </w:rPr>
              <w:t xml:space="preserve">7×24</w:t>
            </w:r>
            <w:r>
              <w:rPr>
                <w:rFonts w:ascii="FangSong" w:hAnsi="FangSong" w:eastAsia="FangSong" w:cs="FangSong"/>
                <w:color w:val="000000"/>
                <w:sz w:val="24"/>
              </w:rPr>
              <w:t xml:space="preserve">小时即时解答，减少群众办事时间成本与沟通障碍。</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电子营业执照</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经营主体身份认证</w:t>
            </w:r>
            <w:r>
              <w:rPr>
                <w:rFonts w:ascii="FangSong" w:hAnsi="FangSong" w:eastAsia="FangSong" w:cs="FangSong"/>
                <w:color w:val="000000"/>
                <w:sz w:val="24"/>
              </w:rPr>
              <w:t xml:space="preserve">不便利，经营主体需要反复提供营业执照影印件。</w:t>
            </w:r>
            <w:r/>
          </w:p>
        </w:tc>
        <w:tc>
          <w:tcPr>
            <w:shd w:val="clear" w:color="ffffff" w:fill="ffffff"/>
            <w:tcBorders>
              <w:top w:val="none" w:color="000000" w:sz="4" w:space="0"/>
              <w:left w:val="none" w:color="000000" w:sz="4"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电子营业执照后，可以基于电子营业执照实现经营主体在线上的身份认证。线下窗口时，企业可以出示电子营业执照供窗口人员验证身份。企业把电子营业执照二维码、条形码或验证码出示给窗口工作人员，工作人员可以使用扫码枪扫描办事人出示的二维码，验证经营主体身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直接打印电子营业执照影印件或留存电子营业执照影印件。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根据所申请业务的要求，为确认该业务办理行为确属当前经营主体的自主行为，经营主体可直接加盖电子印章，进一步优化业务办理手续，减少纸质证明材料流转。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以电子营业执照作为经营主体电子档案查询服务的应用入口，依托电子营业执照应用小程序，一键直达完成身份认证、档案查询、档案下载、档案共享等操作。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以电子营业执照作为企业信用报告查询服务的应用入口，依托电子营业执照应用小程序，一键直达完成身份认证、企业信用报告申请、信用报告查看、信用报告下载、查阅记录查询等功能等操作。</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功能要求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功能要求严格依据主要功能设计内容，围绕“数字赋能‘基层高频事项一平台办理’”“数字赋能‘泰州市中介服务超市平台’”和“数据共享集成”三大核心任务进行系统梳理，确保各项功能精准解决现状问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①数字赋能“基层高频事项一平台办理”功能</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52"/>
        <w:gridCol w:w="6487"/>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功能模块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64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具体功能要求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新增高频事项接入</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64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支持人力资源社会保障、卫生健康、医疗保障等领域30项新事项的在线申请、受理、审批、出证全流程闭环。</w:t>
              <w:br/>
              <w:t xml:space="preserve">2. 提供标准化的事项接入接口，支持后续高频事项的快速、批量接入。</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关爱帮扶“一件事”专区</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64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提供统一申报入口，支持困难群众“一窗受理、一表申请”。</w:t>
              <w:br/>
              <w:t xml:space="preserve">2. 实现与水、燃气等业务系统的对接，支持相关费用减免的自动核验与办理。</w:t>
              <w:br/>
              <w:t xml:space="preserve">3. 建立本地关爱帮扶数据专题库，支持对困难群众的精准画像和动态管理。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基层证明线上开具系统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64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支持户籍证明、居住证明、无犯罪记录证明等高频证明事项的在线申请。</w:t>
              <w:br/>
              <w:t xml:space="preserve">2. 对接公安、社区等数据源，实现信息自动核验，减少人工干预。</w:t>
              <w:br/>
              <w:t xml:space="preserve">3. 集成电子印章系统，自动生成具有法律效力的电子证明文件。</w:t>
              <w:br/>
              <w:t xml:space="preserve">4. 提供证明在线查询、下载和打印功能，并支持通过“苏服办”APP查看。</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基层政务服务工作台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64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提供自适应页面布局，兼容PC端、移动端及不同分辨率设备。</w:t>
              <w:br/>
              <w:t xml:space="preserve">2. 增加“我的事项”编辑功能，允许工作人员自定义常用事项的快捷入口。</w:t>
              <w:br/>
              <w:t xml:space="preserve">3. 提供详细的办件查询功能，支持按区划（具体到村/社区）、事项类型、办理状态等多维度筛选。</w:t>
              <w:br/>
              <w:t xml:space="preserve">4. 提供办件统计功能，以图表形式展示办件量、办结率、超时情况等数据。</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数据需求申报</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64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集成“苏在线”申报入口，使基层人员能够在“一平台”内直接提交数据需求。</w:t>
              <w:br/>
              <w:t xml:space="preserve">2. 实现数据需求的在线提交、流转、反馈和归档，形成闭环管理。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系统管理优化</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64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优化平台管理员权限汇总统计功能，支持按区划、部门、角色等维度进行权限的集中查询、导出和审计。</w:t>
              <w:br/>
              <w:t xml:space="preserve">2. 调整民政事项对接模式，由原泰州智慧民政系统转向省民政厅系统对接，确保数据权威性。</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②数字赋能“泰州市中介服务超市平台”功能</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功能模块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具体功能要求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安全校验功能</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集成敏感词过滤引擎，对采购公告、服务描述等所有发布内容进行实时扫描，发现违规内容立即提示并阻止发布。</w:t>
              <w:br/>
              <w:t xml:space="preserve">2. 集成智能文本纠错工具，对公告中的错别字、语法错误进行自动识别和建议修改，提升内容质量。</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数字化档案模块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建设“网上中介数字化档案模块”，自动采集项目从发布、报名、中选、合同签订到服务验收等各阶段的全过程文档。</w:t>
              <w:br/>
              <w:t xml:space="preserve">2. 实现档案的结构化存储、在线查询、下载和打印，支持按项目编号、机构名称等条件检索。</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智能提醒功能</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开发智能提醒功能，向项目业主和中介机构推送关键节点通知，如：资质临期提醒、项目报名截止提醒、中选结果公布提醒、合同到期提醒等。</w:t>
              <w:br/>
              <w:t xml:space="preserve">2. 支持通过短信、系统站内信、APP消息等多种渠道推送。</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多级审核机制</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构建初审与复审两级审核机制，对采购、中选、终止公告在发布前进行人工审核。</w:t>
              <w:br/>
              <w:t xml:space="preserve">2. 审核流程可配置，支持审核人员的灵活分配和权限控制。</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“苏税援”评价体系</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构建“苏税援”评价体系，实现“一事一评”，经营主体可在服务完成后对中介机构及平台进行星级评价和文字评价。</w:t>
              <w:br/>
              <w:t xml:space="preserve">2. 评价数据通过接口实时汇聚至省“一企来办”平台，形成“评价-整改-反馈”闭环。</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平台功能优化</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更新竞价选取与均价选取逻辑，确保选取过程公平、公正。</w:t>
              <w:br/>
              <w:t xml:space="preserve">2. 优化信息展示效果，按星级和服务次数排序，提升优质机构的曝光度。</w:t>
              <w:br/>
              <w:t xml:space="preserve">3. 对“是否政府采购服务项目”等关键字段采用红色字体高亮显示，并增加限价过滤校验，防止超50万项目违规发布。</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事项认领与处理</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更新、梳理泰州市市级中介服务事项库信息，确保与省级库同步。</w:t>
              <w:br/>
              <w:t xml:space="preserve">2. 调整事项展示效果：在列表页仅显示政务服务主项，在详情页再展示其下的子项列表。</w:t>
            </w:r>
            <w:r/>
          </w:p>
        </w:tc>
      </w:tr>
    </w:tbl>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③数字赋能泰州市“一件事”平台功能要求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功能模块</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具体功能要求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事项运行监测与预警模块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支持按需配置运行监测指标，实时采集事项运行关键数据</w:t>
              <w:br/>
              <w:t xml:space="preserve">2. 提供多维度数据展示和异常自动检测功能</w:t>
              <w:br/>
              <w:t xml:space="preserve">3. 基于预设规则设定预警阈值，自动识别异常事项（如办理量骤降、满意度持续偏低等）</w:t>
              <w:br/>
              <w:t xml:space="preserve">4. 生成包含异常详情的预警信息</w:t>
              <w:br/>
              <w:t xml:space="preserve">5. 实现预警信息多渠道推送功能，支持系统消息、短信等多渠道推送</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智能预审功能模块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选取1至2项具有代表性的一件事，进行智能预审功能创新建设。</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实现材料智能核验与预审自动化，减少人工审核环节</w:t>
              <w:br/>
              <w:t xml:space="preserve">2. 基于预设规则，对用户提交的材料进行自动核验，识别材料格式是否符合要求、材料是否齐全、内容是否符合标准、材料间逻辑关系是否合理</w:t>
              <w:br/>
              <w:t xml:space="preserve">3. 自动分类错误类型</w:t>
              <w:br/>
              <w:t xml:space="preserve">4. 实时向用户反馈预审结果</w:t>
              <w:br/>
              <w:t xml:space="preserve">5. 提供预审结果导出功能</w:t>
              <w:br/>
              <w:t xml:space="preserve">6. 建立预审规则库，支持按事项类型自定义预审规则，实现预审规则的动态更新和维护，支持预审规则在不同事项间共享</w:t>
              <w:br/>
              <w:t xml:space="preserve">7. 自动存储预审结果，将预审结果与事项关联，支持预审结果版本追溯和统计分析</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申报端“好用性”改造功能模块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重构申报端页面，使用符合最新风格的UI页面</w:t>
              <w:br/>
              <w:t xml:space="preserve">2. 简化界面功能与元素，优化操作流程，聚焦关键信息展示</w:t>
              <w:br/>
              <w:t xml:space="preserve">3. 优化操作按钮大小和布局</w:t>
              <w:br/>
              <w:t xml:space="preserve">4. 集成商用GIS地图，为用户线下办理点搜索提供精准搜索与定位功能</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平台运行态势展示模块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实时展示核心指标数据，包括事项办理量、平均办理时长、用户满意度等关键指标</w:t>
              <w:br/>
              <w:t xml:space="preserve">2. 支持数据实时更新和多维度展示</w:t>
              <w:br/>
              <w:t xml:space="preserve">3. 对关键指标设置预警阈值，异常时自动提醒</w:t>
              <w:br/>
              <w:t xml:space="preserve">4. 支持按时间、区域、事项类型等多维度展示数据</w:t>
              <w:br/>
              <w:t xml:space="preserve">5. 提供数据看板功能，展示核心指标数据，支持看板实时更新和自定义</w:t>
              <w:br/>
              <w:t xml:space="preserve">6. 支持指标数据下钻功能，可深入查看明细数据，为管理人员提供直观、全面的平台运行态势展示</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事项运行监控模块</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展示各事项的运行状态，包括办理量、办理时长、满意度等关键指标</w:t>
              <w:br/>
              <w:t xml:space="preserve">2. 支持事项间指标对比、趋势对比和问题对比</w:t>
              <w:br/>
              <w:t xml:space="preserve">3. 自动识别运行异常事项，分析异常原因，评估异常影响范围，智能生成优化建议</w:t>
              <w:br/>
              <w:t xml:space="preserve">4. 支持事项运行状态多维度展示，按时间、区域、事项类型等维度进行分析</w:t>
              <w:br/>
              <w:t xml:space="preserve">5. 提供事项运行趋势分析功能，支持历史数据对比和趋势预测，为管理人员提供全面的事项运行情况</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数据预警</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基于预设规则对异常数据进行智能预警，自动识别异常情况，智能判定预警级别，生成预警信息</w:t>
              <w:br/>
              <w:t xml:space="preserve">2. 建立预警处理流程，自动分配预警处理任务，实时跟踪处理进度，记录处理结果</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④电子营业执照功能和电子签章</w:t>
      </w:r>
      <w:r>
        <w:rPr>
          <w:rFonts w:ascii="FangSong" w:hAnsi="FangSong" w:eastAsia="FangSong" w:cs="FangSong"/>
          <w:color w:val="000000"/>
          <w:sz w:val="28"/>
          <w:u w:val="none"/>
        </w:rPr>
        <w:t xml:space="preserve">应用技术支持服务</w:t>
      </w:r>
      <w:r>
        <w:rPr>
          <w:rFonts w:ascii="FangSong" w:hAnsi="FangSong" w:eastAsia="FangSong" w:cs="FangSong"/>
          <w:color w:val="000000"/>
          <w:sz w:val="28"/>
        </w:rPr>
        <w:t xml:space="preserve">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许可服务。提供电子营业执照验证前置系统软件许可，支持集群部署，用于实现电子营业执照验证处理、执照留档处理、执照照面信息处理、接入验证系统的安全处理等功能。业务处理性能可按照使用硬件服务器的性能，提升扩展；最大支持终端企业用户数量不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系统保障服务。提供电子营业执照验证前置系统保障服务，包括系统定期巡检、</w:t>
      </w:r>
      <w:r>
        <w:rPr>
          <w:rFonts w:ascii="Times New Roman" w:hAnsi="Times New Roman" w:eastAsia="Times New Roman" w:cs="Times New Roman"/>
          <w:color w:val="000000"/>
          <w:sz w:val="28"/>
        </w:rPr>
        <w:t xml:space="preserve">BUG </w:t>
      </w:r>
      <w:r>
        <w:rPr>
          <w:rFonts w:ascii="FangSong" w:hAnsi="FangSong" w:eastAsia="FangSong" w:cs="FangSong"/>
          <w:color w:val="000000"/>
          <w:sz w:val="28"/>
        </w:rPr>
        <w:t xml:space="preserve">修改、系统升级、故障诊断、故障处理等服务，保障系统正常稳定运行。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对接支持服务。为泰州市本地自有的涉企政务服务系统对接集成电子营业执照功能提供技术支持服务，包括提供规范、易用、稳定的对接接口和相应的文档；指导业务应用进行应用系统的改造、对接工作，实现电子营业执照在涉企业务中的使用。针对已对接的业务系统，提供接口技术维护服务。定期查看接口使用情况，接口问题排查，维护接口服务的正常稳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仿真开发、测试环境支持服务。提供电子营业执照仿真开发测试环境资源，创建测试企业并为测试企业提供电子营业执照，支持应用系统开展电子营业执照应用功能的开发调试，也便于系统上线前先行验证业务功能和业务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系统许可服务。提供电子印章应用网关软件许可，支持集群部署，</w:t>
      </w:r>
      <w:r>
        <w:rPr>
          <w:rFonts w:ascii="FangSong" w:hAnsi="FangSong" w:eastAsia="FangSong" w:cs="FangSong"/>
          <w:color w:val="000000"/>
          <w:sz w:val="28"/>
          <w:u w:val="none"/>
        </w:rPr>
        <w:t xml:space="preserve">用于实现同步发放电子印章的电子签章、签章验证、接入同步发放系统的安全处理等功能。</w:t>
      </w:r>
      <w:r>
        <w:rPr>
          <w:rFonts w:ascii="FangSong" w:hAnsi="FangSong" w:eastAsia="FangSong" w:cs="FangSong"/>
          <w:color w:val="000000"/>
          <w:sz w:val="28"/>
        </w:rPr>
        <w:t xml:space="preserve">业务处理性能可按照使用硬件服务器的性能，提升扩展；最大支持终端企业用户数量不限。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系统保障服务。</w:t>
      </w:r>
      <w:r>
        <w:rPr>
          <w:rFonts w:ascii="FangSong" w:hAnsi="FangSong" w:eastAsia="FangSong" w:cs="FangSong"/>
          <w:color w:val="000000"/>
          <w:sz w:val="28"/>
          <w:u w:val="none"/>
        </w:rPr>
        <w:t xml:space="preserve">提供电子印章应用网关系统保障服务，</w:t>
      </w:r>
      <w:r>
        <w:rPr>
          <w:rFonts w:ascii="FangSong" w:hAnsi="FangSong" w:eastAsia="FangSong" w:cs="FangSong"/>
          <w:color w:val="000000"/>
          <w:sz w:val="28"/>
        </w:rPr>
        <w:t xml:space="preserve">包括系统定期巡检、</w:t>
      </w:r>
      <w:r>
        <w:rPr>
          <w:rFonts w:ascii="Times New Roman" w:hAnsi="Times New Roman" w:eastAsia="Times New Roman" w:cs="Times New Roman"/>
          <w:color w:val="000000"/>
          <w:sz w:val="28"/>
        </w:rPr>
        <w:t xml:space="preserve">BUG </w:t>
      </w:r>
      <w:r>
        <w:rPr>
          <w:rFonts w:ascii="FangSong" w:hAnsi="FangSong" w:eastAsia="FangSong" w:cs="FangSong"/>
          <w:color w:val="000000"/>
          <w:sz w:val="28"/>
        </w:rPr>
        <w:t xml:space="preserve">修改、系统升级、故障诊断、故障处理等服务，保障系统正常稳定运行。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对接支持服务。为泰州市本地自有的涉企政务服务系统对接集成同步发放电子印章功能提供技术支持服务，包括提供规范、易用、稳定的对接接口和相应的文档；指导业务应用进行应用系统的改造、对接工作，实现同步发放电子印章在涉企业务中的使用。针对已对接的业务系统，提供接口技术维护服务。定期查看接口使用情况，接口问题排查，维护接口服务的正常稳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仿真开发、测试环境支持服务。提供同步发放电子印章仿真开发测试环境资源，创建测试企业并为测试企业提供电子印章，支持应用系统开展电子印章应用功能的开发调试，也便于系统上线前先行验证业务功能和业务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电子营业执照的电子档案查询技术支持服务。提供基于电子营业执照的电子档案查询技术支持服务，持续保障经营主体在微信电子营业执照小程序泰州专区中便捷地查询电子档案、下载电子档案、共享电子档案、查看查阅记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电子营业执照的企业信用报告查询技术支持服务。提供基于电子营业执照的企业信用报告查询技术支持服务，持续保障经营主体在微信电子营业执照小程序泰州专区中便捷地查看信用报告、下载信用报告、查看查阅记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非功能性要求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为确保泰州市政务服务一体化平台应用创新项目建成后的系统稳定性、安全性、可维护性和用户体验，现结合项目建设内容，提出以下全面的非功能性要求，为系统设计、开发和部署提供明确的性能与质量标准。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①性能要求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9"/>
        <w:gridCol w:w="2167"/>
        <w:gridCol w:w="3326"/>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1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指标</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16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要求</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33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w:t>
            </w:r>
            <w:r/>
          </w:p>
        </w:tc>
      </w:tr>
      <w:tr>
        <w:trPr>
          <w:trHeight w:val="1332"/>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系统响应时间</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6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关键业务页面加载时间 ≤ 3秒</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指在标准网络环境下，从用户发起请求到页面主要内容完全呈现的时间，适用于事项申报、证明开具、工作台等高频操作页面。</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系统吞吐量</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6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 ≥ 5000 用户并发访问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系统需能稳定处理5000个用户同时在线操作，满足全市范围内的服务需求。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资源利用率</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6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CPU平均使用率 ≤ 70%，内存使用率 ≤ 80%</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在正常业务负载下，服务器资源应保持合理水平，为突发流量预留缓冲空间。</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文本处理性能</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6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单次文本纠错校验时间 ≤ 3秒</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针对中介服务超市平台的智能文本纠错功能，要求对≤2000字的文本，单次完整校验流程响应时间不超过3秒，确保用户体验流畅。</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15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数据查询性能</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6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复杂条件组合查询响应时间 ≤ 5秒</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2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面向管理人员的多条件组合查询（如按区县、年度、类型统计档案数据）应在5秒内返回结果。</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②可用性与可靠性要求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6"/>
        <w:gridCol w:w="2141"/>
        <w:gridCol w:w="3357"/>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12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指标</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1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要求</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33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说明</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2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系统可用性</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99.9%</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系统全年非计划停机时间不超过12小时，确保服务的连续性和稳定性。</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2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服务连续性</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7×24小时不间断服务</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核心业务系统需提供全天候服务，支持节假日业务办理。</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2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用户体验</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界面友好，操作简单</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系统界面设计应简洁明了，字体大小可调，操作流程清晰。</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21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容错能力</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关键业务操作支持撤销或回滚</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35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对于误操作，系统应提供一定的容错机制，如发布前的校验提示、未提交状态的修改等。</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数据资源需求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为支撑“基层高频事项一平台办理”“中介服务超市平台优化”及“数据共享集成”等核心业务功能，实现数据驱动的政务服务创新，本项目对数据资源的需求如下：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8"/>
        <w:gridCol w:w="1984"/>
        <w:gridCol w:w="2552"/>
        <w:gridCol w:w="2547"/>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14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数据来源类别</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具体系统/平台</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主要数据内容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对接目的</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418"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省级系统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人员参保信息、就业登记信息、社保卡信息等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为基层高频事项办理、关爱帮扶“一件事”提供权威数据核验</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医保参保状态、就医记录、报销信息等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支撑医疗相关事项办理和困难群众医疗救助</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江苏省民政厅系统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低保对象信息、特困人员信息、婚姻登记信息等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支撑民政类事项办理和困难群众精准识别</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江苏省电子营业执照系统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企业注册信息、股东信息、经营范围等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为中介服务超市中的机构资质核验提供数据支持</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“苏服办”APP及省政务中台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电子证照库、用户身份信息、办件库、好差评库</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实现“三个免于提交”、统一身份认证和办件数据回流</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41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市级系统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泰州智慧民政系统（逐步迁移）</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本地民政业务数据、关爱帮扶对象信息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在完全对接省系统前，作为过渡期数据源</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418" w:type="dxa"/>
            <w:vAlign w:val="center"/>
            <w:vMerge w:val="restart"/>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其他系统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水、燃气等公共服务系统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用户账户信息、缴费记录、服务状态等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支撑关爱帮扶“一件事”中水、燃气费用减免的办理</w:t>
            </w:r>
            <w:r/>
          </w:p>
        </w:tc>
      </w:tr>
      <w:tr>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“苏税援”平台（省级）</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52"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涉税专业服务机构评价数据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54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实现评价数据汇聚与回流，构建服务评价闭环</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安全和备份需求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①安全防护要求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防护层面</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具体要求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物理与环境安全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1.平台部署于泰州市政务云中心，由专业机房提供防火、防水、防雷、防静电、恒温恒湿等物理安全保障。</w:t>
              <w:br/>
              <w:t xml:space="preserve">2.实行严格的机房访问控制制度，采用门禁系统、生物识别等技术，记录所有进出人员信息。</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网络安全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1.部署下一代防火墙（NGFW）、入侵检测/防御系统（IDS/IPS），对网络流量进行深度检测，防范DDoS攻击、病毒木马、恶意扫描等威胁。</w:t>
              <w:br/>
              <w:t xml:space="preserve">2.划分安全域，实现不同业务系统间的网络隔离（如生产区、管理区、DMZ区）。</w:t>
              <w:br/>
              <w:t xml:space="preserve">3.启用网络准入控制（NAC），防止非法设备接入内部网络。</w:t>
              <w:br/>
              <w:t xml:space="preserve">4.对所有跨网传输的数据实施严格的安全策略审查。</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主机与系统安全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1.在操作系统上实施安全加固，关闭不必要的端口和服务，定期更新安全补丁。</w:t>
              <w:br/>
              <w:t xml:space="preserve">2.部署主机安全防护软件，具备病毒查杀、漏洞扫描、基线核查、文件完整性监控等功能。</w:t>
              <w:br/>
              <w:t xml:space="preserve">3.实施最小权限原则，严格控制系统管理员和普通用户的操作权限。</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应用安全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1.所有Web应用需通过代码审计，防范SQL注入、跨站脚本（XSS）、文件上传漏洞等常见Web安全风险。</w:t>
              <w:br/>
              <w:t xml:space="preserve">2.实施严格的用户身份认证机制，集成“泰州市政务统一身份认证平台”，支持多因素认证（如短信验证码、生物特征）。</w:t>
              <w:br/>
              <w:t xml:space="preserve">3.关键业务操作（如证明开具、审批提交）需进行二次确认或授权。</w:t>
              <w:br/>
              <w:t xml:space="preserve">4.中介服务超市平台必须集成敏感词过滤引擎和智能文本纠错工具，从源头防范发布内容的合规风险。</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1.敏感数据（身份证号、手机号、银行卡号等）在数据库中加密存储。</w:t>
              <w:br/>
              <w:t xml:space="preserve">2. 数据传输全程采用HTTPS/TLS 1.3协议加密，并优先使用国密算法（SM2/SM3/SM4）进行加解密。</w:t>
              <w:br/>
              <w:t xml:space="preserve">3.建立数据脱敏机制，在开发测试、数据分析等非生产环境中使用脱敏后的数据。</w:t>
              <w:br/>
              <w:t xml:space="preserve">4. 对电子证照、电子印章等重要数字资产，实施专用保护措施，防止伪造和滥用。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安全管理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447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1.系统建设必须符合国家信息安全等级保护三级测评要求。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2.建立完善的安全管理制度，包括安全策略、应急预案、安全培训等。</w:t>
              <w:br/>
              <w:t xml:space="preserve">3.定期开展网络安全攻防演练和渗透测试，持续提升安全防护能力。</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②备份与恢复需求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0"/>
        <w:gridCol w:w="7479"/>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15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需求类别</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7479" w:type="dxa"/>
            <w:vAlign w:val="center"/>
            <w:textDirection w:val="lrTb"/>
            <w:noWrap w:val="false"/>
          </w:tcPr>
          <w:p>
            <w:pPr>
              <w:ind w:left="0" w:right="0" w:firstLine="624"/>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具体要求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5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数据备份</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47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1.备份策略：实行“每日全量备份 + 每小时增量备份”的策略，确保数据丢失最小化。</w:t>
              <w:br/>
              <w:t xml:space="preserve">2.备份范围：涵盖所有核心业务系统的数据库、配置文件、日志文件及重要文档（如网上中介数字化档案）。</w:t>
              <w:br/>
              <w:t xml:space="preserve">3.备份验证：定期对备份数据进行恢复测试，验证备份的有效性和完整性。</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5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灾备方案</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47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1.灾备中心：建立同城灾备中心，与主数据中心保持一定距离，避免区域性灾害同时影响。</w:t>
              <w:br/>
              <w:t xml:space="preserve">2.灾备模式：采用热备或准热备模式，确保在主中心发生故障时能快速切换。</w:t>
              <w:br/>
              <w:t xml:space="preserve">3.灾备演练：每年至少组织一次完整的灾难恢复演练，检验灾备预案的有效性。</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156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应急响应</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747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建立7×24小时应急响应机制，设立专职安全运维团队。</w:t>
              <w:br/>
              <w:t xml:space="preserve">2. 制定详细的网络安全事件应急预案，明确事件分级、处置流程和报告机制。</w:t>
              <w:br/>
              <w:t xml:space="preserve">3. 发生重大安全事件时，能在30分钟内启动应急响应，并及时向主管部门报告。</w:t>
            </w:r>
            <w:r/>
          </w:p>
        </w:tc>
      </w:tr>
    </w:tbl>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功能性需求分析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本项目功能性需求围绕“数字赋能‘基层高频事项一平台办理’”“数字赋能‘泰州市中介服务超市平台’”和“数据共享集成”三大核心任务展开，确保功能设计与资金构成模块保持一致。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①数字赋能“基层高频事项一平台办理”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功能边界：覆盖人力资源社会保障、卫生健康、医疗保障等领域的</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项基层高频政务服务事项。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核心功能：</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新增高频事项接入：支持30项新事项的在线申请、受理、审批、出证全流程闭环。</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关爱帮扶“一件事”专区：提供统一申报入口，实现与水、燃气等业务系统的对接。</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基层证明线上开具系统：支持户籍证明、居住证明、无犯罪记录证明等高频证明事项的在线申请。</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基层政务服务工作台：提供自适应页面布局，兼容PC端、移动端及不同分辨率设备。</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数据需求申报：集成“苏在线”申报入口，使基层人员能够在“一平台”内直接提交数据需求。</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功能要求：</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新增高频事项接入：提供标准化的事项接入接口，支持后续高频事项的快速、批量接入。</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关爱帮扶“一件事”专区：建立本地关爱帮扶数据专题库，支持对困难群众的精准画像和动态管理。</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基层证明线上开具系统：对接公安、社区等数据源，实现信息自动核验，减少人工干预。</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基层政务服务工作台：增加“我的事项”编辑功能，允许工作人员自定义常用事项的快捷入口。</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数据需求申报：实现数据需求的在线提交、流转、反馈和归档，形成闭环管理。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②数字赋能“泰州市中介服务超市平台”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功能边界：聚焦于中介服务交易全流程，不涉及中介机构资质审核和业务监管。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核心功能：</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安全校验功能：集成敏感词过滤引擎和智能文本纠错工具。</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数字化档案模块：建设“网上中介数字化档案模块”，自动采集项目各阶段文档。</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智能提醒功能：开发智能提醒功能，向项目业主和中介机构推送关键节点通知。</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多级审核机制：构建初审与复审两级审核机制，对公告发布前进行人工审核。</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“苏税援”评价体系：构建“苏税援”评价体系，实现“一事一评”。</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平台功能优化：更新竞价选取与均价选取逻辑，优化信息展示效果。</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功能要求：</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安全校验功能：对采购公告、服务描述等所有发布内容进行实时扫描，发现违规内容立即提示并阻止发布。</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数字化档案模块：实现档案的结构化存储、在线查询、下载和打印，支持按项目编号、机构名称等条件检索。</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智能提醒功能：支持通过短信、系统站内信、APP消息等多种渠道推送。</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多级审核机制：审核流程可配置，支持审核人员的灵活分配和权限控制。</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“苏税援”评价体系：评价数据通过接口实时汇聚至省“一企来办”平台，形成“评价-整改-反馈”闭环。</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平台功能优化：对“是否政府采购服务项目”等关键字段采用红色字体高亮显示，并增加限价过滤校验，防止超50万项目违规发布。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③数字赋能泰州市“一件事”平台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功能边界：挑选</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项具有代表性的一件事进行实施。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核心功能：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事项全生命周期管理</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实现事项从设计、审核、上线、运行到下线的全链条管理</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提供多部门联审机制，支持事项上线前的协同审批</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自动获取事项运行关键数据，实现运行状态实时监控</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建立多维度评估机制，基于办理量、满意度等指标评估事项下线条件</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支持下线申请自动提醒、审批流程配置和记录归档</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事项运行监测与预警</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支持按需配置运行监测指标，实时采集事项运行关键数据</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提供多维度数据展示和异常自动检测功能</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基于预设规则智能识别异常事项（如办理量骤降、满意度持续偏低）</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生成包含异常详情的预警信息</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实现预警信息多渠道推送（系统消息、短信等）</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智能预审功能</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实现材料智能核验与预审自动化，减少人工审核环节</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基于预设规则自动核验材料格式、齐全性、内容标准及逻辑关系</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自动分类错误类型，实时反馈预审结果</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提供预审结果导出功能</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建立预审规则库，支持按事项类型自定义规则及规则共享</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自动存储预审结果，支持版本追溯和统计分析</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申报端“好用性”优化</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重构申报端页面，采用最新UI风格</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简化界面功能与元素，聚焦关键信息展示</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优化操作流程和按钮布局</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集成商用GIS地图，支持线下办理点精准搜索与定位</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平台运行态势展示</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实时展示事项办理量、平均办理时长、用户满意度等核心指标</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支持数据实时更新和多维度展示（时间、区域、事项类型等）</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对关键指标设置预警阈值，异常时自动提醒</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提供可自定义的数据看板功能</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支持指标数据下钻分析，深入查看明细数据</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事项运行监控</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展示各事项运行状态（办理量、办理时长、满意度等）</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支持事项间指标对比、趋势对比和问题对比</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自动识别运行异常事项，分析原因并智能生成优化建议</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提供事项运行状态多维度展示和趋势分析功能</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数据预警与决策支持</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基于预设规则对异常数据进行智能预警，自动识别异常情况</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建立预警处理流程，自动分配任务并跟踪处理进度</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自动生成决策支持报告，提供数据可视化展示</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支持历史数据对比和趋势分析，提升管理决策科学化水平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安全需求分析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①网络安全风险分析</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风险类型</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风险描述</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影响程度</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外部攻击</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DDoS攻击、SQL注入、XSS跨站脚本攻击等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高：可能导致系统瘫痪、数据泄露</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内部威胁</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权限滥用、数据窃取、恶意操作</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中高：可能导致数据泄露、系统被篡改</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供应链攻击</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第三方组件、开源软件漏洞</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中：可能导致系统被植入后门、存在安全隐患</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数据泄露</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敏感数据未加密存储或传输</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高：可能导致公民隐私泄露、法律风险</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②数据安全风险分析</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风险类型</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风险描述</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影响程度</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数据泄露</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敏感数据（身份证号、手机号、银行卡号）未加密</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高：违反《中华人民共和国个人信息保护法》，面临法律风险</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数据篡改</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重要数据被非法修改或删除</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高：可能导致业务流程错误、决策失误</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数据丢失</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未实施有效备份，数据意外丢失</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中：可能导致业务中断、数据无法恢复</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数据滥用</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未经授权使用数据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中：可能导致隐私侵犯、法律纠纷</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③网络数据安全保障需求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安全类别</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具体要求</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实现方式</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合规性保障</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通过国家信息安全等级保护三级测评</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严格按照等保三级要求设计安全体系</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数据加密</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1.敏感数据加密存储</w:t>
              <w:br/>
              <w:t xml:space="preserve">2.数据传输全程采用HTTPS/TLS 1.3协议加密</w:t>
              <w:br/>
              <w:t xml:space="preserve">3.优先使用国密算法（SM2/SM3/SM4）</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数据库加密、传输层加密、国密算法实现</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身份认证</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1.集成“泰州市政务统一身份认证平台”</w:t>
              <w:br/>
              <w:t xml:space="preserve">2.支持多因素认证（短信验证码）</w:t>
              <w:br/>
              <w:t xml:space="preserve">3.关键业务操作需二次确认或授权</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身份认证平台对接、多因素认证模块开发</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内容安全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1.中介服务超市平台集成敏感词过滤引擎</w:t>
              <w:br/>
              <w:t xml:space="preserve">2.集成智能文本纠错工具</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敏感词库构建、文本分析算法开发</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数据脱敏</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在开发测试、数据分析等非生产环境中使用脱敏后的数据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数据脱敏模块开发，支持多种脱敏规则</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数字资产保护</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对电子证照、电子印章等重要数字资产实施专用保护措施</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专用保护机制设计，防伪造和滥用</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安全管理制度</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1.建立完善的安全管理制度</w:t>
              <w:br/>
              <w:t xml:space="preserve">2.定期开展网络安全攻防演练和渗透测试</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安全管理制度文档、演练计划制定</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备份与恢复</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1.实行“每日全量备份+每小时增量备份”策略</w:t>
              <w:br/>
              <w:t xml:space="preserve">2.建立同城灾备中心</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备份策略制定、灾备中心建设</w:t>
            </w:r>
            <w:r/>
          </w:p>
        </w:tc>
      </w:tr>
    </w:tbl>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12.3.技术方案</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系统具体架构示意图如下图所示：</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676900" cy="5057775"/>
                <wp:effectExtent l="0" t="0" r="0" b="0"/>
                <wp:docPr id="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977636" name=""/>
                        <pic:cNvPicPr>
                          <a:picLocks noChangeAspect="1"/>
                        </pic:cNvPicPr>
                        <pic:nvPr/>
                      </pic:nvPicPr>
                      <pic:blipFill>
                        <a:blip/>
                        <a:stretch/>
                      </pic:blipFill>
                      <pic:spPr bwMode="auto">
                        <a:xfrm>
                          <a:off x="0" y="0"/>
                          <a:ext cx="5676899" cy="5057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47.0pt;height:398.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12.3.2.主要功能设计</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yellow"/>
        </w:rPr>
        <w:t xml:space="preserve">12.3.2.1.</w:t>
      </w:r>
      <w:r>
        <w:rPr>
          <w:rFonts w:ascii="FangSong" w:hAnsi="FangSong" w:eastAsia="FangSong" w:cs="FangSong"/>
          <w:color w:val="000000"/>
          <w:sz w:val="28"/>
          <w:highlight w:val="yellow"/>
        </w:rPr>
        <w:t xml:space="preserve">数字赋能“基层高频事项一平台办理”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本期数字赋能“基层高频事项一平台办理”建设旨在通过集成与优化多种政务服务功能，提升基层政务服务效率与质量。具体建设内容包括：新增接入</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项基层高频政务服务事项，涵盖人力资源社会保障、卫生健康、医疗保障等领域；推动困难群众关爱帮扶“一件事”改革，开发本地关爱帮扶“一平台办理”专区及数据专题库，并实现水、燃气等业务系统对接；上线基层证明线上开具系统，支持企业群众在线申请与查询证明服务；建立综合关爱帮扶服务体系和健全医保基层经办服务体系，确保社会救助与医保服务的便捷高效；推进基层数据创新应用，打造智慧化治理场景；集成“苏在线”申报入口，使基层人员能够直接提出数据需求；建设基层政务服务工作台，提供自适应页面布局、“我的事项”编辑功能、详细的办件查询</w:t>
      </w:r>
      <w:r>
        <w:rPr>
          <w:rFonts w:ascii="FangSong" w:hAnsi="FangSong" w:eastAsia="FangSong" w:cs="FangSong"/>
          <w:color w:val="000000"/>
          <w:sz w:val="28"/>
        </w:rPr>
        <w:t xml:space="preserve">与统计等功能；调整民政事项对接模式，由原泰州智慧民政系统转向省民政厅系统对接；最后，对平台管理员权限汇总统计功能进行优化改造，增强平台管理与数据分析能力。这些措施共同致力于构建更加智能化、便捷化的基层政务服务体系，提高民众办事满意度和服务体验。</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新增接入基层高频政务服务事项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在《基层高频政务服务事项清单（第一批》）基础上，新增人力资源社会保障、卫生健康、医疗保障等部门</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项事项，纳入第二批基层高频政务服务事项，清单如下：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1920"/>
        <w:gridCol w:w="1388"/>
        <w:gridCol w:w="1662"/>
        <w:gridCol w:w="1705"/>
        <w:gridCol w:w="1416"/>
      </w:tblGrid>
      <w:tr>
        <w:trPr>
          <w:trHeight w:val="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事项编码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服务渠道</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主管部门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城乡居民人员综合查询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B093201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城乡居民缴费人员信息查询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B0312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城乡居民养老保险待遇核定（受理）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91116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城乡居民个人权益单打印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B7119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人员基础信息采集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B1029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个人权益记录查询打印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江苏省企业职工基本养老保险权益记录单（参保人员）查询与打印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B7614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江苏省企业职工基本养老保险权益记录单（离退休人员）查询与打印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98903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江苏省社会保险权益记录单（参保人员）查询与打印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B611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江苏省社会保险权益记录单（参保单位）查询与打印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B1135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就业登记（灵活就业）一件事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ggfwyjs008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就业困难认定和补贴一件事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失业保险金申领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失业保险参保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自主就业退出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自主就业申报（不参保）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失业发放银行账号维护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就业登记历史查询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省人力资源社会保障厅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生育服务联系单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网站端、窗口端、移动端、自助端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一体化政务服务平台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省卫生健康委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单位参保登记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322036008011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职工参保信息变更登记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322036008014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城乡居民参保信息变更登记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322036008001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家庭共济账户绑定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322036062002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家庭共济账户解绑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322036062001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基本医疗保险参保人员享受门诊慢特病病种待遇认定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322036007001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单位参保登记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322036008011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职工参保信息变更登记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322036008014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居民医保缴费核定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居民医疗保险零缴费登账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城乡居民暂停参保登记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网站端、窗口端、移动端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省医保局</w:t>
            </w:r>
            <w:r/>
          </w:p>
        </w:tc>
      </w:tr>
    </w:tbl>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建设泰州市基层帮扶救助专区</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积极推动高效办成困难群众关爱帮扶“一件事”改革，立足困难群众救助帮扶实际需求，整合基本生活救助、专项社会救助、急难社会救助、社会力量参与等社会救助体系资源，制定困难群众关爱帮扶“一件事”事项清单，将相关救助事项接入一体化政务服务平台办理。涉及的建设内容包括：</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）标准化接入省统一受理端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根据《困难帮扶统一受理端接入指南</w:t>
      </w:r>
      <w:r>
        <w:rPr>
          <w:rFonts w:ascii="Times New Roman" w:hAnsi="Times New Roman" w:eastAsia="Times New Roman" w:cs="Times New Roman"/>
          <w:color w:val="000000"/>
          <w:sz w:val="28"/>
        </w:rPr>
        <w:t xml:space="preserve">v1.1</w:t>
      </w:r>
      <w:r>
        <w:rPr>
          <w:rFonts w:ascii="FangSong" w:hAnsi="FangSong" w:eastAsia="FangSong" w:cs="FangSong"/>
          <w:color w:val="000000"/>
          <w:sz w:val="28"/>
        </w:rPr>
        <w:t xml:space="preserve">》的技术规范，采用</w:t>
      </w:r>
      <w:r>
        <w:rPr>
          <w:rFonts w:ascii="Times New Roman" w:hAnsi="Times New Roman" w:eastAsia="Times New Roman" w:cs="Times New Roman"/>
          <w:color w:val="000000"/>
          <w:sz w:val="28"/>
        </w:rPr>
        <w:t xml:space="preserve">URL</w:t>
      </w:r>
      <w:r>
        <w:rPr>
          <w:rFonts w:ascii="FangSong" w:hAnsi="FangSong" w:eastAsia="FangSong" w:cs="FangSong"/>
          <w:color w:val="000000"/>
          <w:sz w:val="28"/>
        </w:rPr>
        <w:t xml:space="preserve">嵌入模式将省受理端集成至政务服务网泰州旗舰店、苏服办</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泰州旗舰店及各乡镇（街道）便民服务中心窗口终端，确保三端体验一致、身份认证统一。通过这种无缝集成方式，用户可以在不同渠道获得一致的服务体验，同时保障了数据的安全性和一致性。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）认领与配置省定救助事项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完成省定</w:t>
      </w: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项救助事项在市级层面的认领与配置，包括事项编码、适用对象、材料清单、逻辑校验规则（如特困人员不可同时申请低保）等，确保申请逻辑与省级完全对齐。这一步骤不仅保证了政策的一致性，还简化了用户的操作流程，减少了重复提交材料的可能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）建设市级协同调度中心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省平台拆分后办件办理进度跟踪与无省级办理系统办理（如水费减免、燃气费减免、生活垃圾处理费）问题，建设市级协同调度中心。该中心接收省中台推送的拆分后的“一件事”办件，并将子任务按部门职责推送给对应业务系统，同时负责接收中台回流的子任务办理进度与办理结果（如最低生活保障申请、就业困难人员认定和补贴、免收医疗救助对象住院预交金等直接办理、协同办理、主动办理事项）；对于尚未建设独立审批系统或审批系统不具备对接条件的部门，则通过自建的统一审批办理平台完成线上审核、结果录入。这样可以有效解决跨部门协作的问题，提高办</w:t>
      </w:r>
      <w:r>
        <w:rPr>
          <w:rFonts w:ascii="FangSong" w:hAnsi="FangSong" w:eastAsia="FangSong" w:cs="FangSong"/>
          <w:color w:val="000000"/>
          <w:sz w:val="28"/>
        </w:rPr>
        <w:t xml:space="preserve">事效率。</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）建立办件状态回流机制</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办件状态回流机制，各子任务办理进度与结果实时同步至市级协同中台，并聚合生成“一件事”整体办结状态，最终回传至省政务中台，确保考核数据（办件量、办结率、好评率、平均时长等）可采集、可上报、可验证，形成完整的业务闭环。这一机制不仅提高了数据透明度，还为后续的绩效评估提供了有力支持。</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建设泰州市基层证明开具事项专区</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根据省数据局办公室印发的“关于依托‘基层一平台’推进基层证明线上开具的通知（苏数发〔</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56</w:t>
      </w:r>
      <w:r>
        <w:rPr>
          <w:rFonts w:ascii="FangSong" w:hAnsi="FangSong" w:eastAsia="FangSong" w:cs="FangSong"/>
          <w:color w:val="000000"/>
          <w:sz w:val="28"/>
        </w:rPr>
        <w:t xml:space="preserve">号）”要求，认领形成泰州市“基层一平台”开具证明事项清单，上线基层证明线上开具系统，完成办事指南编制，明确服务窗口和人员，为企业群众提供证明开具服务。基于江苏政务服务网、“苏服办”</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等，向企业群众提供线上申请、查询证明服务，实现“一网通办”、不见面审批（服务）。</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健全医保基层经办服务体系</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严格落实省医保局省数据局《关于印发﹤全省医疗保障经办政务服务事项清单和办事指南（</w:t>
      </w:r>
      <w:r>
        <w:rPr>
          <w:rFonts w:ascii="Times New Roman" w:hAnsi="Times New Roman" w:eastAsia="Times New Roman" w:cs="Times New Roman"/>
          <w:color w:val="000000"/>
          <w:sz w:val="28"/>
        </w:rPr>
        <w:t xml:space="preserve">2024</w:t>
      </w:r>
      <w:r>
        <w:rPr>
          <w:rFonts w:ascii="FangSong" w:hAnsi="FangSong" w:eastAsia="FangSong" w:cs="FangSong"/>
          <w:color w:val="000000"/>
          <w:sz w:val="28"/>
        </w:rPr>
        <w:t xml:space="preserve">版）﹥的通知》（苏医保发〔</w:t>
      </w:r>
      <w:r>
        <w:rPr>
          <w:rFonts w:ascii="Times New Roman" w:hAnsi="Times New Roman" w:eastAsia="Times New Roman" w:cs="Times New Roman"/>
          <w:color w:val="000000"/>
          <w:sz w:val="28"/>
        </w:rPr>
        <w:t xml:space="preserve">2024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号）要求，严格执行清单制度，规范事项管理。强化医保政务协同，基层医保公共服务事项全面接入一体化政务服务平台，全面进驻基层便民服务中心（站），实施一个平台办理、综合窗口服务，</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年实现村（社区）全覆盖，健全基层医保经办服务体系建设。加强政策宣传和业务培训，不断提高办事质效，提升基层工作人员经办能力。</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推动开展基层数据创新应用</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基层社会治理视角出发，围绕就业、养老、扶残、助困、小微企业经营等领域，推进数据跨领域、跨行业应用，打造基层治理数字化应用场景，提升基层治理智慧化、便捷化水平。将基层数据创新应用纳入“一平台办理”改革任务，本期构建泰州市关爱帮扶数据库专题库，建设统计分析、人员画像等模型。</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困难群众大数据底座是核心数据基础设施，旨在打破部门壁垒，实现困难对象全量归集、精准画像与动态更新。该底座建设内容分为五个层次：</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）数据汇聚层</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通过泰州市政务数据共享交换平台，以</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接口、库表同步等方式，系统性归集</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余个委办局的结构化业务数据。具体包括：</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基础身份与家庭数据：公安部门提供的户籍人口信息、家庭成员关系、实有人口居住地址；民政部门提供的婚姻登记、死亡注销信息；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济状况与资产数据：民政部门经济状况核对中心提供的收入、车辆、存款、证券等核对结果；住建部门与自然资源和规划部门提供的不动产登记信息；市场监管部门提供的个体工商户及企业登记信息；人社部门提供的社保参保状态与缴费记录；</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特殊群体标识数据：残联提供的持证残疾人等级、类别及两项补贴发放记录；教育部门提供的学籍状态、困难学生认定结果；</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刚性支出与风险数据：医保部门提供的近</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个月医疗费用明细（含自付金额、大病报销）、医疗救助记录；公用事业服务部门提供的水电气月度消费数据；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基层感知与动态数据：各乡镇（街道）通过移动端上报的网格员入户走访记录、家庭突发变故、诉求反馈等非结构化信息。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所有数据按日或按周增量同步，确保底座数据的时效性与完整性。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）待遇信息专项汇聚与治理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针对“一户一策一档”生成需求，专项汇聚并标准化全市困难群众已享受的各类救助待遇信息，形成完整的“政策兑现台账”。具体内容包括：</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民政局：低保金、特困供养金、临时救助金发放记录；</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医保局：医疗救助资金拨付明细；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教育局：学费减免、助学金发放数据；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住建局：公租房租金补贴、危房改造补助；</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残联：残疾人生活补贴、护理补贴发放情况；</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总工会：困难职工建档及帮扶资金发放记录；</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其他部门：慈善援助、退役军人援助等特色事项兑现数据。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对上述待遇数据进行统一编码（关联省级事项编码）、时间对齐（按月</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季度归集）、金额标准化（单位：元），并与家庭单元精准绑定，解决“发了什么、发了多少、何时发放”的透明化问题，为“一户一策”中的“已享政策”展示与“缺口政策”推荐提供依据。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）数据治理层</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标准化数据清洗与关联规则。对缺失值进行插补或标记，对异常值（如月收入超百万）进行过滤；基于公安户籍与婚姻登记数据，自动还原家庭成员关系，构建唯一“家庭单元”实体；对收入、资产、支出等关键指标进行单位统一与口径标准化。在此基础上，构建三级标签体系：基础标签（如“重度残疾人”“低保边缘家庭”）、衍生标签（如“因病致贫风险高”“刚性支出占比超</w:t>
      </w:r>
      <w:r>
        <w:rPr>
          <w:rFonts w:ascii="Times New Roman" w:hAnsi="Times New Roman" w:eastAsia="Times New Roman" w:cs="Times New Roman"/>
          <w:color w:val="000000"/>
          <w:sz w:val="28"/>
        </w:rPr>
        <w:t xml:space="preserve">60%</w:t>
      </w:r>
      <w:r>
        <w:rPr>
          <w:rFonts w:ascii="FangSong" w:hAnsi="FangSong" w:eastAsia="FangSong" w:cs="FangSong"/>
          <w:color w:val="000000"/>
          <w:sz w:val="28"/>
        </w:rPr>
        <w:t xml:space="preserve">”）、动态标签（如“资格即将到期”“近</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个月无走访记录”），形成结构化、可计算的家庭画像。</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）数据服务</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底座通过统一数据服务接口，为上层智能应用提供实时数据支撑。以下是具体的服务模块及其功能描述：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）“一户一策一档”生成引擎</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基于治理后的家庭画像与待遇台账，构建“一户一策一档”智能生成引擎。该引擎具备以下能力：</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自动聚合：整合家庭基本信息、经济状况、成员健康与就学状态、已享受救助待遇等多维数据，形成结构化电子档案；</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政策匹配：调用政策规则库与</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模型，比对家庭现状与</w:t>
      </w: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项省定事项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泰州特色事项的准入条件，生成“应享未享”政策清单；</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方案生成：输出包含“已享政策回顾”“可申办事项建议”“责任部门指引”“材料预填提示”的个性化综合帮扶方案；</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动态更新：当家庭状况发生变更（如新增残疾、失业、大额医疗支出）或待遇发放后，自动触发档案更新与策略调整。</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档案支持</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导出、二维码分享、窗口打印，供群众留存或作为后续申请佐证。</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）数据安全与监控层</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底座通过统一数据服务接口，为上层智能应用提供实时支撑。所有敏感字段（身份证号、银行账号、详细住址）在存储与传输过程中加密处理，查询结果自动脱敏；建立细粒度权限控制，确保街道仅能访问本辖区数据；部署接口监控模块，实时监测各部门数据接口的可用性、响应延迟、数据量波动，异常情况自动告警；定期生成数据质量报告，评估完整性、及时性、一致性，支撑持续优化。</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苏在线申报入口集成</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让更多数据直通基层，“苏在线”数据直达系统将需求受理入口嵌入“基层高频事项一平台”。基层人员通过“一平台”既可以办事，也可以提出数据需求，设区市数据局处理、流转，让基层人员成为数据的使用者和受益者。</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在“基层高频事项一平台”办理页面，按照省数据相关集成规范，接入“苏在线”申报入口，支持泰州地区基层工作人员使用。</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建设基层政务服务工作台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根据省厅下发的《基层政务服务工作台建设方案》要求，对涉及设区市需要完成的内容实施。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①自适应改造</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省厅下发的《基层政务服务工作台建设方案》明确要求：各市在建设本地基层政务服务工作台过程中，要支持页面自动适配，能够根据显示设备自适应调整页面内容布局。泰州一体化平台基层服务专区需要按照省里要求对页面进行自动适配处理，系统工作页面能兼容不同分辨率的电脑。</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②增加“我的事项”办理及编辑功能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首页进入工作台的时候，首先展示“我的事项”办理页面，如果用户还未维护自己的高频率事项，则页面提示引导用户去编辑（可以页面提示：您还没有编辑自己的常办事项，并提供“去编辑”按钮，由用户点击跳转到功能编辑页面去编辑事项）。功能编辑页面展示用户已全部认领的所有事项（不含医保审核功能），用户可以根据这些事项选择是否加入“我的事项”清单里，并可以标注优先级，优先级高的事项排序靠前；</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③办件查询中区划选择具体到村（社区）层级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查询范围为全市，支持查询条件筛选到具体村（社区）层级。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④大厅人员分三市三区展示</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靖江市、泰兴市、兴化市、海陵区、姜堰区、新高区进行统计各地区已开通账号的基层工作人员数量，内容放到基层高频大屏（泰州市基层高频事项一平台智能分析平台）上，拆分下来放在各个县市区地图的统计框里，比如海陵区 大厅人员：</w:t>
      </w:r>
      <w:r>
        <w:rPr>
          <w:rFonts w:ascii="Times New Roman" w:hAnsi="Times New Roman" w:eastAsia="Times New Roman" w:cs="Times New Roman"/>
          <w:color w:val="000000"/>
          <w:sz w:val="28"/>
        </w:rPr>
        <w:t xml:space="preserve">XXX</w:t>
      </w:r>
      <w:r>
        <w:rPr>
          <w:rFonts w:ascii="FangSong" w:hAnsi="FangSong" w:eastAsia="FangSong" w:cs="FangSong"/>
          <w:color w:val="000000"/>
          <w:sz w:val="28"/>
        </w:rPr>
        <w:t xml:space="preserve">人 今日办件数 </w:t>
      </w:r>
      <w:r>
        <w:rPr>
          <w:rFonts w:ascii="Times New Roman" w:hAnsi="Times New Roman" w:eastAsia="Times New Roman" w:cs="Times New Roman"/>
          <w:color w:val="000000"/>
          <w:sz w:val="28"/>
        </w:rPr>
        <w:t xml:space="preserve">XX</w:t>
      </w:r>
      <w:r>
        <w:rPr>
          <w:rFonts w:ascii="FangSong" w:hAnsi="FangSong" w:eastAsia="FangSong" w:cs="FangSong"/>
          <w:color w:val="000000"/>
          <w:sz w:val="28"/>
        </w:rPr>
        <w:t xml:space="preserve">个……；</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⑤增加“部门办件统计”功能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用户层级的数据权限控制（村居人员看到所属村居信息，镇街看到下辖村居信息，以此类推），展示列表包括：序号、部门名称、事项数、办件量、办结率，在列表上加上查询功能菜单，部门名称为下拉框，支持多选，可具体到村居层级，做好权限控制，根据当前人员层级，下拉框的内容只能展示本层级的内容，比如</w:t>
      </w: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镇的只能下拉选择</w:t>
      </w: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镇及下辖村居的内容，其他镇街内容不展示；</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⑥增加“人员办件统计”功能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用户层级的数据权限控制（村居人员看到所属村居信息，镇街看到下辖村居信息，以此类推），展示列表包括：序号、人员姓名、部门名称、事项数、办件量、办结率，列表上加上查询功能菜单，部门名称为下拉框，支持多选，可具体到村居层级，做好权限控制，根据当前人员层级，下拉框的内容只能展示本层级的内容，比如</w:t>
      </w: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镇的只能下拉选择</w:t>
      </w: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镇及下辖村居的内容，其他镇街内容不展示。人员姓名为文本框查询，支持模糊查询；</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民政事项对接模式调整</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市民政局改造需求，泰州智慧民政系统将停止运行，后续将统一用省民政厅系统。原泰州智慧民政系统与泰州市基层高频事项一平台对接实现的基层事项办理业务将调整为泰州市基层高频事项一平台与省民政厅业务系统对接。涉及的事项包括：最低生活保障申请、临时救助申请、特困人员救助供养申请、低保边缘家庭申请、支出型困难家庭申请五类事项。对接调整涉及的改造内容包括：</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基层高频事项一平台中民政事项维护信息进行调整；</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基层高频事项一平台与省中台、省民政部门对接全市</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个事项的申请页面接入和</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个办理数据回流接口重构；</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基层高频事项一平台针对省民政回流的数据进行入库，并针对平台内的办件查询、大屏展示等模块中涉及民政数据的功能进行调整。</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事项类型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最低生活保障申请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00051100100001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行政给付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临时救助申请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00051100200001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行政给付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特困人员救助供养申请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00051100600001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行政给付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低保边缘家庭申请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32101100700002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其他行政权力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支出型困难家庭申请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32101100700003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其他行政权力</w:t>
            </w:r>
            <w:r/>
          </w:p>
        </w:tc>
      </w:tr>
    </w:tbl>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平台功能优化</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①管理员权限汇总统计功能优化改造</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按照工作需求，在泰州市基层高频事项一平台办理专区页面增加基层高频事项权限查询。功能栏包括：</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业务条线，属性为下拉框。下拉框选择项包括：民政、人社、医保、税务、卫健、一件事，支持多选；</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项名称，属性为下拉框。默认展示所有基层高频事项（有编码事项、无编码的虚拟事项、第二批人社角色类事项、医保审核类事项），如有用户选了业务条线，则事项名称下拉框只展示对应业务所属的事项名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区划，属性为下拉框。展示当前用户所在区划下的镇街、用户点击镇街继续展示镇街下所有村居，支持多选，如果用户选择了某镇街，则查询的数据为该镇街下所有村居；</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经办人，属性为文本输入框，支持模糊查询。</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除四个查询条件外，功能按钮包括：查询、导出、重置。点击查询按钮的时候，下方列表页根据用户的查询条件过滤符合条件的数据明细，列表页字段包括：序号、事项名称（如果一个事项多个经办人办理，需要拆分成一个人一个事项的列表展示形式）、事项编码（事项名称、编码太长以省略号标记，鼠标放上去可看到完整事项名称、编码）、区划（区划展示形式为：县市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镇街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村居（如果有村居））、经办人姓名、经办人账号。</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点击导出按钮的时候，根据当前查询结果以</w:t>
      </w:r>
      <w:r>
        <w:rPr>
          <w:rFonts w:ascii="Times New Roman" w:hAnsi="Times New Roman" w:eastAsia="Times New Roman" w:cs="Times New Roman"/>
          <w:color w:val="000000"/>
          <w:sz w:val="28"/>
        </w:rPr>
        <w:t xml:space="preserve">excel</w:t>
      </w:r>
      <w:r>
        <w:rPr>
          <w:rFonts w:ascii="FangSong" w:hAnsi="FangSong" w:eastAsia="FangSong" w:cs="FangSong"/>
          <w:color w:val="000000"/>
          <w:sz w:val="28"/>
        </w:rPr>
        <w:t xml:space="preserve">形式导出所有结果数据。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点击重置按钮的时候，所有查询条件均清空。</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12.3.2.2.</w:t>
      </w:r>
      <w:r>
        <w:rPr>
          <w:rFonts w:ascii="FangSong" w:hAnsi="FangSong" w:eastAsia="FangSong" w:cs="FangSong"/>
          <w:color w:val="000000"/>
          <w:sz w:val="28"/>
        </w:rPr>
        <w:t xml:space="preserve">数字赋能“泰州市中介服务超市平台”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期数字赋能“泰州市中介服务超市平台”建设围绕内容安全、服务质量、数据共享与系统功能优化，全面升级平台智能化、规范化和便捷化水平。重点新增敏感词过滤与智能文本纠错功能，强化公告内容的合规性与规范性；建设网上中介数字化档案模块，实现项目全流程电子化归档与多维度查询统计；深化数据共享集成，对接省电子营业执照、“苏服采”、市委编办、多测合一，提升数据完整性与协同效率；构建“苏税援”评价体系，实现平台服务“一事一评”与不满意评价闭环整改，并生成机构年度服务报告；拓展智能提醒服务，涵盖资质临期、交易状态、投诉异常等多</w:t>
      </w:r>
      <w:r>
        <w:rPr>
          <w:rFonts w:ascii="FangSong" w:hAnsi="FangSong" w:eastAsia="FangSong" w:cs="FangSong"/>
          <w:color w:val="000000"/>
          <w:sz w:val="28"/>
        </w:rPr>
        <w:t xml:space="preserve">场景短信与系统提醒；同步推进平台功能优化，包括系统字段更新、选取算法改进、金额校验强化、承诺书上传、信息展示逻辑调整、多级审核机制建设及事项库动态管理，全面提升中介服务超市的运行效能、监管能力和服务体验。</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敏感词过滤</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敏感词过滤功能是中介超市平台内容安全的核心保障机制，旨在通过自动化技术手段对用户发布的信息内容进行实时扫描与合规性校验，有效识别并拦截包含违法违规、不当表述或潜在风险的敏感词汇，确保平台信息发布内容符合国家法律法规及行业监管要求。该功能覆盖采购公告、涉建采购公告、终止公告等所有需发布的内容场景，采用“黑名单优先、白名单豁免、分级管控、人机协同”的策略，实现精准识别、智能判断、流程可控的全流程管理。以下为核心功能模块：</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①内容实时扫描与匹配</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系统在用户点击“保存”或“发布”操作时，自动触发敏感词扫描引擎，对输入的文本内容（包括标题、正文、附件文字提取等）进行全量分析。扫描过程支持多种匹配模式：</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全词匹配：精确匹配完整词汇，如“违规”仅匹配“违规”而非“不违规”中的“违规”片段。</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模糊匹配：识别同音、谐音、变体、拆分等规避手段，如“政</w:t>
      </w:r>
      <w:r>
        <w:rPr>
          <w:rFonts w:ascii="Times New Roman" w:hAnsi="Times New Roman" w:eastAsia="Times New Roman" w:cs="Times New Roman"/>
          <w:color w:val="000000"/>
          <w:sz w:val="28"/>
        </w:rPr>
        <w:t xml:space="preserve">fu</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ZF</w:t>
      </w:r>
      <w:r>
        <w:rPr>
          <w:rFonts w:ascii="FangSong" w:hAnsi="FangSong" w:eastAsia="FangSong" w:cs="FangSong"/>
          <w:color w:val="000000"/>
          <w:sz w:val="28"/>
        </w:rPr>
        <w:t xml:space="preserve">”等可能被识别为“政府”。</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后缀匹配：可配置是否启用，用于识别特定语境下的敏感组合。</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正则表达式匹配：支持复杂规则定义，如身份证号、手机号等格式化敏感信息的识别。</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扫描结果将标记出所有命中敏感词的具体位置，并生成详细的检测报告。</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②黑名单拦截机制</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系统内置并支持动态维护的黑名单库作为第一道防线。所有待发布内容必须优先经过黑名单过滤：</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若内容中包含黑名单词汇，系统立即拦截发布流程。</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弹出提示框：“您发布的公告中含有敏感词，请静待部门审核确认”，并高亮显示命中的敏感词。</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用户需填写“敏感词说明”，解释使用该词汇的必要性与合规性依据。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点击“确定”后，内容进入“待审核”状态，暂存并提交至管理部门；点击“取消”可返回编辑页面修改。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黑名单内容禁止与白名单重复，系统在新增或修改时自动进行全词判重，防止逻辑冲突。</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③白名单豁免机制</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在黑名单拦截后，系统启动白名单豁免检查，用于处理正常语境下的合理使用场景：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若内容中虽包含黑名单词汇，但该词汇整体处于白名单允许的短语或语境中（如黑名单含“违规”，白名单含“不违规”），则视为合法，自动放行。</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白名单匹配优先级低于黑名单，即必须先被黑名单捕获，再由白名单豁免，确保安全优先。</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白名单内容需明确标注适用场景，避免滥用。</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该机制有效避免“一刀切”导致的误伤，提升用户体验与发布效率。</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④风险分级与差异化处理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系统为每个敏感词配置风险等级（高、中、低），实现差异化管控：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高风险词：如涉政、涉恐、违法等，一旦命中立即拦截，强制进入人工审核流程，不可自动发布。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中风险词：如行业敏感术语、争议性表述，触发审核提示，需人工确认后方可发布。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低风险词：如常见但需关注的词汇，系统记录日志，可设置自动通过或仅提醒。</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风险等级可随政策变化动态调整，支持按分类批量设置。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⑤采购公告</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涉建采购公告发布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用户编辑公告内容，点击“保存”或“发布”。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系统自动扫描内容，若含敏感词，弹窗提示并要求填写说明。内容暂存，状态变更为“待审核”，进入审核队列。</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若无敏感词，内容可直接发布或进入下一审批环节。</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⑥终止公告发布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用户填写终止原因，点击“确定”。</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系统扫描原因文本，若含敏感词，提示“您的终止原因包含敏感词，请静待部门审核确认”。要求填写说明，提交审核。</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若无敏感词，公告可直接生效。</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⑦审核与状态管理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审核列表：管理人员可在“敏感词审核”模块查看所有待审内容，包括公告标题、敏感词列表、风险等级、提交时间等。</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审核操作：审核通过，系统自动发布内容，并短信通知发布者；审核不通过，退回修改，附审核意见，短信通知发布者。</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状态展示：公告列表增加“敏感词审核进度”列，显示“待审核”“审核通过”“审核不通过”三种状态，状态锁定相关操作权限。</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⑧日志与审计</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敏感词管理日志：记录所有敏感词增删改操作，包括操作人、时间、前后内容对比，支持追溯。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公告校验日志：每条公告的每次校验均生成日志，记录校验时间、结果、命中的敏感词及风险等级，便于问题排查与合规审计。</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⑨系统集成与扩展性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与平台现有公告发布、审批流、消息通知等模块无缝集成。</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支持敏感词库批量导入（</w:t>
      </w:r>
      <w:r>
        <w:rPr>
          <w:rFonts w:ascii="Times New Roman" w:hAnsi="Times New Roman" w:eastAsia="Times New Roman" w:cs="Times New Roman"/>
          <w:color w:val="000000"/>
          <w:sz w:val="28"/>
        </w:rPr>
        <w:t xml:space="preserve">Excel</w:t>
      </w:r>
      <w:r>
        <w:rPr>
          <w:rFonts w:ascii="FangSong" w:hAnsi="FangSong" w:eastAsia="FangSong" w:cs="FangSong"/>
          <w:color w:val="000000"/>
          <w:sz w:val="28"/>
        </w:rPr>
        <w:t xml:space="preserve">）、版本管理、外部接口同步。</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接口，便于未来扩展至其他业务场景（如企业简介、服务描述等）。</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文本纠错功能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为提升中介服务超市平台信息发布质量，确保采购公告、涉建项目公告、终止公告等政务信息内容的规范性、准确性和专业性，系统需集成智能文本纠错功能。该功能基于自然语言处理（</w:t>
      </w:r>
      <w:r>
        <w:rPr>
          <w:rFonts w:ascii="Times New Roman" w:hAnsi="Times New Roman" w:eastAsia="Times New Roman" w:cs="Times New Roman"/>
          <w:color w:val="000000"/>
          <w:sz w:val="28"/>
        </w:rPr>
        <w:t xml:space="preserve">NLP</w:t>
      </w:r>
      <w:r>
        <w:rPr>
          <w:rFonts w:ascii="FangSong" w:hAnsi="FangSong" w:eastAsia="FangSong" w:cs="FangSong"/>
          <w:color w:val="000000"/>
          <w:sz w:val="28"/>
        </w:rPr>
        <w:t xml:space="preserve">）技术，结合政务文书语义特征，对用户发布的文本内容进行自动语法检查、错别字识别、表述错误检测和语义通顺性分析，在发布前主动提醒用户修正错误，有效减少因文字错误导致的理解歧义、法律风险或行政争议，全面提升平台信息发布的权威性与公信力。核心功能与应用场景如下：</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①错别字与拼写检查</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系统内置高精度中文错别字识别引擎，支持以下类型错误检测：</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同音错别字：如“公文”误写为“工文”，“截止”误写为“截至”。</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形近错别字：如“已”与“己”“未”与“末”“的”“地”“得”混用。</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拼音输入错误：识别常见拼音输入法导致的错误，如“申请”误输为“神请”。</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数字与单位错误：如“万元”误写为“万圆”，金额单位不规范等。</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检测结果以波浪线或高亮方式标注错误位置，并提供候选修正建议。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②语法结构与句式纠错</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基于语法规则库和深度学习模型，分析句子结构完整性与逻辑合理性：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成分残缺：识别主语、谓语、宾语缺失的病句，如“根据相关规定，应提交材料。”（缺少主语）。</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搭配不当：检测动宾、定中、状中等搭配错误，如“提高……水平”误写为“增加……水平”。</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语序混乱：识别不符合汉语表达习惯的语序问题。</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重复冗余：提示重复使用词语或句式啰嗦，如“本次招标的最终最终结果”。系统提供修改建议，帮助用户优化语句结构。</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③语义理解与上下文纠错</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结合上下文语境进行语义级纠错，避免孤立判断导致误判：</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多义词辨析：根据上下文判断词语使用是否恰当，如“权利”与“权力”在不同语境中的正确使用。</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逻辑矛盾：识别前后表述矛盾，如“报名截止时间为</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日，逾期不予受理”但正文中又写“可于</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日前提交”。</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术语一致性：检查同一术语在全文中的表述是否统一，如“中介机构”与“中介单位”混用。</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数值逻辑校验：自动识别明显不合理的时间顺序或数值范围，如“工期为</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天”或“报名开始时间晚于截止时间”。</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该功能依赖预训练的语言模型（如</w:t>
      </w:r>
      <w:r>
        <w:rPr>
          <w:rFonts w:ascii="Times New Roman" w:hAnsi="Times New Roman" w:eastAsia="Times New Roman" w:cs="Times New Roman"/>
          <w:color w:val="000000"/>
          <w:sz w:val="28"/>
        </w:rPr>
        <w:t xml:space="preserve">BERT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ERNIE</w:t>
      </w:r>
      <w:r>
        <w:rPr>
          <w:rFonts w:ascii="FangSong" w:hAnsi="FangSong" w:eastAsia="FangSong" w:cs="FangSong"/>
          <w:color w:val="000000"/>
          <w:sz w:val="28"/>
        </w:rPr>
        <w:t xml:space="preserve">等），具备较强语义理解能力。</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④政务文书规范性检查</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针对中介服务公告的政务属性，建立专用规则库，确保符合公文写作规范：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称谓规范：检查“我单位”“贵公司”“投标人”等称谓使用是否得体。</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格式用语：提示标准用语缺失，如“特此通知”“现将有关事项公告如下”等常用公文开头结尾。</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禁用口语化表达：识别并提醒避免使用“咱们”“搞”“弄”等非正式词汇。</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政策术语准确性：对照最新政策文件术语库，确保“放管服”“营商环境”“不见面审批”等术语使用准确。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支持自定义规则扩展，便于适应地方性规范要求。</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⑤实时输入提示</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用户在编辑器中输入内容时，系统后台实时扫描，对疑似错误进行轻量级标记（如灰色下划线），点击后弹出纠错建议。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此模式适用于长文本撰写阶段，提升写作效率。</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⑥发布前强制校验</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用户点击“保存”或“发布”按钮时，系统自动触发完整文本纠错流程。</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若检测到错误或建议修改项：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弹出“文本纠错提示”对话框，列出所有问题点。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每条问题标注位置、错误类型、原句、修改建议。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提供“全部接受”“逐条确认”“忽略并继续”等操作选项。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用户可选择采纳建议自动修正，或手动修改后重新校验。</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只有用户确认“无误”或“忽略风险继续发布”后，方可进入后续流程（如敏感词过滤、提交审核等）。</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⑦纠错面板设计</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在编辑页面右侧或底部嵌入“文本纠错面板”，以列表形式展示所有检测结果。</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每条记录包含：</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错误位置：定位到段落、句子。</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错误类型：分类显示（错别字、语法、语义、规范等）。</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原文片段：高亮显示问题部分。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修改建议：提供</w:t>
      </w: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个推荐修改方案。</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操作按钮：“替换”“忽略”“查看详情”。</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⑧批量处理功能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支持“一键应用所有建议”或按类型批量处理（如全部替换“的地得”错误）。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提供“导出纠错报告”功能，便于存档或内部审核参考。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⑨本地化适配与安全设计</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构建中介服务领域词典，收录常用术语（如“比选”“摇号”“资质审查”“履约评价”等），提升专业词汇识别准确率。</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训练定制化模型，学习历史公告中的规范表达模式，增强纠错针对性。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支持大文本（≤</w:t>
      </w:r>
      <w:r>
        <w:rPr>
          <w:rFonts w:ascii="Times New Roman" w:hAnsi="Times New Roman" w:eastAsia="Times New Roman" w:cs="Times New Roman"/>
          <w:color w:val="000000"/>
          <w:sz w:val="28"/>
        </w:rPr>
        <w:t xml:space="preserve">2000</w:t>
      </w:r>
      <w:r>
        <w:rPr>
          <w:rFonts w:ascii="FangSong" w:hAnsi="FangSong" w:eastAsia="FangSong" w:cs="FangSong"/>
          <w:color w:val="000000"/>
          <w:sz w:val="28"/>
        </w:rPr>
        <w:t xml:space="preserve">字）快速响应，单次校验时间控制在</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秒内。</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文本内容仅在本地或加密传输中处理，不长期存储，保障数据安全与隐私合规。</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⑩规则库管理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提供“文本纠错规则管理”模块，支持管理员：</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新增、修改、停用纠错规则。</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维护自定义词库（允许词、禁止词、标准术语）。</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配置纠错强度等级（宽松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标准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严格）。</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所有变更记录操作日志，支持追溯。</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网上中介数字化档案模块</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实现中介服务线上展示、线上选取、线上交易、线上评价全流程可视化，推动中介服务更公平、更高效，建立网上中介数字化档案模块，健全标准化、安全化、智能化的归档机制，实现全流程电子文件自动化管理。全过程记录平台项目的交易信息、履约信息和评价信息，提升数据可追溯性、降低管理成本，确保项目交易全过程留痕，促进交易规范化。建设内容如下：</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①建设思路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全流程覆盖。基于现有交易流程（需求发布→机构选取→合同签订→履约评价），自动采集各阶段产生的文档（如采购公告、合同文本、验收报告、投诉记录等），形成完整的项目档案链。</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分类标准化。按文件类型（合同类、资质类、交易记录类）、项目阶段（立项、执行、验收）、机构类别（测绘、环评、咨询）多维度分类存储，便于检索与调用。</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安全与合规。结合水印、电子签名技术，确保文件不可篡改，并符合《中华人民共和国网络安全法》《电子档案管理规范》等法规要求。</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智能辅助。引入</w:t>
      </w:r>
      <w:r>
        <w:rPr>
          <w:rFonts w:ascii="Times New Roman" w:hAnsi="Times New Roman" w:eastAsia="Times New Roman" w:cs="Times New Roman"/>
          <w:color w:val="000000"/>
          <w:sz w:val="28"/>
        </w:rPr>
        <w:t xml:space="preserve">OCR</w:t>
      </w:r>
      <w:r>
        <w:rPr>
          <w:rFonts w:ascii="FangSong" w:hAnsi="FangSong" w:eastAsia="FangSong" w:cs="FangSong"/>
          <w:color w:val="000000"/>
          <w:sz w:val="28"/>
        </w:rPr>
        <w:t xml:space="preserve">识别、自然语言处理（</w:t>
      </w:r>
      <w:r>
        <w:rPr>
          <w:rFonts w:ascii="Times New Roman" w:hAnsi="Times New Roman" w:eastAsia="Times New Roman" w:cs="Times New Roman"/>
          <w:color w:val="000000"/>
          <w:sz w:val="28"/>
        </w:rPr>
        <w:t xml:space="preserve">NLP</w:t>
      </w:r>
      <w:r>
        <w:rPr>
          <w:rFonts w:ascii="FangSong" w:hAnsi="FangSong" w:eastAsia="FangSong" w:cs="FangSong"/>
          <w:color w:val="000000"/>
          <w:sz w:val="28"/>
        </w:rPr>
        <w:t xml:space="preserve">）技术，自动提取关键字段（如合同金额、服务周期），生成结构化档案数据。</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②建设内容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自动归档引擎。开发自动归档引擎功能，支持在需求发布、合同登记、服务评价等关键节点自动抓取文件（如中选通知书、电子合同、验收单），并支持按照归档标准，形成归档材料。支持</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Word</w:t>
      </w:r>
      <w:r>
        <w:rPr>
          <w:rFonts w:ascii="FangSong" w:hAnsi="FangSong" w:eastAsia="FangSong" w:cs="FangSong"/>
          <w:color w:val="000000"/>
          <w:sz w:val="28"/>
        </w:rPr>
        <w:t xml:space="preserve">格式。</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档案管理页面。支持按“项目名称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机构名称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年度”层级展示信息，支持对档案进行自定义标签处理，如“区域评估项目”、“政府采购类”；提供检索功能，支持关键词、时间范围、机构资质等多条件组合查询；支持对档案材料管理进行配置管理，如：标定档案存储年限，设定归档年限等；支持对档案数据进行打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查询功能。面向公众与管理人员提供档案查询功能，支持按照项目关键字、年度、项目类型等维度搜索档案信息，支持查看档案详情，包括展示公告信息、流程信息、选取方式信息，如果是邀请选取方式的，在项目档案功能模块详情页面中增加显示邀请的中介机构清单。</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档案数据统计。提供项目档案分类统计功能，支持按照区县、年度、类型等多维度进行统计，并提供数据导出功能，用户可导出当前页面项目的信息（</w:t>
      </w:r>
      <w:r>
        <w:rPr>
          <w:rFonts w:ascii="Times New Roman" w:hAnsi="Times New Roman" w:eastAsia="Times New Roman" w:cs="Times New Roman"/>
          <w:color w:val="000000"/>
          <w:sz w:val="28"/>
        </w:rPr>
        <w:t xml:space="preserve">pdf</w:t>
      </w:r>
      <w:r>
        <w:rPr>
          <w:rFonts w:ascii="FangSong" w:hAnsi="FangSong" w:eastAsia="FangSong" w:cs="FangSong"/>
          <w:color w:val="000000"/>
          <w:sz w:val="28"/>
        </w:rPr>
        <w:t xml:space="preserve">格式），支持附件以压缩包形式导出。</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安全与权限控制功能。支持对敏感文件添加动态水印，支持限制下载与打印权限；对于不同的用户角色，提供档案信息查询权限，区分项目业主、中介机构、监管部门的访问范围（如机构仅可查看自身合同）。</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与其他系统集成。开发档案数据共享接口，支持与第三方平台对接，共享归档文件与中介机构等档案信息；支持通过“中介超市”</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实现移动端档案查询与下载，适配掌上办公场景。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日志审计功能。系统自动记录文件修改、访问操作数据，形成日志文件，支持导出数据。</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数据共享集成</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增强中介服务超市应用效果。与省电子营业执照数据共享对接，共享泰州地区中介服务事项与中介机构信息，数据实时展示。</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扩大与“苏服采”数据共享范围。与“苏服采”系统对接。前期已完成中介服务超市平台向“苏服采”平台共享中介机构基础数据，“苏服采”向中介服务超市平台共享公告数据、项目合同数据、项目成果备案数据及评价数据的工作，本期增加数据共享范围，“苏服采”系统向中介服务超市平台共享已中选项目中参与竞标的中介机构清单信息，并在中介服务超市平台中数字档案模块展示获取到的共享信息。</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善上报数据的准确性。目前，上报省平台的中介服务数据中，部分从第三方平台获取的信息缺少机关单位法人信息，为了提升上报数据的标准性、减少人为干预数据造成的数据出错的风险，与市委编办系统对接，获取机关单位法人信息，用于完善上报数据中机关单位法人名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泰州市多测合一系统对接。为了保证泰州地区中介机构数据的完整性，一是由泰州市“多测合一”系统将本系统中的入驻机构信息共享给泰州市中介服务超市平台；二是泰州市中介服务超市平台将公告信息共享至泰州市“多测合一”系统；三是泰州市“多测合一”平台接入市统一身份认证系统。</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支持项目业主通过中介服务超市平台进行涉建项目登记。</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构建“苏税援”评价体系</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线上涉税专业服务“一件事”深化实施方案》要求，现开展优化各设区市“一企来办·苏税援”涉税专业服务（以下简称“苏税援”）评价体系工作，增设平台评价并按要求将评价数据汇聚至省“一企来办”，按照要求处理江苏</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派发的“苏税援”平台相关不满意评价诉求，提高平台服务效能。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①建设目标</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健全科学合理的“苏税援”评价体系，深度融合江苏政务服务“好差评”评价体系，实现不满意评价定向派发整改，构建“评价收集—数据汇聚—不满意评价整改—整改结果回流”的全流程闭环工作机制，提升“苏税援”平台用户使用体验，提高涉税专业服务质效。</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②建设内容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通过对接省苏税援平台评价接口以及系统开发，实现以下内容：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评价机制。“苏税援”评价采取“一事一评”星级评价机制，每次依托“苏税援”平台完成涉税专业服务交易后，经营主体需在评价交易、机构情况的同时，对服务平台进行评价，超过</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个自然日未提交评价的，自动默认为</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星（基本满意）评价。泰州市“苏税援”平台原有的对于机构服务质量、服务态度、服务收费等评价功能继续保留。</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评价内容。收集经营主体对“苏税援”平台提供服务的使用情况反馈，具体包括平台页面效果、服务体验感、服务便利性、信息准确性等方面。</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评价页面要求。按照政务服务“好差评”统一规则要求，保持评价页面版式统一，内容完整、准确，标识清晰。具体要求如下：</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评价标题为“平台评价”；</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为保障企业用户评价操作便利性，各设区市“苏税援”平台需在原有评价功能基础上进行融合改造，确保在一个页面完成全部评价；</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每个评价星级需关联对应“评价详情”，当选定五星、四星、三星评价星级时，需要求用户勾选评价详情（可多选）；当选定二星、一星评价星级时，需要求用户勾选评价详情并输入不满意评价内容。</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评价数据汇聚。泰州市将“苏税援”的平台服务评价数据通过省平台提供的接口，按接口规范统一汇聚至省平台。省平台按照江苏政务服务“好差评”机制，将不满意评价推送到江苏</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热线，形成诉求表单进行流转，根据评价平台所在地区派发给对应设区市“一企来办”平台主管部门办理，服务表单办结后办理结果同步至省“一企来办”平台和设区市“苏税援”平台。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涉税专业服务机构年度服务报告生成功能。依托泰州市“一企来办 苏税援”平台，智能归集涉税专业服务机构相关数据，简化信息报送，定期生成涉税专业服务机构的年度服务总体情况报告，支持线上查看报告，支持导出报告，为加强内部管理、防范执业风险、提升涉税专业服务信用等级提供参考。</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智能提醒</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树立“靠前服务”理念，在提供便捷服务的基础上，为企业提供精准化个性化衍生服务。拓展网上中介超市创新专区，增加中介机构资质临期短信提醒服务，</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、提醒中介机构及时在平台更新资质信息；</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、通过系统弹窗及待办提醒企业用户，修改完善企业信息，保持信息的及时性和准确性，</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、设置项目交易状态（中选、终止、邀请选取、中选公告发布、报名截止时间到期选取、评价通知、成果上传通知）短信提醒功能及查看项目进度。</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、设置咨询投诉跟踪及智能审批结果异常短信提醒。</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此外，开发短信发送情况查询页面，支持对已发送的短信、类型、内容、是否成功、发送情况信息进行展示。</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平台功能优化</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根据江苏省中介服务超市平台更新要求以及泰州市中介服务业务管理需求，对泰州市中介服务超市平台部分内容进行持续优化。</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①按照省中介超市规范要求，进行系统更新。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为进一步完善中介机构入驻管理，根据省平台修改工作，同步更新泰州市中介服务超市平台中介机构库表结构，如：增加字段</w:t>
      </w:r>
      <w:r>
        <w:rPr>
          <w:rFonts w:ascii="Times New Roman" w:hAnsi="Times New Roman" w:eastAsia="Times New Roman" w:cs="Times New Roman"/>
          <w:color w:val="000000"/>
          <w:sz w:val="28"/>
        </w:rPr>
        <w:t xml:space="preserve">agency_state</w:t>
      </w:r>
      <w:r>
        <w:rPr>
          <w:rFonts w:ascii="FangSong" w:hAnsi="FangSong" w:eastAsia="FangSong" w:cs="FangSong"/>
          <w:color w:val="000000"/>
          <w:sz w:val="28"/>
        </w:rPr>
        <w:t xml:space="preserve">（机构状态）、</w:t>
      </w:r>
      <w:r>
        <w:rPr>
          <w:rFonts w:ascii="Times New Roman" w:hAnsi="Times New Roman" w:eastAsia="Times New Roman" w:cs="Times New Roman"/>
          <w:color w:val="000000"/>
          <w:sz w:val="28"/>
        </w:rPr>
        <w:t xml:space="preserve">contactperson</w:t>
      </w:r>
      <w:r>
        <w:rPr>
          <w:rFonts w:ascii="FangSong" w:hAnsi="FangSong" w:eastAsia="FangSong" w:cs="FangSong"/>
          <w:color w:val="000000"/>
          <w:sz w:val="28"/>
        </w:rPr>
        <w:t xml:space="preserve">（联系人）、</w:t>
      </w:r>
      <w:r>
        <w:rPr>
          <w:rFonts w:ascii="Times New Roman" w:hAnsi="Times New Roman" w:eastAsia="Times New Roman" w:cs="Times New Roman"/>
          <w:color w:val="000000"/>
          <w:sz w:val="28"/>
        </w:rPr>
        <w:t xml:space="preserve">contactphone</w:t>
      </w:r>
      <w:r>
        <w:rPr>
          <w:rFonts w:ascii="FangSong" w:hAnsi="FangSong" w:eastAsia="FangSong" w:cs="FangSong"/>
          <w:color w:val="000000"/>
          <w:sz w:val="28"/>
        </w:rPr>
        <w:t xml:space="preserve">（联系人电话）、</w:t>
      </w:r>
      <w:r>
        <w:rPr>
          <w:rFonts w:ascii="Times New Roman" w:hAnsi="Times New Roman" w:eastAsia="Times New Roman" w:cs="Times New Roman"/>
          <w:color w:val="000000"/>
          <w:sz w:val="28"/>
        </w:rPr>
        <w:t xml:space="preserve">isopen</w:t>
      </w:r>
      <w:r>
        <w:rPr>
          <w:rFonts w:ascii="FangSong" w:hAnsi="FangSong" w:eastAsia="FangSong" w:cs="FangSong"/>
          <w:color w:val="000000"/>
          <w:sz w:val="28"/>
        </w:rPr>
        <w:t xml:space="preserve">（是否公开）等。</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涉税事项更新，省里统一对其中部分事项名称做出调整，将最新版本的事项推送过来，由于省事项库推送新版本事项时并未对原在用事项做出删除状态标识，需针对获取非删除状态的事项进行过滤处理。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中介服务超市企业端首页样式调整。按照江苏政务服务网样式规范开发抬头及落款样式调整页面。</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②更新中介超市选取方式算法</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更新竞价选取与均价选取逻辑。竞价选取要求必填最高和最低价；均价选取要求去除掉价格区间外的报价，再进行平均取值，再与随机生成的</w:t>
      </w:r>
      <w:r>
        <w:rPr>
          <w:rFonts w:ascii="Times New Roman" w:hAnsi="Times New Roman" w:eastAsia="Times New Roman" w:cs="Times New Roman"/>
          <w:color w:val="000000"/>
          <w:sz w:val="28"/>
        </w:rPr>
        <w:t xml:space="preserve">k</w:t>
      </w:r>
      <w:r>
        <w:rPr>
          <w:rFonts w:ascii="FangSong" w:hAnsi="FangSong" w:eastAsia="FangSong" w:cs="FangSong"/>
          <w:color w:val="000000"/>
          <w:sz w:val="28"/>
        </w:rPr>
        <w:t xml:space="preserve">值相乘之后，最靠近的报价为中选价格，最终比价向下取值（即：平均价格为</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，有个报价</w:t>
      </w:r>
      <w:r>
        <w:rPr>
          <w:rFonts w:ascii="Times New Roman" w:hAnsi="Times New Roman" w:eastAsia="Times New Roman" w:cs="Times New Roman"/>
          <w:color w:val="000000"/>
          <w:sz w:val="28"/>
        </w:rPr>
        <w:t xml:space="preserve">99</w:t>
      </w:r>
      <w:r>
        <w:rPr>
          <w:rFonts w:ascii="FangSong" w:hAnsi="FangSong" w:eastAsia="FangSong" w:cs="FangSong"/>
          <w:color w:val="000000"/>
          <w:sz w:val="28"/>
        </w:rPr>
        <w:t xml:space="preserve">，有个报价</w:t>
      </w:r>
      <w:r>
        <w:rPr>
          <w:rFonts w:ascii="Times New Roman" w:hAnsi="Times New Roman" w:eastAsia="Times New Roman" w:cs="Times New Roman"/>
          <w:color w:val="000000"/>
          <w:sz w:val="28"/>
        </w:rPr>
        <w:t xml:space="preserve">101</w:t>
      </w:r>
      <w:r>
        <w:rPr>
          <w:rFonts w:ascii="FangSong" w:hAnsi="FangSong" w:eastAsia="FangSong" w:cs="FangSong"/>
          <w:color w:val="000000"/>
          <w:sz w:val="28"/>
        </w:rPr>
        <w:t xml:space="preserve">，这两个报价最接近平均价格，按照规则要选取低价的</w:t>
      </w:r>
      <w:r>
        <w:rPr>
          <w:rFonts w:ascii="Times New Roman" w:hAnsi="Times New Roman" w:eastAsia="Times New Roman" w:cs="Times New Roman"/>
          <w:color w:val="000000"/>
          <w:sz w:val="28"/>
        </w:rPr>
        <w:t xml:space="preserve">99</w:t>
      </w:r>
      <w:r>
        <w:rPr>
          <w:rFonts w:ascii="FangSong" w:hAnsi="FangSong" w:eastAsia="FangSong" w:cs="FangSong"/>
          <w:color w:val="000000"/>
          <w:sz w:val="28"/>
        </w:rPr>
        <w:t xml:space="preserve">元）</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③服务金额与中选金额必填校验</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中介超市发布采购公告和中选公告时，针对服务金额和中选金额，增加不可填写</w:t>
      </w:r>
      <w:r>
        <w:rPr>
          <w:rFonts w:ascii="Times New Roman" w:hAnsi="Times New Roman" w:eastAsia="Times New Roman" w:cs="Times New Roman"/>
          <w:color w:val="000000"/>
          <w:sz w:val="28"/>
        </w:rPr>
        <w:t xml:space="preserve">0</w:t>
      </w:r>
      <w:r>
        <w:rPr>
          <w:rFonts w:ascii="FangSong" w:hAnsi="FangSong" w:eastAsia="FangSong" w:cs="FangSong"/>
          <w:color w:val="000000"/>
          <w:sz w:val="28"/>
        </w:rPr>
        <w:t xml:space="preserve">的约束功能。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④上传“承诺书”功能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针对项目业主以及中介机构第一次在系统中操作，系统强制要求上传“承诺书”。</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⑤信息展示逻辑调整</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服务机构信息展示调整。对网站首页的中介服务机构列表展示信息进行调整，需展示服务评价为</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星，服务次数为排名前</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的机构信息；对中介机构列表页信息进行调整，机构顺序需遵循星级和服务次数排序，星级需取小数点后一位，比如</w:t>
      </w: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星需要在</w:t>
      </w: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星的前面，同星级下，按照服务次数由高到低排序；“中介机构”模块详情页中，机构名称下的服务评价改为服务次数。</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⑥优化展示效果</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中介超市“运行数据”模块页面中，运行数据版块通过点击今年、本月、今日获取相关统计数据，增加中介机构和项目业主入驻情况联动效果。</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⑦政府采购项目特殊处理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政府采购服务项目，在公告页面，“是否政府采购服务项目”、最高和最低限价字段采用红色字体显示；报名和中选公告发布时，均要经过限价过滤校验，防止出现政府采购服务超市过</w:t>
      </w:r>
      <w:r>
        <w:rPr>
          <w:rFonts w:ascii="Times New Roman" w:hAnsi="Times New Roman" w:eastAsia="Times New Roman" w:cs="Times New Roman"/>
          <w:color w:val="000000"/>
          <w:sz w:val="28"/>
        </w:rPr>
        <w:t xml:space="preserve">50W</w:t>
      </w:r>
      <w:r>
        <w:rPr>
          <w:rFonts w:ascii="FangSong" w:hAnsi="FangSong" w:eastAsia="FangSong" w:cs="FangSong"/>
          <w:color w:val="000000"/>
          <w:sz w:val="28"/>
        </w:rPr>
        <w:t xml:space="preserve">的情况再发生。</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⑧构建多级审核机制</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参照江苏省中介服务超市审核机制，对于泰州中介服务超市平台审核端的采购、中选、终止公告，发布前需要增加审核机制，具备初审与复审功能。</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⑨中介服务事项认领与处理</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省政务办统一安排，更新、梳理泰州市市级中介服务事项库信息，并对市级平台中介服务事项展示效果进行调整。包括：中介事项模块中，关联的政务服务事项，不再显示子项，而显示主项；查询出来的中介事项列表，进入详情页面后再显示政务服务主项下的子项列表；政务服务事项规范中有行使层级，按照具体行使层级显示。</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12.3.2.3.</w:t>
      </w:r>
      <w:r>
        <w:rPr>
          <w:rFonts w:ascii="FangSong" w:hAnsi="FangSong" w:eastAsia="FangSong" w:cs="FangSong"/>
          <w:color w:val="000000"/>
          <w:sz w:val="28"/>
        </w:rPr>
        <w:t xml:space="preserve">数字赋能泰州市“一件事”平台</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完成上级安排的“一件事”接入服务</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按照“省级统建、地市接入”的建设原则，提供为完成</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年度国办下发的第一批重点“一件事”接入任务所提供的相关服务，包括软件开发、集成对接、部署实施、数据上报、数据汇聚等。</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“一件事”服务智能化升级</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①智能预审功能模块</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本模块实现材料智能核验与预审自动化，减少人工审核环节。挑选</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至</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具有代表性的一件事，基于预设规则，对用户提交的材料进行自动核验，识别材料格式是否符合要求、材料是否齐全、内容是否符合标准、材料间逻辑关系是否合理，自动分类错误类型；实时向用户反馈预审结果，自动定位错误材料位置，自动生成错误原因说明和修正建议，提供预审结果导出功能；建立预审规则库，支持按事项类型自定义预审规则，实现预审规则的动态更新和维护，支持预审规则在不同事项间共享；自动存储预审结果，将预审结果与事项关联，支持预审结果版本追溯和统计分析，提升预审准确率达到</w:t>
      </w:r>
      <w:r>
        <w:rPr>
          <w:rFonts w:ascii="Times New Roman" w:hAnsi="Times New Roman" w:eastAsia="Times New Roman" w:cs="Times New Roman"/>
          <w:color w:val="000000"/>
          <w:sz w:val="28"/>
        </w:rPr>
        <w:t xml:space="preserve">90%</w:t>
      </w:r>
      <w:r>
        <w:rPr>
          <w:rFonts w:ascii="FangSong" w:hAnsi="FangSong" w:eastAsia="FangSong" w:cs="FangSong"/>
          <w:color w:val="000000"/>
          <w:sz w:val="28"/>
        </w:rPr>
        <w:t xml:space="preserve">以上，缩短事项办理时间。</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②申报端“好用性”改造功能模块</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本模块针对申办用户群体进行申报端优化，提升平台易用性。重构申报端页面，使用符合最新风格的</w:t>
      </w:r>
      <w:r>
        <w:rPr>
          <w:rFonts w:ascii="Times New Roman" w:hAnsi="Times New Roman" w:eastAsia="Times New Roman" w:cs="Times New Roman"/>
          <w:color w:val="000000"/>
          <w:sz w:val="28"/>
        </w:rPr>
        <w:t xml:space="preserve">UI</w:t>
      </w:r>
      <w:r>
        <w:rPr>
          <w:rFonts w:ascii="FangSong" w:hAnsi="FangSong" w:eastAsia="FangSong" w:cs="FangSong"/>
          <w:color w:val="000000"/>
          <w:sz w:val="28"/>
        </w:rPr>
        <w:t xml:space="preserve">页面，同时，简化界面功能与元素，优化操作流程，聚焦关键信息展示，优化操作按钮大小和布局；集成商用</w:t>
      </w:r>
      <w:r>
        <w:rPr>
          <w:rFonts w:ascii="Times New Roman" w:hAnsi="Times New Roman" w:eastAsia="Times New Roman" w:cs="Times New Roman"/>
          <w:color w:val="000000"/>
          <w:sz w:val="28"/>
        </w:rPr>
        <w:t xml:space="preserve">GIS</w:t>
      </w:r>
      <w:r>
        <w:rPr>
          <w:rFonts w:ascii="FangSong" w:hAnsi="FangSong" w:eastAsia="FangSong" w:cs="FangSong"/>
          <w:color w:val="000000"/>
          <w:sz w:val="28"/>
        </w:rPr>
        <w:t xml:space="preserve">地图，为用户线下办理点搜索提供精准搜索与定位功能。</w:t>
      </w:r>
      <w:r/>
    </w:p>
    <w:p>
      <w:pPr>
        <w:ind w:left="1040" w:right="0" w:firstLine="624"/>
        <w:jc w:val="both"/>
        <w:spacing w:before="120" w:after="12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“一件事”平台管理驾驶舱</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①平台运行态势展示模块</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模块提供平台运行态势的可视化展示，支持全面掌握平台运行情况。实时展示核心指标数据，包括事项办理量、平均办理时长、用户满意度等关键指标，支持数据实时更新和多维度展示；对关键指标设置预警阈值，异常时自动提醒，支持按时间、区域、事项类型等多维度展示数据；提供数据看板功能，展示核心指标数据，支持看板实时更新和自定义；支持指标数据下钻功能，可深入查看明细数据，为管理人员提供直观、全面的平台运行态势展示，支持按时间、区域、事项类型等多维度分析。</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②事项运行监控模块</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模块实现对事项运行的全面监控，支持事项运行状态的实时掌握。展示各事项的运行状态，包括办理量、办理时长、满意度等关键指标，支持事项间指标对比、趋势对比和问题对比；自动识别运行异常事项，分析异常原因，评估异常影响范围，智能生成优化建议；支持事项运行状态多维度展示，按时间、区域、事项类型等维度进行分析；提供事项运行趋势分析功能，支持历史数据对比和趋势预测，为管理人员提供全面的事项运行情况，支持对异常事项的及时处理和优化。</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③数据预警与决策支持模块</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模块实现智能预警和决策支持，提升管理决策效率。基于预设规则对异常数据进行智能预警，自动识别异常情况，智能判定预警级别，生成预警信息；建立预警处理流程，自动分配预警处理任务，实时跟踪处理进度，记录处理结果；自动生成决策支持报告，为管理决策提供依据，支持报告数据可视化展示；支持历史数据对比和趋势分析，为决策提供参考，提供多维度对比分析功能。通过智能预警和决策支持，实现管理决策效率提升</w:t>
      </w:r>
      <w:r>
        <w:rPr>
          <w:rFonts w:ascii="Times New Roman" w:hAnsi="Times New Roman" w:eastAsia="Times New Roman" w:cs="Times New Roman"/>
          <w:color w:val="000000"/>
          <w:sz w:val="28"/>
        </w:rPr>
        <w:t xml:space="preserve">40%</w:t>
      </w:r>
      <w:r>
        <w:rPr>
          <w:rFonts w:ascii="FangSong" w:hAnsi="FangSong" w:eastAsia="FangSong" w:cs="FangSong"/>
          <w:color w:val="000000"/>
          <w:sz w:val="28"/>
        </w:rPr>
        <w:t xml:space="preserve">，数据分析覆盖率达到</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，提升管理决策的科学化、精准化水平。</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12.3.2.4.</w:t>
      </w:r>
      <w:r>
        <w:rPr>
          <w:rFonts w:ascii="FangSong" w:hAnsi="FangSong" w:eastAsia="FangSong" w:cs="FangSong"/>
          <w:color w:val="000000"/>
          <w:sz w:val="28"/>
        </w:rPr>
        <w:t xml:space="preserve">电子营业执照综合应用</w:t>
      </w:r>
      <w:r/>
    </w:p>
    <w:p>
      <w:pPr>
        <w:ind w:left="0" w:right="0" w:firstLine="562"/>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经营主体身份认证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主体办理业务时，政府部门需要经营主体出示营业执照来确认真实身份。使用电子营业执照后，可以基于电子营业执照实现经营主体在线上的身份认证。线下窗口时，企业可以出示电子营业执照供窗口人员验证身份。企业把电子营业执照二维码、条形码或验证码出示给窗口工作人员，工作人员可以使用扫码枪扫描办事人出示的二维码，验证经营主体身份。</w:t>
      </w:r>
      <w:r/>
    </w:p>
    <w:p>
      <w:pPr>
        <w:ind w:left="0" w:right="0" w:firstLine="562"/>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执照留档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经营主体携带电子营业执照办理业务时，如果政府部门需要留存营业执照影印件，可以不必复印或扫描纸质营业执照，直接打印电子营业执照影印件或留存电子营业执照影印件。</w:t>
      </w:r>
      <w:r/>
    </w:p>
    <w:p>
      <w:pPr>
        <w:ind w:left="0" w:right="0" w:firstLine="562"/>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照面信息获取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经营主体在业务应用上登录时，业务应用可以通过电子营业执照自动获取经营主体照面信息，减少经营主体手工录入，提高办事效率。</w:t>
      </w:r>
      <w:r/>
    </w:p>
    <w:p>
      <w:pPr>
        <w:ind w:left="0" w:right="0" w:firstLine="562"/>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基于电子营业执照的电子档案查询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以电子营业执照作为经营主体电子档案查询服务的应用入口，依托电子营业执照应用小程序，一键直达完成身份认证、档案查询、档案下载、档案共享等操作。</w:t>
      </w:r>
      <w:r/>
    </w:p>
    <w:p>
      <w:pPr>
        <w:ind w:left="0" w:right="0" w:firstLine="562"/>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基于电子营业执照的企业信用报告查询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以电子营业执照作为企业信用报告查询服务的应用入口，依托电子营业执照应用小程序，一键直达完成企业信用报告申请、信用报告查看、报告异议申诉和异议申诉记录查询等功能等操作。</w:t>
      </w:r>
      <w:r/>
    </w:p>
    <w:p>
      <w:pPr>
        <w:ind w:left="0" w:right="0" w:firstLine="562"/>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电子签章及签章验证</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主体在公文、证照、协议、凭据、流转单等各类电子文档上加盖电子印章时，需要先验证电子营业执照有效后才能签章。对电子印章签章结果进行验证，即针对提交的签章文件可以验证其文档真实性以及电子印章的真伪、查看签章文件中电子印章的信息。</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12.3.2.5.</w:t>
      </w:r>
      <w:r>
        <w:rPr>
          <w:rFonts w:ascii="FangSong" w:hAnsi="FangSong" w:eastAsia="FangSong" w:cs="FangSong"/>
          <w:color w:val="000000"/>
          <w:sz w:val="28"/>
        </w:rPr>
        <w:t xml:space="preserve">政务服务智能化</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以“提升窗口服务质效、缩短申请人办事周期”为核心导向，通过线上</w:t>
      </w:r>
      <w:r>
        <w:rPr>
          <w:rFonts w:ascii="Times New Roman" w:hAnsi="Times New Roman" w:eastAsia="Times New Roman" w:cs="Times New Roman"/>
          <w:color w:val="000000"/>
          <w:sz w:val="28"/>
        </w:rPr>
        <w:t xml:space="preserve">VR</w:t>
      </w:r>
      <w:r>
        <w:rPr>
          <w:rFonts w:ascii="FangSong" w:hAnsi="FangSong" w:eastAsia="FangSong" w:cs="FangSong"/>
          <w:color w:val="000000"/>
          <w:sz w:val="28"/>
        </w:rPr>
        <w:t xml:space="preserve">全景引导前置办事预判、智能排队系统优化现场等候管理、</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数字人全天候答疑解惑，全方位减少群众咨询问路、重复跑腿、长时间等候等痛点，推动政务大厅服务模式数字化、精准化转型，有效提升窗口办事效率与一次办结率，切实缩短申请人整体办事周期，同时实现大厅精细化管理与政务服务形象提质增效，构建全天候、一体化、便民化的智慧政务服务新格局。</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建设</w:t>
      </w:r>
      <w:r>
        <w:rPr>
          <w:rFonts w:ascii="Times New Roman" w:hAnsi="Times New Roman" w:eastAsia="Times New Roman" w:cs="Times New Roman"/>
          <w:color w:val="000000"/>
          <w:sz w:val="28"/>
        </w:rPr>
        <w:t xml:space="preserve">VR</w:t>
      </w:r>
      <w:r>
        <w:rPr>
          <w:rFonts w:ascii="FangSong" w:hAnsi="FangSong" w:eastAsia="FangSong" w:cs="FangSong"/>
          <w:color w:val="000000"/>
          <w:sz w:val="28"/>
        </w:rPr>
        <w:t xml:space="preserve">全景引导系统，</w:t>
      </w:r>
      <w:r>
        <w:rPr>
          <w:rFonts w:ascii="Times New Roman" w:hAnsi="Times New Roman" w:eastAsia="Times New Roman" w:cs="Times New Roman"/>
          <w:color w:val="000000"/>
          <w:sz w:val="28"/>
        </w:rPr>
        <w:t xml:space="preserve">1:1 </w:t>
      </w:r>
      <w:r>
        <w:rPr>
          <w:rFonts w:ascii="FangSong" w:hAnsi="FangSong" w:eastAsia="FangSong" w:cs="FangSong"/>
          <w:color w:val="000000"/>
          <w:sz w:val="28"/>
        </w:rPr>
        <w:t xml:space="preserve">实景复刻大厅全楼层窗口、自助终端、便民配套及无障碍设施，群众可通过</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端、移动端体验</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沉浸式线上漫游。群众可查看各虚拟窗口可办理的事项及对应事项的事项指南，页面同步显示窗口排队等候人数。对于可全流程网办的事项，提供在线办理入口，并跳转至网办地址进行在线办理，实现在线网办。群众通过路线引导功能可选择去往的窗口或目的地，系统可自动计算出最优的引导路线并生成室内实景导航，群众根据全景路线箭头指引，前进或后退到达目的地位置，有效减少现场问路咨询、避免群众跑空，全方位实现便民办事、大厅数字化管理、政务形象宣传等多重价值。</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建设大厅小巧灵应用，包含数智交互一体机功能升级、自助办引导、高频事项取号、转号、过号激活、等时通、排队预警、多次跑预警功能，实现多元化取号方式，群众等候更透明，减少等待焦虑；同时系统可自动识别一周内多次办理同一事项的群众，发送预警信息给管理员，助力提升“一次办结率”和群众满意度。</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建设数字人智能屏，搭建咨询问答服务，精准识别群众咨询需求，快速匹配权威政策法规和办事指南，实现高频政务问题的</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小时即时解答，减少群众办事时间成本与沟通障碍。</w:t>
      </w:r>
      <w:r/>
    </w:p>
    <w:p>
      <w:pPr>
        <w:ind w:left="0" w:right="0" w:firstLine="560"/>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相关软硬件要求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697"/>
        <w:gridCol w:w="1053"/>
        <w:gridCol w:w="1162"/>
        <w:gridCol w:w="1047"/>
        <w:gridCol w:w="4145"/>
      </w:tblGrid>
      <w:tr>
        <w:trPr>
          <w:trHeight w:val="3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系统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一级功能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二级功能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三级功能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功能描述</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全景引导系统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场景建模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前期采集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全景拍摄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利用特殊相机将广阔场景以全方位方式拍摄，通过平面、球面或立体全景拍摄方法，创建全景图像以实现沉浸式观感。</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全景合成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将多张照片拼接在一起以创建完整全景图像，其中涉及拍摄多张照片，然后使用专业的图像处理软件将它们对齐、拼接和融合，以形成一个无缝连接和连续视角的全景图像。</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原型设计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通过创建可交互的模型来模拟和展示用户界面和功能。通过需求分析、页面结构设计、界面设计和交互设计等步骤实现，可以更好地理解用户需求，优化页面布局和交互流程，有效降低开发风险和成本。</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视觉设计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定制化的色彩设计及统一风格，完成整套的页面展示设计。</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沙盘制作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可通过放大和缩小，可视化展现当前用户点位的位置信息。</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全景漫游开发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中心概况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通过中心概况可以向企业群众展示该政务大厅相关的基本情况，并提供该政务大厅线下地址、联系电话以及邮编等联系方式，同时支持地图导航功能，可以帮助企业和群众快速找到线下大厅位置。</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点位切换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提供泰州市行政服务中心大厅三维虚拟漫游功能，每个场景内都能够实现水平</w:t>
            </w:r>
            <w:r>
              <w:rPr>
                <w:rFonts w:ascii="Times New Roman" w:hAnsi="Times New Roman" w:eastAsia="Times New Roman" w:cs="Times New Roman"/>
                <w:color w:val="000000"/>
                <w:sz w:val="24"/>
              </w:rPr>
              <w:t xml:space="preserve">360°</w:t>
            </w:r>
            <w:r>
              <w:rPr>
                <w:rFonts w:ascii="FangSong" w:hAnsi="FangSong" w:eastAsia="FangSong" w:cs="FangSong"/>
                <w:color w:val="000000"/>
                <w:sz w:val="24"/>
              </w:rPr>
              <w:t xml:space="preserve">和垂直</w:t>
            </w:r>
            <w:r>
              <w:rPr>
                <w:rFonts w:ascii="Times New Roman" w:hAnsi="Times New Roman" w:eastAsia="Times New Roman" w:cs="Times New Roman"/>
                <w:color w:val="000000"/>
                <w:sz w:val="24"/>
              </w:rPr>
              <w:t xml:space="preserve">360°</w:t>
            </w:r>
            <w:r>
              <w:rPr>
                <w:rFonts w:ascii="FangSong" w:hAnsi="FangSong" w:eastAsia="FangSong" w:cs="FangSong"/>
                <w:color w:val="000000"/>
                <w:sz w:val="24"/>
              </w:rPr>
              <w:t xml:space="preserve">环视效果（即</w:t>
            </w:r>
            <w:r>
              <w:rPr>
                <w:rFonts w:ascii="Times New Roman" w:hAnsi="Times New Roman" w:eastAsia="Times New Roman" w:cs="Times New Roman"/>
                <w:color w:val="000000"/>
                <w:sz w:val="24"/>
              </w:rPr>
              <w:t xml:space="preserve">720°</w:t>
            </w:r>
            <w:r>
              <w:rPr>
                <w:rFonts w:ascii="FangSong" w:hAnsi="FangSong" w:eastAsia="FangSong" w:cs="FangSong"/>
                <w:color w:val="000000"/>
                <w:sz w:val="24"/>
              </w:rPr>
              <w:t xml:space="preserve">全景）。办事公众可通过屏幕进行漫游操作，可通过点击箭头进行场景切换。镜头放大、缩小，方便办事公众进行查看。</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楼层及场景切换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场景展示功能可以对泰州市行政服务中心的外景、各个楼层的各个区域进行统一的展示，办事公众通过点击即可进行各个场景的切换，快速进入需要办理的区域或窗口的实景画面，提升办事体验。</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提供虚拟窗口事项查看功能，可通过触发虚拟窗口标签，查看该虚拟窗口所属部门以及该虚拟窗口可办理的事项清单信息。</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办事指南查看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支持对虚拟窗口中事项的办事指南查看功能，帮助企业和群众及时了解该事项的办理流程、申报材料等情况。</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在线办理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提供网办事项的在线办理入口，通过点击事项在线办理跳转至网办地址进行在线办理，实现在线网办。</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等待人数展示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对接排队取叫号系统，展示每个虚拟窗口当前等待的人数。</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窗口搜索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提供窗口搜索功能，通过对各楼层平面图的窗口进行排列，或通过直接输入窗口关键字进行检索，让办事公众快速查找到需要前往的窗口位置。通过</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全景展示，办事公众可以点击该工位窗口了解详细办事信息，具体包括窗口所属部门、窗口业务办理范围等。为办事公众提供窗口定位引导服务，方便后期到现场快速找到该窗口。</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小地图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可点击沙盘按钮展开平面地图，与泰州市行政服务中心实地情况保持一致。办事公众能够通过点击小地图的场景点位，切换到大厅内相应位置场景。</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路线引导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办事群众通过</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引导功能选择起点（也可通过扫描现场起点二维码，自动判定起点位置）及需要引导的窗口或目的地，系统会自动计算出最优的引导路线，同时小地图会展示整个引导路线。办事群众通过点击开始引导按钮，系统会进入全景引导状态，办事群众可以查看距离目的地的实际距离，以及根据全景路线箭头指引，前进或后退到达目的地位置。</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全景引导系统（移动端）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依托泰州市泰州通</w:t>
            </w:r>
            <w:r>
              <w:rPr>
                <w:rFonts w:ascii="Times New Roman" w:hAnsi="Times New Roman" w:eastAsia="Times New Roman" w:cs="Times New Roman"/>
                <w:color w:val="000000"/>
                <w:sz w:val="24"/>
              </w:rPr>
              <w:t xml:space="preserve">APP</w:t>
            </w:r>
            <w:r>
              <w:rPr>
                <w:rFonts w:ascii="FangSong" w:hAnsi="FangSong" w:eastAsia="FangSong" w:cs="FangSong"/>
                <w:color w:val="000000"/>
                <w:sz w:val="24"/>
              </w:rPr>
              <w:t xml:space="preserve">建设移动端</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全景引导系统，功能与</w:t>
            </w:r>
            <w:r>
              <w:rPr>
                <w:rFonts w:ascii="Times New Roman" w:hAnsi="Times New Roman" w:eastAsia="Times New Roman" w:cs="Times New Roman"/>
                <w:color w:val="000000"/>
                <w:sz w:val="24"/>
              </w:rPr>
              <w:t xml:space="preserve">PC</w:t>
            </w:r>
            <w:r>
              <w:rPr>
                <w:rFonts w:ascii="FangSong" w:hAnsi="FangSong" w:eastAsia="FangSong" w:cs="FangSong"/>
                <w:color w:val="000000"/>
                <w:sz w:val="24"/>
              </w:rPr>
              <w:t xml:space="preserve">端</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全景引导系统保持一致。</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大厅小巧灵应用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数智交互一体机功能升级</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刷脸取号功能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对接取号系统，使其能够判断群众咨询的事项是否能取号及对应取号事项，实现刷脸取号。</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楼层引导功能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定制符合现场平面图的楼层引导软件，以平面图的形式展现出中心各个楼层区域分布，可提供动态引导路线。</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个性化调优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、优化数智交互一体机的界面样式，贴合用户习惯、降低使用成本、减少操作焦虑。</w:t>
              <w:br/>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、对接政务智能体接口及知识库。</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自助办引导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支持对可自助办的事项进行标记，群众取号时，系统判断出该事项可自助办，根据该事项历史平均办理时间、可办理该事项的窗口数、可办理窗口当前其余不同事项的排队情况和历史平均办理时间，通过算法模型计算该办事人取号后大致需要多长时间。如果群众当前第一个不需要排队，则不做提示。如果需要等待，取号机页面展示预计等待时间和排在第几位，让办事人自行选择是否自助办。</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高频事项取号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排队取号终端支持高频事项显示模块配置，从而提供高频事项快捷取号途径，方便办事群众快速找到想要办理的事项。系统支持手动配置高配事项，也可将取号量排名靠前的事项分类自动配置为高频事项。</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当窗口人员发现群众取错号时，可直接将该号转到正确的窗口进行重新排队，系统支持对转号的优先级进行配置。其中被转号可插入至某几个普通排队号码之后等待，从而实现普通排队号和被转号交替被叫号，避免由于优先排队号阶段性集中而导致普通排队号长时间无法被叫号。</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过号激活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人员可在叫号工具条或者叫号平板中过号区找到当天过号记录，选中某条记录激活，该号重新进入排队状态。系统支持对过号激活号的优先级进行配置。其中激活号可插入至某几个普通排队号码之后等待，从而实现普通排队号和激活号交替被叫号，避免由于优先排队号阶段性集中而导致普通排队号长时间无法被叫号。</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等时通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系统可根据办事群众所要办理业务的平均办理时长，计算出当前号段的大概等待时间，并打印在排队叫号单上，以便让办事群众合理的进行时间分配，提高办事群众的办事效率，优化大厅的整体办事秩序。</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排队预警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支持对排队超时进行设置阈值，当大厅出现长时间等待超过阈值时，系统自动发送短信或者代办告知中心管理员前往了解情况，引导群众自助办或者临时开放潮汐窗口，避免出现群众长时间等待出现情绪，造成办事满意度降低。</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多次跑预警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取号系统可自动识别一周内前来大厅</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次以上且办理同一事项的办事群众，发送预警短信给到中心管理员，前往了解多次跑情况。</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数字人智能屏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支付宝人脸核验组件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、应用于设备上，实现办事群众刷脸方式进行身份验证；</w:t>
              <w:br/>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、需在互联网环境下使用；</w:t>
              <w:br/>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、服务有效期</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年。</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能力认证插件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、配套需要使用支付宝刷脸功能的设备安装认证，确保设备正常使用支付宝刷脸功能；</w:t>
              <w:br/>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、插件包含</w:t>
            </w:r>
            <w:r>
              <w:rPr>
                <w:rFonts w:ascii="Times New Roman" w:hAnsi="Times New Roman" w:eastAsia="Times New Roman" w:cs="Times New Roman"/>
                <w:color w:val="000000"/>
                <w:sz w:val="24"/>
              </w:rPr>
              <w:t xml:space="preserve">SN</w:t>
            </w:r>
            <w:r>
              <w:rPr>
                <w:rFonts w:ascii="FangSong" w:hAnsi="FangSong" w:eastAsia="FangSong" w:cs="FangSong"/>
                <w:color w:val="000000"/>
                <w:sz w:val="24"/>
              </w:rPr>
              <w:t xml:space="preserve">码获取与自动上报、认证状态提示、授权</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接口状态监控、人脸识别数据统计功能。</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数智交互一体机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45"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FangSong" w:hAnsi="FangSong" w:eastAsia="FangSong" w:cs="FangSong"/>
                <w:color w:val="000000"/>
                <w:sz w:val="24"/>
              </w:rPr>
              <w:t xml:space="preserve">、总体功能：基于政务智能体，结合大模型能力，提供数字人导服。</w:t>
              <w:br/>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、工业级主板及电源；</w:t>
              <w:br/>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CPU≥ </w:t>
            </w:r>
            <w:r>
              <w:rPr>
                <w:rFonts w:ascii="FangSong" w:hAnsi="FangSong" w:eastAsia="FangSong" w:cs="FangSong"/>
                <w:color w:val="000000"/>
                <w:sz w:val="24"/>
              </w:rPr>
              <w:t xml:space="preserve">八核处理器；</w:t>
              <w:br/>
            </w:r>
            <w:r>
              <w:rPr>
                <w:rFonts w:ascii="Times New Roman" w:hAnsi="Times New Roman" w:eastAsia="Times New Roman" w:cs="Times New Roman"/>
                <w:color w:val="000000"/>
                <w:sz w:val="24"/>
              </w:rPr>
              <w:t xml:space="preserve">4</w:t>
            </w:r>
            <w:r>
              <w:rPr>
                <w:rFonts w:ascii="FangSong" w:hAnsi="FangSong" w:eastAsia="FangSong" w:cs="FangSong"/>
                <w:color w:val="000000"/>
                <w:sz w:val="24"/>
              </w:rPr>
              <w:t xml:space="preserve">、安卓系统；</w:t>
              <w:br/>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、内存</w:t>
            </w:r>
            <w:r>
              <w:rPr>
                <w:rFonts w:ascii="Times New Roman" w:hAnsi="Times New Roman" w:eastAsia="Times New Roman" w:cs="Times New Roman"/>
                <w:color w:val="000000"/>
                <w:sz w:val="24"/>
              </w:rPr>
              <w:t xml:space="preserve">≥8GB</w:t>
            </w:r>
            <w:r>
              <w:rPr>
                <w:rFonts w:ascii="FangSong" w:hAnsi="FangSong" w:eastAsia="FangSong" w:cs="FangSong"/>
                <w:color w:val="000000"/>
                <w:sz w:val="24"/>
              </w:rPr>
              <w:t xml:space="preserve">；</w:t>
              <w:br/>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、存储</w:t>
            </w:r>
            <w:r>
              <w:rPr>
                <w:rFonts w:ascii="Times New Roman" w:hAnsi="Times New Roman" w:eastAsia="Times New Roman" w:cs="Times New Roman"/>
                <w:color w:val="000000"/>
                <w:sz w:val="24"/>
              </w:rPr>
              <w:t xml:space="preserve">≥120GB</w:t>
            </w:r>
            <w:r>
              <w:rPr>
                <w:rFonts w:ascii="FangSong" w:hAnsi="FangSong" w:eastAsia="FangSong" w:cs="FangSong"/>
                <w:color w:val="000000"/>
                <w:sz w:val="24"/>
              </w:rPr>
              <w:t xml:space="preserve">；</w:t>
              <w:br/>
            </w:r>
            <w:r>
              <w:rPr>
                <w:rFonts w:ascii="Times New Roman" w:hAnsi="Times New Roman" w:eastAsia="Times New Roman" w:cs="Times New Roman"/>
                <w:color w:val="000000"/>
                <w:sz w:val="24"/>
              </w:rPr>
              <w:t xml:space="preserve">7</w:t>
            </w:r>
            <w:r>
              <w:rPr>
                <w:rFonts w:ascii="FangSong" w:hAnsi="FangSong" w:eastAsia="FangSong" w:cs="FangSong"/>
                <w:color w:val="000000"/>
                <w:sz w:val="24"/>
              </w:rPr>
              <w:t xml:space="preserve">、显示模块</w:t>
            </w:r>
            <w:r>
              <w:rPr>
                <w:rFonts w:ascii="Times New Roman" w:hAnsi="Times New Roman" w:eastAsia="Times New Roman" w:cs="Times New Roman"/>
                <w:color w:val="000000"/>
                <w:sz w:val="24"/>
              </w:rPr>
              <w:t xml:space="preserve">≥75</w:t>
            </w:r>
            <w:r>
              <w:rPr>
                <w:rFonts w:ascii="FangSong" w:hAnsi="FangSong" w:eastAsia="FangSong" w:cs="FangSong"/>
                <w:color w:val="000000"/>
                <w:sz w:val="24"/>
              </w:rPr>
              <w:t xml:space="preserve">寸，分辨率</w:t>
            </w:r>
            <w:r>
              <w:rPr>
                <w:rFonts w:ascii="Times New Roman" w:hAnsi="Times New Roman" w:eastAsia="Times New Roman" w:cs="Times New Roman"/>
                <w:color w:val="000000"/>
                <w:sz w:val="24"/>
              </w:rPr>
              <w:t xml:space="preserve">≥2160*3840</w:t>
            </w:r>
            <w:r>
              <w:rPr>
                <w:rFonts w:ascii="FangSong" w:hAnsi="FangSong" w:eastAsia="FangSong" w:cs="FangSong"/>
                <w:color w:val="000000"/>
                <w:sz w:val="24"/>
              </w:rPr>
              <w:t xml:space="preserve">，支持触摸；</w:t>
              <w:br/>
            </w:r>
            <w:r>
              <w:rPr>
                <w:rFonts w:ascii="Times New Roman" w:hAnsi="Times New Roman" w:eastAsia="Times New Roman" w:cs="Times New Roman"/>
                <w:color w:val="000000"/>
                <w:sz w:val="24"/>
              </w:rPr>
              <w:t xml:space="preserve">8</w:t>
            </w:r>
            <w:r>
              <w:rPr>
                <w:rFonts w:ascii="FangSong" w:hAnsi="FangSong" w:eastAsia="FangSong" w:cs="FangSong"/>
                <w:color w:val="000000"/>
                <w:sz w:val="24"/>
              </w:rPr>
              <w:t xml:space="preserve">、内置麦克风阵列和扩声设备；</w:t>
              <w:br/>
            </w:r>
            <w:r>
              <w:rPr>
                <w:rFonts w:ascii="Times New Roman" w:hAnsi="Times New Roman" w:eastAsia="Times New Roman" w:cs="Times New Roman"/>
                <w:color w:val="000000"/>
                <w:sz w:val="24"/>
              </w:rPr>
              <w:t xml:space="preserve">9</w:t>
            </w:r>
            <w:r>
              <w:rPr>
                <w:rFonts w:ascii="FangSong" w:hAnsi="FangSong" w:eastAsia="FangSong" w:cs="FangSong"/>
                <w:color w:val="000000"/>
                <w:sz w:val="24"/>
              </w:rPr>
              <w:t xml:space="preserve">、内置摄像头；</w:t>
              <w:br/>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、定时开关机，可实现设备无人值守。</w:t>
            </w:r>
            <w:r/>
          </w:p>
        </w:tc>
      </w:tr>
    </w:tbl>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期项目建设深度依赖并积极应用泰州市已建成的各类市级基础平台，通过标准化接口实现互联互通，充分复用现有能力，避免重复建设，确保系统间的协同性与一致性，是构建“全市一体化”政务服务体系的关键环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市级基础平台</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应用场景</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具体应用方式</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泰州市公共数据平台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数据汇聚与共享枢纽</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作为数据中台：本项目将“泰州市公共数据平台”作为核心数据枢纽。所有从省级系统（如省人社、省医保、省民政）以及市级其他部门（如公安、教育、不动产、水、燃气）获取的外部数据，均通过该平台进行汇聚、清洗和标准化。</w:t>
              <w:br/>
              <w:t xml:space="preserve">2.支撑业务办理：在“基层高频事项一平台办理”“关爱帮扶‘一件事’”等场景中，系统通过调用公共数据平台提供的API接口，实时获取用户的身份、社保、医保、户籍、不动产等权威数据，用于信息核验和自动填充，实现“三个免于提交”。</w:t>
              <w:br/>
              <w:t xml:space="preserve">3.数据反哺：项目运行中产生的基层办件数据、证明开具数据等，也将按标准规范回</w:t>
            </w:r>
            <w:r>
              <w:rPr>
                <w:rFonts w:ascii="FangSong" w:hAnsi="FangSong" w:eastAsia="FangSong" w:cs="FangSong"/>
                <w:color w:val="000000"/>
                <w:sz w:val="24"/>
              </w:rPr>
              <w:t xml:space="preserve">流至公共数据平台，丰富全市数据资产。</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泰州市数据共享开放平台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数据服务发布与管理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1.作为服务门户：本项目产生的可共享数据服务（如中介服务交易结果等）将通过“泰州市数据共享开放平台”进行注册、发布和管理。</w:t>
              <w:br/>
              <w:t xml:space="preserve">2.实现双向共享：一方面，本项目通过该平台申请并获取其他部门的数据权限；另一方面，本项目也将自身的数据服务在该平台上开放，供其他政府部门等按需调用，实现跨系统、跨部门的数据双向共享，打通数据壁垒。</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电子证照系统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实现“三个免于提交”</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1.核心支撑：电子证照系统是实现“三个免于提交”（免提交身份证、营业执照等）的核心基础。</w:t>
              <w:br/>
              <w:t xml:space="preserve">2.自动调用：在“基层高频事项一平台”、 “中介服务超市”等系统中，当用户进行身份认证后，系统自动调用电子证照库，获取其名下的身份证、户口簿、结婚证、不动产权证、营业执照等常用电子证照，并自动填充到申请表单中，无需用户重复上传。</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统一身份认证平台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实现“一次认证、全网通行”</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1.唯一入口：本项目所有子系统（包括“基层高频事项一平台”“中介服务超市”“移动端掌上办”等）均集成“泰州市政务统一身份认证平台”。</w:t>
              <w:br/>
              <w:t xml:space="preserve">2.单点登录：用户只需在认证平台完成一次登录，即可无缝访问本项目内的所有应用，无需重复输入账号密码，极大提升用户体验。该平台支持多种认证方式，包括用户名密码、手机号验证码等。</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统一电子印章系统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保障电子文件法律效力</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1.关键环节应用：在“基层证明线上开具系统”中，当证明文件审批通过后，系统自动调用“统一电子印章系统”，加盖具有法律效力的电子印章，生成正式的电子证明文件。</w:t>
              <w:br/>
              <w:t xml:space="preserve">2.安全可信：电子印章的使用确保了线上开具的证明与线下纸质证明具有同等效力，是证明文件电子化、合法化的关键保障。</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数字证书（CA）</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保障系统与数据安全</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9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1.安全传输：在系统与外部平台（如省平台、市级其他部门）进行数据交换时，使用基于数字证书的HTTPS/TLS协议进行加密传输，确保数据在传输过程中的机密性和完整性。</w:t>
              <w:br/>
              <w:t xml:space="preserve">2.身份鉴别：对于部分高安全等级的业务操作（如管理员登录、敏感数据访问），可结合数字证书进行强身份认证，提升系统整体安全性。</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本项目需对接省、市两级多个业务系统，获取权威、准确的公共数据，以支撑基层高频事项办理、中介服务监管和数据共享等核心业务。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gridCol w:w="2749"/>
        <w:gridCol w:w="3099"/>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数据来源</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数据类别</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主要数据内容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用途说明</w:t>
            </w:r>
            <w:r/>
          </w:p>
        </w:tc>
      </w:tr>
      <w:tr>
        <w:trPr/>
        <w:tc>
          <w:tcPr>
            <w:gridSpan w:val="4"/>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58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省级平台</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江苏省人社一体化信息平台</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人员信息</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个人参保状态、就业登记信息、社保卡信息等</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为基层高频事项（如社保、就业）办理提供数据核验，支撑“三个免于提交”</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江苏省医疗保障信息平台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医疗健康信息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医保参保状态、就医记录、报销信息等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为医保相关事项办理、困难群众医疗救助提供数据支持</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江苏省民政厅系统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民政信息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低保对象、特困人员、婚姻登记、社会组织等信息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替代原“泰州智慧民政”系统，支撑民政类事项办理和困难群众精准识别</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江苏省电子营业执照系统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企业注册信息、股东信息、经营范围、统一社会信用代码等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为中介服务超市中的机构资质核验提供权威数据</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“苏服办”APP及省政务中台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电子证照与办件数据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个人和企业的电子身份证、电子营业执照、不动产权证等电子证照；历史办件记录</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实现“三个免于提交”，在事项申报时自动调用，减少群众重复提交材料</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“苏税援”平台（省级）</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评价数据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经营主体对涉税专业服务机构及平台的评价、投诉数据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实现评价数据汇聚，构建“评价－整改－反馈”闭环，优化中介服务评价体系</w:t>
            </w:r>
            <w:r/>
          </w:p>
        </w:tc>
      </w:tr>
      <w:tr>
        <w:trPr/>
        <w:tc>
          <w:tcPr>
            <w:gridSpan w:val="4"/>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584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市级平台</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泰州市公共数据平台</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公共信息</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公安户籍、教育、不动产、水、燃气、生活垃圾处理等公共数据</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作为数据共享的总枢纽，为基层证明线上开具、关爱帮扶“一件事”等提供数据核验支持</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泰州市多测合一系统</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入驻机构信息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使泰州中介服务超市获取全市中介服务机构数据</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泰州市公共数据平台</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公共信息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4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编办事业单位法人信息</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09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完善中介服务超市上报升级数据，通过法人编号获取法人信息</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2.数据供给</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本项目在运行过程中将产生大量新的业务数据和分析数据，这些数据将用于内部业务办理、决策支持，并对外提供共享服务。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7"/>
        <w:gridCol w:w="2784"/>
        <w:gridCol w:w="3728"/>
      </w:tblGrid>
      <w:tr>
        <w:trPr/>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1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数据类别</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27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主要数据内容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95" w:type="dxa"/>
              <w:top w:w="90" w:type="dxa"/>
              <w:right w:w="195" w:type="dxa"/>
              <w:bottom w:w="90" w:type="dxa"/>
            </w:tcMar>
            <w:tcW w:w="372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供给对象/用途说明</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基层高频事项办件数据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30项新增高频事项的申请信息、受理记录、审批过程、审批结果、电子证明等全量办件数据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72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1.内部使用：纳入“基层高频事项一平台”数据库，用于办件查询、统计分析和绩效考核。</w:t>
              <w:br/>
              <w:t xml:space="preserve">2.对外共享：同步至省级平台，满足上级监管要求。</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关爱帮扶“一件事”数据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困难群众申请信息、救助类型、救助金额、救助状态、综合研判结果、水/燃气费用减免记录等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72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1.内部使用：存入本地关爱帮扶数据专题库，用于人员画像、精准服务和动态管理。</w:t>
              <w:br/>
              <w:t xml:space="preserve">2.对外共享：与民政、医保、人社、水、燃气等相关部门共享，实现跨部门业务协同。</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中介服务交易数据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采购公告、中介机构报名信息、中选结果、合同信息、服务评价、数字化档案等全流程交易数据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72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1.内部使用：用于中介服务超市的运营分析、机构信用评价和风险预警。</w:t>
              <w:br/>
              <w:t xml:space="preserve">2.对外共享：将“苏税援”评价数据实时汇聚至省“一企来办”平台；向市级监管部门提供数据，用于市场监督；与泰州市多测合一平台共享公告信息。</w:t>
            </w:r>
            <w:r/>
          </w:p>
        </w:tc>
      </w:tr>
      <w:tr>
        <w:trPr/>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12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系统运行与统计分析数据</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2784"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系统访问日志、用户行为数据、办件量统计、办结率、满意度评价、基层工作台使用情况等</w:t>
            </w:r>
            <w:r/>
          </w:p>
        </w:tc>
        <w:tc>
          <w:tcPr>
            <w:shd w:val="clear" w:color="ffffff" w:fill="ffffff"/>
            <w:tcBorders>
              <w:top w:val="none" w:color="000000" w:sz="4" w:space="0"/>
              <w:left w:val="single" w:color="000000" w:sz="8" w:space="0"/>
              <w:bottom w:val="single" w:color="000000" w:sz="8" w:space="0"/>
              <w:right w:val="single" w:color="000000" w:sz="8" w:space="0"/>
            </w:tcBorders>
            <w:tcMar>
              <w:left w:w="195" w:type="dxa"/>
              <w:top w:w="90" w:type="dxa"/>
              <w:right w:w="195" w:type="dxa"/>
              <w:bottom w:w="90" w:type="dxa"/>
            </w:tcMar>
            <w:tcW w:w="372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1.内部使用：生成“基层高频大屏”智能分析平台数据，用于领导决策和效能评估。</w:t>
              <w:br/>
              <w:t xml:space="preserve">2.对外共享：按需向市数据局、市行政审批局等主管部门提供数据报告。</w:t>
            </w:r>
            <w:r/>
          </w:p>
        </w:tc>
      </w:tr>
    </w:tbl>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12.3.5.信息安全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础软硬件资源采用泰州市政务云提供的基础软硬件资源和能力部署实施，现有平台符合信息安全等级保护（三级）要求，且通过安全审查，但暂未进行商用密码应用测评。后续平台将遵循国家信息安全等级保护相关规范以及国家保密管理和密码管理的有关要求，建立健全“泰州政务一体化平台”安全保障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体考虑、顶层规划“泰州政务一体化平台”安全保障体系的建设，按照信息系统安全等级保护要求构建数据存储环境、应用系统环境、运行管理机制，确保政务数据安全和公民个人数据合法应用。安全保障体系要与“泰州政务一体化平台”应用系统同步建设，对所建安全保障体系要进行重点保护、实施动态调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安全保障体系的组成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①物理安全。一是机房安全。采用门禁控制系统、摄像头在线监控。二是应急灾难备份恢复。对机房的电源、重要主机、存储、重要线路等重要设备的冗余设计，要进行系统级的整体数据备份设计。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②网络安全。在不同的安全域边界部署防火墙系统，在上下级网络边界部署</w:t>
      </w:r>
      <w:r>
        <w:rPr>
          <w:rFonts w:ascii="Times New Roman" w:hAnsi="Times New Roman" w:eastAsia="Times New Roman" w:cs="Times New Roman"/>
          <w:color w:val="000000"/>
          <w:sz w:val="28"/>
        </w:rPr>
        <w:t xml:space="preserve">VPN</w:t>
      </w:r>
      <w:r>
        <w:rPr>
          <w:rFonts w:ascii="FangSong" w:hAnsi="FangSong" w:eastAsia="FangSong" w:cs="FangSong"/>
          <w:color w:val="000000"/>
          <w:sz w:val="28"/>
        </w:rPr>
        <w:t xml:space="preserve">虚拟专用网关设备，可在核心交换区部署</w:t>
      </w:r>
      <w:r>
        <w:rPr>
          <w:rFonts w:ascii="Times New Roman" w:hAnsi="Times New Roman" w:eastAsia="Times New Roman" w:cs="Times New Roman"/>
          <w:color w:val="000000"/>
          <w:sz w:val="28"/>
        </w:rPr>
        <w:t xml:space="preserve">IPS</w:t>
      </w:r>
      <w:r>
        <w:rPr>
          <w:rFonts w:ascii="FangSong" w:hAnsi="FangSong" w:eastAsia="FangSong" w:cs="FangSong"/>
          <w:color w:val="000000"/>
          <w:sz w:val="28"/>
        </w:rPr>
        <w:t xml:space="preserve">入侵防御系统，在相应的设备上根据自身网络结构配置相应的安全策略，保障必要的数据和服务交换安全。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数据安全。一是在必要的网络边界部署加密设备，保障数据网络传输安全。二是各级政务服务系统的数据库管理系统要做好数据库自身的安全配置，登录账户要专人专管，密码要实现数字和字母符号混合设置并定期更换，防止外网和内网用户直接访问和恶意攻击。三是数据存储备份恢复系统。要做好定期的本地多种方式的重要数据备份和异地的远程数据备份。备份恢复工作要专人负责，责任到人。四是用户名、口令等关键信息应当加强安全保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系统安全。一是部署网络层的病毒防范体系，由病毒监测中心和各个主机上的病毒防治终端构成，实时监测系统中的各类病毒，防止基于邮件的各类攻击。二是对主机中的操作系统进行相应的口令设置、权限配置，对系统操作日志进行周期性转储审计工作。三是漏洞扫描和补丁分发。通过漏洞扫描系统和补丁分发系统可以主动发现系统、数据库、应用服务系统存在的安全漏洞，并修复安全漏洞。</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⑤应用安全。一是网页防篡改。对标准应用的</w:t>
      </w:r>
      <w:r>
        <w:rPr>
          <w:rFonts w:ascii="Times New Roman" w:hAnsi="Times New Roman" w:eastAsia="Times New Roman" w:cs="Times New Roman"/>
          <w:color w:val="000000"/>
          <w:sz w:val="28"/>
        </w:rPr>
        <w:t xml:space="preserve">HTTPS</w:t>
      </w:r>
      <w:r>
        <w:rPr>
          <w:rFonts w:ascii="FangSong" w:hAnsi="FangSong" w:eastAsia="FangSong" w:cs="FangSong"/>
          <w:color w:val="000000"/>
          <w:sz w:val="28"/>
        </w:rPr>
        <w:t xml:space="preserve">服务部署网页防篡改系统，防止黑客对网页文件的攻击。二是对用户身份进行统一管理，对应用服务资源进行访问控制，对用户行为进行追溯审计。三是加强对网页挂马、</w:t>
      </w:r>
      <w:r>
        <w:rPr>
          <w:rFonts w:ascii="Times New Roman" w:hAnsi="Times New Roman" w:eastAsia="Times New Roman" w:cs="Times New Roman"/>
          <w:color w:val="000000"/>
          <w:sz w:val="28"/>
        </w:rPr>
        <w:t xml:space="preserve">SQL</w:t>
      </w:r>
      <w:r>
        <w:rPr>
          <w:rFonts w:ascii="FangSong" w:hAnsi="FangSong" w:eastAsia="FangSong" w:cs="FangSong"/>
          <w:color w:val="000000"/>
          <w:sz w:val="28"/>
        </w:rPr>
        <w:t xml:space="preserve">注入、漏洞利用等攻击的防护。四是加强应用代码的安全管理。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对电子证照、网上支付等重要系统和关键环节进行全流程安全监控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证照、网上身份认证、网上支付等重要系统和关键环节是“政务服务一体化云平台”技术体系建设和运行的关键，对这些系统和重要环节的安全性应给予端到端的全过程监控，及时发现和解决问题隐患，以确保关键业务正常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重视数据交换和信息共享存在的安全风险，完善开放接口的安全防护能力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交换和信息共享是“政务服务一体化云平台”技术体系得以发挥作用乃至正常运转的核心能力。任何数据交换和信息共享过程都会对系统的安全性带来影响。应采取有针对性的安全措施，完善开放接口的安全防护能力，对数据交换和信息共享环节给予端到端的全过程监控，及时发现和解决问题隐患，以确保关键业务正常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加大对平台中各类公共信息、个人隐私等重要数据的保障力度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加强平台中各类公共信息、个人隐私等重要数据的安全防护，建立数据安全规范。在系统后台对每类数据的安全属性进行必要的定义和设置，详细规定数据的开放范围和开放力度，并严格执行相应的权限管理。</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12.4.服务预算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3"/>
        <w:gridCol w:w="1427"/>
        <w:gridCol w:w="1899"/>
        <w:gridCol w:w="3556"/>
        <w:gridCol w:w="1300"/>
      </w:tblGrid>
      <w:tr>
        <w:trPr>
          <w:trHeight w:val="8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一级模块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二级模块</w:t>
            </w:r>
            <w:r>
              <w:rPr>
                <w:rFonts w:ascii="Times New Roman" w:hAnsi="Times New Roman" w:eastAsia="Times New Roman" w:cs="Times New Roman"/>
                <w:b/>
                <w:color w:val="000000"/>
                <w:sz w:val="24"/>
              </w:rPr>
              <w:t xml:space="preserve">/</w:t>
            </w:r>
            <w:r>
              <w:rPr>
                <w:rFonts w:ascii="FangSong" w:hAnsi="FangSong" w:eastAsia="FangSong" w:cs="FangSong"/>
                <w:b/>
                <w:color w:val="000000"/>
                <w:sz w:val="24"/>
              </w:rPr>
              <w:t xml:space="preserve">功能子项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三级功能点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功能简述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w:t>
              <w:br/>
              <w:t xml:space="preserve">（万元）</w:t>
            </w:r>
            <w:r/>
          </w:p>
        </w:tc>
      </w:tr>
      <w:tr>
        <w:trPr>
          <w:trHeight w:val="1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FangSong" w:hAnsi="FangSong" w:eastAsia="FangSong" w:cs="FangSong"/>
                <w:color w:val="000000"/>
                <w:sz w:val="24"/>
              </w:rPr>
              <w:t xml:space="preserve">数字赋能“基层高频事项一平台办理”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FangSong" w:hAnsi="FangSong" w:eastAsia="FangSong" w:cs="FangSong"/>
                <w:color w:val="000000"/>
                <w:sz w:val="24"/>
              </w:rPr>
              <w:t xml:space="preserve">新增接入基层高频政务服务事项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FangSong" w:hAnsi="FangSong" w:eastAsia="FangSong" w:cs="FangSong"/>
                <w:color w:val="000000"/>
                <w:sz w:val="24"/>
              </w:rPr>
              <w:t xml:space="preserve">项高频事项梳理与业务配置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对人社、卫健、医保</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大领域</w:t>
            </w:r>
            <w:r>
              <w:rPr>
                <w:rFonts w:ascii="Times New Roman" w:hAnsi="Times New Roman" w:eastAsia="Times New Roman" w:cs="Times New Roman"/>
                <w:color w:val="000000"/>
                <w:sz w:val="24"/>
              </w:rPr>
              <w:t xml:space="preserve">30</w:t>
            </w:r>
            <w:r>
              <w:rPr>
                <w:rFonts w:ascii="FangSong" w:hAnsi="FangSong" w:eastAsia="FangSong" w:cs="FangSong"/>
                <w:color w:val="000000"/>
                <w:sz w:val="24"/>
              </w:rPr>
              <w:t xml:space="preserve">项事项进行清单梳理、办事指南编制、事项编码配置及服务渠道参数设置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省人社一体化信息平台对接开发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w:t>
            </w:r>
            <w:r>
              <w:rPr>
                <w:rFonts w:ascii="Times New Roman" w:hAnsi="Times New Roman" w:eastAsia="Times New Roman" w:cs="Times New Roman"/>
                <w:color w:val="000000"/>
                <w:sz w:val="24"/>
              </w:rPr>
              <w:t xml:space="preserve">15</w:t>
            </w:r>
            <w:r>
              <w:rPr>
                <w:rFonts w:ascii="FangSong" w:hAnsi="FangSong" w:eastAsia="FangSong" w:cs="FangSong"/>
                <w:color w:val="000000"/>
                <w:sz w:val="24"/>
              </w:rPr>
              <w:t xml:space="preserve">项人社类事项与省人社一体化信息平台的接口对接、数据联调和业务验证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省医疗保障信息平台对接开发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w:t>
            </w:r>
            <w:r>
              <w:rPr>
                <w:rFonts w:ascii="Times New Roman" w:hAnsi="Times New Roman" w:eastAsia="Times New Roman" w:cs="Times New Roman"/>
                <w:color w:val="000000"/>
                <w:sz w:val="24"/>
              </w:rPr>
              <w:t xml:space="preserve">15</w:t>
            </w:r>
            <w:r>
              <w:rPr>
                <w:rFonts w:ascii="FangSong" w:hAnsi="FangSong" w:eastAsia="FangSong" w:cs="FangSong"/>
                <w:color w:val="000000"/>
                <w:sz w:val="24"/>
              </w:rPr>
              <w:t xml:space="preserve">项医保类事项与省医疗保障信息平台的接口对接、数据联调和业务验证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全渠道服务适配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完成网站端、窗口端、移动端、自助端四个渠道的页面适配、数据同步和交互联调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系统集成联调与部署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完成与省级系统接口的集成测试、平台部署及上线验证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6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FangSong" w:hAnsi="FangSong" w:eastAsia="FangSong" w:cs="FangSong"/>
                <w:color w:val="000000"/>
                <w:sz w:val="24"/>
              </w:rPr>
              <w:t xml:space="preserve">建设泰州市基层帮扶救助事项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关爱帮扶“一平台办理”专区建设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建设关爱帮扶“一平台办理”专区，实现社会救助与医保服务“一窗受理、一网通办”功能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本地关爱帮扶数据专题库建设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建设关爱帮扶数据专题库，实现困难群众数据归集与结构化存储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水、燃气等公共服务系统对接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对接水、燃气等公共服务系统，实现困难群众相关费用减免的自动核验与在线办理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困难群众精准画像与动态管理功能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基于数据专题库实现困难群众的精准画像、动态管理与综合研判分析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8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FangSong" w:hAnsi="FangSong" w:eastAsia="FangSong" w:cs="FangSong"/>
                <w:color w:val="000000"/>
                <w:sz w:val="24"/>
              </w:rPr>
              <w:t xml:space="preserve">建设泰州市基层证明开具事项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证明事项清单梳理与办事指南编制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完成泰州市基层证明事项清单梳理，编制户籍、居住、无犯罪记录等高频证明的办事指南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证明线上申请功能开发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开发基层证明线上开具系统申请端，支持在线申请、表单填写、进度查询等核心功能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数据源对接与自动核验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对接公安、社区等数据源，实现证明信息自动核验与数据比对，减少人工干预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电子印章集成与电子证明生成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集成电子印章系统，实现审批通过后自动加盖电子印章，生成具有法律效力的电子证明文件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在线查询下载与</w:t>
            </w:r>
            <w:r>
              <w:rPr>
                <w:rFonts w:ascii="Times New Roman" w:hAnsi="Times New Roman" w:eastAsia="Times New Roman" w:cs="Times New Roman"/>
                <w:color w:val="000000"/>
                <w:sz w:val="24"/>
              </w:rPr>
              <w:t xml:space="preserve">APP</w:t>
            </w:r>
            <w:r>
              <w:rPr>
                <w:rFonts w:ascii="FangSong" w:hAnsi="FangSong" w:eastAsia="FangSong" w:cs="FangSong"/>
                <w:color w:val="000000"/>
                <w:sz w:val="24"/>
              </w:rPr>
              <w:t xml:space="preserve">集成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提供在线查询、下载、打印功能，完成“苏服办”</w:t>
            </w:r>
            <w:r>
              <w:rPr>
                <w:rFonts w:ascii="Times New Roman" w:hAnsi="Times New Roman" w:eastAsia="Times New Roman" w:cs="Times New Roman"/>
                <w:color w:val="000000"/>
                <w:sz w:val="24"/>
              </w:rPr>
              <w:t xml:space="preserve">APP</w:t>
            </w:r>
            <w:r>
              <w:rPr>
                <w:rFonts w:ascii="FangSong" w:hAnsi="FangSong" w:eastAsia="FangSong" w:cs="FangSong"/>
                <w:color w:val="000000"/>
                <w:sz w:val="24"/>
              </w:rPr>
              <w:t xml:space="preserve">端集成与适配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系统部署与上线联调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完成系统环境部署、跨系统联调测试及上线验证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2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FangSong" w:hAnsi="FangSong" w:eastAsia="FangSong" w:cs="FangSong"/>
                <w:color w:val="000000"/>
                <w:sz w:val="24"/>
              </w:rPr>
              <w:t xml:space="preserve">健全医保基层经办服务体系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医保事项全面接入一体化平台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按照省级医保事项清单，完成医保公共服务事项在一体化平台的全面接入与功能适配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全市全覆盖流程配置与部署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完成乡镇（街道）和村（社区）两级全覆盖的流程配置、系统部署与权限分配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基层医保服务流程规范系统适配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按照省局医保经办服务清单制度，完成基层医保服务流程规范的系统适配与功能优化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240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FangSong" w:hAnsi="FangSong" w:eastAsia="FangSong" w:cs="FangSong"/>
                <w:color w:val="000000"/>
                <w:sz w:val="24"/>
              </w:rPr>
              <w:t xml:space="preserve">推动开展基层数据创新应用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数据汇聚层建设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w:t>
            </w:r>
            <w:r>
              <w:rPr>
                <w:rFonts w:ascii="Times New Roman" w:hAnsi="Times New Roman" w:eastAsia="Times New Roman" w:cs="Times New Roman"/>
                <w:color w:val="000000"/>
                <w:sz w:val="24"/>
              </w:rPr>
              <w:t xml:space="preserve">API</w:t>
            </w:r>
            <w:r>
              <w:rPr>
                <w:rFonts w:ascii="FangSong" w:hAnsi="FangSong" w:eastAsia="FangSong" w:cs="FangSong"/>
                <w:color w:val="000000"/>
                <w:sz w:val="24"/>
              </w:rPr>
              <w:t xml:space="preserve">接口、库表同步等方式，归集公安、民政、住建、人社、医保、残联、教育、市场监管、公用事业等</w:t>
            </w:r>
            <w:r>
              <w:rPr>
                <w:rFonts w:ascii="Times New Roman" w:hAnsi="Times New Roman" w:eastAsia="Times New Roman" w:cs="Times New Roman"/>
                <w:color w:val="000000"/>
                <w:sz w:val="24"/>
              </w:rPr>
              <w:t xml:space="preserve">10</w:t>
            </w:r>
            <w:r>
              <w:rPr>
                <w:rFonts w:ascii="FangSong" w:hAnsi="FangSong" w:eastAsia="FangSong" w:cs="FangSong"/>
                <w:color w:val="000000"/>
                <w:sz w:val="24"/>
              </w:rPr>
              <w:t xml:space="preserve">余个委办局业务数据，按日或按周增量同步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20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待遇信息专项汇聚与治理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汇聚低保金、特困供养金、医疗救助、学费减免、公租房补贴、残疾人补贴等各类救助待遇信息，建立标准化“政策兑现台账”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20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数据治理层建设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建立数据清洗与关联规则，构建家庭单元实体，形成基础标签、衍生标签、动态标签三级标签体系，构建结构化可计算的家庭画像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20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“一户一策一档”生成引擎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构建智能生成引擎，聚合家庭多维信息，调用政策规则库生成“应享未享”政策清单，输出个性化综合帮扶方案，支持</w:t>
            </w:r>
            <w:r>
              <w:rPr>
                <w:rFonts w:ascii="Times New Roman" w:hAnsi="Times New Roman" w:eastAsia="Times New Roman" w:cs="Times New Roman"/>
                <w:color w:val="000000"/>
                <w:sz w:val="24"/>
              </w:rPr>
              <w:t xml:space="preserve">PDF</w:t>
            </w:r>
            <w:r>
              <w:rPr>
                <w:rFonts w:ascii="FangSong" w:hAnsi="FangSong" w:eastAsia="FangSong" w:cs="FangSong"/>
                <w:color w:val="000000"/>
                <w:sz w:val="24"/>
              </w:rPr>
              <w:t xml:space="preserve">导出与二维码分享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数据安全与监控层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敏感字段加密传输存储、细粒度权限控制、接口监控告警、数据质量定期报告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统一数据服务接口开发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为上层智能应用提供统一数据服务接口，支持精准画像与动态管理的数据调用需求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16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FangSong" w:hAnsi="FangSong" w:eastAsia="FangSong" w:cs="FangSong"/>
                <w:color w:val="000000"/>
                <w:sz w:val="24"/>
              </w:rPr>
              <w:t xml:space="preserve">苏在线申报入口集成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“苏在线”申报入口页面集成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按照省数据集成规范，在“基层高频事项一平台”办理页面集成“苏在线”申报入口前端页面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数据需求闭环管理功能开发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实现基层人员数据需求的在线提交、流转、反馈和归档全流程闭环管理功能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80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FangSong" w:hAnsi="FangSong" w:eastAsia="FangSong" w:cs="FangSong"/>
                <w:color w:val="000000"/>
                <w:sz w:val="24"/>
              </w:rPr>
              <w:t xml:space="preserve">建设基层政务服务工作台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自适应改造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兼容</w:t>
            </w:r>
            <w:r>
              <w:rPr>
                <w:rFonts w:ascii="Times New Roman" w:hAnsi="Times New Roman" w:eastAsia="Times New Roman" w:cs="Times New Roman"/>
                <w:color w:val="000000"/>
                <w:sz w:val="24"/>
              </w:rPr>
              <w:t xml:space="preserve">PC</w:t>
            </w:r>
            <w:r>
              <w:rPr>
                <w:rFonts w:ascii="FangSong" w:hAnsi="FangSong" w:eastAsia="FangSong" w:cs="FangSong"/>
                <w:color w:val="000000"/>
                <w:sz w:val="24"/>
              </w:rPr>
              <w:t xml:space="preserve">端、移动端及不同分辨率设备的页面自适应适配开发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“我的事项”办理及编辑功能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支持自定义常用事项快捷入口及优先级标注，提供事项编辑管理页面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办件查询区划细化功能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办件查询条件支持区划筛选细化至村（社区）层级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大厅人员分区统计展示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按三市三区（靖江市、泰兴市、兴化市、海陵区、姜堰区、新高区）分区统计展示基层工作人员数量及办件情况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部门办件统计功能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按层级权限控制（村居</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镇街</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区县逐级管辖），支持按部门多选查询，展示部门名称、事项数、办件量、办结率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人员办件统计功能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按层级权限控制，支持按部门下拉多选及经办人姓名模糊查询，展示人员姓名、部门名称、事项数、办件量、办结率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36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 </w:t>
            </w:r>
            <w:r>
              <w:rPr>
                <w:rFonts w:ascii="FangSong" w:hAnsi="FangSong" w:eastAsia="FangSong" w:cs="FangSong"/>
                <w:color w:val="000000"/>
                <w:sz w:val="24"/>
              </w:rPr>
              <w:t xml:space="preserve">民政事项对接模式调整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省民政厅系统对接切换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个民政事项（最低生活保障申请、临时救助申请、特困人员救助供养申请、低保边缘家庭申请、支出型困难家庭申请）由原泰州智慧民政系统向省民政厅系统切换，含申请页面接入改造、</w:t>
            </w:r>
            <w:r>
              <w:rPr>
                <w:rFonts w:ascii="Times New Roman" w:hAnsi="Times New Roman" w:eastAsia="Times New Roman" w:cs="Times New Roman"/>
                <w:color w:val="000000"/>
                <w:sz w:val="24"/>
              </w:rPr>
              <w:t xml:space="preserve">5</w:t>
            </w:r>
            <w:r>
              <w:rPr>
                <w:rFonts w:ascii="FangSong" w:hAnsi="FangSong" w:eastAsia="FangSong" w:cs="FangSong"/>
                <w:color w:val="000000"/>
                <w:sz w:val="24"/>
              </w:rPr>
              <w:t xml:space="preserve">个办理数据回流接口重构、办件查询及大屏展示模块民政数据功能适配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12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 </w:t>
            </w:r>
            <w:r>
              <w:rPr>
                <w:rFonts w:ascii="FangSong" w:hAnsi="FangSong" w:eastAsia="FangSong" w:cs="FangSong"/>
                <w:color w:val="000000"/>
                <w:sz w:val="24"/>
              </w:rPr>
              <w:t xml:space="preserve">平台功能优化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业务条线筛选功能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支持按民政、人社、医保、税务、卫健、一件事等业务条线进行多选筛选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事项名称筛选功能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支持与业务条线联动，按具体事项名称进行筛选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区划筛选功能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支持按镇街、村居层级展开，支持多选，权限控制至当前用户所属层级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经办人模糊查询功能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支持经办人姓名的文本输入与模糊匹配查询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权限数据列表展示功能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展示序号、事项名称、事项编码、区划、经办人姓名、经办人账号等字段，长字段支持省略号标记与悬停展开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查询结果导出功能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按查询条件过滤后以</w:t>
            </w:r>
            <w:r>
              <w:rPr>
                <w:rFonts w:ascii="Times New Roman" w:hAnsi="Times New Roman" w:eastAsia="Times New Roman" w:cs="Times New Roman"/>
                <w:color w:val="000000"/>
                <w:sz w:val="24"/>
              </w:rPr>
              <w:t xml:space="preserve">Excel</w:t>
            </w:r>
            <w:r>
              <w:rPr>
                <w:rFonts w:ascii="FangSong" w:hAnsi="FangSong" w:eastAsia="FangSong" w:cs="FangSong"/>
                <w:color w:val="000000"/>
                <w:sz w:val="24"/>
              </w:rPr>
              <w:t xml:space="preserve">格式导出全部结果数据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查询条件重置功能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一键清空所有查询条件，恢复初始状态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数据权限控制功能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根据当前用户层级自动限定下拉框展示范围及数据查询范围，实现分权限管理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r>
      <w:tr>
        <w:trPr>
          <w:trHeight w:val="40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FangSong" w:hAnsi="FangSong" w:eastAsia="FangSong" w:cs="FangSong"/>
                <w:color w:val="000000"/>
                <w:sz w:val="24"/>
              </w:rPr>
              <w:t xml:space="preserve">数字赋能“泰州市中介服务超市平台”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FangSong" w:hAnsi="FangSong" w:eastAsia="FangSong" w:cs="FangSong"/>
                <w:color w:val="000000"/>
                <w:sz w:val="24"/>
              </w:rPr>
              <w:t xml:space="preserve">敏感词过滤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敏感词过滤引擎建设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建设敏感词过滤引擎，支持“黑名单优先、白名单豁免、分级管控、人机协同”策略，覆盖采购公告、涉建采购公告、终止公告等发布场景，实现全词匹配、模糊匹配、正则匹配多种模式，内置风险分级（高</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中</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低）与差异化处理机制，配套审核管理、日志审计及批量导入功能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4.5</w:t>
            </w:r>
            <w:r/>
          </w:p>
        </w:tc>
      </w:tr>
      <w:tr>
        <w:trPr>
          <w:trHeight w:val="320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FangSong" w:hAnsi="FangSong" w:eastAsia="FangSong" w:cs="FangSong"/>
                <w:color w:val="000000"/>
                <w:sz w:val="24"/>
              </w:rPr>
              <w:t xml:space="preserve">文本纠错功能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智能文本纠错工具集成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集成智能文本纠错工具，基于</w:t>
            </w:r>
            <w:r>
              <w:rPr>
                <w:rFonts w:ascii="Times New Roman" w:hAnsi="Times New Roman" w:eastAsia="Times New Roman" w:cs="Times New Roman"/>
                <w:color w:val="000000"/>
                <w:sz w:val="24"/>
              </w:rPr>
              <w:t xml:space="preserve">NLP</w:t>
            </w:r>
            <w:r>
              <w:rPr>
                <w:rFonts w:ascii="FangSong" w:hAnsi="FangSong" w:eastAsia="FangSong" w:cs="FangSong"/>
                <w:color w:val="000000"/>
                <w:sz w:val="24"/>
              </w:rPr>
              <w:t xml:space="preserve">技术实现错别字与拼写检查、语法结构与句式纠错、语义理解与上下文纠错、政务文书规范性检查，支持实时输入提示、发布前强制校验及纠错面板交互，构建中介服务领域自定义词典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r>
      <w:tr>
        <w:trPr>
          <w:trHeight w:val="16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 </w:t>
            </w:r>
            <w:r>
              <w:rPr>
                <w:rFonts w:ascii="FangSong" w:hAnsi="FangSong" w:eastAsia="FangSong" w:cs="FangSong"/>
                <w:color w:val="000000"/>
                <w:sz w:val="24"/>
              </w:rPr>
              <w:t xml:space="preserve">网上中介数字化档案模块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自动归档引擎建设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在需求发布、合同登记、服务评价等关键节点自动抓取文件，形成归档材料，支持</w:t>
            </w:r>
            <w:r>
              <w:rPr>
                <w:rFonts w:ascii="Times New Roman" w:hAnsi="Times New Roman" w:eastAsia="Times New Roman" w:cs="Times New Roman"/>
                <w:color w:val="000000"/>
                <w:sz w:val="24"/>
              </w:rPr>
              <w:t xml:space="preserve">PDF</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Word</w:t>
            </w:r>
            <w:r>
              <w:rPr>
                <w:rFonts w:ascii="FangSong" w:hAnsi="FangSong" w:eastAsia="FangSong" w:cs="FangSong"/>
                <w:color w:val="000000"/>
                <w:sz w:val="24"/>
              </w:rPr>
              <w:t xml:space="preserve">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20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档案管理页面建设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支持按“项目名称</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机构名称</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年度”层级展示，自定义标签、多条件组合检索、档案配置管理（含存储年限标定）、档案数据打印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4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档案查询功能建设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面向公众与管理人员提供按关键字、年度、项目类型等多维度搜索，查看档案详情含公告信息、流程信息、选取方式，邀请选取方式显示邀请机构清单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档案数据统计功能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按区县、年度、类型等多维度统计，支持</w:t>
            </w:r>
            <w:r>
              <w:rPr>
                <w:rFonts w:ascii="Times New Roman" w:hAnsi="Times New Roman" w:eastAsia="Times New Roman" w:cs="Times New Roman"/>
                <w:color w:val="000000"/>
                <w:sz w:val="24"/>
              </w:rPr>
              <w:t xml:space="preserve">PDF</w:t>
            </w:r>
            <w:r>
              <w:rPr>
                <w:rFonts w:ascii="FangSong" w:hAnsi="FangSong" w:eastAsia="FangSong" w:cs="FangSong"/>
                <w:color w:val="000000"/>
                <w:sz w:val="24"/>
              </w:rPr>
              <w:t xml:space="preserve">导出及附件压缩包导出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安全与权限控制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敏感文件动态水印、下载与打印权限限制，按角色区分访问范围（项目业主</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中介机构</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监管部门）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0.6</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移动端及日志审计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适配“中介超市”</w:t>
            </w:r>
            <w:r>
              <w:rPr>
                <w:rFonts w:ascii="Times New Roman" w:hAnsi="Times New Roman" w:eastAsia="Times New Roman" w:cs="Times New Roman"/>
                <w:color w:val="000000"/>
                <w:sz w:val="24"/>
              </w:rPr>
              <w:t xml:space="preserve">APP</w:t>
            </w:r>
            <w:r>
              <w:rPr>
                <w:rFonts w:ascii="FangSong" w:hAnsi="FangSong" w:eastAsia="FangSong" w:cs="FangSong"/>
                <w:color w:val="000000"/>
                <w:sz w:val="24"/>
              </w:rPr>
              <w:t xml:space="preserve">移动端查询，系统自动记录文件修改及访问操作日志，支持日志导出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12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 </w:t>
            </w:r>
            <w:r>
              <w:rPr>
                <w:rFonts w:ascii="FangSong" w:hAnsi="FangSong" w:eastAsia="FangSong" w:cs="FangSong"/>
                <w:color w:val="000000"/>
                <w:sz w:val="24"/>
              </w:rPr>
              <w:t xml:space="preserve">数据共享集成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省电子营业执照系统对接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与省电子营业执照系统对接，共享泰州地区中介服务事项与中介机构信息，数据实时展示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“苏服采”平台共享扩大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扩大共享范围，“苏服采”向中介超市平台共享已中选项目中参与竞标的中介机构清单信息，并在数字档案模块展示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市委编办系统对接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与市委编办系统对接，获取机关单位法人信息，完善上报数据中机关单位法人名称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多测合一系统对接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与多测合一系统双向对接（入驻机构信息共享、公告信息共享至多测合一平台、统一身份认证接入）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涉建项目登记支持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支持项目业主通过中介服务超市平台进行涉建项目登记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0.9</w:t>
            </w:r>
            <w:r/>
          </w:p>
        </w:tc>
      </w:tr>
      <w:tr>
        <w:trPr>
          <w:trHeight w:val="280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 </w:t>
            </w:r>
            <w:r>
              <w:rPr>
                <w:rFonts w:ascii="FangSong" w:hAnsi="FangSong" w:eastAsia="FangSong" w:cs="FangSong"/>
                <w:color w:val="000000"/>
                <w:sz w:val="24"/>
              </w:rPr>
              <w:t xml:space="preserve">构建“苏税援”评价体系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评价机制与页面建设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建设“一事一评”星级评价机制（超</w:t>
            </w:r>
            <w:r>
              <w:rPr>
                <w:rFonts w:ascii="Times New Roman" w:hAnsi="Times New Roman" w:eastAsia="Times New Roman" w:cs="Times New Roman"/>
                <w:color w:val="000000"/>
                <w:sz w:val="24"/>
              </w:rPr>
              <w:t xml:space="preserve">7</w:t>
            </w:r>
            <w:r>
              <w:rPr>
                <w:rFonts w:ascii="FangSong" w:hAnsi="FangSong" w:eastAsia="FangSong" w:cs="FangSong"/>
                <w:color w:val="000000"/>
                <w:sz w:val="24"/>
              </w:rPr>
              <w:t xml:space="preserve">日未评自动默认为</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星），融合政务服务“好差评”标准（五星</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四星</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三星关联评价详情勾选，二星</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一星关联评价详情勾选及不满意内容输入），保持评价页面版式统一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24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评价数据汇聚与闭环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对接省平台评价接口实现评价数据实时汇聚至省“一企来办”平台，对接江苏</w:t>
            </w:r>
            <w:r>
              <w:rPr>
                <w:rFonts w:ascii="Times New Roman" w:hAnsi="Times New Roman" w:eastAsia="Times New Roman" w:cs="Times New Roman"/>
                <w:color w:val="000000"/>
                <w:sz w:val="24"/>
              </w:rPr>
              <w:t xml:space="preserve">12345</w:t>
            </w:r>
            <w:r>
              <w:rPr>
                <w:rFonts w:ascii="FangSong" w:hAnsi="FangSong" w:eastAsia="FangSong" w:cs="FangSong"/>
                <w:color w:val="000000"/>
                <w:sz w:val="24"/>
              </w:rPr>
              <w:t xml:space="preserve">实现不满意评价“评价收集—数据汇聚—不满意评价整改—整改结果回流”闭环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年度服务报告生成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涉税专业服务机构年度服务总体情况报告生成功能，支持线上查看及导出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0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 </w:t>
            </w:r>
            <w:r>
              <w:rPr>
                <w:rFonts w:ascii="FangSong" w:hAnsi="FangSong" w:eastAsia="FangSong" w:cs="FangSong"/>
                <w:color w:val="000000"/>
                <w:sz w:val="24"/>
              </w:rPr>
              <w:t xml:space="preserve">智能提醒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智能提醒功能开发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开发智能提醒功能，覆盖资质临期提醒、项目交易状态提醒（中选</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终止</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邀请选取</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中选公告发布</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报名截止</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评价通知</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成果上传通知等节点短信及系统弹窗</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待办提醒）、咨询投诉跟踪及智能审批结果异常短信提醒；建设短信发送情况查询页面（支持按类型</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内容</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发送状态筛选展示）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20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 </w:t>
            </w:r>
            <w:r>
              <w:rPr>
                <w:rFonts w:ascii="FangSong" w:hAnsi="FangSong" w:eastAsia="FangSong" w:cs="FangSong"/>
                <w:color w:val="000000"/>
                <w:sz w:val="24"/>
              </w:rPr>
              <w:t xml:space="preserve">平台功能优化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机构库表结构升级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按照省中介超市规范要求，新增</w:t>
            </w:r>
            <w:r>
              <w:rPr>
                <w:rFonts w:ascii="Times New Roman" w:hAnsi="Times New Roman" w:eastAsia="Times New Roman" w:cs="Times New Roman"/>
                <w:color w:val="000000"/>
                <w:sz w:val="24"/>
              </w:rPr>
              <w:t xml:space="preserve">agency_state</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contactperson</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contactphone</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isopen</w:t>
            </w:r>
            <w:r>
              <w:rPr>
                <w:rFonts w:ascii="FangSong" w:hAnsi="FangSong" w:eastAsia="FangSong" w:cs="FangSong"/>
                <w:color w:val="000000"/>
                <w:sz w:val="24"/>
              </w:rPr>
              <w:t xml:space="preserve">等字段，完善机构信息管理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涉税事项数据处理升级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对接省事项库更新，对新版本事项进行非删除状态过滤处理，确保涉税事项展示准确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中介机构信息展示排序优化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首页及列表页机构按星级（取小数点后一位）和服务次数综合排序，详情页展示优化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采购公告发布功能升级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优化竞价选取与均价选取逻辑，完善服务金额与中选金额非零校验，支持金额必填验证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政府采购项目特殊标识与校验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是否政府采购项目、最高</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最低限价字段红色高亮显示，增加限价过滤校验防超</w:t>
            </w:r>
            <w:r>
              <w:rPr>
                <w:rFonts w:ascii="Times New Roman" w:hAnsi="Times New Roman" w:eastAsia="Times New Roman" w:cs="Times New Roman"/>
                <w:color w:val="000000"/>
                <w:sz w:val="24"/>
              </w:rPr>
              <w:t xml:space="preserve">50</w:t>
            </w:r>
            <w:r>
              <w:rPr>
                <w:rFonts w:ascii="FangSong" w:hAnsi="FangSong" w:eastAsia="FangSong" w:cs="FangSong"/>
                <w:color w:val="000000"/>
                <w:sz w:val="24"/>
              </w:rPr>
              <w:t xml:space="preserve">万违规发布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承诺书强制上传功能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对首次操作的项目业主及中介机构，强制要求上传承诺书后方可进行后续操作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多级审核机制建设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对采购、中选、终止公告实施初审与复审两级审核机制，提升公告发布规范性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中介服务事项展示逻辑调整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事项列表关联政务服务主项（不显示子项），详情页展示子项列表，按行使层级显示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中介服务事项认领与库更新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对照省事项库进行市级事项认领，更新事项库信息并调整平台展示效果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企业端首页样式升级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按照江苏政务服务网样式规范，升级首页抬头及落款样式，保持界面风格统一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运行数据联动展示功能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优化“今年</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本月</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今日”统计数据联动效果，增加中介机构与项目业主入驻情况联动展示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系统联调与测试验证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完成中介超市平台优化功能的整体联调测试、性能验证与部署上线保障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r>
      <w:tr>
        <w:trPr>
          <w:trHeight w:val="1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FangSong" w:hAnsi="FangSong" w:eastAsia="FangSong" w:cs="FangSong"/>
                <w:color w:val="000000"/>
                <w:sz w:val="24"/>
              </w:rPr>
              <w:t xml:space="preserve">数字赋能泰州市“一件事”平台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FangSong" w:hAnsi="FangSong" w:eastAsia="FangSong" w:cs="FangSong"/>
                <w:color w:val="000000"/>
                <w:sz w:val="24"/>
              </w:rPr>
              <w:t xml:space="preserve">完成上级安排的“一件事”接入服务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国办第一批“一件事”软件开发与集成对接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w:t>
            </w:r>
            <w:r>
              <w:rPr>
                <w:rFonts w:ascii="Times New Roman" w:hAnsi="Times New Roman" w:eastAsia="Times New Roman" w:cs="Times New Roman"/>
                <w:color w:val="000000"/>
                <w:sz w:val="24"/>
              </w:rPr>
              <w:t xml:space="preserve">2026</w:t>
            </w:r>
            <w:r>
              <w:rPr>
                <w:rFonts w:ascii="FangSong" w:hAnsi="FangSong" w:eastAsia="FangSong" w:cs="FangSong"/>
                <w:color w:val="000000"/>
                <w:sz w:val="24"/>
              </w:rPr>
              <w:t xml:space="preserve">年度国办下发第一批重点“一件事”的软件开发与系统集成对接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部署实施与数据上报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完成“一件事”接入的系统部署实施，实现与省级平台的数据上报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数据汇聚与上线验证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完成“一件事”业务数据汇聚，进行上线验证与运行保障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6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FangSong" w:hAnsi="FangSong" w:eastAsia="FangSong" w:cs="FangSong"/>
                <w:color w:val="000000"/>
                <w:sz w:val="24"/>
              </w:rPr>
              <w:t xml:space="preserve">智能预审功能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智能预审基础引擎建设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建设材料智能核验引擎，支持材料格式校验、齐全性检查、内容标准校验及材料间逻辑关系判断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代表性事项预审规则配置与调试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选取</w:t>
            </w:r>
            <w:r>
              <w:rPr>
                <w:rFonts w:ascii="Times New Roman" w:hAnsi="Times New Roman" w:eastAsia="Times New Roman" w:cs="Times New Roman"/>
                <w:color w:val="000000"/>
                <w:sz w:val="24"/>
              </w:rPr>
              <w:t xml:space="preserve">1-2</w:t>
            </w:r>
            <w:r>
              <w:rPr>
                <w:rFonts w:ascii="FangSong" w:hAnsi="FangSong" w:eastAsia="FangSong" w:cs="FangSong"/>
                <w:color w:val="000000"/>
                <w:sz w:val="24"/>
              </w:rPr>
              <w:t xml:space="preserve">项代表性“一件事”事项，配置具体预审规则，完成规则调试与业务验证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预审规则库建设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建设预审规则库，支持按事项类型自定义规则、动态更新维护及跨事项共享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预审结果反馈与统计功能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实时向用户反馈预审结果，自动定位错误材料位置、生成修正建议，支持结果导出、版本追溯和统计分析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200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 </w:t>
            </w:r>
            <w:r>
              <w:rPr>
                <w:rFonts w:ascii="FangSong" w:hAnsi="FangSong" w:eastAsia="FangSong" w:cs="FangSong"/>
                <w:color w:val="000000"/>
                <w:sz w:val="24"/>
              </w:rPr>
              <w:t xml:space="preserve">申报端“好用性”改造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申报端</w:t>
            </w:r>
            <w:r>
              <w:rPr>
                <w:rFonts w:ascii="Times New Roman" w:hAnsi="Times New Roman" w:eastAsia="Times New Roman" w:cs="Times New Roman"/>
                <w:color w:val="000000"/>
                <w:sz w:val="24"/>
              </w:rPr>
              <w:t xml:space="preserve">UI</w:t>
            </w:r>
            <w:r>
              <w:rPr>
                <w:rFonts w:ascii="FangSong" w:hAnsi="FangSong" w:eastAsia="FangSong" w:cs="FangSong"/>
                <w:color w:val="000000"/>
                <w:sz w:val="24"/>
              </w:rPr>
              <w:t xml:space="preserve">重构及</w:t>
            </w: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集成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重构申报端页面（最新风格</w:t>
            </w:r>
            <w:r>
              <w:rPr>
                <w:rFonts w:ascii="Times New Roman" w:hAnsi="Times New Roman" w:eastAsia="Times New Roman" w:cs="Times New Roman"/>
                <w:color w:val="000000"/>
                <w:sz w:val="24"/>
              </w:rPr>
              <w:t xml:space="preserve">UI</w:t>
            </w:r>
            <w:r>
              <w:rPr>
                <w:rFonts w:ascii="FangSong" w:hAnsi="FangSong" w:eastAsia="FangSong" w:cs="FangSong"/>
                <w:color w:val="000000"/>
                <w:sz w:val="24"/>
              </w:rPr>
              <w:t xml:space="preserve">），简化界面功能与元素，优化操作流程和按钮布局，集成商用</w:t>
            </w:r>
            <w:r>
              <w:rPr>
                <w:rFonts w:ascii="Times New Roman" w:hAnsi="Times New Roman" w:eastAsia="Times New Roman" w:cs="Times New Roman"/>
                <w:color w:val="000000"/>
                <w:sz w:val="24"/>
              </w:rPr>
              <w:t xml:space="preserve">GIS</w:t>
            </w:r>
            <w:r>
              <w:rPr>
                <w:rFonts w:ascii="FangSong" w:hAnsi="FangSong" w:eastAsia="FangSong" w:cs="FangSong"/>
                <w:color w:val="000000"/>
                <w:sz w:val="24"/>
              </w:rPr>
              <w:t xml:space="preserve">地图提供线下办理点精准搜索与定位功能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280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 </w:t>
            </w:r>
            <w:r>
              <w:rPr>
                <w:rFonts w:ascii="FangSong" w:hAnsi="FangSong" w:eastAsia="FangSong" w:cs="FangSong"/>
                <w:color w:val="000000"/>
                <w:sz w:val="24"/>
              </w:rPr>
              <w:t xml:space="preserve">平台运行态势展示模块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运行态势展示及数据看板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实时展示事项办理量、平均办理时长、用户满意度等核心指标（支持实时更新及按时间</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区域</w:t>
            </w:r>
            <w:r>
              <w:rPr>
                <w:rFonts w:ascii="Times New Roman" w:hAnsi="Times New Roman" w:eastAsia="Times New Roman" w:cs="Times New Roman"/>
                <w:color w:val="000000"/>
                <w:sz w:val="24"/>
              </w:rPr>
              <w:t xml:space="preserve">/</w:t>
            </w:r>
            <w:r>
              <w:rPr>
                <w:rFonts w:ascii="FangSong" w:hAnsi="FangSong" w:eastAsia="FangSong" w:cs="FangSong"/>
                <w:color w:val="000000"/>
                <w:sz w:val="24"/>
              </w:rPr>
              <w:t xml:space="preserve">事项类型多维度展示），对关键指标设置预警阈值，提供自定义数据看板及指标数据下钻分析功能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240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 </w:t>
            </w:r>
            <w:r>
              <w:rPr>
                <w:rFonts w:ascii="FangSong" w:hAnsi="FangSong" w:eastAsia="FangSong" w:cs="FangSong"/>
                <w:color w:val="000000"/>
                <w:sz w:val="24"/>
              </w:rPr>
              <w:t xml:space="preserve">事项运行监控模块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事项运行监控及趋势分析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展示各事项办理量、办理时长、满意度等运行状态，支持事项间指标对比和趋势分析，自动识别运行异常事项并分析异常原因、评估影响范围、智能生成优化建议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36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 </w:t>
            </w:r>
            <w:r>
              <w:rPr>
                <w:rFonts w:ascii="FangSong" w:hAnsi="FangSong" w:eastAsia="FangSong" w:cs="FangSong"/>
                <w:color w:val="000000"/>
                <w:sz w:val="24"/>
              </w:rPr>
              <w:t xml:space="preserve">数据预警与决策支持模块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智能预警及决策支持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设智能预警功能（基于预设规则自动识别异常、判定预警级别、生成预警信息），建立预警处理流程（自动分配任务、实时跟踪进度、记录处理结果），自动生成决策支持报告（含历史数据对比和趋势分析，支持多维度对比和数据可视化展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 </w:t>
            </w:r>
            <w:r>
              <w:rPr>
                <w:rFonts w:ascii="FangSong" w:hAnsi="FangSong" w:eastAsia="FangSong" w:cs="FangSong"/>
                <w:color w:val="000000"/>
                <w:sz w:val="24"/>
              </w:rPr>
              <w:t xml:space="preserve">电子营业执照综合应用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电子营业执照应用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经营主体身份认证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经营主体身份认证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5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执照留档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执照留档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5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照面信息获取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照面信息获取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基于电子营业执照的电子档案查询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基于电子营业执照的电子档案查询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基于电子营业执照的企业信用报告查询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基于电子营业执照的企业信用报告查询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基于电子营业执照的惠企政策查询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基于电子营业执照的惠企政策查询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基于电子营业执照的中介信息查询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基于电子营业执照的中介信息查询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电子营业执照预约叫号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电子营业执照预约叫号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8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 </w:t>
            </w:r>
            <w:r>
              <w:rPr>
                <w:rFonts w:ascii="FangSong" w:hAnsi="FangSong" w:eastAsia="FangSong" w:cs="FangSong"/>
                <w:color w:val="000000"/>
                <w:sz w:val="24"/>
              </w:rPr>
              <w:t xml:space="preserve">电子签章综合应用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电子签章应用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电子签章及签章验证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电子签章及签章验证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rHeight w:val="5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61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自助验章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自助验章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20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 </w:t>
            </w:r>
            <w:r>
              <w:rPr>
                <w:rFonts w:ascii="FangSong" w:hAnsi="FangSong" w:eastAsia="FangSong" w:cs="FangSong"/>
                <w:color w:val="000000"/>
                <w:sz w:val="24"/>
              </w:rPr>
              <w:t xml:space="preserve">政务服务智能化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全景引导系统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场景建模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采用全景拍摄与多图拼接融合技术构建大厅全景场景，并通过交互原型设计、统一视觉风格及点位缩放展示完成沉浸式场景建模。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全景漫游开发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提供大厅</w:t>
            </w:r>
            <w:r>
              <w:rPr>
                <w:rFonts w:ascii="Times New Roman" w:hAnsi="Times New Roman" w:eastAsia="Times New Roman" w:cs="Times New Roman"/>
                <w:color w:val="000000"/>
                <w:sz w:val="24"/>
              </w:rPr>
              <w:t xml:space="preserve">720</w:t>
            </w:r>
            <w:r>
              <w:rPr>
                <w:rFonts w:ascii="FangSong" w:hAnsi="FangSong" w:eastAsia="FangSong" w:cs="FangSong"/>
                <w:color w:val="000000"/>
                <w:sz w:val="24"/>
              </w:rPr>
              <w:t xml:space="preserve">°三维虚拟漫游与场景切换，支持查看中心概况、虚拟窗口事项清单、办事指南及排队人数，并提供网办入口、窗口搜索定位、沙盘地图及最优路线</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引导。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全景引导系统（移动端）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依托泰州通</w:t>
            </w:r>
            <w:r>
              <w:rPr>
                <w:rFonts w:ascii="Times New Roman" w:hAnsi="Times New Roman" w:eastAsia="Times New Roman" w:cs="Times New Roman"/>
                <w:color w:val="000000"/>
                <w:sz w:val="24"/>
              </w:rPr>
              <w:t xml:space="preserve">APP</w:t>
            </w:r>
            <w:r>
              <w:rPr>
                <w:rFonts w:ascii="FangSong" w:hAnsi="FangSong" w:eastAsia="FangSong" w:cs="FangSong"/>
                <w:color w:val="000000"/>
                <w:sz w:val="24"/>
              </w:rPr>
              <w:t xml:space="preserve">建设移动端</w:t>
            </w:r>
            <w:r>
              <w:rPr>
                <w:rFonts w:ascii="Times New Roman" w:hAnsi="Times New Roman" w:eastAsia="Times New Roman" w:cs="Times New Roman"/>
                <w:color w:val="000000"/>
                <w:sz w:val="24"/>
              </w:rPr>
              <w:t xml:space="preserve">VR</w:t>
            </w:r>
            <w:r>
              <w:rPr>
                <w:rFonts w:ascii="FangSong" w:hAnsi="FangSong" w:eastAsia="FangSong" w:cs="FangSong"/>
                <w:color w:val="000000"/>
                <w:sz w:val="24"/>
              </w:rPr>
              <w:t xml:space="preserve">全景引导系统，功能与</w:t>
            </w:r>
            <w:r>
              <w:rPr>
                <w:rFonts w:ascii="Times New Roman" w:hAnsi="Times New Roman" w:eastAsia="Times New Roman" w:cs="Times New Roman"/>
                <w:color w:val="000000"/>
                <w:sz w:val="24"/>
              </w:rPr>
              <w:t xml:space="preserve">PC</w:t>
            </w:r>
            <w:r>
              <w:rPr>
                <w:rFonts w:ascii="FangSong" w:hAnsi="FangSong" w:eastAsia="FangSong" w:cs="FangSong"/>
                <w:color w:val="000000"/>
                <w:sz w:val="24"/>
              </w:rPr>
              <w:t xml:space="preserve">端保持一致。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r>
      <w:tr>
        <w:trPr>
          <w:trHeight w:val="160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大厅小巧灵应用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数智交互一体机功能升级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支持刷脸取号与楼层平面动态引导，优化一体机界面样式，并对接政务智能体接口及知识库。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自助办引导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取号时自动判断事项可否自助办并测算预计等待时间和排队位次，供群众自行选择是否自助办理。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高频事项取号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支持高频事项显示模块配置，可手动配置或按取号量排名自动生成，为群众提供快捷取号途径。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转号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窗口人员可将取错的号转至正确窗口重新排队，支持优先级配置，实现与普通号交替叫号。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过号激活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窗口人员可激活当天过号记录使其重新进入排队，支持优先级配置，实现与普通号交替叫号。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等时通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根据业务平均办理时长计算当前号段预计等待时间并打印在叫号单上，便于群众合理安排时间。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0.8</w:t>
            </w:r>
            <w:r/>
          </w:p>
        </w:tc>
      </w:tr>
      <w:tr>
        <w:trPr>
          <w:trHeight w:val="80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排队预警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支持设置排队超时阈值，超时自动短信告知管理员处置，引导群众自助办或临时开放潮汐窗口。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rHeight w:val="160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多次跑预警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自动识别一周内</w:t>
            </w:r>
            <w:r>
              <w:rPr>
                <w:rFonts w:ascii="Times New Roman" w:hAnsi="Times New Roman" w:eastAsia="Times New Roman" w:cs="Times New Roman"/>
                <w:color w:val="000000"/>
                <w:sz w:val="24"/>
              </w:rPr>
              <w:t xml:space="preserve">2</w:t>
            </w:r>
            <w:r>
              <w:rPr>
                <w:rFonts w:ascii="FangSong" w:hAnsi="FangSong" w:eastAsia="FangSong" w:cs="FangSong"/>
                <w:color w:val="000000"/>
                <w:sz w:val="24"/>
              </w:rPr>
              <w:t xml:space="preserve">次以上来厅办理同一事项的群众，并向中心管理员发送预警短信以便跟进了解。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rHeight w:val="12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数字人智能屏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支付宝人脸核验组件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在设备上实现办事群众刷脸身份验证，需互联网环境下使用，服务有效期</w:t>
            </w:r>
            <w:r>
              <w:rPr>
                <w:rFonts w:ascii="Times New Roman" w:hAnsi="Times New Roman" w:eastAsia="Times New Roman" w:cs="Times New Roman"/>
                <w:color w:val="000000"/>
                <w:sz w:val="24"/>
              </w:rPr>
              <w:t xml:space="preserve">3</w:t>
            </w:r>
            <w:r>
              <w:rPr>
                <w:rFonts w:ascii="FangSong" w:hAnsi="FangSong" w:eastAsia="FangSong" w:cs="FangSong"/>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0.5</w:t>
            </w:r>
            <w:r/>
          </w:p>
        </w:tc>
      </w:tr>
      <w:tr>
        <w:trPr>
          <w:trHeight w:val="200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能力认证插件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为使用支付宝刷脸功能的设备提供安装认证，具备</w:t>
            </w:r>
            <w:r>
              <w:rPr>
                <w:rFonts w:ascii="Times New Roman" w:hAnsi="Times New Roman" w:eastAsia="Times New Roman" w:cs="Times New Roman"/>
                <w:color w:val="000000"/>
                <w:sz w:val="24"/>
              </w:rPr>
              <w:t xml:space="preserve">SN</w:t>
            </w:r>
            <w:r>
              <w:rPr>
                <w:rFonts w:ascii="FangSong" w:hAnsi="FangSong" w:eastAsia="FangSong" w:cs="FangSong"/>
                <w:color w:val="000000"/>
                <w:sz w:val="24"/>
              </w:rPr>
              <w:t xml:space="preserve">码获取上报、认证状态提示、授权监控及人脸识别数据统计功能。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0.3</w:t>
            </w:r>
            <w:r/>
          </w:p>
        </w:tc>
      </w:tr>
      <w:tr>
        <w:trPr>
          <w:trHeight w:val="240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数智交互一体机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基于政务智能体和大模型能力提供数字人导服，硬件配备八核安卓主板、</w:t>
            </w:r>
            <w:r>
              <w:rPr>
                <w:rFonts w:ascii="Times New Roman" w:hAnsi="Times New Roman" w:eastAsia="Times New Roman" w:cs="Times New Roman"/>
                <w:color w:val="000000"/>
                <w:sz w:val="24"/>
              </w:rPr>
              <w:t xml:space="preserve">8GB</w:t>
            </w:r>
            <w:r>
              <w:rPr>
                <w:rFonts w:ascii="FangSong" w:hAnsi="FangSong" w:eastAsia="FangSong" w:cs="FangSong"/>
                <w:color w:val="000000"/>
                <w:sz w:val="24"/>
              </w:rPr>
              <w:t xml:space="preserve">内存、</w:t>
            </w:r>
            <w:r>
              <w:rPr>
                <w:rFonts w:ascii="Times New Roman" w:hAnsi="Times New Roman" w:eastAsia="Times New Roman" w:cs="Times New Roman"/>
                <w:color w:val="000000"/>
                <w:sz w:val="24"/>
              </w:rPr>
              <w:t xml:space="preserve">120GB</w:t>
            </w:r>
            <w:r>
              <w:rPr>
                <w:rFonts w:ascii="FangSong" w:hAnsi="FangSong" w:eastAsia="FangSong" w:cs="FangSong"/>
                <w:color w:val="000000"/>
                <w:sz w:val="24"/>
              </w:rPr>
              <w:t xml:space="preserve">存储、</w:t>
            </w:r>
            <w:r>
              <w:rPr>
                <w:rFonts w:ascii="Times New Roman" w:hAnsi="Times New Roman" w:eastAsia="Times New Roman" w:cs="Times New Roman"/>
                <w:color w:val="000000"/>
                <w:sz w:val="24"/>
              </w:rPr>
              <w:t xml:space="preserve">75</w:t>
            </w:r>
            <w:r>
              <w:rPr>
                <w:rFonts w:ascii="FangSong" w:hAnsi="FangSong" w:eastAsia="FangSong" w:cs="FangSong"/>
                <w:color w:val="000000"/>
                <w:sz w:val="24"/>
              </w:rPr>
              <w:t xml:space="preserve">寸触摸屏、麦克风阵列及摄像头，支持定时开关机无人值守。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r>
      <w:tr>
        <w:trPr>
          <w:trHeight w:val="42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250</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12.5.升级成效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（一）效益分析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直接效益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①提升企业群众办事体验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办事更便捷。通过“基层高频事项一平台办理”和“中介服务超市”，企业群众可在线办理新增</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项高频事项及各类中介服务，实现从“跑多次”到“跑一次”甚至“零跑动”的转变。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成本更低。线上开具证明、电子化归档等功能减少纸质材料使用和打印复印成本；中介服务“一站式”办理降低企业搜寻和交易成本。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效率更高。“掌上办”“网上办”支持</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小时服务，不受时间地点限制；智能预审、自动核验等功能大幅缩短办理周期。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②增加政府治理效能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数据共享集成。与企业全生命周期平台等实现数据实时同步，打破部门间信息壁垒，提升跨部门业务协同效率。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决策支持精准化。汇聚的基层办件、中介交易等数据，为领导决策提供可视化、动态化的数据支撑（如“基层高频大屏”），提升科学决策水平。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监管更加有力。对中介服务全流程留痕管理，结合“苏税援”评价体系，实现对中介机构的信用画像和精准监管。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间接效益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①优化营商环境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打造“数字泰州”名片。通过提升政务服务智能化、便利化水平，有效优化全市营商环境，增强城市吸引力和竞争力。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激发市场活力。便捷高效的政务服务环境降低了制度性交易成本，有利于吸引更多企业和人才落户泰州，促进市场主体蓬勃发展。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②推动基层治理现代化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为基层减负赋能。通过“一平台办理”和“全科窗口”建设，整合分散系统，减少基层工作人员重复录入和多头操作，切实减轻工作负担。</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提升治理智慧化。推动政务服务从“被动响应”向“主动推送”转变，利用数据分析精准识别困难群众，实现关爱帮扶政策的主动送达，提升基层治理的敏捷化、智能化、协同化水平。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③促进数字经济高质量发展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夯实数字基础。项目建设形成的统一标准、共享机制和信创底座，为泰州市数字经济发展提供了坚实的基础支撑。</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释放数据价值。通过数据汇聚、治理和共享，推动“以数据为关键要素”的新型生产关系形成，助力泰州在数字经济领域勇挑大梁、多作贡献</w:t>
      </w:r>
      <w:r>
        <w:rPr>
          <w:rFonts w:ascii="FangSong" w:hAnsi="FangSong" w:eastAsia="FangSong" w:cs="FangSong"/>
          <w:color w:val="000000"/>
          <w:sz w:val="32"/>
        </w:rPr>
        <w:t xml:space="preserve">。</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13.市企业全生命周期管理服务平台服务（2026）项目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13.1.预期目标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国家和省级数字化转型部署及泰州市“三个大抓”相关工作部署，围绕数字政府建设和优化营商环境目标，通过购买“泰州市企业全生命周期管理及一体化企业服务平台服务”，重点解决数据分散、服务碎片化、监管协同弱等问题，着力推动政务服务从分散办理向一体化服务转型，提升政务服务与经济治理的精准度和效率，增强经济运行监测与科学决策能力。</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13.2.需求分析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所购买的服务需满足以下要求：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在复用我市各业务条线现有工作流程和现有信息化系统的基础上，通过“泰政通”和“一企来办移动端”对内、对外两个入口，形成全新的“企业全生命周期管理服务平台”。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企业全生命周期服务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（1）项目管理服务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提供“前期招商”“备案审批”“投资进度”“投产达效”4项功能服务，搭建项目库并提供管理服务，实现“一项目一代码”贯穿全流程，实时监控全市项目建设情况。提供“项目全生命周期”看板功能服务，清晰呈现项目签约、重点产业链等数据，提供从质态评估到竣工认定的全流程管理功能服务，强化进度把控与风险预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（2）企业服务服务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汇聚全市市场主体基本信息、股权族谱等核心数据，整合知识产权、网络监管等多维度信息，提供动态标签功能服务，实现企业全景画像“一站式”查询，并支持多条件筛选，对经营异常企业实现自动预警，推动部门及时跟进服务，形成线上线下助企合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一企来办PC端在惠企综合服务方面提供机关单位登录通道、一站式在线申报等功能服务。在事项审批与综合管理方面提供可视化业务配置中心、智能查重与风险拦截、数字化专家评审管理、发票信息库等重要功能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一企来办移动端整合一企来办、品质泰州、互联网+监管平台企业端业务，统一身份认证体系，提供政策查询、事项申报、品质服务预约、监管整改反馈、项目进度查询等核心功能服务，打通三大平台数据通道，实现企业信息、办件记录、政策资源、监管数据等全量互通与标准化治理，打造“一站式”企业服务体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（3）辅助决策服务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提供“GDP监测”“产业链群主要指标完成情况”等功能服务，展示各类支撑指标和对应监测数据，呈现各条产业链企业营收、利润等核心数据。提供“，数据泰州”“涉企检查”等功能服务，全方位展现经济运行态势，对异常检查频次进行监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（4）诉求反馈服务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提供企业诉求闭环管理服务功能，覆盖政策咨询、项目申报等全领域诉求办理场景，实现企业诉求后台分派至产业链责任部门，由市领导限时督办推进，实现“办成一件事、解决一类事”。要求提供平台PC端问题反馈全流程管理功能，支持平台使用相关问题提交、分派、跟踪、办结闭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产业大脑升级及运营服务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通过购买服务，升级工企评价系统，提供 数据常态化更新服务，实现对企业从信息建档、在线自评、智能评分、结果发布到动态监测的全流程数字化管理，并基于评价结果自动匹配政策资源和培育服务，形成“评价-诊断-赋能”闭环，最终依托高质量的数据运维体系，为产业精准分析、梯度培育与科学决策提供支撑。</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技术需具备多系统集成对接能力，可复用现有信息化系统，打通泰政通、一企来办、电子印章等多平台数据；支持批量数据导入建表、版本管理、质量校验与审计追溯的全链路数据治理；可实现多维度可视化分析、业务表单与流程的低代码灵活配置；具备智能填报查重、风险预警、评估模型自动重算等智能化能力，保障 PC 端与移动端功能数据同步适配；同时配套多角色分级权限、评审合规管控与操作留痕备份机制，满足政务安全合规要求。</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13.3.技术方案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13.3.1.企业全生命周期服务</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13.3.1.1.</w:t>
      </w:r>
      <w:r>
        <w:rPr>
          <w:rFonts w:ascii="FangSong" w:hAnsi="FangSong" w:eastAsia="FangSong" w:cs="FangSong"/>
          <w:color w:val="000000"/>
          <w:sz w:val="28"/>
        </w:rPr>
        <w:t xml:space="preserve">平台首页数据导览</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要求在首页提供市场主体数、已签约项目数、在建项目数等数据导览及四大战区、四库五率、四上企业等功能服务。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四大战区：要求能够查看北京（京津冀）、上海（长三角）、深圳（珠三角）、南京（南京合肥）及境外的招商项目签约详情，汇总各战区在谈项目数、累计签约数、累计投资额、当月新增数、当月投资额、招商活动数等核心指标；设置所属年度、金额范围、排名依据等查询筛选条件。并支持查看招商人员明细名单，设置市（区）、园区、镇街等查询筛选条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四库五率：要求能够查看签约库、备案库、开工库、投产库各自项目数，设置所属年份、金额范围等查询筛选条件。要求能够查看全市、各市（区）10亿元以上签约项目五率情况汇总，包含签约项目备案请情况（签约数、当月新增、备案数、当月新增、备案率）、备案项目开工情况（开工项目数、当月新增、开工率）、开工项目投资完成情况（总投资、累计完成投资、当月新增、投资完成率）、开工项目投产情况（投产项目数、当月新增、投产率）、投产项目达效情况（产值、就业人数）。</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（3）四上企业：要求能够产看全市规模以上工业企业、资质等级建筑企业、限额以上批零住餐企业、规模以上服务业企业的总量数据；支持四上企业各类别前100名查询，可按企业名称快速检索定位。</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13.3.1.2.</w:t>
      </w:r>
      <w:r>
        <w:rPr>
          <w:rFonts w:ascii="FangSong" w:hAnsi="FangSong" w:eastAsia="FangSong" w:cs="FangSong"/>
          <w:color w:val="000000"/>
          <w:sz w:val="28"/>
        </w:rPr>
        <w:t xml:space="preserve">项目管理服务</w:t>
      </w:r>
      <w:r/>
    </w:p>
    <w:p>
      <w:pPr>
        <w:ind w:left="1313" w:right="0" w:hanging="571"/>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PC端看板需求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提供项目管理功能服务，包含前期招商、备案审批、投资进度、投产达效。</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前期招商：</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新签约项目：要求能够查看全市、各市（区）、各园区、各乡镇每月新增项目数和投资额，累计新增项目数和投资额，年度目标任务完成率，累计新增内资项目个数和投资额，累计新增外资项目数和投资额，并用柱状图、饼状图、折线图等工具对数据进行可视化分析。设置所属月份、金额范围、所属行业、是否科创项目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业链项目招引情况：要求能够查看全市所有重点产业链每月新增项目数和投资额，累计新增项目数和投资额，各市（区）每条重点产业链新增个数和投资额。并用柱状图、饼状图、折线图等工具对数据进行可视化分析。设置所属月份、金额范围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利用外资：要求能够查看全市、各市（区）当期和去年同期的新设企业数，合同外资金额的累计金额、同比、占全市比重，实际使用外资金额的累计金额、同比、占全市比重、占年度计划比重。并用柱状图、饼状图、折线图等工具对数据进行可视化分析。设置所属年份、所属月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进度情况：要求能够查看全市、各市（区）新签约项目数和金额，其中处于注册阶段的项目数和投资额、处于备案阶段的项目数和投资额。并用柱状图、饼状图、折线图等工具对数据进行可视化分析。设置所属月份、金额范围、所属行业、是否科创项目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备案审批：</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新备案项目：要求能够查看全市、各市（区）当月新增备案项目数和备案投资额，本年累计备案项目数和备案投资额，内资项目备案项目数和备案投资额，外资项目备案项目数和备案投资额。并用柱状图、饼状图、折线图等工具对数据进行可视化分析。设置所属月份、金额范围、所属行业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用地保障：要求能够查看全市、各市（区）备案项目总数，需新增用地项目数和需求面积，已供土地项目数和已供面积，无需新增用地项目数和备案投资额，其中租用厂房项目数和备案投资额。并用柱状图、饼状图、折线图等工具对数据进行可视化分析。设置所属月份、金额范围、所属行业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审批服务：要求能够查看全市、各市（区）备案项目总数，已完成环评和未完成环评项目数，已完成能评和未完成能评项目数，已完成安评和未完成安评项目数，已完成施工图审查项目数和未完成施工图审查项目数，已完成施工许可证项目数和未完成施工许可证项目数。并用柱状图、饼状图、折线图等工具对数据进行可视化分析。设置所属月份、金额范围、所属行业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（4）链群分布：要求能够查看每条产业链、所有产业链备案项目数量及占比情况，备案投资额及占比情况。设置所属月份、金额范围等查询筛选条件。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投资进度：</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在建项目：要求能够查看全市、各市（区）、各园区、各乡镇当月新增在建项目数和计划总投资额，当年累计新增在建项目数和计划总投资额，内资项目新增在建项目束河计划总投资额，外资项目新增在建项目数和计划总投资额。并用柱状图、饼状图、折线图等工具对数据进行可视化分析。设置所属月份、金额范围、所属行业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入库投资：要求能够查看全市、各市（区）入库项目总数和计划投资额，本月、本年、累计列统投资额，本月、本年新增入库项目数和计划总投资额。并用柱状图、饼状图、折线图等工具对数据进行可视化分析。设置所属月份、金额范围、所属行业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资完成率：要求能够查看全市、各市（区）、各园区、各乡镇本月竣工项目数和计划总投资额，本年竣工项目数和计划总投资额，入库项目数和实际完成投资额，项目入库比例和列统投资比例。并用柱状图、饼状图、折线图等工具对数据进行可视化分析。设置所属月份、金额范围、所属行业等查询筛选条件。能够查看全市、各市（区）、各园区、各乡镇知识产权类、高层次人才类、科技计划或大赛类、风险投资类、省市产研院类、重大创新平台类、工业服务业项目转科创类项目数，累计项目数，目标数，完成率。</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（4）链群体系：要求能够查看全部、各产业链项目数量和比重，投资额和比重。设置所属月份、金额范围等查询筛选条件。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投产达效：</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（1）进规纳统：要求能够查看全市、各市（区）上年度全市规上工业企业数，累计已进规企业数，进规进度达75%企业数，进规进度达90%企业数。</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（2）产出效益：要求能够查看全市、各市（区）年度竣工项目数、年度竣工企业数、年度开票、年度税收、年度产值、年度营收。设置所属年份等查询筛选条件。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（3）链群体系：要求能够查看全市规上工业、产业链群合计、每条产业链本期产值、同期产值、增长率。设置所属季度等查询筛选条件。</w:t>
      </w:r>
      <w:r/>
    </w:p>
    <w:p>
      <w:pPr>
        <w:ind w:left="1296" w:right="0" w:hanging="1296"/>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PC端后台需求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项目管理功能服务，包含项目看板、项目管理、质态评估、签约核定、开工认定、竣工认定、我的项目、非招商项目。提供数据采集功能服务，包含在线审批和工程建设。提供重点项目、三个大抓、报表中心功能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（1）项目看板：要求能够分年度查看在谈项目和签约项目的项目总数、总投资额、内资项目数、内资金额、外资项目数、外资金额。</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管理：要求能够查看所有项目的概览情况，包括项目名称、项目内容、所属板块、项目状态等内容。点击可查看全生命流程详情。设置项目名称、项目编号、项目状态、项目内容、招引单位、所属年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质态评估：要求能够查看需质态评估项目概览情况，包括项目名称、项目内容、所属板块、项目状态、审核状态。点击可查看全生命流程详情。点击质态评估自动生成项目质态评估表，给各业务相关部门分配填写意见的权限，并在质态评估页面显示相关部门意见。设置项目名称、项目编号、项目状态、项目内容、招引单位、所属年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签约核定：要求能够查看需签约核定项目概览情况，包括项目名称、项目内容、所属板块、项目状态、审核状态。点击可查看全生命流程详情。点击签约核定自动生成项目备案表，给各业务相关部门分配填写意见的权限，并在签约核定页面显示相关部门意见。设置项目名称、项目编号、项目状态、项目内容、招引单位、所属年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开工认定：要求能够查看需开工认定项目概览情况，包括项目名称、项目内容、所属板块、项目状态、审核状态。点击可查看全生命流程详情。点击开工认定自动生成项目开工认定表，给各业务相关部门分配填写意见的权限，并在开工认定页面显示相关部门意见。设置项目名称、项目编号、项目状态、项目内容、招引单位、所属年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竣工认定：要求能够查看需签约竣工认定概览情况，包括项目名称、项目内容、所属板块、项目状态、审核状态。点击可查看全生命流程详情。点击竣工认定自动生成项目备案表，给各业务相关部门分配填写意见的权限，并在竣工认定页面显示相关部门意见。设置项目名称、项目编号、项目状态、项目内容、招引单位、所属年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我的项目：要求能够查看账号所在单位招引的项目概览情况，包括项目名称、项目内容、所属板块、项目状态、审核状态。点击可查看全生命流程详情。设置项目名称、项目编号、项目状态、项目内容、招引单位、所属年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非招商项目：要求能够查看非招商项目概览情况，包括项目名称、项目内容、所属板块、项目状态。提供新增、编辑功能。点击可查看项目全生命流程详情，开工认定和竣工认定功能同（5）（6）。能够录入项目进度，包括用地类型、环评进展、能评情况等。设置项目名称、项目代码、开工时间、竣工时间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（9）在线审批：要求能够查看项目审批类型、备案目录、项目名称、是否补办项目、项目代码等内容。设置项目名称、项目代码等查询筛选条件。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（10）工程建设：要求能够查看项目名称、项目代码、企业名称、信用代码、项目类型等内容。点击可查看立项用地、工程建设、施工许可、竣工验收各阶段办件名称、办件时限、完成状态、处理部门等内容。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重点项目：包含重点项目管理和重点项目评估。重点项目管理要求能够查看所有重点项目的发改项目名称、项目名称、计划总投资、年度计划投资、形象进度、是否当年新开工、是否开工，并且可以对重点项目进行编辑和查看评估结果；设置项目名称、发改项目名称、项目内容、项目来源、项目类别、所属产业、所属市（区）、所属板块、投资方名称、是否新开工、是否开工、是否列统项目等查询筛选条件；提供推送、导出、草稿箱等功能。重点项目评估要求能够查看待评估重点项目的项目名称、项目内容、所属板块、所属区县、申报年度、评估部门、评估状态、评</w:t>
      </w:r>
      <w:r>
        <w:rPr>
          <w:rFonts w:ascii="FangSong" w:hAnsi="FangSong" w:eastAsia="FangSong" w:cs="FangSong"/>
          <w:color w:val="000000"/>
          <w:sz w:val="28"/>
        </w:rPr>
        <w:t xml:space="preserve">估结果，并且可以对重点项目进行评估；设置项目名称、所属区县、评估状态等查询筛选条件。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（12）三个大抓：能够根据专班年度考核文件要求，支撑项目攻坚专班对市级部门招商引资工作及负责项目进度进行考核，根据不同项目类型、项目状态对各部门进行排名，支持结果导出。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（13）报表中心：提供项目招引建设情况功能服务。要求实现以下功能：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①能够查看各市（区）排在第一到第六名的指标个数。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能够查看全市、各市（区）固定资产投资情况，包括累计完成数、上半年预测数和完成进度、全年预测数和完成进度，并展示其中的工业投资（完成数、增幅）、服务业投资（完成数、增幅）、房地产开发投资（完成数、增幅）、基础设施投资（完成数、增幅）。并且用数据明细、折线图、饼状图、柱状图等方式对固定资产投资总体情况和行业对比进行可视化分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能够查看全市、各市（区）省重大项目情况，包括项目数量、计划总投资、年度投资、年度投资完成情况（已列统项目数、实际入库投资、投资完成率）、项目开工情况（新开工项目数、已开工项目数、开工率）、已开工未列统项目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能够查看全市、各市（区）市重点项目情况，包括项目数量、计划总投资、年度投资、年度投资完成情况（已列统项目数、实际入库投资、投资完成率）、项目开工情况（新开工项目数、已开工项目数、开工率）、已开工未列统项目数。项目数量、新开工项目数提供下钻功能，能够查看项目明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⑤能够查看全市、各市（区）签约项目情况，包括500万元-1亿元（1000万美元）项目总数及当月新增、1亿元（1000万美元）以上项目总数、当月新增以及协议投资5亿元（3000万美元） 以上项目）总数及当月新增、年度投资1亿元以上项目总数及当月新增。所有指标均需提供下钻功能，能够查看项目明细。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⑥能够查看全市、各市（区）备案项目情况，包括500万元-1亿元（1000万美元）项目总数及当月新增、1亿元（1000万美元）以上项目总数、当月新增以及协议投资5亿元（3000万美元） 以上项目）总数及当月新增、增资扩产项目总数及当月新增、外资利润在投资项目总数、投资额、当月新增。除外资利润在投资项目指标外，其余指标均需提供下钻功能，能够查看项目明细。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⑦能够查看全市、各市（区）开工项目情况，包括500万元-1亿元（1000万美元）项目总数及当月新增、1亿元（1000万美元）以上项目总数、当月新增以及协议投资5亿元（3000万美元） 以上项目）总数及当月新增。所有指标均需提供下钻功能，能够查看项目明细。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⑧能够查看全市、各市（区）开工项目投资情况，包括500万元-1亿元（1000万美元）计划总投资、已完成投资（、当月新增）、投资完成率，1亿元（1000万美元）以上项目计划总投资、已完成投资（、当月新增）、投资完成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⑨能够查看全市、各市（区）竣工项目情况，包括500万元-1亿元（1000万美元）项目总书记当月新增、1亿元（1000万美元）以上项目总数、当月新增。所有指标均需提供下钻功能，能够查看项目明细。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⑩能够查看全市、各市（区）四上企业新增数情况，包括新增规上、工业、建筑业、批零业、住餐业、房地产业、服务业。</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⑪能够查看全市、各市（区）外资项目推进情况，包括新签约总投资1000万美元以上项目签约项目总数、未注册项目数、注册但未到资项目数、未到账外资金额，新注册项目总数、未到资项目数、未到账外资金额。</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情况通报表能够按时间（精确到秒）进行查看和导出。</w:t>
      </w:r>
      <w:r/>
    </w:p>
    <w:p>
      <w:pPr>
        <w:ind w:left="1296" w:right="0" w:hanging="1296"/>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前期招商：</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（1）前期招商：对1.1.1 PC端看板需求中的前期招商功能服务进行移动端移植。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（2）部门预评估：对1.1.2 PC端后台需求中的质态评估功能服务进行移动端移植。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（3）签约核定：对1.1.2 PC端后台需求中的签约核定功能服务进行移动端移植。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中期推进：</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（1）备案审批：对1.1.1 PC端看板需求中的备案审批功能服务进行移动端移植。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（2）投资进度：对1.1.1 PC端看板需求中的投资进度功能服务进行移动端移植。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（3）协同推进：对1.1.2 PC端后台需求中的在线审批功能服务进行移动端移植。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（4）工程建设：对1.1.2 PC端后台需求中的工程建设功能服务进行移动端移植。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（5）开工认定：对1.1.2 PC端后台需求中的开工认定功能服务进行移动端移植。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后期服务：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（1）投产达效：对1.1.1 PC端看板需求中的投产达效功能服务进行移动端移植。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（2）竣工认定：对1.1.2 PC端后台需求中的竣工认定功能服务进行移动端移植。</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13.3.1.3.</w:t>
      </w:r>
      <w:r>
        <w:rPr>
          <w:rFonts w:ascii="FangSong" w:hAnsi="FangSong" w:eastAsia="FangSong" w:cs="FangSong"/>
          <w:color w:val="000000"/>
          <w:sz w:val="28"/>
        </w:rPr>
        <w:t xml:space="preserve">企业服务服务</w:t>
      </w:r>
      <w:r/>
    </w:p>
    <w:p>
      <w:pPr>
        <w:ind w:left="1313" w:right="0" w:hanging="571"/>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PC端后台需求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标签管理：提供动态标签功能服务，各业务相关部门可为企业打上标签，便于进行管理。提供新建标签、excel表格匹配等功能，点击标签可查看注册号、统一社会信用代码、企业名称、开业日期、企业住所、经营状态、行业等企业详情。</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企业查询：提供企业库及查询功能服务，汇聚全市市场主体基本信息、股权族谱等核心数据，整合知识产权、网络监管等多维度信息。设置企业名称、统一信用代码、法定代表人、经济户口类别、标签类别、经营状态、成立日期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（3）企查查：要求接入“企查查”查询入口，提供查询中心、高级搜索等补充查询功能服务。</w:t>
      </w:r>
      <w:r/>
    </w:p>
    <w:p>
      <w:pPr>
        <w:ind w:left="1296" w:right="0" w:hanging="1296"/>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提供一企一档功能服务，对1.2.1 PC端后台需求中的企业查询功能服务进行移动端移植。要求接入“企查查”查询入口，提供补充查询功能。</w:t>
      </w:r>
      <w:r/>
    </w:p>
    <w:p>
      <w:pPr>
        <w:ind w:left="1296" w:right="0" w:hanging="1296"/>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一企来办PC端需求（工信局、科技局、数据局个性化需求）</w:t>
      </w:r>
      <w:r/>
    </w:p>
    <w:p>
      <w:pPr>
        <w:ind w:left="1440" w:right="0" w:hanging="144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惠企综合服务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（1）登录体系：要求对接政务服务应用与机关事业单位网络身份管理系统登录体系。增加机关单位登录按钮，实现用户登录。</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奖补事项：提供事项申报预告功能服务，展示即将开放申报的事项，提示具体开放时间；提供事项查询浏览功能服务，能够进行模糊查询、分类检索、原文浏览；提供申报事项浏览功能服务，展示政策兑现事项的具体信息，能够查看事项名称、发布部门、办事指南、申报时间；提供事项申报功能服务，能够实现在线填报、表单智能填充、表单字段填写、申报材料上传、在线签章预览、在线签章选择、发票上传、发票自动解析、发票内容查重、草稿箱、我的已办、申报材料补充功能。</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管理：提供我的项目功能服务，能够查询项目概览、项目申报与进度、项目验收情况、审批流内容查看功能；提供进度管理功能服务，能够实现进度资料新增和上传、进度资料查看功能；提供项目验收功能服务，能够实现验收资料在线填写上传、验收结果与意见查看、历史提交与审核查看功能。</w:t>
      </w:r>
      <w:r/>
    </w:p>
    <w:p>
      <w:pPr>
        <w:ind w:left="1440" w:right="0" w:hanging="144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事项审批后台服务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事项审批：提供我的工作功能服务，能够查看我的代办、我的已办；提供申请总览功能服务，能够实现总览申请、数据抓取、附件打包下载、项目详情查看功能；提供老平台申请数据功能服务，实现老平台申请数据迁移、申请数据总览功能；提供申请审核功能服务，实现普通审核、批量审核功能；提供失效管理功能服务，实现用时统计、预警功能、逾期风险消息推送、审批页面风险标识、预警记录追溯等功能；提供统计查询功能服务，通过科技项目库管理功能能够查询所有项目申请，能够查看申报事项申请审批情况相关数据统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系统管理：提供用户管理功能服务，搭建政策数据标准化管理系统用户页面；提供部门管理功能服务，实现跨市多部门管理功能；提供权限管理功能服务，实现审批端权限、企业端权限、申请管理员权限、闸口管理员权限、专家子系统管理员权限功能；提供消息管理功能服务，对政策数据标准化管理系统产生代办消息并提醒、推送。</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事项配置：提供闸口配置功能服务，支持配置多个初审与闸口选项；提供表单配置功能服务，实现定制化字段配置、表单配置可视化、表单样式配置、表单库功能；提供文书生成配置功能服务，支持企业填写表单后自动生成pdf文件；提供用户附件配置功能服务，对附件材料进行对应的规格设置，包含材料总数限制、文件格式限制、文件大小限制、是否必传，还可上传空白模板供企业下载。</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（4）项目查重：提供申报拦截配置、历史申报数据查重配置、当年对比、历史对比、发票对比功能服务。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专家评审子系统：提供专家库功能服务，实现专家导入、专家库管理、专家查询、专家档案功能；提供批次创建功能服务，创建批次名称、批次附件、批次描述等信息，开启本批次的专家评审基本信息配置；提供评审配置功能服务，实现分配专家账号、事项批次分组、专家评审表配置-评分类、专家汇总表配置-评分类、支持配置多张评审表、评审承诺书配置功能；提供专家抽选功能服务，实现专家回避、随机抽选、学科抽取、批量随机抽选、补抽、批量补抽、抽选名单导出、不同专家对应的评分表配置、确认专家名单功能；提供专家确认功能服务，实现专家到场确认</w:t>
      </w:r>
      <w:r>
        <w:rPr>
          <w:rFonts w:ascii="FangSong" w:hAnsi="FangSong" w:eastAsia="FangSong" w:cs="FangSong"/>
          <w:color w:val="000000"/>
          <w:sz w:val="28"/>
        </w:rPr>
        <w:t xml:space="preserve">、短信对接功能；提供专家评分功能服务，管理端支持实时查看专家评分情况；提供结果汇总功能服务，实现评分排序、专家评分总览、单个专家评分情况预览、计算平均得分、留痕记录功能；提供锁定检查功能服务，针对该批次的专家评分信息进行最后的校验，进行复核锁定检查；提供数据统计功能服务，支持按专家为单位，统计其参与评审的项目情况，并支持按时间段筛选，同时支持导出操作；提供封存库功能服务，实现封存总览、批次摘要、到场专家、评分表总览、备抽专家、抽取记录功能。</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合同管理子系统：提供合同模板功能服务，实现模板创建、实时预览、模板关联、模板版本管理、模板导出功能；提供合同水印功能服务，实现文字水印、水印样式设置、实时预览、水印应用、保存设置模板功能；提供合同库功能服务，实现筛选与查询、合同导出功能。</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验收管理子系统：提供验收配置功能服务，实现验收附件配置、验收表配置、验收表数据关联功能；提供验收审核功能服务，实现验收表指标与合同表指标的对比功能；提供验收库功能服务，实现筛选与查询、数据导出功能。</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（8）项目进度管理：提供进度审核功能服务，实现进度管理功能；提供进度配置功能服务，实现进度状态更新、附件材料配置、时间节点配置、必填项设置、字段关联设置、自动填充配置、关联关系查看功能。</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地方上会材料与行文：提供数据总览功能服务，实现地方上会材料与行文总览，查看地方上会材料与行文申报年份、地区、标题名称、项目推荐单位、所属处室、提交时间，同时支持筛选与查询；提供权限管理功能服务，能够配置各个级别的账户发布与查看的权限；提供管理上会材料与行文功能服务，实现发布、查看、编辑功能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（10）发票管理：提供发票库功能服务，能够查看企业所有发票，重复发票标记提示，并展示相关发票的其他内容。</w:t>
      </w:r>
      <w:r/>
    </w:p>
    <w:p>
      <w:pPr>
        <w:ind w:left="1440" w:right="0" w:hanging="144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专家评审后台服务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（1）专家登录：要求根据分配的账号信息输入并登录系统，进行手机号与验证码登录。</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（2）信息维护：要求专家可通过系统完成个人信息的修改与完善。</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线上评审：提供查看项目表单数据功能服务，让专家在进行线上评审时，能够通过系统清晰查看申请表单中的各项资料；提供查看项目附件数据功能服务，让专家线上评审过程中可便捷查看与项目相关的附件内容；提供线上评审功能服务，专家利用系统提供的线上评审功能，根据评审标准对项目进行评分或撰写评语；提供评审结果暂存、修改、预览功能服务；提供正式提交功能服务，专家完成评审且确认无误后，进行正式提交操作；提供评审界面设计功能服务，全屏展示项目打分项数据，点击后即可展示打分的标准提示信息和项目申请信息。</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（4）数据统计：要求能够统计参与评审的项目情况，并支持按时间段筛选，同时支持导出操作。</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（5）数据迁移：要求将专家端从内网迁移至互联网。</w:t>
      </w:r>
      <w:r/>
    </w:p>
    <w:p>
      <w:pPr>
        <w:ind w:left="1440" w:right="0" w:hanging="1440"/>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电子印章系统服务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数据服务对接：要求对接电子印章系统，调用电子印章数据。</w:t>
      </w:r>
      <w:r/>
    </w:p>
    <w:p>
      <w:pPr>
        <w:ind w:left="1296" w:right="0" w:hanging="1296"/>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一企来办移动端需求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（1）提供统一登录与身份认证功能服务，实现统一注册、统一登录、历史账号绑定、认证信息同步。</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（2）提供原平台业务与数据对接功能服务，实现核心功能对接、核心数据对接和整合、数据清洗与标准化处理。</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（3）提供一体化服务入口功能服务，实现核心功能导航、全局统一搜索、消息通知集中展示。</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提供政策、事项综合服务功能，实现政策信息速查，政策、服务智能推荐，申报事项办理，免申即享服务，质量品牌培育服务，多类型服务预约办理，服务机构与资源查询，产业链地图展示，综合信息库查询功能。</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（5）提供监管协同处理功能服务，实现整改反馈在线办理、非现场自查办理、监管消息提醒功能。</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（6）提供个人中心功能服务，实现个人事务集中管理、收藏与订阅管理、诉求与评价功能。</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13.3.1.4.</w:t>
      </w:r>
      <w:r>
        <w:rPr>
          <w:rFonts w:ascii="FangSong" w:hAnsi="FangSong" w:eastAsia="FangSong" w:cs="FangSong"/>
          <w:color w:val="000000"/>
          <w:sz w:val="28"/>
        </w:rPr>
        <w:t xml:space="preserve">辅助决策服务</w:t>
      </w:r>
      <w:r/>
    </w:p>
    <w:p>
      <w:pPr>
        <w:ind w:left="1313" w:right="0" w:hanging="571"/>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PC端需求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（1）GDP监测：要求能够查看支撑指标、监测指标、分市区基础数据。</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支撑指标：要求能够查看指标名称、指标简介、牵头部门，能够进行新增监测指标、编辑、删除操作。设置支撑指标、牵头部门等查询筛选条件。、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监测指标：要求能够查看支撑指标名称、监测指标、需求频次、责任部门，能够进行编辑、删除操作。设置支撑指标、责任部门等查询筛选条件。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分市区基础数据：要求能够查看统计名称、年度、数据来源，点击后可查看年度季度泰州市、各市（区）核算基础资料。设置统计名称、数据来源等查询筛选条件。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（2）材料报送：要求能够查看各项报送任务的任务名称、任务简介、需求频次、牵头部门，能够进行新增报送任务、编辑、删除操作。设置任务名称、牵头部门等查询筛选条件。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部门填报总览：要求能够查看相关填报情况，包括任务名称、周期、类型、季度、月度、周次、责任部门、是否已填报，能够进行填报操作。设置支撑指标、监测指标、是否填报、责任部门、年度、月度、周次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部门数据填报：要求分责任部门展示填报情况，包括工信局、住建局、交通局、统计局、税务局、商务局，展示任务名称、周期、类型、季度、月度、周次、责任部门、是否已填报，能够进行填报操作。设置支撑指标、监测指标、是否填报、责任部门、年度、月度、周次等查询筛选条件。</w:t>
      </w:r>
      <w:r/>
    </w:p>
    <w:p>
      <w:pPr>
        <w:ind w:left="1296" w:right="0" w:hanging="1296"/>
        <w:jc w:val="both"/>
        <w:spacing w:before="120" w:after="12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产业链群主要指标完成情况：要求一级页面展示8+13+X产业链详细分类，点击可显示产业集群和具体产业链相关信息，包含企业数、产值及同比情况、营收及同比情况、利润及同比情况，并且能够看到产业链上下游企业数、产值、营收、利润。设置年份、季度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规上数字经济核心企业：要求能够查看规上数字经济核心企业营收总览，包括工业、建筑业、批零住餐业、服务业营收数据。使用饼状图对各行业占比进行可视化分析，并展示同比升降情况。能够查看数字经济营收占比、完成率、开票等考核指标计算方式，并滚动播报数字经济处分析内容。能够查看样本企业总览，包括工业、建筑业、批零住餐业、服务业企业数，使用柱状图进行可视化分析。设置所属年份、所属季度、查看类别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电子信息产业链：要求能够查看各市（区）电子信息产业链预计营收和实际营收，用绿色标记达标市（区），红色标记未达标市（区），并使用柱状图、饼状图等工具进行可视化分析，展示各市（区）达产率、营收收入总额及各市（区）营收占比。设置所属年份、所属季度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（4）涉企检查：要求能够分部门、企业查看年度监管排名top10，展示排名、部门名称、企业名称、检查和被查次数，设置所属年份等查询筛选条件。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（5）数据泰州：要求提供地区生产总值、工业、投资、房地产、交通运输、贸易、对外经济、金融八项功能服务。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地区生产总值：要求展示地区生产总值、第一产业增加值、第二产业增机制、第三产业增加值年度季度累计绝对额及累计增幅，并使用柱状图、折线图等工具进行可视化分析。</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工业：要求展示规模以上工业增加值、规模以上工业营业收入、规模以上工业利润总额、工业纳税人开票销售、工业用电量年度季度累计绝对额及累计增幅，并使用柱状图、折线图等工具进行可视化分析。</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投资：要求展示固定资产投资、工业投资、服务业投资年度季度累计绝对额及累计增幅，并使用柱状图、折线图等工具进行可视化分析。</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房地产：要求展示房地产投资、商品房施工面积、商品房新开工面积、商品房竣工面积、商品房销售面积、商品房销售额、商品房待售面积年度季度累计绝对额及累计增幅，并使用柱状图、折线图等工具进行可视化分析。</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交通运输：展示公路货运量、水路货运量、港口货物吞吐量年度季度累计绝对额及累计增幅，并使用柱状图、折线图等工具进行可视化分析。</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贸易：要求展示社会消费品零售总额、限额以上社会消费品零售额、限额以上批零住餐业营收额年度季度累计绝对额及累计增幅，并使用柱状图、折线图等工具进行可视化分析。</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对外经济：要求展示进出口总额、进口总额、出口总额、实际到账注册外资年度季度累计绝对额及累计增幅，并使用柱状图、折线图等工具进行可视化分析。</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金融：要求展示金融机构人民币存款余额、金融机构居民（住户）储蓄存款余额、金融机构人民币贷款余额、保费收入、赔付及给付年度季度累计绝对额及累计增幅，并使用柱状图、折线图等工具进行可视化分析。</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（6）GDP指标采集：对1.3.1中的支撑指标和监测指标功能服务进行移动端移植。</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（7）GDP看板：要求能够查看GDP相关看板。</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点行业全口径开票情况：要求能够查看全市、各市（区）全部工业企业实施开票情况，包括当月总量及同比增速、累计总量及同比增速；全市、各市（区）建筑业开票，包括当月总量及同比增速、累计总量及同比增速；全市、各市（区）服务业开票，包括当月总量及同比增速、累计总量及同比增速；全市、各市（区）房地产业开票，包括当月总量及同比增速、累计总量及同比增速；全市、各市（区）批发业开票，包括当月总量及同比增速、累计总量及同比增速；全市、各市（区）零售业开票，包括当月总量及同比增速、累计总量及同比增速。</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能够查看制造业重点行业开票，包括医药制造业、农副食品加工业、食品制造业、化学原料和化学制品制造业、金属制品业、汽车制造业、橡胶和塑料制品业、通用设备制造业、船舶及相关装置制造业、电气机械和器材制造业、光伏设备及元器件制造业，计算机通信和其他电子设备制造业、锂电子电池制造业当月总量及同比增速、累计总量及同比增速。</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能够查看服务业重点行业开票，包括批发和零售业、批发业、零售业、住宿和餐饮业、住宿业、餐饮业、金融业、房地产业、交通运输仓储和邮政业、装卸搬运和仓储业、水利环境和公共设施管理业、文化体育和娱乐业、居民服务修理和其他服务业、租赁和商务服务业、信息传输软件和信息技术服务业、互联网和相关服务业、科学研究和技术服务业当月总量及同比增速、累计总量及同比增速。</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设置所属年度、所属月份、查看类别等查询筛选条件。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规上工业企业实施开票情况：要求能够查看全市、各市（区）规上工业企业实施开票情况，包括当月总量及同比增速、累计总量及同比增速。设置所属年份、所属月份查询筛选条件。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限额以上批零住餐业企业开票情况：要求能够查看限额以上批零住餐业企业开票情况，包括合计、限额以上批发业、限额以上零售业、限额以上住宿业、限额以上餐饮业当月总量及同比增速、累计总量及同比增速。设置所属年份、所属月份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参与核算的规上服务业企业开票情况：要求能够查看全市、各市（区）参与核算的规上服务业企业开票当月总量及同比增速、累计总量及同比增速；能够按行业查看参与核算的规上服务业企业开票当月总量及同比增速、累计总量及同比增速，包括其他运输业、互联网和信息技术服务业、其他房地产业、租赁和商务服务业、科研和技术服务业、水利环境和公共设施管理业、居民服务业、文化娱乐业。设置所属年份、所属月份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重点监测行业用电量情况表：要求能够查看工业、建筑业、服务业合计和详细用电量情况，包括当月总量及同比增速、累计总量及同比增速。设置所属年份、所属月份查询筛选条件。</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其他高频监测指标数据情况表：要求能够查看居民消费、房地产市场交易（网签数）、交通物流、外贸出口、市场主体相关数据情况，包括当月总量和同比增速。设置所属年份、所属月份查询筛选条件。</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13.3.1.5.</w:t>
      </w:r>
      <w:r>
        <w:rPr>
          <w:rFonts w:ascii="FangSong" w:hAnsi="FangSong" w:eastAsia="FangSong" w:cs="FangSong"/>
          <w:color w:val="000000"/>
          <w:sz w:val="28"/>
        </w:rPr>
        <w:t xml:space="preserve">诉求反馈服务</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端需求：要求提供企业诉求闭环管理功能服务，实现整合12345政务服务热线、“一企来办·泰企通”、政企座谈会等多渠道诉求，依托“泰政通”进行内部派单流转，根据企业统一信用代码判断是否为四上企业，如是四上企业则自动分派，如不是四上企业则由专人进行派单，由产业链责任部门限时办理，市领导同步督办推进。</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PC端需求：提供平台问题反馈全流程管理功能，用户提交问题描述、附件图片，系统自动分派至对应责任部门处理。能够查看每一条问题的反馈人、联系方式、所属单位、反馈时间、问题描述、问题图片、问题类型、处理状态状态，实现平台问题闭环管理。设置反馈人、联系方式、反馈时间、问题分类、责任部门、处理状态等查询筛选条件。</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13.3.1.6.PC</w:t>
      </w:r>
      <w:r>
        <w:rPr>
          <w:rFonts w:ascii="FangSong" w:hAnsi="FangSong" w:eastAsia="FangSong" w:cs="FangSong"/>
          <w:color w:val="000000"/>
          <w:sz w:val="28"/>
        </w:rPr>
        <w:t xml:space="preserve">端后台管理其他需求</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（1）接入工信智能体功能服务。</w:t>
      </w:r>
      <w:r/>
    </w:p>
    <w:p>
      <w:pPr>
        <w:ind w:left="0" w:right="0" w:firstLine="560"/>
        <w:spacing w:before="0" w:after="0" w:line="559" w:lineRule="atLeast"/>
        <w:tabs>
          <w:tab w:val="left" w:pos="5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（2）提供系统日志功能服务，能够查看登录用户姓名、日志名称、请求方法、耗时、开始时间、结束时间，能够进行下载日志操作。设置用户名称日志名称是否成功开始时间结束时间等查询筛选条件。</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13.3.2.产业大脑数据常态化更新服务</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（1）数据导入与建表服务</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要求依据《两库数据更新需求》清单，提供标准化Excel模板，能够批量导入并自动生成数据库表结构。数据导入后自动执行字段映射、索引建立与表间关联配置，确保数据结构统一、字段口径规范。</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能够实现数据更新全过程的日志化与版本化管理。能够自动记录每次数据导入人、操作时间、更新表名称、记录数及异常条目，生成带版本号的操作日志。用户能够按时间、责任人、表名等条件查询历史版本，并支持回滚与对比。要求日志内容同时纳入审计系统备份，确保数据生命周期的透明管理与合规留痕。</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（2）周期性更新维护服务</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两库数据的定期维护与持续更新服务。能够按月度、季度或专项需求进行Excel批量导入更新，并记录每次导入批次的来源、时间、字段范围及更新量。导入数据通过自动校验后进入正式库，未通过部分进入暂存区等待人工复核。更新完成后，系统自动生成更新日志与版本号，能够比对前后变更字段及数据差异，实现从“人工导入”到“自动校验”的半自动化维护机制。</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（3）模型重算与任务编排服务</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功能用于实现数据更新后的业务模型自动重算与指标再生成。系统在检测到数据导入或字段更新后，将自动触发相关评估模型的重算任务，包括创新型中小企业评估模型、专精特新企业评估模型、专精特新小巨人企业评估模型、制造业单项冠军企业评估模型等。重算过程自动调用最新企业数据与历史参数，重新生成指标结果、得分分布及分级等级，并在任务完成后自动归档结果与日志。通过该功能，可实现模型计算的全程自动化与高频迭代，确保产业分析与企业评价结果的实时性和准确性。</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（4）质量校验与稽核</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能够保障两库数据在导入、更新及计算过程中的质量可控与稽核可追溯。能够通过内置完整性、一致性、唯一性、逻辑性四类校验规则，对导入数据进行多维度检测，并自动生成错误报告。能够进行字段范围比对、历史版本差异检测及口径一致性审查，可将异常数据自动推送至待办中心供复核。提供稽核报告导出与审计记录追踪功能服务，确保数据源头有据可查、修改有痕可追。</w:t>
      </w:r>
      <w:r/>
    </w:p>
    <w:p>
      <w:pPr>
        <w:ind w:left="0" w:right="0" w:firstLine="560"/>
        <w:spacing w:before="0" w:after="0" w:line="55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（5）系统对接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产业大脑两库数据与一企来办、企业全生命周期管理平台实现互连互通。</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13.4.服务预算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91"/>
        <w:gridCol w:w="1791"/>
        <w:gridCol w:w="1791"/>
        <w:gridCol w:w="1791"/>
        <w:gridCol w:w="1791"/>
      </w:tblGrid>
      <w:tr>
        <w:trPr>
          <w:trHeight w:val="11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名称及类别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费用构成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金额（万元）</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项目管理模块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PC </w:t>
            </w:r>
            <w:r>
              <w:rPr>
                <w:rFonts w:ascii="FangSong" w:hAnsi="FangSong" w:eastAsia="FangSong" w:cs="FangSong"/>
                <w:color w:val="000000"/>
                <w:sz w:val="24"/>
              </w:rPr>
              <w:t xml:space="preserve">端看板（包含前期招商、备案审批、投资进度、投产达效、四库五率、四上企业统计等）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80</w:t>
            </w:r>
            <w:r/>
          </w:p>
        </w:tc>
      </w:tr>
      <w:tr>
        <w:trPr>
          <w:trHeight w:val="121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PC </w:t>
            </w:r>
            <w:r>
              <w:rPr>
                <w:rFonts w:ascii="FangSong" w:hAnsi="FangSong" w:eastAsia="FangSong" w:cs="FangSong"/>
                <w:color w:val="000000"/>
                <w:sz w:val="24"/>
              </w:rPr>
              <w:t xml:space="preserve">端后台（包含项目看板、项目管理、质态评估、签约核定、开工认定、我的项目、非招商项目、在线审批、工程建设、重点项目、三个大抓、报表中心功能等）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vMerge w:val="continue"/>
            <w:textDirection w:val="lrTb"/>
            <w:noWrap w:val="false"/>
          </w:tcPr>
          <w:p>
            <w:r/>
            <w:r/>
          </w:p>
        </w:tc>
      </w:tr>
      <w:tr>
        <w:trPr>
          <w:trHeight w:val="42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移动端（包含前期招商、中期推进、后期服务等）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vMerge w:val="continue"/>
            <w:textDirection w:val="lrTb"/>
            <w:noWrap w:val="false"/>
          </w:tcPr>
          <w:p>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企业服务模块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PC </w:t>
            </w:r>
            <w:r>
              <w:rPr>
                <w:rFonts w:ascii="FangSong" w:hAnsi="FangSong" w:eastAsia="FangSong" w:cs="FangSong"/>
                <w:color w:val="000000"/>
                <w:sz w:val="24"/>
              </w:rPr>
              <w:t xml:space="preserve">端后台（包含标签管理、企业查询、企查查等）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210</w:t>
            </w:r>
            <w:r/>
          </w:p>
        </w:tc>
      </w:tr>
      <w:tr>
        <w:trPr>
          <w:trHeight w:val="42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移动端（包含一企一档、企查查等）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vMerge w:val="continue"/>
            <w:textDirection w:val="lrTb"/>
            <w:noWrap w:val="false"/>
          </w:tcPr>
          <w:p>
            <w:r/>
            <w:r/>
          </w:p>
        </w:tc>
      </w:tr>
      <w:tr>
        <w:trPr>
          <w:trHeight w:val="42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一企来办</w:t>
            </w:r>
            <w:r>
              <w:rPr>
                <w:rFonts w:ascii="Times New Roman" w:hAnsi="Times New Roman" w:eastAsia="Times New Roman" w:cs="Times New Roman"/>
                <w:color w:val="000000"/>
                <w:sz w:val="24"/>
              </w:rPr>
              <w:t xml:space="preserve"> PC </w:t>
            </w:r>
            <w:r>
              <w:rPr>
                <w:rFonts w:ascii="FangSong" w:hAnsi="FangSong" w:eastAsia="FangSong" w:cs="FangSong"/>
                <w:color w:val="000000"/>
                <w:sz w:val="24"/>
              </w:rPr>
              <w:t xml:space="preserve">端（包含工信局、科技局、数据局个性化需求等）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w:t>
            </w:r>
            <w:r/>
          </w:p>
        </w:tc>
        <w:tc>
          <w:tcPr>
            <w:vMerge w:val="continue"/>
            <w:textDirection w:val="lrTb"/>
            <w:noWrap w:val="false"/>
          </w:tcPr>
          <w:p>
            <w:r/>
            <w:r/>
          </w:p>
        </w:tc>
      </w:tr>
      <w:tr>
        <w:trPr>
          <w:trHeight w:val="42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一企来办移动端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vMerge w:val="continue"/>
            <w:textDirection w:val="lrTb"/>
            <w:noWrap w:val="false"/>
          </w:tcPr>
          <w:p>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辅助决策模块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PC </w:t>
            </w:r>
            <w:r>
              <w:rPr>
                <w:rFonts w:ascii="FangSong" w:hAnsi="FangSong" w:eastAsia="FangSong" w:cs="FangSong"/>
                <w:color w:val="000000"/>
                <w:sz w:val="24"/>
              </w:rPr>
              <w:t xml:space="preserve">端（包含 </w:t>
            </w:r>
            <w:r>
              <w:rPr>
                <w:rFonts w:ascii="Times New Roman" w:hAnsi="Times New Roman" w:eastAsia="Times New Roman" w:cs="Times New Roman"/>
                <w:color w:val="000000"/>
                <w:sz w:val="24"/>
              </w:rPr>
              <w:t xml:space="preserve">GDP </w:t>
            </w:r>
            <w:r>
              <w:rPr>
                <w:rFonts w:ascii="FangSong" w:hAnsi="FangSong" w:eastAsia="FangSong" w:cs="FangSong"/>
                <w:color w:val="000000"/>
                <w:sz w:val="24"/>
              </w:rPr>
              <w:t xml:space="preserve">监测、材料报送、部门数据填报、部门填报总览等）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r>
      <w:tr>
        <w:trPr>
          <w:trHeight w:val="82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移动端（包含产业链群主要指标完成情况、规上数字经济核心企业、电子信息产业链、涉企检查、数据泰州、</w:t>
            </w:r>
            <w:r>
              <w:rPr>
                <w:rFonts w:ascii="Times New Roman" w:hAnsi="Times New Roman" w:eastAsia="Times New Roman" w:cs="Times New Roman"/>
                <w:color w:val="000000"/>
                <w:sz w:val="24"/>
              </w:rPr>
              <w:t xml:space="preserve">GDP </w:t>
            </w:r>
            <w:r>
              <w:rPr>
                <w:rFonts w:ascii="FangSong" w:hAnsi="FangSong" w:eastAsia="FangSong" w:cs="FangSong"/>
                <w:color w:val="000000"/>
                <w:sz w:val="24"/>
              </w:rPr>
              <w:t xml:space="preserve">指标采集、</w:t>
            </w:r>
            <w:r>
              <w:rPr>
                <w:rFonts w:ascii="Times New Roman" w:hAnsi="Times New Roman" w:eastAsia="Times New Roman" w:cs="Times New Roman"/>
                <w:color w:val="000000"/>
                <w:sz w:val="24"/>
              </w:rPr>
              <w:t xml:space="preserve">GDP </w:t>
            </w:r>
            <w:r>
              <w:rPr>
                <w:rFonts w:ascii="FangSong" w:hAnsi="FangSong" w:eastAsia="FangSong" w:cs="FangSong"/>
                <w:color w:val="000000"/>
                <w:sz w:val="24"/>
              </w:rPr>
              <w:t xml:space="preserve">看板等）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vMerge w:val="continue"/>
            <w:textDirection w:val="lrTb"/>
            <w:noWrap w:val="false"/>
          </w:tcPr>
          <w:p>
            <w:r/>
            <w:r/>
          </w:p>
        </w:tc>
      </w:tr>
      <w:tr>
        <w:trPr>
          <w:trHeight w:val="8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诉求反馈模块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PC</w:t>
            </w:r>
            <w:r>
              <w:rPr>
                <w:rFonts w:ascii="FangSong" w:hAnsi="FangSong" w:eastAsia="FangSong" w:cs="FangSong"/>
                <w:color w:val="000000"/>
                <w:sz w:val="24"/>
              </w:rPr>
              <w:t xml:space="preserve">端（包含平台问题反馈全流程管理功能、分级自动派单、平台问题反馈闭环管理、支持多条件筛选查询等）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r>
      <w:tr>
        <w:trPr>
          <w:trHeight w:val="82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移动端（包含多渠道诉求整合，内部派单、责任部门限时办理、市领导同步督办推进等）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vMerge w:val="continue"/>
            <w:textDirection w:val="lrTb"/>
            <w:noWrap w:val="false"/>
          </w:tcPr>
          <w:p>
            <w:r/>
            <w:r/>
          </w:p>
        </w:tc>
      </w:tr>
      <w:tr>
        <w:trPr>
          <w:trHeight w:val="2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产业大脑运营及升级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包含数据导入与建表服务、周期性更新维护服务、模型重算与任务编排服务、质量校验与稽核、系统对接等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400</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13.5.升级成效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本项目针对当前政务端平台碎片化、数据标准不统一、流程断档，企业端服务分散、重复填报、效率低下等痛点，实现三方面核心升级：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（一）政府治理端：从分散协同到一体化管控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平台与数据深度整合：整合 7 个部门 14 个分散业务平台，统一数据标准，打通数据孤岛，解决平台碎片化、功能单一、数据不实时等问题，实现涉企、项目数据的集中治理与共享。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项目全流程闭环管理：以 “一项目一代码” 贯穿招商、备案、建设、投产全周期，消除项目全流程断档与体外循环问题，实现进度实时监控、风险自动预警，强化项目全生命周期管控抓手。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决策与监管能力升级：构建 GDP、产业链、经济运行、涉企检查等多维度监测体系，为经济运行分析、产业梯度培育、科学决策提供数据支撑；同时支撑 “三个大抓” 成效考核，补齐监管与考核短板。</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诉求办理效能提升：建立企业诉求统一归集、精准派单、限时办理、领导督办的闭环机制，推动 “办成一件事、解决一类事”，提升政企响应与服务效率。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（二）企业服务端：从碎片化办事到一站式体验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服务入口全面统一：移动端整合三大平台业务与数据，打造统一服务入口，解决企业跨平台切换、功能分散问题，实现 “一站式” 企业服务体验。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办事效率显著提升：PC 端实现在线申报、表单智能填充、发票自动解析、智能查重核验，解决线下流转、流程冗长、重复填报、人工依赖度高等问题，压缩办事周期，提升审批效率。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政策服务精准直达：汇聚全市政策资源，支持政策智能推荐、免申即享，配套数字化专家评审体系，推动惠企政策直达快享，降低企业办事成本。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（三）产业发展端：从静态评价到动态赋能</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升级工企评价系统，通过数据常态化更新与模型自动重算，形成完整闭环，实现企业从建档、自评、评分到动态监测的全流程数字化管理，基于评价结果自动匹配政策与培育服务，为产业精准分析、梯度培育提供高质量数据支撑。</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14.市网络和公共数据安全服务（2026）项目</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第一部分：泰州市网络和公共数据安全服务</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旨在为泰州市政务云与政务外网构建全面的网络和数据安全监测体系，涵盖终端零信任接入管控、终端违规外联监测、威胁情报监测、网络资产测绘、全市电子政务外网网络攻击威胁检测、数据安全系统统一管控、静态脱敏等关键环节，并配套建立安全预警通告与应急处置机制。通过这一系列举措，将实现“全天候、全方位”的安全态势感知，优化运维安全管理流程，提升应急响应处置效率，全面满足主管部门的网络安全监测监管要求，显著提升泰州市电子政务外网的安全事件的响应保障能力，为泰州市及其周边地区的经济稳健发展与城市综合竞争力的增强提供坚实的</w:t>
      </w:r>
      <w:r>
        <w:rPr>
          <w:rFonts w:ascii="FangSong" w:hAnsi="FangSong" w:eastAsia="FangSong" w:cs="FangSong"/>
          <w:color w:val="000000"/>
          <w:sz w:val="28"/>
        </w:rPr>
        <w:t xml:space="preserve">网络及数据安全保障。</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14.2.需求分析</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）确保政务信息系统的安全稳定运行需求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障政务信息系统的安全稳定运行，有效抵御黑客入侵、预防内部信息泄露，并阻止不良信息侵入内网等安全事件。通过构建完善的安全监测体系，实现对政务信息系统、政务终端进行全面实时监控、及时预警与高效应急响应，从而确保系统、终端持续稳定地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）满足网络安全法律法规政策要求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严格遵循国家制定的信息安全政策和标准，包括但不限于《中华人民共和国网络安全法》《中华人民共和国数据安全法》以及等级保护制度等。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）强化政府公信力需求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政务信息系统的安全性和稳定性是塑造政府公信力与良好形象的关键因素。本次项目旨在通过提升泰州市电子政务外网的信息安全保障能力，进一步巩固公众对政府的信任与支持。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）助力政务数字化转型需求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鉴于政务数字化转型的日益深入，政务信息系统在政府运作中的核心地位愈发凸显。本次建设将为政务数字化转型筑起坚实的安全防线，推动政府工作向数字化、智能化及高效化方向迈进。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）满足新一代政务外网安全需求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今年，省大数据管理中心发布了《新一代电子政务外网建设指南》，明确了“</w:t>
      </w:r>
      <w:r>
        <w:rPr>
          <w:rFonts w:ascii="Times New Roman" w:hAnsi="Times New Roman" w:eastAsia="Times New Roman" w:cs="Times New Roman"/>
          <w:color w:val="000000"/>
          <w:sz w:val="28"/>
        </w:rPr>
        <w:t xml:space="preserve">2+N</w:t>
      </w:r>
      <w:r>
        <w:rPr>
          <w:rFonts w:ascii="FangSong" w:hAnsi="FangSong" w:eastAsia="FangSong" w:cs="FangSong"/>
          <w:color w:val="000000"/>
          <w:sz w:val="28"/>
        </w:rPr>
        <w:t xml:space="preserve">”安全监测资源池的需求，即两套平台（统一安全管理平台、统一安全监测平台）和</w:t>
      </w:r>
      <w:r>
        <w:rPr>
          <w:rFonts w:ascii="Times New Roman" w:hAnsi="Times New Roman" w:eastAsia="Times New Roman" w:cs="Times New Roman"/>
          <w:color w:val="000000"/>
          <w:sz w:val="28"/>
        </w:rPr>
        <w:t xml:space="preserve">N</w:t>
      </w:r>
      <w:r>
        <w:rPr>
          <w:rFonts w:ascii="FangSong" w:hAnsi="FangSong" w:eastAsia="FangSong" w:cs="FangSong"/>
          <w:color w:val="000000"/>
          <w:sz w:val="28"/>
        </w:rPr>
        <w:t xml:space="preserve">个安全监测能力（威胁情报监测、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监测、安全沙箱监测、威胁流量监测、资产监测等）。</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）实时监测与预警能力需求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具备高效的实时监测与预警机制，能够敏锐捕捉并精确定位网络攻击行为，即时生成详尽的报警信息。通过构建全方位的安全监测体系，实现对政务信息系统的无缝监控与预警，确保潜在安全威胁能够被及时发现并有效处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）应急响应与恢复能力需求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应建立完善的应急响应与恢复机制，确保在发生安全事件时，能够迅速锁定事故源头，并采取有效措施迅速、妥善地解决问题，以最大限度地减少损失。</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）持续的数据安全运营保障需求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是持续过程，而非一次性投入。目前泰州市数据局虽部署了相关数据安全能力，满足了一定场景的安全需求，但缺乏全局数据安全运营能力，缺乏专业人员进行整体管理，依赖网络运维人员兼职管理安全设备，数据安全风险研判和应急处置滞后，安全能力无法最大化发挥。数据安全建设完成后的运营阶段，需专业团队和先进技术手段提供风险研判、运维及应急服务，为业务连续性和数字化转型提供持续保障。</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14.3.技术方案</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14.3.1.主要功能设计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网络安全基础设施服务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安全运营管理平台服务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套安全运营管理平台提供安全运营管理服务，以满足新一代电子政务外网改造要求。并对接省安全管理平台实现工单对接、事件上报等要求。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可视化图表管理：提供强大的数据分析功能，可快速以多维度展现数据的价值，自主式地对数据进行分析，提高工作效率，支持自定义仪表盘配置，可根据需要添加不同的监控组件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日常运营工作台：为安全人员提供日常运营工作的主要工作入口，基于可视化技术直观呈现日常运营工作中需要关注的安全状态。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管理：可通过对接已有资产系统、导入资产清单等方式获取现网全量资产信息。安全运营人员可基于本平台开展一系列资产管理相关工作，从而实现对资产风险的细粒度把控，可开展的资产管理能力包括对全量资产从业务系统、物理位置、安全域等维度进行自主分组管理、对全量资产自主修改资产信息、对全量资产自主添加标签、配置资产拓扑、高危端口自定义批量添加等。同时，帮助运营人员快速掌握现网资产动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信息支持从对接的资产系统获取资产与安全相关字段信息，支持对未纳管资产进行确认、忽略等管理操作，支持对已入库资产执行退库操作，支持导入外部资产列表，导入资产信息，支持添加资产自定义标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系统支持针对单条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多条待处置漏洞发起工单，流转至相关责任人进行处置，并支持通过安全工作功能及时跟踪漏洞处置工作执行进展。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设备管理：可以对安全设备信息集中管理、存活状态集中监测，避免使用时频繁跨系统查询或操作。提供主动和两种方式添加安全设备信息至安全设备管理功能，支持对安全设备进行周期性探活，通过心跳连接、校验是否有日志输入等方式判断安全设备存活状态。通过安全设备集中统一管理解决设备查看繁琐、状态判断逻辑不一致问题，极大地增强了运营的便利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保管理：用于支撑客户在重大活动保障期间，快速基于本脑构建重大保障项目任务计划、人员组织、值班安排等，在重大任务保障期间分配工作任务，配合重保演练工作台，形成统一的指挥调度、值守保障支撑。聚焦于重保项目创建及任务派发，重保值守相关工作支撑主要在重保演练专项工作台完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在安全事件、安全告警、资产漏洞等功能模块下研判威胁及风险时即时发起工单，并提供在线编辑方式支撑工单发起人在线编辑工单内容，便于工单接收者更快捷地完成处置工作。工单创建完成后支持以系统消息通知或邮件通知的方式知会到工单接收者，工单接收者在完成工单后也可添加处置说明以及处置证明附件材料，完成单次工单流转工作的闭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工单记录支持分权查看，各人员角色仅支持查看与自己相关的工单记录，例如工单发起人只支持查看自己发起的工单，工作接收者则只支持查看自己完成处置的工单，以便最大限度地保障信息安全。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协同处置：通过数据接口和标准化协议，实现与省安全管理平台的数据实时交互与共享。将市安全运营管理平台中的安全事件、告警信息、资产漏洞等数据及时同步至省安全管理平台，同时获取省平台下发的相关安全策略、威胁情报等信息。在遇到重大安全事件时，能够迅速与省安全管理平台建立沟通机制，共同分析事件的性质、影响范围和潜在威胁。依据省平台的专业指导，制定针对性的处置方案，协调各方资源进行高效的安全事件处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《安全运营管理平台月度分析报告》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网络安全监测平台服务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套网络安全监测平台提供统一安全监测服务，以满足新一代电子政务外网改造要求，对市电子政务外网广域网和移动电信城域网中各类安全监测设备的流量进行汇总分析，包括但不限于威胁检测探针、资产测绘平台、威胁情报联防平台、网络安全沙箱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具体性能要求如下：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包含日最大</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亿日志量接入性能的授权。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安全告警融合：支持接入第三方设备，需要具备对多源安全设备告警的融合处理能力。能够看到全网安全设备的告警，并能进行统一的安全处置响应和研判，确保重点高价值安全告警不会被遗漏。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安全告警威胁定性：了解安全威胁的类型、来源、影响等信息，以及安全威胁的特征和行为模式，以提高安全防御的准确性和效率。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安全告警的威胁定型将安全事件分类分别为：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定向攻击：定向的渗透行为、隐蔽的攻击行为，常见于部分活跃的勒索团伙、数据窃取、</w:t>
      </w:r>
      <w:r>
        <w:rPr>
          <w:rFonts w:ascii="Times New Roman" w:hAnsi="Times New Roman" w:eastAsia="Times New Roman" w:cs="Times New Roman"/>
          <w:color w:val="000000"/>
          <w:sz w:val="28"/>
        </w:rPr>
        <w:t xml:space="preserve">APT</w:t>
      </w:r>
      <w:r>
        <w:rPr>
          <w:rFonts w:ascii="FangSong" w:hAnsi="FangSong" w:eastAsia="FangSong" w:cs="FangSong"/>
          <w:color w:val="000000"/>
          <w:sz w:val="28"/>
        </w:rPr>
        <w:t xml:space="preserve">组织活动；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病毒：常见的病毒、木马、蠕虫行为，例如：挖矿、僵尸网络、流氓软件、感染型病毒；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扫描器攻击：由工具类扫描器引发的告警，通常为攻击者的预先信息收集、漏洞验证行为，为后续攻击做准备；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脆弱性风险：由业务风险引发的告警，包含弱密码、未授权访问、未修复的漏洞等风险；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其他威胁：包含无法直接定性的威胁、历史遗留告警、未配置告警定性字段的自定义规则所产生的告警。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SOAR</w:t>
      </w:r>
      <w:r>
        <w:rPr>
          <w:rFonts w:ascii="FangSong" w:hAnsi="FangSong" w:eastAsia="FangSong" w:cs="FangSong"/>
          <w:color w:val="000000"/>
          <w:sz w:val="28"/>
        </w:rPr>
        <w:t xml:space="preserve">：提供可视化的流程编排工具，可通过剧本的方式编排响应处置流程，一旦发现安全问题就立即启动预定义的剧本，快速将安全事件进行闭环，实现了根据不同类型的风险自动化执行不同的处置流程。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关联分析：通过接入第三方安全设备（如威胁检测探针、资产测绘平台、威胁情报联防平台、网络安全沙箱等）等日志数据，进行数据标准化和关联分析。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《网络安全监测平台部署方案》《网络安全监测平台部署报告》《网络安全监测平台月度分析报告》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未知威胁检测探针服务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未知威胁检测探针提供威胁检测服务，以满足泰州市级政务云（含互联网区、政务网区）和新一代政务外网、县（市、区）政务纵向网实际需求，对政务云和政务外网实时流量数据进行安全分析，并将分析后的数据上传至网络安全监测平台，作为流量数据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具体规格要求如下：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标准机架式设备，配备交流双电源，万兆光口≥</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个，支持</w:t>
      </w:r>
      <w:r>
        <w:rPr>
          <w:rFonts w:ascii="Times New Roman" w:hAnsi="Times New Roman" w:eastAsia="Times New Roman" w:cs="Times New Roman"/>
          <w:color w:val="000000"/>
          <w:sz w:val="28"/>
        </w:rPr>
        <w:t xml:space="preserve">5G</w:t>
      </w:r>
      <w:r>
        <w:rPr>
          <w:rFonts w:ascii="FangSong" w:hAnsi="FangSong" w:eastAsia="FangSong" w:cs="FangSong"/>
          <w:color w:val="000000"/>
          <w:sz w:val="28"/>
        </w:rPr>
        <w:t xml:space="preserve">实网流量，支持多种方式进行流量采集，包含旁路镜像采集，离线采集，云环境</w:t>
      </w:r>
      <w:r>
        <w:rPr>
          <w:rFonts w:ascii="Times New Roman" w:hAnsi="Times New Roman" w:eastAsia="Times New Roman" w:cs="Times New Roman"/>
          <w:color w:val="000000"/>
          <w:sz w:val="28"/>
        </w:rPr>
        <w:t xml:space="preserve">agent</w:t>
      </w:r>
      <w:r>
        <w:rPr>
          <w:rFonts w:ascii="FangSong" w:hAnsi="FangSong" w:eastAsia="FangSong" w:cs="FangSong"/>
          <w:color w:val="000000"/>
          <w:sz w:val="28"/>
        </w:rPr>
        <w:t xml:space="preserve">流量采集等方式。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流量检测能力覆盖加密流量检测、算法模型检测、</w:t>
      </w:r>
      <w:r>
        <w:rPr>
          <w:rFonts w:ascii="Times New Roman" w:hAnsi="Times New Roman" w:eastAsia="Times New Roman" w:cs="Times New Roman"/>
          <w:color w:val="000000"/>
          <w:sz w:val="28"/>
        </w:rPr>
        <w:t xml:space="preserve">APT</w:t>
      </w:r>
      <w:r>
        <w:rPr>
          <w:rFonts w:ascii="FangSong" w:hAnsi="FangSong" w:eastAsia="FangSong" w:cs="FangSong"/>
          <w:color w:val="000000"/>
          <w:sz w:val="28"/>
        </w:rPr>
        <w:t xml:space="preserve">攻击链检测，具备通过多样化的检测手段，覆盖弱点探测、渗透入侵、获取权限、命令与控制、数据盗取等攻击阶段，在</w:t>
      </w:r>
      <w:r>
        <w:rPr>
          <w:rFonts w:ascii="Times New Roman" w:hAnsi="Times New Roman" w:eastAsia="Times New Roman" w:cs="Times New Roman"/>
          <w:color w:val="000000"/>
          <w:sz w:val="28"/>
        </w:rPr>
        <w:t xml:space="preserve">APT</w:t>
      </w:r>
      <w:r>
        <w:rPr>
          <w:rFonts w:ascii="FangSong" w:hAnsi="FangSong" w:eastAsia="FangSong" w:cs="FangSong"/>
          <w:color w:val="000000"/>
          <w:sz w:val="28"/>
        </w:rPr>
        <w:t xml:space="preserve">攻击的探测期、入侵期、潜伏期、退出期捕获入侵者痕迹，产生风险告警，并对异常行为进行日志和数据包记录。通过多元化数据分析技术，让主机威胁程度、攻击过程、攻击溯源可视化。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《未知威胁检测探针月度分析报告》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安全监测平台服务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台</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安全监测平台提供</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安全监测服务，以满足泰州市新一代政务外网改造需求，对泰州市纵向网和移动、电信城域网的政务系统的</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接口进行全面、实时的安全监测。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具体规格要求如下：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标准机架式设备，全内置封闭式结构，千兆电口≥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个、万兆光口≥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个，同时支持</w:t>
      </w:r>
      <w:r>
        <w:rPr>
          <w:rFonts w:ascii="Times New Roman" w:hAnsi="Times New Roman" w:eastAsia="Times New Roman" w:cs="Times New Roman"/>
          <w:color w:val="000000"/>
          <w:sz w:val="28"/>
        </w:rPr>
        <w:t xml:space="preserve">5G</w:t>
      </w:r>
      <w:r>
        <w:rPr>
          <w:rFonts w:ascii="FangSong" w:hAnsi="FangSong" w:eastAsia="FangSong" w:cs="FangSong"/>
          <w:color w:val="000000"/>
          <w:sz w:val="28"/>
        </w:rPr>
        <w:t xml:space="preserve">实网流量，</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并发连接数</w:t>
      </w:r>
      <w:r>
        <w:rPr>
          <w:rFonts w:ascii="Times New Roman" w:hAnsi="Times New Roman" w:eastAsia="Times New Roman" w:cs="Times New Roman"/>
          <w:color w:val="000000"/>
          <w:sz w:val="28"/>
        </w:rPr>
        <w:t xml:space="preserve">&gt;800</w:t>
      </w:r>
      <w:r>
        <w:rPr>
          <w:rFonts w:ascii="FangSong" w:hAnsi="FangSong" w:eastAsia="FangSong" w:cs="FangSong"/>
          <w:color w:val="000000"/>
          <w:sz w:val="28"/>
        </w:rPr>
        <w:t xml:space="preserve">万，</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新建连接数</w:t>
      </w:r>
      <w:r>
        <w:rPr>
          <w:rFonts w:ascii="Times New Roman" w:hAnsi="Times New Roman" w:eastAsia="Times New Roman" w:cs="Times New Roman"/>
          <w:color w:val="000000"/>
          <w:sz w:val="28"/>
        </w:rPr>
        <w:t xml:space="preserve">&gt;35000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TPS</w:t>
      </w:r>
      <w:r>
        <w:rPr>
          <w:rFonts w:ascii="FangSong" w:hAnsi="FangSong" w:eastAsia="FangSong" w:cs="FangSong"/>
          <w:color w:val="000000"/>
          <w:sz w:val="28"/>
        </w:rPr>
        <w:t xml:space="preserve">处理性能</w:t>
      </w:r>
      <w:r>
        <w:rPr>
          <w:rFonts w:ascii="Times New Roman" w:hAnsi="Times New Roman" w:eastAsia="Times New Roman" w:cs="Times New Roman"/>
          <w:color w:val="000000"/>
          <w:sz w:val="28"/>
        </w:rPr>
        <w:t xml:space="preserve">&gt;12000</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资产自动发现：通过对</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流量分析，自动发现政务网流量中的网站、端口、</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资产和敏感接口，支持自定义</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接口规则，快速、精准地进行</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接口自动识别、</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接口样式提取，并提供</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接口可视化展示，支持</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接口分组并指派责任人，实现数据分权管理。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安全攻击监测：对</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接口进行检测和监控，以发现和防范针对</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接口的安全攻击。系统从海量访问中快速发现和定位安全风险事件，覆盖</w:t>
      </w:r>
      <w:r>
        <w:rPr>
          <w:rFonts w:ascii="Times New Roman" w:hAnsi="Times New Roman" w:eastAsia="Times New Roman" w:cs="Times New Roman"/>
          <w:color w:val="000000"/>
          <w:sz w:val="28"/>
        </w:rPr>
        <w:t xml:space="preserve">OWASPAPISecurityTop10</w:t>
      </w: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异常行为检测和参数合规检测，快速应对诸如爬虫、撞库等各类</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业务安全威胁。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敏感数据监控：需内置敏感数据检测引擎，覆盖姓名、手机号、身份证、银行卡、密码等上百种敏感数据类型。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访问行为审计：对</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接口的访问行为进行监控和审计，包括对</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接口的请求、响应、参数和返回值等进行记录、分析和审查。建立</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访问基线，识别偏离基线和异常的访问行为，如：高频访问、内网应用访问互联网等。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应用缺陷识别：</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应用中存在的安全问题，如未鉴权、明文密码、脱敏策略不一致等。通过流量分析和检测，发现和识别</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应用中的缺陷问题，从而方便开发单位及时进行修复和优化。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安全监测平台部署方案》《</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安全监测平台部署报告》《</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安全监测平台月度分析报告》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网络资产测绘平台服务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台网络资产测绘平台提供资产测绘服务，以满足泰州市新一代政务外网改造需求，对纵向网和移动、电信城域网中的各类资产进行精准定位与详细信息采集。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具体规格要求如下：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标准机架式服务器，配备冗余电源，千兆电口≥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个，万兆光口≥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个，扫描</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数量≥</w:t>
      </w:r>
      <w:r>
        <w:rPr>
          <w:rFonts w:ascii="Times New Roman" w:hAnsi="Times New Roman" w:eastAsia="Times New Roman" w:cs="Times New Roman"/>
          <w:color w:val="000000"/>
          <w:sz w:val="28"/>
        </w:rPr>
        <w:t xml:space="preserve">2000</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存活探测：资产存活探测是网络空间资产探测系统的核心功能之一，资产存活探测功能支持</w:t>
      </w:r>
      <w:r>
        <w:rPr>
          <w:rFonts w:ascii="Times New Roman" w:hAnsi="Times New Roman" w:eastAsia="Times New Roman" w:cs="Times New Roman"/>
          <w:color w:val="000000"/>
          <w:sz w:val="28"/>
        </w:rPr>
        <w:t xml:space="preserve">IPv4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IPv6</w:t>
      </w:r>
      <w:r>
        <w:rPr>
          <w:rFonts w:ascii="FangSong" w:hAnsi="FangSong" w:eastAsia="FangSong" w:cs="FangSong"/>
          <w:color w:val="000000"/>
          <w:sz w:val="28"/>
        </w:rPr>
        <w:t xml:space="preserve">双栈探测，同时也支持域名探测。存活探测支持主机存活探测和端口存活探测两种模式，可通过</w:t>
      </w:r>
      <w:r>
        <w:rPr>
          <w:rFonts w:ascii="Times New Roman" w:hAnsi="Times New Roman" w:eastAsia="Times New Roman" w:cs="Times New Roman"/>
          <w:color w:val="000000"/>
          <w:sz w:val="28"/>
        </w:rPr>
        <w:t xml:space="preserve">ping</w:t>
      </w:r>
      <w:r>
        <w:rPr>
          <w:rFonts w:ascii="FangSong" w:hAnsi="FangSong" w:eastAsia="FangSong" w:cs="FangSong"/>
          <w:color w:val="000000"/>
          <w:sz w:val="28"/>
        </w:rPr>
        <w:t xml:space="preserve">模式对主机进行快速存活普查，端口存活探测针对不同场景可选择不同模式。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SYN</w:t>
      </w:r>
      <w:r>
        <w:rPr>
          <w:rFonts w:ascii="FangSong" w:hAnsi="FangSong" w:eastAsia="FangSong" w:cs="FangSong"/>
          <w:color w:val="000000"/>
          <w:sz w:val="28"/>
        </w:rPr>
        <w:t xml:space="preserve">扫描：探测速度快，占用带宽较小，适用于无防护、无代理情况的环境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全连接扫描：较</w:t>
      </w:r>
      <w:r>
        <w:rPr>
          <w:rFonts w:ascii="Times New Roman" w:hAnsi="Times New Roman" w:eastAsia="Times New Roman" w:cs="Times New Roman"/>
          <w:color w:val="000000"/>
          <w:sz w:val="28"/>
        </w:rPr>
        <w:t xml:space="preserve">SYN</w:t>
      </w:r>
      <w:r>
        <w:rPr>
          <w:rFonts w:ascii="FangSong" w:hAnsi="FangSong" w:eastAsia="FangSong" w:cs="FangSong"/>
          <w:color w:val="000000"/>
          <w:sz w:val="28"/>
        </w:rPr>
        <w:t xml:space="preserve">探测速度略慢，占用带宽较大，融合了抗干扰模式，将被防护的资产过滤掉，保留更有价值的资产。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纹探测：存活探测节点发现的存活资产及端口中，可能存在很多潜在的安全问题。在大规模安全问题发生时，由于缺乏资产的详细信息，无法精确定位发生安全事件的资产，严重影响了决策过程。具备对全球指定范围</w:t>
      </w:r>
      <w:r>
        <w:rPr>
          <w:rFonts w:ascii="Times New Roman" w:hAnsi="Times New Roman" w:eastAsia="Times New Roman" w:cs="Times New Roman"/>
          <w:color w:val="000000"/>
          <w:sz w:val="28"/>
        </w:rPr>
        <w:t xml:space="preserve">IPv4/IPv6</w:t>
      </w:r>
      <w:r>
        <w:rPr>
          <w:rFonts w:ascii="FangSong" w:hAnsi="FangSong" w:eastAsia="FangSong" w:cs="FangSong"/>
          <w:color w:val="000000"/>
          <w:sz w:val="28"/>
        </w:rPr>
        <w:t xml:space="preserve">地址节点的全方位属性识别能力，也具备对指定端口的</w:t>
      </w:r>
      <w:r>
        <w:rPr>
          <w:rFonts w:ascii="Times New Roman" w:hAnsi="Times New Roman" w:eastAsia="Times New Roman" w:cs="Times New Roman"/>
          <w:color w:val="000000"/>
          <w:sz w:val="28"/>
        </w:rPr>
        <w:t xml:space="preserve">IPv4/IPv6</w:t>
      </w:r>
      <w:r>
        <w:rPr>
          <w:rFonts w:ascii="FangSong" w:hAnsi="FangSong" w:eastAsia="FangSong" w:cs="FangSong"/>
          <w:color w:val="000000"/>
          <w:sz w:val="28"/>
        </w:rPr>
        <w:t xml:space="preserve">地址节点进行针对性属性识别能力，能够识别包含开放</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、端口、服务、操作系统、数据库原产地、设备类型、设备原产地、厂家、品牌、型号、组件、网站标题、证书信息、子网掩码、网关、蜜罐资产、存在的脆弱性资产、</w:t>
      </w:r>
      <w:r>
        <w:rPr>
          <w:rFonts w:ascii="Times New Roman" w:hAnsi="Times New Roman" w:eastAsia="Times New Roman" w:cs="Times New Roman"/>
          <w:color w:val="000000"/>
          <w:sz w:val="28"/>
        </w:rPr>
        <w:t xml:space="preserve">PoC</w:t>
      </w:r>
      <w:r>
        <w:rPr>
          <w:rFonts w:ascii="FangSong" w:hAnsi="FangSong" w:eastAsia="FangSong" w:cs="FangSong"/>
          <w:color w:val="000000"/>
          <w:sz w:val="28"/>
        </w:rPr>
        <w:t xml:space="preserve">漏洞资产、弱口令、地理位置、端口变化、漏洞变化情况等资产属性。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PoC</w:t>
      </w:r>
      <w:r>
        <w:rPr>
          <w:rFonts w:ascii="FangSong" w:hAnsi="FangSong" w:eastAsia="FangSong" w:cs="FangSong"/>
          <w:color w:val="000000"/>
          <w:sz w:val="28"/>
        </w:rPr>
        <w:t xml:space="preserve">探测：准确地对目标进行</w:t>
      </w:r>
      <w:r>
        <w:rPr>
          <w:rFonts w:ascii="Times New Roman" w:hAnsi="Times New Roman" w:eastAsia="Times New Roman" w:cs="Times New Roman"/>
          <w:color w:val="000000"/>
          <w:sz w:val="28"/>
        </w:rPr>
        <w:t xml:space="preserve">PoC</w:t>
      </w:r>
      <w:r>
        <w:rPr>
          <w:rFonts w:ascii="FangSong" w:hAnsi="FangSong" w:eastAsia="FangSong" w:cs="FangSong"/>
          <w:color w:val="000000"/>
          <w:sz w:val="28"/>
        </w:rPr>
        <w:t xml:space="preserve">检测，发现其真实存在的漏洞。通过对资产指纹数据进行分析，匹配漏洞库发现其潜在风险，然后选择</w:t>
      </w:r>
      <w:r>
        <w:rPr>
          <w:rFonts w:ascii="Times New Roman" w:hAnsi="Times New Roman" w:eastAsia="Times New Roman" w:cs="Times New Roman"/>
          <w:color w:val="000000"/>
          <w:sz w:val="28"/>
        </w:rPr>
        <w:t xml:space="preserve">PoC</w:t>
      </w:r>
      <w:r>
        <w:rPr>
          <w:rFonts w:ascii="FangSong" w:hAnsi="FangSong" w:eastAsia="FangSong" w:cs="FangSong"/>
          <w:color w:val="000000"/>
          <w:sz w:val="28"/>
        </w:rPr>
        <w:t xml:space="preserve">规则进行检测，确认漏洞是否真实存在。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拓扑探测：基于探测目标进行网络路径绘测，通过探测引擎自动确定探测引擎到目标端口的通信路径，将探测目标以及关联的线存储并绘制成图。网络路径拓扑直接呈现网络的物理连接和逻辑连接。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关联分析：针对探测目标进一步获取资产的详情，针对探测目标实现证书获取、整个</w:t>
      </w:r>
      <w:r>
        <w:rPr>
          <w:rFonts w:ascii="Times New Roman" w:hAnsi="Times New Roman" w:eastAsia="Times New Roman" w:cs="Times New Roman"/>
          <w:color w:val="000000"/>
          <w:sz w:val="28"/>
        </w:rPr>
        <w:t xml:space="preserve">C</w:t>
      </w:r>
      <w:r>
        <w:rPr>
          <w:rFonts w:ascii="FangSong" w:hAnsi="FangSong" w:eastAsia="FangSong" w:cs="FangSong"/>
          <w:color w:val="000000"/>
          <w:sz w:val="28"/>
        </w:rPr>
        <w:t xml:space="preserve">段信息探查、</w:t>
      </w:r>
      <w:r>
        <w:rPr>
          <w:rFonts w:ascii="Times New Roman" w:hAnsi="Times New Roman" w:eastAsia="Times New Roman" w:cs="Times New Roman"/>
          <w:color w:val="000000"/>
          <w:sz w:val="28"/>
        </w:rPr>
        <w:t xml:space="preserve">Whois</w:t>
      </w:r>
      <w:r>
        <w:rPr>
          <w:rFonts w:ascii="FangSong" w:hAnsi="FangSong" w:eastAsia="FangSong" w:cs="FangSong"/>
          <w:color w:val="000000"/>
          <w:sz w:val="28"/>
        </w:rPr>
        <w:t xml:space="preserve">查询，以及</w:t>
      </w:r>
      <w:r>
        <w:rPr>
          <w:rFonts w:ascii="Times New Roman" w:hAnsi="Times New Roman" w:eastAsia="Times New Roman" w:cs="Times New Roman"/>
          <w:color w:val="000000"/>
          <w:sz w:val="28"/>
        </w:rPr>
        <w:t xml:space="preserve">r/fDNS</w:t>
      </w:r>
      <w:r>
        <w:rPr>
          <w:rFonts w:ascii="FangSong" w:hAnsi="FangSong" w:eastAsia="FangSong" w:cs="FangSong"/>
          <w:color w:val="000000"/>
          <w:sz w:val="28"/>
        </w:rPr>
        <w:t xml:space="preserve">查询功能。探查结果会展示出对应资产的证书信息、</w:t>
      </w:r>
      <w:r>
        <w:rPr>
          <w:rFonts w:ascii="Times New Roman" w:hAnsi="Times New Roman" w:eastAsia="Times New Roman" w:cs="Times New Roman"/>
          <w:color w:val="000000"/>
          <w:sz w:val="28"/>
        </w:rPr>
        <w:t xml:space="preserve">C</w:t>
      </w:r>
      <w:r>
        <w:rPr>
          <w:rFonts w:ascii="FangSong" w:hAnsi="FangSong" w:eastAsia="FangSong" w:cs="FangSong"/>
          <w:color w:val="000000"/>
          <w:sz w:val="28"/>
        </w:rPr>
        <w:t xml:space="preserve">段关联网站信息截图、</w:t>
      </w:r>
      <w:r>
        <w:rPr>
          <w:rFonts w:ascii="Times New Roman" w:hAnsi="Times New Roman" w:eastAsia="Times New Roman" w:cs="Times New Roman"/>
          <w:color w:val="000000"/>
          <w:sz w:val="28"/>
        </w:rPr>
        <w:t xml:space="preserve">Whois</w:t>
      </w:r>
      <w:r>
        <w:rPr>
          <w:rFonts w:ascii="FangSong" w:hAnsi="FangSong" w:eastAsia="FangSong" w:cs="FangSong"/>
          <w:color w:val="000000"/>
          <w:sz w:val="28"/>
        </w:rPr>
        <w:t xml:space="preserve">结果，以及</w:t>
      </w:r>
      <w:r>
        <w:rPr>
          <w:rFonts w:ascii="Times New Roman" w:hAnsi="Times New Roman" w:eastAsia="Times New Roman" w:cs="Times New Roman"/>
          <w:color w:val="000000"/>
          <w:sz w:val="28"/>
        </w:rPr>
        <w:t xml:space="preserve">r/fDNS</w:t>
      </w:r>
      <w:r>
        <w:rPr>
          <w:rFonts w:ascii="FangSong" w:hAnsi="FangSong" w:eastAsia="FangSong" w:cs="FangSong"/>
          <w:color w:val="000000"/>
          <w:sz w:val="28"/>
        </w:rPr>
        <w:t xml:space="preserve">结果信息。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《网络资产测绘平台部署方案》《网络资产测绘平台部署报告》《网络资产测绘平台月度分析报告》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威胁情报联防平台服务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台威胁情报联防平台提供威胁情报监测服务，以满足泰州市新一代政务外网改造需求，实现对纵向网和移动、电信城域网的全面威胁情报监测与预警。通过实时收集、分析和整合来自不同网络节点的威胁情报数据，精准识别各类潜在的网络威胁，如恶意软件攻击、挖矿、</w:t>
      </w:r>
      <w:r>
        <w:rPr>
          <w:rFonts w:ascii="Times New Roman" w:hAnsi="Times New Roman" w:eastAsia="Times New Roman" w:cs="Times New Roman"/>
          <w:color w:val="000000"/>
          <w:sz w:val="28"/>
        </w:rPr>
        <w:t xml:space="preserve">C2</w:t>
      </w:r>
      <w:r>
        <w:rPr>
          <w:rFonts w:ascii="FangSong" w:hAnsi="FangSong" w:eastAsia="FangSong" w:cs="FangSong"/>
          <w:color w:val="000000"/>
          <w:sz w:val="28"/>
        </w:rPr>
        <w:t xml:space="preserve">通信等。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具体规格要求如下：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标准机架式设备，千兆自适应电口≥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个，万兆光口≥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w:t>
      </w:r>
      <w:r>
        <w:rPr>
          <w:rFonts w:ascii="Times New Roman" w:hAnsi="Times New Roman" w:eastAsia="Times New Roman" w:cs="Times New Roman"/>
          <w:color w:val="000000"/>
          <w:sz w:val="28"/>
        </w:rPr>
        <w:t xml:space="preserve">console</w:t>
      </w:r>
      <w:r>
        <w:rPr>
          <w:rFonts w:ascii="FangSong" w:hAnsi="FangSong" w:eastAsia="FangSong" w:cs="FangSong"/>
          <w:color w:val="000000"/>
          <w:sz w:val="28"/>
        </w:rPr>
        <w:t xml:space="preserve">口≥</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个，配备冗余电源，吞吐量≥</w:t>
      </w:r>
      <w:r>
        <w:rPr>
          <w:rFonts w:ascii="Times New Roman" w:hAnsi="Times New Roman" w:eastAsia="Times New Roman" w:cs="Times New Roman"/>
          <w:color w:val="000000"/>
          <w:sz w:val="28"/>
        </w:rPr>
        <w:t xml:space="preserve">6Gbps</w:t>
      </w:r>
      <w:r>
        <w:rPr>
          <w:rFonts w:ascii="FangSong" w:hAnsi="FangSong" w:eastAsia="FangSong" w:cs="FangSong"/>
          <w:color w:val="000000"/>
          <w:sz w:val="28"/>
        </w:rPr>
        <w:t xml:space="preserve">。支持串联与旁路部署方式，支持</w:t>
      </w:r>
      <w:r>
        <w:rPr>
          <w:rFonts w:ascii="Times New Roman" w:hAnsi="Times New Roman" w:eastAsia="Times New Roman" w:cs="Times New Roman"/>
          <w:color w:val="000000"/>
          <w:sz w:val="28"/>
        </w:rPr>
        <w:t xml:space="preserve">channel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trunk</w:t>
      </w:r>
      <w:r>
        <w:rPr>
          <w:rFonts w:ascii="FangSong" w:hAnsi="FangSong" w:eastAsia="FangSong" w:cs="FangSong"/>
          <w:color w:val="000000"/>
          <w:sz w:val="28"/>
        </w:rPr>
        <w:t xml:space="preserve">接口模式，支持旁路部署模式下达到阻断效果。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旁路阻断：系统可以通过监听口对镜像流量进行分析检测，发现攻击时，系统可以模拟服务器端和客户端通信模式及状态细节，主动构造并发送阻断数据包，中断后续会话，从而达到封堵攻击的效果。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正向攻击监测：针对不同的应用场景设置不同的监测策略，对外到内的恶意攻击行为进行实时监测或阻断。在不同的应用场景下，用户可针对不同的资产分组、情报源、情报行业、情报类型、情报碰撞策略及情报威胁等级等维度，有针对性地设置防护规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威胁情报溯源：对威胁情报进行溯源查询，可以直观获取情报源的详细资产画像及历史攻击轨迹画像。其中详细资产画像包含资产标签、组件标签、开放端口等信息；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《威胁情报联防平台部署方案》《威胁情报联防平台部署报告》《安全运营月度分析报告》。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网络安全沙箱服务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台网络安全沙箱提供安全沙箱服务，以满足泰州市新一代政务外网改造需求，通过网络安全沙箱的部署，能够模拟真实的网络环境，对进入纵向网和移动、电信城域网的各类流量进行深度分析，精准识别隐藏在正常流量中的恶意代码和攻击行为。一旦发现异常，沙箱会迅速启动隔离机制，防止恶意程序扩散到整个网络，确保政务外网的安全稳定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具体规格要求如下：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标准机架式设备，千兆电口≥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个、万兆光口≥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个，冗余电源≥</w:t>
      </w:r>
      <w:r>
        <w:rPr>
          <w:rFonts w:ascii="Times New Roman" w:hAnsi="Times New Roman" w:eastAsia="Times New Roman" w:cs="Times New Roman"/>
          <w:color w:val="000000"/>
          <w:sz w:val="28"/>
        </w:rPr>
        <w:t xml:space="preserve">550W</w:t>
      </w:r>
      <w:r>
        <w:rPr>
          <w:rFonts w:ascii="FangSong" w:hAnsi="FangSong" w:eastAsia="FangSong" w:cs="FangSong"/>
          <w:color w:val="000000"/>
          <w:sz w:val="28"/>
        </w:rPr>
        <w:t xml:space="preserve">，应用层吞吐≥</w:t>
      </w:r>
      <w:r>
        <w:rPr>
          <w:rFonts w:ascii="Times New Roman" w:hAnsi="Times New Roman" w:eastAsia="Times New Roman" w:cs="Times New Roman"/>
          <w:color w:val="000000"/>
          <w:sz w:val="28"/>
        </w:rPr>
        <w:t xml:space="preserve">5Gbps</w:t>
      </w:r>
      <w:r>
        <w:rPr>
          <w:rFonts w:ascii="FangSong" w:hAnsi="FangSong" w:eastAsia="FangSong" w:cs="FangSong"/>
          <w:color w:val="000000"/>
          <w:sz w:val="28"/>
        </w:rPr>
        <w:t xml:space="preserve">，网络层吞吐≥</w:t>
      </w:r>
      <w:r>
        <w:rPr>
          <w:rFonts w:ascii="Times New Roman" w:hAnsi="Times New Roman" w:eastAsia="Times New Roman" w:cs="Times New Roman"/>
          <w:color w:val="000000"/>
          <w:sz w:val="28"/>
        </w:rPr>
        <w:t xml:space="preserve">10Gbps</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静态检测已知威胁：文件静态检测机制，文件沙箱内置文件</w:t>
      </w:r>
      <w:r>
        <w:rPr>
          <w:rFonts w:ascii="Times New Roman" w:hAnsi="Times New Roman" w:eastAsia="Times New Roman" w:cs="Times New Roman"/>
          <w:color w:val="000000"/>
          <w:sz w:val="28"/>
        </w:rPr>
        <w:t xml:space="preserve">HASH</w:t>
      </w:r>
      <w:r>
        <w:rPr>
          <w:rFonts w:ascii="FangSong" w:hAnsi="FangSong" w:eastAsia="FangSong" w:cs="FangSong"/>
          <w:color w:val="000000"/>
          <w:sz w:val="28"/>
        </w:rPr>
        <w:t xml:space="preserve">库、</w:t>
      </w:r>
      <w:r>
        <w:rPr>
          <w:rFonts w:ascii="Times New Roman" w:hAnsi="Times New Roman" w:eastAsia="Times New Roman" w:cs="Times New Roman"/>
          <w:color w:val="000000"/>
          <w:sz w:val="28"/>
        </w:rPr>
        <w:t xml:space="preserve">AV</w:t>
      </w:r>
      <w:r>
        <w:rPr>
          <w:rFonts w:ascii="FangSong" w:hAnsi="FangSong" w:eastAsia="FangSong" w:cs="FangSong"/>
          <w:color w:val="000000"/>
          <w:sz w:val="28"/>
        </w:rPr>
        <w:t xml:space="preserve">检测引擎和</w:t>
      </w:r>
      <w:r>
        <w:rPr>
          <w:rFonts w:ascii="Times New Roman" w:hAnsi="Times New Roman" w:eastAsia="Times New Roman" w:cs="Times New Roman"/>
          <w:color w:val="000000"/>
          <w:sz w:val="28"/>
        </w:rPr>
        <w:t xml:space="preserve">CVE</w:t>
      </w:r>
      <w:r>
        <w:rPr>
          <w:rFonts w:ascii="FangSong" w:hAnsi="FangSong" w:eastAsia="FangSong" w:cs="FangSong"/>
          <w:color w:val="000000"/>
          <w:sz w:val="28"/>
        </w:rPr>
        <w:t xml:space="preserve">漏洞检测引擎，文件秒级检测，快速识别判定已知文件威胁传播。针对重复的</w:t>
      </w:r>
      <w:r>
        <w:rPr>
          <w:rFonts w:ascii="Times New Roman" w:hAnsi="Times New Roman" w:eastAsia="Times New Roman" w:cs="Times New Roman"/>
          <w:color w:val="000000"/>
          <w:sz w:val="28"/>
        </w:rPr>
        <w:t xml:space="preserve">MD5</w:t>
      </w:r>
      <w:r>
        <w:rPr>
          <w:rFonts w:ascii="FangSong" w:hAnsi="FangSong" w:eastAsia="FangSong" w:cs="FangSong"/>
          <w:color w:val="000000"/>
          <w:sz w:val="28"/>
        </w:rPr>
        <w:t xml:space="preserve">文件复用检测结果，进一步提高海量文件检测效率。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动态沙箱检测：面对文件静态检测机制无法判定威胁的文件，则提供动态沙箱来进一步判定。沙箱动态行为检测是一种通过文件的动态执行行为来识别恶意文件的检测技术，利用虚拟化技术仿真出组织常用的操作系统和应用环境，然后利用虚拟执行手段使文件运行并捕获其对系统产生的影响，如释放文件、加密文档、增加启动项、</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调用、联网通信等，并对这些影响进行评估，识别对系统产生破坏的恶意文件。基于行为的检测技术不同于特征码检测方式，即使恶意文件进行了免杀但其恶意行为依然存在，可以有效识别高级的恶意文件攻击。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《网络安全沙箱部署方案》《网络安全沙箱部署报告》、《网络安全沙箱月度分析报告》。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网页防篡改服务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对数据局自建的互联网业务系统提供网页防篡改服务，通过实时监控网页内容，一旦发现有非法篡改行为立即发出警报，保障网页数据的完整性和真实性。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具体性能要求如下：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接入规模不超过</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台服务器，支持超过</w:t>
      </w:r>
      <w:r>
        <w:rPr>
          <w:rFonts w:ascii="Times New Roman" w:hAnsi="Times New Roman" w:eastAsia="Times New Roman" w:cs="Times New Roman"/>
          <w:color w:val="000000"/>
          <w:sz w:val="28"/>
        </w:rPr>
        <w:t xml:space="preserve">40GB</w:t>
      </w:r>
      <w:r>
        <w:rPr>
          <w:rFonts w:ascii="FangSong" w:hAnsi="FangSong" w:eastAsia="FangSong" w:cs="FangSong"/>
          <w:color w:val="000000"/>
          <w:sz w:val="28"/>
        </w:rPr>
        <w:t xml:space="preserve">以上网页防篡改保护和恢复功能。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采用文件驱动级技术的系统，可以直接从</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服务器上得到动态网页脚本，不受变化的内容影响，因而能够像静态网页一样保护动态网页脚本。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支持监控服务器当前的运行状态，监视其</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、内存、网络流量等性能。通过设置的阈值及时向用户提供报警信息，使用户能够及时响应意外事件。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支持对网站维护工作的查询与审计功能。便于用户及时了解管理员及操作员所做的日常维护工作。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保护</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服务器的相关重要配置文件不被篡改；支持服务器进程黑白名单许可控制，防止挂马攻击或后门程序运行。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《网页防篡改系统部署方案》《网页防篡改系统部署报告》《网页防篡改系统月度分析报告》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违规外联检测平台服务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台违规外联监测系统，提供违规外联监测服务，可以满足泰州市新一代政务外网、县（市、区）政务纵向网对非法外联终端进行资产识别、资产监测、非法接入监测等的需求，实现外联终端威胁可视化、实时检测、周期性监测，输出风险管理报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具体规格要求如下：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标准机架式设备，万兆光口≥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个，千兆电口≥</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个，网络吞吐≥</w:t>
      </w:r>
      <w:r>
        <w:rPr>
          <w:rFonts w:ascii="Times New Roman" w:hAnsi="Times New Roman" w:eastAsia="Times New Roman" w:cs="Times New Roman"/>
          <w:color w:val="000000"/>
          <w:sz w:val="28"/>
        </w:rPr>
        <w:t xml:space="preserve">1G</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违规外联监测系统可主动对各种安全策略、安全措施进行有效性监督，及时发现突破、绕过现有安全防御机制的风险行为，进行实时主动监测和安全预警，及时发现未落实的安全防护措施与安全遗漏盲区，提升政务网安全风险防范及应急能力，保障政务网业务顺畅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全网设备进行扫描，构建设备指纹库，自动识别全网设备类型，根据设备数据进行定位分析，构建设备行为模型。运用大数据分析技术，结合多样化的数据分析模型，对采集数据进行过滤、解码和分析，以全面、快速、精准地发现网络中的各种违规行为和安全威胁，提供预警，取证和回溯等关键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《违规外联检测平台月度分析报告》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零信任管控平台服务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着国家电子政务外网一机两用标准的正式出台，全国各地纷纷启动了相关的试点工作。泰州市数据局积极响应政策，本年度将泰政通作为试点对象。本项目需全面满足泰政通用户的移动办公、远程接入需求，要求服务方部署一套满足新一代政务外网要求的零信任平台和零信任网关提供服务，以满足泰政通用户的移动办公远程接入需求，能够顺利实现基于沙盒方式的一机两用功能，以确保试点工作的顺利完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零信任平台部署于政务外网数据中心，零信任网关部署于互联网出口，泰政通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对接零信任</w:t>
      </w:r>
      <w:r>
        <w:rPr>
          <w:rFonts w:ascii="Times New Roman" w:hAnsi="Times New Roman" w:eastAsia="Times New Roman" w:cs="Times New Roman"/>
          <w:color w:val="000000"/>
          <w:sz w:val="28"/>
        </w:rPr>
        <w:t xml:space="preserve">SDK</w:t>
      </w:r>
      <w:r>
        <w:rPr>
          <w:rFonts w:ascii="FangSong" w:hAnsi="FangSong" w:eastAsia="FangSong" w:cs="FangSong"/>
          <w:color w:val="000000"/>
          <w:sz w:val="28"/>
        </w:rPr>
        <w:t xml:space="preserve">后，即可从互联网安全接入政务外网访问。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具体性能要求如下：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需适配</w:t>
      </w:r>
      <w:r>
        <w:rPr>
          <w:rFonts w:ascii="Times New Roman" w:hAnsi="Times New Roman" w:eastAsia="Times New Roman" w:cs="Times New Roman"/>
          <w:color w:val="000000"/>
          <w:sz w:val="28"/>
        </w:rPr>
        <w:t xml:space="preserve">iOS</w:t>
      </w:r>
      <w:r>
        <w:rPr>
          <w:rFonts w:ascii="FangSong" w:hAnsi="FangSong" w:eastAsia="FangSong" w:cs="FangSong"/>
          <w:color w:val="000000"/>
          <w:sz w:val="28"/>
        </w:rPr>
        <w:t xml:space="preserve">、安卓、鸿蒙等移动端系统，满足泰政通用户移动办公远程接入业务需求；系统最大承载用户容量不少于</w:t>
      </w:r>
      <w:r>
        <w:rPr>
          <w:rFonts w:ascii="Times New Roman" w:hAnsi="Times New Roman" w:eastAsia="Times New Roman" w:cs="Times New Roman"/>
          <w:color w:val="000000"/>
          <w:sz w:val="28"/>
        </w:rPr>
        <w:t xml:space="preserve">50000</w:t>
      </w:r>
      <w:r>
        <w:rPr>
          <w:rFonts w:ascii="FangSong" w:hAnsi="FangSong" w:eastAsia="FangSong" w:cs="FangSong"/>
          <w:color w:val="000000"/>
          <w:sz w:val="28"/>
        </w:rPr>
        <w:t xml:space="preserve">户，并发不低于</w:t>
      </w:r>
      <w:r>
        <w:rPr>
          <w:rFonts w:ascii="Times New Roman" w:hAnsi="Times New Roman" w:eastAsia="Times New Roman" w:cs="Times New Roman"/>
          <w:color w:val="000000"/>
          <w:sz w:val="28"/>
        </w:rPr>
        <w:t xml:space="preserve">1500</w:t>
      </w:r>
      <w:r>
        <w:rPr>
          <w:rFonts w:ascii="FangSong" w:hAnsi="FangSong" w:eastAsia="FangSong" w:cs="FangSong"/>
          <w:color w:val="000000"/>
          <w:sz w:val="28"/>
        </w:rPr>
        <w:t xml:space="preserve">户，同时兼容支撑数据局内部办公终端接入规模不超过</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）开放安全接口赋能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支持业务集成</w:t>
      </w:r>
      <w:r>
        <w:rPr>
          <w:rFonts w:ascii="Times New Roman" w:hAnsi="Times New Roman" w:eastAsia="Times New Roman" w:cs="Times New Roman"/>
          <w:color w:val="000000"/>
          <w:sz w:val="28"/>
        </w:rPr>
        <w:t xml:space="preserve">SDK</w:t>
      </w:r>
      <w:r>
        <w:rPr>
          <w:rFonts w:ascii="FangSong" w:hAnsi="FangSong" w:eastAsia="FangSong" w:cs="FangSong"/>
          <w:color w:val="000000"/>
          <w:sz w:val="28"/>
        </w:rPr>
        <w:t xml:space="preserve">接口，快速获取零信任客户端安全能力，开放</w:t>
      </w:r>
      <w:r>
        <w:rPr>
          <w:rFonts w:ascii="Times New Roman" w:hAnsi="Times New Roman" w:eastAsia="Times New Roman" w:cs="Times New Roman"/>
          <w:color w:val="000000"/>
          <w:sz w:val="28"/>
        </w:rPr>
        <w:t xml:space="preserve">UI</w:t>
      </w:r>
      <w:r>
        <w:rPr>
          <w:rFonts w:ascii="FangSong" w:hAnsi="FangSong" w:eastAsia="FangSong" w:cs="FangSong"/>
          <w:color w:val="000000"/>
          <w:sz w:val="28"/>
        </w:rPr>
        <w:t xml:space="preserve">源码，让开发者高效利用资源，减少重复开发，降低开发成本。实现应用统一门户集成，简化用户访问流程。用户可以轻松访问和管理各种应用，无需在不同的平台和应用之间切换，从而提高工作效率。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）零信任隧道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基于零信任网络访问能力，实现核心业务隐身，对访问主体的身份和行为进行持续性安全评估和动态授权，并实现安全加密传输、流控与审计。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）策略执行点前移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利用零信任客户端本地可信代理、加密等技术实现终端通讯安全及授权策略执行点前移，对非法流量请求及时阻断在端侧，将安全能力前置，保障业务访问安全。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）网络切换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弱网恢复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设备在网络切换或弱网环境下，零信任客户端可以迅速与安全网关建立应用安全隧道恢复业务访问，解决传统传输方案弱网断线、网络切换重连耗时等用户体验性问题。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《零信任管控平台月度分析报告》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网络安全基础防护服务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安全攻防演练服务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每年国家、省组织的攻防演练期间，根据实际情况，组织不少于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支专业队伍（每支不少于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人）参加演练，按照上级要求完成攻击或防守任务，不能复用项目现场驻场人员。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服务期内，自行组织攻防演练不少于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次，需邀请泰州市委网信办</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网络安全支撑单位名录内不少于两家的攻击队，以政务云和政务外网为核心靶标进行攻击。同时组织泰州市电子政务云、政务外网及各委办局运维团队进行防守，以检验全市网络安全事件发现和分析能力，并逐步实现发现、预警、处置、通报等多个环节和不同系统、部门之间的应急处理联动机制。每年不少于</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次，每次不少于</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根据实际工作需要，参与省级及以上攻防演练至少</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年，自行组织攻防演练至少</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每次攻防演练后，提交《攻防演练总结报告》。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网络和数据安全宣传活动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期间协助开展一次面向全市公民的数据安全知识答题活动。参与者通过线上答题的方式，了解和掌握数据安全的基本知识和技能。数据安全知识答题活动内容涵盖数据保护法律法规、数据安全技术、数据安全管理和应急处理等多个方面，通过活动的举办确保全市参与者能够全面掌握数据安全的知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根据实际需求安排，每年组织</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次数据安全培训活动。培训对象包括政府机关工作人员以及其他相关人员，确保他们能够及时了解最新的数据安全知识和技能。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根据实际工作需要，数据安全知识答题活动每年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次，数据安全培训每年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《数据安全知识答题活动方案》《数据安全培训方案》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网络应急响应与溯源取证服务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发生各类重大安全问题、系统故障时，进行及时有效的安全分析；当系统运行中出现重大安全事件时，在第一时间对用户所遭受的突发安全事件以及紧急故障进行响应，尽可能在最短的时间内恢复服务对象信息系统运行，降低损失，并协助分析事故原因，追踪入侵来源，提交响应报告。并通过提取网络中的流量数据，对攻击行为进行取证（原始数据）分析、攻击链溯源、攻击证据在线分析、数据业务分析、数据传输时序分析、历史流量回溯分析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发生应急事件需在</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分钟内响应，</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分钟到达现场。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服务期内不限次数。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《安全事件应急响应处置报告》。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重要时期安全保障服务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国家、江苏省、泰州市等各种重大政治活动以及节假日期间提供安全保障服务，监测、分析网络攻击及安全风险，快速应对可能出现的安全事件，协助做好网络安全保障工作。在此期间投标人安全服务团队应提供高级专家现场带班指导、安服团队现场安全保障、后端远程在线支持、机动团队及时响应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当出现紧急安全事件，调派应急响应团队高级安全专家两小时内到达现场，进行支持工作。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每年安排高级专家来现场对全市的重要资产，不局限于各项应用和系统，整体的安全性能进行评估和提升。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理漏洞清单，形成漏洞库，重保前对发现的安全漏洞进行“回头看”，防止发现过的漏洞复现，造成安全事件；如果中心系统因漏洞复现发生安全事件，造成的后果由投标人承担，但系统责任方整改不及时或整改不到位的情况除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每年不少于</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《重要时期安全保障工作方案》《重要时期安全保障工作总结报告》《重保期间每日工作小结》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重要信息系统安全检测服务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根据泰州市网安行动的要求，对泰州市数据局自建信息系统开展季度渗透测试。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在网络安全行动的季度测试期间，必须执行黑盒渗透测试，利用红队的攻击策略，评估系统的安全性，识别潜在的安全漏洞和薄弱环节，并完成网络安全行动前的其他相关检测任务。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网安行动的季度测试期间，需开展灰盒测试，对信息系统的所有功能进行深入的渗透测试，以发现那些在正常操作条件下不易被触及的潜在安全问题。测试将涵盖系统的登录认证、权限管理、数据处理等多个关键环节，确保全面而深入地评估系统的安全性。此外，测试过程中将模拟各种可能的攻击场景，以验证系统在面对真实威胁时的防御能力，为泰州市数据局提供详尽的渗透测试报告和改进建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每季度</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《黑盒渗透测试报告》《灰盒渗透测试报告》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系统上线前安全检测服务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对即将上线的泰州市级政务云应用系统进行安全测试，包括渗透测试和漏洞扫描，渗透过程操作至少包括信息收集、指纹管理、漏洞发现、漏洞利用、后渗透攻击等，以确保政务云应用系统的安全性与稳定性，检测结果也将作为系统是否上线的重要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XX</w:t>
      </w:r>
      <w:r>
        <w:rPr>
          <w:rFonts w:ascii="FangSong" w:hAnsi="FangSong" w:eastAsia="FangSong" w:cs="FangSong"/>
          <w:color w:val="000000"/>
          <w:sz w:val="28"/>
        </w:rPr>
        <w:t xml:space="preserve">系统安全检测报告》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网络安全驻场服务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网络安全驻场服务需提供驻场安全服务人员</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名，须具有相关网络安全资质（如</w:t>
      </w:r>
      <w:r>
        <w:rPr>
          <w:rFonts w:ascii="Times New Roman" w:hAnsi="Times New Roman" w:eastAsia="Times New Roman" w:cs="Times New Roman"/>
          <w:color w:val="000000"/>
          <w:sz w:val="28"/>
        </w:rPr>
        <w:t xml:space="preserve">CISP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NISP</w:t>
      </w:r>
      <w:r>
        <w:rPr>
          <w:rFonts w:ascii="FangSong" w:hAnsi="FangSong" w:eastAsia="FangSong" w:cs="FangSong"/>
          <w:color w:val="000000"/>
          <w:sz w:val="28"/>
        </w:rPr>
        <w:t xml:space="preserve">二级及以上、高级网络信息安全工程师等相关证书均可），协助完成泰州市政务云网日常安全管理相关工作，具体工作内容包含但不限于以下方面：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政务云和政务外网安全监测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现有市级政务云和电子政务外网主干网络进行相关安全监测，至少包括弱口令、病毒检测、挖矿分析、恶意攻击、违规外联检测等，帮助分析网络安全事件，快速定位脆弱资产、发现恶意爆破主机、获取敏感访问行为</w:t>
      </w:r>
      <w:r>
        <w:rPr>
          <w:rFonts w:ascii="Times New Roman" w:hAnsi="Times New Roman" w:eastAsia="Times New Roman" w:cs="Times New Roman"/>
          <w:color w:val="000000"/>
          <w:sz w:val="28"/>
        </w:rPr>
        <w:t xml:space="preserve">IP</w:t>
      </w:r>
      <w:r>
        <w:rPr>
          <w:rFonts w:ascii="FangSong" w:hAnsi="FangSong" w:eastAsia="FangSong" w:cs="FangSong"/>
          <w:color w:val="000000"/>
          <w:sz w:val="28"/>
        </w:rPr>
        <w:t xml:space="preserve">、感知恶意文件。指导云网供应商做好整改工作，并做好整改后的验证和总结，并协助数据局编写电子政务和数据安全通报。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《网络安全运营分析日报》、《网络安全运营月度分析报告》、《网络安全运营年度分析报告》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漏洞管理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对政务外网、政务云上漏洞进行分析预警、跟踪、验证，形成漏洞处置、延期或白名单台账，建立漏洞处置知识库、漏洞库等，对漏洞进行全生命周期闭环管理。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《政务外网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政务云漏洞闭环清单》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漏洞扫描与配置核查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安全运营驻场工程师需针对市电子政务外网自建信息系统服务器、数据库等，采用脚本工具或人工参照系统安全配置基线进行检查。系统安全配置基线通常以检查列表（</w:t>
      </w:r>
      <w:r>
        <w:rPr>
          <w:rFonts w:ascii="Times New Roman" w:hAnsi="Times New Roman" w:eastAsia="Times New Roman" w:cs="Times New Roman"/>
          <w:color w:val="000000"/>
          <w:sz w:val="28"/>
        </w:rPr>
        <w:t xml:space="preserve">Checklist</w:t>
      </w:r>
      <w:r>
        <w:rPr>
          <w:rFonts w:ascii="FangSong" w:hAnsi="FangSong" w:eastAsia="FangSong" w:cs="FangSong"/>
          <w:color w:val="000000"/>
          <w:sz w:val="28"/>
        </w:rPr>
        <w:t xml:space="preserve">）和基线核查工具的形式存在，用于人工和自动化检查系统存在的各种安全弱点，它针对不同的系统列出待检查的条目，以保证人工审计结果数据的完备性。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安全运营驻场工程师需根据评估的对象和内容，进行分析，针对其相应的脆弱性，提交报告，并提出相关的优化和改进方案。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安全运营驻场工程师应使用专业扫描工具，基于漏洞数据库，通过自动化扫描结合人工分析的手段对市电子政务外网自建信息系统的安全脆弱性进行快速检测，发现可利用漏洞。提供包括</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应用系统扫描和系统软件扫描两种扫描类型，覆盖信息系统中包含的网站、服务器、数据库、中间件、网络设备、终端等相关软硬件资产，并根据扫描结果提供验证漏洞真实性服务。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漏洞扫描每季度进行一次，基线核查每年进行一次。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《漏洞扫描报告》《基线核查报告》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安全基础设施维护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驻场工程师对本项目中的安全基础设施进行全面维护。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设备巡检与故障排查：每季度对安全基础设施进行巡检，检查设备的运行状态、性能指标及安全配置，及时发现并排除潜在的安全隐患和故障，确保设备始终处于最佳工作状态。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软件升级与补丁管理：密切关注网络安全设备厂商发布的软件更新和补丁信息，及时为设备进行软件升级和补丁安装，以修复已知的安全漏洞和缺陷，提高设备的防护能力。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每季度进行一次。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《安全基础设施巡检报告》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省工单安全隐患处理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驻场工程师接到省大数据管理中心下发的安全隐患工单后，驻场工程师第一时间开展隐患排查处置工作。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按照工单要求完成问题核查、隐患整改、结果核验等全流程工作，按时保质反馈处置结果，确保各类安全隐患闭环整改到位。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《网络安全隐患反馈单》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安全风险通告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驻场工程师根据安全运营中发现的问题及风险对各部门开展安全风险通报。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安全漏洞通报：定期汇总并分析泰州市电子政务外网的安全漏洞信息，包括但不限于操作系统、应用软件、网络设备等方面的漏洞。每月整理安全漏洞。向各部门进行通报，并提供相应的修复建议或补丁信息。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威胁情报共享：每月定期分享最新的威胁情报，如黑客攻击手法、恶意软件样本、钓鱼网站等。这些信息有助于泰州市各部门了解当前的网络安全形势，增强防范意识，避免成为攻击的目标。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每月</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XXX</w:t>
      </w:r>
      <w:r>
        <w:rPr>
          <w:rFonts w:ascii="FangSong" w:hAnsi="FangSong" w:eastAsia="FangSong" w:cs="FangSong"/>
          <w:color w:val="000000"/>
          <w:sz w:val="28"/>
        </w:rPr>
        <w:t xml:space="preserve">安全通报》</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数据安全基础设施服务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静态脱敏系统服务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要求部署</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套静态脱敏系统提供静态脱敏服务，实现数据提供给测试、开发、分析场景时，静态实现敏感信息的高仿真处理。将敏感数据转化为虚构数据，防止真实数据在开发或测试分析等过程中发生批量泄漏。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具体性能要求如下：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需支持多种数据源，包括</w:t>
      </w:r>
      <w:r>
        <w:rPr>
          <w:rFonts w:ascii="Times New Roman" w:hAnsi="Times New Roman" w:eastAsia="Times New Roman" w:cs="Times New Roman"/>
          <w:color w:val="000000"/>
          <w:sz w:val="28"/>
        </w:rPr>
        <w:t xml:space="preserve">Oracle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DB2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SQLServer</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MySQL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PostgreSQL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Hana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Sybase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Informix</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GBase</w:t>
      </w:r>
      <w:r>
        <w:rPr>
          <w:rFonts w:ascii="FangSong" w:hAnsi="FangSong" w:eastAsia="FangSong" w:cs="FangSong"/>
          <w:color w:val="000000"/>
          <w:sz w:val="28"/>
        </w:rPr>
        <w:t xml:space="preserve">、达梦、</w:t>
      </w:r>
      <w:r>
        <w:rPr>
          <w:rFonts w:ascii="Times New Roman" w:hAnsi="Times New Roman" w:eastAsia="Times New Roman" w:cs="Times New Roman"/>
          <w:color w:val="000000"/>
          <w:sz w:val="28"/>
        </w:rPr>
        <w:t xml:space="preserve">Hive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Teradata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Greenplum</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Gauss100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Gauss200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HBASE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MariaDB</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TiDB</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KingbaseES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Kudu</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ClickHouse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MongoDB</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Redis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Impala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OceanBase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Oscar</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Vetica</w:t>
      </w:r>
      <w:r>
        <w:rPr>
          <w:rFonts w:ascii="FangSong" w:hAnsi="FangSong" w:eastAsia="FangSong" w:cs="FangSong"/>
          <w:color w:val="000000"/>
          <w:sz w:val="28"/>
        </w:rPr>
        <w:t xml:space="preserve">等多种数据库及数据仓库。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脱敏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数据迁移速度不小于</w:t>
      </w:r>
      <w:r>
        <w:rPr>
          <w:rFonts w:ascii="Times New Roman" w:hAnsi="Times New Roman" w:eastAsia="Times New Roman" w:cs="Times New Roman"/>
          <w:color w:val="000000"/>
          <w:sz w:val="28"/>
        </w:rPr>
        <w:t xml:space="preserve">50MB/s</w:t>
      </w:r>
      <w:r>
        <w:rPr>
          <w:rFonts w:ascii="FangSong" w:hAnsi="FangSong" w:eastAsia="FangSong" w:cs="FangSong"/>
          <w:color w:val="000000"/>
          <w:sz w:val="28"/>
        </w:rPr>
        <w:t xml:space="preserve">；最大并行数不小于</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个；标配支持数据源个数不小于</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支持自定义敏感数据特征，定义时可以使用正则表达式、自定义函数、数据字典</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字段字典，并能够对一列中多种敏感信息以及一行内若干段敏感信息拼接等特殊场景进行准确识别。</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敏感数据自动发现：能够自动扫描目标数据环境，准确定位敏感数据，最终形成敏感数据字典。</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遮蔽脱敏：对敏感数据的全部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部分内容采用“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”或者“</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”等字符进行遮蔽。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仿真随机：采用和原数据结构相同、内容相近的内容进行随机替换，确保数据格式不变。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仿真替换：采用和原数据结构相同的数据进行替换，相同的原数据脱敏后也相同。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脱敏后的数据满足业务系统的数据关系特征，严格保留原有的数据关系和时间序列。</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脱敏后的数据必须能够准确反映原始数据的业务属性、数据关联和数据分布特征，满足业务系统的数据规则。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脱敏后的数据是完整的，不改变原始数据尺寸、不包含无效信息，以符合目标数据的定义，能够顺利入库。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《静态脱敏系统方案》《静态脱敏系统部署报告》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数据库运维管理平台高可用服务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部署</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套数据库运维管理平台提供服务，与原平台互为主备，以保障业务连续性和高可用。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具体性能要求如下：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w:t>
      </w:r>
      <w:r>
        <w:rPr>
          <w:rFonts w:ascii="Times New Roman" w:hAnsi="Times New Roman" w:eastAsia="Times New Roman" w:cs="Times New Roman"/>
          <w:color w:val="000000"/>
          <w:sz w:val="28"/>
        </w:rPr>
        <w:t xml:space="preserve">Oracle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SQLServer</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MySQL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Db2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PostgreSQL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Informix</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SAPHANA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InterSystemsCache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InterSystemsIRIS</w:t>
      </w:r>
      <w:r>
        <w:rPr>
          <w:rFonts w:ascii="FangSong" w:hAnsi="FangSong" w:eastAsia="FangSong" w:cs="FangSong"/>
          <w:color w:val="000000"/>
          <w:sz w:val="28"/>
        </w:rPr>
        <w:t xml:space="preserve">等国际数据库；支持</w:t>
      </w:r>
      <w:r>
        <w:rPr>
          <w:rFonts w:ascii="Times New Roman" w:hAnsi="Times New Roman" w:eastAsia="Times New Roman" w:cs="Times New Roman"/>
          <w:color w:val="000000"/>
          <w:sz w:val="28"/>
        </w:rPr>
        <w:t xml:space="preserve">DM</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CirroData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TeleDB</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TelePG</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GBase8a</w:t>
      </w:r>
      <w:r>
        <w:rPr>
          <w:rFonts w:ascii="FangSong" w:hAnsi="FangSong" w:eastAsia="FangSong" w:cs="FangSong"/>
          <w:color w:val="000000"/>
          <w:sz w:val="28"/>
        </w:rPr>
        <w:t xml:space="preserve">等国产数据库；支持</w:t>
      </w:r>
      <w:r>
        <w:rPr>
          <w:rFonts w:ascii="Times New Roman" w:hAnsi="Times New Roman" w:eastAsia="Times New Roman" w:cs="Times New Roman"/>
          <w:color w:val="000000"/>
          <w:sz w:val="28"/>
        </w:rPr>
        <w:t xml:space="preserve">Hive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Impala</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SparkSQL</w:t>
      </w:r>
      <w:r>
        <w:rPr>
          <w:rFonts w:ascii="FangSong" w:hAnsi="FangSong" w:eastAsia="FangSong" w:cs="FangSong"/>
          <w:color w:val="000000"/>
          <w:sz w:val="28"/>
        </w:rPr>
        <w:t xml:space="preserve">等大数据类型；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纯数据库流量不小于</w:t>
      </w:r>
      <w:r>
        <w:rPr>
          <w:rFonts w:ascii="Times New Roman" w:hAnsi="Times New Roman" w:eastAsia="Times New Roman" w:cs="Times New Roman"/>
          <w:color w:val="000000"/>
          <w:sz w:val="28"/>
        </w:rPr>
        <w:t xml:space="preserve">90Mbps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SQL</w:t>
      </w:r>
      <w:r>
        <w:rPr>
          <w:rFonts w:ascii="FangSong" w:hAnsi="FangSong" w:eastAsia="FangSong" w:cs="FangSong"/>
          <w:color w:val="000000"/>
          <w:sz w:val="28"/>
        </w:rPr>
        <w:t xml:space="preserve">峰值吞吐量不小于</w:t>
      </w:r>
      <w:r>
        <w:rPr>
          <w:rFonts w:ascii="Times New Roman" w:hAnsi="Times New Roman" w:eastAsia="Times New Roman" w:cs="Times New Roman"/>
          <w:color w:val="000000"/>
          <w:sz w:val="28"/>
        </w:rPr>
        <w:t xml:space="preserve">9000</w:t>
      </w:r>
      <w:r>
        <w:rPr>
          <w:rFonts w:ascii="FangSong" w:hAnsi="FangSong" w:eastAsia="FangSong" w:cs="FangSong"/>
          <w:color w:val="000000"/>
          <w:sz w:val="28"/>
        </w:rPr>
        <w:t xml:space="preserve">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秒；在线会话不小于</w:t>
      </w:r>
      <w:r>
        <w:rPr>
          <w:rFonts w:ascii="Times New Roman" w:hAnsi="Times New Roman" w:eastAsia="Times New Roman" w:cs="Times New Roman"/>
          <w:color w:val="000000"/>
          <w:sz w:val="28"/>
        </w:rPr>
        <w:t xml:space="preserve">3000</w:t>
      </w:r>
      <w:r>
        <w:rPr>
          <w:rFonts w:ascii="FangSong" w:hAnsi="FangSong" w:eastAsia="FangSong" w:cs="FangSong"/>
          <w:color w:val="000000"/>
          <w:sz w:val="28"/>
        </w:rPr>
        <w:t xml:space="preserve">个；</w:t>
      </w:r>
      <w:r>
        <w:rPr>
          <w:rFonts w:ascii="Times New Roman" w:hAnsi="Times New Roman" w:eastAsia="Times New Roman" w:cs="Times New Roman"/>
          <w:color w:val="000000"/>
          <w:sz w:val="28"/>
        </w:rPr>
        <w:t xml:space="preserve">DOSS</w:t>
      </w:r>
      <w:r>
        <w:rPr>
          <w:rFonts w:ascii="FangSong" w:hAnsi="FangSong" w:eastAsia="FangSong" w:cs="FangSong"/>
          <w:color w:val="000000"/>
          <w:sz w:val="28"/>
        </w:rPr>
        <w:t xml:space="preserve">在线用户不小于</w:t>
      </w:r>
      <w:r>
        <w:rPr>
          <w:rFonts w:ascii="Times New Roman" w:hAnsi="Times New Roman" w:eastAsia="Times New Roman" w:cs="Times New Roman"/>
          <w:color w:val="000000"/>
          <w:sz w:val="28"/>
        </w:rPr>
        <w:t xml:space="preserve">130</w:t>
      </w:r>
      <w:r>
        <w:rPr>
          <w:rFonts w:ascii="FangSong" w:hAnsi="FangSong" w:eastAsia="FangSong" w:cs="FangSong"/>
          <w:color w:val="000000"/>
          <w:sz w:val="28"/>
        </w:rPr>
        <w:t xml:space="preserve">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具体功能要求如下：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支持两种防护模式，会话阻断：支持依照策略配置对存在风险的会话进行阻断；拦截语句：支持依照策略配置对会话中的风险语句进行拦截，但不影响会话原有的连接状态。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支持按照受影响数据行数（阈值）进行精细管控，对超出阈值的行为进行阻断或拦截，防止大批量数据泄露。</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基于系统内运维自然人身份关联数据库账号，使每一个运维人员都具有专属的运维账号密码，在实现数据库账号及密码对运维人员保密的前提下开展数据库运维和管理工作。且不需要进行软件安装部署。</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支持按照运维人员所在企业组织架构进行管理，对其进行用户权限及运维身份加强认证配置等。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支持运维人员提交运维申请，选择对应审批人，并根据操作时间指定执行范围。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可设置普通用户（运维人员）、审批人、系统管理员、安全管理员、审计管理员等多种角色，对应不同操作权限。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支持数据库访问风险、</w:t>
      </w:r>
      <w:r>
        <w:rPr>
          <w:rFonts w:ascii="Times New Roman" w:hAnsi="Times New Roman" w:eastAsia="Times New Roman" w:cs="Times New Roman"/>
          <w:color w:val="000000"/>
          <w:sz w:val="28"/>
        </w:rPr>
        <w:t xml:space="preserve">SQL</w:t>
      </w:r>
      <w:r>
        <w:rPr>
          <w:rFonts w:ascii="FangSong" w:hAnsi="FangSong" w:eastAsia="FangSong" w:cs="FangSong"/>
          <w:color w:val="000000"/>
          <w:sz w:val="28"/>
        </w:rPr>
        <w:t xml:space="preserve">、审批语句等实时动态的整体展示，以及运维管理系统运行状态的展示。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提供对运维人员执行语句进行风险和危害访问的分析，包括：高危操作分析和追踪、大规模数据泄露分析和追踪、批量数据篡改分析和追踪、</w:t>
      </w:r>
      <w:r>
        <w:rPr>
          <w:rFonts w:ascii="Times New Roman" w:hAnsi="Times New Roman" w:eastAsia="Times New Roman" w:cs="Times New Roman"/>
          <w:color w:val="000000"/>
          <w:sz w:val="28"/>
        </w:rPr>
        <w:t xml:space="preserve">SQL</w:t>
      </w:r>
      <w:r>
        <w:rPr>
          <w:rFonts w:ascii="FangSong" w:hAnsi="FangSong" w:eastAsia="FangSong" w:cs="FangSong"/>
          <w:color w:val="000000"/>
          <w:sz w:val="28"/>
        </w:rPr>
        <w:t xml:space="preserve">注入行为分析和追踪。</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《数据库运维管理平台高可用性部署方案》《数据库运维管理平台部署报告》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数据安全运营服务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数据安全驻场服务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提供驻场数据安全服务人员</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名，须持有</w:t>
      </w:r>
      <w:r>
        <w:rPr>
          <w:rFonts w:ascii="Times New Roman" w:hAnsi="Times New Roman" w:eastAsia="Times New Roman" w:cs="Times New Roman"/>
          <w:color w:val="000000"/>
          <w:sz w:val="28"/>
        </w:rPr>
        <w:t xml:space="preserve">CISP-DSG</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CDGA</w:t>
      </w:r>
      <w:r>
        <w:rPr>
          <w:rFonts w:ascii="FangSong" w:hAnsi="FangSong" w:eastAsia="FangSong" w:cs="FangSong"/>
          <w:color w:val="000000"/>
          <w:sz w:val="28"/>
        </w:rPr>
        <w:t xml:space="preserve">等数据安全相关证书均可，依托泰州市政务云现有数据安全技术体系，协助开展对公数平台核心数据库、数据中台</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安全运营、治理与风险处置等工作。服务内容包含但不限于如下内容：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数据安全监测运营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依托数据安全统一管理平台，对公数平台核心数据库、数据中台</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的访问行为开展常态化持续监测，实现风险事件的及时发现、研判与跟进处置，形成日常安全运营闭环。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）核心工作内容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数据库访问权限管控：对公数平台核心数据库的异常登录、异常数据导出、高危</w:t>
      </w:r>
      <w:r>
        <w:rPr>
          <w:rFonts w:ascii="Times New Roman" w:hAnsi="Times New Roman" w:eastAsia="Times New Roman" w:cs="Times New Roman"/>
          <w:color w:val="000000"/>
          <w:sz w:val="28"/>
        </w:rPr>
        <w:t xml:space="preserve">SQL</w:t>
      </w:r>
      <w:r>
        <w:rPr>
          <w:rFonts w:ascii="FangSong" w:hAnsi="FangSong" w:eastAsia="FangSong" w:cs="FangSong"/>
          <w:color w:val="000000"/>
          <w:sz w:val="28"/>
        </w:rPr>
        <w:t xml:space="preserve">执行等风险事件进行审计、分析与核实，跟进告警处置；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敏感接口流量监测：针对数据中台</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接口，对异常访问流量、敏感接口高频调用等行为开展监测审计，及时识别过度获取敏感数据等风险；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全年常态化开展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《数据安全运营分析日报》、《数据安全运营月度分析报告》、《数据安全运营年度分析报告》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持续数据分类分级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依托现有数据识别与分类分级工具，完成公数平台核心数据资产的常态化梳理与分级标注，为数据安全精细化管控提供基础依据。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）核心工作内容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分类分级标注：基于政务、卫生健康、金融等行业分类分级标准与敏感数据特征库（如身份证、手机号、公积金账号等），通过规则匹配完成数据自动分类分级；对工具未覆盖、结果存疑的数据开展人工核实与修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每季度</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次，全年</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《数据分类分级报告》、《数据分类分级清单》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数据安全权限管控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依托数据安全权限管控系统，对公数平台核心数据库访问权限进行规范化管理。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）核心工作内容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权限梳理与分级：针对公数平台核心数据库，按数据敏感程度对访问权限进行分类管理，明确敏感数据权限范围。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访问策略优化配置：结合业务场景优化访问控制规则，如对常见数据库攻击行为启用检测拦截策略。同时对合规定期任务、正常运维操作配置信任规则，在保障安全的前提下降低对业务的影响。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权限审批与归档：配合公数平台敏感数据访问权限需求落实权限开通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变更的审批流程，所有通过数据安全权限管控系统执行的敏感数据的高危操作均须通过系统运维申请审批流程提交，审核通过后方可执行。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每半年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次，全年</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《数据权限管理清单》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敏感接口审查与规范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审计系统，对数据中台的敏感接口开展常态化审查与规范，排查违规接口与风险隐患。</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）核心工作内容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敏感接口梳理筛查：通过</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审计系统导出数据中台的敏感接口清单，按敏感标签筛选高风险接口，统计涉敏访问量等指标。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风险问题跟进处置：对流量异常、异常调用涉敏数据的潜在风险接口进行预警，提出处置建议并跟进闭环。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每季度</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次，全年</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《敏感接口管理清单》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数据安全加固服务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依托已部署的数据安全平台模块，对政务数据在存储、使用、共享、外发全环节开展安全策略优化与加固，提升数据安全防护能力。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）核心工作内容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脱敏配置与优化：针对不同需求，对生产数据库中的敏感字段（如手机号、身份证号）配置脱敏任务，选择适配的脱敏算法，实现库到库、库到文件的脱敏处理；监控脱敏任务执行情况，核验脱敏效果，保障生产数据不向非生产环境泄露。</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水印配置与管理：针对数据共享、外发场景，在数据中嵌入伪行、伪列等水印标记，配置对应水印方案与分发任务，记录数据分发对象与流转路径；当发生数据泄露时，通过泄露样本提取水印信息，定位分发源头与责任主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数据库加密策略运维：针对公数平台核心数据源，配合落实数据库透明加密部署和使用，部署完成后在不影响业务访问的前提下，保障数据存储层安全。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全年按需开展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《数据安全设备加固报告》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风险审计与事件溯源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依托数据库审计系统与数据安全权限管控能力，对公数平台核心数据库开展高危行为审计、风险研判与数据泄露事件溯源，及时处置安全风险，实现安全事件的可追溯。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）核心工作内容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高危人员行为审计：针对数据库运维人员的操作行为进行审计，核查批量导出敏感数据、高危 </w:t>
      </w:r>
      <w:r>
        <w:rPr>
          <w:rFonts w:ascii="Times New Roman" w:hAnsi="Times New Roman" w:eastAsia="Times New Roman" w:cs="Times New Roman"/>
          <w:color w:val="000000"/>
          <w:sz w:val="28"/>
        </w:rPr>
        <w:t xml:space="preserve">SQL </w:t>
      </w:r>
      <w:r>
        <w:rPr>
          <w:rFonts w:ascii="FangSong" w:hAnsi="FangSong" w:eastAsia="FangSong" w:cs="FangSong"/>
          <w:color w:val="000000"/>
          <w:sz w:val="28"/>
        </w:rPr>
        <w:t xml:space="preserve">执行等异常行为；对识别出的高危操作进行，及时排除或确认风险。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数据库行为风险分析：基于对公数平台核心数据库审计的会话与 </w:t>
      </w:r>
      <w:r>
        <w:rPr>
          <w:rFonts w:ascii="Times New Roman" w:hAnsi="Times New Roman" w:eastAsia="Times New Roman" w:cs="Times New Roman"/>
          <w:color w:val="000000"/>
          <w:sz w:val="28"/>
        </w:rPr>
        <w:t xml:space="preserve">SQL </w:t>
      </w:r>
      <w:r>
        <w:rPr>
          <w:rFonts w:ascii="FangSong" w:hAnsi="FangSong" w:eastAsia="FangSong" w:cs="FangSong"/>
          <w:color w:val="000000"/>
          <w:sz w:val="28"/>
        </w:rPr>
        <w:t xml:space="preserve">语句记录，定期开展行为风险分析，检测注入攻击、高危操作、异常登录等风险事件，梳理风险趋势与薄弱点，提出优化建议。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）服务频率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全年按需开展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）交付物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《风险研判处置报告》《风险溯源分析报告》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数据安全平台功能保障服务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针对已有的数据库运维管理平台、数据库加密系统、数据库水印系统、</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审计系统、数据分类分级系统、数据库审计系统、数据安全统一管理平台提供</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年维保服务。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维护期内，所有技术和服务发生任何非人为故障，故障报修的响应时间为即时，小型故障恢复时间为</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小时，严重故障恢复时间为</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小时内，并及时有效地提供解决方案。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维护期内，必须及时进行电话、邮件及远程网络支持。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维护期内，在实际应用过程中发现的产品缺陷以及产品功能不完善导致项目无法开展时，提供专人指导并进行功能升级解决项目中现存的问题。如原数据安全产品现存的问题无法解决，无法满足服务要求，需在不低于原平台功能的基础上，免费提供平台更新迭代，以满足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需提供定期回访服务，提供免费功能完善服务。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对数据安全设备和系统进行每季度检查与维护，确保其稳定运行，并及时识别潜在的安全风险。</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提供数据安全培训，包括数据安全标准解读、数据安全意识培训以及数据安全技能培训等。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针对本次数据安全服务，提供一支专业的数据安全运营团队进行技术支撑。</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第二部分：2026年泰州市数字化运维服务</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14.4.预期目标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持续稳固原有数字化运维体系，保障已完成接入的应用常态运维，持续落地一体化运维服务模式。严格坚守“全要素、全链路、全闭环”的数字化运维服务核心标准，延续运维工作从“以人为主”向“人机协同”转变的现有路径；持续夯实已搭建的大运维体系，巩固运维服务数智化建设成果，稳步保持运维队伍现有专业能力水平，锚定整体运维健康智治的既定目标，严守各业务系统安全稳定运行的工作底线。</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14.5.需求分析</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14.5.1.业务需求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依托现有工作基础，持续巩固整改成效，常态化补齐系统运维在协同效率等方面的现存短板，沿用多维度业务需求标准，保持全方位运维服务保障体系长效落地。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业务内容上，持续巩固现有应用统一纳管成果，常态化落实一体化运维服务。持续夯实大运维体系的落地成效与常态化机制，坚守安全与运维深度融合模式，稳固“运维即安全”的一体化服务运行格局。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业务流程方面，持续沿用成熟的故障处置流程，保障故障信息自动流转、协同处置的原有效能。延续现有运维协同分工机制，规范落实现有体系落地流程，严格执行现行标准规范细则与流程。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系统依托现有数字化运维平台支撑日常运维服务开展，平台核心使用对象为数字化运维服务人员。将持续为运维服务人员配备现有数字化工具，常态化开展既定的系统专业培训工作。功能层面，严格贴合各应用使用部门原有需求，按需保留既有运维监测能力，保障应用、资源常态化监测落地执行，持续稳固现有的故障处置相关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非功能性方面，持续坚守</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小时高稳定运行的现有服务标准，保持适配各类技术架构的原有兼容能力；沿用现有操作界面，维持良好易用性。数据资源方面，持续依托已建成的运维数据资源池，严格执行现行数据规范。</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14.5.2.技术需求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通信网络性能需求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本项目对网络通信基本需求如下：</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满足政府机关单位系统之间的互联互通和信息共享的需求；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满足本系统内大数据量信息传输、交换的需求；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满足网络传输可靠性的要求；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满足数据传输网络畅通、快捷、安全、可扩展；</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提供可靠的线路和网络设备的保障，能支持线路和主要交换机的冗余。</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硬件环境性能需求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涉及到项目平台数据量较大，对数据存储、信息处理等方面要求高，因此对主机系统和存储备份方面主要需要提供高可靠性、高可用性、易维护性、易管理性、高扩充性、开放性、先进性、冗余性等方面支持。</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基础软件的性能需求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在系统平台性能方面，要求采用通用性好、安全可靠的操作系统以及大型数据库系统，保证系统良好的性能，满足系统数据的存储、访问等需要。</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应用支撑软件性能方面，要求应用支撑平台为业务应用系统的开发和运行提供技术支撑，并具有灵活的可扩充性和高度的可配置管理性，尽量采用统一的软件架构和软件技术，以方便不同应用的整合和减少维护工作量。</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应用系统性能需求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本项目建设的各应用系统之间联系紧密，需要进行数据或功能的相互调用，所以应用系统的性能要求较高，在性能上，对处理性能应满足如下要求：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系统有效工作时间：</w:t>
      </w:r>
      <w:r>
        <w:rPr>
          <w:rFonts w:ascii="Times New Roman" w:hAnsi="Times New Roman" w:eastAsia="Times New Roman" w:cs="Times New Roman"/>
          <w:color w:val="000000"/>
          <w:sz w:val="28"/>
        </w:rPr>
        <w:t xml:space="preserve">≥99.9%</w:t>
      </w:r>
      <w:r>
        <w:rPr>
          <w:rFonts w:ascii="FangSong" w:hAnsi="FangSong" w:eastAsia="FangSong" w:cs="FangSong"/>
          <w:color w:val="000000"/>
          <w:sz w:val="28"/>
        </w:rPr>
        <w:t xml:space="preserve">；</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系统故障恢复时间不超过</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分钟；</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不出现以下情况：无故退出系统；发生系统不可控制的故障提示；因系统故障导致操作系统或机器无法正常操作。</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响应指标应满足如下要求：</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简单事务处理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包含各类信息录入、修改、查询业务、主要页面平均响应时间等</w:t>
      </w:r>
      <w:r>
        <w:rPr>
          <w:rFonts w:ascii="Times New Roman" w:hAnsi="Times New Roman" w:eastAsia="Times New Roman" w:cs="Times New Roman"/>
          <w:color w:val="000000"/>
          <w:sz w:val="28"/>
        </w:rPr>
        <w:t xml:space="preserve">)≤2s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发用户）；</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信息录入、修改型简单事务：平均响应时间</w:t>
      </w:r>
      <w:r>
        <w:rPr>
          <w:rFonts w:ascii="Times New Roman" w:hAnsi="Times New Roman" w:eastAsia="Times New Roman" w:cs="Times New Roman"/>
          <w:color w:val="000000"/>
          <w:sz w:val="28"/>
        </w:rPr>
        <w:t xml:space="preserve">≤3s</w:t>
      </w:r>
      <w:r>
        <w:rPr>
          <w:rFonts w:ascii="FangSong" w:hAnsi="FangSong" w:eastAsia="FangSong" w:cs="FangSong"/>
          <w:color w:val="000000"/>
          <w:sz w:val="28"/>
        </w:rPr>
        <w:t xml:space="preserve">；并发用户的前提下达到的指标。</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复杂事务处理</w:t>
      </w:r>
      <w:r>
        <w:rPr>
          <w:rFonts w:ascii="Times New Roman" w:hAnsi="Times New Roman" w:eastAsia="Times New Roman" w:cs="Times New Roman"/>
          <w:color w:val="000000"/>
          <w:sz w:val="28"/>
        </w:rPr>
        <w:t xml:space="preserve">≤5s(200</w:t>
      </w:r>
      <w:r>
        <w:rPr>
          <w:rFonts w:ascii="FangSong" w:hAnsi="FangSong" w:eastAsia="FangSong" w:cs="FangSong"/>
          <w:color w:val="000000"/>
          <w:sz w:val="28"/>
        </w:rPr>
        <w:t xml:space="preserve">发用户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各类固定统计报表形成时间：</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分钟；</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在应急操作环境下，浏览响应时间在</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秒之内。</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安全需求</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着政府信息化系统的不断完善，系统的应用效果对网络和信息的依赖性将不断增强，政务专网上多个其他相关政府部门协同办理系统，更加要求系统保障信息的保密性、完整性和可用性。因此，系统必须能够抵御各种信息安全威胁和风险。本系统中，信息安全威胁和风险主要包括内部威胁、外部威胁以及信息传输风险。</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系统面向政府部门，需保证基础网络环境的安全。系统的运行主要依托于泰州市政务云相关安全设备，从而保证了网络的安全性。对于各区域边界的安全，主要包括从边界访问控制、边界完整性检测、边界入侵防范以及边界安全审计等方面。根据区域边界的安全建设需求点，需要针对各业务单位自身的信息系统现状，依托逻辑隔离、物理隔离、安全强隔离、</w:t>
      </w:r>
      <w:r>
        <w:rPr>
          <w:rFonts w:ascii="Times New Roman" w:hAnsi="Times New Roman" w:eastAsia="Times New Roman" w:cs="Times New Roman"/>
          <w:color w:val="000000"/>
          <w:sz w:val="28"/>
        </w:rPr>
        <w:t xml:space="preserve">DDOS</w:t>
      </w:r>
      <w:r>
        <w:rPr>
          <w:rFonts w:ascii="FangSong" w:hAnsi="FangSong" w:eastAsia="FangSong" w:cs="FangSong"/>
          <w:color w:val="000000"/>
          <w:sz w:val="28"/>
        </w:rPr>
        <w:t xml:space="preserve">攻击、应用层攻击、防病毒网关、运维审计堡垒机、网络及数据库审计等工作点，进行区域边界安全设计。对于数据区需要新增部署数据库防火墙，针对数据库的各类攻击，实现对数据库访问控制防护。</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本项目非常重视数据的安全性。因此，系统需建立有效的数据安全保障机制，从数据的传输安全、数据加密、数据分级、数据备份恢复等多个方面提供数据安全保障，从而保证数据传输载体安全性、数据本身安全性及数据获取安全性。做好严格的访问控制策略，保证数据对各部门内部开放，禁止因不相关人员的非法登录而造成的数据丢失、损毁。设备故障、病毒、功率波动以及其它故障均可能导致协同数据库中存储的重要数据丢失，因此在数据安全方面还应该考虑数据的备份与恢复。</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安全：在系统中需设定严格的用户角色和访问权限，要求能够做到提供专用的登陆控制模块对登陆用户身份进行身份标识和鉴别，保证应用系统中部存在重复用户标识，身份鉴别信息不易被冒用。并且对于系统的安全而言，应该提供登陆失败的处理功能。在访问权限上，应该授予不同账户为完成各自承担任务所需的最小权限，并在它们之间形成相互制约的关系。</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14.6.技术方案</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14.6.1.总体架构</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服务架构设计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依托现有数字化运维管理平台，持续巩固运维服务数智化赋能成果，保持泰州市政务应用整体健康智治的现有成效。</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年泰州市数字化运维服务架构，将严格沿用已搭建完成的大运维体系，坚守</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数智深化、效能提升、生态协同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既定核心目标；依托当前在用的数字化运维管理平台，延续运维服务现有运行模式，稳步保障全市政务应用整体健康智治常态化落地，持续为数字泰州建设筑牢稳固长效的运维支撑。</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总体运维服务架构如下：</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552700"/>
                <wp:effectExtent l="0" t="0" r="0" b="0"/>
                <wp:docPr id="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07258" name=""/>
                        <pic:cNvPicPr>
                          <a:picLocks noChangeAspect="1"/>
                        </pic:cNvPicPr>
                        <pic:nvPr/>
                      </pic:nvPicPr>
                      <pic:blipFill>
                        <a:blip/>
                        <a:stretch/>
                      </pic:blipFill>
                      <pic:spPr bwMode="auto">
                        <a:xfrm>
                          <a:off x="0" y="0"/>
                          <a:ext cx="5267324" cy="2552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14.8pt;height:201.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32"/>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系统架构设计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本数字化运维管理服务系统采用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一屏、</w:t>
      </w:r>
      <w:r>
        <w:rPr>
          <w:rFonts w:ascii="Times New Roman" w:hAnsi="Times New Roman" w:eastAsia="Times New Roman" w:cs="Times New Roman"/>
          <w:color w:val="000000"/>
          <w:sz w:val="28"/>
        </w:rPr>
        <w:t xml:space="preserve">N</w:t>
      </w:r>
      <w:r>
        <w:rPr>
          <w:rFonts w:ascii="FangSong" w:hAnsi="FangSong" w:eastAsia="FangSong" w:cs="FangSong"/>
          <w:color w:val="000000"/>
          <w:sz w:val="28"/>
        </w:rPr>
        <w:t xml:space="preserve">工具、一库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的分层协同架构，以可视化呈现为核心入口、功能工具为执行支撑、数据底座为基础保障，按需构建覆盖运维全流程的高效管控体系。</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作为系统的可视化呈现层，是运维状态与流程的全局展示界面，集成数字孪生、态势感知、全链快响核心模块：其中数字孪生模块直观呈现运维对象的关联关系与分布逻辑；态势感知模块以实时监控与数据面板为载体，动态展示运维指标与运行状态；全链快响模块则集中呈现故障、告警、预案的全生命周期状态，助力运维人员快速掌握全局态势。</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“N</w:t>
      </w:r>
      <w:r>
        <w:rPr>
          <w:rFonts w:ascii="FangSong" w:hAnsi="FangSong" w:eastAsia="FangSong" w:cs="FangSong"/>
          <w:color w:val="000000"/>
          <w:sz w:val="28"/>
        </w:rPr>
        <w:t xml:space="preserve">工具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是系统的功能工具层，也是运维操作的核心执行载体。各功能集群围绕运维全场景需求协同运作：从运维对象的全维度管理，到监控告警的实时跟踪，再到风险事件的响应、处置与闭环，以及系统自身的权限与组织管理，全面支撑运维工作的标准化、工具化落地。</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作为系统的数据支撑层，是各模块运行的基础数据底座，实现运维相关数据的统一存储、有序流转与共享调用，为上层可视化呈现与功能工具的高效运行提供全面、一致的数据支撑，保障架构各层级的有机协同。</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该架构通过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一屏、</w:t>
      </w:r>
      <w:r>
        <w:rPr>
          <w:rFonts w:ascii="Times New Roman" w:hAnsi="Times New Roman" w:eastAsia="Times New Roman" w:cs="Times New Roman"/>
          <w:color w:val="000000"/>
          <w:sz w:val="28"/>
        </w:rPr>
        <w:t xml:space="preserve">N</w:t>
      </w:r>
      <w:r>
        <w:rPr>
          <w:rFonts w:ascii="FangSong" w:hAnsi="FangSong" w:eastAsia="FangSong" w:cs="FangSong"/>
          <w:color w:val="000000"/>
          <w:sz w:val="28"/>
        </w:rPr>
        <w:t xml:space="preserve">工具、一库</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的分层联动，既实现了运维状态的全局可视、运维操作的高效落地，也保障了数据的统一支撑，为数字化运维管理的智能化、精细化提供了坚实的架构保障。平台架构概览如下图所示：</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790825"/>
                <wp:effectExtent l="0" t="0" r="0" b="0"/>
                <wp:docPr id="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649384" name=""/>
                        <pic:cNvPicPr>
                          <a:picLocks noChangeAspect="1"/>
                        </pic:cNvPicPr>
                        <pic:nvPr/>
                      </pic:nvPicPr>
                      <pic:blipFill>
                        <a:blip/>
                        <a:stretch/>
                      </pic:blipFill>
                      <pic:spPr bwMode="auto">
                        <a:xfrm>
                          <a:off x="0" y="0"/>
                          <a:ext cx="5276849" cy="2790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15.5pt;height:219.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14.6.2.主要功能设计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年运维服务立足</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年核心服务框架，持续为现有政务应用提供全流程日常基础运维保障，严格沿用原有服务内容与执行标准，稳固现有运维场景服务成效，具体如下：</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基础运维服务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作为运维服务的核心基础环节，</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年继续按照业务系统所属部门的实际情况和具体要求，按需提供云资源监控、服务接口监控、日志监控、数据库监控等服务内容。</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云资源监控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延续现有云资源全维度管理模式，保持原有云资源梳理、监控配置等基础服务不变，稳固现有云资源与应用的关联映射标准；持续提供资源优化相关参考建议，依托现有监控数据支撑云资源合理配置，维持既定资源利用效率。</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服务接口监控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沿用现有应用接口全链路监控服务模式，保持按接口业务优先级设置的差异化告警阈值与推送机制，稳定压降无效告警，持续维持告警处置精准度。</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日志监控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保持现有应用日志智能化监控服务标准，延续业务日志、</w:t>
      </w:r>
      <w:r>
        <w:rPr>
          <w:rFonts w:ascii="Times New Roman" w:hAnsi="Times New Roman" w:eastAsia="Times New Roman" w:cs="Times New Roman"/>
          <w:color w:val="000000"/>
          <w:sz w:val="28"/>
        </w:rPr>
        <w:t xml:space="preserve">nginx</w:t>
      </w:r>
      <w:r>
        <w:rPr>
          <w:rFonts w:ascii="FangSong" w:hAnsi="FangSong" w:eastAsia="FangSong" w:cs="FangSong"/>
          <w:color w:val="000000"/>
          <w:sz w:val="28"/>
        </w:rPr>
        <w:t xml:space="preserve">日志梳理及监控规则配置工作，常态化开展日志错误信息与流量信息实时分析，持续保障</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小时日志监控高效稳定运行。</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数据库监控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持续做好现有应用数据库及</w:t>
      </w:r>
      <w:r>
        <w:rPr>
          <w:rFonts w:ascii="Times New Roman" w:hAnsi="Times New Roman" w:eastAsia="Times New Roman" w:cs="Times New Roman"/>
          <w:color w:val="000000"/>
          <w:sz w:val="28"/>
        </w:rPr>
        <w:t xml:space="preserve">Redis</w:t>
      </w:r>
      <w:r>
        <w:rPr>
          <w:rFonts w:ascii="FangSong" w:hAnsi="FangSong" w:eastAsia="FangSong" w:cs="FangSong"/>
          <w:color w:val="000000"/>
          <w:sz w:val="28"/>
        </w:rPr>
        <w:t xml:space="preserve">的常态化管理与监控工作，保持</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小时不间断监控，严格执行异常信息实时告警的原有工作机制。</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监控告警审查服务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年监控告警审查服务沿用</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年核心服务框架，依托现有服务能力，适配运维需求，按照业务系统所属部门的实际情况和具体要求，按需提供监控审查服务，为应用稳定运行提供坚实保障。</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监控审查服务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w:t>
      </w:r>
      <w:r>
        <w:rPr>
          <w:rFonts w:ascii="Times New Roman" w:hAnsi="Times New Roman" w:eastAsia="Times New Roman" w:cs="Times New Roman"/>
          <w:color w:val="000000"/>
          <w:sz w:val="28"/>
        </w:rPr>
        <w:t xml:space="preserve">2025</w:t>
      </w:r>
      <w:r>
        <w:rPr>
          <w:rFonts w:ascii="FangSong" w:hAnsi="FangSong" w:eastAsia="FangSong" w:cs="FangSong"/>
          <w:color w:val="000000"/>
          <w:sz w:val="28"/>
        </w:rPr>
        <w:t xml:space="preserve">年已完成接入的现有纳管应用，将按照各部门使用需求持续开展应用系统实时监控工作。针对服务器、数据库、文件存储等基础层级，继续沿用原有标准，保持</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、内存、网卡流量、网络可用性、文件存储错误码及请求并发数等核心指标的常态化监控覆盖。同时依托审查结果为故障排查、定位与处置提供技术支撑，精准排查应用隐患并及时告知运维人员处理。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故障处置管理服务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年继续按照业务系统所属部门的实际情况和具体要求，依托现有服务流程及处置规范，按需提供协同处置、原因定位、故障通告服务，维持现有应用系统从故障发现到闭环优化的完整服务链条稳定运行。</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协同处置服务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前期运维服务基础上，持续保障现有已接入纳管应用的系统处置工作，优化运维人员、云平台及业务部门的协同联动流程，确保故障处置过程有序高效，实现业务快速恢复，最大限度降低故障对业务的影响。在协同处置落地执行中，按照实际使用需求对现有应用开展动态监测，提前规避重大突发事件，确保故障发生时响应迅速、处置措施精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原因定位服务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聚焦新增纳管应用的技术架构差异及多跨链路关联特点，深化故障原因定位服务，为故障快速恢复及责任划分提供精准支撑。在原因定位上，快速定位直接原因时，依托告警信息时间序列分析结合关联日志，缩小排查范围，提升定位效率。定位直接原因后，同步提供贴合新增应用架构的恢复建议，避免无效操作增加时间成本。</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故障通告服务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结合纳管应用业务覆盖范围扩大的特点，保证故障通告的精准性与时效性，确保相关部门及用户及时掌握故障动态。重点实现故障发现阶段的告警信息快速同步，保障信息传递的全面性与及时性。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应急演练服务</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三个月定期开展安全事件模拟演练，按实际使用需求定期组织，通过模拟安全事件来测试和提高各应用系统对真实安全威胁的快速响应和有效处置能力的过程，巩固运维团队在紧急场景下的应急响应、故障排查、系统恢复及业务连续性保障能力，同步提供应急演练方案与应急演练报告。</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（三）数字化运维系统工具能力</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运维对象管理能力</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系统支持按需提供纳管应用的接入工作，为运维全流程提供扎实的数据支撑。</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应用管理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应用管理是通过对运维应用信息进行统一维护，对主应用和子应用信息分别进行规范化，明确应用责任单位信息及责任人信息，同时对应用间关联关系进行维护，构建各应用间依赖关系。</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9091"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通过执行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新增应用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操作即可完成主应用的创建流程。</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029982"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当主应用信息发生变更时，支持通过编辑操作实现信息更新。</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349435"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关系管理指不同应用之间存在的接口调用或数据交互关系，当上游应用发生故障时，会对下游应用的正常运行产生不同程度的影响。为实现故障的快速定位与及时处置，需清晰维护应用间的调用链路。</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关系列表主要展示应用编号、应用名称、已关联云资源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总数、创建时间等信息。</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21405"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通过执行构建操作即可完成应用调用关系的创建，确保关系梳理的规范性。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已建立依赖关系的主应用与子应用，支持对依赖关系进行更新操作，包括新增、删除及修改依赖链路。当应用关联的各类运维对象发生关系变动时，运维人员可自主调整各节点的上下游关联关系，保障依赖关系的实时准确性。</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70977"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云资源管理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应用系统各类资产的接入工作，涵盖云主机、数据库等云基础资源，生成云资源清单后挂载至对应主应用及子应用。云资源管理包含三大核心功能，分别为云资源清单管理、云资源配置管理、云资源监控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云资源清单是对应用需要运维监控的各类资产的清单化管理，包含</w:t>
      </w:r>
      <w:r>
        <w:rPr>
          <w:rFonts w:ascii="Times New Roman" w:hAnsi="Times New Roman" w:eastAsia="Times New Roman" w:cs="Times New Roman"/>
          <w:color w:val="000000"/>
          <w:sz w:val="28"/>
        </w:rPr>
        <w:t xml:space="preserve">ECS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RDS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OSS</w:t>
      </w:r>
      <w:r>
        <w:rPr>
          <w:rFonts w:ascii="FangSong" w:hAnsi="FangSong" w:eastAsia="FangSong" w:cs="FangSong"/>
          <w:color w:val="000000"/>
          <w:sz w:val="28"/>
        </w:rPr>
        <w:t xml:space="preserve">等不同类型。列表重点展示各类云资源的实例</w:t>
      </w:r>
      <w:r>
        <w:rPr>
          <w:rFonts w:ascii="Times New Roman" w:hAnsi="Times New Roman" w:eastAsia="Times New Roman" w:cs="Times New Roman"/>
          <w:color w:val="000000"/>
          <w:sz w:val="28"/>
        </w:rPr>
        <w:t xml:space="preserve">ID</w:t>
      </w:r>
      <w:r>
        <w:rPr>
          <w:rFonts w:ascii="FangSong" w:hAnsi="FangSong" w:eastAsia="FangSong" w:cs="FangSong"/>
          <w:color w:val="000000"/>
          <w:sz w:val="28"/>
        </w:rPr>
        <w:t xml:space="preserve">、实例名称、所属应用、所属云平台、关联状态等关键信息，清晰呈现资产基础属性及关联情况。</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17689"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通过执行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新增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操作，即可完成各类云资源的建档录入工作，操作流程简洁高效。通过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编辑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功能可实现云资源信息的更新调整，确保资产信息与实际情况保持一致。</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09579"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云资源接入是对应用运维监控所需各类资产的归属关联关系进行配置操作。通过建立归属关联的方式，与对应应用形成绑定关系，明确资产的运维责任归属及业务关联场景。</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89529"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云资源监控管理是对各类资产的关键指标开展常态化监控管理。支持按时间维度、资产类型等不同筛选条件，便于运维人员高效开展运维工作。</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581275"/>
                <wp:effectExtent l="0" t="0" r="0" b="0"/>
                <wp:docPr id="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66148" name=""/>
                        <pic:cNvPicPr>
                          <a:picLocks noChangeAspect="1"/>
                        </pic:cNvPicPr>
                        <pic:nvPr/>
                      </pic:nvPicPr>
                      <pic:blipFill>
                        <a:blip/>
                        <a:stretch/>
                      </pic:blipFill>
                      <pic:spPr bwMode="auto">
                        <a:xfrm>
                          <a:off x="0" y="0"/>
                          <a:ext cx="5276849" cy="2581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15.5pt;height:203.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543175"/>
                <wp:effectExtent l="0" t="0" r="0" b="0"/>
                <wp:docPr id="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78132" name=""/>
                        <pic:cNvPicPr>
                          <a:picLocks noChangeAspect="1"/>
                        </pic:cNvPicPr>
                        <pic:nvPr/>
                      </pic:nvPicPr>
                      <pic:blipFill>
                        <a:blip/>
                        <a:stretch/>
                      </pic:blipFill>
                      <pic:spPr bwMode="auto">
                        <a:xfrm>
                          <a:off x="0" y="0"/>
                          <a:ext cx="5276849" cy="2543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15.5pt;height:200.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规则预案管理能力</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则预案管理能力依托规则预案中心落地实现，该中心整合了预警告警规则管理和应急预案管理。通过对运行管理全流程中的规则、预案、制度等知识进行系统化沉淀与管理，为运行管理工作提供标准化指导依据，保障工作开展高效且有序。</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规则管理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规则管理以预警告警规则的全生命周期管控为核心，通过该功能可完成各类运维对象监控项的录入，同时设定对应的预警阈值与告警阈值，并支持阈值的动态调整。</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061142"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应急预案管理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预案管理聚焦风险的前置防控与高效处置，通过该功能可针对各类潜在风险预设标准化应急预案，明确应对不同风险的标准化处置流程。这些预案一方面为运行管理责任人开展应急演练提供明确依据，另一方面在风险实际发生时，可通过体系化的预案指导快速处置，最大限度缩短问题持续时间，降低风险影响。</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77544"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监控告警能力</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基于已沉淀的预警告警规则，完成应用的主动探测、日志监控等配置管理工作。</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监控配置管理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监控配置管理核心依托已沉淀的预警告警规则开展，按照实际使用需求对各类对象的单个实例开展主动探测及监控告警等配置工作。</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440929"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预警告警管理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预警告警管理综合展示实例监控配置的执行结果信息，还会完整留存预警告警的历史记录，支持通过多维度筛选条件快速定位目标记录。</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预警告警清单中的预警告警记录，系统提供差异化处置路径：若需升级为故障，可通过一键操作转入故障流程，后续记录将同步流转至故障清单中；若无需升级为故障，相关责任人需在规定时限内完成告警的接管与关闭操作，同时详实录入告警产生的原因及具体处理结果，形成完整处置档案。</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预警告警清单整合了预警告警列表展示、历史记录留存、告警升级处理、告警接管操作及告警关闭登记五大核心功能，全方位覆盖告警处置全流程需求。</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096302"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消息通知管理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消息通知管理通过定制消息通知模板，将已完成配置的实例监控告警结果精准推送至各订阅渠道，确保数据传递的及时性与准确性。</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691955"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已完成订阅的监控项，一旦触发报警阈值，系统将立即通过预设的订阅渠道发送报警提醒。</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562225" cy="3695700"/>
                <wp:effectExtent l="0" t="0" r="0" b="0"/>
                <wp:docPr id="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31997" name=""/>
                        <pic:cNvPicPr>
                          <a:picLocks noChangeAspect="1"/>
                        </pic:cNvPicPr>
                        <pic:nvPr/>
                      </pic:nvPicPr>
                      <pic:blipFill>
                        <a:blip/>
                        <a:stretch/>
                      </pic:blipFill>
                      <pic:spPr bwMode="auto">
                        <a:xfrm>
                          <a:off x="0" y="0"/>
                          <a:ext cx="2562224" cy="3695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01.8pt;height:291.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609850" cy="3762375"/>
                <wp:effectExtent l="0" t="0" r="0" b="0"/>
                <wp:docPr id="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047300" name=""/>
                        <pic:cNvPicPr>
                          <a:picLocks noChangeAspect="1"/>
                        </pic:cNvPicPr>
                        <pic:nvPr/>
                      </pic:nvPicPr>
                      <pic:blipFill>
                        <a:blip/>
                        <a:stretch/>
                      </pic:blipFill>
                      <pic:spPr bwMode="auto">
                        <a:xfrm>
                          <a:off x="0" y="0"/>
                          <a:ext cx="2609849" cy="37623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05.5pt;height:296.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风险处置能力</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故障发生后，严格遵循</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故障响应、应急止血、原因定位、故障恢复、故障复盘</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的标准化流程推进处置工作，同步记录各环节关键节点信息，最终形成完整故障报告；同时梳理形成整改清单，确保风险闭环管控。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故障处置</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故障处置功能以全流程规范化管控为核心，依托</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故障响应、应急处理、故障定位、故障修复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四大关键节点，推动各责任方及时开展处置工作，实现处置全流程痕迹化管理。</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故障处置功能涵盖故障列表管理、故障创建、故障响应、应急处理、故障定位、故障修复、故障复盘等核心模块，全方位覆盖故障从产生到闭环的全生命周期需求。</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16762"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系统支持历史故障记录的查询与管理，可检索历史故障的名称、等级、持续时长、开始时间等信息。</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41437"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创建支持两种核心生成路径：一是由监控告警直接升级形成故障记录；二是针对监控未覆盖但通过人工发现或其他渠道获知的故障，通过自主创建方式录入系统。人工自主创建故障时，需详实填报关联主应用、发现时间、故障具体现象、影响范围等关键信息。</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信息维护功能覆盖人工创建及预警告警升级生成的两类故障，对其基础信息实施全生命周期维护。当故障的影响范围、故障等级等关键信息发生变更时，支持运维人员实时编辑更新，确保故障信息与处置进展保持一致。</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97504"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响应环节要求运维人员在故障发生后第一时间响应并完成初步研判，同步更新故障响应时间及节点进度描述，支持多轮次进度记录录入。该环节需详实登记故障发现时间、响应时间、具体故障现象、影响范围等核心信息，并实时记录处置进展的变动情况，为后续复盘提供清晰的响应链路依据。</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148648"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应急处理在故障响应完成后启动，核心目标是实现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应急止血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，控制故障影响范围扩大。处置过程中需及时更新应急处理时间及节点进度描述，支持多轮次记录处置进展，确保应急措施的执行过程可追溯。</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348495"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故障定位环节在应急止血后开展，运维人员需精准定位故障根本原因，同步更新原因定位时间及节点进度描述，支持多轮次记录定位过程中的关键信息，为后续修复及复盘提供精准的原因依据。</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931918"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故障修复环节在原因定位明确后推进，运维人员实施修复操作时，需实时更新修复时间及节点进度描述，支持多轮次记录修复过程中的进展变动，确保修复工作的全流程痕迹化管理。</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74659"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故障复盘环节在故障修复完成后启动，核心是对故障全流程开展深度复盘。</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310824"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分析评价管理能力</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分析评价管理能力聚焦运行管理的全维度管控与科学评价，支持对整体运行管理态势开展汇总统计与分析。</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统计分析</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分析功能以数据汇总与可视化呈现为核心，整合应用系统运行全维度数据开展集中分析，分析结果通过柱状图、折线图、饼图等可视化图表直观展示，助力运行管理负责人从全局视角精准掌握整体运行管理状况。</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资产统计分析针对各应用关联的全类型资产，开展数量统计与分布态势分析。系统页面通过资产类型分布柱状图，清晰呈现各类资产的数量规模对比。</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622823"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资源使用统计分析聚焦各应用及关联的各类资产，开展资源使用状态的精细化统计分析。通过资源使用概览模块，直观呈现各类资产的核心使用指标，包括</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使用率、内存使用率、存储使用率等关键数据；通过应用资产使用明细列表，精准展示单个应用下属所有资产的具体使用情况。</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53392"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故障统计分析围绕各应用系统的故障数据，开展多维度统计分析，覆盖故障发生数量、故障责任单位归属等核心维度。</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281010"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警告警统计分析围绕各应用产生的预警与告警数据，开展多维度统计分析，涵盖预警告警数量、平均响应时长、平均处置时长等核心指标。系统通过预警告警处置效能排行表，集中呈现各应用的预警发生数量、告警发生数量、平均响应时长及平均处置时长等关键数据，直观反映各应用预警告警处置的效率与质量。</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736839"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考核评价</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考核评价功能聚焦构建标准化考核评价体系，支持按照实际业务需求，根据不同考核场景及指定时间节点，灵活配置考核对象与考核指标。</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48373"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考核计算完成后，支持通过详情查看功能获取考核明细信息。考核明细以清单形式清晰呈现，涵盖考核应用名称、具体考核项、考核标准要求、扣分明细说明等核心内容。对于系统判断类型的考核项，若产生扣分情况，将同步展示详细扣分明细，点击即可查看具体扣分原因，确保考核结果可追溯、可核查。</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419350"/>
                <wp:effectExtent l="0" t="0" r="0" b="0"/>
                <wp:docPr id="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24040" name=""/>
                        <pic:cNvPicPr>
                          <a:picLocks noChangeAspect="1"/>
                        </pic:cNvPicPr>
                        <pic:nvPr/>
                      </pic:nvPicPr>
                      <pic:blipFill>
                        <a:blip/>
                        <a:stretch/>
                      </pic:blipFill>
                      <pic:spPr bwMode="auto">
                        <a:xfrm>
                          <a:off x="0" y="0"/>
                          <a:ext cx="5267324" cy="2419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14.8pt;height:19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统一指挥调度能力</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一屏统览、精准调度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为核心，实时呈现整体服务运行态势，为应急指挥提供数据化决策支撑，固化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快发现、快响应、快处置、快复盘</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的四快闭环运转机制，提升运维指挥的高效性与精准性。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数字孪生</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象孪生针对区域及各部门数字化改革应用体系构建数字孪生映射，将基础设施、数据资源、组件、应用、终端等各类对象及属性全量上屏呈现，直观展现各层级、各类型资产的依赖链路、实时运行状态及数量规模。数字孪生首页在大屏端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终端</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业务应用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应用支撑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数据资源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基础设施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五大层级布局展示，实现资产全维度可视化管控。</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943225"/>
                <wp:effectExtent l="0" t="0" r="0" b="0"/>
                <wp:docPr id="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09538" name=""/>
                        <pic:cNvPicPr>
                          <a:picLocks noChangeAspect="1"/>
                        </pic:cNvPicPr>
                        <pic:nvPr/>
                      </pic:nvPicPr>
                      <pic:blipFill>
                        <a:blip/>
                        <a:stretch/>
                      </pic:blipFill>
                      <pic:spPr bwMode="auto">
                        <a:xfrm>
                          <a:off x="0" y="0"/>
                          <a:ext cx="5276849" cy="2943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15.5pt;height:231.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产分析针对数字孪生页面基础设施层的资产，支持下钻至分析面板开展精细化分析，面板核心涵盖预警趋势、预警清单、资源使用分析三大模块。一是预警趋势分析，以时间轴为维度呈现当日及近一个月的预警、告警数据，通过可视化图表展示预警数量变化趋势；二是预警清单展示，呈现当前最新预警告警数量及明细清单，同步以可视化形式展示预警时间分布规律；三是资源使用分析，以资源列表形式呈现选中资源集合的基础信息，点击单个资源卡片可查看云资源监控指标的变化趋势，支持当日趋势与昨日趋势的对比分析，助力快速识别指标异常。</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943225"/>
                <wp:effectExtent l="0" t="0" r="0" b="0"/>
                <wp:docPr id="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298202" name=""/>
                        <pic:cNvPicPr>
                          <a:picLocks noChangeAspect="1"/>
                        </pic:cNvPicPr>
                        <pic:nvPr/>
                      </pic:nvPicPr>
                      <pic:blipFill>
                        <a:blip/>
                        <a:stretch/>
                      </pic:blipFill>
                      <pic:spPr bwMode="auto">
                        <a:xfrm>
                          <a:off x="0" y="0"/>
                          <a:ext cx="5267324" cy="2943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14.8pt;height:231.8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态势感知</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态势感知模块聚焦应用全链路运行态势的精准呈现，实时展示应用间调用数据及应用内部各层级资源的交互数据，同步动态感知各应用的预警、告警、故障等异常状态，实现运维态势的全景掌控。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图谱实现应用间拓扑关系的可视化呈现，精准感知应用主体及依赖关系的运行态势。具体支持：一是应用主体分类展示，可按区域、部门、应用类别在大屏端呈现应用，展示内容包含应用名称、预警告警数量等核心信息；二是运行状态差异化展示，以黄色、橙色、红色、蓝色分别标识应用及调用链路的预警、告警、故障、正常四种状态；三是核心指标汇总展示，对大屏呈现的所有应用，集中展示总故障数、故障总时长、平均恢复时长等运行指标；四是访问态势排行，助力运维人员聚焦重点风险应用。</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3000375"/>
                <wp:effectExtent l="0" t="0" r="0" b="0"/>
                <wp:docPr id="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787263" name=""/>
                        <pic:cNvPicPr>
                          <a:picLocks noChangeAspect="1"/>
                        </pic:cNvPicPr>
                        <pic:nvPr/>
                      </pic:nvPicPr>
                      <pic:blipFill>
                        <a:blip/>
                        <a:stretch/>
                      </pic:blipFill>
                      <pic:spPr bwMode="auto">
                        <a:xfrm>
                          <a:off x="0" y="0"/>
                          <a:ext cx="5267324" cy="3000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14.8pt;height:236.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看板针对应用运行的相关数据及预警情况，以应用看板为载体聚合呈现，帮助运维人员快速掌握应用基础信息与运行状态。看板核心包含：一是业务运行趋势，展示应用当日访问量、每分钟访问量、每分钟响应时长等核心指标，以数值及趋势图结合的方式呈现；二是故障实时概况，展示应用当前故障数量及具体故障内容；三是资源监控状态，呈现应用资源监控产生的预警告警数量及明细。</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67325" cy="2933700"/>
                <wp:effectExtent l="0" t="0" r="0" b="0"/>
                <wp:docPr id="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42473" name=""/>
                        <pic:cNvPicPr>
                          <a:picLocks noChangeAspect="1"/>
                        </pic:cNvPicPr>
                        <pic:nvPr/>
                      </pic:nvPicPr>
                      <pic:blipFill>
                        <a:blip/>
                        <a:stretch/>
                      </pic:blipFill>
                      <pic:spPr bwMode="auto">
                        <a:xfrm>
                          <a:off x="0" y="0"/>
                          <a:ext cx="5267324" cy="2933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14.8pt;height:231.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w:t>
      </w:r>
      <w:r>
        <w:rPr>
          <w:rFonts w:ascii="FangSong" w:hAnsi="FangSong" w:eastAsia="FangSong" w:cs="FangSong"/>
          <w:color w:val="000000"/>
          <w:sz w:val="28"/>
        </w:rPr>
        <w:t xml:space="preserve">资源优化</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资源优化板块聚焦应用系统资源使用的精细化分析与优化指引，通过资源数量梳理、使用状态分析、运行状态监控等维度开展系统分析，为各应用提供针对性资源优化建议，提升资源利用效率。</w:t>
      </w:r>
      <w:r/>
    </w:p>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971800"/>
                <wp:effectExtent l="0" t="0" r="0" b="0"/>
                <wp:docPr id="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877658" name=""/>
                        <pic:cNvPicPr>
                          <a:picLocks noChangeAspect="1"/>
                        </pic:cNvPicPr>
                        <pic:nvPr/>
                      </pic:nvPicPr>
                      <pic:blipFill>
                        <a:blip/>
                        <a:stretch/>
                      </pic:blipFill>
                      <pic:spPr bwMode="auto">
                        <a:xfrm>
                          <a:off x="0" y="0"/>
                          <a:ext cx="5276849" cy="29718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15.5pt;height:234.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资源梳理模块实现对资源全维度信息的精准掌握，涵盖资源类型、数量规模、使用状态、达标情况等核心维度的分析。</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一是资源梳理统计，对接入指挥大屏的所有应用涉及的主要资源类型及各类资源数量进行汇总核算，实现资源底数清晰可控；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二是使用状态分析，对已梳理的资源开展使用情况统计，重点分析</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、内存、存储三大核心指标的使用量；</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三是达标情况评估，统计各类资源使用量并对照标准区间，按正常、过饱和、不饱和三类判定资源使用达标状态。</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581275" cy="3943350"/>
                <wp:effectExtent l="0" t="0" r="0" b="0"/>
                <wp:docPr id="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496621" name=""/>
                        <pic:cNvPicPr>
                          <a:picLocks noChangeAspect="1"/>
                        </pic:cNvPicPr>
                        <pic:nvPr/>
                      </pic:nvPicPr>
                      <pic:blipFill>
                        <a:blip/>
                        <a:stretch/>
                      </pic:blipFill>
                      <pic:spPr bwMode="auto">
                        <a:xfrm>
                          <a:off x="0" y="0"/>
                          <a:ext cx="2581274" cy="3943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203.2pt;height:31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6.4</w:t>
      </w:r>
      <w:r>
        <w:rPr>
          <w:rFonts w:ascii="FangSong" w:hAnsi="FangSong" w:eastAsia="FangSong" w:cs="FangSong"/>
          <w:color w:val="000000"/>
          <w:sz w:val="28"/>
        </w:rPr>
        <w:t xml:space="preserve">综合评价</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综合评价板块以运维相关指标为依据，进行排行展示。</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评价榜单根据评价对象、评价周期、评价指标的差异，展示多维度排行结果。</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14.6.3.与市级基础平台关联关系</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数字资产管理平台：依托数字资产管理平台进行应用编目数据的同步和更新，实现应用编目数据与运维系统的关联，同时实现与数字资产管理平台的单点登录。</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公共数据平台：梳理数字资产运维管理相关的数据资源目录信息，依托公共数据平台进行数据汇聚、治理、挖掘、分析、安全管控。</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泰政通：依托泰政通平台的用户身份统一认证和单点登录，实现移动端消息订阅、应用预告警处置等。</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14.6.4.信息安全</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本项目以满足国家信息安全等级保护三级要求为前提条件，安全框架从分层、纵深防御思想出发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根据层次分为物理安全、网络安全、主机安全、应用安全、数据安全层面，用来进行平台安全解决方案的设计。</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14.7.服务预算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安全运营管理平台服务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网络安全监测平台服务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未知威胁检测探针服务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API安全监测平台服务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网络资产测绘平台服务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威胁情报联防平台服务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网络安全沙箱服务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网页防篡改服务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违规外联检测平台服务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零信任管控平台服务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网络安全攻防演练服务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网络和数据安全宣传活动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网络应急响应与溯源取证服务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重要时期安全保障服务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重要信息系统安全检测服务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系统上线前安全检测服务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网络安全驻场服务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静态脱敏系统服务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数据库运维管理平台高可用服务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数据安全驻场服务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数据安全平台功能保障服务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数字化运维平台工具租赁费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148.2</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应急演练服务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p>
        </w:tc>
      </w:tr>
      <w:tr>
        <w:trPr>
          <w:trHeight w:val="2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485</w:t>
            </w:r>
            <w:r/>
          </w:p>
        </w:tc>
      </w:tr>
    </w:tbl>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15.市一网统管城市运行指标（2026）项目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15.1.预期目标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本项目依托现有数字底座，搭建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技术稳固、场景实用、协同高效、安全可控</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的智慧化数字服务体系，打通</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端深度业务办理与移动端轻量化办公联动通道，夯实人工智能赋能政务办公、城市治理的核心能力。项目具体建设目标分为五大维度，详细内容如下：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技术支撑维度：迭代升级</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底座核心功能，保障高频次基础能力稳定调用，健全跨部门数据共享管理制度，实现市级重点部门数据高效互通、实时同步。搭建标准化技术接口体系，适配现有孪生城市数字底座、泰政通等各类存量系统，完成无缝对接，全面提升系统的兼容性与可拓展性，筑牢项目数字化技术根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应用场景维度：</w:t>
      </w:r>
      <w:r>
        <w:rPr>
          <w:rFonts w:ascii="Times New Roman" w:hAnsi="Times New Roman" w:eastAsia="Times New Roman" w:cs="Times New Roman"/>
          <w:color w:val="000000"/>
          <w:sz w:val="28"/>
        </w:rPr>
        <w:t xml:space="preserve">PC</w:t>
      </w:r>
      <w:r>
        <w:rPr>
          <w:rFonts w:ascii="FangSong" w:hAnsi="FangSong" w:eastAsia="FangSong" w:cs="FangSong"/>
          <w:color w:val="000000"/>
          <w:sz w:val="28"/>
        </w:rPr>
        <w:t xml:space="preserve">端政务智能办公平台全面覆盖市级重点政务部门，有效提升公文编撰效率、政策检索响应速度，助力本地政务知识资产规模化、体系化沉淀，搭建完善的政务知识库。移动端依托</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泰政通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统一入口，整合归集城市运行核心指标数据，全方位适配公务人员外出办公核心场景，优化功能响应速度，强化离线操作能力，大幅提升移动办公便捷性。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协同治理维度：搭建跨部门事项协同处置闭环管理机制，压缩跨部门业务办理时长，依托智能化辅助工具减负基层事务性工作。构建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市级统筹、区县联动、部门协同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的一体化政务服务运行体系，实现市级核心部门、重点区县单位及一线办公人员的全覆盖，全面提升政务协同治理效能。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保障维度：严格对标网络安全等级保护相关标准，搭建全流程、全方位的数据安全防护体系，实现敏感数据安全合规存储，完成全量操作日志全程溯源审计。建立常态化安全监测、风险预警及应急处置机制，严防数据违规访问、泄露等问题，保障系统长期安全稳定运行，杜绝重大安全事故发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可持续运营维度：创新构建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基础服务免费、增值服务低收费</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可持续运营模式，足额保障项目日常运维、功能迭代优化的资金需求。建立常态化用户意见收集、需求研判及功能迭代机制，持续优化产品体验、提升用户满意度，打造可复制、可推广、可落地的政务数字化转型标杆案例。</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15.2.需求分析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15.2.1.业务需求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项目采用“</w:t>
      </w:r>
      <w:r>
        <w:rPr>
          <w:rFonts w:ascii="Times New Roman" w:hAnsi="Times New Roman" w:eastAsia="Times New Roman" w:cs="Times New Roman"/>
          <w:color w:val="000000"/>
          <w:sz w:val="28"/>
        </w:rPr>
        <w:t xml:space="preserve">1+N+N</w:t>
      </w:r>
      <w:r>
        <w:rPr>
          <w:rFonts w:ascii="FangSong" w:hAnsi="FangSong" w:eastAsia="FangSong" w:cs="FangSong"/>
          <w:color w:val="000000"/>
          <w:sz w:val="28"/>
        </w:rPr>
        <w:t xml:space="preserve">”模式，用一套大模型打造“一网统管城市运行指标智能中枢”，构建“</w:t>
      </w:r>
      <w:r>
        <w:rPr>
          <w:rFonts w:ascii="Times New Roman" w:hAnsi="Times New Roman" w:eastAsia="Times New Roman" w:cs="Times New Roman"/>
          <w:color w:val="000000"/>
          <w:sz w:val="28"/>
        </w:rPr>
        <w:t xml:space="preserve">N</w:t>
      </w:r>
      <w:r>
        <w:rPr>
          <w:rFonts w:ascii="FangSong" w:hAnsi="FangSong" w:eastAsia="FangSong" w:cs="FangSong"/>
          <w:color w:val="000000"/>
          <w:sz w:val="28"/>
        </w:rPr>
        <w:t xml:space="preserve">场景”服务决策与管理，打造“</w:t>
      </w:r>
      <w:r>
        <w:rPr>
          <w:rFonts w:ascii="Times New Roman" w:hAnsi="Times New Roman" w:eastAsia="Times New Roman" w:cs="Times New Roman"/>
          <w:color w:val="000000"/>
          <w:sz w:val="28"/>
        </w:rPr>
        <w:t xml:space="preserve">N</w:t>
      </w:r>
      <w:r>
        <w:rPr>
          <w:rFonts w:ascii="FangSong" w:hAnsi="FangSong" w:eastAsia="FangSong" w:cs="FangSong"/>
          <w:color w:val="000000"/>
          <w:sz w:val="28"/>
        </w:rPr>
        <w:t xml:space="preserve">工具”助力提升政务工作智能化。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枢：构建一套城市运行管理专属大模型，运用大模型现有多模态融合、高效推理能力，整合各应用系统和部门提供的业务数据，打造“一网统管城市运行指标智能中枢”，助力城市运行工作的开展的智能化、智慧化升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N</w:t>
      </w:r>
      <w:r>
        <w:rPr>
          <w:rFonts w:ascii="FangSong" w:hAnsi="FangSong" w:eastAsia="FangSong" w:cs="FangSong"/>
          <w:color w:val="000000"/>
          <w:sz w:val="28"/>
        </w:rPr>
        <w:t xml:space="preserve">场景：在前期项目构建的公共安全、城市治理等场景基础上，将进一步拓展至低空经济、智慧应急与交通运输等新兴领域，打造低空数据共享与监管应用场景。通过构建“下单——接单——飞行——交付——沉淀——资产”闭环机制，实现低空任务全流程可视化监管与智能调度，形成低空数据的资产化管理模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N</w:t>
      </w:r>
      <w:r>
        <w:rPr>
          <w:rFonts w:ascii="FangSong" w:hAnsi="FangSong" w:eastAsia="FangSong" w:cs="FangSong"/>
          <w:color w:val="000000"/>
          <w:sz w:val="28"/>
        </w:rPr>
        <w:t xml:space="preserve">工具：基于</w:t>
      </w:r>
      <w:r>
        <w:rPr>
          <w:rFonts w:ascii="Times New Roman" w:hAnsi="Times New Roman" w:eastAsia="Times New Roman" w:cs="Times New Roman"/>
          <w:color w:val="000000"/>
          <w:sz w:val="28"/>
        </w:rPr>
        <w:t xml:space="preserve">DeepSeek</w:t>
      </w:r>
      <w:r>
        <w:rPr>
          <w:rFonts w:ascii="FangSong" w:hAnsi="FangSong" w:eastAsia="FangSong" w:cs="FangSong"/>
          <w:color w:val="000000"/>
          <w:sz w:val="28"/>
        </w:rPr>
        <w:t xml:space="preserve">大模型整合智能写作、智能</w:t>
      </w:r>
      <w:r>
        <w:rPr>
          <w:rFonts w:ascii="Times New Roman" w:hAnsi="Times New Roman" w:eastAsia="Times New Roman" w:cs="Times New Roman"/>
          <w:color w:val="000000"/>
          <w:sz w:val="28"/>
        </w:rPr>
        <w:t xml:space="preserve">BI</w:t>
      </w:r>
      <w:r>
        <w:rPr>
          <w:rFonts w:ascii="FangSong" w:hAnsi="FangSong" w:eastAsia="FangSong" w:cs="FangSong"/>
          <w:color w:val="000000"/>
          <w:sz w:val="28"/>
        </w:rPr>
        <w:t xml:space="preserve">可视化模组、智能问答等核心功能，全面赋能政务高效治理与精准服务。</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15.2.2.技术需求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整体建设遵循智能化、轻量化、可扩展的技术架构体系，采用分层设计、模块化建设的总体思路。项目依托平台提供的基础设施、算力资源、应用支撑、安全防护等全套服务能力，基于现有信息化底座进行智能化升级改造与全新应用场景搭建，全面适配场景落地、智能业务赋能、多行业场景适配的核心工作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整体系统搭建严格遵循标准化技术规范、数据安全规范、业务运行管理规范及运维保障机制，构建完善的项目运行支撑体系。系统采用自下而上的分层架构设计，依次搭建基础设施层、数据层、支撑层、核心业务层、交互展示服务层，各层级权责清晰、逐层赋能，以上层业务应用为目标、以下层基础服务为支撑，实现各层级能力贯通、高效协同、灵活调度，保障整体系统稳定、高效、弹性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统一采用单点登录服务模式，整合统一身份认证、权限分级授权、安全校验机制，所有合法用户均可通过统一入口完成身份核验、权限匹配后接入系统，实现一次认证、全域通行，兼顾系统使用便捷性与访问安全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项目以自然语言极简交互（</w:t>
      </w:r>
      <w:r>
        <w:rPr>
          <w:rFonts w:ascii="Times New Roman" w:hAnsi="Times New Roman" w:eastAsia="Times New Roman" w:cs="Times New Roman"/>
          <w:color w:val="000000"/>
          <w:sz w:val="28"/>
        </w:rPr>
        <w:t xml:space="preserve">LUI</w:t>
      </w:r>
      <w:r>
        <w:rPr>
          <w:rFonts w:ascii="FangSong" w:hAnsi="FangSong" w:eastAsia="FangSong" w:cs="FangSong"/>
          <w:color w:val="000000"/>
          <w:sz w:val="28"/>
        </w:rPr>
        <w:t xml:space="preserve">）为核心技术导向，深度践行“</w:t>
      </w:r>
      <w:r>
        <w:rPr>
          <w:rFonts w:ascii="Times New Roman" w:hAnsi="Times New Roman" w:eastAsia="Times New Roman" w:cs="Times New Roman"/>
          <w:color w:val="000000"/>
          <w:sz w:val="28"/>
        </w:rPr>
        <w:t xml:space="preserve">NO APP</w:t>
      </w:r>
      <w:r>
        <w:rPr>
          <w:rFonts w:ascii="FangSong" w:hAnsi="FangSong" w:eastAsia="FangSong" w:cs="FangSong"/>
          <w:color w:val="000000"/>
          <w:sz w:val="28"/>
        </w:rPr>
        <w:t xml:space="preserve">、轻量化、无门槛”的创新产品理念，打破传统应用操作壁垒，重构智能化应用服务形态，实现服务随取随用、智能交互触手可及，大幅降低用户操作成本与场景落地门槛。</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15.3.技术方案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15.3.1.总体架构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系统具体架构示意图如下图所示：</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4953000"/>
                <wp:effectExtent l="0" t="0" r="0" b="0"/>
                <wp:docPr id="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31091" name=""/>
                        <pic:cNvPicPr>
                          <a:picLocks noChangeAspect="1"/>
                        </pic:cNvPicPr>
                        <pic:nvPr/>
                      </pic:nvPicPr>
                      <pic:blipFill>
                        <a:blip/>
                        <a:stretch/>
                      </pic:blipFill>
                      <pic:spPr bwMode="auto">
                        <a:xfrm>
                          <a:off x="0" y="0"/>
                          <a:ext cx="5276849" cy="4952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15.5pt;height:390.0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32"/>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15.3.2.主要功能设计</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15.3.2.1 </w:t>
      </w:r>
      <w:r>
        <w:rPr>
          <w:rFonts w:ascii="FangSong" w:hAnsi="FangSong" w:eastAsia="FangSong" w:cs="FangSong"/>
          <w:color w:val="000000"/>
          <w:sz w:val="28"/>
        </w:rPr>
        <w:t xml:space="preserve">城市运行指标态势分析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大模型的深度思考能力，结合知识库接入的专业数据与数据处理过程，创建城市一网统管、城市运行指标等相关专题分析。支持通过可视化大屏方式进行数据展示，支持修改知识库，支持快捷修改分析时间范围，支持可视化效果调整。如优化城市治理模块（集成城管部门业务数据以及视频监控等多类型数据资源，基于网格化业务数据以及视频监控等多类型数据资源，基于网格化管理，可直观掌握网格区划内城市部件、网格人员、城市环卫、智慧物联、工单时间等全要素对象的位置、状态及详细信息等）整合</w:t>
      </w:r>
      <w:r>
        <w:rPr>
          <w:rFonts w:ascii="Times New Roman" w:hAnsi="Times New Roman" w:eastAsia="Times New Roman" w:cs="Times New Roman"/>
          <w:color w:val="000000"/>
          <w:sz w:val="28"/>
        </w:rPr>
        <w:t xml:space="preserve">12345</w:t>
      </w:r>
      <w:r>
        <w:rPr>
          <w:rFonts w:ascii="FangSong" w:hAnsi="FangSong" w:eastAsia="FangSong" w:cs="FangSong"/>
          <w:color w:val="000000"/>
          <w:sz w:val="28"/>
        </w:rPr>
        <w:t xml:space="preserve">工单信息，包括不限于工单分析、行政区域统计、满意度统计以及城市环卫管理等相关数据；如公共安全专题（针对公安、消防、应急等城市关键领域已集成的数据及联网实时数据，全面反映各类监管对象、告警时间、应急联动资源等要素运行态势），整合道路客运管理，监控两客在线情况，企业规模统计和道路危货管理、应急管理等。</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15.3.2.2 </w:t>
      </w:r>
      <w:r>
        <w:rPr>
          <w:rFonts w:ascii="FangSong" w:hAnsi="FangSong" w:eastAsia="FangSong" w:cs="FangSong"/>
          <w:color w:val="000000"/>
          <w:sz w:val="28"/>
        </w:rPr>
        <w:t xml:space="preserve">城市运行决策建议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城市运行决策建议是数据治理的核心模块，旨在突破传统城市治理中 “数据分散、决策依赖经验、方案缺乏系统性” 的瓶颈。通过多类型数据资源的结构化知识构建与数据处理，专注城市运行以及城市治理重点难点问题，结合大模型的问题解析以及数据整合理解能力，构建辅助决策建议。如针对公共安全、老旧小区改造、交通改善等通过对各类已建设系统实时数据的整合运用，输出专业解读方案及整治建议。</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15.3.2.3 </w:t>
      </w:r>
      <w:r>
        <w:rPr>
          <w:rFonts w:ascii="FangSong" w:hAnsi="FangSong" w:eastAsia="FangSong" w:cs="FangSong"/>
          <w:color w:val="000000"/>
          <w:sz w:val="28"/>
        </w:rPr>
        <w:t xml:space="preserve">政务小秘书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优化政务小秘书模块，以“</w:t>
      </w:r>
      <w:r>
        <w:rPr>
          <w:rFonts w:ascii="Times New Roman" w:hAnsi="Times New Roman" w:eastAsia="Times New Roman" w:cs="Times New Roman"/>
          <w:color w:val="000000"/>
          <w:sz w:val="28"/>
        </w:rPr>
        <w:t xml:space="preserve">AI </w:t>
      </w:r>
      <w:r>
        <w:rPr>
          <w:rFonts w:ascii="FangSong" w:hAnsi="FangSong" w:eastAsia="FangSong" w:cs="FangSong"/>
          <w:color w:val="000000"/>
          <w:sz w:val="28"/>
        </w:rPr>
        <w:t xml:space="preserve">赋能政务办公提效”为核心目标，依托泰州市孪生城市数字底座的多源数据支撑与 </w:t>
      </w:r>
      <w:r>
        <w:rPr>
          <w:rFonts w:ascii="Times New Roman" w:hAnsi="Times New Roman" w:eastAsia="Times New Roman" w:cs="Times New Roman"/>
          <w:color w:val="000000"/>
          <w:sz w:val="28"/>
        </w:rPr>
        <w:t xml:space="preserve">AI </w:t>
      </w:r>
      <w:r>
        <w:rPr>
          <w:rFonts w:ascii="FangSong" w:hAnsi="FangSong" w:eastAsia="FangSong" w:cs="FangSong"/>
          <w:color w:val="000000"/>
          <w:sz w:val="28"/>
        </w:rPr>
        <w:t xml:space="preserve">底座平台的大模型能力，聚焦政务人员日常办公中的写作、问答、信息提取三大核心需求，构建专业化、场景化、安全化的智能辅助体系，覆盖公文处理、政策解读、信息检索全流程，降低基层事务性负担，统一政务办公规范，提升行政效能与决策效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15.3.2.3.1 </w:t>
      </w:r>
      <w:r>
        <w:rPr>
          <w:rFonts w:ascii="FangSong" w:hAnsi="FangSong" w:eastAsia="FangSong" w:cs="FangSong"/>
          <w:color w:val="000000"/>
          <w:sz w:val="28"/>
        </w:rPr>
        <w:t xml:space="preserve">智能写作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化智能写作模块，基于大模型构建智能写作，通过深度语义理解和多模态数据处理能力，实现政务文档的智能化生成与优化。涵盖公文写作、工作报告、会议纪要等政务场景，实现文档的分步骤引导生成，文件下载等功能，并支持在线文档格式的调整、</w:t>
      </w:r>
      <w:r>
        <w:rPr>
          <w:rFonts w:ascii="Times New Roman" w:hAnsi="Times New Roman" w:eastAsia="Times New Roman" w:cs="Times New Roman"/>
          <w:color w:val="000000"/>
          <w:sz w:val="28"/>
        </w:rPr>
        <w:t xml:space="preserve">AI</w:t>
      </w:r>
      <w:r>
        <w:rPr>
          <w:rFonts w:ascii="FangSong" w:hAnsi="FangSong" w:eastAsia="FangSong" w:cs="FangSong"/>
          <w:color w:val="000000"/>
          <w:sz w:val="28"/>
        </w:rPr>
        <w:t xml:space="preserve">改写、生成图表等。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15.3.2.3.2 </w:t>
      </w:r>
      <w:r>
        <w:rPr>
          <w:rFonts w:ascii="FangSong" w:hAnsi="FangSong" w:eastAsia="FangSong" w:cs="FangSong"/>
          <w:color w:val="000000"/>
          <w:sz w:val="28"/>
        </w:rPr>
        <w:t xml:space="preserve">智能问答</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基于专业的政务领域大模型，聚焦城市治理领域的政务需求，通过整合城市治理领域数据、政务数据、优化算法模型，为政府工作人员提供全流程智能化支持，以“政务知识精准检索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多模态交互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个性化服务” 为核心，构建覆盖 “政策咨询、业务查询、流程指引” 的智能问答体系。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15.3.2.3.3 </w:t>
      </w:r>
      <w:r>
        <w:rPr>
          <w:rFonts w:ascii="FangSong" w:hAnsi="FangSong" w:eastAsia="FangSong" w:cs="FangSong"/>
          <w:color w:val="000000"/>
          <w:sz w:val="28"/>
        </w:rPr>
        <w:t xml:space="preserve">概要提取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聚焦政务文档</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高效解读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核心信息捕捉</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需求，利用大模型的语言理解和生成能力，从长篇文本中自动提炼关键信息，生成简洁、准确的摘要，针对公文进行模型能力加强，打造公文概要提取核心工具。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15.3.2.3.4 PPT</w:t>
      </w:r>
      <w:r>
        <w:rPr>
          <w:rFonts w:ascii="FangSong" w:hAnsi="FangSong" w:eastAsia="FangSong" w:cs="FangSong"/>
          <w:color w:val="000000"/>
          <w:sz w:val="28"/>
        </w:rPr>
        <w:t xml:space="preserve">助手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聚焦政务场景，基于大模型的多模态生成和理解能力，构建面向政务场景的智能</w:t>
      </w:r>
      <w:r>
        <w:rPr>
          <w:rFonts w:ascii="Times New Roman" w:hAnsi="Times New Roman" w:eastAsia="Times New Roman" w:cs="Times New Roman"/>
          <w:color w:val="000000"/>
          <w:sz w:val="28"/>
        </w:rPr>
        <w:t xml:space="preserve">PPT</w:t>
      </w:r>
      <w:r>
        <w:rPr>
          <w:rFonts w:ascii="FangSong" w:hAnsi="FangSong" w:eastAsia="FangSong" w:cs="FangSong"/>
          <w:color w:val="000000"/>
          <w:sz w:val="28"/>
        </w:rPr>
        <w:t xml:space="preserve">助手，可根据用户输入的文字内容、数据表格或报告素材，自动生成符合政务规范与汇报逻辑的演示文稿，支持自定义</w:t>
      </w:r>
      <w:r>
        <w:rPr>
          <w:rFonts w:ascii="Times New Roman" w:hAnsi="Times New Roman" w:eastAsia="Times New Roman" w:cs="Times New Roman"/>
          <w:color w:val="000000"/>
          <w:sz w:val="28"/>
        </w:rPr>
        <w:t xml:space="preserve">PPT</w:t>
      </w:r>
      <w:r>
        <w:rPr>
          <w:rFonts w:ascii="FangSong" w:hAnsi="FangSong" w:eastAsia="FangSong" w:cs="FangSong"/>
          <w:color w:val="000000"/>
          <w:sz w:val="28"/>
        </w:rPr>
        <w:t xml:space="preserve">模版。</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15.3.2.4 </w:t>
      </w:r>
      <w:r>
        <w:rPr>
          <w:rFonts w:ascii="FangSong" w:hAnsi="FangSong" w:eastAsia="FangSong" w:cs="FangSong"/>
          <w:color w:val="000000"/>
          <w:sz w:val="28"/>
        </w:rPr>
        <w:t xml:space="preserve">知识库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知识库中心需要支持通过全面的知识库管理功能实现对信息全生命周期的有效控制。其覆盖范围不仅包括基础操作如查询、启用与停用、编辑和删除等，还进一步扩展至多格式知识库的创建与管理，支持文本、表格等多种数据形式，以及从原始数据到结构化知识的全流程处理能力。</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15.3.2.4.1 </w:t>
      </w:r>
      <w:r>
        <w:rPr>
          <w:rFonts w:ascii="FangSong" w:hAnsi="FangSong" w:eastAsia="FangSong" w:cs="FangSong"/>
          <w:color w:val="000000"/>
          <w:sz w:val="28"/>
        </w:rPr>
        <w:t xml:space="preserve">检索增强生成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从庞大的文档集合中检索出相关信息，利用这些检索到的信息来知道文本的生成，从而提高预测的质量和准确性，包含分块和向量化，搜索索引、查询转换、聊天引擎、智能体调用、响应合成等。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15.3.2.4.2 </w:t>
      </w:r>
      <w:r>
        <w:rPr>
          <w:rFonts w:ascii="FangSong" w:hAnsi="FangSong" w:eastAsia="FangSong" w:cs="FangSong"/>
          <w:color w:val="000000"/>
          <w:sz w:val="28"/>
        </w:rPr>
        <w:t xml:space="preserve">接入与处理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需要集成文档解析、</w:t>
      </w:r>
      <w:r>
        <w:rPr>
          <w:rFonts w:ascii="Times New Roman" w:hAnsi="Times New Roman" w:eastAsia="Times New Roman" w:cs="Times New Roman"/>
          <w:color w:val="000000"/>
          <w:sz w:val="28"/>
        </w:rPr>
        <w:t xml:space="preserve">API</w:t>
      </w:r>
      <w:r>
        <w:rPr>
          <w:rFonts w:ascii="FangSong" w:hAnsi="FangSong" w:eastAsia="FangSong" w:cs="FangSong"/>
          <w:color w:val="000000"/>
          <w:sz w:val="28"/>
        </w:rPr>
        <w:t xml:space="preserve">数据接入等技术，实现政策文件、会议纪要等多类型内容的接入与处理。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15.3.2.4.3 </w:t>
      </w:r>
      <w:r>
        <w:rPr>
          <w:rFonts w:ascii="FangSong" w:hAnsi="FangSong" w:eastAsia="FangSong" w:cs="FangSong"/>
          <w:color w:val="000000"/>
          <w:sz w:val="28"/>
        </w:rPr>
        <w:t xml:space="preserve">数据权限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知识库需要支持角色权限管理与数据分级授权。</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15.3.2.5 </w:t>
      </w:r>
      <w:r>
        <w:rPr>
          <w:rFonts w:ascii="FangSong" w:hAnsi="FangSong" w:eastAsia="FangSong" w:cs="FangSong"/>
          <w:color w:val="000000"/>
          <w:sz w:val="28"/>
        </w:rPr>
        <w:t xml:space="preserve">智能</w:t>
      </w:r>
      <w:r>
        <w:rPr>
          <w:rFonts w:ascii="Times New Roman" w:hAnsi="Times New Roman" w:eastAsia="Times New Roman" w:cs="Times New Roman"/>
          <w:color w:val="000000"/>
          <w:sz w:val="28"/>
        </w:rPr>
        <w:t xml:space="preserve">BI</w:t>
      </w:r>
      <w:r>
        <w:rPr>
          <w:rFonts w:ascii="FangSong" w:hAnsi="FangSong" w:eastAsia="FangSong" w:cs="FangSong"/>
          <w:color w:val="000000"/>
          <w:sz w:val="28"/>
        </w:rPr>
        <w:t xml:space="preserve">可视化模组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深度适配业务人员与技术人员的数据分析需求，以聊天式交互为核心模式，让用户无需掌握编程技能，即可快速开展数据探索、挖掘数据价值并获取精准业务洞察。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平台需要支持自然语言交互、智能数据解读等核心能力，实现大幅提升用户的数据分析操作体验，又显著降低数据应用门槛等目标；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通过自然语言对话，生成趋势图表，支持文本、文件等多种数据接入方式，实现地图、图形、图表、可视化组件、智能控制组件的可视化呈现。</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15.3.2.6 </w:t>
      </w:r>
      <w:r>
        <w:rPr>
          <w:rFonts w:ascii="FangSong" w:hAnsi="FangSong" w:eastAsia="FangSong" w:cs="FangSong"/>
          <w:color w:val="000000"/>
          <w:sz w:val="28"/>
        </w:rPr>
        <w:t xml:space="preserve">低空数据共享平台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15.3.2.6.1 </w:t>
      </w:r>
      <w:r>
        <w:rPr>
          <w:rFonts w:ascii="FangSong" w:hAnsi="FangSong" w:eastAsia="FangSong" w:cs="FangSong"/>
          <w:color w:val="000000"/>
          <w:sz w:val="28"/>
        </w:rPr>
        <w:t xml:space="preserve">低空无人机数据服务订单服务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开发统一的低空无人机数据服务订单中心，通过订单中心在线下单低空数据与能力使用需求，包活业务类型、时间、地点、数据要求、范围等，并对订单进行分类和审核，审核后形成接单以及成果交付工作。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合所建立的框架集采流程，确定一批优质的无人机服务供应商，纳入框架协议，提交低空业务需求后，可根据需求选择相应的供应商，并按照框架协议价格进行服务采购，同时建立供应商评价和考核机制，对供应商的服务质量、响应速度等进行定期评价，确保服务质量，支持更大兼容性的一网统飞。</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泰州低空无人机低空数据框采流程包活需求填报、需求审核、数据生成三个环节：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求填报：由委办局业务科室（数据需求方）通过平台检索现有数据产品，若现有产品无法满足需求，可在线填报并发布新的数据采集需求，需填写数据类型、数据范围、数据精度、数据频次、交付时间等关键信息，信息填写完成后提交至审核环节。同时我方将开放对外接口对接泰政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，客户也可通过泰政通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直接提交需求订单。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求审核：需求审核流程通过委办局、数产集团、能力中心三个环节，其中委办局和数产集团任何一个环节不通过，都要退回修改。当数产集团审核通过后，平台内算法自动对比分析，判断是否为已有对应数据，若平台内已有需求对应的数据，委办局的需求业务科室可以通过平台直接获取低空数据成果；若平台内没有需求对接的数据则提交给能力中心审批，能力中心需要判断是否可以自主服务，当不能满足自主服务时，需要选择供应商派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数据生产：能力中心选择自主服务或者供应商选择接单后，开展数据采集生产工作，并将数据成果提交给数据集团审核，当审核通过后，数据资产沉淀入库，委办局的需求业务科室可以通过平台或者泰政通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获取低空数据成果，完成整个订单流程闭环。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15.3.2.6.2</w:t>
      </w:r>
      <w:r>
        <w:rPr>
          <w:rFonts w:ascii="FangSong" w:hAnsi="FangSong" w:eastAsia="FangSong" w:cs="FangSong"/>
          <w:color w:val="000000"/>
          <w:sz w:val="28"/>
        </w:rPr>
        <w:t xml:space="preserve">低空无人机数据底座能力服务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分析低空数据资源体系下不同部门、类型和渠道的数据源，通过全面的数据汇聚和归集，根据统一的数据资源目录建设要求和质量检查、安全管控标准，按照数据转换、数据清洗、数据关联聚合、数据存储、数据稽核的流程加工治理，构建支撑低空数据资源全域全要素全生命周期数字化融合的成果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低空数据加工建库：通过分析低空数据资源体系下不同部门、类型和渠道的数据源，通过全面的数据汇聚和归集，根据统一的数据资源目录建设要求和质量检查、安全管控标准，按照数据转换、数据清洗、数据关联聚合、数据存储、数据稽核的流程加工治理，构建支撑低空数据资源全域全生命周期数字化融合的成果库。</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二三维低空数据处理基于提供数据处理相关参数，利用数据治理平台提供的坐标转换、格式转换、数据拼接、数据裁切、数据空间轻量化处理等数据处理能力，对接入的空间数据进行标准化处理。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低空数据资产管理：建立树状目录结构，对系统内的数据资源进行结构化分类和目录化管理，按数据类型、业务领域、采集区域等进行分类管理，支持目录的新增、修改、删除操作，实现数据的有序组织与快速检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低空数据展示一张图：</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电子地图展示：在泰州市电子地图上，我们将实现低空数据的二三维一体化展示，直观呈现全景拍摄点、方舱点位、采集点、覆盖范围、视频巡检航线和正射影像等关键信息。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方舱点位会在地图上进行打点标记，包含电网、铁塔等租赁单位的方舱数据，点击可查看归属方、位置坐标、无人机型号、产权等详细信息；采集点则会关联无人机采集的具体数据，点击可查看采集时间、数据类型等属性信息。对于没有方舱覆盖的区域，系统会自动标记为单兵作业区。所以无人机采集的数据都会与地理信息紧密结合，在地图对应位置进行打点标记，实现“一网统管”的低空数据可视化展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航线数据展示：将无人机的飞行航线以三位线条的形式展示在三维场景中，线条颜色和样式可根据航线的类型和状态进行区分。用户可查看航线的飞行轨迹、飞行高度、飞行速度等信息，了解无人机的飞行情况。</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15.3.3.与市级基础平台关联关系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公共数据平台：为确保数据的实时性、全面性、准确性，通过接口</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数据库的方式实施采集汇聚主题场景分析所需要的相关数据。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15.3.4.数据供需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市监：企业注册信息、经营状况、消费投诉和市场监管数据。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税务：企业税务等级、纳税记录、税收优惠政策执行情况等税务数据。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商务：外商投资信息、进出口数据、商贸活动等商务相关数据。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发改：宏观经济数据、投资项目审批信息、产业发展规划等。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工信：工业生产数据、企业信息化水平、技术创新情况等。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人社：劳动力市场数据、就业情况、社会保障信息等。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自规：土地使用权、城市规划、环境监管等数据。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司法：法律服务、知识产权保护、合同执行等法律环境数据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金融监管：金融市场数据、企业融资情况、信贷政策等金融数据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统计：经济统计数据、行业分析报告、社会发展指标等。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住建：建筑物的规划和建设数据。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政法委：网格划分、网格员、网格事件等相关数据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一网统管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城市运行监测数据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一网统管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城市运行指标分析数据及报告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无人机接单、飞行数据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15.3.4.说明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如政务飞行服务框架协议采购无法正常推行，低空数据共享平台服务内容替换为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个态势分析与</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个决策建议。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15.3.5.信息安全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本项目软硬件选取国家安全可靠产品；根据要求视情况开展密码应用测评；定级为信息安全等级保护三级。</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15.4.服务预算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城市运行指标态势分析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城市运行决策建议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政务小秘书（智能写作、智能问答、概要提取、</w:t>
            </w:r>
            <w:r>
              <w:rPr>
                <w:rFonts w:ascii="Times New Roman" w:hAnsi="Times New Roman" w:eastAsia="Times New Roman" w:cs="Times New Roman"/>
                <w:color w:val="000000"/>
                <w:sz w:val="28"/>
              </w:rPr>
              <w:t xml:space="preserve">PPT</w:t>
            </w:r>
            <w:r>
              <w:rPr>
                <w:rFonts w:ascii="FangSong" w:hAnsi="FangSong" w:eastAsia="FangSong" w:cs="FangSong"/>
                <w:color w:val="000000"/>
                <w:sz w:val="28"/>
              </w:rPr>
              <w:t xml:space="preserve">助手）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知识库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智能</w:t>
            </w:r>
            <w:r>
              <w:rPr>
                <w:rFonts w:ascii="Times New Roman" w:hAnsi="Times New Roman" w:eastAsia="Times New Roman" w:cs="Times New Roman"/>
                <w:color w:val="000000"/>
                <w:sz w:val="28"/>
              </w:rPr>
              <w:t xml:space="preserve">BI</w:t>
            </w:r>
            <w:r>
              <w:rPr>
                <w:rFonts w:ascii="FangSong" w:hAnsi="FangSong" w:eastAsia="FangSong" w:cs="FangSong"/>
                <w:color w:val="000000"/>
                <w:sz w:val="28"/>
              </w:rPr>
              <w:t xml:space="preserve">可视化模组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低空数据共享平台（低空无人机数据服务订单服务）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低空数据共享平台（低空无人机数据底座能力服务）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50</w:t>
            </w:r>
            <w:r/>
          </w:p>
        </w:tc>
      </w:tr>
      <w:tr>
        <w:trPr>
          <w:trHeight w:val="3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200</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16.市级智慧门户购买服务（2026）项目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16.1.预期目标</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围绕提升“泰州通”平台服务能力与影响力，通过建立月度分析研判及对标优化机制，严格执行内容审核，提高信息推送频次，开展直播、粉丝活动及线上线下推广，增强用户粘性与活跃度；通过多渠道媒体发布、系列海报视频制作强化品牌宣传，持续提升运营质量。构建全链路运维监控与快速响应体系，保障系统安全稳定，并持续优化支付、管理、活动等基础功能与小程序体验。加大泰政通宣传推广力度，挖掘部门需求，以强应用为牵引，提升工作人员对泰政通的依赖程度。优化低代码示例应用，指导部门自行开发使用。不断接入第三方办公应用，丰富应用超市的内容，满</w:t>
      </w:r>
      <w:r>
        <w:rPr>
          <w:rFonts w:ascii="FangSong" w:hAnsi="FangSong" w:eastAsia="FangSong" w:cs="FangSong"/>
          <w:color w:val="000000"/>
          <w:sz w:val="28"/>
        </w:rPr>
        <w:t xml:space="preserve">足用户多样化的需求。优化“苏服办泰州旗舰店”页面布局，推动“泰州通”与“苏服办”政务服务融合互通，协同开展运营运维。</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16.2.需求分析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16.2.1.业务需求</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聚焦平台日常运营管理、人员服务支撑、业务功能落地、活动营销、政务服务运营、一线客服答疑等面向用户、面向政务部门、面向日常运营管理的服务类、管理类工作要求。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（一）泰州通业务需求</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线上表单业务功能落地</w:t>
      </w:r>
      <w:r>
        <w:rPr>
          <w:rFonts w:ascii="FangSong" w:hAnsi="FangSong" w:eastAsia="FangSong" w:cs="FangSong"/>
          <w:color w:val="000000"/>
          <w:sz w:val="28"/>
        </w:rPr>
        <w:t xml:space="preserve">：上线可视化表单快速生成业务能力，面向全市各类政务便民场景，支撑活动报名、信息登记等线上业务办理，完整覆盖线上信息收集、后台数据管理、线上流程审批、数据统计导出全流程业务闭环；同时支持自定义表单字段、业务校验规则、后台人员权限分级管控，满足不同部门差异化信息填报与审批管理需求。</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专职运营团队值守服务：</w:t>
      </w:r>
      <w:r>
        <w:rPr>
          <w:rFonts w:ascii="FangSong" w:hAnsi="FangSong" w:eastAsia="FangSong" w:cs="FangSong"/>
          <w:color w:val="000000"/>
          <w:sz w:val="28"/>
        </w:rPr>
        <w:t xml:space="preserve">组建不少于4人的全职实体化APP专项运营团队，常态化开展平台全维度运营工作，具体包含用户行为数据复盘分析、市民及政务部门使用需求挖掘、平台宣传平面设计、宣传短视频制作、官方视频直播运营、微信公众号日常运维更新、全渠道客户咨询答疑与投诉处理等客服工作。</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用户维系与线上线下活动运营：</w:t>
      </w:r>
      <w:r>
        <w:rPr>
          <w:rFonts w:ascii="FangSong" w:hAnsi="FangSong" w:eastAsia="FangSong" w:cs="FangSong"/>
          <w:color w:val="000000"/>
          <w:sz w:val="28"/>
        </w:rPr>
        <w:t xml:space="preserve">常态化策划并落地线上、线下平台推广及用户留存活动；定制开发平台特色周边、政务文创产品，依托活动及文创礼品做好存量用户维系、新用户引流工作，提升泰州通APP用户活跃度、使用率及市民满意度。</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（二）苏服办泰州旗舰店业务需求</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政务应用全流程运营管理：</w:t>
      </w:r>
      <w:r>
        <w:rPr>
          <w:rFonts w:ascii="FangSong" w:hAnsi="FangSong" w:eastAsia="FangSong" w:cs="FangSong"/>
          <w:color w:val="000000"/>
          <w:sz w:val="28"/>
        </w:rPr>
        <w:t xml:space="preserve">依据省数据局移动端政务应用标准清单及政务APP管理规范，完成政务服务应用新建、上线发布、迭代改造全流程业务办理；做好旗舰店日常内容更新、服务板块迭代优化，常态化处理平台各类问题工单，闭环解决市民办事反馈问题。</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线上线下运营联动管理：</w:t>
      </w:r>
      <w:r>
        <w:rPr>
          <w:rFonts w:ascii="FangSong" w:hAnsi="FangSong" w:eastAsia="FangSong" w:cs="FangSong"/>
          <w:color w:val="000000"/>
          <w:sz w:val="28"/>
        </w:rPr>
        <w:t xml:space="preserve">打通线上移动端服务端口与线下政务大厅服务渠道，实现线上服务指引、线下办事兜底的双向联动运营，统一全市政务服务对外服务口径。</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省级试点业务落地推进：</w:t>
      </w:r>
      <w:r>
        <w:rPr>
          <w:rFonts w:ascii="FangSong" w:hAnsi="FangSong" w:eastAsia="FangSong" w:cs="FangSong"/>
          <w:color w:val="000000"/>
          <w:sz w:val="28"/>
        </w:rPr>
        <w:t xml:space="preserve">落实省数据局工作部署，推进政务服务移动端服务体系集约建设试点专项工作，完成苏服办泰州城市站点搭建落地，统筹管理移动端服务资源，保障微信端、支付宝端两大服务端口业务服务标准统一、应用来源一致、服务质量同质。</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（三）泰政通业务需求</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基础信息化资源采购租赁：</w:t>
      </w:r>
      <w:r>
        <w:rPr>
          <w:rFonts w:ascii="FangSong" w:hAnsi="FangSong" w:eastAsia="FangSong" w:cs="FangSong"/>
          <w:color w:val="000000"/>
          <w:sz w:val="28"/>
        </w:rPr>
        <w:t xml:space="preserve">按年度完成泰政通办公账号租赁、域名及安全证书采购、低代码平台服务租用等基础信息化资源采购与续费工作，保障平台基础使用资源足额可用。</w:t>
      </w:r>
      <w:r/>
    </w:p>
    <w:p>
      <w:pPr>
        <w:ind w:left="0" w:right="0" w:firstLine="56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驻场支撑服务：</w:t>
      </w:r>
      <w:r>
        <w:rPr>
          <w:rFonts w:ascii="FangSong" w:hAnsi="FangSong" w:eastAsia="FangSong" w:cs="FangSong"/>
          <w:color w:val="000000"/>
          <w:sz w:val="28"/>
        </w:rPr>
        <w:t xml:space="preserve">配置3名专职驻场客户服务人员，点对点对接全市各区县、各市直政务部门，提供平台基础功能使用保障、日常业务技术答疑、系统操作培训、后台管理辅助等一对一专属服务，快速响应各部门日常使用诉求。</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16.2.2.技术需求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聚焦系统底层运维、软硬件适配、网络安全联通、监控预警、多端适配、国产化改造、故障应急处置等底层技术支撑、系统安全、架构适配类技术保障要求。</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（一）泰州通技术需求</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全维度系统底层运维保障：</w:t>
      </w:r>
      <w:r>
        <w:rPr>
          <w:rFonts w:ascii="FangSong" w:hAnsi="FangSong" w:eastAsia="FangSong" w:cs="FangSong"/>
          <w:color w:val="000000"/>
          <w:sz w:val="28"/>
        </w:rPr>
        <w:t xml:space="preserve">针对泰州通APP全核心组件开展常态化日常运维与性能优化保障，运维范围全覆盖服务器、中间件、数据库、移动端原生SDK等全部底层关键环节，持续优化系统运行性能，规避系统卡顿、接口异常、数据报错等底层技术问题。</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全链路监控与故障应急体系搭建：</w:t>
      </w:r>
      <w:r>
        <w:rPr>
          <w:rFonts w:ascii="FangSong" w:hAnsi="FangSong" w:eastAsia="FangSong" w:cs="FangSong"/>
          <w:color w:val="000000"/>
          <w:sz w:val="28"/>
        </w:rPr>
        <w:t xml:space="preserve">搭建平台全链路运行监控技术体系，实现系统运行状态7*24小时自动监测；配套落实主动风险预警、周期性系统全面巡检、突发故障快速响应处置三大技术机制，构建标准化应急排障流程。</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系统高可用与数据安全技术防护：</w:t>
      </w:r>
      <w:r>
        <w:rPr>
          <w:rFonts w:ascii="FangSong" w:hAnsi="FangSong" w:eastAsia="FangSong" w:cs="FangSong"/>
          <w:color w:val="000000"/>
          <w:sz w:val="28"/>
        </w:rPr>
        <w:t xml:space="preserve">通过运维管控、监控预警、应急兜底多重技术手段，保障泰州通APP全年高稳定运行，满足政务系统高可用性要求；同步做好全链路数据传输、数据存储、数据调取安全防护，严防数据泄露、丢失、篡改风险，筑牢平台底层技术安全底座。</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（二）苏服办泰州旗舰店技术需求</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多端应用适配技术改造：</w:t>
      </w:r>
      <w:r>
        <w:rPr>
          <w:rFonts w:ascii="FangSong" w:hAnsi="FangSong" w:eastAsia="FangSong" w:cs="FangSong"/>
          <w:color w:val="000000"/>
          <w:sz w:val="28"/>
        </w:rPr>
        <w:t xml:space="preserve">按照省级移动端政务应用统一标准，完成各类政务服务应用的技术改造与版本适配，确保所有上线应用可无缝兼容微信小程序端、支付宝小程序端双端口运行，解决多端界面错乱、功能不可用、接口不通等适配技术问题。</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城市站点技术搭建与集约管控：</w:t>
      </w:r>
      <w:r>
        <w:rPr>
          <w:rFonts w:ascii="FangSong" w:hAnsi="FangSong" w:eastAsia="FangSong" w:cs="FangSong"/>
          <w:color w:val="000000"/>
          <w:sz w:val="28"/>
        </w:rPr>
        <w:t xml:space="preserve">依托省级统一政务移动端技术架构，完成苏服办泰州城市站点技术搭建、模块部署与接口对接；通过后台技术统一管控，实现微信、支付宝两端应用同源发布、服务参数统一配置，从技术层面杜绝两端服务不一致、功能不同步问题。</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平台后台技术运维支撑：</w:t>
      </w:r>
      <w:r>
        <w:rPr>
          <w:rFonts w:ascii="FangSong" w:hAnsi="FangSong" w:eastAsia="FangSong" w:cs="FangSong"/>
          <w:color w:val="000000"/>
          <w:sz w:val="28"/>
        </w:rPr>
        <w:t xml:space="preserve">常态化开展旗舰店后台系统运维、接口巡检、版本迭代技术支撑，保障工单流转、服务调用、页面访问等后台功能稳定运行，配合前端运营工作完成后台技术调整。</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（三）泰政通技术需求</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网络个性化配置与安全联通：</w:t>
      </w:r>
      <w:r>
        <w:rPr>
          <w:rFonts w:ascii="FangSong" w:hAnsi="FangSong" w:eastAsia="FangSong" w:cs="FangSong"/>
          <w:color w:val="000000"/>
          <w:sz w:val="28"/>
        </w:rPr>
        <w:t xml:space="preserve">根据网络使用差异化需求，提供个性化网络参数配置服务；打通泰政通平台与全市政务外网各类业务应用的安全访问通道，做好网络边界安全防护，实现平台与政务外网业务系统安全、稳定、无障碍互联互通。</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国产化软硬件适配改造：</w:t>
      </w:r>
      <w:r>
        <w:rPr>
          <w:rFonts w:ascii="FangSong" w:hAnsi="FangSong" w:eastAsia="FangSong" w:cs="FangSong"/>
          <w:color w:val="000000"/>
          <w:sz w:val="28"/>
        </w:rPr>
        <w:t xml:space="preserve">完成泰政通整体系统架构、业务应用与国产化操作系统、软硬件适配，满足政务国产化替代工作要求。</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低代码平台配套技术运维：</w:t>
      </w:r>
      <w:r>
        <w:rPr>
          <w:rFonts w:ascii="FangSong" w:hAnsi="FangSong" w:eastAsia="FangSong" w:cs="FangSong"/>
          <w:color w:val="000000"/>
          <w:sz w:val="28"/>
        </w:rPr>
        <w:t xml:space="preserve">针对租用的低代码平台提供配套技术运维支撑，保障平台表单搭建、流程配置、权限管理等技术功能正常可用。</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16.3.技术方案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16.3.1.总体架构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系统具体架构示意图如下图所示：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58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76850" cy="2076450"/>
                <wp:effectExtent l="0" t="0" r="0" b="0"/>
                <wp:docPr id="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207166" name=""/>
                        <pic:cNvPicPr>
                          <a:picLocks noChangeAspect="1"/>
                        </pic:cNvPicPr>
                        <pic:nvPr/>
                      </pic:nvPicPr>
                      <pic:blipFill>
                        <a:blip/>
                        <a:stretch/>
                      </pic:blipFill>
                      <pic:spPr bwMode="auto">
                        <a:xfrm>
                          <a:off x="0" y="0"/>
                          <a:ext cx="5276849" cy="20764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15.5pt;height:163.5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8"/>
        </w:rPr>
        <w:t xml:space="preserve"> </w:t>
      </w:r>
      <w:r/>
    </w:p>
    <w:p>
      <w:pPr>
        <w:ind w:left="0" w:right="0" w:firstLine="420"/>
        <w:jc w:val="center"/>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泰政通架构图</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16.3.2.主要功能设计</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（一）泰州通</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基础运维：</w:t>
      </w:r>
      <w:r>
        <w:rPr>
          <w:rFonts w:ascii="FangSong" w:hAnsi="FangSong" w:eastAsia="FangSong" w:cs="FangSong"/>
          <w:color w:val="000000"/>
          <w:sz w:val="28"/>
        </w:rPr>
        <w:t xml:space="preserve">作为 APP 高效运转的核心支撑，聚焦系统全链路技术保障，全面负责服务器集群、各类中间件、核心数据库及原生 SDK 等关键组件的日常运维、性能监控与优化升级。建立覆盖 “感知、预警、处置、复盘” 的全流程监控体系搭配每日常态化巡检与 7×24 小时快速故障响应机制，第一时间排查解决技术隐患。同时严格落实数据加密、权限管控等安全措施，确保系统全年高可用性与用户数据绝对安全，为平台所有服务场景的平稳运行提供坚实、可靠的技术底座。</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整合部门应用：</w:t>
      </w:r>
      <w:r>
        <w:rPr>
          <w:rFonts w:ascii="FangSong" w:hAnsi="FangSong" w:eastAsia="FangSong" w:cs="FangSong"/>
          <w:color w:val="000000"/>
          <w:sz w:val="28"/>
        </w:rPr>
        <w:t xml:space="preserve">接入不少于10个公共服务、便民服务应用。</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可视化表单智管服：</w:t>
      </w:r>
      <w:r>
        <w:rPr>
          <w:rFonts w:ascii="FangSong" w:hAnsi="FangSong" w:eastAsia="FangSong" w:cs="FangSong"/>
          <w:color w:val="000000"/>
          <w:sz w:val="28"/>
        </w:rPr>
        <w:t xml:space="preserve">务提供可视化表单快速生成功能，支持自定义字段、校验规则与权限控制，实现活动报名、信息登记等场景的线上信息收集、数据管理、流程审批与统计导出。</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基础运营：</w:t>
      </w:r>
      <w:r>
        <w:rPr>
          <w:rFonts w:ascii="FangSong" w:hAnsi="FangSong" w:eastAsia="FangSong" w:cs="FangSong"/>
          <w:color w:val="000000"/>
          <w:sz w:val="28"/>
        </w:rPr>
        <w:t xml:space="preserve">组建不少于4人的实体化泰州通APP运营团队，明确团队负责人、成员及其职责分工（其中团队负责人在服务周期内不允许变动，成员更换须得到采购人同意）。严格执行《“泰州通”新媒体矩阵运营管理暂行办法》《“泰州通”APP应用服务管理办法》等相关文件。落实好周例会制度，运营团队必须全员参加（以会议纪要为证）。运营团队针对服务事项使用情况、用户投诉反馈意见进行分析研判，主动对标其他同类型城市APP，定期学习梳理，提出优化建议，每月5日前向投标人输出上个月运营报告。配合做好泰州通应用服务上下架及版本更新发布工作。根据运营内</w:t>
      </w:r>
      <w:r>
        <w:rPr>
          <w:rFonts w:ascii="FangSong" w:hAnsi="FangSong" w:eastAsia="FangSong" w:cs="FangSong"/>
          <w:color w:val="000000"/>
          <w:sz w:val="28"/>
        </w:rPr>
        <w:t xml:space="preserve">容呈现需求，及时调整微信公众号底部菜单，并进行相关功能开发、搭建。严格执行三级审核机制，围绕新上服务、热点功能及其他重点工作，在泰州通APP和微信公众号内同步推送相关信息，每周推送不少于2次，杜绝哗众取宠“标题党”。做好微信公众号关键字功能、留言引导等设置工作。对市政府重要新闻发布会、12345年度联合上线等进行视频直播，全年不少于4场。聚焦便捷功能服务，定期策划粉丝福利活动，吸引用户参与体验。通过特色功能服务提升用户粘性，利用活动激发用户热情。线上线下联动推广，提升泰州通小程序知名度与活跃度。重要节假日、</w:t>
      </w:r>
      <w:r>
        <w:rPr>
          <w:rFonts w:ascii="FangSong" w:hAnsi="FangSong" w:eastAsia="FangSong" w:cs="FangSong"/>
          <w:color w:val="000000"/>
          <w:sz w:val="28"/>
        </w:rPr>
        <w:t xml:space="preserve">重大会议、二十四节气和线上线下活动的宣传海报；APP日常启动页、banner、弹屏、界面优化设计；宣传视频或MG动画制作，全年不少于15分钟（可拆分为20个视频，每个视频不少于30秒）。</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活动执行：</w:t>
      </w:r>
      <w:r>
        <w:rPr>
          <w:rFonts w:ascii="FangSong" w:hAnsi="FangSong" w:eastAsia="FangSong" w:cs="FangSong"/>
          <w:color w:val="000000"/>
          <w:sz w:val="28"/>
        </w:rPr>
        <w:t xml:space="preserve">线上活动不少于8次，每次参与人数不少于500人；常规线下活动不少于5次，每次参与人数不少于100人/场；此外，广泛借助中标单位自办或承办的重点活动开展现场平台地推（以上活动均单独执行，不可重复叠加）。定制特色周边、文创产品，累计不少于3000份。通过积分兑换增加用户黏度，不断推出特价积分兑换与秒杀活动，让用户在享受优惠的同时，持续感受购物的乐趣。与本地文化深度融合，致力于为用户带来更高品质的购物体验。</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其他：</w:t>
      </w:r>
      <w:r>
        <w:rPr>
          <w:rFonts w:ascii="FangSong" w:hAnsi="FangSong" w:eastAsia="FangSong" w:cs="FangSong"/>
          <w:color w:val="000000"/>
          <w:sz w:val="28"/>
        </w:rPr>
        <w:t xml:space="preserve">坚持“人防+技防”相结合。安排专人负责协调、处理、答复APP内部、12345等渠道意见反馈，做到反馈及时响应，问题及时处理。</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（二）苏服办泰州旗舰店</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省数据局《“苏服办”标准应用清单设区市移动端标准应用》及政务APP管理要求，做好应用服务的新建、上线、改造及在微信、支付宝的适配工作。完成已建服务应用的改造支撑工作，并针对部门无法改造的应用进行兜底改造。</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按照省数据局2025年12月2日印发的《关于推进“苏服办”与城市服务APP 融合应用的通知》要求，推进政务服务移动端服务体系集约建设试点工作，构建“苏服办”泰州城市站点，确保“两端”提供标准统一、应用同源、服务同质。</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推进政务应用规范接入：</w:t>
      </w:r>
      <w:r>
        <w:rPr>
          <w:rFonts w:ascii="FangSong" w:hAnsi="FangSong" w:eastAsia="FangSong" w:cs="FangSong"/>
          <w:color w:val="000000"/>
          <w:sz w:val="28"/>
        </w:rPr>
        <w:t xml:space="preserve">严格遵循“苏服办”移动端体系应用汇聚和共享规范，分类推进“泰州通”APP存量政务服务应用改造或重构，统一接入“苏服办”泰州城市站点；新建的政务服务类应用一律以“苏服办”为源头开发，并通过标准接口同步输出至“泰州通”，确保入口统一、功能完备、安全可控。</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优化“苏服办”泰州站点页面布局：</w:t>
      </w:r>
      <w:r>
        <w:rPr>
          <w:rFonts w:ascii="FangSong" w:hAnsi="FangSong" w:eastAsia="FangSong" w:cs="FangSong"/>
          <w:color w:val="000000"/>
          <w:sz w:val="28"/>
        </w:rPr>
        <w:t xml:space="preserve">立足泰州实际，紧扣“整体融合、风格一致、体验优化”目标，优化“苏服办”泰州站点页面布局，确保嵌入“泰州通”APP后界面统一、功能清晰、操作流畅。依托省一体化平台移动端管理子系统功能组件，规范政务服务类应用管理，保障服务稳定运行、安全高效，持续提升用户体验。</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推动“两端”服务融合互通：</w:t>
      </w:r>
      <w:r>
        <w:rPr>
          <w:rFonts w:ascii="FangSong" w:hAnsi="FangSong" w:eastAsia="FangSong" w:cs="FangSong"/>
          <w:color w:val="000000"/>
          <w:sz w:val="28"/>
        </w:rPr>
        <w:t xml:space="preserve">依托“苏服办”能力支撑体系，系统梳理“泰州通”存量政务类应用的个性化依赖组件，开展评估与定制化封装，确保其在融合架构下兼容稳定运行，实现平滑过渡；“泰州通”APP要同步集成“苏服办”SDK，将“苏服办”泰州城市站点完整接入政务板块，实施本地化渲染，确保页面布局、服务内容和交互逻辑与“苏服办”端一致，切实做到政务服务入口统一、体验一致、运行稳定、安全可控。</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强化“两端”数据互融互认：</w:t>
      </w:r>
      <w:r>
        <w:rPr>
          <w:rFonts w:ascii="FangSong" w:hAnsi="FangSong" w:eastAsia="FangSong" w:cs="FangSong"/>
          <w:color w:val="000000"/>
          <w:sz w:val="28"/>
        </w:rPr>
        <w:t xml:space="preserve">对接“苏服办”统一用户、统一搜索、统一评价、统一埋点等公共组件，加强“两端”用户信息、应用索引、办件数据、评价反馈、消息通知等数据资源整合共享，切实提升“两端”用户体验一致性。</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协同开展运营运维：</w:t>
      </w:r>
      <w:r>
        <w:rPr>
          <w:rFonts w:ascii="FangSong" w:hAnsi="FangSong" w:eastAsia="FangSong" w:cs="FangSong"/>
          <w:color w:val="000000"/>
          <w:sz w:val="28"/>
        </w:rPr>
        <w:t xml:space="preserve">积极参与省市联合运营活动，配合开展“苏服办”品牌宣传推广；结合本地实际在“两端”同步开展本地化运营，提升用户知晓度、使用率与满意度。严格落实省市两级运维管理要求，规范采集“两端”运行服务数据，全面对接省运维运营平台，按需获取访问量、用户活跃度等关键指标，为优化服务功能、完善用户体验、支撑科学决策提供数据支撑。</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（三）泰政通</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用户授权费：</w:t>
      </w:r>
      <w:r>
        <w:rPr>
          <w:rFonts w:ascii="FangSong" w:hAnsi="FangSong" w:eastAsia="FangSong" w:cs="FangSong"/>
          <w:color w:val="000000"/>
          <w:sz w:val="28"/>
        </w:rPr>
        <w:t xml:space="preserve">授权固定账号6万个、动态账号2万个。</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域名证书使用费：</w:t>
      </w:r>
      <w:r>
        <w:rPr>
          <w:rFonts w:ascii="FangSong" w:hAnsi="FangSong" w:eastAsia="FangSong" w:cs="FangSong"/>
          <w:color w:val="000000"/>
          <w:sz w:val="28"/>
        </w:rPr>
        <w:t xml:space="preserve">购买泰政通平台6个域名证书（其中零信任使用：itz-nlxr.tzdig.cn、itz-lrlxr.tzdig.cn，泰政通登录下载等使用：itz-download.tzdig.cn、openurl.tzdig.cn、itz-xyvod.tzdig.cn、itz-xylink.tzdig.cn），可用12个月。</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低代码平台服务租用：</w:t>
      </w:r>
      <w:r>
        <w:rPr>
          <w:rFonts w:ascii="FangSong" w:hAnsi="FangSong" w:eastAsia="FangSong" w:cs="FangSong"/>
          <w:color w:val="000000"/>
          <w:sz w:val="28"/>
        </w:rPr>
        <w:t xml:space="preserve">包含不限于以下泰州市信息化建设专项监督信息采集模块、智能文件管理服务模块、领导日程管理模块。</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个性化网络服务：</w:t>
      </w:r>
      <w:r>
        <w:rPr>
          <w:rFonts w:ascii="FangSong" w:hAnsi="FangSong" w:eastAsia="FangSong" w:cs="FangSong"/>
          <w:color w:val="000000"/>
          <w:sz w:val="28"/>
        </w:rPr>
        <w:t xml:space="preserve">为用户个性化配置网络服务，安全联通相关政务外网应用。</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系统适配：</w:t>
      </w:r>
      <w:r>
        <w:rPr>
          <w:rFonts w:ascii="FangSong" w:hAnsi="FangSong" w:eastAsia="FangSong" w:cs="FangSong"/>
          <w:color w:val="000000"/>
          <w:sz w:val="28"/>
        </w:rPr>
        <w:t xml:space="preserve">为保障麒麟、鸿蒙等国产化系统的正常使用，实现电脑端、手机端整体框架及应用服务的国产化系统、软硬件适配。</w:t>
      </w:r>
      <w:r/>
    </w:p>
    <w:p>
      <w:pPr>
        <w:ind w:left="0" w:right="0" w:firstLine="562"/>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客户服务：</w:t>
      </w:r>
      <w:r>
        <w:rPr>
          <w:rFonts w:ascii="FangSong" w:hAnsi="FangSong" w:eastAsia="FangSong" w:cs="FangSong"/>
          <w:color w:val="000000"/>
          <w:sz w:val="28"/>
        </w:rPr>
        <w:t xml:space="preserve">安排3名驻场客户服务人员，协助各地各部门做好相关基础功能保障、技术支撑等工作，提供点对点在线答疑辅导、培训和管理服务。</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16.3.3.与市级基础平台关联关系</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充分发挥公共数据平台、数据共享开发平台能力，及时同步共享平台产生的数据；依托统一身份认证体系，实现单点登录。</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16.3.4.数据供需</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该项目为续建项目，将持续产生用户在使用“泰州通”过程中的操作日志数据。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16.3.5.信息安全</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u w:val="none"/>
        </w:rPr>
        <w:t xml:space="preserve">（一）</w:t>
      </w:r>
      <w:r>
        <w:rPr>
          <w:rFonts w:ascii="KaiTi" w:hAnsi="KaiTi" w:eastAsia="KaiTi" w:cs="KaiTi"/>
          <w:color w:val="000000"/>
          <w:sz w:val="28"/>
        </w:rPr>
        <w:t xml:space="preserve">信息系统安全等级定级</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根据国家标准《信息安全技术网络安全等级保护定级指南》 （GB/T22240-2020）有关要求，系统涉及到资金安全，为保障信息系统安全，系统拟定等级为三级。</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（二）信息系统安全风险分析</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系统可能存在用户数据、支付订单、支付金额篡改等风险。</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u w:val="none"/>
        </w:rPr>
        <w:t xml:space="preserve">（三）</w:t>
      </w:r>
      <w:r>
        <w:rPr>
          <w:rFonts w:ascii="KaiTi" w:hAnsi="KaiTi" w:eastAsia="KaiTi" w:cs="KaiTi"/>
          <w:color w:val="000000"/>
          <w:sz w:val="28"/>
        </w:rPr>
        <w:t xml:space="preserve">信息系统安全技术方案</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Token机制。开放接口时最基本需要考虑到接口不应该被他人随意访问，而本用户也不能随意访问其他用户的数据，从而保证用户与用户之间的数据隔离。这个时候就需要引入Token机制。</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数据校验。服务端从某种层面来说需要验证接收到数据是否和客户端发来的数据是否一致，要验证数据在传输过程中有没有被注入攻击。此时客户端和服务端就有必要做签名和验签。</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过载保护。服务端需要识别一些恶意请求，防止接口被过度访问。对接口访问频率设置一定阈值，对超过阈值的请求进行屏蔽及预警。</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异常封装。服务端需要构建异常统一处理框架，将服务可能出现的异常做统一封装，返回固定的code与msg，防止程序堆栈信息暴露。</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HTTPS。HTTPS能够有效防止中间人攻击，有效保证接口不被劫持，对数据窃取篡改做了安全防范。</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日志管理。实现系统使用情况的日志记录，系统对重要的操作都自动进行日志记录，管理人员对日志记录进行查询、管理。</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安全管理体系策略。建立信息安全领导小组和信息安全工作组，形成符合等级保护三级基本要求的信息安全组织体系职责。</w:t>
      </w:r>
      <w:r/>
    </w:p>
    <w:p>
      <w:pPr>
        <w:ind w:left="0" w:right="0" w:firstLine="560"/>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u w:val="none"/>
        </w:rPr>
        <w:t xml:space="preserve">（四）</w:t>
      </w:r>
      <w:r>
        <w:rPr>
          <w:rFonts w:ascii="KaiTi" w:hAnsi="KaiTi" w:eastAsia="KaiTi" w:cs="KaiTi"/>
          <w:color w:val="000000"/>
          <w:sz w:val="28"/>
        </w:rPr>
        <w:t xml:space="preserve">信息系统安全管理方案</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网络环境安全。网络拓扑结构安全，具备访问控制能力及入侵防范能力，具有日志审计功能。</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访问控制（防火墙）、入侵防范（IPS、WAF）、安全审计（审计产品）、防病毒（IPS、杀毒软件）、边界完整性检查。</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主机安全。使用登录账号、密码方式进行身份鉴别。</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对主机中的操作系统进行相应的口令设置、权限配置，对系统操作日志进行周期性转储审计工作。</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管理。明确本平台网络系统的边界和安全保护等级；对安全设计方案的合理性和正确性应进行论证和审定，并且经过批准后，才能正式实施；确保安全产品采购和使用符合国家的有关规定；制定软件开发相关制度和规范，保障软件开发全周期的安全管理；项目实施、验收和系统交付管理应根据实施计划书相关内容进行。</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人员安全管理。需对本平台人员进行全方位的安全管理。</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人员录用：应与从事关键岗位的人员签署保密协议；</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人员离岗：应规范人员离岗过程，办理严格的调离手续；</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人员考核：应定期对各个岗位的人员进行安全技能及安全认知的考核；</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安全意识教育和培训：对各类人员进行安全意识教育、岗位技能培训和相关安全技术培训；制定安全教育和培训计划，对信息安全基础知识、岗位操作规程等进行培训；</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外部人员访问管理：应确保在外部人员访问受控区域前得到授权或审批，批准后由专人全程陪同或监督，并登记备案。</w:t>
      </w:r>
      <w:r/>
    </w:p>
    <w:p>
      <w:pPr>
        <w:ind w:left="0" w:right="0" w:firstLine="560"/>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项目的运营过程中必须做好按照法律法规做好信息安全和信息数据的保护。保障关键信息基础设施安全稳定运行，维护数据的完整性、保密性和可用性。针对个人信息的事前风险评估设定为一项经常性工作，将其制度化、常态化，风险评估报告应涵盖个人信息种类、数量、收集、存储、使用、委托、提供等情况及可能面对的风险和应对措施，在持续保证评估质量的情况下尽量实现高效、快捷。</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16.4.服务预算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7"/>
        <w:gridCol w:w="6774"/>
        <w:gridCol w:w="1303"/>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r>
      <w:tr>
        <w:trPr>
          <w:trHeight w:val="2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4"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泰州通</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系统核心组件的日常运维与性能保障，涵盖服务器、中间件、数据库及原生</w:t>
            </w:r>
            <w:r>
              <w:rPr>
                <w:rFonts w:ascii="Times New Roman" w:hAnsi="Times New Roman" w:eastAsia="Times New Roman" w:cs="Times New Roman"/>
                <w:color w:val="000000"/>
                <w:sz w:val="28"/>
              </w:rPr>
              <w:t xml:space="preserve">SDK</w:t>
            </w:r>
            <w:r>
              <w:rPr>
                <w:rFonts w:ascii="FangSong" w:hAnsi="FangSong" w:eastAsia="FangSong" w:cs="FangSong"/>
                <w:color w:val="000000"/>
                <w:sz w:val="28"/>
              </w:rPr>
              <w:t xml:space="preserve">等关键环节。通过建立全链路监控体系，实施主动预警、定期巡检与快速故障响应，确保系统高可用性与数据安全，为平台平稳运行提供坚实的技术底座。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接入不少于</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个公共服务、便民服务应用。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提供可视化表单快速生成功能，支持自定义字段、校验规则与权限控制，实现活动报名、信息登记等场景的线上信息收集、数据管理、流程审批与统计导出。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组建不少于</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人的实体化</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运营团队，做好用户行为分析、需求挖掘、平面设计、视频制作、视频直播、微信公众号维护及客户服务等工作。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开展常规线下活动不少于</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次，每次参与人数不少于</w:t>
            </w:r>
            <w:r>
              <w:rPr>
                <w:rFonts w:ascii="Times New Roman" w:hAnsi="Times New Roman" w:eastAsia="Times New Roman" w:cs="Times New Roman"/>
                <w:color w:val="000000"/>
                <w:sz w:val="28"/>
              </w:rPr>
              <w:t xml:space="preserve">100</w:t>
            </w:r>
            <w:r>
              <w:rPr>
                <w:rFonts w:ascii="FangSong" w:hAnsi="FangSong" w:eastAsia="FangSong" w:cs="FangSong"/>
                <w:color w:val="000000"/>
                <w:sz w:val="28"/>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开展常规线上活动不少于</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次，每次参与人数不少于</w:t>
            </w:r>
            <w:r>
              <w:rPr>
                <w:rFonts w:ascii="Times New Roman" w:hAnsi="Times New Roman" w:eastAsia="Times New Roman" w:cs="Times New Roman"/>
                <w:color w:val="000000"/>
                <w:sz w:val="28"/>
              </w:rPr>
              <w:t xml:space="preserve">500</w:t>
            </w:r>
            <w:r>
              <w:rPr>
                <w:rFonts w:ascii="FangSong" w:hAnsi="FangSong" w:eastAsia="FangSong" w:cs="FangSong"/>
                <w:color w:val="000000"/>
                <w:sz w:val="28"/>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定制特色周边、文创产品，积分兑换商品采购。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rHeight w:val="2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苏服办泰州旗舰店</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做好应用服务的新建、上线、改造及在微信、支付宝的适配工作。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做好日常更新维护、问题工单处理、线上线下运营联动。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推进</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存量政务服务应用改造或重构，统一接入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苏服办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泰州城市站点。优化</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苏服办</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泰州站点页面布局，确保嵌入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”APP</w:t>
            </w:r>
            <w:r>
              <w:rPr>
                <w:rFonts w:ascii="FangSong" w:hAnsi="FangSong" w:eastAsia="FangSong" w:cs="FangSong"/>
                <w:color w:val="000000"/>
                <w:sz w:val="28"/>
              </w:rPr>
              <w:t xml:space="preserve">后界面统一、功能清晰、操作流畅。按要求做好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泰州通</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苏服办泰州旗舰店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协同运营。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p>
        </w:tc>
      </w:tr>
      <w:tr>
        <w:trPr>
          <w:trHeight w:val="2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泰政通</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授权泰政通固定账号</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万个、动态账号</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万个。</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158.4</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泰政通平台</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个域名证书</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个月使用费。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包含不限于公共数据采集、用水用气数据采集、市委组织部公务接待事前审批、泰州通应用服务变更及信息发布、泰州通项目需求、企业登记助手等模块。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38</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为用户个性化配置网络服务，安全联通相关政务外网应用。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实现整体框架、应用服务的国产化系统、软硬件适配。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37</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7"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74" w:type="dxa"/>
            <w:vAlign w:val="center"/>
            <w:textDirection w:val="lrTb"/>
            <w:noWrap/>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安排</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名驻场客户服务人员，协助各地各部门做好相关基础功能保障、技术支撑等工作，提供点对点在线答疑辅导、培训和管理服务。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p>
        </w:tc>
      </w:tr>
      <w:tr>
        <w:trPr>
          <w:trHeight w:val="3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480</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17.市公共数据服务（2026）项目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17.1.预期目标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围绕公共数据生产、管理、使用全生命周期流程，通过构建统一治理服务体系，聚焦数据价值释放与数字泰州建设，实现以下核心目标：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筑牢治理基础。建立统一规范治理体系，实现公共数据全量归集、有序管控，确立权威数据源，推行全流程统一标准，从源头规避数据问题；通过闭环质量管控，提升数据准确性、完整性与时效性，夯实决策与服务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、提升共享效能。健全共享开放机制，破除部门数据壁垒，实现跨层级、跨部门数据高效流转与按需共享；优化共享通道、简化审批流程，分类分级开放非涉密数据，对接社会各界需求，拓展数据应用领域。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、严守安全底线。构建全生命周期安全防护体系，贯穿数据全流程；落实分类分级管理，运用脱敏、访问控制等技术防范安全风险，严守法律法规，保障数据安全与个人隐私。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、释放数据价值。推动公共数据与政务服务、城市治理等场景深度融合，以数据分析赋能决策优化，提升公共服务精准度；探索数据要素市场化路径，明晰资产权属，培育创新场景，注入数字经济动能。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、健全运营机制。建立常态化运营管理体系，明确部门职责与协同流程；组建专业团队提供全周期运维，完善培训机制强化人员能力，构建共建共治共享格局。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、推动长效发展。巩固前期攻坚成果，持续夯实数据质量（已归集</w:t>
      </w:r>
      <w:r>
        <w:rPr>
          <w:rFonts w:ascii="Times New Roman" w:hAnsi="Times New Roman" w:eastAsia="Times New Roman" w:cs="Times New Roman"/>
          <w:color w:val="000000"/>
          <w:sz w:val="28"/>
        </w:rPr>
        <w:t xml:space="preserve">65</w:t>
      </w:r>
      <w:r>
        <w:rPr>
          <w:rFonts w:ascii="FangSong" w:hAnsi="FangSong" w:eastAsia="FangSong" w:cs="FangSong"/>
          <w:color w:val="000000"/>
          <w:sz w:val="28"/>
        </w:rPr>
        <w:t xml:space="preserve">个部门</w:t>
      </w:r>
      <w:r>
        <w:rPr>
          <w:rFonts w:ascii="Times New Roman" w:hAnsi="Times New Roman" w:eastAsia="Times New Roman" w:cs="Times New Roman"/>
          <w:color w:val="000000"/>
          <w:sz w:val="28"/>
        </w:rPr>
        <w:t xml:space="preserve">550</w:t>
      </w:r>
      <w:r>
        <w:rPr>
          <w:rFonts w:ascii="FangSong" w:hAnsi="FangSong" w:eastAsia="FangSong" w:cs="FangSong"/>
          <w:color w:val="000000"/>
          <w:sz w:val="28"/>
        </w:rPr>
        <w:t xml:space="preserve">余亿条数据，开放</w:t>
      </w:r>
      <w:r>
        <w:rPr>
          <w:rFonts w:ascii="Times New Roman" w:hAnsi="Times New Roman" w:eastAsia="Times New Roman" w:cs="Times New Roman"/>
          <w:color w:val="000000"/>
          <w:sz w:val="28"/>
        </w:rPr>
        <w:t xml:space="preserve">5399</w:t>
      </w:r>
      <w:r>
        <w:rPr>
          <w:rFonts w:ascii="FangSong" w:hAnsi="FangSong" w:eastAsia="FangSong" w:cs="FangSong"/>
          <w:color w:val="000000"/>
          <w:sz w:val="28"/>
        </w:rPr>
        <w:t xml:space="preserve">个数据集，完善各类数据库建设）；</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年底前形成可持续推广的治理模式，为泰州数智赋能与高质量发展提供稳定数据支撑。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br w:type="page" w:clear="all"/>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17.2.需求分析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本项目遵循“一体化架构、差异化定位、多层级赋能、协同高效共享”原则，利用目录管理、数据归集、数据治理、数据共享、数据安全等核心系统工具，提供公共数据治理服务，核心服务如下：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平台构建“开放式中央厨房”模式，集成数据整理、加工、应用全环节工具。各地各部门可直接复用工具生成所需数据产品，无需自建系统或采购工具，既规避多头重复建设问题，又实现全市数据资源集中管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、针对当前人工编制数据目录存在的数源不清、编目不全、更新滞后等问题，平台采用数据探查技术，精准识别各类应用系统数据资源。实现数据目录自动采集、应编尽编，为公共数据管理奠定基础。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依据《全国一体化政务大数据体系建设指南》数据资源一体化要求，针对现有数据质量管控仅覆盖中游治理、事后补救的弊端，平台建立统一数据治理规范。明确各数据权威数源并完成贯标，构建“上游源头治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中游依标治理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下游问题反馈”全流程闭环管控体系，保障数据标准规范、权威可靠。</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落实“数据二十条”关于全流程数据安全保障的要求，平台融合数据沙箱、数据脱敏等技术，构建隔离式数据空间。采用多租户架构，支持各地各部门在专属空间内开展数据建模分析，实现原始数据不出域、可用不可见的安全流通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为保障数据使用稳定性、掌握使用热度、评估应用成效，平台运用数据图谱技术，构建数据从生产端到使用端的全链路孪生模型，实时呈现节点运行状态。可实现故障一键定位处置，精准识别高频数据，应用成效一屏可视化展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br w:type="page" w:clear="all"/>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17.3.技术方案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17.3.1.公共数据平台服务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数据平台服务聚焦数据全生命周期技术支撑，深度应用数据管理中枢、数据探查、一数一源一标准治理、数据共享网关等核心功能。围绕数据目录查询编制、数据探查监控、治理规则配置、数据共享接口开发等核心需求，实现数据资源的规范化管理、精准化探查、标准化治理及安全高效共享。同时结合数据图谱、应用编目、数据资源管理、数据集成等配套服务，构建覆盖数据从接入、管理、治理到服务的全流程技术支撑体系，为公共数据高效流转奠定基础。另外，如省市级单位印发数据相关政策文件或下达相关工作要求，本平台须第一时间落实，确保全面满足上级单位相</w:t>
      </w:r>
      <w:r>
        <w:rPr>
          <w:rFonts w:ascii="FangSong" w:hAnsi="FangSong" w:eastAsia="FangSong" w:cs="FangSong"/>
          <w:color w:val="000000"/>
          <w:sz w:val="28"/>
        </w:rPr>
        <w:t xml:space="preserve">关要求；若平台现有功能存在短板、无法适配，须第一时间启动功能升级改造工作，按需开发配套功能（如专项数据上报功能及接口等）。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根据公共数据平台服务的重点工作要求，服务内容包括但不限于：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通过数据管理中枢中目录查询、编制、变更、注销等功能的应用，实现数据目录全生命周期管理。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开展数据探查，完成数源接入、探查任务配置、元数据标记及变更监控，保障数据目录动态更新。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推进一数一源一标准治理，配置治理规则、管理治理任务、处理问题工单，提升数据标准化水平。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通过数据共享网关功能实现服务接口与数据接口的注册、审批、监控及密钥管理，保障数据共享安全可控。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完善数据图谱，基于元数据仓进行数据血缘分析及统计分析，支撑数据全链路追溯。</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开展应用编目、数据资源分类存储、数仓管理、跨源数据集成及数据开发、标签管理、数据服务配置等配套工作。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平台升级改造工作：按照上级单位要求，优化数据供需、省级联系统等现有功能；开发省级专项数据上报、平台自有登录门户等新功能。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完成规模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支撑全年度运营工作。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输出物及标准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输出物标准</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运用数据管理中枢目录管理相关功能，实现数据目录全生命周期管理</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数据目录全生命周期管理记录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目录管理功能正常落地，台账完整准确，全生命周期管理流程闭环</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开展数据探查，完成数源接入等配置，保障数据目录动态更新</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数据探查记录、数源接入清单、元数据标记表、变更监控日志</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数源接入符合规范，探查配置合理，元数据标记准确，变更监控及时，目录更新无遗漏</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推进一数一源一标准治理，配置规则、管理任务、处理问题工单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治理规则配置手册、治理任务台账、问题工单处理记录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治理规则合规，任务管理有序，问题工单闭环处理，数据标准化达标</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运用数据共享网关进行接口与密钥管理，保障数据共享安全可控</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接口注册审批台账、密钥管理清单、接口监控日志</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接口审批规范，密钥管理严密，监控无死角，共享安全可控</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完善数据图谱，支撑数据全链路追溯</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数据图谱、数据血缘分析报告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图谱结构清晰、关联准确，血缘可追溯</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开展应用编目、数据存储、跨源集成等配套工作</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应用编目清单、数据存储方案、服务配置文档</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编目规范，存储方案可行，集成高效稳定，开发成果达标，标签体系完善，配置合规</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平台升级改造工作：优化数据供需、省级联系统等现有功能；开发省级专项数据上报、平台自有登录门户等新功能。</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系统可用功能；接口说明</w:t>
            </w:r>
            <w:r>
              <w:rPr>
                <w:rFonts w:ascii="SimSun" w:hAnsi="SimSun" w:eastAsia="SimSun" w:cs="SimSun"/>
                <w:color w:val="000000"/>
                <w:sz w:val="24"/>
              </w:rPr>
              <w:t xml:space="preserve">/</w:t>
            </w:r>
            <w:r>
              <w:rPr>
                <w:rFonts w:ascii="FangSong" w:hAnsi="FangSong" w:eastAsia="FangSong" w:cs="FangSong"/>
                <w:color w:val="000000"/>
                <w:sz w:val="24"/>
              </w:rPr>
              <w:t xml:space="preserve">功能说明文档</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满足上级单位要求</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17.3.2.公共数据平台运营服务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数据平台运营服务聚焦日常运营保障与实操落地，围绕数据交换归集、目录管理、资源普查、一数一源一标准治理等核心场景提供常态化服务。处理前置库告警与交换任务异常，指导数据目录编制与关联，开展信息系统探查接入实施，运营治理规则库与问题数据工单，同时提供数据源管理与服务接口开发支持。通过全流程运营服务，保障数据归集及时、目录规范、治理有效、共享顺畅，推动公共数据从技术支撑向实际应用落地转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根据公共数据平台运营服务的重点工作要求，服务内容包括但不限于：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数据交换归集服务：处理前置库告警、交换任务异常，为市本级部门提供前置库异常问题排查与支持。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数据目录管理服务：提供目录编制、批量数据及接口申请操作支持，推进目录与政务服务事项关联及应编尽编，开展目录质量审核与整改验收。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数据资源普查：摸排适宜探查的应用系统，协助完成数源接入准备、探查任务配置及编目数据标记，监控目录变更并督促处理。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一数一源一标准治理服务：运营治理规则库，协助数源部门配置治理规则、完成在线审批，跟踪问题数据工单分发与整改。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数据源与接口服务：协助数据源注册、修改与检测，开发新增数据接口并上架，开展接口运营、清理及历史接口迁移。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数据安全与管理服务：统筹平台数据安全管理工作，负责数据安全风险识别和评估、安全策略制定等工作。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支撑场景建设服务：统筹全市数据编目、归集、治理和共享开放等全生命周期工作，支撑重大应用数据需求。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完成规模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完成全年度省市单位对公共数据服务的要求。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输出物及标准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输出物标准</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数据交换归集服务：数据共享对接、处理前置库告警与交换异常，提供排查支持</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数据共享记录、前置库告警台账、交换异常处理记录、排查支持记录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满足实际业务对接，告警与交换异常响应及时，问题解决率达标，部门反馈良好</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数据目录管理服务：提供编目等操作支持，推进目录关联与质量整改</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操作指南、目录关联清单、质量报告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编目合规，关联清单准确，目录应编尽编，审核整改闭环，验收合格</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数据资源普查：摸排应用系统，协助数源接入配置，监控目录变更</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应用系统普查清单、编目标记成果、变更监控台账</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普查全面，接入准备充分，探查配置合理，变更监控处理到位</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一数一源一标准治理服务：运营规则库，跟踪问题整改</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规则配置清单、审批记录、问题工单跟踪台账</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规则库运营规范，规则配置合规，问题工单闭环，整改达标</w:t>
            </w:r>
            <w:r/>
          </w:p>
        </w:tc>
      </w:tr>
      <w:tr>
        <w:trPr>
          <w:trHeight w:val="1031"/>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数据源与接口服务：数据源管理，优化接口</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数据源管理台账</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数据源管理规范，交换接口应用稳定</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数据安全与管理服务：负责数据安全风险识别、安全策略等工作。</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数据安全风险评估报告、数据安全管理策略、数据安全应急预案</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符合法规要求，评估报告风险识别全、结论准；应急预案针对性强</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支撑场景建设服务：支撑重大应用数据需求。</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全市公共数据资源目录、场景数据治理方案</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符合实际场景要求。</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17.3.3.“一本账”指标运营服务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为江苏省数字资源“一本账”建设的重要实施主体，泰州市需严格对标《江苏省数字资源“一本账”建设指南》各项要求，立足市级统筹协调职能，扎实推进数字资源“一本账”指标运营规范化、精细化开展。为确保市级指标数据与省级系统高效协同、精准对接，泰州市将围绕指标运营全流程，统筹协调市级各部门及所辖县（市、区）力量，精准提供数据归集上报、接口对接联动、运维保障支撑等关键服务，全面保障指标数据的完整性、及时性与安全性，助力全省数字资源“一本账”整体建设效能提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根据“一本账”指标运营服务的重点工作要求，服务内容包括但不限于：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指标数据归集与上报服务：按全省统一指标体系（</w:t>
      </w: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类一级指标、</w:t>
      </w: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类二级指标、</w:t>
      </w:r>
      <w:r>
        <w:rPr>
          <w:rFonts w:ascii="Times New Roman" w:hAnsi="Times New Roman" w:eastAsia="Times New Roman" w:cs="Times New Roman"/>
          <w:color w:val="000000"/>
          <w:sz w:val="28"/>
        </w:rPr>
        <w:t xml:space="preserve">170</w:t>
      </w:r>
      <w:r>
        <w:rPr>
          <w:rFonts w:ascii="FangSong" w:hAnsi="FangSong" w:eastAsia="FangSong" w:cs="FangSong"/>
          <w:color w:val="000000"/>
          <w:sz w:val="28"/>
        </w:rPr>
        <w:t xml:space="preserve">个指标项），归集市级部门及所辖县（市、区）涵盖事项管理、项目管理等全维度的指标数据，同步至省级系统，非自动采集指标通过在线填报、批量导入完成上报，确保数据完整及时。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指标相关接口对接服务：向省级“一本账”管理系统开放接口，同步市级指标数据与指令处理结果、接收省级协同指令，同时为市级业务平台提供指标查询接口并对接一体化平台提供检索服务，支撑本地审批与用户查询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指标数据运维保障服务：建立指标数据质量管控机制，监测数据准确性与完整性、处理异议数据以符合全省统一标准，同时配备专职人员、落实运维经费，保障市级系统指标模块稳定运行并上报相关保障类指标。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指标应用场景支撑服务：基于省级统一量化模型开展本地指标量化分析，为市级首席数据官履职与数字化转型评估提供支撑，同时配合省级业务联动、触发本地协同流程并推广指标应用场景，推动指标与业务深度融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标准规范遵循与落地服务：严格遵循全省“一本账”指标编码、数据格式等标准以确保市省数据兼容，同时开展标准符合性审查与自查，宣贯指标规范并指导市、县单位按统一口径提供数据。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指标数据安全防护服务：对指标数据按一级至四级标准分类分级、落实差异化安全策略，采用国密算法加密敏感数据的存储与传输，同时建立访问控制机制保障数据安全，开展风险评估、配合省级监测并上报安全事件类指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完成规模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预估维护</w:t>
      </w: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类一级指标、</w:t>
      </w: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类二级指标及</w:t>
      </w:r>
      <w:r>
        <w:rPr>
          <w:rFonts w:ascii="Times New Roman" w:hAnsi="Times New Roman" w:eastAsia="Times New Roman" w:cs="Times New Roman"/>
          <w:color w:val="000000"/>
          <w:sz w:val="28"/>
        </w:rPr>
        <w:t xml:space="preserve">170</w:t>
      </w:r>
      <w:r>
        <w:rPr>
          <w:rFonts w:ascii="FangSong" w:hAnsi="FangSong" w:eastAsia="FangSong" w:cs="FangSong"/>
          <w:color w:val="000000"/>
          <w:sz w:val="28"/>
        </w:rPr>
        <w:t xml:space="preserve">个指标项，并完成省级平台对接。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输出物及标准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输出物标准</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指标数据归集与上报服务</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市级指标数据归集成果、数据上报文件</w:t>
            </w:r>
            <w:r>
              <w:rPr>
                <w:rFonts w:ascii="SimSun" w:hAnsi="SimSun" w:eastAsia="SimSun" w:cs="SimSun"/>
                <w:color w:val="000000"/>
                <w:sz w:val="24"/>
              </w:rPr>
              <w:t xml:space="preserve">/</w:t>
            </w:r>
            <w:r>
              <w:rPr>
                <w:rFonts w:ascii="FangSong" w:hAnsi="FangSong" w:eastAsia="FangSong" w:cs="FangSong"/>
                <w:color w:val="000000"/>
                <w:sz w:val="24"/>
              </w:rPr>
              <w:t xml:space="preserve">系统同步记录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覆盖</w:t>
            </w:r>
            <w:r>
              <w:rPr>
                <w:rFonts w:ascii="SimSun" w:hAnsi="SimSun" w:eastAsia="SimSun" w:cs="SimSun"/>
                <w:color w:val="000000"/>
                <w:sz w:val="24"/>
              </w:rPr>
              <w:t xml:space="preserve">14</w:t>
            </w:r>
            <w:r>
              <w:rPr>
                <w:rFonts w:ascii="FangSong" w:hAnsi="FangSong" w:eastAsia="FangSong" w:cs="FangSong"/>
                <w:color w:val="000000"/>
                <w:sz w:val="24"/>
              </w:rPr>
              <w:t xml:space="preserve">类一级指标、</w:t>
            </w:r>
            <w:r>
              <w:rPr>
                <w:rFonts w:ascii="SimSun" w:hAnsi="SimSun" w:eastAsia="SimSun" w:cs="SimSun"/>
                <w:color w:val="000000"/>
                <w:sz w:val="24"/>
              </w:rPr>
              <w:t xml:space="preserve">41</w:t>
            </w:r>
            <w:r>
              <w:rPr>
                <w:rFonts w:ascii="FangSong" w:hAnsi="FangSong" w:eastAsia="FangSong" w:cs="FangSong"/>
                <w:color w:val="000000"/>
                <w:sz w:val="24"/>
              </w:rPr>
              <w:t xml:space="preserve">类二级指标、</w:t>
            </w:r>
            <w:r>
              <w:rPr>
                <w:rFonts w:ascii="SimSun" w:hAnsi="SimSun" w:eastAsia="SimSun" w:cs="SimSun"/>
                <w:color w:val="000000"/>
                <w:sz w:val="24"/>
              </w:rPr>
              <w:t xml:space="preserve">170</w:t>
            </w:r>
            <w:r>
              <w:rPr>
                <w:rFonts w:ascii="FangSong" w:hAnsi="FangSong" w:eastAsia="FangSong" w:cs="FangSong"/>
                <w:color w:val="000000"/>
                <w:sz w:val="24"/>
              </w:rPr>
              <w:t xml:space="preserve">个指标项，数据完整无缺失</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指标相关接口对接服务</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接口对接方案、数据交互记录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接口开放符合省级</w:t>
            </w:r>
            <w:r>
              <w:rPr>
                <w:rFonts w:ascii="SimSun" w:hAnsi="SimSun" w:eastAsia="SimSun" w:cs="SimSun"/>
                <w:color w:val="000000"/>
                <w:sz w:val="24"/>
              </w:rPr>
              <w:t xml:space="preserve">“</w:t>
            </w:r>
            <w:r>
              <w:rPr>
                <w:rFonts w:ascii="FangSong" w:hAnsi="FangSong" w:eastAsia="FangSong" w:cs="FangSong"/>
                <w:color w:val="000000"/>
                <w:sz w:val="24"/>
              </w:rPr>
              <w:t xml:space="preserve">一本账</w:t>
            </w:r>
            <w:r>
              <w:rPr>
                <w:rFonts w:ascii="SimSun" w:hAnsi="SimSun" w:eastAsia="SimSun" w:cs="SimSun"/>
                <w:color w:val="000000"/>
                <w:sz w:val="24"/>
              </w:rPr>
              <w:t xml:space="preserve">”</w:t>
            </w:r>
            <w:r>
              <w:rPr>
                <w:rFonts w:ascii="FangSong" w:hAnsi="FangSong" w:eastAsia="FangSong" w:cs="FangSong"/>
                <w:color w:val="000000"/>
                <w:sz w:val="24"/>
              </w:rPr>
              <w:t xml:space="preserve">管理系统规范，支撑本地业务平台查询</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指标数据运维保障服务</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数据质量报告、系统运维记录、运行保障类指标报表</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数据准确性、完整性符合省级统一标准，异议数据及时处置，运维记录完整可追溯</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指标应用场景支撑服务</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指标量化分析报告、业务协同联动记录、应用场景推广方案及成效报告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量化分析基于省级统一模型，支撑首席数据官履职及转型评估，业务协同联动响应及时，应用场景贴合政务服务优化、数据安全管理需求</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标准规范遵循与落地服务</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标准符合性审查报告、自查报告、指标规范宣贯材料及记录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严格遵循省级标准，审查及自查内容全面，问题整改到位，确保按统一口径提供数据</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指标数据安全防护服务</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数据分类分级清单、安全策略方案、安全风险评估报告、安全事件上报记录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分类分级标准，差异化安全策略落实到位，访问控制严格，操作可追溯，风险评估全面，安全事件及时上报</w:t>
            </w:r>
            <w:r/>
          </w:p>
        </w:tc>
      </w:tr>
    </w:tbl>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17.3.4.数据资产登记服务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本数据资产登记服务归属于政府公共服务范畴，具有非盈利性属性，其核心定位在于通过专业化服务完善公共数据授权运营体系、保障公共利益，本次服务对象为十个市级部门、七家市属企业。该服务以“梳理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评估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确权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登记”为核心运作流程，全程契合公共数据治理“规范治理、明晰权属、激活价值”的核心目标，相关服务内容具备鲜明的公共服务属性，符合公共数据治理服务项目的统筹推进要求，具备纳入其中的充分合理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为响应国家《公共数据资源授权运营实施规范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试行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》要求，助力泰州市提升公共数据授权运营综合水平，实现公共数据授权运营跻身全国前列的考核目标，特制定本专项服务方案，服务内容包括但不限于：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资源供给优化工程：开展公共数据全面普查梳理，建立“需求</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供给</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反馈”闭环机制，动态更新数据资源，重点补充稀缺领域数据。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产品</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服务开发赋能工程：培育多元运营主体，搭建开发环境并提供工具支持，引导开发标准化与定制化数据产品，制定定价指引，规范公益类与增值类产品定价及公开机制。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场景落地拓展工程：攻坚金融、医疗、城市治理等重点场景，建立场景全流程管理机制排除无效场景，提升场景落地实效。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安全可控加固工程：完善公共数据授权运营安全管理制度，搭建安全运营中心部署防护技术工具，定期开展合规审查与安全评估，组织应急演练保障数据全链路安全。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信息披露升级工程：搭建统一信息披露专栏实现“一站式”查询，制定披露指南明确频次与格式，建立社会意见反馈响应机制，确保披露信息真实、及时、完整。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公平长效保障工程：健全公共数据授权运营政策体系，搭建政企对接平台，扶持小微企业参与，构建多元协同运营生态。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完成规模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预估完成十个市级部门、七家市属企业的公共数据资产登记工作，完成至少</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个数据资产登记。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输出物及标准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输出物标准</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数据资源梳理与登记：梳理本单位数据，编制数据资源目录，在线提交数据资源登记申请，审核、公示</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《公共数据资源目录》</w:t>
            </w:r>
            <w:r/>
          </w:p>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《公共数据资源登记证明》</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格式标准、内容完整、与业务系统对应；</w:t>
            </w:r>
            <w:r/>
          </w:p>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通过审核，公示无异议，登记信息准确</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数据资产盘点与评估确权：筛选符合资产定义的数据，建立资产清单；进行数据质量评估；开展确权与价值评估</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《数据资产目录清单》</w:t>
            </w:r>
            <w:r/>
          </w:p>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《数据场景报告》</w:t>
            </w:r>
            <w:r/>
          </w:p>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《数据资产评估报告》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包含资产名称、来源、用途、预期效益等关键信息</w:t>
            </w:r>
            <w:r/>
          </w:p>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评估专业、客观，估值合理，确权清晰</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资产入账与系统登记；部门资产卡片登记</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数据资产信息卡片</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符合相关部门规定，凭证完整、合规；信息准确、格式统一</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价值实现与应用：数据进场交易、收益上缴</w:t>
            </w:r>
            <w:r>
              <w:rPr>
                <w:rFonts w:ascii="SimSun" w:hAnsi="SimSun" w:eastAsia="SimSun" w:cs="SimSun"/>
                <w:color w:val="000000"/>
                <w:sz w:val="24"/>
              </w:rPr>
              <w:t xml:space="preserve">/</w:t>
            </w:r>
            <w:r>
              <w:rPr>
                <w:rFonts w:ascii="FangSong" w:hAnsi="FangSong" w:eastAsia="FangSong" w:cs="FangSong"/>
                <w:color w:val="000000"/>
                <w:sz w:val="24"/>
              </w:rPr>
              <w:t xml:space="preserve">分配、收益上缴</w:t>
            </w:r>
            <w:r>
              <w:rPr>
                <w:rFonts w:ascii="SimSun" w:hAnsi="SimSun" w:eastAsia="SimSun" w:cs="SimSun"/>
                <w:color w:val="000000"/>
                <w:sz w:val="24"/>
              </w:rPr>
              <w:t xml:space="preserve">/</w:t>
            </w:r>
            <w:r>
              <w:rPr>
                <w:rFonts w:ascii="FangSong" w:hAnsi="FangSong" w:eastAsia="FangSong" w:cs="FangSong"/>
                <w:color w:val="000000"/>
                <w:sz w:val="24"/>
              </w:rPr>
              <w:t xml:space="preserve">分配</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泰州市公共数据授权运营目录、数交所平台数据服务产品</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协议规范、服务产品可用、符合法规； </w:t>
            </w:r>
            <w:r/>
          </w:p>
        </w:tc>
      </w:tr>
    </w:tbl>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17.3.5.公共数据开放平台运营服务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数字经济快速发展的背景下，公共数据开放利用已成为提升数字治理能力、释放数据价值的关键举措。为规范推进相关工作，助力提升数林指数评测成效，结合指标要求，现从准备度、服务层、数据层、利用层四个核心阶段，明确各阶段重点服务内容，同时配套梳理对应输出物及标准，确保各项工作落地见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根据公共数据开放平台运营服务的重点工作要求，服务内容包括但不限于：</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准备度阶段：协助制定公共数据开放利用相关的地方性规范说明文件，通过目录普查确定开放平台目录，且在政府工作报告及数字政府方案中纳入相关工作安排。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服务层阶段：需上线数据运营平台或专区并添加相关超链接，保障开放平台稳定访问、无频繁维护下线情况，排查目录异常以确保数据可正常下载，同时建立互动反馈机制，并在两个工作日内及时回复用户留言。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层阶段：需提供可下载且及时更新的开放数据目录，丰富开放与运营数据的主题及涉及部门多样性，纳入非政府部门相关数据，覆盖全国普遍开放的基础性数据集，针对六大重点场景提供全市层面核心关键数据集，避免高空缺、低容量及碎片化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利用层阶段：需在六大重点场景形成有价值成果并提供数据支撑，在数字经济领域产出如普惠金融、补充医保等应用，在数字社会推出便民服务，在数字政府探索数字治理相关应用，释放公共数据多领域价值。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完成规模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实现本市数林指数跻身全省前三的目标。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输出物及标准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w:t>
            </w:r>
            <w:r/>
          </w:p>
        </w:tc>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输出物标准</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准备度阶段：协助制定公共数据开放相关文件；将数据开放利用工作纳入相关安排</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地方性规范说明文件、数据开放计划</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服务覆盖核心要素；工作安排含明确目标、责任部门及时限</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服务层阶段：上线运营平台</w:t>
            </w:r>
            <w:r>
              <w:rPr>
                <w:rFonts w:ascii="SimSun" w:hAnsi="SimSun" w:eastAsia="SimSun" w:cs="SimSun"/>
                <w:color w:val="000000"/>
                <w:sz w:val="24"/>
              </w:rPr>
              <w:t xml:space="preserve">/</w:t>
            </w:r>
            <w:r>
              <w:rPr>
                <w:rFonts w:ascii="FangSong" w:hAnsi="FangSong" w:eastAsia="FangSong" w:cs="FangSong"/>
                <w:color w:val="000000"/>
                <w:sz w:val="24"/>
              </w:rPr>
              <w:t xml:space="preserve">专区、添加超链接；保障平台稳定、数据可下载；建立互动反馈机制</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数据运营平台</w:t>
            </w:r>
            <w:r>
              <w:rPr>
                <w:rFonts w:ascii="SimSun" w:hAnsi="SimSun" w:eastAsia="SimSun" w:cs="SimSun"/>
                <w:color w:val="000000"/>
                <w:sz w:val="24"/>
              </w:rPr>
              <w:t xml:space="preserve">/</w:t>
            </w:r>
            <w:r>
              <w:rPr>
                <w:rFonts w:ascii="FangSong" w:hAnsi="FangSong" w:eastAsia="FangSong" w:cs="FangSong"/>
                <w:color w:val="000000"/>
                <w:sz w:val="24"/>
              </w:rPr>
              <w:t xml:space="preserve">专区；目录异常排查记录、用户留言回复记录</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平台功能完备，超链接有效可跳转；平台无频繁维护下线，数据下载无故障；反馈流程明确，留言</w:t>
            </w:r>
            <w:r>
              <w:rPr>
                <w:rFonts w:ascii="SimSun" w:hAnsi="SimSun" w:eastAsia="SimSun" w:cs="SimSun"/>
                <w:color w:val="000000"/>
                <w:sz w:val="24"/>
              </w:rPr>
              <w:t xml:space="preserve">2</w:t>
            </w:r>
            <w:r>
              <w:rPr>
                <w:rFonts w:ascii="FangSong" w:hAnsi="FangSong" w:eastAsia="FangSong" w:cs="FangSong"/>
                <w:color w:val="000000"/>
                <w:sz w:val="24"/>
              </w:rPr>
              <w:t xml:space="preserve">个工作日内有效回复</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数据层阶段：提供可下载且及时更新的开放数据目录；丰富数据主题与部门多样性、纳入非政府部门数据；覆盖国内基础性数据集、提供六大重点场景核心数据集</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开放数据目录文档、数据集清单及质量报告</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目录可下载、更新及时、分类清晰；主题覆盖全面，部门参与度高，含非政府部门数据；完整覆盖基础数据，重点场景数据集无高空缺等质量问题</w:t>
            </w: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利用层阶段：六大重点场景形成有价值成果并提供数据支撑；多领域释放公共数据价值</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数据支撑说明、数字经济</w:t>
            </w:r>
            <w:r>
              <w:rPr>
                <w:rFonts w:ascii="SimSun" w:hAnsi="SimSun" w:eastAsia="SimSun" w:cs="SimSun"/>
                <w:color w:val="000000"/>
                <w:sz w:val="24"/>
              </w:rPr>
              <w:t xml:space="preserve">/</w:t>
            </w:r>
            <w:r>
              <w:rPr>
                <w:rFonts w:ascii="FangSong" w:hAnsi="FangSong" w:eastAsia="FangSong" w:cs="FangSong"/>
                <w:color w:val="000000"/>
                <w:sz w:val="24"/>
              </w:rPr>
              <w:t xml:space="preserve">社会</w:t>
            </w:r>
            <w:r>
              <w:rPr>
                <w:rFonts w:ascii="SimSun" w:hAnsi="SimSun" w:eastAsia="SimSun" w:cs="SimSun"/>
                <w:color w:val="000000"/>
                <w:sz w:val="24"/>
              </w:rPr>
              <w:t xml:space="preserve">/</w:t>
            </w:r>
            <w:r>
              <w:rPr>
                <w:rFonts w:ascii="FangSong" w:hAnsi="FangSong" w:eastAsia="FangSong" w:cs="FangSong"/>
                <w:color w:val="000000"/>
                <w:sz w:val="24"/>
              </w:rPr>
              <w:t xml:space="preserve">政府领域应用案例</w:t>
            </w:r>
            <w:r/>
          </w:p>
        </w:tc>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2984" w:type="dxa"/>
            <w:vAlign w:val="top"/>
            <w:textDirection w:val="lrTb"/>
            <w:noWrap w:val="false"/>
          </w:tcPr>
          <w:p>
            <w:pPr>
              <w:ind w:left="0" w:right="0" w:firstLine="0"/>
              <w:jc w:val="both"/>
              <w:spacing w:before="120" w:after="12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成果具备实际价值，数据支撑充分有效；案例贴合领域需求，可体现数据价值转化</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17.3.6.2026年政务信息化项目数据服务</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数字政府建设与数据要素市场化配置改革总体部署，为贯彻落实公共数据“统筹管理、集约建设”要求，提升数据资源整体效能，本项目将提供统一的公共数据服务。主要服务内容包括数据汇集、治理、共享等环节，旨在全面支撑各部门信息化项目中的数据加工治理需求，摸清公共数据底数，并确保数据规范、高效归集至市级公共数据平台。服务内容主要包括以下项目功能：</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1"/>
        <w:gridCol w:w="1565"/>
        <w:gridCol w:w="826"/>
        <w:gridCol w:w="2914"/>
        <w:gridCol w:w="1003"/>
        <w:gridCol w:w="21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部门名称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功能模块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功能描述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泰州市</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智慧住建</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政务信息化平台</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城市体检子系统项目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住建局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本项目致力于打造</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数据全汇聚、指标可动态、业务可追溯、诊断智能化</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的城市体检管理新模式。通过构建统一的数字化平台，最终实现三大目标</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政府监管层面，精准识别城市短板，提升决策科学性</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部门协作层面，打破数据壁垒，减少重复工作</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公众体验层面，拓宽参与渠道，增强城市治理透明度。为泰州市建立</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一年一体检、五年一评估</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的长效机制奠定坚实基础，助力城市更新行动高效落驏夺地。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数据库建设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基于泰州市智慧住建政务信息化平台数据中心专题库，为城市体检数据体系建设提供公共数据服务，按需统筹对接相关数据，为其四大类数据库建设提供数据对接保障。</w:t>
            </w:r>
            <w:r/>
          </w:p>
        </w:tc>
      </w:tr>
      <w:tr>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省级建筑垃圾治理数字化监管平台</w:t>
              <w:br/>
              <w:t xml:space="preserve">本地化部署项目建设方案</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城管局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通过停用泰州市智慧渣土系统并建设省级建筑垃圾治理数字化监管平台本地化部署项目，统筹部署泰州市建筑垃圾源头减量、分类管理、综合利用、部门协同监管、全过程数字化治理等工作，加快健全完善与城市发展需求相匹配的建筑垃圾治理体系，实现建筑垃圾的减量化、资源化、无害化处理，提高建筑垃圾资源化利用水平，坚决守住生态环境保护底线。项目旨在完善全链条数字化监管体系，建立健全部门协同、区域协同、联防联控长效机制，打造建筑垃圾全域数字化监管体系，全面推行电子联单，构建智能应用场景，实现建筑垃圾</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全市域、全品类、全链条</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监管，助力城市生态文明建设和城市管理高质量发展。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建筑垃圾数据治理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依托现有数据共享交换能力在建筑垃圾数据治理工作中提供支撑，同步完善本地数据库；提供各部门间数据共享交换服务，助力建筑垃圾业务协同共管，为泰州建筑垃圾行业数据仓库建设及源头、运输、处置等多业务场景应用提供数据服务保障。</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vMerge w:val="restart"/>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vMerge w:val="restart"/>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市政法委社会矛调研判分析平台（</w:t>
            </w:r>
            <w:r>
              <w:rPr>
                <w:rFonts w:ascii="Times New Roman" w:hAnsi="Times New Roman" w:eastAsia="Times New Roman" w:cs="Times New Roman"/>
                <w:color w:val="000000"/>
                <w:sz w:val="22"/>
              </w:rPr>
              <w:t xml:space="preserve">2026</w:t>
            </w:r>
            <w:r>
              <w:rPr>
                <w:rFonts w:ascii="FangSong" w:hAnsi="FangSong" w:eastAsia="FangSong" w:cs="FangSong"/>
                <w:color w:val="000000"/>
                <w:sz w:val="22"/>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vMerge w:val="restart"/>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政法委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vMerge w:val="restart"/>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平台建设目标实现大数据预测预警预防，精准掌握治理态势，智辅决策，增强区域社会治理效能。利用大数据技术对系统中的矛盾纠纷数据、解纷资源信息进行多维度综合分析，然后结合可视化技术，对统计分析结果进行直观展示，方便领导宏观掌握泰州市矛盾纠纷解纷业务开展情况，辅助领导决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数据集成接入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基于公数平台支撑数据集成接入、数据建模管理、数据同步等业务需求；</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专题库建设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根据不同的数据类型使用库表、文件、接口等方式，实现数据的抽取、入库。为社会矛调研判分析平台的专题库建设提供数据加工治理等服务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摊有序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城管局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在泰州市城市运行管理服务平台智慧市容系统中增加</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摊有序</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，推进三大维度建设升级。一是构建基础规范体系，结合居民生活需求及商圈分布，科学划定便民且不影响市容的摆摊区域</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并建立摊贩积分动态管理机制，无需人工统计，系统根据摊贩经营情况自动生成积分，积分维度涵盖摊位规范摆放、周边垃圾清理、用电用气用火安全等，合规项自动加分、违规项触发预警后经执法人员复核扣分。二是简化摊贩操作流程，摊贩仅需通过小程序完成</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线上预约摊位一出摊时拍照打卡</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确认位置合规</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收摊后拍照打卡</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确认垃圾清理</w:t>
            </w:r>
            <w:r>
              <w:rPr>
                <w:rFonts w:ascii="Times New Roman" w:hAnsi="Times New Roman" w:eastAsia="Times New Roman" w:cs="Times New Roman"/>
                <w:color w:val="000000"/>
                <w:sz w:val="22"/>
              </w:rPr>
              <w:t xml:space="preserve">)”3</w:t>
            </w:r>
            <w:r>
              <w:rPr>
                <w:rFonts w:ascii="FangSong" w:hAnsi="FangSong" w:eastAsia="FangSong" w:cs="FangSong"/>
                <w:color w:val="000000"/>
                <w:sz w:val="22"/>
              </w:rPr>
              <w:t xml:space="preserve">步操作，最大程度降低摊贩操作门槛。三是整合现有城市视频监控资源形成</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天网</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，执法人员通过移动端即可查看全域摊位动态，异常情况</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如违规占道、垃圾未清理</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自动触发预警，无需全员现场驻守，仅需针对预警信息精准处置。系统程序有助于基层执法部门通过数字化替代人工台账统计，让执法人员聚焦</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异常处置、精准管控</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核心职责，减轻工作负担</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对摊贩群体明确的经营区域与时段保障了合法经营空间，积分规范经营行为</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对市民群众，规范的摊点管理解决了占道经营影响出行、垃圾堆积污染环境等问题。对城市管理整体，项目实现</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民生需求</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与</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城市秩序</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的平衡，推动摊点管理从</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粗放式管控</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向</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精细化服务转变，形成</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摆摊一件事</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全流程闭环，既避免</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一刀切</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式管理损害摊贩权益，提升城市市容管理精度，增强执法公信力与群众获得感，为城市基层治理提供可复制的实践样本。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摊有序数据库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整合业务应用产生的数据，建立数据映射关系，利用多源数据有效提升数据质量，实现数据生命周期管理；治理摊贩数据，依据平台数据及标准搭建摊有序数据库。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泰州市人社信息平台服务（</w:t>
            </w:r>
            <w:r>
              <w:rPr>
                <w:rFonts w:ascii="Times New Roman" w:hAnsi="Times New Roman" w:eastAsia="Times New Roman" w:cs="Times New Roman"/>
                <w:color w:val="000000"/>
                <w:sz w:val="22"/>
              </w:rPr>
              <w:t xml:space="preserve">2026</w:t>
            </w:r>
            <w:r>
              <w:rPr>
                <w:rFonts w:ascii="FangSong" w:hAnsi="FangSong" w:eastAsia="FangSong" w:cs="FangSong"/>
                <w:color w:val="000000"/>
                <w:sz w:val="22"/>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人社局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江苏省人社一体化信息平台上线后，主要业务经办和公共服务已实现省集中，本市原建金保工程核三系统已迁移至政务云。现机房设备基本用于省人社一体化信息平台数据回流和网络安全保障。本项目主要进一步优化升级人社数据应用平台，拓展数据应用场景，为全面提升人社服务提供数据支撑；同时继续做好机房系统设备、人社服务大厅部分服务设备、通讯网络和有线电话等运维工作，确保人社网络安全稳定运行、业务工作正常开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数据治理服务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与公数平台对接现有人员、单位、持卡等基础数据，提供省厅高频数据、外部政务数据和定期轮巡省厅接口数据的清洗治理服务，沉淀个人及单位基础信息至数据中台部门仓</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为各数据场景建设夯实数据基础。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智慧泰州应急综合管理平台升级优化暨安全生产</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六化</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应急局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项目建设内容围绕</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现有系统优化升级、新业务场景数字化构建、技术底座自主可控、数据资源融合共享</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四大核心方向展开，具体如下</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现有系统优化升级、新业务场景数字化构建、技术底座与数据体系建设、配套支撑体系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地震系统优化、监测预警和应急指挥</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一张图</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系统优化、防灾减灾救灾系统优化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基于现有公数平台提供多种类型数据接入功能以及数据交换、整合</w:t>
            </w:r>
            <w:r>
              <w:rPr>
                <w:rFonts w:ascii="FangSong" w:hAnsi="FangSong" w:eastAsia="FangSong" w:cs="FangSong"/>
                <w:color w:val="000000"/>
                <w:sz w:val="22"/>
              </w:rPr>
              <w:t xml:space="preserve">、关联等服务，支撑</w:t>
            </w:r>
            <w:r>
              <w:rPr>
                <w:rFonts w:ascii="FangSong" w:hAnsi="FangSong" w:eastAsia="FangSong" w:cs="FangSong"/>
                <w:color w:val="000000"/>
                <w:sz w:val="24"/>
              </w:rPr>
              <w:t xml:space="preserve">标准化数据集建设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1"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2026</w:t>
            </w:r>
            <w:r>
              <w:rPr>
                <w:rFonts w:ascii="FangSong" w:hAnsi="FangSong" w:eastAsia="FangSong" w:cs="FangSong"/>
                <w:color w:val="000000"/>
                <w:sz w:val="22"/>
              </w:rPr>
              <w:t xml:space="preserve">年泰州市经济运行感知系统运维服务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发改委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实施泰州市经济运行感知系统运维服务，包括数智化分析、数智化预警、数智化预测以及数智化调度四大功能模块的应用系统，指标管理系统、数据管控系统、可视化智能分析工具、数据挖掘系统、智能分析报告工具、统一授权管理的应用支撑系统。通过日常巡检、故障排除、系统优化、功能完善、加强信息安全等手段，确保平台正常稳定运行，推动平台持续加快部门间信息互通共享，支撑平台推动政府数字化改革进展。支撑推动平台持续运行，推动加快部门间信息互通共享。可有效打破部门信息孤岛，实现部门间经济运行数据即时共享，经济运行风险点即时预警、提前研判</w:t>
            </w:r>
            <w:r>
              <w:rPr>
                <w:rFonts w:ascii="FangSong" w:hAnsi="FangSong" w:eastAsia="FangSong" w:cs="FangSong"/>
                <w:color w:val="000000"/>
                <w:sz w:val="22"/>
              </w:rPr>
              <w:t xml:space="preserve">，主动防范化解风险。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3"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消费数据服务（购买第三方）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根据统计范围、指标分类等，提供</w:t>
            </w:r>
            <w:r>
              <w:rPr>
                <w:rFonts w:ascii="Times New Roman" w:hAnsi="Times New Roman" w:eastAsia="Times New Roman" w:cs="Times New Roman"/>
                <w:color w:val="000000"/>
                <w:sz w:val="22"/>
              </w:rPr>
              <w:t xml:space="preserve">SFTP</w:t>
            </w:r>
            <w:r>
              <w:rPr>
                <w:rFonts w:ascii="FangSong" w:hAnsi="FangSong" w:eastAsia="FangSong" w:cs="FangSong"/>
                <w:color w:val="000000"/>
                <w:sz w:val="22"/>
              </w:rPr>
              <w:t xml:space="preserve">平台</w:t>
            </w:r>
            <w:r>
              <w:rPr>
                <w:rFonts w:ascii="Times New Roman" w:hAnsi="Times New Roman" w:eastAsia="Times New Roman" w:cs="Times New Roman"/>
                <w:color w:val="000000"/>
                <w:sz w:val="22"/>
              </w:rPr>
              <w:t xml:space="preserve">/API</w:t>
            </w:r>
            <w:r>
              <w:rPr>
                <w:rFonts w:ascii="FangSong" w:hAnsi="FangSong" w:eastAsia="FangSong" w:cs="FangSong"/>
                <w:color w:val="000000"/>
                <w:sz w:val="22"/>
              </w:rPr>
              <w:t xml:space="preserve">接口</w:t>
            </w:r>
            <w:r>
              <w:rPr>
                <w:rFonts w:ascii="Times New Roman" w:hAnsi="Times New Roman" w:eastAsia="Times New Roman" w:cs="Times New Roman"/>
                <w:color w:val="000000"/>
                <w:sz w:val="22"/>
              </w:rPr>
              <w:t xml:space="preserve">/</w:t>
            </w:r>
            <w:r>
              <w:rPr>
                <w:rFonts w:ascii="FangSong" w:hAnsi="FangSong" w:eastAsia="FangSong" w:cs="FangSong"/>
                <w:color w:val="000000"/>
                <w:sz w:val="22"/>
              </w:rPr>
              <w:t xml:space="preserve">邮件等要求的消费情况统计数据，数据提供频率为每日提供，服务期</w:t>
            </w:r>
            <w:r>
              <w:rPr>
                <w:rFonts w:ascii="Times New Roman" w:hAnsi="Times New Roman" w:eastAsia="Times New Roman" w:cs="Times New Roman"/>
                <w:color w:val="000000"/>
                <w:sz w:val="22"/>
              </w:rPr>
              <w:t xml:space="preserve">1</w:t>
            </w:r>
            <w:r>
              <w:rPr>
                <w:rFonts w:ascii="FangSong" w:hAnsi="FangSong" w:eastAsia="FangSong" w:cs="FangSong"/>
                <w:color w:val="000000"/>
                <w:sz w:val="22"/>
              </w:rPr>
              <w:t xml:space="preserve">年</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17.3.7.公共数据安全服务</w:t>
      </w:r>
      <w:r/>
    </w:p>
    <w:p>
      <w:pPr>
        <w:ind w:left="0" w:right="0" w:firstLine="56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遵循国家信息安全等级保护相关规范以及国家保密管理和密码管理的有关要求，建立健全安全保障体系，按照信息系统安全等级保护要求构建数据存储环境、应用系统环境、运行管理机制，确保公共数据安全合法应用。</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17.4.服务预算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公共数据平台使用费：</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、现有平台使用：数据管理中枢、数据探查、一数一源一标准治理、数据共享网关、数据图谱等；</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、平台升级改造工作：优化数据供需、省级联系统等现有功能；开发省级专项集成、自有登录门户等新功能。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公共数据平台运营服务：</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、公共数据交换归集服务、数据目录管理服务、数据资源普查、一数一源一标准治理服务、数据源管理、服务接口开发、数据供需响应；</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、满足数据局对数据运营服务团队提出的交付能力要求。</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说明：规划投入</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人，服务</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个月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一本账指标运营服务：</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按《江苏省数字资源</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一本账</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建设指南》要求，围绕指标运营全流程提供数据归集、接口对接、运维保障等服务。</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说明：规划投入</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人，服务</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个月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数据资产登记服务：</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依照泰州市数据资产登记试点工作实施方案为泰州市十个市级部门、七家市属企业提供数据资产评估登记服务，累计完成至少</w:t>
            </w:r>
            <w:r>
              <w:rPr>
                <w:rFonts w:ascii="Times New Roman" w:hAnsi="Times New Roman" w:eastAsia="Times New Roman" w:cs="Times New Roman"/>
                <w:color w:val="000000"/>
                <w:sz w:val="28"/>
              </w:rPr>
              <w:t xml:space="preserve">200</w:t>
            </w:r>
            <w:r>
              <w:rPr>
                <w:rFonts w:ascii="FangSong" w:hAnsi="FangSong" w:eastAsia="FangSong" w:cs="FangSong"/>
                <w:color w:val="000000"/>
                <w:sz w:val="28"/>
              </w:rPr>
              <w:t xml:space="preserve">个数据资产登记。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公共数据开放平台运营服务：</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、围绕开放数林指数的评测标准，从准备度、服务层、数据层、利用层四个维度推进本市公共数据开放利用；</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、平台日常运维，保障稳定运行。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政务信息化项目数据服务：</w:t>
            </w:r>
            <w:r/>
          </w:p>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年部分政务信息化项目按需提供统一的数据治理、开发等数据服务，包括市住建局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智慧住建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政务信息化平台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城市体检子系统、城管局省级建筑垃圾治理数字化监管平台等项目相关内容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80</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560</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18.市发改委公共信用信息平台运维（2026）项目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18.1.预期目标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实施</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市公共信用信息平台应用软件系统运维服务，通过日常巡检、故障排除、系统优化、功能完善提升、加强信息安全等手段，保障平台各应用系统正常运行，持续发挥市公共信用信息归集共享总枢纽和信用信息服务总窗口的作用，为市社会信用建设提供技术服务支撑。</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18.2.需求分析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数据归集方面。我市采取市、县区一体化模式，涉及市级</w:t>
      </w: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个部门、县区</w:t>
      </w:r>
      <w:r>
        <w:rPr>
          <w:rFonts w:ascii="Times New Roman" w:hAnsi="Times New Roman" w:eastAsia="Times New Roman" w:cs="Times New Roman"/>
          <w:color w:val="000000"/>
          <w:sz w:val="28"/>
        </w:rPr>
        <w:t xml:space="preserve">202</w:t>
      </w:r>
      <w:r>
        <w:rPr>
          <w:rFonts w:ascii="FangSong" w:hAnsi="FangSong" w:eastAsia="FangSong" w:cs="FangSong"/>
          <w:color w:val="000000"/>
          <w:sz w:val="28"/>
        </w:rPr>
        <w:t xml:space="preserve">个部门，均与省公共信用信息资源管控平台（简称：省平台）单点登录，通过省市一体化归集系统数据快速、准确、直报省平台。省市统一管控数据清洗、比对、反馈、入库等全流程校验规则，疑问数据及时反馈，确保我市入库数据符合省库要求。市级与县区均直接使用省一体化服务平台进行信用审查和信用报告查询，通过市公共信用信息平台专项应用系统开展信用监管、合同履约等信息应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目前，泰州市公共信用信息平台覆盖全市</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多万个企业、</w:t>
      </w:r>
      <w:r>
        <w:rPr>
          <w:rFonts w:ascii="Times New Roman" w:hAnsi="Times New Roman" w:eastAsia="Times New Roman" w:cs="Times New Roman"/>
          <w:color w:val="000000"/>
          <w:sz w:val="28"/>
        </w:rPr>
        <w:t xml:space="preserve">50</w:t>
      </w:r>
      <w:r>
        <w:rPr>
          <w:rFonts w:ascii="FangSong" w:hAnsi="FangSong" w:eastAsia="FangSong" w:cs="FangSong"/>
          <w:color w:val="000000"/>
          <w:sz w:val="28"/>
        </w:rPr>
        <w:t xml:space="preserve">多万个体工商户、</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千余个民非企业和社团等市场主体以及近</w:t>
      </w:r>
      <w:r>
        <w:rPr>
          <w:rFonts w:ascii="Times New Roman" w:hAnsi="Times New Roman" w:eastAsia="Times New Roman" w:cs="Times New Roman"/>
          <w:color w:val="000000"/>
          <w:sz w:val="28"/>
        </w:rPr>
        <w:t xml:space="preserve">500</w:t>
      </w:r>
      <w:r>
        <w:rPr>
          <w:rFonts w:ascii="FangSong" w:hAnsi="FangSong" w:eastAsia="FangSong" w:cs="FangSong"/>
          <w:color w:val="000000"/>
          <w:sz w:val="28"/>
        </w:rPr>
        <w:t xml:space="preserve">万自然人，数据记录超过</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亿多条，是上联省，横通部门、下接县区的信用信息共享交换枢纽。系统现有</w:t>
      </w:r>
      <w:r>
        <w:rPr>
          <w:rFonts w:ascii="Times New Roman" w:hAnsi="Times New Roman" w:eastAsia="Times New Roman" w:cs="Times New Roman"/>
          <w:color w:val="000000"/>
          <w:sz w:val="28"/>
        </w:rPr>
        <w:t xml:space="preserve">524</w:t>
      </w:r>
      <w:r>
        <w:rPr>
          <w:rFonts w:ascii="FangSong" w:hAnsi="FangSong" w:eastAsia="FangSong" w:cs="FangSong"/>
          <w:color w:val="000000"/>
          <w:sz w:val="28"/>
        </w:rPr>
        <w:t xml:space="preserve">个用户，其中市级部门用户</w:t>
      </w:r>
      <w:r>
        <w:rPr>
          <w:rFonts w:ascii="Times New Roman" w:hAnsi="Times New Roman" w:eastAsia="Times New Roman" w:cs="Times New Roman"/>
          <w:color w:val="000000"/>
          <w:sz w:val="28"/>
        </w:rPr>
        <w:t xml:space="preserve">192</w:t>
      </w:r>
      <w:r>
        <w:rPr>
          <w:rFonts w:ascii="FangSong" w:hAnsi="FangSong" w:eastAsia="FangSong" w:cs="FangSong"/>
          <w:color w:val="000000"/>
          <w:sz w:val="28"/>
        </w:rPr>
        <w:t xml:space="preserve">个、县区用户</w:t>
      </w:r>
      <w:r>
        <w:rPr>
          <w:rFonts w:ascii="Times New Roman" w:hAnsi="Times New Roman" w:eastAsia="Times New Roman" w:cs="Times New Roman"/>
          <w:color w:val="000000"/>
          <w:sz w:val="28"/>
        </w:rPr>
        <w:t xml:space="preserve">332</w:t>
      </w:r>
      <w:r>
        <w:rPr>
          <w:rFonts w:ascii="FangSong" w:hAnsi="FangSong" w:eastAsia="FangSong" w:cs="FangSong"/>
          <w:color w:val="000000"/>
          <w:sz w:val="28"/>
        </w:rPr>
        <w:t xml:space="preserve">个，双公示数据报送用户覆盖市本级、县区、乡镇相关职能部门和单位。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用公示和查询服务方面。信用泰州网站对接省信用网站一体化功能，提供一站式不见面信用报告查询获取服务，通过线上申请直接推送至申请人。通过开设专题专栏，实现信用信息公示和公共信用信息平台的数据对接，对外提供查询服务。截至目前，网站累计发布信用资讯信息</w:t>
      </w:r>
      <w:r>
        <w:rPr>
          <w:rFonts w:ascii="Times New Roman" w:hAnsi="Times New Roman" w:eastAsia="Times New Roman" w:cs="Times New Roman"/>
          <w:color w:val="000000"/>
          <w:sz w:val="28"/>
        </w:rPr>
        <w:t xml:space="preserve">4000</w:t>
      </w:r>
      <w:r>
        <w:rPr>
          <w:rFonts w:ascii="FangSong" w:hAnsi="FangSong" w:eastAsia="FangSong" w:cs="FangSong"/>
          <w:color w:val="000000"/>
          <w:sz w:val="28"/>
        </w:rPr>
        <w:t xml:space="preserve">余条，公示信息</w:t>
      </w:r>
      <w:r>
        <w:rPr>
          <w:rFonts w:ascii="Times New Roman" w:hAnsi="Times New Roman" w:eastAsia="Times New Roman" w:cs="Times New Roman"/>
          <w:color w:val="000000"/>
          <w:sz w:val="28"/>
        </w:rPr>
        <w:t xml:space="preserve">1000</w:t>
      </w:r>
      <w:r>
        <w:rPr>
          <w:rFonts w:ascii="FangSong" w:hAnsi="FangSong" w:eastAsia="FangSong" w:cs="FangSong"/>
          <w:color w:val="000000"/>
          <w:sz w:val="28"/>
        </w:rPr>
        <w:t xml:space="preserve">余万条，提供浏览服务</w:t>
      </w:r>
      <w:r>
        <w:rPr>
          <w:rFonts w:ascii="Times New Roman" w:hAnsi="Times New Roman" w:eastAsia="Times New Roman" w:cs="Times New Roman"/>
          <w:color w:val="000000"/>
          <w:sz w:val="28"/>
        </w:rPr>
        <w:t xml:space="preserve">197</w:t>
      </w:r>
      <w:r>
        <w:rPr>
          <w:rFonts w:ascii="FangSong" w:hAnsi="FangSong" w:eastAsia="FangSong" w:cs="FangSong"/>
          <w:color w:val="000000"/>
          <w:sz w:val="28"/>
        </w:rPr>
        <w:t xml:space="preserve">余万次。在行政审批、政策资金扶持、公共资源分配、评先评优等方面为政府部门、企业、社会和中介机构出具信用审查和查询报告</w:t>
      </w: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万多份，涉及企业及自然人</w:t>
      </w:r>
      <w:r>
        <w:rPr>
          <w:rFonts w:ascii="Times New Roman" w:hAnsi="Times New Roman" w:eastAsia="Times New Roman" w:cs="Times New Roman"/>
          <w:color w:val="000000"/>
          <w:sz w:val="28"/>
        </w:rPr>
        <w:t xml:space="preserve">110</w:t>
      </w:r>
      <w:r>
        <w:rPr>
          <w:rFonts w:ascii="FangSong" w:hAnsi="FangSong" w:eastAsia="FangSong" w:cs="FangSong"/>
          <w:color w:val="000000"/>
          <w:sz w:val="28"/>
        </w:rPr>
        <w:t xml:space="preserve">万余家（人次）。为泰州市和靖江市两级行政审批系统公共资源交易系统提供法人公共信用信息查询接口</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应用于行政审批和招投标的前置审查，为放管服改革和信用分级分类监管提供了有力支撑。</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以上泰州市公共信用信息平台现状，平台在承担全市信用数据归集治理、主题加工、共享交换、数据服务、应用支撑等方面，已成为市社会信用体系建设工作推进的重要底座、关键基础，为此必须确保市公共信用信息平台各系统稳定运行、功能有效可用。</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市公共信用平台遵循 </w:t>
      </w:r>
      <w:r>
        <w:rPr>
          <w:rFonts w:ascii="Times New Roman" w:hAnsi="Times New Roman" w:eastAsia="Times New Roman" w:cs="Times New Roman"/>
          <w:color w:val="000000"/>
          <w:sz w:val="28"/>
        </w:rPr>
        <w:t xml:space="preserve">J2EE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XML</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JDBC</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HTTP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TCP/IP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SSL </w:t>
      </w:r>
      <w:r>
        <w:rPr>
          <w:rFonts w:ascii="FangSong" w:hAnsi="FangSong" w:eastAsia="FangSong" w:cs="FangSong"/>
          <w:color w:val="000000"/>
          <w:sz w:val="28"/>
        </w:rPr>
        <w:t xml:space="preserve">等业界主流标准，系统采用开源稳定、可靠技术框架及技术版本。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w:t>
      </w:r>
      <w:r>
        <w:rPr>
          <w:rFonts w:ascii="FangSong" w:hAnsi="FangSong" w:eastAsia="FangSong" w:cs="FangSong"/>
          <w:color w:val="000000"/>
          <w:sz w:val="28"/>
          <w:u w:val="none"/>
        </w:rPr>
        <w:t xml:space="preserve">、技术设计原则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先进性。符合业界主流与公认的先进架构特点。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扩展性。通过模块化、组件化、参数化设计原则，便于以较低的再投入扩充新的业务功能，同时不影响系统的原有功能。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开放性。按应用软件开发的标准开发应用系统，提供方便、安全的数据接口，实现与其他系统数据交互。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实用性。符合应用需求，操作简洁，界面友好。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安全性。系统具有良好的安全保密机制，保证数据修改留有记录，保证各种数据不被破坏和恶意修改，保证系统不受非法访问。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可靠性。系统应能在正常和高峰业务处理中稳定运行，提供连续可靠的</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易使用、易管理、易维护：系统结构清晰，模块化、参数化程度高，可灵活设置，自动适应，方便维护和管理。具备查错纠错能力，方便维护和管理。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高效性。架构合理、效率高、资源占用率低、降低数据冗余度等。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2</w:t>
      </w:r>
      <w:r>
        <w:rPr>
          <w:rFonts w:ascii="FangSong" w:hAnsi="FangSong" w:eastAsia="FangSong" w:cs="FangSong"/>
          <w:color w:val="000000"/>
          <w:sz w:val="28"/>
          <w:u w:val="none"/>
        </w:rPr>
        <w:t xml:space="preserve">、系统技术架构</w:t>
      </w:r>
      <w:r/>
    </w:p>
    <w:p>
      <w:pPr>
        <w:ind w:left="0" w:right="0" w:firstLine="560"/>
        <w:jc w:val="center"/>
        <w:spacing w:before="0" w:after="0" w:line="58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819650" cy="2657475"/>
                <wp:effectExtent l="0" t="0" r="0" b="0"/>
                <wp:docPr id="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50816" name=""/>
                        <pic:cNvPicPr>
                          <a:picLocks noChangeAspect="1"/>
                        </pic:cNvPicPr>
                        <pic:nvPr/>
                      </pic:nvPicPr>
                      <pic:blipFill>
                        <a:blip/>
                        <a:stretch/>
                      </pic:blipFill>
                      <pic:spPr bwMode="auto">
                        <a:xfrm>
                          <a:off x="0" y="0"/>
                          <a:ext cx="4819649" cy="26574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379.5pt;height:209.2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8"/>
        </w:rPr>
        <w:t xml:space="preserve"> </w:t>
      </w:r>
      <w:r/>
    </w:p>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图</w:t>
      </w:r>
      <w:r>
        <w:rPr>
          <w:rFonts w:ascii="Times New Roman" w:hAnsi="Times New Roman" w:eastAsia="Times New Roman" w:cs="Times New Roman"/>
          <w:color w:val="000000"/>
          <w:sz w:val="24"/>
        </w:rPr>
        <w:t xml:space="preserve">1</w:t>
      </w:r>
      <w:r>
        <w:rPr>
          <w:rFonts w:ascii="SimHei" w:hAnsi="SimHei" w:eastAsia="SimHei" w:cs="SimHei"/>
          <w:color w:val="000000"/>
          <w:sz w:val="24"/>
        </w:rPr>
        <w:t xml:space="preserve"> 系统技术架构</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18.3.技术方案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平台总体框架如下图所示：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9"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9"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5438775" cy="4324350"/>
                      <wp:effectExtent l="0" t="0" r="0" b="0"/>
                      <wp:docPr id="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404743" name=""/>
                              <pic:cNvPicPr>
                                <a:picLocks noChangeAspect="1"/>
                              </pic:cNvPicPr>
                              <pic:nvPr/>
                            </pic:nvPicPr>
                            <pic:blipFill>
                              <a:blip/>
                              <a:stretch/>
                            </pic:blipFill>
                            <pic:spPr bwMode="auto">
                              <a:xfrm>
                                <a:off x="0" y="0"/>
                                <a:ext cx="5438774" cy="4324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28.2pt;height:340.5pt;mso-wrap-distance-left:0.0pt;mso-wrap-distance-top:0.0pt;mso-wrap-distance-right:0.0pt;mso-wrap-distance-bottom:0.0pt;" stroked="false">
                      <v:path textboxrect="0,0,0,0"/>
                    </v:shape>
                  </w:pict>
                </mc:Fallback>
              </mc:AlternateContent>
            </w:r>
            <w:r/>
          </w:p>
        </w:tc>
      </w:tr>
    </w:tbl>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7"/>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7"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7"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5438775" cy="4324350"/>
                      <wp:effectExtent l="0" t="0" r="0" b="0"/>
                      <wp:docPr id="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5637" name=""/>
                              <pic:cNvPicPr>
                                <a:picLocks noChangeAspect="1"/>
                              </pic:cNvPicPr>
                              <pic:nvPr/>
                            </pic:nvPicPr>
                            <pic:blipFill>
                              <a:blip/>
                              <a:stretch/>
                            </pic:blipFill>
                            <pic:spPr bwMode="auto">
                              <a:xfrm>
                                <a:off x="0" y="0"/>
                                <a:ext cx="5438774" cy="4324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28.2pt;height:340.5pt;mso-wrap-distance-left:0.0pt;mso-wrap-distance-top:0.0pt;mso-wrap-distance-right:0.0pt;mso-wrap-distance-bottom:0.0pt;" stroked="false">
                      <v:path textboxrect="0,0,0,0"/>
                    </v:shape>
                  </w:pict>
                </mc:Fallback>
              </mc:AlternateConten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平台部署在市电子政务外网，主要包括计算、存储、安全、网络等各类基础设施设备，为平台运行提供硬件环境。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数据采集层面，泰州市、县区部门以及其他机构通过省管控平台一体化数据归集系统进行数据报送，统一处理后形成泰州市归集专题库，推送到泰州市数据应用支撑平台。数据应用支撑平台支持与市大数据平台、市部门业务系统、第三方平台等多种渠道交换对接数据，基于市社会法人和自然人信用数据归集专题库，通过解析、去重、清洗、关联比对、数据同步等处理，形成应用主题库，支撑市深入推进的信用信息服务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数据治理层面，包括数据治理基础和全面数据质量管理两个方面，数据治理基础是建立信用基础数据库的元数据、目录、质量等标准，为提升数据标准化管理水平打好基础。全面数据质量管理是采用模块化的数据质量控制手段，实现数据处理过程与数据质量控制相分离，提供全面的数据质量报告和监管、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质量控制层面，业务上要把数据处理过程与数据质量控制相分离，通过统一的质量控制，实现对数据采集、处理、主题加工全过程的质量管控。对处理后的静态数据资源，业务上进行质量分析治理，实现处理过程和处理结果的全面质量控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在数据资源全生命周期管控层面，业务上根据数据进行分类，记录数据全生命周期状态，实现数据的产生、处理、使用、归档等各生命周期阶段的统一管控。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在业务管理层面，为方便业务管理人员的集中管控，业务上实现统一的目录管理、控制管理、系统管理、运行监控。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服务支撑层面，业务上统一数据源和应用服务接口，基于应用主题库、共享主题库，通过统一共享交换，为联合奖惩、政务诚信等专项应用，信用信息共享平台、信用泰州等服务门户实现灵活便捷的应用服务支撑。</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18.3.2.主要功能设计</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软件系统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功能描述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泰州市信用平台对接省市一体化系统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基于省信用管控平台一体化归集系统，对接市级部门、县区部门，实现市、县区信用数据直报。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提供人工录入、数据文件采集、数据库对接采集、数据接口采集、采集数据校验、报送统计、报送情况反馈等服务，满足市级部门、区县部门、水电气、通讯运营商等单位报送人员的报送需求。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泰州信用网站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用泰州网站基于互联网，主要服务社会公众，提供信用动态、政策法规、标准规范、信用公示、信用服务、行业信用、信用分析、典型案例等功能，提供在线信用查询报告申请、企业信用信息自助申报、信用异议申请、服务接口调用，提供网站内容管理、发布和系统管理等网站后台管理功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信用信息共享服务平台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信用信息共享服务平台基于市电子政务外网，主要服务政府各级部门及行使公共管理职能的事业单位等机构，提供信用信息服务和统计分析展示服务。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数据应用支撑平台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接收省信用管控平台推送的泰州市信用信息归集专题库，通过主题加工服务，为信用信息基础服务和联合奖惩、政务诚信、个人信用积分和企业信用评价等应用提供数据服务支撑。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联合奖惩子系统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以跨地区、跨部门、跨领域的联合奖惩应用为目标，实现市场主体联合奖惩的统一管理、联合奖惩措施规则库的清单化管理、联合奖惩过程的协同化管理。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政务诚信子系统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实现政务信用信息归集和整合，建立政府部门和公务员政务领域信用档案库，支撑政务诚信信息服务应用。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个人信用积分子系统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配置自然人各类信用积分指标，通过数据建模、定量计算，形成信用积分，通过定性分析，形成信用风险评价。为政府部门、和金融机构提供服务。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企业信用评级子系统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配置企业信用评价指标，通过定量分析和定性分析等方法，构建评价模型，形成企业信用评级信息，为政府部门、行业监管部门和金融机构提供服务。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信用工作考核子系统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依据市信用数据归集和应用考核管理办法，实时展示单位数据报送情况、数据质量情况及考核结果，满足市信用办对全市信用信息归集和应用考核的工作要求。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信用监管子系统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建成事前信用承诺，事中信用分类监管，事后联合奖惩与公示的闭环监管流程，以信用驱动对市场主体的有效监管。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双公示数据跳号和迟报监测提示系统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双公示数据迟报监测提示、跳号监测提示、跳号补报、统计分析功能。市、县区信用办（信用中心）、数据报送部门使用该功能，查看本行政区域和部门双公示数据报送发生的记录跳号（存在漏报）、记录迟报情况，部门报送人员根据跳号提示完成数据补报工作。</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18.3.3.与市级基础平台关联关系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数据管理局、大数据管理中心负责组织制定大数据收集、管理、开放、应用等标准规范，负责市级政务数据共享交换平台和数据开放平台管理工作，是我市政务数据归集共享的牵头单位，所有部门均向大数据平台报送数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市大数据平台是市政务数据共享交换的核心枢纽，市公共信用平台是市政务数据共享交换的重要组成，现二个平台已通过库表方式对接。市大数据平台定期推送社保、公积金不动产等信用数据至市信用平台。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市信用平台通过一体化归集系统归集信用信息数据，通过库表对接方式将数据治理后的双公示、用水用气、表彰等信用数据共享至市大数据平台。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市信用平台通过一体化归集系统归集的许可、处罚双公示数据、已修复处罚数据共享至市场监管系统，实现企业信用信息公示系统和信用中国处罚数据同步修复。</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18.3.4.数据供需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系统采集目录包含双公示信息、信用承诺信息、五类行政管理信息、水电气等</w:t>
      </w:r>
      <w:r>
        <w:rPr>
          <w:rFonts w:ascii="Times New Roman" w:hAnsi="Times New Roman" w:eastAsia="Times New Roman" w:cs="Times New Roman"/>
          <w:color w:val="000000"/>
          <w:sz w:val="28"/>
        </w:rPr>
        <w:t xml:space="preserve">70</w:t>
      </w:r>
      <w:r>
        <w:rPr>
          <w:rFonts w:ascii="FangSong" w:hAnsi="FangSong" w:eastAsia="FangSong" w:cs="FangSong"/>
          <w:color w:val="000000"/>
          <w:sz w:val="28"/>
        </w:rPr>
        <w:t xml:space="preserve">多个信息，涵盖法人、自然人信用主体的信用信息目录。各部门单位，可采用文件报送、在线填报、库表对接、接口报送</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种方式进行数据上传。</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通过主题数据生成、主题库类别管理、主题库指标管理、主题库生成配置、主题库数据查询、主题库权限管理、主题库统计等功能，实现对信用信息应用的数据深化加工。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目前已在市共享交换平台完成</w:t>
      </w:r>
      <w:r>
        <w:rPr>
          <w:rFonts w:ascii="Times New Roman" w:hAnsi="Times New Roman" w:eastAsia="Times New Roman" w:cs="Times New Roman"/>
          <w:color w:val="000000"/>
          <w:sz w:val="28"/>
        </w:rPr>
        <w:t xml:space="preserve">114</w:t>
      </w:r>
      <w:r>
        <w:rPr>
          <w:rFonts w:ascii="FangSong" w:hAnsi="FangSong" w:eastAsia="FangSong" w:cs="FangSong"/>
          <w:color w:val="000000"/>
          <w:sz w:val="28"/>
        </w:rPr>
        <w:t xml:space="preserve">个信用基础目录的配置和数据上传，通过数据支撑平台归集专题库目录、数据同步方式，每月定期更新目录数据。</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18.3.5.信息安全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w:t>
      </w:r>
      <w:r>
        <w:rPr>
          <w:rFonts w:ascii="FangSong" w:hAnsi="FangSong" w:eastAsia="FangSong" w:cs="FangSong"/>
          <w:color w:val="000000"/>
          <w:sz w:val="28"/>
          <w:u w:val="none"/>
        </w:rPr>
        <w:t xml:space="preserve">、系统安全要求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系统要存储区域内法人、自然人信用信息，因此要最大限度的保障数据信息资源的安全，保障系统运行的安全。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u w:val="none"/>
        </w:rPr>
        <w:t xml:space="preserve">1</w:t>
      </w:r>
      <w:r>
        <w:rPr>
          <w:rFonts w:ascii="FangSong" w:hAnsi="FangSong" w:eastAsia="FangSong" w:cs="FangSong"/>
          <w:color w:val="000000"/>
          <w:sz w:val="28"/>
          <w:u w:val="none"/>
        </w:rPr>
        <w:t xml:space="preserve">）数据安全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数据存储安全：按照数据安全等级划分存储区域，控制直接访问重要数据。对重要、敏感数据加密存储。对数据信息进行定期自动增量、差异和完全备份，在系统数据丢失时能够保证迅速恢复。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数据访问安全：采用用户身份认证、访问控制、访问审计等多种安全策略，控制用户访问，保证数据库访问的安全。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u w:val="none"/>
        </w:rPr>
        <w:t xml:space="preserve">2</w:t>
      </w:r>
      <w:r>
        <w:rPr>
          <w:rFonts w:ascii="FangSong" w:hAnsi="FangSong" w:eastAsia="FangSong" w:cs="FangSong"/>
          <w:color w:val="000000"/>
          <w:sz w:val="28"/>
          <w:u w:val="none"/>
        </w:rPr>
        <w:t xml:space="preserve">）传输安全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采取对关键数据进行加密、确保信息在网络传输过程中的完整性和保密性。</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w:t>
      </w:r>
      <w:r>
        <w:rPr>
          <w:rFonts w:ascii="Times New Roman" w:hAnsi="Times New Roman" w:eastAsia="Times New Roman" w:cs="Times New Roman"/>
          <w:color w:val="000000"/>
          <w:sz w:val="28"/>
          <w:u w:val="none"/>
        </w:rPr>
        <w:t xml:space="preserve">3</w:t>
      </w:r>
      <w:r>
        <w:rPr>
          <w:rFonts w:ascii="FangSong" w:hAnsi="FangSong" w:eastAsia="FangSong" w:cs="FangSong"/>
          <w:color w:val="000000"/>
          <w:sz w:val="28"/>
          <w:u w:val="none"/>
        </w:rPr>
        <w:t xml:space="preserve">）系统安全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选择安全可靠的系统服务器等软硬件设备，保证系统运行安全可靠。对于操作系统、</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服务组件等支撑软件要设置合理的用户访问权限，对系统的相关漏洞及时更新。</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2</w:t>
      </w:r>
      <w:r>
        <w:rPr>
          <w:rFonts w:ascii="FangSong" w:hAnsi="FangSong" w:eastAsia="FangSong" w:cs="FangSong"/>
          <w:color w:val="000000"/>
          <w:sz w:val="28"/>
          <w:u w:val="none"/>
        </w:rPr>
        <w:t xml:space="preserve">、网络安全要求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泰州市公共信用信息平台信息系统部署于泰州政务云上，网络出口通过两台华三</w:t>
      </w:r>
      <w:r>
        <w:rPr>
          <w:rFonts w:ascii="Times New Roman" w:hAnsi="Times New Roman" w:eastAsia="Times New Roman" w:cs="Times New Roman"/>
          <w:color w:val="000000"/>
          <w:sz w:val="28"/>
        </w:rPr>
        <w:t xml:space="preserve">M9000</w:t>
      </w:r>
      <w:r>
        <w:rPr>
          <w:rFonts w:ascii="FangSong" w:hAnsi="FangSong" w:eastAsia="FangSong" w:cs="FangSong"/>
          <w:color w:val="000000"/>
          <w:sz w:val="28"/>
        </w:rPr>
        <w:t xml:space="preserve">综合安全网关（包括防火墙、</w:t>
      </w:r>
      <w:r>
        <w:rPr>
          <w:rFonts w:ascii="Times New Roman" w:hAnsi="Times New Roman" w:eastAsia="Times New Roman" w:cs="Times New Roman"/>
          <w:color w:val="000000"/>
          <w:sz w:val="28"/>
        </w:rPr>
        <w:t xml:space="preserve">IPS</w:t>
      </w:r>
      <w:r>
        <w:rPr>
          <w:rFonts w:ascii="FangSong" w:hAnsi="FangSong" w:eastAsia="FangSong" w:cs="FangSong"/>
          <w:color w:val="000000"/>
          <w:sz w:val="28"/>
        </w:rPr>
        <w:t xml:space="preserve">、防病毒等模块）接入互联网。云内安全组和出口防火墙均配置了访问控制，封堵高危端口，防火墙访问日志存储在云内的日志服务器上，安全网关出口下配置有堡垒机，</w:t>
      </w:r>
      <w:r>
        <w:rPr>
          <w:rFonts w:ascii="Times New Roman" w:hAnsi="Times New Roman" w:eastAsia="Times New Roman" w:cs="Times New Roman"/>
          <w:color w:val="000000"/>
          <w:sz w:val="28"/>
        </w:rPr>
        <w:t xml:space="preserve">web</w:t>
      </w:r>
      <w:r>
        <w:rPr>
          <w:rFonts w:ascii="FangSong" w:hAnsi="FangSong" w:eastAsia="FangSong" w:cs="FangSong"/>
          <w:color w:val="000000"/>
          <w:sz w:val="28"/>
        </w:rPr>
        <w:t xml:space="preserve">应用防火墙，数据库审计，网页防篡改，漏洞扫描等多个安全设备服务器进行全方位的安全防护和审计。云主机内均安装了</w:t>
      </w:r>
      <w:r>
        <w:rPr>
          <w:rFonts w:ascii="Times New Roman" w:hAnsi="Times New Roman" w:eastAsia="Times New Roman" w:cs="Times New Roman"/>
          <w:color w:val="000000"/>
          <w:sz w:val="28"/>
        </w:rPr>
        <w:t xml:space="preserve">360</w:t>
      </w:r>
      <w:r>
        <w:rPr>
          <w:rFonts w:ascii="FangSong" w:hAnsi="FangSong" w:eastAsia="FangSong" w:cs="FangSong"/>
          <w:color w:val="000000"/>
          <w:sz w:val="28"/>
        </w:rPr>
        <w:t xml:space="preserve">企业安全防病毒模块，对系统层的病毒进行实时监控和防护，云平台内部云盾混合云平台可对服务器网卡流量进行分析，实时对</w:t>
      </w:r>
      <w:r>
        <w:rPr>
          <w:rFonts w:ascii="Times New Roman" w:hAnsi="Times New Roman" w:eastAsia="Times New Roman" w:cs="Times New Roman"/>
          <w:color w:val="000000"/>
          <w:sz w:val="28"/>
        </w:rPr>
        <w:t xml:space="preserve">DDos</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Webshell</w:t>
      </w:r>
      <w:r>
        <w:rPr>
          <w:rFonts w:ascii="FangSong" w:hAnsi="FangSong" w:eastAsia="FangSong" w:cs="FangSong"/>
          <w:color w:val="000000"/>
          <w:sz w:val="28"/>
        </w:rPr>
        <w:t xml:space="preserve">、木马等等危险入侵行为进行告警。本地通过华为</w:t>
      </w:r>
      <w:r>
        <w:rPr>
          <w:rFonts w:ascii="Times New Roman" w:hAnsi="Times New Roman" w:eastAsia="Times New Roman" w:cs="Times New Roman"/>
          <w:color w:val="000000"/>
          <w:sz w:val="28"/>
        </w:rPr>
        <w:t xml:space="preserve">eBackup</w:t>
      </w:r>
      <w:r>
        <w:rPr>
          <w:rFonts w:ascii="FangSong" w:hAnsi="FangSong" w:eastAsia="FangSong" w:cs="FangSong"/>
          <w:color w:val="000000"/>
          <w:sz w:val="28"/>
        </w:rPr>
        <w:t xml:space="preserve">备份软件对政务综合云环境中的云服务器数据进行备份和恢复管理，为用户数据提供全面的保护。系统拓扑结构如下：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76"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7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76"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5143500" cy="2895600"/>
                      <wp:effectExtent l="0" t="0" r="0" b="0"/>
                      <wp:docPr id="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67345" name=""/>
                              <pic:cNvPicPr>
                                <a:picLocks noChangeAspect="1"/>
                              </pic:cNvPicPr>
                              <pic:nvPr/>
                            </pic:nvPicPr>
                            <pic:blipFill>
                              <a:blip/>
                              <a:stretch/>
                            </pic:blipFill>
                            <pic:spPr bwMode="auto">
                              <a:xfrm>
                                <a:off x="0" y="0"/>
                                <a:ext cx="5143500" cy="2895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05.0pt;height:228.0pt;mso-wrap-distance-left:0.0pt;mso-wrap-distance-top:0.0pt;mso-wrap-distance-right:0.0pt;mso-wrap-distance-bottom:0.0pt;" stroked="false">
                      <v:path textboxrect="0,0,0,0"/>
                    </v:shape>
                  </w:pict>
                </mc:Fallback>
              </mc:AlternateContent>
            </w:r>
            <w:r/>
          </w:p>
        </w:tc>
      </w:tr>
    </w:tbl>
    <w:p>
      <w:pPr>
        <w:ind w:left="0" w:right="0" w:firstLine="48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图</w:t>
      </w:r>
      <w:r>
        <w:rPr>
          <w:rFonts w:ascii="Times New Roman" w:hAnsi="Times New Roman" w:eastAsia="Times New Roman" w:cs="Times New Roman"/>
          <w:color w:val="000000"/>
          <w:sz w:val="24"/>
        </w:rPr>
        <w:t xml:space="preserve">3</w:t>
      </w:r>
      <w:r>
        <w:rPr>
          <w:rFonts w:ascii="SimHei" w:hAnsi="SimHei" w:eastAsia="SimHei" w:cs="SimHei"/>
          <w:color w:val="000000"/>
          <w:sz w:val="24"/>
        </w:rPr>
        <w:t xml:space="preserve"> 系统网络拓扑图</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18.3.6.运维服务管理</w:t>
      </w:r>
      <w:r/>
    </w:p>
    <w:p>
      <w:pPr>
        <w:ind w:left="0" w:right="0" w:firstLine="6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18.3.6.1.</w:t>
      </w:r>
      <w:r>
        <w:rPr>
          <w:rFonts w:ascii="KaiTi" w:hAnsi="KaiTi" w:eastAsia="KaiTi" w:cs="KaiTi"/>
          <w:color w:val="000000"/>
          <w:sz w:val="32"/>
        </w:rPr>
        <w:t xml:space="preserve">运维服务范围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运维项目涵盖泰州市公共信用信息平台主要应用软件系统，包括：泰州市信用平台对接省市一体化系统，信用泰州网站，信用信息共享服务平台，数据应用支撑平台，联合奖惩子系统，政务诚信子系统，个人信用积分子系统，企业信用评级子系统，信用工作考核子系统，信用监管子系统，双公示数据跳号和迟报监测提示系统，城市信用预监测服务。</w:t>
      </w:r>
      <w:r/>
    </w:p>
    <w:p>
      <w:pPr>
        <w:ind w:left="0" w:right="0" w:firstLine="640"/>
        <w:spacing w:before="0" w:after="0" w:line="6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18.3.6.2.</w:t>
      </w:r>
      <w:r>
        <w:rPr>
          <w:rFonts w:ascii="KaiTi" w:hAnsi="KaiTi" w:eastAsia="KaiTi" w:cs="KaiTi"/>
          <w:color w:val="000000"/>
          <w:sz w:val="32"/>
        </w:rPr>
        <w:t xml:space="preserve">运维服务主要内容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年泰州市公共信用信息平台应用软件系统运维服务，运维内容主要包括日常巡检、缺陷修复、功能改进、安装维护、数据维护、系统安全等方面，详见下表：</w:t>
      </w:r>
      <w:r/>
    </w:p>
    <w:p>
      <w:pPr>
        <w:ind w:left="0" w:right="0" w:firstLine="600"/>
        <w:jc w:val="center"/>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运维内容清单表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运维服务项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内容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）提供每日现场巡检服务，巡检内容包括：应用系统运行情况、资源使用情况、日志告警情况、系统安全情况、中间件和数据库运行情况等，及时发现并处理各软件系统运行中出现的问题；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）做好每日运维台账，定期提交运维周报、月报、季报、年报；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）解决数据报送和处理中的技术问题，解答用户系统使用问题，提供数据服务对接等技术支持；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）配合甲方完成安全风险评估、安全等级保护测评。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应用软件系统运行维护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）软件程序缺陷修复；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）根据工作需要，提供应用系统及数据迁移服务；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）做好系统配置管理和系统备份；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）及时排除系统运行故障；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）对用户提出的适应性改进（不涉及系统架构），在双方协商一致的基础上，对应用系统功能进行改进。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配合用户，与相关业务单位完成系统对接，对接内容主要包括：数据归集对接、服务接口对接等，提供对接相关的技术资料，配合联调等系技术服务。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数据库维护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(Oracle)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）数据库运行日常巡检；</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）数据库备份与恢复；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）数据迁移。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中间件维护</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(Tomcat)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中间件运行日常巡检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）每日查看市、县区部门等机构数据报送；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）待处理数据是否有未执行的数据批次；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）已处理数据是否有重复数、疑问数据较多的批次，及时对未执行任务和错误数据多的批次进行处理并记录；</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）库表数据报送对接任务定时执行情况，包括：检查对接前置库的网络情况，对接目录是否完整，数据是否正确入库等；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）其他数据报送方式（如接口报送）执行情况检查；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）日常配合市和县区部门做好对接咨询及功能服务解答。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归集专题库维护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每日查看省市一体化数据归集回送的泰州市归集专题库定时任务执行情况，查看生成日志，排除问题，确保数据的完整性、准确性。</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）每日查看业务管理主题库数据生成是否正常；</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）定期对主题库处理程序以及相关配置文件进行备份；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）定期清理数据处理日志，解决服务器磁盘空间不足情况；</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）应用系统之间数据共享交换跟踪检查。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数据治理维护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提供泰州市扩展目录数据处理规则程序的开发和对应采集目录的配置实施。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系统安全管理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）运维服务范围所包含的应用软件安全的巡查、检查，及时发现问题并解决，对系统安全提出改进意见，并做好相应的安全对策和防护措施；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）配合基础设施运维单位做好数据库安全管理服务和安全体系运营保障工作。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统计分析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）保障日常统计与分析功能的数据准确；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）在统计功能不足时，根据业务需要，提供增加统计分析开发程序（原则上不超过</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个统计表）。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运行报告与台账管理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）制定运维报告模板，按期提交运维报告；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）管理维护系统日常台账；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）完成甲方安排的信用日常工作。</w:t>
            </w:r>
            <w:r/>
          </w:p>
        </w:tc>
      </w:tr>
      <w:tr>
        <w:trPr>
          <w:trHeight w:val="7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重大节假日保障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配合用户，安排人员做好重大节假日相关保障工作。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其它服务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）配合信用办参加省组织的设区市信用平台观摩工作；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）配合信用办对国家组织的信用示范城市复审工作；</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）配合信用办业务需要的系统对接、数据服务等工作。</w:t>
            </w:r>
            <w:r/>
          </w:p>
        </w:tc>
      </w:tr>
    </w:tbl>
    <w:p>
      <w:pPr>
        <w:ind w:left="0" w:right="0" w:firstLine="640"/>
        <w:spacing w:before="0" w:after="0" w:line="6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u w:val="none"/>
        </w:rPr>
        <w:t xml:space="preserve">18.3.6.3.</w:t>
      </w:r>
      <w:r>
        <w:rPr>
          <w:rFonts w:ascii="KaiTi" w:hAnsi="KaiTi" w:eastAsia="KaiTi" w:cs="KaiTi"/>
          <w:color w:val="000000"/>
          <w:sz w:val="32"/>
        </w:rPr>
        <w:t xml:space="preserve">运维服务要求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、服务方式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系统运维服务方式为两种：一种为技术人员驻场服务，另一种是定期现场服务。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）驻场服务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市公共信用信息平台运维内容，技术人员在现场做好日常硬件设备运行和网络联通情况的巡检、应用系统以及数据库运行状态的巡检，并提交日常记录；配合用户对市、县区部门上报数据归集处理和数据共享应用等服务工作，每月定期形成系统运维月报，报送用户以及相关运维负责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驻场人员能够处理日常问题，及时反馈用户。对无法解决的问题，及时联系项目负责人，并告知用户。项目负责人在接到反应的问题后，及时响应并处理。</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）定期现场服务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对用户提出的数据归集、应用系统使用、数据共享对接、统计分析等服务需求，提供定期现场服务，并根据用户意见给出后续的工作安排及成果交付。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）本项目服务方式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采取驻场服务和定期现场服务相结合方式。供应商提供</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名驻场服务人员，作息时间与市公共信用信息中心同步，特殊情况下，根据工作需要服从市公共信用信息中心工作安排。项目负责人和相关技术人员根据用户需要或系统运行情况，不定期现场服务。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供应商需针对本项目成立单独的运维支持服务小组，由经验丰富的工程师担任组长，明确小组成员职责及联系方式。非特殊原因，驻场人员不随意更换。</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、运维管理规范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）服务时间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接受服务服务请求和咨询。供应商提供</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小时电话和邮件支持，提供运维故障报修、技术咨询及相关运维支持服务。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）服务响应时间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服务响应时间不超过半小时，一般故障解决时间不超过</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小时，较重故障解决时间不超过</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小时，严重故障解决时间不超过</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技术人员在解决故障时，最大限度保护好数据，做好故障恢复的文档，力争恢复到故障点前的业务状态。对于“系统瘫痪，业务系统不能运转”的故障级别，如果不能于</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小时内解决故障，将在</w:t>
      </w:r>
      <w:r>
        <w:rPr>
          <w:rFonts w:ascii="Times New Roman" w:hAnsi="Times New Roman" w:eastAsia="Times New Roman" w:cs="Times New Roman"/>
          <w:color w:val="000000"/>
          <w:sz w:val="28"/>
        </w:rPr>
        <w:t xml:space="preserve">16</w:t>
      </w:r>
      <w:r>
        <w:rPr>
          <w:rFonts w:ascii="FangSong" w:hAnsi="FangSong" w:eastAsia="FangSong" w:cs="FangSong"/>
          <w:color w:val="000000"/>
          <w:sz w:val="28"/>
        </w:rPr>
        <w:t xml:space="preserve">小时内提出应急方案，确保业务系统的运行。故障解决后</w:t>
      </w: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小时内，提交详细的故障报告，对故障原因进行分析、说明处理过程，并提出类似故障的防范措施。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、行为规范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）遵守用户的各项规章制度，作息时间与市信用办、市公共信用信息中心同步，服从市公共信用信息中心工作安排。。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）与用户运行维护体系其他部门和环节协同工作，密切配合，共同开展技术支持工作。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）出现疑难技术、业务问题和重大紧急情况时，及时向相关负责人报告。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）现场技术支持时要精神饱满，穿着得体，谈吐文明，举止庄重。接听电话时要文明礼貌，语言清晰明了，语气和善。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）遵守保密原则。对市信用数据和被支持单位的网络、主机、系统软件、应用软件等的密码、核心参数、业务数据等负有保密责任，不得随意复制和传播。严格遵守信息安全保密管理相关规定。</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、问题记录规范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使用人员提出问题的类别，将问题分为咨询类问题和系统缺陷类问题二类：咨询类问题是指通过服务热线或现场解疑等方式能够当场解决用户提出的问题，具有问题解答直接、快速和实时的特点，该问题到现场支持人员处即可中止，对于该类问题的记录可使用咨询类问题记录模版进行记录。系统缺陷类问题是指使用人员提出的问题涉及到系统相应环节的确认修改，需要经过逐级提交、诊断、确认、处理和回复等环节，处理解决需要项目组的分析确认，问题有解决方案后，将解决方案反馈给用户。具体提交流程如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ab/>
        <w:t xml:space="preserve">问题提交</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发现属于系统缺陷类的问题时，现场服务人员填写系统缺陷类问题提交单，提交项目负责人。</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ab/>
        <w:t xml:space="preserve">问题分析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项目负责人接到问题单，要及时向上级反馈，由相应人员对问题单中描述的问题进行分析研判，确定问题的类型</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技术问题、业务问题或者操作问题</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属于技术问题，提交技术人员对存在的问题提出具体的处理意见和建议；属于业务问题，提交业务人员进行处理；属于操作问题，可安排相关人员对问题提出人进行解释，并将系统缺陷类问题提交单转为系统咨询类问题提交单。</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ab/>
        <w:t xml:space="preserve">问题确认、解决</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的技术人员和业务人员收到系统缺陷类问题提交单后，对提交的问题进行归类汇总和分析、确认。可以解决的，明确问题解决的具体处理建议和措施，经主管领导签字同意后，交实施人员进行解决方案的实施。现场人员确认是否解决，并将解决方法附在系统缺陷类问题提交单上反馈给问题提出人员。</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ab/>
        <w:t xml:space="preserve">问题回复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根据提交问题的进行分析，制定解决方案并进行实施的解决，同时做好变更记录。将解决方案汇总后及时向问题提交单位或问题交办单位作出回复，并将分析过程和问题产生原因一并提交市公共信用中心。</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、应急响应服务措施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在实际运维过程中，针对可能常见的问题，给出相应的预防与解决措施，同时需要有完整的应急处理流程。</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）应急基本流程</w:t>
      </w:r>
      <w:r/>
    </w:p>
    <w:p>
      <w:pPr>
        <w:ind w:left="17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219700" cy="4352925"/>
                <wp:effectExtent l="0" t="0" r="0" b="0"/>
                <wp:docPr id="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145851" name=""/>
                        <pic:cNvPicPr>
                          <a:picLocks noChangeAspect="1"/>
                        </pic:cNvPicPr>
                        <pic:nvPr/>
                      </pic:nvPicPr>
                      <pic:blipFill>
                        <a:blip/>
                        <a:stretch/>
                      </pic:blipFill>
                      <pic:spPr bwMode="auto">
                        <a:xfrm>
                          <a:off x="0" y="0"/>
                          <a:ext cx="5219699" cy="4352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11.0pt;height:342.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）预防措施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针对可能常见的问题，根据日常运维积累的相关经验，编制市公共信用信用平台日常运维操作手册，并在实际运维过程中不断完善。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）突发事件应急策略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运维应急方案是对中断或严重影响业务的故障，如宕机、数据丢失、业务中断等，进行快速响应和处理，在最短时间内恢复业务系统，将损失降到最低。在系统维护过程中，突发事件的出现将是很难完全避免的，要有完善的突发事件应急策略。</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巡检人员要定期规范检查各硬件设备的运转情况和应用软件运行情况，同时做好日常的数据增量备份和定期全备份。对发现的问题在报各级负责人的同时，要协调相关资源分析问题根源，确定解决方案和临时解决措施，避免造成更大的影响。问题得到稳定或彻底解决后，要形成问题汇报，避免以后类似重大紧急情况的发生，尽最大努力减小突发事件对用户日常应用的影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、运维报告要求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驻场人员每日记录运维情况，定期（按周、月、季、年）提交运维报告。报告至少包括：总体情况、各应用系统巡检情况、问题解决情况、数据情况等。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、台账要求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建立日常运维巡检记录台账，如在巡检过程中发现问题，填写问题台账表，对台账实施动态管理并按年度统一提交市公共信用信息中心归档。</w:t>
      </w:r>
      <w:r/>
    </w:p>
    <w:p>
      <w:pPr>
        <w:ind w:left="0" w:right="0" w:firstLine="1546"/>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泰州市公共信平台应用软件系统日常巡检问题台账</w:t>
      </w:r>
      <w:r>
        <w:rPr>
          <w:rFonts w:ascii="SimHei" w:hAnsi="SimHei" w:eastAsia="SimHei" w:cs="SimHei"/>
          <w:b/>
          <w:color w:val="000000"/>
          <w:sz w:val="30"/>
        </w:rPr>
        <w:t xml:space="preserve">  </w:t>
      </w:r>
      <w:r>
        <w:rPr>
          <w:rFonts w:ascii="SimSun" w:hAnsi="SimSun" w:eastAsia="SimSun" w:cs="SimSun"/>
          <w:b/>
          <w:color w:val="000000"/>
          <w:sz w:val="3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8"/>
        <w:gridCol w:w="2241"/>
        <w:gridCol w:w="2013"/>
        <w:gridCol w:w="1135"/>
        <w:gridCol w:w="1805"/>
      </w:tblGrid>
      <w:tr>
        <w:trPr>
          <w:trHeight w:val="577"/>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应用系统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805" w:type="dxa"/>
            <w:vAlign w:val="center"/>
            <w:textDirection w:val="lrTb"/>
            <w:noWrap w:val="false"/>
          </w:tcPr>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检查对象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基础设施、网络环境、软件功能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5"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IP地址</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05"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7"/>
        </w:trPr>
        <w:tc>
          <w:tcPr>
            <w:shd w:val="clear" w:color="d9d9d9" w:fill="d9d9d9"/>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48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482"/>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巡查内容</w:t>
            </w:r>
            <w:r/>
          </w:p>
        </w:tc>
        <w:tc>
          <w:tcPr>
            <w:gridSpan w:val="3"/>
            <w:shd w:val="clear" w:color="d9d9d9" w:fill="d9d9d9"/>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53" w:type="dxa"/>
            <w:vAlign w:val="center"/>
            <w:textDirection w:val="lrTb"/>
            <w:noWrap w:val="false"/>
          </w:tcPr>
          <w:p>
            <w:pPr>
              <w:ind w:left="0" w:right="0" w:firstLine="48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巡检结果</w:t>
            </w:r>
            <w:r/>
          </w:p>
        </w:tc>
      </w:tr>
      <w:tr>
        <w:trPr>
          <w:trHeight w:val="56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网络ping是否正常</w:t>
            </w:r>
            <w:r/>
          </w:p>
        </w:tc>
        <w:tc>
          <w:tcPr>
            <w:gridSpan w:val="3"/>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53" w:type="dxa"/>
            <w:vAlign w:val="center"/>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系统登录是否正常</w:t>
            </w:r>
            <w:r/>
          </w:p>
        </w:tc>
        <w:tc>
          <w:tcPr>
            <w:gridSpan w:val="3"/>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53"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运行日志是否正常</w:t>
            </w:r>
            <w:r/>
          </w:p>
        </w:tc>
        <w:tc>
          <w:tcPr>
            <w:gridSpan w:val="3"/>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53"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功能模块是否正常</w:t>
            </w:r>
            <w:r/>
          </w:p>
        </w:tc>
        <w:tc>
          <w:tcPr>
            <w:gridSpan w:val="3"/>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953" w:type="dxa"/>
            <w:vAlign w:val="center"/>
            <w:textDirection w:val="lrTb"/>
            <w:noWrap w:val="false"/>
          </w:tcPr>
          <w:p>
            <w:pPr>
              <w:ind w:left="0" w:right="0" w:firstLine="4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0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1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待解决问题</w:t>
            </w:r>
            <w:r/>
          </w:p>
        </w:tc>
        <w:tc>
          <w:tcPr>
            <w:gridSpan w:val="4"/>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7194" w:type="dxa"/>
            <w:vAlign w:val="top"/>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巡检人员</w:t>
            </w:r>
            <w:r/>
          </w:p>
        </w:tc>
      </w:tr>
      <w:tr>
        <w:trPr>
          <w:trHeight w:val="1809"/>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解决情况</w:t>
            </w:r>
            <w:r/>
          </w:p>
        </w:tc>
        <w:tc>
          <w:tcPr>
            <w:gridSpan w:val="4"/>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7194" w:type="dxa"/>
            <w:vAlign w:val="top"/>
            <w:textDirection w:val="lrTb"/>
            <w:noWrap w:val="false"/>
          </w:tcPr>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确认人员</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18.3.7.项目实施</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18.3.7.1.</w:t>
      </w:r>
      <w:r>
        <w:rPr>
          <w:rFonts w:ascii="FangSong" w:hAnsi="FangSong" w:eastAsia="FangSong" w:cs="FangSong"/>
          <w:color w:val="000000"/>
          <w:sz w:val="28"/>
          <w:u w:val="none"/>
        </w:rPr>
        <w:t xml:space="preserve">运维团队</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供应商项目运维团队应由以下几方面人员组成。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项目经理。项目运行维护总负责人，及时根据用户和运维人员反馈的情况，协调、组织相关技术资源，解决各种运维问题，定期到现场了解、查看、巡检系统运行情况，确保市信用平台应用系统的正常运行。</w:t>
        <w:tab/>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驻场运维人员。负责系统的日常巡检工作，解决日常运维问题，协助市公共信用信息中心数据归集等工作。</w:t>
        <w:tab/>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业务支持工程师。了解信用业务制度，负责新增业务需求、功能的交流和分析。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软件技术支持工程师。负责系统技术架构、关键技术的咨询和总体设计，分析并帮助解决系统故障。</w:t>
        <w:tab/>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软件开发工程师。</w:t>
        <w:tab/>
        <w:t xml:space="preserve">负责功能代码开发，统计分析脚本程序编制，满足业务需要的新增数据统计与数据分析。</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系统运维工程师。负责软件安装、系统配置，分析解决数据库系统、应用支撑系统、系统对接等方面的问题。</w:t>
      </w:r>
      <w:r/>
    </w:p>
    <w:p>
      <w:pPr>
        <w:ind w:left="198"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18.3.7.2.</w:t>
      </w:r>
      <w:r>
        <w:rPr>
          <w:rFonts w:ascii="FangSong" w:hAnsi="FangSong" w:eastAsia="FangSong" w:cs="FangSong"/>
          <w:color w:val="000000"/>
          <w:sz w:val="28"/>
          <w:u w:val="none"/>
        </w:rPr>
        <w:t xml:space="preserve">实施计划</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一、日常服务工作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日常服务工作除用户有任务安排外，驻场人员每天需按照用户工作时间要求，完成日常巡检及相关问题的处理，并记录相关运维台账。</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二、定期服务工作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每月定期对应用程序进行备份检查。每月初或者月末配合用户完成相关周期的归集情况等数据统计工作。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三、其他服务工作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根据用户工作要求，对用户提出的工作内容制定相应的工作计划，并根据计划完成。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18.4.服务预算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5"/>
        <w:gridCol w:w="6476"/>
        <w:gridCol w:w="1379"/>
      </w:tblGrid>
      <w:tr>
        <w:trPr>
          <w:trHeight w:val="3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7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建设内容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定期系统巡查服务，主要指项目经理、相关技术人员每月到现场进行系统巡查，与用户沟通、交流，根据用户意见给出后续的功能优化，完善等技术支持服务。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定制软件的缺陷修复、功能改进等运维服务，驻场人员发现的非操作问题，实施团队人员的分析、排查、解决；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对用户提出的适应性改进（不涉及系统架构），在双方协商一致的基础上，对应用系统功能进行改进；</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合用户，根据硬件设备环境、网络环境等变更要求，提供应用系统及数据迁移服务。按照相关要求，对数据库服务器的安全、数据库安全与访问权限、业务系统安全及权限进行定期的检查，对出现的问题及时解决，并给出相应的改进建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根据业务需要，提供特定的数据分析，并根据用户意见给出后续的工作成果。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与市、县区部门相关业务系统的数据对接（数据采集和共享应用）调试，原则上对接的业务系统不超过</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保障日常统计与分析功能的数据准确；根据业务需要，</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适当提供增加统计分析开发程序（原则上不超过</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个统计表）。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配合用户完成信用信息共享服务平台以及各个应用子系统的功能的页面调整展示（原则上不超过</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根据国家、省数据目录和市扩展目录调整的采集目录配置、新数据处理规则的开发增加；满足应用需求的主题库配置、信用评价和信用监管模型调整等。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配合基础设施运维单位做好数据库安全管理服务和安全体系运营保障工作。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用泰州网站的技术运维，包括网站内容维护、提供信用公示数据查询数据支撑、信用应用提供在线信用查询报告申请、企业信用信息自助申报、信用异议申请、服务接口调用服务支撑、栏目调整、添加飘窗、修改</w:t>
            </w:r>
            <w:r>
              <w:rPr>
                <w:rFonts w:ascii="Times New Roman" w:hAnsi="Times New Roman" w:eastAsia="Times New Roman" w:cs="Times New Roman"/>
                <w:color w:val="000000"/>
                <w:sz w:val="28"/>
              </w:rPr>
              <w:t xml:space="preserve">BUG</w:t>
            </w:r>
            <w:r>
              <w:rPr>
                <w:rFonts w:ascii="FangSong" w:hAnsi="FangSong" w:eastAsia="FangSong" w:cs="FangSong"/>
                <w:color w:val="000000"/>
                <w:sz w:val="28"/>
              </w:rPr>
              <w:t xml:space="preserve">、按市政府办网站监测要求整改网站等相关技术支持。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76" w:type="dxa"/>
            <w:vAlign w:val="top"/>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驻场人员运维服务。</w:t>
              <w:br/>
              <w:t xml:space="preserve">提供每日现场巡检服务，巡检应用系统的运行情况以及数据库的运行情况，包括：操作系统运行是否正常，数据库是否能够正常访问等，采集、处理程序运行是否正常，是否能够正常实现部门数据的归集处理以及数据的上报，各个业务功能使用是否正常、归集专题库同步数据是否正常、主题库生成数据是否正常，及时发现并处理问题；</w:t>
              <w:br/>
              <w:t xml:space="preserve">做好每日运维台账，定期提交运维周报、月报、年报；</w:t>
              <w:br/>
              <w:t xml:space="preserve">定时做好应用系统、数据库的备份；</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做好数据报送对接服务，检查市、县区部门的数据报送质量情况，提醒相关部门完成疑问数据更正。配合市信用中心解决数据报送和处理中的技术问题，解答市、县区部门在系统使用的操作问题；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数据共享分析，查询省市一体化数据归集回送的泰州市归集专题库定时任务执行情况以及与相关部门的数据共享交换情况的对接、协调；</w:t>
              <w:br/>
              <w:t xml:space="preserve">一体化基础应用服务支持，提供信用修复、信用审查、信用报告等业务服务的技术支；</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节假日的系统保障服务；</w:t>
              <w:br/>
              <w:t xml:space="preserve">完成甲方安排的其它信用日常工作；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p>
        </w:tc>
      </w:tr>
      <w:tr>
        <w:trPr>
          <w:trHeight w:val="31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1"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45</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19.市卫健委医疗电子票据系统运维（2026）项目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19.1.预期目标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市卫健委医疗电子票据系统运维</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项目内容包括但不限于日常运维服务、开展技术培训、性能优化、系统巡检、其他服务要求等。</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19.2.需求分析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19.2.1.业务需求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（一）日常运维服务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）基础信息及流程配置服务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泰州市各区划信息、单位信息、角色、功能权限、角色菜单、业务流程等的确认和配置工作。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）单位基础信息维护服务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做好全市各类用户进行系统权限和参数配置，包括单位基础信息维护、单位角色信息、单位功能权限等。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）服务器维护服务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做好软件及硬件服务器的日常维护工作，包括日常巡检、系统升级、安全维护等。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）异常数据处理服务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包括系统有关硬件、网络等方面问题分析、排查和支持，软件异常情况处理、软件数据异常的维护等。</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）技术咨询服务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为全省用户提供电话咨询、 </w:t>
      </w:r>
      <w:r>
        <w:rPr>
          <w:rFonts w:ascii="Times New Roman" w:hAnsi="Times New Roman" w:eastAsia="Times New Roman" w:cs="Times New Roman"/>
          <w:color w:val="000000"/>
          <w:sz w:val="28"/>
        </w:rPr>
        <w:t xml:space="preserve">QQ</w:t>
      </w:r>
      <w:r>
        <w:rPr>
          <w:rFonts w:ascii="FangSong" w:hAnsi="FangSong" w:eastAsia="FangSong" w:cs="FangSong"/>
          <w:color w:val="000000"/>
          <w:sz w:val="28"/>
        </w:rPr>
        <w:t xml:space="preserve">、远程等技术指导。对于远程客户端出现无法办理业务情况，给予协助和指导。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用户通过拨打运维服务热线，短信或线上沟通等方式，可获得系统应用过程中遇到的常见问题答疑，以及应用建议。</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主要包括：</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小时热线、短信支持；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远程网络服务（包括</w:t>
      </w:r>
      <w:r>
        <w:rPr>
          <w:rFonts w:ascii="Times New Roman" w:hAnsi="Times New Roman" w:eastAsia="Times New Roman" w:cs="Times New Roman"/>
          <w:color w:val="000000"/>
          <w:sz w:val="28"/>
        </w:rPr>
        <w:t xml:space="preserve">FTP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QQ</w:t>
      </w:r>
      <w:r>
        <w:rPr>
          <w:rFonts w:ascii="FangSong" w:hAnsi="FangSong" w:eastAsia="FangSong" w:cs="FangSong"/>
          <w:color w:val="000000"/>
          <w:sz w:val="28"/>
        </w:rPr>
        <w:t xml:space="preserve">在线、电子邮件等服务）支持；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专家服务团队诊断指导；</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用户对系统及服务质量进行意见反馈。</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响应时间：</w:t>
      </w:r>
      <w:r>
        <w:rPr>
          <w:rFonts w:ascii="Times New Roman" w:hAnsi="Times New Roman" w:eastAsia="Times New Roman" w:cs="Times New Roman"/>
          <w:color w:val="000000"/>
          <w:sz w:val="28"/>
        </w:rPr>
        <w:t xml:space="preserve">7*24</w:t>
      </w:r>
      <w:r>
        <w:rPr>
          <w:rFonts w:ascii="FangSong" w:hAnsi="FangSong" w:eastAsia="FangSong" w:cs="FangSong"/>
          <w:color w:val="000000"/>
          <w:sz w:val="28"/>
        </w:rPr>
        <w:t xml:space="preserve">小时电话或电子邮件服务，接收到服务请求后，在</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分钟内给予响应，</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小时内做出明确的响应安排，</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小时内具有解决故障能力的工程师应做出故障诊断报告，并解决故障。</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系统的一般故障应在</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小时内处理完毕，并保证系统恢复正常运行。出现紧急系统故障等，短时间内不能处理完毕，可能影响到甲方业务正常运行的，要及时书面报告客户方，以便客户方采取应急措施。</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）运行状态监控</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）每日监控：医疗票管系统运行状态监控，每日监控数据、应用服务器运行状态（包括</w:t>
      </w:r>
      <w:r>
        <w:rPr>
          <w:rFonts w:ascii="Times New Roman" w:hAnsi="Times New Roman" w:eastAsia="Times New Roman" w:cs="Times New Roman"/>
          <w:color w:val="000000"/>
          <w:sz w:val="28"/>
        </w:rPr>
        <w:t xml:space="preserve">CPU</w:t>
      </w:r>
      <w:r>
        <w:rPr>
          <w:rFonts w:ascii="FangSong" w:hAnsi="FangSong" w:eastAsia="FangSong" w:cs="FangSong"/>
          <w:color w:val="000000"/>
          <w:sz w:val="28"/>
        </w:rPr>
        <w:t xml:space="preserve">、内存、硬盘使用率、连接池、缓冲池、表空间、吞吐量、数据交换、数据库容量、数据库连接数、软件访问速度等）。</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）定期巡检：委派技术专家定期对医疗票管系统定期巡检工作，确保医疗票管系统和数据安全。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对医疗电管系统的内存使用情况、队列是否有排队情况、数据库是否有长时间锁表的情况、连接池是否有泄漏情况、应用部署是否有异常情况，以及系统的宕机监控等进行定期巡检服务，保证系统的正常运行。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）数据备份与恢复服务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按照要求备份数据库，并保证备份的系统数据库能有效的恢复、回退。制定备份恢复计划，按时检查执行情况。</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出现故障时，根据故障的紧急程度，在标准现场基础上提供加急响应，实现紧急问题紧急处理，并提供法定节假日及非工作时间的特殊支持保障服务。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当服务器遭遇突发故障而导致应用系统崩溃后，确保在</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小时内恢复系统。当重要数据误删除、遭受病毒感染或黑客攻击时、应通过技术手段尽力抢救，尽快恢复运行。</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（二）系统功能完善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针对系统已上线核心模块（如票据开具、数据统计、权限管理等），解决使用中出现的功能漏洞、逻辑缺陷，优化操作流程以提升易用性，确保功能与业务场景精准匹配。</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（三）运维整改服务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行电子票据平台运维整改服务，包括系统正常运行、安全运维服务。在运维过程中严格遵守用户对于平台使实施规范用、网络安全的相关管理要求。提升使用人员以及运维人员水平，增强规范使用、安全管理意识。加强操作平台、网络操作系统、数据库、中间件等基础软件的安全性配置，落实安全技术措施。运维过程中配合开展系统应急演练，保证运维环节系统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（四）性能优化</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对医疗票管系统提供综合性（数据库、数据库、中间件）效率调优服务。优化查询、统计性能，缩短响应时间，多方面提升性能。</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19.2.2.技术需求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电子票据平台运维，满足二级及以下医院业务高效、安全、稳定运行。</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19.3.技术方案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19.3.1.主要功能设计</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（一）服务内容</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3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9"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主要工作节点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工作内容</w:t>
            </w:r>
            <w:r/>
          </w:p>
        </w:tc>
      </w:tr>
      <w:tr>
        <w:trPr>
          <w:trHeight w:val="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vMerge w:val="restart"/>
            <w:textDirection w:val="lrTb"/>
            <w:noWrap/>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运维阶段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技术咨询服务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为全市用户提供电话咨询、</w:t>
            </w:r>
            <w:r>
              <w:rPr>
                <w:rFonts w:ascii="Times New Roman" w:hAnsi="Times New Roman" w:eastAsia="Times New Roman" w:cs="Times New Roman"/>
                <w:color w:val="000000"/>
                <w:sz w:val="28"/>
              </w:rPr>
              <w:t xml:space="preserve">QQ</w:t>
            </w:r>
            <w:r>
              <w:rPr>
                <w:rFonts w:ascii="FangSong" w:hAnsi="FangSong" w:eastAsia="FangSong" w:cs="FangSong"/>
                <w:color w:val="000000"/>
                <w:sz w:val="28"/>
              </w:rPr>
              <w:t xml:space="preserve">、远程等技术指导。对于远程客户端出现无法办理业务情况，给予协助和指导。</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异常数据处理服务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包括系统有关硬件、网络等方面问题分析、排查和支持，软件异常情况处理、软件数据异常的维护等。</w:t>
            </w:r>
            <w:r/>
          </w:p>
        </w:tc>
      </w:tr>
      <w:tr>
        <w:trPr>
          <w:trHeight w:val="84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运行状态监控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对医疗票管系统的内存使用情况、队列是否有排队情况、数据库是否有长时间锁表的情况、连接池是否有泄漏情况、应用部署是否有异常情况，以及系统的宕机监控等进行定期巡检服务，保证系统的正常运行。</w:t>
            </w:r>
            <w:r/>
          </w:p>
        </w:tc>
      </w:tr>
      <w:tr>
        <w:trPr>
          <w:trHeight w:val="5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数据备份与恢复服务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按照要求备份数据库，并保证备份的系统数据库能有效的恢复、回退。制定备份恢复计划，按时检查执行情况。</w:t>
            </w:r>
            <w:r/>
          </w:p>
        </w:tc>
      </w:tr>
    </w:tbl>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（二）服务交付材料及服务质量评价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）服务交付材料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根据项目管理要求，服务单位需提供服务记录、工作报告等相关文档，包括但不限于：</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）服务记录；</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）需求、问题及跟踪汇总表；</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）培训方案以及培训记录；</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）运维工作总结报告；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）服务质量评价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根据平台运行情况，开展服务质量评价，随机抽取</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家使用单位，围绕可用性、可靠性、响应性、安全性、成本效益等核心维度，从以下几方面进行考核打分：</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）系统可用率：系统正常运行时长占比，体现稳定支撑能力；</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）故障响应与解决效率：故障的响应、解决速度，体现应急处置能力；</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）高危漏洞修复完成率：高危漏洞按时修复比例，体现安全防护及时性；</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）业务部门满意度：业务部门对运维的满意程度，体现业务支撑效果；</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）重大变更成功率：重大操作成功比例，体现运维流程规范性。</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19.3.2.与市级基础平台关联关系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通过泰康云数据共享与交换平台和政府共享平台充分共享电子票据信息。</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19.3.3.数据供需</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平台主要用于全区二级及以下公立医疗机构的开具电子发票，产生电子票据相关数据信息。</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19.3.4.信息安全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信息安全等级保护定级三级。</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19.4.服务预算</w:t>
      </w:r>
      <w:r/>
    </w:p>
    <w:p>
      <w:pPr>
        <w:ind w:left="0" w:right="0"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平台运维服务及整改费用。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38"/>
        <w:gridCol w:w="2238"/>
        <w:gridCol w:w="2238"/>
        <w:gridCol w:w="2238"/>
      </w:tblGrid>
      <w:tr>
        <w:trPr>
          <w:trHeight w:val="4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备注</w:t>
            </w:r>
            <w:r/>
          </w:p>
        </w:tc>
      </w:tr>
      <w:tr>
        <w:trPr>
          <w:trHeight w:val="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市医疗电子票据管理系统运维及安全相关服务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vMerge w:val="restart"/>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年服务</w:t>
            </w:r>
            <w:r/>
          </w:p>
        </w:tc>
      </w:tr>
      <w:tr>
        <w:trPr>
          <w:trHeight w:val="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市医疗电子票据监管系统运维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vMerge w:val="continue"/>
            <w:textDirection w:val="lrTb"/>
            <w:noWrap w:val="false"/>
          </w:tcPr>
          <w:p>
            <w:r/>
            <w:r/>
          </w:p>
        </w:tc>
      </w:tr>
      <w:tr>
        <w:trPr>
          <w:trHeight w:val="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电子票据扫描、查验、防重系统运维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vMerge w:val="continue"/>
            <w:textDirection w:val="lrTb"/>
            <w:noWrap w:val="false"/>
          </w:tcPr>
          <w:p>
            <w:r/>
            <w:r/>
          </w:p>
        </w:tc>
      </w:tr>
      <w:tr>
        <w:trPr>
          <w:trHeight w:val="2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区卫电子票据管理子系统运维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vMerge w:val="continue"/>
            <w:textDirection w:val="lrTb"/>
            <w:noWrap w:val="false"/>
          </w:tcPr>
          <w:p>
            <w:r/>
            <w:r/>
          </w:p>
        </w:tc>
      </w:tr>
      <w:tr>
        <w:trPr>
          <w:trHeight w:val="2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56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20.数字泰州综合运维（2026）项目</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20.1.预期目标</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数字化浪潮的推动下，泰州市正全力加快数字城市建设的步伐，以提升城市治理水平、优化公共服务、促进经济创新发展。泰州市数据局作为这一进程的核心引领者，肩负着构建高效、智能、安全的信息化体系的重任。</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着泰州市各类政务服务和社会治理业务的数字化转型不断深入，数据局所管理的信息化系统规模日益庞大，复杂度持续增加。这些系统涵盖了从政务办公、公共服务到城市管理等多个关键领域，其稳定运行对于保障政府工作的高效开展、市民生活的便利以及社会经济的有序发展至关重要。</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然而，随着业务的不断拓展和数据量的急剧增长，信息化系统面临着日益复杂的技术挑战和运维需求。保障系统的稳定运行、数据的安全可靠、功能的持续优化，成为确保政府部门高效运作、公共服务优质提供以及城市发展科学决策的关键所在。</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综合运维服务采购项目主要围绕市数据局政务信息化项目，遵循“四个满足”原则，一是满足高质量考核需要，省、市高质量考核对部分市级部门政务信息化系统有明确要求；二是满足改革创新工作需要，市级政务信息化项目为改革创新提供了技术支撑和平台环境，推动政府职能转变及服务效能的持续改进；三是满足服务群众业务需求，以人工智能、系统对接、数据共享等信息化手段，构建现代化政务服务及公共服务体系，简化企业办事流程，减少群众办事成本，切实让广大市民感受到数字化便利；四是满足上级布置工作要求，落实国家、省级部门对地市条线信息化工作</w:t>
      </w:r>
      <w:r>
        <w:rPr>
          <w:rFonts w:ascii="FangSong" w:hAnsi="FangSong" w:eastAsia="FangSong" w:cs="FangSong"/>
          <w:color w:val="000000"/>
          <w:sz w:val="28"/>
        </w:rPr>
        <w:t xml:space="preserve">的指导要求。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为了进一步落实数字化发展战略，加强信息化系统的运维管理，提高服务质量和效率，泰州市数据局决定开展</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年数字泰州综合运维服务项目，旨在引入专业的服务力量，为数字泰州的建设提供强有力的技术支持和保障。</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20.2.需求分析</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20.2.1.业务需求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随着泰州市各类政务服务和社会治理业务的数字化转型不断深入，数据局所管理的信息化系统规模日益庞大，复杂度持续增加。这些系统涵盖了从政务办公、公共服务到城市管理等多个关键领域，其稳定运行对于保障政府工作的高效开展、市民生活的便利以及社会经济的有序发展至关重要。</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20.2.2.技术需求</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综合运维服务采购项目主要围绕市数据局政务信息化项目，遵循“四个满足”原则，一是满足高质量考核需要，省、市高质量考核对部分市级部门政务信息化系统有明确要求；二是满足改革创新工作需要，市级政务信息化项目为改革创新提供了技术支撑和平台环境，推动政府职能转变及服务效能的持续改进；三是满足服务群众业务需求，以人工智能、系统对接、数据共享等信息化手段，构建现代化政务服务及公共服务体系，简化企业办事流程，减少群众办事成本，切实让广大市民感受到数字化便利；四是满足上级布置工作要求，落实国家、省级部门对地市条线信息化工作</w:t>
      </w:r>
      <w:r>
        <w:rPr>
          <w:rFonts w:ascii="FangSong" w:hAnsi="FangSong" w:eastAsia="FangSong" w:cs="FangSong"/>
          <w:color w:val="000000"/>
          <w:sz w:val="28"/>
        </w:rPr>
        <w:t xml:space="preserve">的指导要求。</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20.3.技术方案</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20.3.1.总体架构</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）服务交付材料</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根据项目管理要求，服务单位需提供服务记录、工作报告等相关文档，包括但不限于：</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）服务记录；</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）需求、问题及跟踪汇总表；</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）培训方案以及培训记录；</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）运维工作总结报告；</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）服务质量评价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根据平台运行情况，开展服务质量评价，对使用单位，围绕可用性、可靠性、响应性、安全性、成本效益等核心维度，从以下几方面进行考核打分：</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）系统可用率：系统正常运行时长占比，体现稳定支撑能力；</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）故障响应与解决效率：故障的响应、解决速度，体现应急处置能力；</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）高危漏洞修复完成率：高危漏洞按时修复比例，体现安全防护及时性；</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）业务部门满意度：业务部门对运维的满意程度，体现业务支撑效果；</w:t>
      </w:r>
      <w:r/>
    </w:p>
    <w:p>
      <w:pPr>
        <w:ind w:left="0" w:right="0" w:firstLine="84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）重大变更成功率：重大操作成功比例，体现运维流程规范性。</w:t>
      </w:r>
      <w:r/>
    </w:p>
    <w:p>
      <w:pPr>
        <w:ind w:left="0" w:right="0" w:firstLine="640"/>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20.3.2.主要功能建设</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20.3.2.1.泰州市统一电子印章系统及适配平台运维服务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1服务内容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服务包括密码硬件设备系统维护、电子印章相关业务运维工作、后台服务检测、系统功能验证、系统安全防护、电子印章维护；系统对接包括市各级部门的业务系统对接和省平台的对接；提供应急响应服务，保障系统稳定运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2运维对象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印章系统硬件设备包括配置部署UKEY、服务器密码机、签名验签服务器、时间戳服务器，软件包括电子印章制作系统、电子印章状态发布系统、电子印章应用系统、互联网电子印章验证系统、电子印章日志系统、电子印章数字证书系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3维护清单 </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3.1硬件设备</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电子印章适配平台硬件设备包括配置服务器密码机，为电子印章应用系统提供密钥存放、运算、证书验证等服务。</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3.2软件系统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电子印章适配平台包括：电子印章应用系统、电子印章业务对接、电子印章证书和验证系统，电子印章调度管理系统。</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1.电子印章应用系统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电子印章应用系统能够面向多个应用提供电子签章、验证等基础服务，能够满足集中式电子签章应用需求。</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2.电子印章业务对接系统</w:t>
      </w:r>
      <w:r/>
    </w:p>
    <w:p>
      <w:pPr>
        <w:ind w:left="0" w:right="0" w:firstLine="56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电子印章业务对接系统提供业务对象服务，包括系统对接认证模块，业务服务对接模块。</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3.电子印章证书和验证系统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电子印章验证系统提供电子印章验证功能，支持版式文件验章，与省级平台电子印章数字证书系统互认互信。</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4.电子印章调度管理系统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支撑跨地区电子印章签章调度， 提供多种高可靠， 高性能的调度策略。针对不同应用场景提供不同的调度策略方式。</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5.系统对接集成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电子印章适配平台对接集成服务，市级电子印章系统与省级平台对接，实现电子印章唯一编码管理、电子印章备案和状态同步。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4运维服务要求</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4.1.服务清单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yellow"/>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1446"/>
        <w:gridCol w:w="6204"/>
      </w:tblGrid>
      <w:tr>
        <w:trPr>
          <w:trHeight w:val="28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624"/>
              <w:jc w:val="center"/>
              <w:spacing w:before="10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采购说明</w:t>
            </w:r>
            <w:r/>
          </w:p>
        </w:tc>
      </w:tr>
      <w:tr>
        <w:trPr>
          <w:trHeight w:val="8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驻场服务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按照要求提供1人1年驻场服务，工作内容包括但不限于：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（1）提供全市部门印章制作和使用指导工作。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（2）根据实际及客户要求完成相关技术支撑工作，支持各业务系统对接。</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（1）日常运维服务包括相关软件系统和硬件系统的运维服务。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（2）如省电子印章系统提出新的业务需求，须根据省级电子印章系统升级内容进行同步升级。</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（3）如市级电子印章业务需求调整，根据业务系统需求进行升级调整。</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系统对接包括市各级部门（单位）的业务系统对接。根据工作需要提供系统对接服务，包括但不限于以下工作：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（1）系统对接咨询：提供系统对接咨询服务，解答用户关于系统对接流程、接口规范、对接具体工作等咨询问题；</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（2）电子印章系统对接：电子印章系统与新接入业务系统进行接口对接，联调测试等集成工作；对接过程中出现印章系统需要升级的，无需额外开发，则进行免费升级；</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（3）对接省平台：根据省里的最新要求，做好与省平台的对接工作。</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20.3.2.2.数据局内部项目等保测评服务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1服务内容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安全等保测评服务将对泰州市数据局的泰州市公共数据平台、泰州市电子证照综合管理系统、泰州通、泰政通、数字资产平台、泰州市12345平台、泰州市数据安全平台等7个信息系统开展等保3级测评服务，通过测评服务后提交测评报告，找出系统存在的安全问题与整改建议，协助泰州市数据局开展整改工作并达到等级保护的安全保护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2服务要求</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1.安全等保测评服务要求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泰州市数据局指定的信息系统开展等保测评工作，并根据需要协助做好相关信息系统定级备案工作。通过评估信息系统各安全层面与相应安全保护等级标准的差距，明确存在的安全问题及现有安全措施的有效性，并针对安全问题关联的资产、威胁、脆弱性，综合分析信息系统面临的安全风险，提出整改建议、提供整改实施技术支持，并配合整改实施；待完成后，在要求时间内，通过开展等级测评工作，验证整改的效果及与标准的符合度，明确信息系统是否达到了相应安全保护等级的防护能力。编制提交《网络安全等级保护等级测评报告》。</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2.安全等保测评服务管理要求</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（1）服务人员要求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服务单位一般情况下不得更换项目组人员，如需更换提前5 个工作日书面报告采购人，在征得同意情况下才能更换；如果项目组人员存在工作态度、责任心、技术能力、协调能力等方面的问题时，采购人可以要求咨询单位更换项目组人员，并且咨询单位在收到采购人书面通知之日起5个工作日内更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服务单位为项目组成员在工作现场引起的各种工伤、安全事件和事故负责。</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服务团队应结构完整，搭配合理。</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（2）组织实施要求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投标人需严格按照服务方式和服务人员要求，梳理分析项目相关责任主体，结合本项目实际，提出项目组织实施措施，制定组织实施计划，包括但不限于：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①搭建项目组织架构，组建服务团队。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②根据采购需求，确定本项目的实施阶段目标。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③根据实施过程阶段，进行目标分解，确定具体实施计划。</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（3）质量保证要求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为了保证本测评服务项目能按时高质地顺利完成，规避项目风险或将风险降至最低程度，应采取如下质量保证措施：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①建立强有力的项目领导小组和咨询实施小组，是确保本项目服务内容质量和成功实施的关键措施。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②认真做好项目前期工作和实施计划。</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③遵照《GB/T 22239-2019 信息安全技术 网络安全等级保护基本要求》《GB/T 28448-2019 信息安全技术 网络安全等级保护测评要求》等国家规范开展检测评估；逐项核验安全控制指标，全面识别系统潜在安全威胁、脆弱性，结合系统业务重要程度、外部安全风险，对比现有防护措施与等保标准的差距，形成客观、完整的风险评估结论</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4.验收标准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规定期限内测评服务完成，出具各业务系统的《网络安全等级保护等级测评报告》，确保测评结论符合率不低于70%（基本符合）。报告交付泰州市数据局后的5个工作日，采购方未提出书面异议，则可以申请验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20.3.2.3.泰州市级短信平台服务费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1建设内容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建设内容一览表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4"/>
        <w:gridCol w:w="2984"/>
        <w:gridCol w:w="2984"/>
      </w:tblGrid>
      <w:tr>
        <w:trPr>
          <w:trHeight w:val="557"/>
        </w:trPr>
        <w:tc>
          <w:tcPr>
            <w:shd w:val="clear" w:color="dae3f4" w:fill="dae3f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shd w:val="clear" w:color="dae3f4" w:fill="dae3f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功能名称</w:t>
            </w:r>
            <w:r/>
          </w:p>
        </w:tc>
        <w:tc>
          <w:tcPr>
            <w:shd w:val="clear" w:color="dae3f4" w:fill="dae3f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功能简述</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运维和实时监控服务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对现有政务外网和互联网2套短信平台提供运维服务；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7*24小时实时监控短信发送情况，及时解决发现的问题。</w:t>
            </w:r>
            <w:r/>
          </w:p>
        </w:tc>
      </w:tr>
      <w:tr>
        <w:trPr>
          <w:trHeight w:val="8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短信发送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4" w:type="dxa"/>
            <w:vAlign w:val="center"/>
            <w:textDirection w:val="lrTb"/>
            <w:noWrap w:val="false"/>
          </w:tcPr>
          <w:p>
            <w:pPr>
              <w:ind w:left="0" w:right="0" w:firstLine="0"/>
              <w:jc w:val="both"/>
              <w:spacing w:before="0" w:after="0" w:line="559" w:lineRule="atLeast"/>
              <w:tabs>
                <w:tab w:val="left" w:pos="4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提供短信发送服务。</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短信费用根据实际发送情况，统计当前阶段内短信发送量，根据每条短信单价（以双方约定或者年度政务云服务约定单价）计算支付金额，平台运维和实时监控服务每年度费用3万元。单个部门总短信发送量年总价超过5万元的，由部门单独支付。</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2服务要求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w:t>
      </w:r>
      <w:r>
        <w:rPr>
          <w:rFonts w:ascii="FangSong" w:hAnsi="FangSong" w:eastAsia="FangSong" w:cs="FangSong"/>
          <w:color w:val="000000"/>
          <w:sz w:val="28"/>
        </w:rPr>
        <w:t xml:space="preserve">.1技术要求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具有较强的系统安全性和灾难恢复能力，系统支持集群部署，支持部署节点任意扩展，集群部署的任意单个节点失效不影响整体业务运行。短信业务处理的全部流程应防止出现单点故障，具备热切热备的机制，且备用资源启用时，应确保短信数据无损失。应提供完整的开放式接口，满足按用户、部门分权调用的功能。短信发送应能实时监测整个发送流程，准确定位当前发送状态，有效控制风险、提高工作效率。具备系统宕机恢复功能，在系统运行过程中当设备或程序发生故障时，不会丢失发送中的数据及缓存中的数据，强大的高恢复性能保障数据的完整性及安全性。为保障</w:t>
      </w:r>
      <w:r>
        <w:rPr>
          <w:rFonts w:ascii="FangSong" w:hAnsi="FangSong" w:eastAsia="FangSong" w:cs="FangSong"/>
          <w:color w:val="000000"/>
          <w:sz w:val="28"/>
        </w:rPr>
        <w:t xml:space="preserve">已使用原有短信平台短信业务系统能可靠、稳定地调用短信接口，须可兼容多种调用方式。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2运维要求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对现有平台提供运维服务，维护现有平台正常运行，运维与技术支持服务包括但不限于：版本升级、性能优化、故障处理、漏洞修复、重大节日保障等内容。</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具体要求如下：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1．提供7×24小时技术支持服务。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2．如遇到系统频繁出现故障或遇重大节假日等特殊情况，需要提高系统维护等级的情况下，应提高技术支撑级别，及时处理各类故障。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3．一旦发现系统运行不稳定，而与合同产品有关，须免费提供合乎原厂商规定的合同产品的更新或版本升级，或对系统进行维修、维护，直至问题得到解决。</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运维指标要求如下：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rHeight w:val="474"/>
        </w:trPr>
        <w:tc>
          <w:tcPr>
            <w:shd w:val="clear" w:color="a6a6a6" w:fill="a6a6a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指标项</w:t>
            </w:r>
            <w:r/>
          </w:p>
        </w:tc>
        <w:tc>
          <w:tcPr>
            <w:shd w:val="clear" w:color="a6a6a6" w:fill="a6a6a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技术规格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支持客户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移动、联通、电信手机用户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发送速度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发送速度≥2000条/秒</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报告类型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支持提交报告和状态报告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黑名单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支持黑名单通道</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接入模式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支持各种通道标准接口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通道安全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支持关键字过滤，杜绝非法短信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全天候发送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支持定时发送；支持7*24小时发送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单条发送字数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发送字数≥70个字，可支持长短信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上行短信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支持上行短信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通道扩展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支持通道扩展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短信通道应提供安全防护功能，防止发送短信内容在中途被截取。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多通道要求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6" w:type="dxa"/>
            <w:vAlign w:val="center"/>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支持多通道发送，提供多条通道备份，具备应急切换通道机制</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20.3.2.4.房地产行政许可综合服务系统运维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提供技术支持。用户使用系统及相关问题解答，对系统流程节点调整及审核人员变更等用户需求建议收集汇总及解决，账号注册及密码管理，组织和实施宣传培训等。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定期安全检查。按照有关法律法规要求，实施网络数据信息安全管理，在不影响用户工作的情况下，定期对应用系统、操作系统、数据库、服务器、存储设备及网络环境进行维护和安全检查，对异常情况应及时报告并妥善处理，确保系统安全稳定运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数据备份与恢复。在系统运行期间，定期对系统数据库进行备份，建立数据版本，在系统环境发生变化时，对系统数据进行恢复。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 突发事件处理。在系统非正常停机、网络中断、机房停电、非法入侵、病毒大规模爆发等导致系统不能正常运行，影响用户应用的突发事件，进行应急处理，并及时报送甲方。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 系统升级处理。在需要对系统基础设施、操作系统、数据库的版本更新、补丁安装和配置修改等活动，或因政策调整需要对应用系统进行调整时，实施系统升级。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20.3.2.5.数字身份码运维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结合“泰州通”App服务内容，优化、更新“数字身份码”。</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对身份二维码生码、验码过程全流程管理，校验码规则、权限、有效期及与身份信息数据的一致性；快速响应扫码延迟、验码失败、亮码异常等各类故障。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提供7×24小时技术支持服务，指定相对固定的技术负责人及联络电话、传真、e-mail等。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一旦发现系统运行不稳定，而与合同产品有关，须免费提供合乎原厂商规定的合同产品的更新或版本升级，或对系统进行维修、维护，直至问题得到解决。</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20.3.2.6.项目管理平台运维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提供项目取消功能服务，部门提交申请，数据局规划协调处进行审核。</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提供资金申请台账服务，包括xx年资金申请计划台账、xx年资金申请记录台账、xx年资金支付完成台账，区分智慧城市项目和非智慧城市项目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提供与数字资产管理平台对接服务，包括用户体系对接实现免密登录、推送项目信息至数字资产管理平台。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提供项目归档服务，项目验收后，自动进行归档，归档内容包括完整项目申报材料、采购文件、合同文件、资金申请等材料文件。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提供数据分析与报表中心服务，通过项目类型、所属领域、项目属性、资金使用情况等维度对智慧城市项目进行数据分析，提供图表和报表显示。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提供项目全生命周期看板（升级首页/工作台）服务，整合各模块数据，支持按部门、项目类型（智慧城市 / 非智慧城市）、进度阶段等维度展示关键指标（如申报通过率、建设进度偏差率、资金使用率等），提供对应的图表，异常数据标红。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提供消息提醒功能服务，涉及项目申报、资金申请等模块。部门提交审核后，审核部门收到待审核消息提醒。数据局审核提交后，部门收到审核结果消息提醒。</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提供数据迁移服务，将老项目管理平台的数据迁移至新项目管理平台，包括项目申报、项目建设、资金申请、项目验收的数据及相关附件。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为项目管理平台提供全方位、常态化、专业化运维保障服务，保障平台7×24小时稳定运行。</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20.3.2.7.营业执照一体机运维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1.硬件服务内容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（1）基本现场维保</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维保期内负责硬件设备的故障维修，1个小时内故障响应，根据现场情况，如电话或远程解决不了的问题，最迟6个小时内到达现场。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（2）故障配件更换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工程师确定故障元件，并及时采取措施，免费更换配件（不包含耗材（打印机墨粉、硒鼓、纸张、定影器组件、搓纸轮、转印辊、转印带）、一代机配件、人为损坏）。硬件损坏并更换后，配合用户完成更换元器件所需的其他后续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（3）电话及远程支持</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提供5*8小时的服务热线电话、远程指导服务。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2.软件服务内容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（1）系统巡查和问题处理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季度现场巡检，检查记录所有系统软件的工作状态，检查系统运行是否有潜在故障隐患或者可以优化的地方，分析是否有需要解决的报错信息做好预防性维护。每次巡检结束，提供详细的巡检报告，对于巡检过程中发现的潜在故障或可以优化的地方，解决潜在故障并提供免费优化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（2）在线咨询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电话咨询服务，对证照登记自助服务一体机使用过程中碰到的疑问进行答疑，对软件操作不清楚的进行使用指导，对需要解决的软件问题进行核实确认等。提供5*8小时的服务热线电话、远程指导服务。受理用户的服务请求，1个小时之内响应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关注业务人员提出的咨询或者软件使用问题等，根据所咨询的内容进行回复，并对问题进行核实等。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（3）系统升级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提供“营业执照打印”软件的免费升级服务。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20.3.2.8.企业登记档案数字化服务</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1档案电子化部分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（1）企业纸质档案数字化部分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项目的需求，泰州市数据局企业纸质档案电子化工作此部分主要涉及：档案领取、拆解、扫描、命名、检验、上传汇总、复检、装订、档案归还。相关制作要求和工作流程在省局招标文件中“企业纸质档案数字化标准（苏市监办函〔2019〕359号附件原文）中纸质档案部分”提及。</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（2）商事登记全程电子化档案部分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事登记全程电子化档案工作此部分主要涉及：接收数据、备份、软件拆解、命名、图像处理、属性归类、检验、复检、数据挂接等，相关制作要求详见（苏市监办函〔2019〕359号附件原文）“商事登记全程电子化档案部分”。</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2数据挂接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周完成新增登记档案（纸质和全程电子化）电子数据，挂接至泰州地区企业登记档案数据库中，以供局档案室对外查询窗口的档案查询系统面向本局所辖企业查询自身企业档案之用，以及向律师行业和公检法司部门提供电子档案查询服务。</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3备份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涉及每月档案增量数据备份和历史数据备份两个方面。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1.每月增量数据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即每个月制作且合格电子数据的备份，如某某企业在当月产生的开业卷、变更卷或注销卷等。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2.历史数据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指泰州市数据局所辖的所有企业的登记档案，如某某企业从开业以来至今所有的档案卷，含开业、变更、勘误、注销、吊销、股权质押、黑名单等。</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4系统运维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负责对应范围内，企业档案对外窗口查询软件的运维工作；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负责对应范围内，全程电子化接口软件的运维工作以及与上述服务工作相关的其他服务。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具体如下：</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1.档案查询窗口的对外查询软件的运维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日常工作时间内实时保障软件稳定运行，以便查询用户能正确查询、打印自身登记档案。</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2.全程电子化接口软件的运维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日常工作时间内实时接口的稳定运行，以便业务登记系统能及时、正确获取相应企业档案图像数据。</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3.企业电子档案网上查询系统的运维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服务期内对“泰州市数据局企业登记档案网上查询系统”进行定期数据更新，保证甲方系统正常使用。</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4.与上述服务工作相关的其他服务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（1）泰州市内的迁入迁出工作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泰州市内各市区县局的登记企业，因本市迁移（如原泰州市数据局企业迁出至靖江市数据局，或原靖江市数据局迁入至泰州市数据局等）工作导致档案数据的转移。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（2）迁移一件事（全省范围内的迁入迁出工作）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2024年底全省范围内开始的省局十三个地级市之间的企业迁出迁入（如原泰州市数据局企业迁出至泰州市以外，或原泰州市以外的企业迁入至泰州市数据局）工作导致档案数据的转移。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（3）历史数据的修正</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指泰州市数据局所辖企业在档案查询过程中，如发现自身电子档案缺少、电子档案与原档可能存在不符等情况，需对原始档案重新进行校对、修正、数据挂接，并同步至外网查询系统。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（4）泰州市数据局企业登记档案服务器、数据库的安全管理与补丁更新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对企业登记档案服务器进行系统安全扫描、漏洞修复、补丁更新、重大节假日定时巡查等工作。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（5）数据复检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乙方数字化工作点在完成检验后，需将该批次档案上传至市局驻点进行二次检验，市局负责人将按照标准重新检验。该批次复检时如发现错误，将汇总后通知该常驻数字化工作点员工进行修改，修改后的电子档案数据需要再次复检；全部复检合格后，市局负责人会进行本批次的电子数据挂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20.3.2.9.企业档案整理、上架入库服务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2026年，在泰州市数据局规定的地点，完成指定数量、指定质量要求的企业档案整理和档案上架入库的工作。</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1档案整理工作流程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1.档案领取</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档案的领取和归还由专人负责，并做好相应的记录，做到领取多少档案就记录多少档案并且与市准处窗口业务人员做好交接工作。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该负责人从市准处窗口领取一定数量的档案，双方共同进行检验，做出两份档案领取记录，一份给市准处窗口，一份给该服务单位负责人。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领取档案时，根据工程实际情况领取档案量。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安排好档案领取时间，不占用或延迟市准处窗口工作人员的时间。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领取档案时，项目经理或者由项目经理指定的负责人必须在场，并做好相关记录。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领取档案时，在泰州市数据局市准处窗口至少有一名工作人员在场时进行。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档案领取需要清点档案号、档案份数、每份档案的盒数、卷数，及时发现问题及时解决或者记录在案，经清点无误后填写“档案交接表”并由市准处窗口工作人员认可签字。</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严格填写档案交接表，并且有双方负责人的签字、签字时间。保证一式两份，档案制作中心和市准处各保留一份。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档案清点后，需小心搬移，保证档案离开市准处窗口后的完整性、正确性和完好性，有规律有次序地搬运档案到工作场地。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对于再领档案，如需要改错的档案或者曾经未领的部分档案（领取时已借出或者需重新立卷等），可以安排到下一次的档案领取记录中，也可以单独再做一个档案交接表，双方签字认可。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领取记录：用来记录档案的领取工作，领取记录中含领取日期、领取人签字、档案数量、企业名称、档案号，类别等。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验证信息：确定档案实际份数，错误、缺档等实际情况，并由双方签字确认。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在档案的流转中，应对档案的编号、数量及领取、归还的时间进行详细地登记，确保实物档案的完整性。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2.档案前期检查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核对该案卷档案的案卷号是否正确，一案一档，档案内容完整，杜绝有其他案卷档案内容插入其中的现象产生。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（1）严重折皱影响扫描质量的，可先进行压平或低于50℃熨平等相应处理后再进行扫描。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（2）破损严重、无法直接扫描的档案，应注明并进行技术修复。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3.档案分类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为使泰州市数据局档案整理工作规范化，便于档案的保管和利用，现就档案整理工作要求作如下说明：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 档案的内容和分类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整理档案时，应本着完整、条理、真实的原则，按档案内容将其分为以下各类：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开业材料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变更材料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勘误材料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补换照材料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股权出质材料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经营异常名录材料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股权冻结材料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其他材料：不属于上述类的材料一律归入此类（整理时应按原档案管理分类排序归类）。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 档案卷内文件目录的登记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目录是查阅档案内容的索引，目录登记要求清晰、确切、精炼，目录应放在档案首页，包括以下内容：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①类号和顺序号（如第一类第一份，在目录应登记为“一、1”，以此类推）；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②材料名称（有题名一般要登记全称，无题名或题名不准确重拟题名，题名称较长可以用规范简称缩写，但应准确反映材料的主要内容）；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③材料制成的时间（材料制成时间要填全年月日，一般采用落款时间）；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材料的份数，页码的计算登记。材料份数应以每个完整材料为一份；材料页数的计算，每面为一页，无内容的页面不计算页数，并按页码数如数填写，封面封底及衬纸后空白页不计算页数，封二或封三的填写说明不算页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书写目录时，应在每类目录之后，留出适量的空格，供补充材料使用。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4.档案整理要求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（1）排序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在具体整理档案时，所有材料按档案形成时间的先后排序。并在每份材料第一页的右上角编上类号和顺序号（此编号与目录编号要一致，具体格式为：类号—顺序号，如第二类第三份材料的编号格式为2—3）</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（2）组卷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卷内文件排列。按形成的时间顺序排列。一般主表在前，附件在后，审核结果在前，审核依据在后；重要凭证在前，次要凭证在后。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案卷厚度一般控制在三公分左右，不宜太厚或太薄。</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卷内文件编码：对档案每页有效内容进行编码，编码应连续（每卷从001开始），无漏码、跳码、重码、错码的现象出现。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档案纸张的正面页码编在右上角，反面页码编在左上角，A3幅面的折成可展开的再编在右上角。</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实物档案页码标注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①在档案扫描前的拆分、整理工作中，要对实物档案所标注的页码进行核实，如有缺页的情况应及时告知市准处窗口工作人员。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②用铅笔在每一页档案上以件为单位顺序标注页码，防止漏扫现象的发生。如第一件的第一页标注为(1、1)，如此类推。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（3）技术加工：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内部审批表等重要材料，有用纸不规则、破损、卷角和折皱等情况的，要进行剪裁、裱糊、包边等技术加工，以延长档案文件材料的保存寿命。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破损严重、无法直接进行扫描的档案，我们将进行必要的技术修复。此修复一定要在泰州市数据局相关人员技术指导下进行，在不损坏原档的基础上进行修复工作，对折皱不平影响扫描质量的原件进行相对应的平整处理（如压平或烫平），后期方便进行扫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应加强纸质档案数字化各环节的安全保密管理机制，确保档案原件和档案信息的安全，在档案整理过程中，要严格遵守档案保密规定，对涉及机密或敏感信息的档案，需采取加密处理措施，防止信息泄露。</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5.档案的编号及档案盒脊背的填写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（1）档案的编号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档案编号的构成：档案号、统一社会信用代码号、注册号三级代码构成。①档案号（由13位阿拉伯数字组成）；②统一社会信用代码（18位字母+阿拉伯数字）；③注册号（由15位阿拉伯数字组成）。</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档案编号的要求：①确保唯一性，一企一档，一档一号，不得重复；②用耐久字迹（碳素、蓝黑墨水等）规范填写在档案盒脊背的指定位置，可用标签打印直接粘贴到档案盒脊背上。</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档案号是江苏省市场主体登记注册综合管理平台自动赋予，如上架遇到不同企业出现同一档案号，要在档案盒脊背上标注企业名称以作区分，且及时记录，报给800系统，申请人工协助修改档案号。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（2）档案盒脊背的填写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企业档案有新增设立时，需要折叠新的档案盒，且档案盒脊背横向填写档号，填写时要求字迹清晰耐久、书写端正、整齐美观。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6.填写案卷封面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案卷封面内容包括：卷内文件题名、卷内文件起止日期、卷内页数、保管期限、立档单位名称、归档号。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卷内文件题名又称案卷标题，用以概括和揭示卷内文件的内容和成分，是识别、检索文件的重要标记，也是编制各种检索工具的重要依据。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具体内容包括：</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（1）卷内文件起止日期：卷内文件形成的最早日期和最后的日期。</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（2）卷内（件）页数：填写卷内文件总件数、总页数。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（3）保管期限：填写为该卷划定的保管期限。根据《社会保险业务档案归档范围和保管期限》要求填写。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（4）立档单位：泰州市数据局。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（5）编写档号：归档号是江苏省市场主体登记注册综合管理平台自动赋予档案实体的一组位置号或存址号，档号是档案实体最基础的秩序编号，在档案管理中扮演着至关重要的角色。</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7.档案还库</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企业档案扫描结束后，档案归还由专人负责，并做好相应的记录，并且与市准处窗口人员做好交接工作。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（1）安排好档案归还时间，不占用或延迟档案室工作人员的时间。归还档案时，做好相关记录。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（2）档案归还需要清点档案号、档案份数、每份档案的盒数、卷数，及时发现问题及时解决或者记录在案，并由档案室负责人认可签字。</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（3）严格填写档案交接表，并且有双方负责人的签字、签字时间。保证一式两份，档案制作中心和市准处窗口各保留一份。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（4）档案清点后，需小心搬移，保证档案的完整性、正确性和完好性，有规律有次序地搬运档案并上架到指定位置。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8.装盒</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档案入库完毕后，新增设立要及时装入盒内，一般使用6公分规格的档案盒，根据组卷厚度装入若干卷/件装订好的档案。按照档案号顺序分别装盒，不得混装。按照装盒案卷填写盒脊的相关内容，按照档案库房整体布局及区域划分情况确定上架原则及时上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类别的档案（变更、注吊销、股权出质、法院冻结、警示等纸质企业档案）应按照档案号进行排序，随后插入到原企业档案对应的档案号盒中，装盒时一定要注意不能插错，不得混装。以确保企业档案的完整性和延续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装盒过程中，需确保档案盒质量符合标准，无破损、变形等情况。装盒时，要注意档案的排列顺序，保持与档案号顺序一致，便于后续的查找和管理；装盒完成后，要进行再次检查，确保档案无遗漏、无错装等情况。</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装盒原则：每个档案盒内可根据案卷厚度装卷，当一盒不够装卷时，可再增加一盒再装卷，并做好标注。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9.入库上架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（1）根据库房资料和中长期档案入库数量，规划库房区位资源，制作库区分配图。规划确定后，要按照确定的规划做好标识，为上架准备。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（2）新增设立档案完成装盒后，进行档案号从小到大排序，按盒号编排顺序上架摆放。</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（3）企业档案因延续性而产生的变更、注销、吊销、股权出质、法院冻结、警示等纸质档案，在装盒上架时务必注意，切勿插错位置。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20.3.2.10.企业登记注册综合管理平台运维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江苏省市场监管局登记注册系统运维工作有关事项的通知》和《关于共同承担江苏省市场监管局登记注册系统运维费用的通知》，对江苏省企业登记综合管理平台开展运维，并安排一名工程师驻场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其中，驻场工程师服务下述工作：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信息安全服务，包括安全巡检、安全加固、渗透测试、安全风险评估、应急保障等服务。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数据服务，包括数据采集、数据加工、数据维护等服务。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信息化系统保障服务，包括故障处理、部署拓展、应急保障等服务。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20.3.2.11.泰州市电子证照系统能力优化及运维</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2.11.1部门进驻登记及实施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（1）部门接入初始化技术实施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进行部门接入初始化配置实施，协助部门开展部门接入登记、管理账户激活和部门用户管理。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进行证照定义机构登记与维护：添加国家、省级证照定义机构信息，以及按照国家下发、省级发布的机构信息，更新维护证照定义机构字典表，保持与国家、省级要求一致。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（2）部门机构证书技术配置</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进行部门机构证书的技术配置实施，协助部门进行数字证书申办和电子印章加载。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（3）部门业务证书技术配置</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进行部门业务证书的技术配置实施，协助部门进行数字证书申办和电子印章加载。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（4）部门权责事项初始化配置</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进行部门权责事项导入和初始化配置，保持与本级政府发布的权责清单同步更新。</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2.11.2</w:t>
      </w:r>
      <w:r>
        <w:rPr>
          <w:rFonts w:ascii="FangSong" w:hAnsi="FangSong" w:eastAsia="FangSong" w:cs="FangSong"/>
          <w:color w:val="000000"/>
          <w:sz w:val="28"/>
        </w:rPr>
        <w:t xml:space="preserve">证照种类目录管理技术实施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依据《电子证照目录信息规范》（GB∕T 36902-2018）的要求，结合江苏省电子证照目录的建设需要，编制新版证照目录调查表。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根据采集的电子证照目录资料，对部门填写的证照调查表中各字段内容进行逐项核实，并进行标准化、规范化整理，形成电子证照目录调查表终稿。</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（1）数据项配置映射技术实施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根据部门登记的电子证照目录基本信息、模板和样例制定数据标准，将数据项配置映射到照面上，并根据部门要求设置证照样式、签发部门和签发所用电子印章。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（2）电子证照目录变更技术实施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提供电子证照目录注册、模板配置、目录数据项、模板、样式、签发部门变更等技术服务。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基于国标的江苏省电子证照标准进行电子证照模板配置，包括照面信息配置（正反面）、副本信息配置、模板底图制作、电子证照模板目录登记等，证照模板配置符合国家和江苏省关于电子证照标准的要求，包括字段中文名称、字段英文名称、字体大小、字体格式、文字位置、印章大小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在模板配置过程中同步制定元数据及照面信息XML结构，电子证照生成时按此XML结构规范封装结构化数据，满足机读要求。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（3）应开通电子证照范围管理技术实施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对单位提交的证照类型信息、模板信息、其他信息进行审核、发布。审核信息的正确性、规范性。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（4）数据标准技术实施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整理数据标准，用于部门确认和部门业务系统对接联调。要根据《全国一体化在线政务服务平台-电子证照》标准化文件要求，统一电子证照标准。</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2.11.3</w:t>
      </w:r>
      <w:r>
        <w:rPr>
          <w:rFonts w:ascii="FangSong" w:hAnsi="FangSong" w:eastAsia="FangSong" w:cs="FangSong"/>
          <w:color w:val="000000"/>
          <w:sz w:val="28"/>
        </w:rPr>
        <w:t xml:space="preserve">业务应用系统接入实施</w:t>
        <w:tab/>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（1）接入环境检测</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提供部门接入、密钥接入的联调测试及配置管理的技术服务，确保符合技术规范要求，提供JAVA版本demo程序用于部门业务系统开发商接口开发参考。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（2）业务应用系统接入联调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提供电子证照接口规范、数据标准、实施规范等开发技术支持，并协助部门业务系统开发商进行数据格式确认和制证效果确认。分别在测试环境和正式环境中进行联调，确保接入流程和结果证照正常。</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（3）系统对接实施配置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系统对接实施配置。泰州市电子证照系统按照全省统一的数据标准和技术规范，推进与本地业务系统对接实施配置，提供已对接业务系统电子证照服务的省市互联，确保全省电子证照跨地区、跨部门互认通行。</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2.11.4</w:t>
      </w:r>
      <w:r>
        <w:rPr>
          <w:rFonts w:ascii="FangSong" w:hAnsi="FangSong" w:eastAsia="FangSong" w:cs="FangSong"/>
          <w:color w:val="000000"/>
          <w:sz w:val="28"/>
        </w:rPr>
        <w:t xml:space="preserve">电子证照制证签发实施</w:t>
        <w:tab/>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（1）制证对接联调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国家和省级的电子证照建设规范、电子证照跨域共享规范，依托江苏省统建的电子证照管理系统，汇聚泰州市电子证照数据。完成电子证照系统与本期新增业务应用系统制证联调，实现电子证照制证结果接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（2）制证业务审核</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指导各业务部门办理电子证照接入登记，完成成员单位的电子证照登记备案，新建成员单位电子证照目录，开设电子证照成员单位责任人和技术实施责任人账号。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（3）发证配置技术实施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根据国家标准规范和行业标准，基于泰州市应用和业务系统梳理结果，使用省统建的电子证照管理系统，完成泰州市电子证照生成工作，实现电子证照与纸质证照的同步签发。</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部门发证开通申请，完成发证过程中电子证照发证关系、发证上下文、电子印章绑定等配置、部门发证开通信息核验等实施工作。依托全省统一电子证照共享库管理平台，将本期所有满足回流条件的省级证照入库本地电子证照平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（4）制证业务梳理及流程再造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根据各业务部门提供的表格模板上传证照签发所需的证照信息、印章编码、证照元数据等内容，提供常态化数据规整服务，以满足入库标准。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（5）证照目录梳理及技术实施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按照电子证照数据标准梳理各分类证照主题，包括证照的照面图片。对泰州市证照基于原有已实施证照文件基础上，持续完善证照质量管理服务和版式文件元数据等质检服务。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（6）存量纸质证照电子化</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①从现有信息系统采集数据信息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数据采集基于电子证照系统实现，系统提供Web服务模式、数据库抽取模式、接口控件模式三种可选的采集流程来满足各种各样的用户需求：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接口控件模式：部门业务生产系统采用紧耦合方式调用数据接口控件实现数据采集，将控件嵌入在参建部门业务生产系统中，参建部门业务生产系统直接与控件的交互API进行交互。</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数据库抽取模式：部门业务生产系统采用开放数据库表结构方式，数据库抽取工具将访问数据库获取数据库表结构的基本属性值，从而获取相应的数据信息。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Web服务模式：业务生产系统直接访问管理系统提供数据采集WEB服务，利用Web Service技术，导出相应的数据信息，形成规范的XML文件进行提交。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②存量证照档案数据整理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各部门安排整理存量证照数据，包括WORD、EXCLE格式电子文档和纸质证照扫描件图像，进行存量证照的数字化。</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存量数据整理是指部门机要人员对纸质证照和电子形态两种存量证照数据进行档案整理，并根据各类电子证照照面内容汇总表格填充照面信息，生成规范化的excel格式数据。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部门存量证照数据档案整理及数字化后，通过电子证照系统，进行数据抽取规则配置，并通过数据上传导入功能上传证照照面数据Excel文档，实现从Excel数据源中批量抽取电子证照数据并入库。证照数据抽取入库后，依托电子证照系统实现电子证照生成。</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2.11.5</w:t>
      </w:r>
      <w:r>
        <w:rPr>
          <w:rFonts w:ascii="FangSong" w:hAnsi="FangSong" w:eastAsia="FangSong" w:cs="FangSong"/>
          <w:color w:val="000000"/>
          <w:sz w:val="28"/>
        </w:rPr>
        <w:t xml:space="preserve">事项用证服务技术实施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（1）用证对接联调</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紧密配合业务部门开展市级业务部门电子证照应用调研工作，并配合完成业务系统对接工作，实现证照共享应用。完成电子证照系统与本期新增业务应用系统的用证联调，支撑各系统对电子证照的调用。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（2）用证服务开通技术实施</w:t>
        <w:tab/>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指导业务部门办理服务事项使用电子证照的业务登记，审核接入资格和提交材料，完成成员单位的服务事项登记备案。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（3）事项用证配置技术实施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实施根据部门事项用证开通申请，完成事项用证过程中电子证照事项用证关系、用证上下文等配置、部门事项用证开通信息核验等实施工作。</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2.11.6</w:t>
      </w:r>
      <w:r>
        <w:rPr>
          <w:rFonts w:ascii="FangSong" w:hAnsi="FangSong" w:eastAsia="FangSong" w:cs="FangSong"/>
          <w:color w:val="000000"/>
          <w:sz w:val="28"/>
        </w:rPr>
        <w:t xml:space="preserve">基础运行实施工作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（1）配置证照目录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配置新增证照目录，进行证照目录管理，旧证照目录调整版本。</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（2）数据整理导入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整理证照数据，部分数据整理成excel文件格式，一部分可以通过数据导入进入证照系统，另一部分通过前置机方式编写代码进行抓取。</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（3）业务用证系统对接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对接新增加的业务用证系统，收到相关业务处室对接申请后，进行账号权限分配。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（4）事项用证申请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定期需要将新增加的用证申请通过工单形式提交至省证照平台。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（5）异常数据处理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在收到省证照平台反馈的异常数据后，需要主动联系各区县部门人员进行督促整改，并将整改完数据重新推送至省证照平台。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（6）证照数据统计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根据业务处室要求，定期统计证照汇集情况及证照应用情况，并对各部门进行考核。</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2.11.7</w:t>
      </w:r>
      <w:r>
        <w:rPr>
          <w:rFonts w:ascii="FangSong" w:hAnsi="FangSong" w:eastAsia="FangSong" w:cs="FangSong"/>
          <w:color w:val="000000"/>
          <w:sz w:val="28"/>
        </w:rPr>
        <w:t xml:space="preserve">电子证照周期考核实施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省里下发的证照制发任务清单要求，定期按照相关电子证照的制发标准、信息要素等规定关键内容，协调涉及的证照相关部门，在系统内完成数据归集、证照生成与签章后，进行证照数据上报；并根据反馈结果对存在问题的证照进行问题排查、反馈给证照相关部门、待信息补充完整后，按时完成重新上报。</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2.11.8</w:t>
      </w:r>
      <w:r>
        <w:rPr>
          <w:rFonts w:ascii="FangSong" w:hAnsi="FangSong" w:eastAsia="FangSong" w:cs="FangSong"/>
          <w:color w:val="000000"/>
          <w:sz w:val="28"/>
        </w:rPr>
        <w:t xml:space="preserve">证照纠错及过期提醒</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提供全流程的电子证照问题纠错管理功能，支持多渠道问题登记，提供接收、流转、分发、处理与反馈功能，对缺失证照、信息错误、证照过期等各类申诉数据进行集中管理，提供跨系统的纠错服务。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企业/群众发现电子证照缺失、信息错误或证照过期等问题，自主通过泰州市政务服务网、苏服办APP登记证照问题申诉单；企业/群众在线下政务大厅办事，政府部门工作人员发现电子证照数据问题发起登记。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申诉单接收后分发流转至相应的证照签发部门，工作人员对证照数据进行核验，纠错处理，并把最终处理结果反馈给申诉登记人员。</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2.11.9</w:t>
      </w:r>
      <w:r>
        <w:rPr>
          <w:rFonts w:ascii="FangSong" w:hAnsi="FangSong" w:eastAsia="FangSong" w:cs="FangSong"/>
          <w:color w:val="000000"/>
          <w:sz w:val="28"/>
        </w:rPr>
        <w:t xml:space="preserve">用户体系对接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①用户体系对接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推进泰州市电子证照综合管理系统与泰州市公共数据平台的用户体系深度对接，实现系统间用户身份信息的互联互通与单点登录功能。对接后，用户无需从电子证照管理系统进行登录，统一通过泰州市公共数据平台提供的登录页面完成身份验证（包括账号密码登录、验证码登录、第三方授权登录等平台支持的登录方式），验证通过后可直接跳转至电子证照管理系统首页，无需重复登录，提升用户操作便捷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②页面风格统一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照泰州市公共数据平台的视觉规范对电子证照管理系统页面进行全面改造，包括页面布局、色彩搭配、图标样式、字体字号等，确保电子证照管理系统与公共数据平台在视觉风格上保持一致，形成统一的政务服务平台视觉体验，增强用户对系统的辨识度和信任感。</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2.11.10</w:t>
      </w:r>
      <w:r>
        <w:rPr>
          <w:rFonts w:ascii="FangSong" w:hAnsi="FangSong" w:eastAsia="FangSong" w:cs="FangSong"/>
          <w:color w:val="000000"/>
          <w:sz w:val="28"/>
        </w:rPr>
        <w:t xml:space="preserve">无数据上报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泰州市电子证照管理系统中新增无数据上报功能模块，满足部分管理部门在特定周期内无相关证照数据可归集时的上报需求。用户登录系统后，在无数据上报模块中可查看江苏省下发的电子证照任务清单目录，用户可根据本部门实际情况，勾选无数据的证照目录进行上报操作。无数据上报周期默认设定为 1 年，用户需在周期截止前完成上报；上报过程中，系统会要求用户上传无数据证明文件（支持 PDF、JPG 等常见格式，文件大小不超过 5MB），证明文件需包含部门名称、无数据证照目录范围、无数据原因说明、部门盖章及日期等核心内容，确保上报信息</w:t>
      </w:r>
      <w:r>
        <w:rPr>
          <w:rFonts w:ascii="FangSong" w:hAnsi="FangSong" w:eastAsia="FangSong" w:cs="FangSong"/>
          <w:color w:val="000000"/>
          <w:sz w:val="28"/>
        </w:rPr>
        <w:t xml:space="preserve">的真实性和规范性。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自动对各部门的无数据上报记录进行统计分析，生成统计报表（包括无数据证照目录、未按时上报部门名单、证明文件上传情况等），支持按部门、按时间周期（月、季、年）进行筛选查询，统计结果可导出为 Excel 格式，便于管理人员进行监管和数据留存。</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2.11.11</w:t>
      </w:r>
      <w:r>
        <w:rPr>
          <w:rFonts w:ascii="FangSong" w:hAnsi="FangSong" w:eastAsia="FangSong" w:cs="FangSong"/>
          <w:color w:val="000000"/>
          <w:sz w:val="28"/>
        </w:rPr>
        <w:t xml:space="preserve">运维时间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提供1年的平台运维保障服务。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提供7*24小时的技术支持服务，包含电话咨询、远程维护等。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运维服务期提供故障处理服务、缺陷管理、系统漏洞处理、质量管控、技术支持、用户培训、应用系统升级服务、日常巡检与安全保障服务、应急处理等服务，提供7×24小时质保处理响应。</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2.11.12</w:t>
      </w:r>
      <w:r>
        <w:rPr>
          <w:rFonts w:ascii="FangSong" w:hAnsi="FangSong" w:eastAsia="FangSong" w:cs="FangSong"/>
          <w:color w:val="000000"/>
          <w:sz w:val="28"/>
        </w:rPr>
        <w:t xml:space="preserve">运维服务方案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1.故障处理服务。故障处理服务是在平台出现运行故障或不稳定情况下，及时发现故障，并安排专业维护人员进行处理。保证7×24小时的电话受理服务，服务响应时间小于1小时。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缺陷管理。缺陷管理是平台软件产品生命周期中识别、管理、沟通任何缺陷的过程（从缺陷的识别到缺陷的解决），平台的应用活动涉及子系统和应用类型众多，通过完善的缺陷管理过程，确保缺陷被跟踪管理而不丢失，进行产品缺陷分析、修改缺陷、审核、验证测试，直至更正或修补完善所有缺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3.系统漏洞处理。系统漏洞处理是指每月对平台的应用系统进行安全漏洞扫描，如发现新的安全隐患及安全漏洞，由维护人员对漏洞进行修复，并将扫描结果及处理结果向甲方报备。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4.质量管控。制定质量管控计划，定期进行质量评审、质量管控检查，持续改进服务质量。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5.技术支持。操作人员在使用各系统的过程中遇到问题，及时通过电话、QQ、邮件、传真等方式进行技术支持服务；保证7×24小时的电话受理服务；服务响应时间小于1小时。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6.用户培训、对相关人员进行培训，并提供所需的培训资料；各业务系统建成后对技术人员进行技术培训，帮助相关技术人员熟悉软件的各项功能及具体操作方式。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日常巡检与安全保障服务。安排专门工程师对系统提供每周至少一次的巡检服务，在国家法定节假日期间，再安排一次巡检，并在重大事件期间，加大监控力度，保证平台的安全性、稳定性，防止平台被攻击被篡改。按时根据当期的巡检质量目标，严格进行产品质量巡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8.应急处理。应急处理是指在维护期内，对于系统的突发紧急故障，我方在接到通知后1小时内做出回应，2小时之内到达现场处理，并启动应急预案。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20.3.2.12.大厅智能化运维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该服务包含</w:t>
      </w:r>
      <w:r>
        <w:rPr>
          <w:rFonts w:ascii="FangSong" w:hAnsi="FangSong" w:eastAsia="FangSong" w:cs="FangSong"/>
          <w:color w:val="000000"/>
          <w:sz w:val="28"/>
          <w:u w:val="none"/>
        </w:rPr>
        <w:t xml:space="preserve">：泰州市数据局“三个免于提交”证明系统维护服务；泰州市公安局出入境排队取号调整；与“泰政通”平台pc、App组织认证、消息对接；取号机识别电子营业执照二维码，省税务取叫号系统对接等服务事项。</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20.3.2.13.政务服务自助一体机软件系统和大厅排队取号软件系统运维</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1运维目标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本次项目软件运维方面对政务服务自助一体机软件系统和大厅排队取号软件系统进行运行维护，确保软件系统正常运行。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（1）安全性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确保系统能够正常访问；确保系统功能应用正常，并能够提供正常的服务。确保数据库中的信息跟系统中的信息一致；确保数据库数据正确，不被非法破坏，并且及时做数据库备份，当意外发生时，系统能够及时、完全恢复；未经许可，不得将平台数据泄漏给其他个人或组织；由专人负责，保证数据的安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（2）稳定性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故障发生时应及时处理，一般故障应在2小时内解决，重大故障应在8小时内解决，并做好各项应急准备。监控系统访问速度，如访问有延迟，及时查找原因，及时解决；监控系统应用情况，对影响应用性能方面因素及时预警，及时解决。</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2服务要求</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1.服务内容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提供软件的维护，包括软件本身的数据整理、与系统软件适配的调整，确保服务范围内的系统正常运行。</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2.软件修复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遇到软件功能缺失时要及时进行修复，如因工作需要对软件功能进行提升，对有缺陷的功能进行调整时，要及时完成相关调整工作。在保证工作人员正常使用的情况下，及时对缺失的功能和需要调整的功能进行调整。</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3.数据操作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人员要定期对服务器的操作系统补丁升级、数据进行备份、软件系统的移机、数据的灾难恢复，如果出现数据丢失的情况，运维人员要协助恢复数据，如因运维人员的缘故造成数据丢失且无法恢复的要进行赔偿责任。</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4.定期巡检</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维护公司需安排专人负责系统维护；如服务工程师因特殊情况无法及时处理，则先以电话沟通，得到项目负责人同意后可稍后处理。且每周实行5*8小时（每周5天，每天8小时）免费电话技术支持，一般故障1小时，特殊故障3小时解决。</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3技术方案</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1.服务流程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系统出现问题时，由工作人员对运维人员进行呼叫，运维人员对呼叫作出回应，在规定的时间内给出解决方案。如出现重大问题，要在3小时内给出解决方案。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每次出现问题，运维人员要对问题发生的原因进行登记，在分析问题类型后对问题进行操作处理，处理结束后反馈处理结果，并且在维护记录表做记录。</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2.运维服务方法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提供系统的服务器巡检，查看各应用服务器的状态，查看服务器是否处于宕机状态，如系统服务器进入宕机状态要及时进行解决。</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3.日常运维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系统日常巡检是对系统进行检查，及时发现各种设备以及软件可能出现的隐患，减少软件发生故障的概率，保证系统的稳定运行。因此会有专业的运维人员负责一般故障的排除，保障软件日常运行工作。</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4.保障措施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障措施是为了避免软件运行中出现故障的保证措施，对数据进行排查、定期备份，对系统进行定期的更新。运维人员在符合管理规定的情况下要定期对软件进行巡检，每次的巡检要进行相关的出入登记并对每次的巡检进行记录。</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5.管理制度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为加强软件的运维管理，确保软件能够平稳、可靠地运行，更好地为客户提供管理服务，运维人员要遵守相关的制度。</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6. 应急处理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软件运行期间遇到各种突发性事件，如火灾、洪水、黑客攻击，根据不同的情况采取不同的措施，确保信息资源不被泄露以及数据的完整性。</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7.黑客攻击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及时了解对方攻击手段，从而采取不同的措施。一般采用措施为：关闭服务器或运行的软件，从网络上断开系统，修改防火墙和路由器的过滤规则，封锁或删除被攻破的登录账号，阻断可疑用户进入网络的通路，提高系统或网络行为的监控级别。</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8.灾祸问题</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软件因为设备故障、人为错误停电、火灾、雷击导致系统崩溃或运行速度下降，导致重大灾害事件，运维人员通过不同的方式获知故障发生原因，根据相关紧急预案对紧急事件进行管控处理。运维人员针对不同情况协助工作人员进行重建。</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20.3.2.14.政务服务相关硬件运维</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1运维目标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项目对以下硬件进行维护：16台32寸排队取号机、16台公共广播功放、1台无人值守工作台、2台42寸卧式综合查询机、221台高拍仪、2台自助打印扩展终端、1台自助智能存取扩展终端、16台广播叫号终端、16个多媒体高清播放盒、2台49寸卧式楼层引导机、1台公共广播控制主机、16台分区信息显示屏、43台自助服务终端、1台自助智能存取终端、40个智能读卡器、2台桌面双屏取号一体机、16个显示屏落地支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通过运维单位的运维服务体系，提供硬件设备的定期巡检、预警信息及时传达，第一时间排查故障并解决，保证硬件设备正常运行。通过建设运维保障服务实现以下目标：</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快响应</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硬件设备出现故障时，现场网点工作人员或群众可通过多种渠道反馈设备故障问题，运维人员进行简单沟通后，定性问题，能简单快速处理的直接处理，若无法处理由运维人员远程处理，如果2小时内无法解决，则安排运维人员上门解决问题。</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迅速排查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运维人员根据反馈的问题，迅速调取该硬件设备的历史日志，进行综合分析，排查问题点。</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速解决</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运维人员根据排查确认的问题点提供解决方案，确保硬件设备能够快速地恢复正常使用。</w:t>
      </w:r>
      <w:r/>
    </w:p>
    <w:p>
      <w:pPr>
        <w:numPr>
          <w:ilvl w:val="0"/>
          <w:numId w:val="6"/>
        </w:numPr>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优总结</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硬件设备出现的问题进行充分总结，及时把总结报告反馈给泰州市数据局。同时分析该问题是否存在批量隐患，如有则安排批量处理机制；在运维监控平台上设置该问题预警点进行监测，避免后期相关问题重复出现。</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2服务要求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总体要求：保障本次硬件运维项目所包含的硬件设备的系统运行稳定，快速反馈硬件设备使用人员提出的问题并及时解决，迅速响应群众诉求，提高群众使用的满意度，实现服务周期内无投诉无差评的目标。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保证硬件设备业务系统的安全和可靠运行。包括硬件设备系统的可靠运行和业务数据的安全保证，运维单位需动用一切有效的措施手段，力求硬件设备正常运行万无一失</w:t>
      </w:r>
      <w:r>
        <w:rPr>
          <w:rFonts w:ascii="FangSong" w:hAnsi="FangSong" w:eastAsia="FangSong" w:cs="FangSong"/>
          <w:color w:val="000000"/>
          <w:sz w:val="28"/>
        </w:rPr>
        <w:t xml:space="preserve">。 </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3技术方案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1.组建专业的运维服务团队，提供5*8小时专业运维团队人工服务，设备非工作日期间出现问题，如有必要需到现场进行处理；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2.重大问题4小时内到达设备网点现场，到达现场后2小时内修复；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3.如遇问题不能在3天内修复的情况，提供备机。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主要维护硬件设备所含各项软件功能以及各项设备硬件设施的供电、外设是否正常工作，设备网络如出现异常（联系点位负责人进行处理），并建立设备维护记录。服务内容主要包括设备的运维保障、定期巡检、用户培训、推广宣传、设备迁移以及运维团队等服务内容。</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4运维保障服务</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（1）问题反馈服务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提供多种渠道的问题反馈方式，包括：微信问题反馈群、定期巡检人员问题反馈等。保证硬件设备一旦出现问题能够及时扎口问题、快速解决问题。</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微信专用群服务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本项目的设备运维服务，方便后期运维沟通，建立一个或多个专用的设备问题反馈的微信群，网点的工作人员在发现设备问题时，可以第一时间反馈在群里面（5分钟之内有运维人员进行回复），由运维人员安排解决处理，保障设备的正常运行。</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定期巡检服务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每个季度派遣运维人员对硬件设备进行巡检，确保所有机器巡检全覆盖，运维人员在巡检过程中，遇到的设备问题需及时解决。</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（2）问题处理服务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收到问题反馈后，根据问题内容进行处理，及时解决设备问题，保证设备正常运行。问题处理服务主要包括远程帮办服务、故障处理服务。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当工作人员无法快速按照运维人员的指导对设备进行问题排查时，运维人员通过远程帮办服务，快速远程目标设备，迅速定位问题（常规问题10分钟内），快速解决问题（常规问题30分钟内），大大提高问题的处理效率，提升用户满意度。</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w:t>
      </w:r>
      <w:r>
        <w:rPr>
          <w:rFonts w:ascii="FangSong" w:hAnsi="FangSong" w:eastAsia="FangSong" w:cs="FangSong"/>
          <w:b/>
          <w:color w:val="000000"/>
          <w:sz w:val="28"/>
        </w:rPr>
        <w:t xml:space="preserve">3）服务保障内容</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硬件维护服务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硬件维护服务主要包括设备保养、部件更换以及备用设备等服务，满足设备基本维护功能。</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设备保养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对硬件设备进行定期保养，包括服务设备内部清洁，零部件完整性，电线电缆安全性等，对可能存在的故障风险提前排查处理，从而延长设备的使用周期及稳定性运行时间。</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备用设备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提供备用设备服务，如遇问题不能在3天内修复的情况，提供备机保障正常工作运行。</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咨询服务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运维单位提供设备安装调试时所需的相关资料以及相关技术支撑服务，包括技术咨询、业务咨询等。在设备安装和系统调测期间，派出运维人员现场进行指导。</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（4）工作职责</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为保证现场设备的运维质量，运维人员工作职责要求如下：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能够处理硬件设备相关基本问题；</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对设备的日常保养，同时处理泰州市数据局交代的其他日常事情；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负责对设备的周期检查工作。</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20.3.2.15.长三角跨省通办虚拟窗口服务</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1点位接入工作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针对泰州市跨省通办点位接入进行相应点位调试，确保泰州市可顺利接入长三角跨省通办平台，进行事项的全流程办理。</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2设备调试工作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维护符合长三角跨省通办要求的双屏一体机，保障设备正常运行。</w:t>
      </w:r>
      <w:r/>
    </w:p>
    <w:p>
      <w:pPr>
        <w:ind w:left="0" w:right="0" w:firstLine="562"/>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3问题答复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针对长三角跨省通办建设过程中出现的问题，给予详细的问题解答与帮助，保障长三角跨省通办虚拟窗口正常运行。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20.3.2.16.政务服务大厅、办公楼机房安全及网络运维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1.服务器、存储、网络和安全等硬件设备的日常预防性维护巡检、故障诊断、备件更换、设备运行性能监控等。提供各类设备和模块的固件、微码和补丁升级服务、配置建议等技术服务；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系统软件进行日常预防性维护检查，包括操作系统、集群软件、虚拟化软件、数据库软件等，对系统运行日志进行分析，发现潜在系统故障。对各类软件提供软件升级、补丁安装、参数和配置调整、性能监控和优化等技术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3.对系统网络连通性、网络质量、稳定性和可靠性进行日常预防性检查和检测，对网络拓扑、网络路由、有效流量进行追踪监测，及时优化网络运行参数。</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4.对服务器等软硬件平台提供安全加固服务，预防层出不穷的安全攻击行为。监测网络或系统中发生的病毒或黑客攻击等安全事件，进行定位、防护、排除等动作，保护核心系统的安全运行。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5.根据设备和系统情况，采用针对性的预防性维护工具和预防性维护流程，通过软硬件系统的检查，及时查找、发现系统隐患，排除故障。巡检完成后，填写巡检单，将维护轨迹形成文档。</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故障处理分为日常故障处理和紧急故障处理，日常故障处理是指一般性的维修，例如我方在巡检过程中发现的问题，不影响业务的正常运行；紧急故障处理指系统或设备出现重大故障，影响业务的正常运行，需立即修复。根据相应的服务级别和故障处理流程进行响应，故障处理结束后出具故障处理报告，分析故障发生的原因，并为预防下次故障隐患提供解决方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7.根据设备运行现状和响应时间要求，建立一定数量的易坏易损备件库。</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8.重大活动和节日期间服务，组织保障人员预先检查相关软硬件是否正常工作，做好备份工作，在活动和节日期间相应值班人员按应急预案立即响应。</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9．运维过程的记录和文档，提交巡检报告、故障处理报告、配置变更记录、问题总结和性能优化建议报告等工作报告。</w:t>
      </w:r>
      <w:r/>
    </w:p>
    <w:p>
      <w:pPr>
        <w:ind w:left="709" w:right="0" w:hanging="709"/>
        <w:jc w:val="center"/>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服务大厅、办公楼机房安全及网络运维维保清单</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093"/>
        <w:gridCol w:w="2187"/>
        <w:gridCol w:w="1093"/>
        <w:gridCol w:w="2187"/>
        <w:gridCol w:w="1230"/>
        <w:gridCol w:w="885"/>
      </w:tblGrid>
      <w:tr>
        <w:trPr>
          <w:trHeight w:val="2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设备厂商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响应级别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数量</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H3C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H3C S7006X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核心交换机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H3C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S7506X-S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汇聚交换机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H3C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S6520X-30QC-EI</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H3C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S5130S-28P-EI</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华为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S5735-S</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网络设备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POE接入交换机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10口POE交换机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防火墙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深信服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AF1000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防火墙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H3C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F1000-AK135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上网行为管理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深信服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深信服 AC1000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入侵防御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深信服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IPS1000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安管一体机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H3C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SecCenterX6010-E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虚拟化服务器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H3C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R4208 G5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20.3.2.17.泰州市城市智能门户监测检测服务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通过开展泰州通、苏服办泰州旗舰店和江苏政务服务网泰州旗舰店常态化监测工作，加强日常监测和年度总结分析，对自查发现的问题及时督促整改，确保“苏服办”App和江苏政务服务网泰州旗舰店健康、有序、高效运行，助力提升政府形象和公共服务效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1服务需求和服务内容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监测对象为泰州通、苏服办泰州旗舰店和江苏政务服务网泰州旗舰店。</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2服务要求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需参照《政府网站与政务新媒体检查指标》和《政府网站与政务新媒体监管工作年度考核指标》以及江苏省政府相关考核指标要求，开展泰州通、苏服办泰州旗舰店和江苏政务服务网泰州旗舰店监测工作。详细要求如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月开展监测服务，对泰州通、苏服办泰州旗舰店和江苏政务服务网泰州旗舰店出具监测服务报告，共计出具12次报告，监测范围包括但不限于功能可用性、错别字、敏感词、办事指南完整性以及错链死链等。服务报告需详细记录问题原因，包括问题截图、问题分析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由于该监测检测工作可能会涉及用户隐私信息，为了确保数据安全，监测检测过程中使用的移动终端、便携式设备需要经过甲方备案确认，并在甲方指定地点开展监测检测工作。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3整改技术指导</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泰州通、苏服办泰州旗舰店和江苏政务服务网泰州旗舰店自查整改阶段，由供应商通过远程方式进行答疑和技术指导；对于需要采购方处理的技术问题，及时报告并全程提供技术配合与支持工作。除此之外，需要针对上级下发的监测问题提供整改技术指导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4项目成果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《泰州市城市智能门户月度监测报告》（共12期）</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20.3.2.18.泰州市数字资产管理平台升级运维服务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运维服务一部分针对现在资源申请流程中的政务云申请新增云资源目录及申请页面并调整现有申请流程，同时对政务云资源关闭申请进行优化。另一部分针对完成升级优化后的泰州市数字资产管理平台开展全生命周期常态化保障工作，涵盖后台服务常态化监测、系统功能常态化验证、系统服务器实时监控、数字资产全流程运维管控。提供7×24小时应急响应、故障处置、版本适配、问题整改等专项服务，持续巩固平台升级优化成效，保障升级后平台高效、安全、合规、稳定常态化运行。为系统提供维护和技术支持服务，建立用户反馈机制，及时收集和处理用户在使用过</w:t>
      </w:r>
      <w:r>
        <w:rPr>
          <w:rFonts w:ascii="FangSong" w:hAnsi="FangSong" w:eastAsia="FangSong" w:cs="FangSong"/>
          <w:color w:val="000000"/>
          <w:sz w:val="28"/>
        </w:rPr>
        <w:t xml:space="preserve">程中的问题和建议。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1优化内容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1.政务综合云服务申请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复用原有申请资料填写模板，调整上传附件模板。调整申请审批流程。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2.XC云服务申请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复用政务综合云服务申请资料填写模板，调整上传附件模板。调整申请审批流程。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3.政务综合云视频接入申请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新增模板，新增项目要求、资源描述、等保等级网络需求等。调整申请审批流程。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4.政务综合云算力申请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新增模板，新增项目要求、资源描述、等保等级、应用模式、模型描述、应用访问估量平均、网络需求等。调整申请审批流程。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5.综合政务云资源关闭申请</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基于原有的资源释放调整复用新增附件上传等。调整关闭审批流程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2服务要求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针对数字资产管理平台的升级优化、流程改造、新增业务流程，开展常态化功能运维、性能运维、问题运维、适配运维，保障各系统迭代功能稳定可用、业务流程顺畅。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针对平台升级模块提供专项技术支撑，专人负责应用注册、信息变更、升级申请全流程故障处置，校验开发商账号绑定、申请表单自动生成、应用预览地址生成等功能；及时修复信息校验失败、附件上传异常、申请单号重复等问题，保障应用全生命周期线上闭环办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持续维护与省 “苏政源” 平台的数据、页面、功能集成链路，实时监测系统、数据、项目、基础设施等七类资源台账同步状态；出现数据断流、页面加载异常、流程对接失败，快速定位接口、传输协议问题，保障省市资源互通、台账数据实时一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同步保障 PC 端多浏览器、移动端网页稳定访问，适配不同终端分辨率，修复页面错位、通知推送失效、移动端审批提交失败等适配类故障。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4名驻场运维人员：1、为数据管理人员、系统操作员、业务负责人提供培训资料和操作手册，为用户讲解系统功能、审批操作流程及注意事项。2、全程负责升级后平台的常态化技术支撑，及时处置升级功能运行异常、业务适配问题、资源申请流程流转异常，保障各类升级优化功能、新增流程正常落地使用。收集用户在使用过程中的意见。3、配合各部门完成升级后业务系统应用编目、资源申请/释放、资产资料信息常态化治理等落地工作。主要基于资源编目、运营日志等数据资源，实现资源编目规范审核、跨系统对账、统计分析等数字化运营功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3运维要求</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平台基于 Linux、Java8、MySQL、Redis、Elasticsearch、OSS、微服务架构搭建，运维人员定期巡检服务器负载、内存、磁盘、网络链路状态；定期核查数据库索引、数据表分区、集群运行状态，优化缓存策略、消息队列、数据总线配置，定期清理冗余日志与无效缓存，保障查询、增删改操作响应时长达标。</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实时监控并发访问、接口响应时长，出现访问卡顿、检索超时等问题第一时间开展流量控制、负载均衡调优；根据部门业务峰值需求提供弹性扩容支撑，支撑分布式部署扩展，满足不断增长的用户与数据体量。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依托 OSS 对象存储管理附件、应用预览资源，定期校验文件完整性；制定日增量、周全量备份策略，备份数据异地留存，定期开展恢复演练，应对硬件故障、病毒、断电等场景下的数据丢失风险。</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提供系统维护和技术支持服务，包括定期更新、故障排除和性能优化。建立用户反馈机制，及时收集和处理用户在使用过程中的问题和建议。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在100M局域网环境下进行增、删、改业务（不含大对象数据类型）响应时间≤3s（200个并发用户）；在100M局域网环境下查询操作响应时间≤2s（200个并发用户）；系统支持同时在线用户数≥2000，并发用户数≥200；平台支持分布式部署，并能通过扩展服务器达到无限用户数的性能要求；查询各类信息（精确匹配）的响应时间≤3s（200个并发用户）；目录检索的响应时间≤3s（200个并发用户）。</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系统提供7*24小时的连续运行，平均年故障时间≤1天，平均系统恢复时间≤30分钟；</w:t>
      </w:r>
      <w:r/>
    </w:p>
    <w:p>
      <w:pPr>
        <w:ind w:left="0" w:right="0" w:firstLine="640"/>
        <w:spacing w:before="0" w:after="0" w:line="58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20.4.服务预算</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2"/>
        <w:gridCol w:w="5365"/>
        <w:gridCol w:w="2712"/>
      </w:tblGrid>
      <w:tr>
        <w:trPr>
          <w:trHeight w:val="5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金额（万元）</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泰州市统一电子印章系统及适配平台运维服务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数据局内部项目等保测评服务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19.6</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泰州市级短信平台服务费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房地产行政许可综合服务系统运维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数字身份码运维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14.5</w:t>
            </w:r>
            <w:r/>
          </w:p>
        </w:tc>
      </w:tr>
      <w:tr>
        <w:trPr>
          <w:trHeight w:val="5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项目管理系统运维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营业执照一体机运维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企业登记档案数字化服务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企业档案整理、上架入库服务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企业登记注册综合管理平台运维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泰州市电子证照系统能力优化及运维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大厅智能化运维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政务服务自助一体机软件系统和大厅排队取号软件系统运维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11.9</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政务服务相关硬件运维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长三角跨省通办虚拟窗口服务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办公楼机房安全及网络运维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泰州市城市智能门户监测检测服务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65" w:type="dxa"/>
            <w:vAlign w:val="center"/>
            <w:textDirection w:val="lrTb"/>
            <w:noWrap w:val="false"/>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泰州市数字资产管理平台升级运维服务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64.9</w:t>
            </w:r>
            <w:r/>
          </w:p>
        </w:tc>
      </w:tr>
      <w:tr>
        <w:trPr>
          <w:trHeight w:val="5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37"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2"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320</w:t>
            </w:r>
            <w:r/>
          </w:p>
        </w:tc>
      </w:tr>
    </w:tbl>
    <w:p>
      <w:pPr>
        <w:ind w:left="0" w:right="0"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br w:type="page" w:clear="all"/>
      </w:r>
      <w:r/>
    </w:p>
    <w:p>
      <w:pPr>
        <w:pStyle w:val="12"/>
        <w:numPr>
          <w:ilvl w:val="0"/>
          <w:numId w:val="6"/>
        </w:numPr>
        <w:jc w:val="center"/>
        <w:spacing w:before="214" w:after="214"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预算组成</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9"/>
        <w:gridCol w:w="6580"/>
        <w:gridCol w:w="1605"/>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tcPr>
          <w:p>
            <w:pPr>
              <w:ind w:left="0" w:right="0" w:firstLine="624"/>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预算金额</w:t>
            </w:r>
            <w:r/>
          </w:p>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（万元）</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市委政法委市域社会治理现代化指挥平台三期（</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市城管局城市运行管理平台升级（</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118</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市教育局阳光招生平台升级（</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市司法局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泰</w:t>
            </w:r>
            <w:r>
              <w:rPr>
                <w:rFonts w:ascii="Times New Roman" w:hAnsi="Times New Roman" w:eastAsia="Times New Roman" w:cs="Times New Roman"/>
                <w:color w:val="000000"/>
                <w:sz w:val="28"/>
              </w:rPr>
              <w:t xml:space="preserve">E</w:t>
            </w:r>
            <w:r>
              <w:rPr>
                <w:rFonts w:ascii="FangSong" w:hAnsi="FangSong" w:eastAsia="FangSong" w:cs="FangSong"/>
                <w:color w:val="000000"/>
                <w:sz w:val="28"/>
              </w:rPr>
              <w:t xml:space="preserve">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合法性审查应用系统（</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市住建局“智慧住建”政务信息化平台升级（</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市急救中心智慧急救系统升级（</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市卫健委健康泰州数字化能力提升工程升级（</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市退役军人事务局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四全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服务智能支持保障系统（</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市应急局智慧应急综合管理平台升级优化（</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94</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市国资国企在线监管平台升级改造（</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市公共资源交易平台升级改造（</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市政务服务一体化平台（</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市企业全生命周期管理服务平台服务（</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市网络和公共数据安全服务（</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485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市一网统管城市运行指标（</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市级智慧门户购买服务（</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480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市公共数据服务（</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560</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市发改委公共信用信息平台运维（</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市卫健委医疗电子票据系统运维（</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80" w:type="dxa"/>
            <w:vAlign w:val="center"/>
            <w:textDirection w:val="lrTb"/>
            <w:noWrap w:val="false"/>
          </w:tcPr>
          <w:p>
            <w:pPr>
              <w:ind w:left="0" w:right="0" w:firstLine="0"/>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数字泰州综合运维（</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320</w:t>
            </w:r>
            <w:r/>
          </w:p>
        </w:tc>
      </w:tr>
      <w:tr>
        <w:trPr>
          <w:trHeight w:val="3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9"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5" w:type="dxa"/>
            <w:vAlign w:val="center"/>
            <w:textDirection w:val="lrTb"/>
            <w:noWrap/>
          </w:tcPr>
          <w:p>
            <w:pPr>
              <w:ind w:left="0" w:right="0" w:firstLine="0"/>
              <w:jc w:val="center"/>
              <w:spacing w:before="0" w:after="0" w:line="5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3552</w:t>
            </w:r>
            <w:r/>
          </w:p>
        </w:tc>
      </w:tr>
    </w:tbl>
    <w:p>
      <w:pPr>
        <w:ind w:left="0" w:right="0" w:firstLine="0"/>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12"/>
        <w:numPr>
          <w:ilvl w:val="0"/>
          <w:numId w:val="6"/>
        </w:numPr>
        <w:jc w:val="center"/>
        <w:spacing w:before="214" w:after="214"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付款方式</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自合同生效之日起，甲方收到乙方提供有效的票据后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日内，支付合同总价的</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合同签订后第</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个月甲方根据服务情况组织阶段性验收（不少于</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个服务），完成验收后，支付合同总价的</w:t>
      </w:r>
      <w:r>
        <w:rPr>
          <w:rFonts w:ascii="Times New Roman" w:hAnsi="Times New Roman" w:eastAsia="Times New Roman" w:cs="Times New Roman"/>
          <w:color w:val="000000"/>
          <w:sz w:val="28"/>
        </w:rPr>
        <w:t xml:space="preserve">45%</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合同到期前</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日内，甲方组织剩余服务验收，完成验收后，支付合同总价的</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本合同项下的合同价款在乙方符合付款条件，并向甲方提供合法有效票据后，由甲方支付，否则甲方有权拒绝或者延迟支付相应款项。因财政相关原因不能及时支付相应款项的，可以延期付款，甲方不构成违约。</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12"/>
        <w:numPr>
          <w:ilvl w:val="0"/>
          <w:numId w:val="6"/>
        </w:numPr>
        <w:jc w:val="center"/>
        <w:spacing w:before="214" w:after="214"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履行期限、地点</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履行期限：合同生效之日起一年。</w:t>
      </w:r>
      <w:r/>
    </w:p>
    <w:p>
      <w:pPr>
        <w:ind w:left="0" w:right="0" w:firstLine="560"/>
        <w:jc w:val="both"/>
        <w:spacing w:before="0" w:after="0" w:line="559" w:lineRule="atLeast"/>
        <w:tabs>
          <w:tab w:val="left" w:pos="210" w:leader="none"/>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履行地点：泰州市。</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24"/>
        <w:jc w:val="both"/>
        <w:spacing w:before="0" w:after="0" w:line="58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pStyle w:val="676"/>
        <w:rPr>
          <w:rFonts w:hint="eastAsia" w:ascii="宋体" w:hAnsi="宋体"/>
          <w:sz w:val="24"/>
          <w:szCs w:val="21"/>
        </w:rPr>
      </w:pPr>
      <w:r/>
      <w:bookmarkStart w:id="201" w:name="_Hlt26609389"/>
      <w:r/>
      <w:bookmarkEnd w:id="201"/>
      <w:r/>
      <w:bookmarkStart w:id="202" w:name="_Hlt26955066"/>
      <w:r/>
      <w:bookmarkEnd w:id="202"/>
      <w:r/>
      <w:bookmarkStart w:id="203" w:name="_Hlt26671374"/>
      <w:r/>
      <w:bookmarkEnd w:id="203"/>
      <w: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FangSong">
    <w:panose1 w:val="02010609060101010101"/>
  </w:font>
  <w:font w:name="Showcard Gothic">
    <w:panose1 w:val="04020904020102020604"/>
  </w:font>
  <w:font w:name="Segoe UI">
    <w:panose1 w:val="020B0502040204020203"/>
  </w:font>
  <w:font w:name="KaiTi">
    <w:panose1 w:val="02010609060101010101"/>
  </w:font>
  <w:font w:name="Symbol">
    <w:panose1 w:val="05050102010706020507"/>
  </w:font>
  <w:font w:name="Wingdings">
    <w:panose1 w:val="05000000000000000000"/>
  </w:font>
  <w:font w:name="汉鼎简仿宋">
    <w:panose1 w:val="020B0503020202020204"/>
  </w:font>
  <w:font w:name="仿宋">
    <w:panose1 w:val="02010609060101010101"/>
  </w:font>
  <w:font w:name="方正黑体_GBK">
    <w:panose1 w:val="020B0503020202020204"/>
  </w:font>
  <w:font w:name="方正仿宋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6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67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rPr>
        <w:rStyle w:val="750"/>
      </w:rPr>
    </w:r>
    <w:r/>
  </w:p>
  <w:p>
    <w:pPr>
      <w:pStyle w:val="7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7"/>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6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4"/>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1284" w:hanging="1284"/>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6">
    <w:multiLevelType w:val="hybridMultilevel"/>
    <w:lvl w:ilvl="0">
      <w:start w:val="1"/>
      <w:numFmt w:val="bullet"/>
      <w:isLgl w:val="false"/>
      <w:suff w:val="tab"/>
      <w:lvlText w:val="&quot;&quot;"/>
      <w:lvlJc w:val="left"/>
      <w:pPr>
        <w:ind w:left="1000" w:hanging="440"/>
      </w:pPr>
      <w:rPr>
        <w:rFonts w:hint="default" w:ascii="Wingdings" w:hAnsi="Wingdings" w:eastAsia="Wingdings" w:cs="Wingdings"/>
      </w:rPr>
    </w:lvl>
    <w:lvl w:ilvl="1">
      <w:start w:val="1"/>
      <w:numFmt w:val="bullet"/>
      <w:isLgl w:val="false"/>
      <w:suff w:val="tab"/>
      <w:lvlText w:val="&quot;&quot;"/>
      <w:lvlJc w:val="left"/>
      <w:pPr>
        <w:ind w:left="1440" w:hanging="440"/>
      </w:pPr>
      <w:rPr>
        <w:rFonts w:hint="default" w:ascii="Wingdings" w:hAnsi="Wingdings" w:eastAsia="Wingdings" w:cs="Wingdings"/>
      </w:rPr>
    </w:lvl>
    <w:lvl w:ilvl="2">
      <w:start w:val="1"/>
      <w:numFmt w:val="bullet"/>
      <w:isLgl w:val="false"/>
      <w:suff w:val="tab"/>
      <w:lvlText w:val="&quot;&quot;"/>
      <w:lvlJc w:val="left"/>
      <w:pPr>
        <w:ind w:left="1880" w:hanging="440"/>
      </w:pPr>
      <w:rPr>
        <w:rFonts w:hint="default" w:ascii="Wingdings" w:hAnsi="Wingdings" w:eastAsia="Wingdings" w:cs="Wingdings"/>
      </w:rPr>
    </w:lvl>
    <w:lvl w:ilvl="3">
      <w:start w:val="1"/>
      <w:numFmt w:val="bullet"/>
      <w:isLgl w:val="false"/>
      <w:suff w:val="tab"/>
      <w:lvlText w:val="&quot;&quot;"/>
      <w:lvlJc w:val="left"/>
      <w:pPr>
        <w:ind w:left="2320" w:hanging="440"/>
      </w:pPr>
      <w:rPr>
        <w:rFonts w:hint="default" w:ascii="Wingdings" w:hAnsi="Wingdings" w:eastAsia="Wingdings" w:cs="Wingdings"/>
      </w:rPr>
    </w:lvl>
    <w:lvl w:ilvl="4">
      <w:start w:val="1"/>
      <w:numFmt w:val="bullet"/>
      <w:isLgl w:val="false"/>
      <w:suff w:val="tab"/>
      <w:lvlText w:val="&quot;&quot;"/>
      <w:lvlJc w:val="left"/>
      <w:pPr>
        <w:ind w:left="2760" w:hanging="440"/>
      </w:pPr>
      <w:rPr>
        <w:rFonts w:hint="default" w:ascii="Wingdings" w:hAnsi="Wingdings" w:eastAsia="Wingdings" w:cs="Wingdings"/>
      </w:rPr>
    </w:lvl>
    <w:lvl w:ilvl="5">
      <w:start w:val="1"/>
      <w:numFmt w:val="bullet"/>
      <w:isLgl w:val="false"/>
      <w:suff w:val="tab"/>
      <w:lvlText w:val="&quot;&quot;"/>
      <w:lvlJc w:val="left"/>
      <w:pPr>
        <w:ind w:left="3200" w:hanging="440"/>
      </w:pPr>
      <w:rPr>
        <w:rFonts w:hint="default" w:ascii="Wingdings" w:hAnsi="Wingdings" w:eastAsia="Wingdings" w:cs="Wingdings"/>
      </w:rPr>
    </w:lvl>
    <w:lvl w:ilvl="6">
      <w:start w:val="1"/>
      <w:numFmt w:val="bullet"/>
      <w:isLgl w:val="false"/>
      <w:suff w:val="tab"/>
      <w:lvlText w:val="&quot;&quot;"/>
      <w:lvlJc w:val="left"/>
      <w:pPr>
        <w:ind w:left="3640" w:hanging="440"/>
      </w:pPr>
      <w:rPr>
        <w:rFonts w:hint="default" w:ascii="Wingdings" w:hAnsi="Wingdings" w:eastAsia="Wingdings" w:cs="Wingdings"/>
      </w:rPr>
    </w:lvl>
    <w:lvl w:ilvl="7">
      <w:start w:val="1"/>
      <w:numFmt w:val="bullet"/>
      <w:isLgl w:val="false"/>
      <w:suff w:val="tab"/>
      <w:lvlText w:val="&quot;&quot;"/>
      <w:lvlJc w:val="left"/>
      <w:pPr>
        <w:ind w:left="4080" w:hanging="440"/>
      </w:pPr>
      <w:rPr>
        <w:rFonts w:hint="default" w:ascii="Wingdings" w:hAnsi="Wingdings" w:eastAsia="Wingdings" w:cs="Wingdings"/>
      </w:rPr>
    </w:lvl>
    <w:lvl w:ilvl="8">
      <w:start w:val="1"/>
      <w:numFmt w:val="bullet"/>
      <w:isLgl w:val="false"/>
      <w:suff w:val="tab"/>
      <w:lvlText w:val="&quot;&quot;"/>
      <w:lvlJc w:val="left"/>
      <w:pPr>
        <w:ind w:left="4520" w:hanging="44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80" w:hanging="480"/>
      </w:pPr>
    </w:lvl>
    <w:lvl w:ilvl="1">
      <w:start w:val="1"/>
      <w:numFmt w:val="decimal"/>
      <w:isLgl w:val="false"/>
      <w:suff w:val="tab"/>
      <w:lvlText w:val="%2."/>
      <w:lvlJc w:val="left"/>
      <w:pPr>
        <w:ind w:left="1200" w:hanging="480"/>
      </w:pPr>
    </w:lvl>
    <w:lvl w:ilvl="2">
      <w:start w:val="1"/>
      <w:numFmt w:val="decimal"/>
      <w:isLgl w:val="false"/>
      <w:suff w:val="tab"/>
      <w:lvlText w:val="%3."/>
      <w:lvlJc w:val="left"/>
      <w:pPr>
        <w:ind w:left="1920" w:hanging="480"/>
      </w:pPr>
    </w:lvl>
    <w:lvl w:ilvl="3">
      <w:start w:val="1"/>
      <w:numFmt w:val="decimal"/>
      <w:isLgl w:val="false"/>
      <w:suff w:val="tab"/>
      <w:lvlText w:val="%4."/>
      <w:lvlJc w:val="left"/>
      <w:pPr>
        <w:ind w:left="2640" w:hanging="480"/>
      </w:pPr>
    </w:lvl>
    <w:lvl w:ilvl="4">
      <w:start w:val="1"/>
      <w:numFmt w:val="decimal"/>
      <w:isLgl w:val="false"/>
      <w:suff w:val="tab"/>
      <w:lvlText w:val="%5."/>
      <w:lvlJc w:val="left"/>
      <w:pPr>
        <w:ind w:left="3360" w:hanging="480"/>
      </w:pPr>
    </w:lvl>
    <w:lvl w:ilvl="5">
      <w:start w:val="1"/>
      <w:numFmt w:val="decimal"/>
      <w:isLgl w:val="false"/>
      <w:suff w:val="tab"/>
      <w:lvlText w:val="%6."/>
      <w:lvlJc w:val="left"/>
      <w:pPr>
        <w:ind w:left="4080" w:hanging="480"/>
      </w:pPr>
    </w:lvl>
    <w:lvl w:ilvl="6">
      <w:start w:val="1"/>
      <w:numFmt w:val="decimal"/>
      <w:isLgl w:val="false"/>
      <w:suff w:val="tab"/>
      <w:lvlText w:val="%7."/>
      <w:lvlJc w:val="left"/>
      <w:pPr>
        <w:ind w:left="4800" w:hanging="480"/>
      </w:pPr>
    </w:lvl>
    <w:lvl w:ilvl="7">
      <w:start w:val="1"/>
      <w:numFmt w:val="decimal"/>
      <w:isLgl w:val="false"/>
      <w:suff w:val="tab"/>
      <w:lvlText w:val="%8."/>
      <w:lvlJc w:val="left"/>
      <w:pPr>
        <w:ind w:left="5520" w:hanging="480"/>
      </w:pPr>
    </w:lvl>
    <w:lvl w:ilvl="8">
      <w:start w:val="1"/>
      <w:numFmt w:val="decimal"/>
      <w:isLgl w:val="false"/>
      <w:suff w:val="tab"/>
      <w:lvlText w:val="%9."/>
      <w:lvlJc w:val="left"/>
      <w:pPr>
        <w:ind w:left="6240" w:hanging="480"/>
      </w:p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quot;&quot;"/>
      <w:lvlJc w:val="left"/>
      <w:pPr>
        <w:ind w:left="1000" w:hanging="440"/>
      </w:pPr>
      <w:rPr>
        <w:rFonts w:hint="default" w:ascii="Wingdings" w:hAnsi="Wingdings" w:eastAsia="Wingdings" w:cs="Wingdings"/>
      </w:rPr>
    </w:lvl>
    <w:lvl w:ilvl="1">
      <w:start w:val="1"/>
      <w:numFmt w:val="bullet"/>
      <w:isLgl w:val="false"/>
      <w:suff w:val="tab"/>
      <w:lvlText w:val="&quot;&quot;"/>
      <w:lvlJc w:val="left"/>
      <w:pPr>
        <w:ind w:left="1440" w:hanging="440"/>
      </w:pPr>
      <w:rPr>
        <w:rFonts w:hint="default" w:ascii="Wingdings" w:hAnsi="Wingdings" w:eastAsia="Wingdings" w:cs="Wingdings"/>
      </w:rPr>
    </w:lvl>
    <w:lvl w:ilvl="2">
      <w:start w:val="1"/>
      <w:numFmt w:val="bullet"/>
      <w:isLgl w:val="false"/>
      <w:suff w:val="tab"/>
      <w:lvlText w:val="&quot;&quot;"/>
      <w:lvlJc w:val="left"/>
      <w:pPr>
        <w:ind w:left="1880" w:hanging="440"/>
      </w:pPr>
      <w:rPr>
        <w:rFonts w:hint="default" w:ascii="Wingdings" w:hAnsi="Wingdings" w:eastAsia="Wingdings" w:cs="Wingdings"/>
      </w:rPr>
    </w:lvl>
    <w:lvl w:ilvl="3">
      <w:start w:val="1"/>
      <w:numFmt w:val="bullet"/>
      <w:isLgl w:val="false"/>
      <w:suff w:val="tab"/>
      <w:lvlText w:val="&quot;&quot;"/>
      <w:lvlJc w:val="left"/>
      <w:pPr>
        <w:ind w:left="2320" w:hanging="440"/>
      </w:pPr>
      <w:rPr>
        <w:rFonts w:hint="default" w:ascii="Wingdings" w:hAnsi="Wingdings" w:eastAsia="Wingdings" w:cs="Wingdings"/>
      </w:rPr>
    </w:lvl>
    <w:lvl w:ilvl="4">
      <w:start w:val="1"/>
      <w:numFmt w:val="bullet"/>
      <w:isLgl w:val="false"/>
      <w:suff w:val="tab"/>
      <w:lvlText w:val="&quot;&quot;"/>
      <w:lvlJc w:val="left"/>
      <w:pPr>
        <w:ind w:left="2760" w:hanging="440"/>
      </w:pPr>
      <w:rPr>
        <w:rFonts w:hint="default" w:ascii="Wingdings" w:hAnsi="Wingdings" w:eastAsia="Wingdings" w:cs="Wingdings"/>
      </w:rPr>
    </w:lvl>
    <w:lvl w:ilvl="5">
      <w:start w:val="1"/>
      <w:numFmt w:val="bullet"/>
      <w:isLgl w:val="false"/>
      <w:suff w:val="tab"/>
      <w:lvlText w:val="&quot;&quot;"/>
      <w:lvlJc w:val="left"/>
      <w:pPr>
        <w:ind w:left="3200" w:hanging="440"/>
      </w:pPr>
      <w:rPr>
        <w:rFonts w:hint="default" w:ascii="Wingdings" w:hAnsi="Wingdings" w:eastAsia="Wingdings" w:cs="Wingdings"/>
      </w:rPr>
    </w:lvl>
    <w:lvl w:ilvl="6">
      <w:start w:val="1"/>
      <w:numFmt w:val="bullet"/>
      <w:isLgl w:val="false"/>
      <w:suff w:val="tab"/>
      <w:lvlText w:val="&quot;&quot;"/>
      <w:lvlJc w:val="left"/>
      <w:pPr>
        <w:ind w:left="3640" w:hanging="440"/>
      </w:pPr>
      <w:rPr>
        <w:rFonts w:hint="default" w:ascii="Wingdings" w:hAnsi="Wingdings" w:eastAsia="Wingdings" w:cs="Wingdings"/>
      </w:rPr>
    </w:lvl>
    <w:lvl w:ilvl="7">
      <w:start w:val="1"/>
      <w:numFmt w:val="bullet"/>
      <w:isLgl w:val="false"/>
      <w:suff w:val="tab"/>
      <w:lvlText w:val="&quot;&quot;"/>
      <w:lvlJc w:val="left"/>
      <w:pPr>
        <w:ind w:left="4080" w:hanging="440"/>
      </w:pPr>
      <w:rPr>
        <w:rFonts w:hint="default" w:ascii="Wingdings" w:hAnsi="Wingdings" w:eastAsia="Wingdings" w:cs="Wingdings"/>
      </w:rPr>
    </w:lvl>
    <w:lvl w:ilvl="8">
      <w:start w:val="1"/>
      <w:numFmt w:val="bullet"/>
      <w:isLgl w:val="false"/>
      <w:suff w:val="tab"/>
      <w:lvlText w:val="&quot;&quot;"/>
      <w:lvlJc w:val="left"/>
      <w:pPr>
        <w:ind w:left="4520" w:hanging="440"/>
      </w:pPr>
      <w:rPr>
        <w:rFonts w:hint="default" w:ascii="Wingdings" w:hAnsi="Wingdings" w:eastAsia="Wingdings" w:cs="Wingdings"/>
      </w:rPr>
    </w:lvl>
  </w:abstractNum>
  <w:abstractNum w:abstractNumId="10">
    <w:multiLevelType w:val="hybridMultilevel"/>
    <w:lvl w:ilvl="0">
      <w:start w:val="1"/>
      <w:numFmt w:val="bullet"/>
      <w:isLgl w:val="false"/>
      <w:suff w:val="tab"/>
      <w:lvlText w:val="&quot;&quot;"/>
      <w:lvlJc w:val="left"/>
      <w:pPr>
        <w:ind w:left="1000" w:hanging="440"/>
      </w:pPr>
      <w:rPr>
        <w:rFonts w:hint="default" w:ascii="Wingdings" w:hAnsi="Wingdings" w:eastAsia="Wingdings" w:cs="Wingdings"/>
      </w:rPr>
    </w:lvl>
    <w:lvl w:ilvl="1">
      <w:start w:val="1"/>
      <w:numFmt w:val="bullet"/>
      <w:isLgl w:val="false"/>
      <w:suff w:val="tab"/>
      <w:lvlText w:val="&quot;&quot;"/>
      <w:lvlJc w:val="left"/>
      <w:pPr>
        <w:ind w:left="1440" w:hanging="440"/>
      </w:pPr>
      <w:rPr>
        <w:rFonts w:hint="default" w:ascii="Wingdings" w:hAnsi="Wingdings" w:eastAsia="Wingdings" w:cs="Wingdings"/>
      </w:rPr>
    </w:lvl>
    <w:lvl w:ilvl="2">
      <w:start w:val="1"/>
      <w:numFmt w:val="bullet"/>
      <w:isLgl w:val="false"/>
      <w:suff w:val="tab"/>
      <w:lvlText w:val="&quot;&quot;"/>
      <w:lvlJc w:val="left"/>
      <w:pPr>
        <w:ind w:left="1880" w:hanging="440"/>
      </w:pPr>
      <w:rPr>
        <w:rFonts w:hint="default" w:ascii="Wingdings" w:hAnsi="Wingdings" w:eastAsia="Wingdings" w:cs="Wingdings"/>
      </w:rPr>
    </w:lvl>
    <w:lvl w:ilvl="3">
      <w:start w:val="1"/>
      <w:numFmt w:val="bullet"/>
      <w:isLgl w:val="false"/>
      <w:suff w:val="tab"/>
      <w:lvlText w:val="&quot;&quot;"/>
      <w:lvlJc w:val="left"/>
      <w:pPr>
        <w:ind w:left="2320" w:hanging="440"/>
      </w:pPr>
      <w:rPr>
        <w:rFonts w:hint="default" w:ascii="Wingdings" w:hAnsi="Wingdings" w:eastAsia="Wingdings" w:cs="Wingdings"/>
      </w:rPr>
    </w:lvl>
    <w:lvl w:ilvl="4">
      <w:start w:val="1"/>
      <w:numFmt w:val="bullet"/>
      <w:isLgl w:val="false"/>
      <w:suff w:val="tab"/>
      <w:lvlText w:val="&quot;&quot;"/>
      <w:lvlJc w:val="left"/>
      <w:pPr>
        <w:ind w:left="2760" w:hanging="440"/>
      </w:pPr>
      <w:rPr>
        <w:rFonts w:hint="default" w:ascii="Wingdings" w:hAnsi="Wingdings" w:eastAsia="Wingdings" w:cs="Wingdings"/>
      </w:rPr>
    </w:lvl>
    <w:lvl w:ilvl="5">
      <w:start w:val="1"/>
      <w:numFmt w:val="bullet"/>
      <w:isLgl w:val="false"/>
      <w:suff w:val="tab"/>
      <w:lvlText w:val="&quot;&quot;"/>
      <w:lvlJc w:val="left"/>
      <w:pPr>
        <w:ind w:left="3200" w:hanging="440"/>
      </w:pPr>
      <w:rPr>
        <w:rFonts w:hint="default" w:ascii="Wingdings" w:hAnsi="Wingdings" w:eastAsia="Wingdings" w:cs="Wingdings"/>
      </w:rPr>
    </w:lvl>
    <w:lvl w:ilvl="6">
      <w:start w:val="1"/>
      <w:numFmt w:val="bullet"/>
      <w:isLgl w:val="false"/>
      <w:suff w:val="tab"/>
      <w:lvlText w:val="&quot;&quot;"/>
      <w:lvlJc w:val="left"/>
      <w:pPr>
        <w:ind w:left="3640" w:hanging="440"/>
      </w:pPr>
      <w:rPr>
        <w:rFonts w:hint="default" w:ascii="Wingdings" w:hAnsi="Wingdings" w:eastAsia="Wingdings" w:cs="Wingdings"/>
      </w:rPr>
    </w:lvl>
    <w:lvl w:ilvl="7">
      <w:start w:val="1"/>
      <w:numFmt w:val="bullet"/>
      <w:isLgl w:val="false"/>
      <w:suff w:val="tab"/>
      <w:lvlText w:val="&quot;&quot;"/>
      <w:lvlJc w:val="left"/>
      <w:pPr>
        <w:ind w:left="4080" w:hanging="440"/>
      </w:pPr>
      <w:rPr>
        <w:rFonts w:hint="default" w:ascii="Wingdings" w:hAnsi="Wingdings" w:eastAsia="Wingdings" w:cs="Wingdings"/>
      </w:rPr>
    </w:lvl>
    <w:lvl w:ilvl="8">
      <w:start w:val="1"/>
      <w:numFmt w:val="bullet"/>
      <w:isLgl w:val="false"/>
      <w:suff w:val="tab"/>
      <w:lvlText w:val="&quot;&quot;"/>
      <w:lvlJc w:val="left"/>
      <w:pPr>
        <w:ind w:left="4520" w:hanging="440"/>
      </w:pPr>
      <w:rPr>
        <w:rFonts w:hint="default" w:ascii="Wingdings" w:hAnsi="Wingdings" w:eastAsia="Wingdings" w:cs="Wingdings"/>
      </w:rPr>
    </w:lvl>
  </w:abstractNum>
  <w:abstractNum w:abstractNumId="11">
    <w:multiLevelType w:val="hybridMultilevel"/>
    <w:lvl w:ilvl="0">
      <w:start w:val="1"/>
      <w:numFmt w:val="bullet"/>
      <w:isLgl w:val="false"/>
      <w:suff w:val="tab"/>
      <w:lvlText w:val="&quot;&quot;"/>
      <w:lvlJc w:val="left"/>
      <w:pPr>
        <w:ind w:left="1000" w:hanging="440"/>
      </w:pPr>
      <w:rPr>
        <w:rFonts w:hint="default" w:ascii="Wingdings" w:hAnsi="Wingdings" w:eastAsia="Wingdings" w:cs="Wingdings"/>
      </w:rPr>
    </w:lvl>
    <w:lvl w:ilvl="1">
      <w:start w:val="1"/>
      <w:numFmt w:val="bullet"/>
      <w:isLgl w:val="false"/>
      <w:suff w:val="tab"/>
      <w:lvlText w:val="&quot;&quot;"/>
      <w:lvlJc w:val="left"/>
      <w:pPr>
        <w:ind w:left="1440" w:hanging="440"/>
      </w:pPr>
      <w:rPr>
        <w:rFonts w:hint="default" w:ascii="Wingdings" w:hAnsi="Wingdings" w:eastAsia="Wingdings" w:cs="Wingdings"/>
      </w:rPr>
    </w:lvl>
    <w:lvl w:ilvl="2">
      <w:start w:val="1"/>
      <w:numFmt w:val="bullet"/>
      <w:isLgl w:val="false"/>
      <w:suff w:val="tab"/>
      <w:lvlText w:val="&quot;&quot;"/>
      <w:lvlJc w:val="left"/>
      <w:pPr>
        <w:ind w:left="1880" w:hanging="440"/>
      </w:pPr>
      <w:rPr>
        <w:rFonts w:hint="default" w:ascii="Wingdings" w:hAnsi="Wingdings" w:eastAsia="Wingdings" w:cs="Wingdings"/>
      </w:rPr>
    </w:lvl>
    <w:lvl w:ilvl="3">
      <w:start w:val="1"/>
      <w:numFmt w:val="bullet"/>
      <w:isLgl w:val="false"/>
      <w:suff w:val="tab"/>
      <w:lvlText w:val="&quot;&quot;"/>
      <w:lvlJc w:val="left"/>
      <w:pPr>
        <w:ind w:left="2320" w:hanging="440"/>
      </w:pPr>
      <w:rPr>
        <w:rFonts w:hint="default" w:ascii="Wingdings" w:hAnsi="Wingdings" w:eastAsia="Wingdings" w:cs="Wingdings"/>
      </w:rPr>
    </w:lvl>
    <w:lvl w:ilvl="4">
      <w:start w:val="1"/>
      <w:numFmt w:val="bullet"/>
      <w:isLgl w:val="false"/>
      <w:suff w:val="tab"/>
      <w:lvlText w:val="&quot;&quot;"/>
      <w:lvlJc w:val="left"/>
      <w:pPr>
        <w:ind w:left="2760" w:hanging="440"/>
      </w:pPr>
      <w:rPr>
        <w:rFonts w:hint="default" w:ascii="Wingdings" w:hAnsi="Wingdings" w:eastAsia="Wingdings" w:cs="Wingdings"/>
      </w:rPr>
    </w:lvl>
    <w:lvl w:ilvl="5">
      <w:start w:val="1"/>
      <w:numFmt w:val="bullet"/>
      <w:isLgl w:val="false"/>
      <w:suff w:val="tab"/>
      <w:lvlText w:val="&quot;&quot;"/>
      <w:lvlJc w:val="left"/>
      <w:pPr>
        <w:ind w:left="3200" w:hanging="440"/>
      </w:pPr>
      <w:rPr>
        <w:rFonts w:hint="default" w:ascii="Wingdings" w:hAnsi="Wingdings" w:eastAsia="Wingdings" w:cs="Wingdings"/>
      </w:rPr>
    </w:lvl>
    <w:lvl w:ilvl="6">
      <w:start w:val="1"/>
      <w:numFmt w:val="bullet"/>
      <w:isLgl w:val="false"/>
      <w:suff w:val="tab"/>
      <w:lvlText w:val="&quot;&quot;"/>
      <w:lvlJc w:val="left"/>
      <w:pPr>
        <w:ind w:left="3640" w:hanging="440"/>
      </w:pPr>
      <w:rPr>
        <w:rFonts w:hint="default" w:ascii="Wingdings" w:hAnsi="Wingdings" w:eastAsia="Wingdings" w:cs="Wingdings"/>
      </w:rPr>
    </w:lvl>
    <w:lvl w:ilvl="7">
      <w:start w:val="1"/>
      <w:numFmt w:val="bullet"/>
      <w:isLgl w:val="false"/>
      <w:suff w:val="tab"/>
      <w:lvlText w:val="&quot;&quot;"/>
      <w:lvlJc w:val="left"/>
      <w:pPr>
        <w:ind w:left="4080" w:hanging="440"/>
      </w:pPr>
      <w:rPr>
        <w:rFonts w:hint="default" w:ascii="Wingdings" w:hAnsi="Wingdings" w:eastAsia="Wingdings" w:cs="Wingdings"/>
      </w:rPr>
    </w:lvl>
    <w:lvl w:ilvl="8">
      <w:start w:val="1"/>
      <w:numFmt w:val="bullet"/>
      <w:isLgl w:val="false"/>
      <w:suff w:val="tab"/>
      <w:lvlText w:val="&quot;&quot;"/>
      <w:lvlJc w:val="left"/>
      <w:pPr>
        <w:ind w:left="4520" w:hanging="440"/>
      </w:pPr>
      <w:rPr>
        <w:rFonts w:hint="default" w:ascii="Wingdings" w:hAnsi="Wingdings" w:eastAsia="Wingdings" w:cs="Wingdings"/>
      </w:rPr>
    </w:lvl>
  </w:abstractNum>
  <w:abstractNum w:abstractNumId="12">
    <w:multiLevelType w:val="hybridMultilevel"/>
    <w:lvl w:ilvl="0">
      <w:start w:val="1"/>
      <w:numFmt w:val="bullet"/>
      <w:isLgl w:val="false"/>
      <w:suff w:val="tab"/>
      <w:lvlText w:val="&quot;&quot;"/>
      <w:lvlJc w:val="left"/>
      <w:pPr>
        <w:ind w:left="1000" w:hanging="440"/>
      </w:pPr>
      <w:rPr>
        <w:rFonts w:hint="default" w:ascii="Wingdings" w:hAnsi="Wingdings" w:eastAsia="Wingdings" w:cs="Wingdings"/>
      </w:rPr>
    </w:lvl>
    <w:lvl w:ilvl="1">
      <w:start w:val="1"/>
      <w:numFmt w:val="bullet"/>
      <w:isLgl w:val="false"/>
      <w:suff w:val="tab"/>
      <w:lvlText w:val="&quot;&quot;"/>
      <w:lvlJc w:val="left"/>
      <w:pPr>
        <w:ind w:left="1440" w:hanging="440"/>
      </w:pPr>
      <w:rPr>
        <w:rFonts w:hint="default" w:ascii="Wingdings" w:hAnsi="Wingdings" w:eastAsia="Wingdings" w:cs="Wingdings"/>
      </w:rPr>
    </w:lvl>
    <w:lvl w:ilvl="2">
      <w:start w:val="1"/>
      <w:numFmt w:val="bullet"/>
      <w:isLgl w:val="false"/>
      <w:suff w:val="tab"/>
      <w:lvlText w:val="&quot;&quot;"/>
      <w:lvlJc w:val="left"/>
      <w:pPr>
        <w:ind w:left="1880" w:hanging="440"/>
      </w:pPr>
      <w:rPr>
        <w:rFonts w:hint="default" w:ascii="Wingdings" w:hAnsi="Wingdings" w:eastAsia="Wingdings" w:cs="Wingdings"/>
      </w:rPr>
    </w:lvl>
    <w:lvl w:ilvl="3">
      <w:start w:val="1"/>
      <w:numFmt w:val="bullet"/>
      <w:isLgl w:val="false"/>
      <w:suff w:val="tab"/>
      <w:lvlText w:val="&quot;&quot;"/>
      <w:lvlJc w:val="left"/>
      <w:pPr>
        <w:ind w:left="2320" w:hanging="440"/>
      </w:pPr>
      <w:rPr>
        <w:rFonts w:hint="default" w:ascii="Wingdings" w:hAnsi="Wingdings" w:eastAsia="Wingdings" w:cs="Wingdings"/>
      </w:rPr>
    </w:lvl>
    <w:lvl w:ilvl="4">
      <w:start w:val="1"/>
      <w:numFmt w:val="bullet"/>
      <w:isLgl w:val="false"/>
      <w:suff w:val="tab"/>
      <w:lvlText w:val="&quot;&quot;"/>
      <w:lvlJc w:val="left"/>
      <w:pPr>
        <w:ind w:left="2760" w:hanging="440"/>
      </w:pPr>
      <w:rPr>
        <w:rFonts w:hint="default" w:ascii="Wingdings" w:hAnsi="Wingdings" w:eastAsia="Wingdings" w:cs="Wingdings"/>
      </w:rPr>
    </w:lvl>
    <w:lvl w:ilvl="5">
      <w:start w:val="1"/>
      <w:numFmt w:val="bullet"/>
      <w:isLgl w:val="false"/>
      <w:suff w:val="tab"/>
      <w:lvlText w:val="&quot;&quot;"/>
      <w:lvlJc w:val="left"/>
      <w:pPr>
        <w:ind w:left="3200" w:hanging="440"/>
      </w:pPr>
      <w:rPr>
        <w:rFonts w:hint="default" w:ascii="Wingdings" w:hAnsi="Wingdings" w:eastAsia="Wingdings" w:cs="Wingdings"/>
      </w:rPr>
    </w:lvl>
    <w:lvl w:ilvl="6">
      <w:start w:val="1"/>
      <w:numFmt w:val="bullet"/>
      <w:isLgl w:val="false"/>
      <w:suff w:val="tab"/>
      <w:lvlText w:val="&quot;&quot;"/>
      <w:lvlJc w:val="left"/>
      <w:pPr>
        <w:ind w:left="3640" w:hanging="440"/>
      </w:pPr>
      <w:rPr>
        <w:rFonts w:hint="default" w:ascii="Wingdings" w:hAnsi="Wingdings" w:eastAsia="Wingdings" w:cs="Wingdings"/>
      </w:rPr>
    </w:lvl>
    <w:lvl w:ilvl="7">
      <w:start w:val="1"/>
      <w:numFmt w:val="bullet"/>
      <w:isLgl w:val="false"/>
      <w:suff w:val="tab"/>
      <w:lvlText w:val="&quot;&quot;"/>
      <w:lvlJc w:val="left"/>
      <w:pPr>
        <w:ind w:left="4080" w:hanging="440"/>
      </w:pPr>
      <w:rPr>
        <w:rFonts w:hint="default" w:ascii="Wingdings" w:hAnsi="Wingdings" w:eastAsia="Wingdings" w:cs="Wingdings"/>
      </w:rPr>
    </w:lvl>
    <w:lvl w:ilvl="8">
      <w:start w:val="1"/>
      <w:numFmt w:val="bullet"/>
      <w:isLgl w:val="false"/>
      <w:suff w:val="tab"/>
      <w:lvlText w:val="&quot;&quot;"/>
      <w:lvlJc w:val="left"/>
      <w:pPr>
        <w:ind w:left="4520" w:hanging="44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widowControl w:val="off"/>
    </w:pPr>
    <w:rPr>
      <w:sz w:val="21"/>
      <w:szCs w:val="22"/>
      <w:lang w:val="en-US" w:eastAsia="zh-CN" w:bidi="ar-SA"/>
    </w:rPr>
  </w:style>
  <w:style w:type="paragraph" w:styleId="677">
    <w:name w:val="标题 1"/>
    <w:basedOn w:val="676"/>
    <w:next w:val="676"/>
    <w:link w:val="688"/>
    <w:qFormat/>
    <w:pPr>
      <w:jc w:val="center"/>
      <w:keepNext/>
      <w:outlineLvl w:val="0"/>
    </w:pPr>
    <w:rPr>
      <w:rFonts w:ascii="楷体_GB2312" w:hAnsi="Times New Roman" w:eastAsia="楷体_GB2312"/>
      <w:sz w:val="28"/>
      <w:szCs w:val="28"/>
    </w:rPr>
  </w:style>
  <w:style w:type="paragraph" w:styleId="678">
    <w:name w:val="标题 2"/>
    <w:basedOn w:val="676"/>
    <w:next w:val="690"/>
    <w:link w:val="689"/>
    <w:qFormat/>
    <w:pPr>
      <w:jc w:val="center"/>
      <w:keepLines/>
      <w:keepNext/>
      <w:spacing w:before="260" w:after="260" w:line="416" w:lineRule="auto"/>
      <w:outlineLvl w:val="1"/>
    </w:pPr>
    <w:rPr>
      <w:rFonts w:ascii="Arial" w:hAnsi="Arial" w:eastAsia="幼圆"/>
      <w:b/>
      <w:bCs/>
      <w:sz w:val="44"/>
      <w:szCs w:val="44"/>
    </w:rPr>
  </w:style>
  <w:style w:type="paragraph" w:styleId="679">
    <w:name w:val="标题 3"/>
    <w:basedOn w:val="676"/>
    <w:next w:val="690"/>
    <w:link w:val="692"/>
    <w:qFormat/>
    <w:pPr>
      <w:keepLines/>
      <w:keepNext/>
      <w:spacing w:before="260" w:after="260" w:line="416" w:lineRule="auto"/>
      <w:outlineLvl w:val="2"/>
    </w:pPr>
    <w:rPr>
      <w:rFonts w:ascii="Times New Roman" w:hAnsi="Times New Roman"/>
      <w:b/>
      <w:bCs/>
      <w:sz w:val="32"/>
      <w:szCs w:val="32"/>
    </w:rPr>
  </w:style>
  <w:style w:type="paragraph" w:styleId="680">
    <w:name w:val="标题 4"/>
    <w:basedOn w:val="676"/>
    <w:next w:val="690"/>
    <w:link w:val="693"/>
    <w:qFormat/>
    <w:pPr>
      <w:keepLines/>
      <w:keepNext/>
      <w:spacing w:before="280" w:after="290" w:line="376" w:lineRule="auto"/>
      <w:outlineLvl w:val="3"/>
    </w:pPr>
    <w:rPr>
      <w:rFonts w:ascii="Arial" w:hAnsi="Arial" w:eastAsia="黑体"/>
      <w:b/>
      <w:bCs/>
      <w:sz w:val="28"/>
      <w:szCs w:val="28"/>
    </w:rPr>
  </w:style>
  <w:style w:type="paragraph" w:styleId="681">
    <w:name w:val="标题 5"/>
    <w:basedOn w:val="676"/>
    <w:next w:val="690"/>
    <w:link w:val="694"/>
    <w:qFormat/>
    <w:pPr>
      <w:keepNext/>
      <w:outlineLvl w:val="4"/>
    </w:pPr>
    <w:rPr>
      <w:rFonts w:ascii="宋体" w:hAnsi="Times New Roman"/>
      <w:color w:val="000000"/>
      <w:sz w:val="28"/>
      <w:szCs w:val="28"/>
    </w:rPr>
  </w:style>
  <w:style w:type="paragraph" w:styleId="682">
    <w:name w:val="标题 6"/>
    <w:basedOn w:val="676"/>
    <w:next w:val="676"/>
    <w:link w:val="695"/>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684">
    <w:name w:val="标题 8"/>
    <w:basedOn w:val="676"/>
    <w:next w:val="676"/>
    <w:link w:val="697"/>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8"/>
    <w:qFormat/>
    <w:pPr>
      <w:numPr>
        <w:ilvl w:val="8"/>
        <w:numId w:val="1"/>
      </w:numPr>
      <w:keepLines/>
      <w:keepNext/>
      <w:spacing w:before="240" w:after="64" w:line="320" w:lineRule="auto"/>
      <w:outlineLvl w:val="8"/>
    </w:pPr>
    <w:rPr>
      <w:rFonts w:ascii="Arial" w:hAnsi="Arial" w:eastAsia="黑体"/>
      <w:sz w:val="20"/>
      <w:szCs w:val="21"/>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character" w:styleId="688">
    <w:name w:val="标题 1 字符"/>
    <w:next w:val="688"/>
    <w:link w:val="677"/>
    <w:rPr>
      <w:rFonts w:ascii="楷体_GB2312" w:hAnsi="Times New Roman" w:eastAsia="楷体_GB2312" w:cs="Times New Roman"/>
      <w:sz w:val="28"/>
      <w:szCs w:val="28"/>
    </w:rPr>
  </w:style>
  <w:style w:type="character" w:styleId="689">
    <w:name w:val="标题 2 字符"/>
    <w:next w:val="689"/>
    <w:link w:val="678"/>
    <w:rPr>
      <w:rFonts w:ascii="Arial" w:hAnsi="Arial" w:eastAsia="幼圆" w:cs="Arial"/>
      <w:b/>
      <w:bCs/>
      <w:sz w:val="44"/>
      <w:szCs w:val="44"/>
    </w:rPr>
  </w:style>
  <w:style w:type="paragraph" w:styleId="690">
    <w:name w:val="正文缩进"/>
    <w:basedOn w:val="676"/>
    <w:next w:val="690"/>
    <w:link w:val="691"/>
    <w:pPr>
      <w:ind w:firstLine="420"/>
    </w:pPr>
    <w:rPr>
      <w:sz w:val="20"/>
      <w:szCs w:val="21"/>
    </w:rPr>
  </w:style>
  <w:style w:type="character" w:styleId="691">
    <w:name w:val="正文缩进 字符"/>
    <w:next w:val="691"/>
    <w:link w:val="690"/>
    <w:rPr>
      <w:szCs w:val="21"/>
    </w:rPr>
  </w:style>
  <w:style w:type="character" w:styleId="692">
    <w:name w:val="标题 3 字符"/>
    <w:next w:val="692"/>
    <w:link w:val="679"/>
    <w:rPr>
      <w:rFonts w:ascii="Times New Roman" w:hAnsi="Times New Roman" w:eastAsia="宋体" w:cs="Times New Roman"/>
      <w:b/>
      <w:bCs/>
      <w:sz w:val="32"/>
      <w:szCs w:val="32"/>
    </w:rPr>
  </w:style>
  <w:style w:type="character" w:styleId="693">
    <w:name w:val="标题 4 字符"/>
    <w:next w:val="693"/>
    <w:link w:val="680"/>
    <w:rPr>
      <w:rFonts w:ascii="Arial" w:hAnsi="Arial" w:eastAsia="黑体" w:cs="Arial"/>
      <w:b/>
      <w:bCs/>
      <w:sz w:val="28"/>
      <w:szCs w:val="28"/>
    </w:rPr>
  </w:style>
  <w:style w:type="character" w:styleId="694">
    <w:name w:val="标题 5 字符"/>
    <w:next w:val="694"/>
    <w:link w:val="681"/>
    <w:rPr>
      <w:rFonts w:ascii="宋体" w:hAnsi="Times New Roman" w:eastAsia="宋体" w:cs="Times New Roman"/>
      <w:color w:val="000000"/>
      <w:sz w:val="28"/>
      <w:szCs w:val="28"/>
    </w:rPr>
  </w:style>
  <w:style w:type="character" w:styleId="695">
    <w:name w:val="标题 6 字符"/>
    <w:next w:val="695"/>
    <w:link w:val="682"/>
    <w:rPr>
      <w:rFonts w:ascii="Arial" w:hAnsi="Arial" w:eastAsia="黑体" w:cs="Times New Roman"/>
      <w:b/>
      <w:bCs/>
      <w:sz w:val="24"/>
      <w:szCs w:val="24"/>
    </w:rPr>
  </w:style>
  <w:style w:type="character" w:styleId="696">
    <w:name w:val="标题 7 字符"/>
    <w:next w:val="696"/>
    <w:link w:val="683"/>
    <w:rPr>
      <w:rFonts w:ascii="Times New Roman" w:hAnsi="Times New Roman" w:eastAsia="宋体" w:cs="Times New Roman"/>
      <w:b/>
      <w:bCs/>
      <w:sz w:val="24"/>
      <w:szCs w:val="24"/>
    </w:rPr>
  </w:style>
  <w:style w:type="character" w:styleId="697">
    <w:name w:val="标题 8 字符"/>
    <w:next w:val="697"/>
    <w:link w:val="684"/>
    <w:rPr>
      <w:rFonts w:ascii="Arial" w:hAnsi="Arial" w:eastAsia="黑体" w:cs="Times New Roman"/>
      <w:sz w:val="24"/>
      <w:szCs w:val="24"/>
    </w:rPr>
  </w:style>
  <w:style w:type="character" w:styleId="698">
    <w:name w:val="标题 9 字符"/>
    <w:next w:val="698"/>
    <w:link w:val="685"/>
    <w:rPr>
      <w:rFonts w:ascii="Arial" w:hAnsi="Arial" w:eastAsia="黑体" w:cs="Times New Roman"/>
      <w:szCs w:val="21"/>
    </w:rPr>
  </w:style>
  <w:style w:type="paragraph" w:styleId="699">
    <w:name w:val="列表 3"/>
    <w:basedOn w:val="676"/>
    <w:next w:val="699"/>
    <w:link w:val="676"/>
    <w:pPr>
      <w:ind w:left="100" w:hanging="200"/>
    </w:pPr>
    <w:rPr>
      <w:rFonts w:ascii="Times New Roman" w:hAnsi="Times New Roman" w:eastAsia="宋体" w:cs="Times New Roman"/>
      <w:szCs w:val="21"/>
    </w:rPr>
  </w:style>
  <w:style w:type="paragraph" w:styleId="700">
    <w:name w:val="目录 7"/>
    <w:basedOn w:val="676"/>
    <w:next w:val="676"/>
    <w:link w:val="676"/>
    <w:semiHidden/>
    <w:pPr>
      <w:ind w:left="1260"/>
      <w:jc w:val="left"/>
    </w:pPr>
    <w:rPr>
      <w:rFonts w:ascii="Times New Roman" w:hAnsi="Times New Roman" w:eastAsia="宋体" w:cs="Times New Roman"/>
      <w:szCs w:val="21"/>
    </w:rPr>
  </w:style>
  <w:style w:type="paragraph" w:styleId="701">
    <w:name w:val="文档结构图"/>
    <w:basedOn w:val="676"/>
    <w:next w:val="703"/>
    <w:link w:val="702"/>
    <w:semiHidden/>
    <w:pPr>
      <w:shd w:val="clear" w:color="auto" w:fill="000080"/>
    </w:pPr>
    <w:rPr>
      <w:rFonts w:ascii="Times New Roman" w:hAnsi="Times New Roman"/>
      <w:sz w:val="20"/>
      <w:szCs w:val="21"/>
    </w:rPr>
  </w:style>
  <w:style w:type="character" w:styleId="702">
    <w:name w:val="文档结构图 字符"/>
    <w:next w:val="702"/>
    <w:link w:val="701"/>
    <w:semiHidden/>
    <w:rPr>
      <w:rFonts w:ascii="Times New Roman" w:hAnsi="Times New Roman" w:eastAsia="宋体" w:cs="Times New Roman"/>
      <w:szCs w:val="21"/>
      <w:shd w:val="clear" w:color="auto" w:fill="000080"/>
    </w:rPr>
  </w:style>
  <w:style w:type="paragraph" w:styleId="703">
    <w:name w:val="正文文本"/>
    <w:basedOn w:val="676"/>
    <w:next w:val="705"/>
    <w:link w:val="704"/>
    <w:rPr>
      <w:rFonts w:ascii="楷体_GB2312" w:hAnsi="Arial" w:eastAsia="楷体_GB2312"/>
      <w:sz w:val="28"/>
      <w:szCs w:val="28"/>
    </w:rPr>
  </w:style>
  <w:style w:type="character" w:styleId="704">
    <w:name w:val="正文文本 字符"/>
    <w:next w:val="704"/>
    <w:link w:val="703"/>
    <w:rPr>
      <w:rFonts w:ascii="楷体_GB2312" w:hAnsi="Arial" w:eastAsia="楷体_GB2312" w:cs="Times New Roman"/>
      <w:sz w:val="28"/>
      <w:szCs w:val="28"/>
    </w:rPr>
  </w:style>
  <w:style w:type="paragraph" w:styleId="705">
    <w:name w:val="段"/>
    <w:next w:val="676"/>
    <w:link w:val="676"/>
    <w:qFormat/>
    <w:pPr>
      <w:ind w:firstLine="420"/>
      <w:jc w:val="both"/>
      <w:spacing w:after="200" w:line="276" w:lineRule="auto"/>
      <w:tabs>
        <w:tab w:val="center" w:pos="4201" w:leader="none"/>
        <w:tab w:val="right" w:pos="9298" w:leader="dot"/>
      </w:tabs>
    </w:pPr>
    <w:rPr>
      <w:rFonts w:ascii="宋体"/>
      <w:lang w:val="en-US" w:eastAsia="zh-CN" w:bidi="ar-SA"/>
    </w:rPr>
  </w:style>
  <w:style w:type="paragraph" w:styleId="706">
    <w:name w:val="批注文字"/>
    <w:basedOn w:val="676"/>
    <w:next w:val="706"/>
    <w:link w:val="707"/>
    <w:uiPriority w:val="99"/>
    <w:unhideWhenUsed/>
    <w:pPr>
      <w:jc w:val="left"/>
    </w:pPr>
  </w:style>
  <w:style w:type="character" w:styleId="707">
    <w:name w:val="批注文字 字符"/>
    <w:next w:val="707"/>
    <w:link w:val="706"/>
    <w:uiPriority w:val="99"/>
    <w:semiHidden/>
  </w:style>
  <w:style w:type="paragraph" w:styleId="708">
    <w:name w:val="正文文本 3"/>
    <w:basedOn w:val="676"/>
    <w:next w:val="708"/>
    <w:link w:val="709"/>
    <w:rPr>
      <w:rFonts w:ascii="仿宋_GB2312" w:hAnsi="Arial" w:eastAsia="仿宋_GB2312"/>
      <w:sz w:val="32"/>
      <w:szCs w:val="32"/>
    </w:rPr>
  </w:style>
  <w:style w:type="character" w:styleId="709">
    <w:name w:val="正文文本 3 字符"/>
    <w:next w:val="709"/>
    <w:link w:val="708"/>
    <w:rPr>
      <w:rFonts w:ascii="仿宋_GB2312" w:hAnsi="Arial" w:eastAsia="仿宋_GB2312" w:cs="Times New Roman"/>
      <w:sz w:val="32"/>
      <w:szCs w:val="32"/>
    </w:rPr>
  </w:style>
  <w:style w:type="paragraph" w:styleId="710">
    <w:name w:val="正文文本缩进"/>
    <w:basedOn w:val="676"/>
    <w:next w:val="710"/>
    <w:link w:val="711"/>
    <w:uiPriority w:val="99"/>
    <w:unhideWhenUsed/>
    <w:pPr>
      <w:ind w:left="420"/>
      <w:spacing w:after="120"/>
    </w:pPr>
  </w:style>
  <w:style w:type="character" w:styleId="711">
    <w:name w:val="正文文本缩进 字符"/>
    <w:next w:val="711"/>
    <w:link w:val="710"/>
    <w:uiPriority w:val="99"/>
    <w:semiHidden/>
  </w:style>
  <w:style w:type="paragraph" w:styleId="712">
    <w:name w:val="列表 2"/>
    <w:basedOn w:val="676"/>
    <w:next w:val="712"/>
    <w:link w:val="676"/>
    <w:pPr>
      <w:ind w:left="100" w:hanging="200"/>
    </w:pPr>
    <w:rPr>
      <w:rFonts w:ascii="Times New Roman" w:hAnsi="Times New Roman" w:eastAsia="宋体" w:cs="Times New Roman"/>
      <w:szCs w:val="21"/>
    </w:rPr>
  </w:style>
  <w:style w:type="paragraph" w:styleId="713">
    <w:name w:val="索引 4"/>
    <w:basedOn w:val="676"/>
    <w:next w:val="676"/>
    <w:link w:val="676"/>
    <w:uiPriority w:val="99"/>
    <w:unhideWhenUsed/>
    <w:qFormat/>
    <w:pPr>
      <w:ind w:left="600"/>
    </w:pPr>
  </w:style>
  <w:style w:type="paragraph" w:styleId="714">
    <w:name w:val="目录 5"/>
    <w:basedOn w:val="676"/>
    <w:next w:val="676"/>
    <w:link w:val="676"/>
    <w:semiHidden/>
    <w:pPr>
      <w:ind w:left="840"/>
      <w:jc w:val="left"/>
    </w:pPr>
    <w:rPr>
      <w:rFonts w:ascii="Times New Roman" w:hAnsi="Times New Roman" w:eastAsia="宋体" w:cs="Times New Roman"/>
      <w:szCs w:val="21"/>
    </w:rPr>
  </w:style>
  <w:style w:type="paragraph" w:styleId="715">
    <w:name w:val="目录 3"/>
    <w:basedOn w:val="676"/>
    <w:next w:val="676"/>
    <w:link w:val="676"/>
    <w:semiHidden/>
    <w:pPr>
      <w:ind w:left="420"/>
      <w:jc w:val="left"/>
    </w:pPr>
    <w:rPr>
      <w:rFonts w:ascii="Times New Roman" w:hAnsi="Times New Roman" w:eastAsia="宋体" w:cs="Times New Roman"/>
      <w:i/>
      <w:iCs/>
      <w:szCs w:val="24"/>
    </w:rPr>
  </w:style>
  <w:style w:type="paragraph" w:styleId="716">
    <w:name w:val="纯文本"/>
    <w:basedOn w:val="676"/>
    <w:next w:val="690"/>
    <w:link w:val="717"/>
    <w:rPr>
      <w:rFonts w:ascii="宋体" w:hAnsi="Courier New"/>
      <w:sz w:val="20"/>
      <w:szCs w:val="21"/>
    </w:rPr>
  </w:style>
  <w:style w:type="character" w:styleId="717">
    <w:name w:val="纯文本 字符"/>
    <w:next w:val="717"/>
    <w:link w:val="716"/>
    <w:rPr>
      <w:rFonts w:ascii="宋体" w:hAnsi="Courier New" w:eastAsia="宋体" w:cs="Courier New"/>
      <w:szCs w:val="21"/>
    </w:rPr>
  </w:style>
  <w:style w:type="paragraph" w:styleId="718">
    <w:name w:val="目录 8"/>
    <w:basedOn w:val="676"/>
    <w:next w:val="676"/>
    <w:link w:val="676"/>
    <w:semiHidden/>
    <w:pPr>
      <w:ind w:left="1470"/>
      <w:jc w:val="left"/>
    </w:pPr>
    <w:rPr>
      <w:rFonts w:ascii="Times New Roman" w:hAnsi="Times New Roman" w:eastAsia="宋体" w:cs="Times New Roman"/>
      <w:szCs w:val="21"/>
    </w:rPr>
  </w:style>
  <w:style w:type="paragraph" w:styleId="719">
    <w:name w:val="日期"/>
    <w:basedOn w:val="676"/>
    <w:next w:val="676"/>
    <w:link w:val="720"/>
    <w:rPr>
      <w:rFonts w:ascii="Times New Roman" w:hAnsi="Times New Roman"/>
      <w:sz w:val="24"/>
      <w:szCs w:val="24"/>
    </w:rPr>
  </w:style>
  <w:style w:type="character" w:styleId="720">
    <w:name w:val="日期 字符"/>
    <w:next w:val="720"/>
    <w:link w:val="719"/>
    <w:rPr>
      <w:rFonts w:ascii="Times New Roman" w:hAnsi="Times New Roman" w:eastAsia="宋体" w:cs="Times New Roman"/>
      <w:sz w:val="24"/>
      <w:szCs w:val="24"/>
    </w:rPr>
  </w:style>
  <w:style w:type="paragraph" w:styleId="721">
    <w:name w:val="正文文本缩进 2"/>
    <w:basedOn w:val="676"/>
    <w:next w:val="721"/>
    <w:link w:val="722"/>
    <w:pPr>
      <w:ind w:left="630" w:firstLine="645"/>
    </w:pPr>
    <w:rPr>
      <w:rFonts w:ascii="Arial" w:hAnsi="Arial" w:eastAsia="仿宋_GB2312"/>
      <w:sz w:val="32"/>
      <w:szCs w:val="32"/>
    </w:rPr>
  </w:style>
  <w:style w:type="character" w:styleId="722">
    <w:name w:val="正文文本缩进 2 字符"/>
    <w:next w:val="722"/>
    <w:link w:val="721"/>
    <w:rPr>
      <w:rFonts w:ascii="Arial" w:hAnsi="Arial" w:eastAsia="仿宋_GB2312" w:cs="Arial"/>
      <w:sz w:val="32"/>
      <w:szCs w:val="32"/>
    </w:rPr>
  </w:style>
  <w:style w:type="paragraph" w:styleId="723">
    <w:name w:val="批注框文本"/>
    <w:basedOn w:val="676"/>
    <w:next w:val="723"/>
    <w:link w:val="724"/>
    <w:semiHidden/>
    <w:rPr>
      <w:rFonts w:ascii="Times New Roman" w:hAnsi="Times New Roman"/>
      <w:sz w:val="18"/>
      <w:szCs w:val="18"/>
    </w:rPr>
  </w:style>
  <w:style w:type="character" w:styleId="724">
    <w:name w:val="批注框文本 字符"/>
    <w:next w:val="724"/>
    <w:link w:val="723"/>
    <w:semiHidden/>
    <w:rPr>
      <w:rFonts w:ascii="Times New Roman" w:hAnsi="Times New Roman" w:eastAsia="宋体" w:cs="Times New Roman"/>
      <w:sz w:val="18"/>
      <w:szCs w:val="18"/>
    </w:rPr>
  </w:style>
  <w:style w:type="paragraph" w:styleId="725">
    <w:name w:val="页脚"/>
    <w:basedOn w:val="676"/>
    <w:next w:val="725"/>
    <w:link w:val="726"/>
    <w:pPr>
      <w:jc w:val="left"/>
      <w:tabs>
        <w:tab w:val="center" w:pos="4153" w:leader="none"/>
        <w:tab w:val="right" w:pos="8306" w:leader="none"/>
      </w:tabs>
    </w:pPr>
    <w:rPr>
      <w:rFonts w:ascii="Times New Roman" w:hAnsi="Times New Roman"/>
      <w:sz w:val="18"/>
      <w:szCs w:val="18"/>
    </w:rPr>
  </w:style>
  <w:style w:type="character" w:styleId="726">
    <w:name w:val="页脚 字符"/>
    <w:next w:val="726"/>
    <w:link w:val="725"/>
    <w:rPr>
      <w:rFonts w:ascii="Times New Roman" w:hAnsi="Times New Roman" w:eastAsia="宋体" w:cs="Times New Roman"/>
      <w:sz w:val="18"/>
      <w:szCs w:val="18"/>
    </w:rPr>
  </w:style>
  <w:style w:type="paragraph" w:styleId="727">
    <w:name w:val="页眉"/>
    <w:basedOn w:val="676"/>
    <w:next w:val="727"/>
    <w:link w:val="728"/>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28">
    <w:name w:val="页眉 字符"/>
    <w:next w:val="728"/>
    <w:link w:val="727"/>
    <w:rPr>
      <w:rFonts w:ascii="Times New Roman" w:hAnsi="Times New Roman" w:eastAsia="宋体" w:cs="Times New Roman"/>
      <w:sz w:val="18"/>
      <w:szCs w:val="18"/>
    </w:rPr>
  </w:style>
  <w:style w:type="paragraph" w:styleId="729">
    <w:name w:val="目录 1"/>
    <w:basedOn w:val="676"/>
    <w:next w:val="676"/>
    <w:link w:val="67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0">
    <w:name w:val="目录 4"/>
    <w:basedOn w:val="676"/>
    <w:next w:val="676"/>
    <w:link w:val="676"/>
    <w:semiHidden/>
    <w:pPr>
      <w:ind w:left="630"/>
      <w:jc w:val="left"/>
    </w:pPr>
    <w:rPr>
      <w:rFonts w:ascii="Times New Roman" w:hAnsi="Times New Roman" w:eastAsia="宋体" w:cs="Times New Roman"/>
      <w:szCs w:val="21"/>
    </w:rPr>
  </w:style>
  <w:style w:type="paragraph" w:styleId="731">
    <w:name w:val="列表"/>
    <w:basedOn w:val="676"/>
    <w:next w:val="731"/>
    <w:link w:val="676"/>
    <w:pPr>
      <w:ind w:left="200" w:hanging="200"/>
    </w:pPr>
    <w:rPr>
      <w:rFonts w:ascii="Times New Roman" w:hAnsi="Times New Roman" w:eastAsia="宋体" w:cs="Times New Roman"/>
      <w:szCs w:val="21"/>
    </w:rPr>
  </w:style>
  <w:style w:type="paragraph" w:styleId="732">
    <w:name w:val="目录 6"/>
    <w:basedOn w:val="676"/>
    <w:next w:val="676"/>
    <w:link w:val="676"/>
    <w:semiHidden/>
    <w:pPr>
      <w:ind w:left="1050"/>
      <w:jc w:val="left"/>
    </w:pPr>
    <w:rPr>
      <w:rFonts w:ascii="Times New Roman" w:hAnsi="Times New Roman" w:eastAsia="宋体" w:cs="Times New Roman"/>
      <w:szCs w:val="21"/>
    </w:rPr>
  </w:style>
  <w:style w:type="paragraph" w:styleId="733">
    <w:name w:val="正文文本缩进 3"/>
    <w:basedOn w:val="676"/>
    <w:next w:val="733"/>
    <w:link w:val="734"/>
    <w:pPr>
      <w:ind w:left="645" w:firstLine="645"/>
    </w:pPr>
    <w:rPr>
      <w:rFonts w:ascii="Arial" w:hAnsi="Arial" w:eastAsia="仿宋_GB2312"/>
      <w:color w:val="ffff00"/>
      <w:sz w:val="32"/>
      <w:szCs w:val="32"/>
    </w:rPr>
  </w:style>
  <w:style w:type="character" w:styleId="734">
    <w:name w:val="正文文本缩进 3 字符"/>
    <w:next w:val="734"/>
    <w:link w:val="733"/>
    <w:rPr>
      <w:rFonts w:ascii="Arial" w:hAnsi="Arial" w:eastAsia="仿宋_GB2312" w:cs="Arial"/>
      <w:color w:val="ffff00"/>
      <w:sz w:val="32"/>
      <w:szCs w:val="32"/>
    </w:rPr>
  </w:style>
  <w:style w:type="paragraph" w:styleId="735">
    <w:name w:val="图表目录"/>
    <w:basedOn w:val="676"/>
    <w:next w:val="676"/>
    <w:link w:val="676"/>
    <w:semiHidden/>
    <w:pPr>
      <w:ind w:left="840" w:hanging="420"/>
    </w:pPr>
    <w:rPr>
      <w:rFonts w:ascii="Times New Roman" w:hAnsi="Times New Roman" w:eastAsia="宋体" w:cs="Times New Roman"/>
      <w:szCs w:val="21"/>
    </w:rPr>
  </w:style>
  <w:style w:type="paragraph" w:styleId="736">
    <w:name w:val="目录 2"/>
    <w:basedOn w:val="676"/>
    <w:next w:val="676"/>
    <w:link w:val="676"/>
    <w:semiHidden/>
    <w:pPr>
      <w:ind w:left="210"/>
      <w:jc w:val="left"/>
    </w:pPr>
    <w:rPr>
      <w:rFonts w:ascii="Times New Roman" w:hAnsi="Times New Roman" w:eastAsia="宋体" w:cs="Times New Roman"/>
      <w:smallCaps/>
      <w:szCs w:val="24"/>
    </w:rPr>
  </w:style>
  <w:style w:type="paragraph" w:styleId="737">
    <w:name w:val="目录 9"/>
    <w:basedOn w:val="676"/>
    <w:next w:val="676"/>
    <w:link w:val="676"/>
    <w:semiHidden/>
    <w:pPr>
      <w:ind w:left="1680"/>
      <w:jc w:val="left"/>
    </w:pPr>
    <w:rPr>
      <w:rFonts w:ascii="Times New Roman" w:hAnsi="Times New Roman" w:eastAsia="宋体" w:cs="Times New Roman"/>
      <w:szCs w:val="21"/>
    </w:rPr>
  </w:style>
  <w:style w:type="paragraph" w:styleId="738">
    <w:name w:val="正文文本 2"/>
    <w:basedOn w:val="676"/>
    <w:next w:val="738"/>
    <w:link w:val="739"/>
    <w:pPr>
      <w:jc w:val="center"/>
      <w:widowControl/>
    </w:pPr>
    <w:rPr>
      <w:rFonts w:ascii="楷体_GB2312" w:hAnsi="Times New Roman" w:eastAsia="楷体_GB2312"/>
      <w:sz w:val="28"/>
      <w:szCs w:val="28"/>
    </w:rPr>
  </w:style>
  <w:style w:type="character" w:styleId="739">
    <w:name w:val="正文文本 2 字符"/>
    <w:next w:val="739"/>
    <w:link w:val="738"/>
    <w:rPr>
      <w:rFonts w:ascii="楷体_GB2312" w:hAnsi="Times New Roman" w:eastAsia="楷体_GB2312" w:cs="Times New Roman"/>
      <w:sz w:val="28"/>
      <w:szCs w:val="28"/>
    </w:rPr>
  </w:style>
  <w:style w:type="paragraph" w:styleId="740">
    <w:name w:val="普通(网站)"/>
    <w:basedOn w:val="676"/>
    <w:next w:val="740"/>
    <w:link w:val="676"/>
    <w:uiPriority w:val="99"/>
    <w:pPr>
      <w:jc w:val="left"/>
      <w:spacing w:before="100" w:beforeAutospacing="1" w:after="100" w:afterAutospacing="1"/>
      <w:widowControl/>
    </w:pPr>
    <w:rPr>
      <w:rFonts w:ascii="宋体" w:hAnsi="宋体" w:eastAsia="宋体" w:cs="宋体"/>
      <w:sz w:val="24"/>
      <w:szCs w:val="24"/>
    </w:rPr>
  </w:style>
  <w:style w:type="paragraph" w:styleId="741">
    <w:name w:val="索引 1"/>
    <w:basedOn w:val="676"/>
    <w:next w:val="676"/>
    <w:link w:val="676"/>
    <w:semiHidden/>
    <w:pPr>
      <w:spacing w:line="240" w:lineRule="atLeast"/>
    </w:pPr>
    <w:rPr>
      <w:rFonts w:ascii="Times New Roman" w:hAnsi="Times New Roman" w:eastAsia="宋体" w:cs="Times New Roman"/>
      <w:b/>
      <w:bCs/>
      <w:szCs w:val="21"/>
    </w:rPr>
  </w:style>
  <w:style w:type="paragraph" w:styleId="742">
    <w:name w:val="批注主题"/>
    <w:basedOn w:val="706"/>
    <w:next w:val="706"/>
    <w:link w:val="743"/>
    <w:semiHidden/>
    <w:rPr>
      <w:rFonts w:ascii="Times New Roman" w:hAnsi="Times New Roman"/>
      <w:b/>
      <w:bCs/>
      <w:sz w:val="20"/>
      <w:szCs w:val="21"/>
    </w:rPr>
  </w:style>
  <w:style w:type="character" w:styleId="743">
    <w:name w:val="批注主题 字符"/>
    <w:next w:val="743"/>
    <w:link w:val="742"/>
    <w:semiHidden/>
    <w:rPr>
      <w:rFonts w:ascii="Times New Roman" w:hAnsi="Times New Roman" w:eastAsia="宋体" w:cs="Times New Roman"/>
      <w:b/>
      <w:bCs/>
      <w:szCs w:val="21"/>
    </w:rPr>
  </w:style>
  <w:style w:type="paragraph" w:styleId="744">
    <w:name w:val="正文首行缩进"/>
    <w:basedOn w:val="676"/>
    <w:next w:val="744"/>
    <w:link w:val="745"/>
    <w:pPr>
      <w:ind w:firstLine="200"/>
      <w:spacing w:line="360" w:lineRule="auto"/>
    </w:pPr>
    <w:rPr>
      <w:rFonts w:ascii="仿宋_GB2312" w:hAnsi="Times New Roman" w:eastAsia="仿宋_GB2312"/>
      <w:sz w:val="30"/>
      <w:szCs w:val="30"/>
    </w:rPr>
  </w:style>
  <w:style w:type="character" w:styleId="745">
    <w:name w:val="正文文本首行缩进 字符"/>
    <w:next w:val="745"/>
    <w:link w:val="744"/>
    <w:rPr>
      <w:rFonts w:ascii="仿宋_GB2312" w:hAnsi="Times New Roman" w:eastAsia="仿宋_GB2312" w:cs="Times New Roman"/>
      <w:sz w:val="30"/>
      <w:szCs w:val="30"/>
    </w:rPr>
  </w:style>
  <w:style w:type="paragraph" w:styleId="746">
    <w:name w:val="正文首行缩进 2"/>
    <w:basedOn w:val="710"/>
    <w:next w:val="746"/>
    <w:link w:val="747"/>
    <w:pPr>
      <w:ind w:left="0" w:firstLine="420"/>
      <w:spacing w:after="0" w:line="360" w:lineRule="auto"/>
    </w:pPr>
    <w:rPr>
      <w:rFonts w:ascii="宋体" w:hAnsi="宋体"/>
      <w:sz w:val="20"/>
      <w:szCs w:val="20"/>
    </w:rPr>
  </w:style>
  <w:style w:type="character" w:styleId="747">
    <w:name w:val="正文文本首行缩进 2 字符"/>
    <w:next w:val="747"/>
    <w:link w:val="746"/>
    <w:rPr>
      <w:rFonts w:ascii="宋体" w:hAnsi="宋体" w:eastAsia="宋体" w:cs="Times New Roman"/>
      <w:szCs w:val="20"/>
    </w:rPr>
  </w:style>
  <w:style w:type="table" w:styleId="748">
    <w:name w:val="网格型"/>
    <w:basedOn w:val="687"/>
    <w:next w:val="748"/>
    <w:link w:val="676"/>
    <w:pPr>
      <w:jc w:val="both"/>
      <w:widowControl w:val="off"/>
    </w:pPr>
    <w:rPr>
      <w:rFonts w:ascii="Times New Roman" w:hAnsi="Times New Roman" w:eastAsia="宋体" w:cs="Times New Roman"/>
      <w:sz w:val="20"/>
      <w:szCs w:val="20"/>
    </w:rPr>
    <w:tblPr/>
  </w:style>
  <w:style w:type="character" w:styleId="749">
    <w:name w:val="要点"/>
    <w:next w:val="749"/>
    <w:link w:val="676"/>
    <w:qFormat/>
    <w:rPr>
      <w:b/>
      <w:bCs/>
    </w:rPr>
  </w:style>
  <w:style w:type="character" w:styleId="750">
    <w:name w:val="页码"/>
    <w:next w:val="750"/>
    <w:link w:val="676"/>
  </w:style>
  <w:style w:type="character" w:styleId="751">
    <w:name w:val="已访问的超链接"/>
    <w:next w:val="751"/>
    <w:link w:val="676"/>
    <w:rPr>
      <w:color w:val="800080"/>
      <w:u w:val="single"/>
    </w:rPr>
  </w:style>
  <w:style w:type="character" w:styleId="752">
    <w:name w:val="超链接"/>
    <w:next w:val="752"/>
    <w:link w:val="676"/>
    <w:rPr>
      <w:color w:val="0000ff"/>
      <w:u w:val="single"/>
    </w:rPr>
  </w:style>
  <w:style w:type="character" w:styleId="753">
    <w:name w:val="批注引用"/>
    <w:next w:val="753"/>
    <w:link w:val="676"/>
    <w:semiHidden/>
    <w:rPr>
      <w:sz w:val="21"/>
      <w:szCs w:val="21"/>
    </w:rPr>
  </w:style>
  <w:style w:type="paragraph" w:styleId="754">
    <w:name w:val="正文1"/>
    <w:next w:val="676"/>
    <w:link w:val="676"/>
    <w:qFormat/>
    <w:rPr>
      <w:rFonts w:ascii="Times New Roman" w:hAnsi="Times New Roman" w:eastAsia="Times New Roman"/>
      <w:sz w:val="24"/>
      <w:szCs w:val="24"/>
      <w:lang w:val="en-US" w:eastAsia="zh-CN" w:bidi="ar-SA"/>
    </w:rPr>
  </w:style>
  <w:style w:type="character" w:styleId="755">
    <w:name w:val="font5 Char"/>
    <w:next w:val="755"/>
    <w:link w:val="676"/>
    <w:rPr>
      <w:rFonts w:ascii="宋体" w:hAnsi="宋体" w:eastAsia="宋体"/>
      <w:sz w:val="28"/>
      <w:szCs w:val="28"/>
      <w:lang w:val="en-US" w:eastAsia="zh-CN" w:bidi="ar-SA"/>
    </w:rPr>
  </w:style>
  <w:style w:type="character" w:styleId="756">
    <w:name w:val="二级目录 Char"/>
    <w:next w:val="756"/>
    <w:link w:val="757"/>
    <w:rPr>
      <w:b/>
      <w:sz w:val="30"/>
      <w:szCs w:val="28"/>
      <w:lang w:val="en-US" w:eastAsia="zh-CN" w:bidi="ar-SA"/>
    </w:rPr>
  </w:style>
  <w:style w:type="paragraph" w:styleId="757">
    <w:name w:val="二级目录"/>
    <w:next w:val="676"/>
    <w:link w:val="756"/>
    <w:pPr>
      <w:numPr>
        <w:ilvl w:val="0"/>
        <w:numId w:val="2"/>
      </w:numPr>
      <w:tabs>
        <w:tab w:val="left" w:pos="907" w:leader="none"/>
        <w:tab w:val="left" w:pos="1145" w:leader="none"/>
      </w:tabs>
      <w:outlineLvl w:val="1"/>
    </w:pPr>
    <w:rPr>
      <w:b/>
      <w:sz w:val="30"/>
      <w:szCs w:val="28"/>
      <w:lang w:val="en-US" w:eastAsia="zh-CN" w:bidi="ar-SA"/>
    </w:rPr>
  </w:style>
  <w:style w:type="character" w:styleId="758">
    <w:name w:val="列出段落 Char,Bullet List Char,numbered Char,FooterText Char,List Paragraph1 Char,Paragraphe de liste1 Char"/>
    <w:next w:val="758"/>
    <w:link w:val="759"/>
    <w:rPr>
      <w:rFonts w:ascii="Calibri" w:hAnsi="Calibri"/>
      <w:sz w:val="24"/>
      <w:szCs w:val="24"/>
      <w:lang w:eastAsia="en-US" w:bidi="en-US"/>
    </w:rPr>
  </w:style>
  <w:style w:type="paragraph" w:styleId="759">
    <w:name w:val="列出段落1"/>
    <w:basedOn w:val="676"/>
    <w:next w:val="759"/>
    <w:link w:val="758"/>
    <w:qFormat/>
    <w:pPr>
      <w:contextualSpacing/>
      <w:ind w:left="720"/>
      <w:jc w:val="left"/>
      <w:widowControl/>
    </w:pPr>
    <w:rPr>
      <w:sz w:val="24"/>
      <w:szCs w:val="24"/>
      <w:lang w:eastAsia="en-US" w:bidi="en-US"/>
    </w:rPr>
  </w:style>
  <w:style w:type="paragraph" w:styleId="760">
    <w:name w:val="Body Text(ch)"/>
    <w:basedOn w:val="676"/>
    <w:next w:val="703"/>
    <w:link w:val="676"/>
    <w:pPr>
      <w:spacing w:after="120"/>
    </w:pPr>
    <w:rPr>
      <w:rFonts w:ascii="宋体" w:hAnsi="Arial" w:eastAsia="宋体" w:cs="Times New Roman"/>
      <w:bCs/>
      <w:iCs/>
      <w:szCs w:val="24"/>
    </w:rPr>
  </w:style>
  <w:style w:type="paragraph" w:styleId="761">
    <w:name w:val="xl27"/>
    <w:basedOn w:val="676"/>
    <w:next w:val="761"/>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6"/>
    <w:basedOn w:val="676"/>
    <w:next w:val="762"/>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3">
    <w:name w:val="Char"/>
    <w:basedOn w:val="676"/>
    <w:next w:val="763"/>
    <w:link w:val="676"/>
    <w:pPr>
      <w:ind w:firstLine="200"/>
      <w:tabs>
        <w:tab w:val="left" w:pos="360" w:leader="none"/>
      </w:tabs>
    </w:pPr>
    <w:rPr>
      <w:rFonts w:ascii="Times New Roman" w:hAnsi="Times New Roman" w:eastAsia="宋体" w:cs="Times New Roman"/>
      <w:sz w:val="28"/>
      <w:szCs w:val="30"/>
    </w:rPr>
  </w:style>
  <w:style w:type="paragraph" w:styleId="764">
    <w:name w:val=" Char"/>
    <w:basedOn w:val="701"/>
    <w:next w:val="764"/>
    <w:link w:val="676"/>
    <w:rPr>
      <w:rFonts w:ascii="Tahoma" w:hAnsi="Tahoma"/>
      <w:sz w:val="24"/>
      <w:szCs w:val="24"/>
    </w:rPr>
  </w:style>
  <w:style w:type="paragraph" w:styleId="765">
    <w:name w:val="普通正文"/>
    <w:basedOn w:val="676"/>
    <w:next w:val="765"/>
    <w:link w:val="676"/>
    <w:pPr>
      <w:ind w:firstLine="480"/>
      <w:jc w:val="left"/>
      <w:spacing w:before="120" w:after="120" w:line="360" w:lineRule="auto"/>
    </w:pPr>
    <w:rPr>
      <w:rFonts w:ascii="Arial" w:hAnsi="Arial" w:eastAsia="宋体" w:cs="Times New Roman"/>
      <w:sz w:val="24"/>
      <w:szCs w:val="24"/>
    </w:rPr>
  </w:style>
  <w:style w:type="paragraph" w:styleId="766">
    <w:name w:val="table_lines"/>
    <w:basedOn w:val="676"/>
    <w:next w:val="766"/>
    <w:link w:val="676"/>
    <w:pPr>
      <w:jc w:val="left"/>
      <w:widowControl/>
    </w:pPr>
    <w:rPr>
      <w:rFonts w:ascii="Times New Roman" w:hAnsi="Times New Roman" w:eastAsia="宋体" w:cs="Times New Roman"/>
      <w:sz w:val="20"/>
      <w:szCs w:val="20"/>
      <w:lang w:val="de-DE" w:eastAsia="de-DE"/>
    </w:rPr>
  </w:style>
  <w:style w:type="paragraph" w:styleId="767">
    <w:name w:val="附录1"/>
    <w:next w:val="767"/>
    <w:link w:val="6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8">
    <w:name w:val="font7"/>
    <w:basedOn w:val="676"/>
    <w:next w:val="768"/>
    <w:link w:val="676"/>
    <w:pPr>
      <w:jc w:val="left"/>
      <w:spacing w:before="100" w:beforeAutospacing="1" w:after="100" w:afterAutospacing="1"/>
      <w:widowControl/>
    </w:pPr>
    <w:rPr>
      <w:rFonts w:hint="eastAsia" w:ascii="宋体" w:hAnsi="宋体" w:eastAsia="宋体" w:cs="Times New Roman"/>
      <w:sz w:val="18"/>
      <w:szCs w:val="18"/>
    </w:rPr>
  </w:style>
  <w:style w:type="paragraph" w:styleId="769">
    <w:name w:val=" Char Char Char Char"/>
    <w:basedOn w:val="701"/>
    <w:next w:val="769"/>
    <w:link w:val="676"/>
    <w:pPr>
      <w:spacing w:line="360" w:lineRule="auto"/>
    </w:pPr>
    <w:rPr>
      <w:rFonts w:ascii="Tahoma" w:hAnsi="Tahoma"/>
      <w:sz w:val="24"/>
      <w:szCs w:val="24"/>
    </w:rPr>
  </w:style>
  <w:style w:type="paragraph" w:styleId="770">
    <w:name w:val="列表段落"/>
    <w:basedOn w:val="676"/>
    <w:next w:val="770"/>
    <w:link w:val="676"/>
    <w:qFormat/>
    <w:pPr>
      <w:contextualSpacing/>
      <w:ind w:left="720"/>
      <w:jc w:val="left"/>
      <w:widowControl/>
    </w:pPr>
    <w:rPr>
      <w:rFonts w:ascii="Calibri" w:hAnsi="Calibri" w:eastAsia="宋体" w:cs="Times New Roman"/>
      <w:sz w:val="24"/>
      <w:szCs w:val="24"/>
      <w:lang w:eastAsia="en-US" w:bidi="en-US"/>
    </w:rPr>
  </w:style>
  <w:style w:type="paragraph" w:styleId="771">
    <w:name w:val="4"/>
    <w:basedOn w:val="676"/>
    <w:next w:val="733"/>
    <w:link w:val="676"/>
    <w:pPr>
      <w:ind w:firstLine="420"/>
      <w:spacing w:line="360" w:lineRule="auto"/>
    </w:pPr>
    <w:rPr>
      <w:rFonts w:ascii="Times New Roman" w:hAnsi="Times New Roman" w:eastAsia="宋体" w:cs="Times New Roman"/>
      <w:color w:val="ff0000"/>
      <w:sz w:val="24"/>
      <w:szCs w:val="24"/>
    </w:rPr>
  </w:style>
  <w:style w:type="paragraph" w:styleId="772">
    <w:name w:val="普通 (Web)"/>
    <w:basedOn w:val="676"/>
    <w:next w:val="772"/>
    <w:link w:val="676"/>
    <w:pPr>
      <w:jc w:val="left"/>
      <w:spacing w:before="100" w:beforeAutospacing="1" w:after="100" w:afterAutospacing="1"/>
      <w:widowControl/>
    </w:pPr>
    <w:rPr>
      <w:rFonts w:ascii="宋体" w:hAnsi="宋体" w:eastAsia="宋体" w:cs="Times New Roman"/>
      <w:sz w:val="24"/>
      <w:szCs w:val="24"/>
    </w:rPr>
  </w:style>
  <w:style w:type="paragraph" w:styleId="773">
    <w:name w:val=" Char Char Char Char Char Char Char Char Char Char"/>
    <w:basedOn w:val="676"/>
    <w:next w:val="773"/>
    <w:link w:val="676"/>
    <w:pPr>
      <w:spacing w:line="360" w:lineRule="auto"/>
    </w:pPr>
    <w:rPr>
      <w:rFonts w:ascii="Times New Roman" w:hAnsi="Times New Roman" w:eastAsia="宋体" w:cs="Times New Roman"/>
      <w:sz w:val="24"/>
      <w:szCs w:val="20"/>
    </w:rPr>
  </w:style>
  <w:style w:type="paragraph" w:styleId="774">
    <w:name w:val="样式1"/>
    <w:basedOn w:val="676"/>
    <w:next w:val="774"/>
    <w:link w:val="676"/>
    <w:pPr>
      <w:numPr>
        <w:ilvl w:val="0"/>
        <w:numId w:val="3"/>
      </w:numPr>
      <w:tabs>
        <w:tab w:val="left" w:pos="709" w:leader="none"/>
      </w:tabs>
    </w:pPr>
    <w:rPr>
      <w:rFonts w:ascii="宋体" w:hAnsi="宋体" w:eastAsia="宋体" w:cs="Times New Roman"/>
      <w:szCs w:val="21"/>
    </w:rPr>
  </w:style>
  <w:style w:type="paragraph" w:styleId="775">
    <w:name w:val="font6"/>
    <w:basedOn w:val="676"/>
    <w:next w:val="775"/>
    <w:link w:val="676"/>
    <w:pPr>
      <w:jc w:val="left"/>
      <w:spacing w:before="100" w:beforeAutospacing="1" w:after="100" w:afterAutospacing="1"/>
      <w:widowControl/>
    </w:pPr>
    <w:rPr>
      <w:rFonts w:hint="eastAsia" w:ascii="宋体" w:hAnsi="宋体" w:eastAsia="宋体" w:cs="Times New Roman"/>
      <w:sz w:val="28"/>
      <w:szCs w:val="28"/>
      <w:u w:val="single"/>
    </w:rPr>
  </w:style>
  <w:style w:type="paragraph" w:styleId="776">
    <w:name w:val="xl25"/>
    <w:basedOn w:val="676"/>
    <w:next w:val="776"/>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name w:val="图标"/>
    <w:basedOn w:val="676"/>
    <w:next w:val="676"/>
    <w:link w:val="67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8">
    <w:name w:val="标题3"/>
    <w:basedOn w:val="676"/>
    <w:next w:val="676"/>
    <w:link w:val="676"/>
    <w:pPr>
      <w:ind w:firstLine="624"/>
      <w:spacing w:line="590" w:lineRule="atLeast"/>
    </w:pPr>
    <w:rPr>
      <w:rFonts w:ascii="方正黑体_GBK" w:hAnsi="Times New Roman" w:eastAsia="方正黑体_GBK" w:cs="Times New Roman"/>
      <w:sz w:val="32"/>
      <w:szCs w:val="32"/>
    </w:rPr>
  </w:style>
  <w:style w:type="paragraph" w:styleId="779">
    <w:name w:val="xl24"/>
    <w:basedOn w:val="676"/>
    <w:next w:val="779"/>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xl29"/>
    <w:basedOn w:val="676"/>
    <w:next w:val="780"/>
    <w:link w:val="67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1">
    <w:name w:val="Char Char Char Char Char Char Char Char"/>
    <w:basedOn w:val="676"/>
    <w:next w:val="781"/>
    <w:link w:val="676"/>
    <w:pPr>
      <w:jc w:val="left"/>
      <w:spacing w:after="160" w:line="240" w:lineRule="exact"/>
      <w:widowControl/>
    </w:pPr>
    <w:rPr>
      <w:rFonts w:ascii="Verdana" w:hAnsi="Verdana" w:eastAsia="宋体" w:cs="Times New Roman"/>
      <w:sz w:val="20"/>
      <w:szCs w:val="20"/>
      <w:lang w:eastAsia="en-US"/>
    </w:rPr>
  </w:style>
  <w:style w:type="paragraph" w:styleId="782">
    <w:name w:val="xl28"/>
    <w:basedOn w:val="676"/>
    <w:next w:val="782"/>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3">
    <w:name w:val=" Char Char Char Char Char Char Char Char"/>
    <w:basedOn w:val="676"/>
    <w:next w:val="783"/>
    <w:link w:val="676"/>
    <w:pPr>
      <w:jc w:val="left"/>
      <w:spacing w:after="160" w:line="240" w:lineRule="exact"/>
      <w:widowControl/>
    </w:pPr>
    <w:rPr>
      <w:rFonts w:ascii="Verdana" w:hAnsi="Verdana" w:eastAsia="宋体" w:cs="Times New Roman"/>
      <w:sz w:val="20"/>
      <w:szCs w:val="20"/>
      <w:lang w:eastAsia="en-US"/>
    </w:rPr>
  </w:style>
  <w:style w:type="paragraph" w:styleId="784">
    <w:name w:val="xl30"/>
    <w:basedOn w:val="676"/>
    <w:next w:val="784"/>
    <w:link w:val="676"/>
    <w:pPr>
      <w:jc w:val="center"/>
      <w:spacing w:before="100" w:beforeAutospacing="1" w:after="100" w:afterAutospacing="1"/>
      <w:widowControl/>
    </w:pPr>
    <w:rPr>
      <w:rFonts w:ascii="宋体" w:hAnsi="宋体" w:eastAsia="宋体" w:cs="Times New Roman"/>
      <w:b/>
      <w:bCs/>
      <w:sz w:val="36"/>
      <w:szCs w:val="36"/>
    </w:rPr>
  </w:style>
  <w:style w:type="paragraph" w:styleId="785">
    <w:name w:val="Char Char Char Char"/>
    <w:basedOn w:val="701"/>
    <w:next w:val="785"/>
    <w:link w:val="676"/>
    <w:pPr>
      <w:spacing w:line="360" w:lineRule="auto"/>
    </w:pPr>
    <w:rPr>
      <w:rFonts w:ascii="Tahoma" w:hAnsi="Tahoma"/>
      <w:sz w:val="24"/>
      <w:szCs w:val="24"/>
    </w:rPr>
  </w:style>
  <w:style w:type="paragraph" w:styleId="786">
    <w:name w:val="table_1stline"/>
    <w:basedOn w:val="676"/>
    <w:next w:val="786"/>
    <w:link w:val="676"/>
    <w:pPr>
      <w:jc w:val="left"/>
      <w:spacing w:before="120"/>
      <w:widowControl/>
    </w:pPr>
    <w:rPr>
      <w:rFonts w:ascii="Times New Roman" w:hAnsi="Times New Roman" w:eastAsia="宋体" w:cs="Times New Roman"/>
      <w:bCs/>
      <w:sz w:val="20"/>
      <w:szCs w:val="20"/>
      <w:lang w:val="de-DE" w:eastAsia="de-DE"/>
    </w:rPr>
  </w:style>
  <w:style w:type="paragraph" w:styleId="787">
    <w:name w:val="font5"/>
    <w:basedOn w:val="676"/>
    <w:next w:val="787"/>
    <w:link w:val="676"/>
    <w:pPr>
      <w:jc w:val="left"/>
      <w:spacing w:before="100" w:beforeAutospacing="1" w:after="100" w:afterAutospacing="1"/>
      <w:widowControl/>
    </w:pPr>
    <w:rPr>
      <w:rFonts w:hint="eastAsia" w:ascii="宋体" w:hAnsi="宋体" w:eastAsia="宋体" w:cs="Times New Roman"/>
      <w:sz w:val="28"/>
      <w:szCs w:val="28"/>
    </w:rPr>
  </w:style>
  <w:style w:type="paragraph" w:styleId="788">
    <w:name w:val="标题1"/>
    <w:basedOn w:val="676"/>
    <w:next w:val="676"/>
    <w:link w:val="67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9">
    <w:name w:val="修订"/>
    <w:next w:val="789"/>
    <w:link w:val="676"/>
    <w:uiPriority w:val="99"/>
    <w:semiHidden/>
    <w:rPr>
      <w:rFonts w:ascii="Times New Roman" w:hAnsi="Times New Roman"/>
      <w:sz w:val="21"/>
      <w:szCs w:val="21"/>
      <w:lang w:val="en-US" w:eastAsia="zh-CN" w:bidi="ar-SA"/>
    </w:rPr>
  </w:style>
  <w:style w:type="paragraph" w:styleId="790">
    <w:name w:val="无间隔"/>
    <w:next w:val="790"/>
    <w:link w:val="676"/>
    <w:uiPriority w:val="99"/>
    <w:qFormat/>
    <w:pPr>
      <w:jc w:val="both"/>
      <w:widowControl w:val="off"/>
    </w:pPr>
    <w:rPr>
      <w:rFonts w:ascii="Times New Roman" w:hAnsi="Times New Roman"/>
      <w:sz w:val="21"/>
      <w:szCs w:val="21"/>
      <w:lang w:val="en-US" w:eastAsia="zh-CN" w:bidi="ar-SA"/>
    </w:rPr>
  </w:style>
  <w:style w:type="paragraph" w:styleId="791">
    <w:name w:val="协议正文"/>
    <w:basedOn w:val="676"/>
    <w:next w:val="791"/>
    <w:link w:val="676"/>
    <w:qFormat/>
    <w:pPr>
      <w:ind w:firstLine="200"/>
      <w:spacing w:line="360" w:lineRule="auto"/>
    </w:pPr>
    <w:rPr>
      <w:rFonts w:ascii="仿宋" w:hAnsi="仿宋" w:cs="Arial"/>
      <w:sz w:val="24"/>
      <w:szCs w:val="21"/>
    </w:rPr>
  </w:style>
  <w:style w:type="paragraph" w:styleId="792">
    <w:name w:val="合同正文"/>
    <w:basedOn w:val="676"/>
    <w:next w:val="792"/>
    <w:link w:val="676"/>
    <w:qFormat/>
    <w:pPr>
      <w:ind w:firstLine="200"/>
      <w:spacing w:beforeAutospacing="0" w:afterAutospacing="0" w:line="360" w:lineRule="auto"/>
    </w:pPr>
    <w:rPr>
      <w:rFonts w:eastAsia="宋体"/>
      <w:sz w:val="24"/>
    </w:rPr>
  </w:style>
  <w:style w:type="paragraph" w:styleId="793">
    <w:name w:val="普通文字"/>
    <w:basedOn w:val="676"/>
    <w:next w:val="676"/>
    <w:link w:val="676"/>
    <w:pPr>
      <w:ind w:left="0" w:right="0"/>
      <w:jc w:val="both"/>
      <w:keepLines w:val="0"/>
      <w:keepNext w:val="0"/>
      <w:spacing w:before="0" w:beforeAutospacing="0" w:after="0" w:afterAutospacing="0"/>
      <w:widowControl w:val="off"/>
      <w:suppressLineNumbers w:val="0"/>
    </w:pPr>
    <w:rPr>
      <w:rFonts w:hint="eastAsia" w:ascii="宋体" w:hAnsi="Times New Roman" w:eastAsia="宋体" w:cs="Times New Roman"/>
      <w:sz w:val="24"/>
      <w:szCs w:val="20"/>
      <w:lang w:val="en-US" w:eastAsia="zh-CN" w:bidi="ar"/>
    </w:rPr>
  </w:style>
  <w:style w:type="character" w:styleId="794">
    <w:name w:val="font21"/>
    <w:next w:val="794"/>
    <w:link w:val="676"/>
    <w:qFormat/>
    <w:rPr>
      <w:rFonts w:hint="eastAsia" w:ascii="方正仿宋_GBK" w:hAnsi="方正仿宋_GBK" w:eastAsia="方正仿宋_GBK" w:cs="方正仿宋_GBK"/>
      <w:color w:val="000000"/>
      <w:sz w:val="24"/>
      <w:szCs w:val="24"/>
      <w:u w:val="none"/>
    </w:rPr>
  </w:style>
  <w:style w:type="character" w:styleId="795">
    <w:name w:val="font51"/>
    <w:next w:val="795"/>
    <w:link w:val="676"/>
    <w:qFormat/>
    <w:rPr>
      <w:rFonts w:hint="eastAsia" w:ascii="黑体" w:hAnsi="宋体" w:eastAsia="黑体" w:cs="黑体"/>
      <w:color w:val="000000"/>
      <w:sz w:val="24"/>
      <w:szCs w:val="24"/>
      <w:u w:val="none"/>
    </w:rPr>
  </w:style>
  <w:style w:type="character" w:styleId="796">
    <w:name w:val="font61"/>
    <w:next w:val="796"/>
    <w:link w:val="676"/>
    <w:qFormat/>
    <w:rPr>
      <w:rFonts w:hint="eastAsia" w:ascii="方正仿宋_GBK" w:hAnsi="方正仿宋_GBK" w:eastAsia="方正仿宋_GBK" w:cs="方正仿宋_GBK"/>
      <w:color w:val="000000"/>
      <w:sz w:val="24"/>
      <w:szCs w:val="24"/>
      <w:u w:val="none"/>
    </w:rPr>
  </w:style>
  <w:style w:type="character" w:styleId="797">
    <w:name w:val="font71"/>
    <w:next w:val="797"/>
    <w:link w:val="676"/>
    <w:qFormat/>
    <w:rPr>
      <w:rFonts w:ascii="Times New Roman" w:hAnsi="Times New Roman" w:cs="Times New Roman"/>
      <w:color w:val="000000"/>
      <w:sz w:val="24"/>
      <w:szCs w:val="24"/>
      <w:u w:val="none"/>
    </w:rPr>
  </w:style>
  <w:style w:type="paragraph" w:styleId="798">
    <w:name w:val="样式 正文缩进特点表正文正文非缩进正文（首行缩进两字）段1正文不缩进标题4特点标题ALT+Z四号正文（段落...1"/>
    <w:basedOn w:val="676"/>
    <w:next w:val="798"/>
    <w:link w:val="676"/>
    <w:qFormat/>
    <w:pPr>
      <w:ind w:firstLine="420"/>
      <w:spacing w:line="360" w:lineRule="auto"/>
    </w:pPr>
    <w:rPr>
      <w:rFonts w:ascii="汉鼎简仿宋" w:hAnsi="汉鼎简仿宋" w:eastAsia="方正仿宋_GBK"/>
      <w:sz w:val="24"/>
      <w:szCs w:val="20"/>
    </w:rPr>
  </w:style>
  <w:style w:type="paragraph" w:styleId="799">
    <w:name w:val="Compact"/>
    <w:basedOn w:val="703"/>
    <w:next w:val="799"/>
    <w:link w:val="676"/>
    <w:qFormat/>
    <w:pPr>
      <w:spacing w:before="36" w:after="36"/>
    </w:pPr>
  </w:style>
  <w:style w:type="character" w:styleId="8564" w:default="1">
    <w:name w:val="Default Paragraph Font"/>
    <w:uiPriority w:val="1"/>
    <w:semiHidden/>
    <w:unhideWhenUsed/>
  </w:style>
  <w:style w:type="numbering" w:styleId="8565" w:default="1">
    <w:name w:val="No List"/>
    <w:uiPriority w:val="99"/>
    <w:semiHidden/>
    <w:unhideWhenUsed/>
  </w:style>
  <w:style w:type="table" w:styleId="85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196"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63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351"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61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128"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594"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798"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037"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168" TargetMode="External"/><Relationship Id="rId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095" TargetMode="External"/><Relationship Id="rId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389" TargetMode="External"/><Relationship Id="rId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614" TargetMode="External"/><Relationship Id="rId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445" TargetMode="External"/><Relationship Id="rId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047" TargetMode="External"/><Relationship Id="rId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675" TargetMode="External"/><Relationship Id="rId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492" TargetMode="External"/><Relationship Id="rId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080" TargetMode="External"/><Relationship Id="rId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26" TargetMode="External"/><Relationship Id="rId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321" TargetMode="External"/><Relationship Id="rId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830" TargetMode="External"/><Relationship Id="rId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509" TargetMode="External"/><Relationship Id="rId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588" TargetMode="External"/><Relationship Id="rId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548" TargetMode="External"/><Relationship Id="rId3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42" TargetMode="External"/><Relationship Id="rId3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676" TargetMode="External"/><Relationship Id="rId3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578" TargetMode="External"/><Relationship Id="rId3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399" TargetMode="External"/><Relationship Id="rId3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38" TargetMode="External"/><Relationship Id="rId4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541" TargetMode="External"/><Relationship Id="rId4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22" TargetMode="External"/><Relationship Id="rId4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840" TargetMode="External"/><Relationship Id="rId4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483" TargetMode="External"/><Relationship Id="rId4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618" TargetMode="External"/><Relationship Id="rId4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318" TargetMode="External"/><Relationship Id="rId4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329" TargetMode="External"/><Relationship Id="rId4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06" TargetMode="External"/><Relationship Id="rId4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769" TargetMode="External"/><Relationship Id="rId4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764" TargetMode="External"/><Relationship Id="rId5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26" TargetMode="External"/><Relationship Id="rId5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22" TargetMode="External"/><Relationship Id="rId5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417" TargetMode="External"/><Relationship Id="rId5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489" TargetMode="External"/><Relationship Id="rId5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589" TargetMode="External"/><Relationship Id="rId5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1752" TargetMode="External"/><Relationship Id="rId5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333" TargetMode="External"/><Relationship Id="rId5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11" TargetMode="External"/><Relationship Id="rId5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619" TargetMode="External"/><Relationship Id="rId5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657" TargetMode="External"/><Relationship Id="rId6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544" TargetMode="External"/><Relationship Id="rId6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891" TargetMode="External"/><Relationship Id="rId6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41" TargetMode="External"/><Relationship Id="rId6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533" TargetMode="External"/><Relationship Id="rId6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592" TargetMode="External"/><Relationship Id="rId6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963" TargetMode="External"/><Relationship Id="rId6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636" TargetMode="External"/><Relationship Id="rId6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24" TargetMode="External"/><Relationship Id="rId6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085" TargetMode="External"/><Relationship Id="rId6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636" TargetMode="External"/><Relationship Id="rId7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173" TargetMode="External"/><Relationship Id="rId7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786" TargetMode="External"/><Relationship Id="rId7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36" TargetMode="External"/><Relationship Id="rId7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348" TargetMode="External"/><Relationship Id="rId7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8" TargetMode="External"/><Relationship Id="rId7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35" TargetMode="External"/><Relationship Id="rId7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439" TargetMode="External"/><Relationship Id="rId7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862" TargetMode="External"/><Relationship Id="rId7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408" TargetMode="External"/><Relationship Id="rId7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56" TargetMode="External"/><Relationship Id="rId8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631" TargetMode="External"/><Relationship Id="rId8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337" TargetMode="External"/><Relationship Id="rId8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112" TargetMode="External"/><Relationship Id="rId8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139" TargetMode="External"/><Relationship Id="rId8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005" TargetMode="External"/><Relationship Id="rId8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630" TargetMode="External"/><Relationship Id="rId8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963" TargetMode="External"/><Relationship Id="rId8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585" TargetMode="External"/><Relationship Id="rId8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349" TargetMode="External"/><Relationship Id="rId8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068" TargetMode="External"/><Relationship Id="rId9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269" TargetMode="External"/><Relationship Id="rId9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958" TargetMode="External"/><Relationship Id="rId9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446" TargetMode="External"/><Relationship Id="rId9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5920" TargetMode="External"/><Relationship Id="rId9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292" TargetMode="External"/><Relationship Id="rId9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843" TargetMode="External"/><Relationship Id="rId9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144" TargetMode="External"/><Relationship Id="rId9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138" TargetMode="External"/><Relationship Id="rId9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411" TargetMode="External"/><Relationship Id="rId9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380" TargetMode="External"/><Relationship Id="rId10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510" TargetMode="External"/><Relationship Id="rId10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45" TargetMode="External"/><Relationship Id="rId10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837" TargetMode="External"/><Relationship Id="rId10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869" TargetMode="External"/><Relationship Id="rId10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50" TargetMode="External"/><Relationship Id="rId10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 TargetMode="External"/><Relationship Id="rId10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806" TargetMode="External"/><Relationship Id="rId10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467" TargetMode="External"/><Relationship Id="rId10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958" TargetMode="External"/><Relationship Id="rId10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547" TargetMode="External"/><Relationship Id="rId1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446" TargetMode="External"/><Relationship Id="rId1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577" TargetMode="External"/><Relationship Id="rId1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913" TargetMode="External"/><Relationship Id="rId1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687" TargetMode="External"/><Relationship Id="rId1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882" TargetMode="External"/><Relationship Id="rId1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473" TargetMode="External"/><Relationship Id="rId1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078" TargetMode="External"/><Relationship Id="rId1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23" TargetMode="External"/><Relationship Id="rId1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071" TargetMode="External"/><Relationship Id="rId1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570" TargetMode="External"/><Relationship Id="rId1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337" TargetMode="External"/><Relationship Id="rId12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354" TargetMode="External"/><Relationship Id="rId12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01" TargetMode="External"/><Relationship Id="rId12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355" TargetMode="External"/><Relationship Id="rId12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03" TargetMode="External"/><Relationship Id="rId12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948" TargetMode="External"/><Relationship Id="rId12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7979" TargetMode="External"/><Relationship Id="rId12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215" TargetMode="External"/><Relationship Id="rId12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1468" TargetMode="External"/><Relationship Id="rId12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236" TargetMode="External"/><Relationship Id="rId13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279" TargetMode="External"/><Relationship Id="rId13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7617" TargetMode="External"/><Relationship Id="rId13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6991" TargetMode="External"/><Relationship Id="rId13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503" TargetMode="External"/><Relationship Id="rId13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褚敏</cp:lastModifiedBy>
  <cp:revision>6</cp:revision>
  <dcterms:created xsi:type="dcterms:W3CDTF">2025-06-06T09:33:00Z</dcterms:created>
  <dcterms:modified xsi:type="dcterms:W3CDTF">2026-10-23T01:02:10Z</dcterms:modified>
</cp:coreProperties>
</file>