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000000" w:themeColor="text1"/>
          <w:sz w:val="72"/>
          <w:szCs w:val="72"/>
          <w:highlight w:val="white"/>
          <w14:textFill>
            <w14:solidFill>
              <w14:schemeClr w14:val="tx1"/>
            </w14:solidFill>
          </w14:textFill>
        </w:rPr>
      </w:pPr>
      <w:r>
        <w:rPr>
          <w:rFonts w:hint="eastAsia" w:ascii="宋体" w:hAnsi="宋体"/>
          <w:b/>
          <w:color w:val="000000" w:themeColor="text1"/>
          <w:sz w:val="72"/>
          <w:szCs w:val="72"/>
          <w:highlight w:val="white"/>
          <w14:textFill>
            <w14:solidFill>
              <w14:schemeClr w14:val="tx1"/>
            </w14:solidFill>
          </w14:textFill>
        </w:rPr>
      </w:r>
      <w:r>
        <w:rPr>
          <w:highlight w:val="white"/>
        </w:rPr>
      </w:r>
      <w:r/>
    </w:p>
    <w:p>
      <w:pPr>
        <w:jc w:val="center"/>
        <w:rPr>
          <w:rFonts w:hint="eastAsia" w:hAnsi="宋体"/>
          <w:b/>
          <w:color w:val="000000" w:themeColor="text1"/>
          <w:spacing w:val="40"/>
          <w:sz w:val="96"/>
          <w:szCs w:val="96"/>
          <w:highlight w:val="white"/>
          <w14:textFill>
            <w14:solidFill>
              <w14:schemeClr w14:val="tx1"/>
            </w14:solidFill>
          </w14:textFill>
        </w:rPr>
      </w:pPr>
      <w:r>
        <w:rPr>
          <w:rFonts w:hint="eastAsia" w:ascii="宋体" w:hAnsi="宋体"/>
          <w:b/>
          <w:color w:val="000000" w:themeColor="text1"/>
          <w:sz w:val="72"/>
          <w:szCs w:val="72"/>
          <w:highlight w:val="white"/>
          <w14:textFill>
            <w14:solidFill>
              <w14:schemeClr w14:val="tx1"/>
            </w14:solidFill>
          </w14:textFill>
        </w:rPr>
        <w:t xml:space="preserve">苏州市吴中区政府采购</w:t>
      </w:r>
      <w:r>
        <w:rPr>
          <w:highlight w:val="white"/>
        </w:rPr>
      </w:r>
      <w:r/>
    </w:p>
    <w:p>
      <w:pPr>
        <w:jc w:val="center"/>
        <w:rPr>
          <w:rFonts w:hint="eastAsia" w:ascii="宋体" w:hAnsi="宋体"/>
          <w:b/>
          <w:color w:val="000000" w:themeColor="text1"/>
          <w:sz w:val="72"/>
          <w:szCs w:val="72"/>
          <w:highlight w:val="white"/>
          <w14:textFill>
            <w14:solidFill>
              <w14:schemeClr w14:val="tx1"/>
            </w14:solidFill>
          </w14:textFill>
        </w:rPr>
      </w:pPr>
      <w:r>
        <w:rPr>
          <w:rFonts w:hint="eastAsia" w:ascii="宋体" w:hAnsi="宋体"/>
          <w:b/>
          <w:color w:val="000000" w:themeColor="text1"/>
          <w:sz w:val="72"/>
          <w:szCs w:val="72"/>
          <w:highlight w:val="white"/>
          <w14:textFill>
            <w14:solidFill>
              <w14:schemeClr w14:val="tx1"/>
            </w14:solidFill>
          </w14:textFill>
        </w:rPr>
        <w:t xml:space="preserve">竞争性磋商文件</w:t>
      </w:r>
      <w:r>
        <w:rPr>
          <w:highlight w:val="white"/>
        </w:rPr>
      </w:r>
      <w:r/>
    </w:p>
    <w:p>
      <w:pPr>
        <w:jc w:val="cente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100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100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spacing w:line="360" w:lineRule="auto"/>
        <w:rPr>
          <w:rFonts w:hint="eastAsia" w:eastAsia="宋体"/>
          <w:b/>
          <w:color w:val="000000" w:themeColor="text1"/>
          <w:sz w:val="28"/>
          <w:highlight w:val="white"/>
          <w14:textFill>
            <w14:solidFill>
              <w14:schemeClr w14:val="tx1"/>
            </w14:solidFill>
          </w14:textFill>
        </w:rPr>
      </w:pPr>
      <w:r>
        <w:rPr>
          <w:b/>
          <w:color w:val="000000" w:themeColor="text1"/>
          <w:sz w:val="28"/>
          <w:highlight w:val="white"/>
          <w14:textFill>
            <w14:solidFill>
              <w14:schemeClr w14:val="tx1"/>
            </w14:solidFill>
          </w14:textFill>
        </w:rPr>
        <w:t xml:space="preserve">       </w:t>
      </w:r>
      <w:r>
        <w:rPr>
          <w:rFonts w:hint="eastAsia"/>
          <w:b/>
          <w:color w:val="000000" w:themeColor="text1"/>
          <w:sz w:val="28"/>
          <w:highlight w:val="white"/>
          <w14:textFill>
            <w14:solidFill>
              <w14:schemeClr w14:val="tx1"/>
            </w14:solidFill>
          </w14:textFill>
        </w:rPr>
        <w:t xml:space="preserve">  </w:t>
      </w:r>
      <w:r>
        <w:rPr>
          <w:b/>
          <w:color w:val="000000" w:themeColor="text1"/>
          <w:sz w:val="28"/>
          <w:highlight w:val="white"/>
          <w14:textFill>
            <w14:solidFill>
              <w14:schemeClr w14:val="tx1"/>
            </w14:solidFill>
          </w14:textFill>
        </w:rPr>
        <w:t xml:space="preserve"> 采购编号：</w:t>
      </w:r>
      <w:r>
        <w:rPr>
          <w:rFonts w:hint="eastAsia"/>
          <w:b/>
          <w:color w:val="000000" w:themeColor="text1"/>
          <w:sz w:val="28"/>
          <w:highlight w:val="white"/>
          <w:lang w:eastAsia="zh-CN"/>
          <w14:textFill>
            <w14:solidFill>
              <w14:schemeClr w14:val="tx1"/>
            </w14:solidFill>
          </w14:textFill>
        </w:rPr>
        <w:t xml:space="preserve">JSZC-320506006-ZHCD-C2026-0015</w:t>
      </w:r>
      <w:r>
        <w:rPr>
          <w:highlight w:val="white"/>
        </w:rPr>
      </w:r>
      <w:r/>
    </w:p>
    <w:p>
      <w:pPr>
        <w:spacing w:line="360" w:lineRule="auto"/>
        <w:rPr>
          <w:rFonts w:hint="eastAsia" w:eastAsia="宋体"/>
          <w:b/>
          <w:color w:val="000000" w:themeColor="text1"/>
          <w:sz w:val="28"/>
          <w:highlight w:val="white"/>
          <w14:textFill>
            <w14:solidFill>
              <w14:schemeClr w14:val="tx1"/>
            </w14:solidFill>
          </w14:textFill>
        </w:rPr>
      </w:pPr>
      <w:r>
        <w:rPr>
          <w:rFonts w:hint="eastAsia"/>
          <w:b/>
          <w:color w:val="000000" w:themeColor="text1"/>
          <w:sz w:val="28"/>
          <w:highlight w:val="white"/>
          <w14:textFill>
            <w14:solidFill>
              <w14:schemeClr w14:val="tx1"/>
            </w14:solidFill>
          </w14:textFill>
        </w:rPr>
        <w:t xml:space="preserve">          项目名称：</w:t>
      </w:r>
      <w:r>
        <w:rPr>
          <w:rFonts w:hint="eastAsia"/>
          <w:b/>
          <w:color w:val="000000" w:themeColor="text1"/>
          <w:sz w:val="28"/>
          <w:highlight w:val="white"/>
          <w:lang w:eastAsia="zh-CN"/>
          <w14:textFill>
            <w14:solidFill>
              <w14:schemeClr w14:val="tx1"/>
            </w14:solidFill>
          </w14:textFill>
        </w:rPr>
        <w:t xml:space="preserve">2026-2027年太湖新城社会联勤联防食堂食材配送项目</w:t>
      </w:r>
      <w:r>
        <w:rPr>
          <w:highlight w:val="white"/>
        </w:rPr>
      </w:r>
      <w:r/>
    </w:p>
    <w:p>
      <w:pPr>
        <w:spacing w:line="360" w:lineRule="auto"/>
        <w:rPr>
          <w:b/>
          <w:color w:val="000000" w:themeColor="text1"/>
          <w:sz w:val="28"/>
          <w:highlight w:val="white"/>
          <w14:textFill>
            <w14:solidFill>
              <w14:schemeClr w14:val="tx1"/>
            </w14:solidFill>
          </w14:textFill>
        </w:rPr>
      </w:pPr>
      <w:r>
        <w:rPr>
          <w:b/>
          <w:color w:val="000000" w:themeColor="text1"/>
          <w:sz w:val="28"/>
          <w:highlight w:val="white"/>
          <w14:textFill>
            <w14:solidFill>
              <w14:schemeClr w14:val="tx1"/>
            </w14:solidFill>
          </w14:textFill>
        </w:rPr>
        <w:t xml:space="preserve">          采购</w:t>
      </w:r>
      <w:r>
        <w:rPr>
          <w:rFonts w:hint="eastAsia"/>
          <w:b/>
          <w:color w:val="000000" w:themeColor="text1"/>
          <w:sz w:val="28"/>
          <w:highlight w:val="white"/>
          <w14:textFill>
            <w14:solidFill>
              <w14:schemeClr w14:val="tx1"/>
            </w14:solidFill>
          </w14:textFill>
        </w:rPr>
        <w:t xml:space="preserve">单位</w:t>
      </w:r>
      <w:r>
        <w:rPr>
          <w:b/>
          <w:color w:val="000000" w:themeColor="text1"/>
          <w:sz w:val="28"/>
          <w:highlight w:val="white"/>
          <w14:textFill>
            <w14:solidFill>
              <w14:schemeClr w14:val="tx1"/>
            </w14:solidFill>
          </w14:textFill>
        </w:rPr>
        <w:t xml:space="preserve">：</w:t>
      </w:r>
      <w:r>
        <w:rPr>
          <w:rFonts w:hint="eastAsia"/>
          <w:b/>
          <w:color w:val="000000" w:themeColor="text1"/>
          <w:sz w:val="28"/>
          <w:highlight w:val="white"/>
          <w14:textFill>
            <w14:solidFill>
              <w14:schemeClr w14:val="tx1"/>
            </w14:solidFill>
          </w14:textFill>
        </w:rPr>
        <w:t xml:space="preserve">苏州市吴中区人民政府太湖街道办事处</w:t>
      </w:r>
      <w:r>
        <w:rPr>
          <w:highlight w:val="white"/>
        </w:rPr>
      </w:r>
      <w:r/>
    </w:p>
    <w:p>
      <w:pPr>
        <w:ind w:firstLine="1405"/>
        <w:spacing w:line="360" w:lineRule="auto"/>
        <w:rPr>
          <w:b/>
          <w:color w:val="000000" w:themeColor="text1"/>
          <w:sz w:val="28"/>
          <w:highlight w:val="white"/>
          <w14:textFill>
            <w14:solidFill>
              <w14:schemeClr w14:val="tx1"/>
            </w14:solidFill>
          </w14:textFill>
        </w:rPr>
      </w:pPr>
      <w:r>
        <w:rPr>
          <w:b/>
          <w:color w:val="000000" w:themeColor="text1"/>
          <w:sz w:val="28"/>
          <w:highlight w:val="white"/>
          <w14:textFill>
            <w14:solidFill>
              <w14:schemeClr w14:val="tx1"/>
            </w14:solidFill>
          </w14:textFill>
        </w:rPr>
        <w:t xml:space="preserve">采购</w:t>
      </w:r>
      <w:r>
        <w:rPr>
          <w:rFonts w:hint="eastAsia"/>
          <w:b/>
          <w:color w:val="000000" w:themeColor="text1"/>
          <w:sz w:val="28"/>
          <w:highlight w:val="white"/>
          <w14:textFill>
            <w14:solidFill>
              <w14:schemeClr w14:val="tx1"/>
            </w14:solidFill>
          </w14:textFill>
        </w:rPr>
        <w:t xml:space="preserve">代理机构</w:t>
      </w:r>
      <w:r>
        <w:rPr>
          <w:b/>
          <w:color w:val="000000" w:themeColor="text1"/>
          <w:sz w:val="28"/>
          <w:highlight w:val="white"/>
          <w14:textFill>
            <w14:solidFill>
              <w14:schemeClr w14:val="tx1"/>
            </w14:solidFill>
          </w14:textFill>
        </w:rPr>
        <w:t xml:space="preserve">：</w:t>
      </w:r>
      <w:r>
        <w:rPr>
          <w:rFonts w:hint="eastAsia"/>
          <w:b/>
          <w:color w:val="000000" w:themeColor="text1"/>
          <w:sz w:val="28"/>
          <w:highlight w:val="white"/>
          <w14:textFill>
            <w14:solidFill>
              <w14:schemeClr w14:val="tx1"/>
            </w14:solidFill>
          </w14:textFill>
        </w:rPr>
        <w:t xml:space="preserve">江苏至衡诚达工程咨询有限公司</w:t>
      </w:r>
      <w:r>
        <w:rPr>
          <w:highlight w:val="white"/>
        </w:rPr>
      </w:r>
      <w:r/>
    </w:p>
    <w:p>
      <w:pPr>
        <w:ind w:firstLine="1405"/>
        <w:spacing w:line="360" w:lineRule="auto"/>
        <w:rPr>
          <w:b/>
          <w:color w:val="000000" w:themeColor="text1"/>
          <w:sz w:val="28"/>
          <w:highlight w:val="white"/>
          <w14:textFill>
            <w14:solidFill>
              <w14:schemeClr w14:val="tx1"/>
            </w14:solidFill>
          </w14:textFill>
        </w:rPr>
      </w:pPr>
      <w:r>
        <w:rPr>
          <w:rFonts w:hint="eastAsia"/>
          <w:b/>
          <w:color w:val="000000" w:themeColor="text1"/>
          <w:sz w:val="28"/>
          <w:highlight w:val="white"/>
          <w14:textFill>
            <w14:solidFill>
              <w14:schemeClr w14:val="tx1"/>
            </w14:solidFill>
          </w14:textFill>
        </w:rPr>
        <w:t xml:space="preserve">采购类型：服务类</w:t>
      </w:r>
      <w:r>
        <w:rPr>
          <w:highlight w:val="white"/>
        </w:rPr>
      </w:r>
      <w:r/>
    </w:p>
    <w:p>
      <w:pPr>
        <w:spacing w:line="360" w:lineRule="auto"/>
        <w:rPr>
          <w:b/>
          <w:color w:val="000000" w:themeColor="text1"/>
          <w:sz w:val="28"/>
          <w:highlight w:val="white"/>
          <w14:textFill>
            <w14:solidFill>
              <w14:schemeClr w14:val="tx1"/>
            </w14:solidFill>
          </w14:textFill>
        </w:rPr>
      </w:pPr>
      <w:r>
        <w:rPr>
          <w:b/>
          <w:color w:val="000000" w:themeColor="text1"/>
          <w:sz w:val="28"/>
          <w:highlight w:val="white"/>
          <w14:textFill>
            <w14:solidFill>
              <w14:schemeClr w14:val="tx1"/>
            </w14:solidFill>
          </w14:textFill>
        </w:rPr>
      </w:r>
      <w:r>
        <w:rPr>
          <w:highlight w:val="white"/>
        </w:rPr>
      </w:r>
      <w:r/>
    </w:p>
    <w:p>
      <w:pPr>
        <w:spacing w:line="360" w:lineRule="auto"/>
        <w:rPr>
          <w:b/>
          <w:color w:val="000000" w:themeColor="text1"/>
          <w:sz w:val="32"/>
          <w:highlight w:val="white"/>
          <w14:textFill>
            <w14:solidFill>
              <w14:schemeClr w14:val="tx1"/>
            </w14:solidFill>
          </w14:textFill>
        </w:rPr>
      </w:pPr>
      <w:r>
        <w:rPr>
          <w:b/>
          <w:color w:val="000000" w:themeColor="text1"/>
          <w:sz w:val="32"/>
          <w:highlight w:val="white"/>
          <w14:textFill>
            <w14:solidFill>
              <w14:schemeClr w14:val="tx1"/>
            </w14:solidFill>
          </w14:textFill>
        </w:rPr>
      </w:r>
      <w:r>
        <w:rPr>
          <w:highlight w:val="white"/>
        </w:rPr>
      </w:r>
      <w:r/>
    </w:p>
    <w:p>
      <w:pPr>
        <w:spacing w:line="360" w:lineRule="auto"/>
        <w:rPr>
          <w:b/>
          <w:color w:val="000000" w:themeColor="text1"/>
          <w:spacing w:val="-26"/>
          <w:highlight w:val="white"/>
          <w14:textFill>
            <w14:solidFill>
              <w14:schemeClr w14:val="tx1"/>
            </w14:solidFill>
          </w14:textFill>
        </w:rPr>
      </w:pPr>
      <w:r>
        <w:rPr>
          <w:b/>
          <w:color w:val="000000" w:themeColor="text1"/>
          <w:spacing w:val="-26"/>
          <w:highlight w:val="white"/>
          <w14:textFill>
            <w14:solidFill>
              <w14:schemeClr w14:val="tx1"/>
            </w14:solidFill>
          </w14:textFill>
        </w:rPr>
      </w:r>
      <w:r>
        <w:rPr>
          <w:highlight w:val="white"/>
        </w:rPr>
      </w:r>
      <w:r/>
    </w:p>
    <w:p>
      <w:pPr>
        <w:pStyle w:val="128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b/>
          <w:color w:val="000000" w:themeColor="text1"/>
          <w:highlight w:val="white"/>
          <w14:textFill>
            <w14:solidFill>
              <w14:schemeClr w14:val="tx1"/>
            </w14:solidFill>
          </w14:textFill>
        </w:rPr>
      </w:pPr>
      <w:r>
        <w:rPr>
          <w:b/>
          <w:color w:val="000000" w:themeColor="text1"/>
          <w:highlight w:val="white"/>
          <w14:textFill>
            <w14:solidFill>
              <w14:schemeClr w14:val="tx1"/>
            </w14:solidFill>
          </w14:textFill>
        </w:rPr>
      </w:r>
      <w:r>
        <w:rPr>
          <w:highlight w:val="white"/>
        </w:rPr>
      </w:r>
      <w:r/>
    </w:p>
    <w:p>
      <w:pPr>
        <w:jc w:val="center"/>
        <w:rPr>
          <w:rFonts w:hint="eastAsia" w:hAnsi="宋体"/>
          <w:b/>
          <w:color w:val="000000" w:themeColor="text1"/>
          <w:sz w:val="32"/>
          <w:highlight w:val="white"/>
          <w14:textFill>
            <w14:solidFill>
              <w14:schemeClr w14:val="tx1"/>
            </w14:solidFill>
          </w14:textFill>
        </w:rPr>
      </w:pPr>
      <w:r>
        <w:rPr>
          <w:rFonts w:hAnsi="宋体"/>
          <w:b/>
          <w:color w:val="000000" w:themeColor="text1"/>
          <w:sz w:val="32"/>
          <w:highlight w:val="white"/>
          <w14:textFill>
            <w14:solidFill>
              <w14:schemeClr w14:val="tx1"/>
            </w14:solidFill>
          </w14:textFill>
        </w:rPr>
        <w:t xml:space="preserve">二</w:t>
      </w:r>
      <w:r>
        <w:rPr>
          <w:rFonts w:hint="eastAsia"/>
          <w:b/>
          <w:color w:val="000000" w:themeColor="text1"/>
          <w:sz w:val="32"/>
          <w:highlight w:val="white"/>
          <w14:textFill>
            <w14:solidFill>
              <w14:schemeClr w14:val="tx1"/>
            </w14:solidFill>
          </w14:textFill>
        </w:rPr>
        <w:t xml:space="preserve">〇</w:t>
      </w:r>
      <w:r>
        <w:rPr>
          <w:rFonts w:hint="eastAsia" w:hAnsi="宋体"/>
          <w:b/>
          <w:color w:val="000000" w:themeColor="text1"/>
          <w:sz w:val="32"/>
          <w:highlight w:val="white"/>
          <w14:textFill>
            <w14:solidFill>
              <w14:schemeClr w14:val="tx1"/>
            </w14:solidFill>
          </w14:textFill>
        </w:rPr>
        <w:t xml:space="preserve">二</w:t>
      </w:r>
      <w:r>
        <w:rPr>
          <w:rFonts w:hint="eastAsia"/>
          <w:b/>
          <w:color w:val="000000" w:themeColor="text1"/>
          <w:sz w:val="32"/>
          <w:highlight w:val="white"/>
          <w14:textFill>
            <w14:solidFill>
              <w14:schemeClr w14:val="tx1"/>
            </w14:solidFill>
          </w14:textFill>
        </w:rPr>
        <w:t xml:space="preserve">六</w:t>
      </w:r>
      <w:r>
        <w:rPr>
          <w:rFonts w:hAnsi="宋体"/>
          <w:b/>
          <w:color w:val="000000" w:themeColor="text1"/>
          <w:sz w:val="32"/>
          <w:highlight w:val="white"/>
          <w14:textFill>
            <w14:solidFill>
              <w14:schemeClr w14:val="tx1"/>
            </w14:solidFill>
          </w14:textFill>
        </w:rPr>
        <w:t xml:space="preserve">年</w:t>
      </w:r>
      <w:r>
        <w:rPr>
          <w:rFonts w:hint="eastAsia" w:hAnsi="宋体"/>
          <w:b/>
          <w:color w:val="000000" w:themeColor="text1"/>
          <w:sz w:val="32"/>
          <w:highlight w:val="white"/>
          <w:lang w:val="en-US" w:eastAsia="zh-CN"/>
          <w14:textFill>
            <w14:solidFill>
              <w14:schemeClr w14:val="tx1"/>
            </w14:solidFill>
          </w14:textFill>
        </w:rPr>
        <w:t xml:space="preserve">十</w:t>
      </w:r>
      <w:r>
        <w:rPr>
          <w:rFonts w:hAnsi="宋体"/>
          <w:b/>
          <w:color w:val="000000" w:themeColor="text1"/>
          <w:sz w:val="32"/>
          <w:highlight w:val="white"/>
          <w14:textFill>
            <w14:solidFill>
              <w14:schemeClr w14:val="tx1"/>
            </w14:solidFill>
          </w14:textFill>
        </w:rPr>
        <w:t xml:space="preserve">月</w:t>
      </w:r>
      <w:r>
        <w:rPr>
          <w:highlight w:val="white"/>
        </w:rPr>
      </w:r>
      <w:r/>
    </w:p>
    <w:p>
      <w:pPr>
        <w:pStyle w:val="100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highlight w:val="white"/>
        </w:rPr>
      </w:r>
      <w:r/>
    </w:p>
    <w:p>
      <w:pPr>
        <w:jc w:val="center"/>
        <w:spacing w:line="360" w:lineRule="auto"/>
        <w:rPr>
          <w:rFonts w:hint="eastAsia" w:ascii="宋体" w:hAnsi="宋体"/>
          <w:b/>
          <w:color w:val="000000" w:themeColor="text1"/>
          <w:sz w:val="32"/>
          <w:szCs w:val="32"/>
          <w:highlight w:val="white"/>
          <w14:textFill>
            <w14:solidFill>
              <w14:schemeClr w14:val="tx1"/>
            </w14:solidFill>
          </w14:textFill>
        </w:rPr>
      </w:pPr>
      <w:r>
        <w:rPr>
          <w:rFonts w:hint="eastAsia" w:ascii="宋体" w:hAnsi="宋体"/>
          <w:b/>
          <w:color w:val="000000" w:themeColor="text1"/>
          <w:sz w:val="32"/>
          <w:szCs w:val="32"/>
          <w:highlight w:val="white"/>
          <w14:textFill>
            <w14:solidFill>
              <w14:schemeClr w14:val="tx1"/>
            </w14:solidFill>
          </w14:textFill>
        </w:rPr>
        <w:t xml:space="preserve">前附表</w:t>
      </w:r>
      <w:r>
        <w:rPr>
          <w:highlight w:val="white"/>
        </w:rPr>
      </w:r>
      <w:r/>
    </w:p>
    <w:tbl>
      <w:tblPr>
        <w:tblStyle w:val="913"/>
        <w:tblW w:w="9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jc w:val="center"/>
          <w:trHeight w:val="585"/>
        </w:trPr>
        <w:tc>
          <w:tcPr>
            <w:tcW w:w="766" w:type="dxa"/>
            <w:vAlign w:val="center"/>
            <w:textDirection w:val="lrTb"/>
            <w:noWrap w:val="false"/>
          </w:tcPr>
          <w:p>
            <w:pPr>
              <w:ind w:right="-136"/>
              <w:spacing w:line="400" w:lineRule="exact"/>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序号</w:t>
            </w:r>
            <w:r>
              <w:rPr>
                <w:highlight w:val="white"/>
              </w:rPr>
            </w:r>
            <w:r/>
          </w:p>
        </w:tc>
        <w:tc>
          <w:tcPr>
            <w:tcW w:w="1522" w:type="dxa"/>
            <w:vAlign w:val="center"/>
            <w:textDirection w:val="lrTb"/>
            <w:noWrap w:val="false"/>
          </w:tcPr>
          <w:p>
            <w:pPr>
              <w:jc w:val="center"/>
              <w:spacing w:line="400" w:lineRule="exact"/>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项目内容</w:t>
            </w:r>
            <w:r>
              <w:rPr>
                <w:highlight w:val="white"/>
              </w:rPr>
            </w:r>
            <w:r/>
          </w:p>
        </w:tc>
        <w:tc>
          <w:tcPr>
            <w:tcW w:w="6908" w:type="dxa"/>
            <w:vAlign w:val="center"/>
            <w:textDirection w:val="lrTb"/>
            <w:noWrap w:val="false"/>
          </w:tcPr>
          <w:p>
            <w:pPr>
              <w:jc w:val="center"/>
              <w:spacing w:line="400" w:lineRule="exact"/>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内容规定</w:t>
            </w:r>
            <w:r>
              <w:rPr>
                <w:highlight w:val="white"/>
              </w:rPr>
            </w:r>
            <w:r/>
          </w:p>
        </w:tc>
      </w:tr>
      <w:tr>
        <w:trPr>
          <w:jc w:val="center"/>
          <w:trHeight w:val="315"/>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项目名称</w:t>
            </w:r>
            <w:r>
              <w:rPr>
                <w:highlight w:val="white"/>
              </w:rPr>
            </w:r>
            <w:r/>
          </w:p>
        </w:tc>
        <w:tc>
          <w:tcPr>
            <w:tcW w:w="6908" w:type="dxa"/>
            <w:vAlign w:val="center"/>
            <w:textDirection w:val="lrTb"/>
            <w:noWrap w:val="false"/>
          </w:tcPr>
          <w:p>
            <w:pPr>
              <w:spacing w:line="40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eastAsia="zh-CN"/>
                <w14:textFill>
                  <w14:solidFill>
                    <w14:schemeClr w14:val="tx1"/>
                  </w14:solidFill>
                </w14:textFill>
              </w:rPr>
              <w:t xml:space="preserve">2026-2027年太湖新城社会联勤联防食堂食材配送项目</w:t>
            </w:r>
            <w:r>
              <w:rPr>
                <w:highlight w:val="white"/>
              </w:rPr>
            </w:r>
            <w:r/>
          </w:p>
        </w:tc>
      </w:tr>
      <w:tr>
        <w:trPr>
          <w:jc w:val="center"/>
          <w:trHeight w:val="510"/>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响应文件 有效期</w:t>
            </w:r>
            <w:r>
              <w:rPr>
                <w:highlight w:val="white"/>
              </w:rPr>
            </w:r>
            <w:r/>
          </w:p>
        </w:tc>
        <w:tc>
          <w:tcPr>
            <w:tcW w:w="6908" w:type="dxa"/>
            <w:vAlign w:val="center"/>
            <w:textDirection w:val="lrTb"/>
            <w:noWrap w:val="false"/>
          </w:tcPr>
          <w:p>
            <w:pP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响应文件提交截止之日起60天（日历日）</w:t>
            </w:r>
            <w:r>
              <w:rPr>
                <w:highlight w:val="white"/>
              </w:rPr>
            </w:r>
            <w:r/>
          </w:p>
        </w:tc>
      </w:tr>
      <w:tr>
        <w:trPr>
          <w:jc w:val="center"/>
          <w:trHeight w:val="434"/>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磋商保证金</w:t>
            </w:r>
            <w:r>
              <w:rPr>
                <w:highlight w:val="white"/>
              </w:rPr>
            </w:r>
            <w:r/>
          </w:p>
        </w:tc>
        <w:tc>
          <w:tcPr>
            <w:tcW w:w="6908" w:type="dxa"/>
            <w:vAlign w:val="center"/>
            <w:textDirection w:val="lrTb"/>
            <w:noWrap w:val="false"/>
          </w:tcPr>
          <w:p>
            <w:pPr>
              <w:pStyle w:val="1271"/>
              <w:rPr>
                <w:rFonts w:hint="eastAsia" w:eastAsia="宋体"/>
                <w:color w:val="000000" w:themeColor="text1"/>
                <w:szCs w:val="24"/>
                <w:highlight w:val="white"/>
                <w14:textFill>
                  <w14:solidFill>
                    <w14:schemeClr w14:val="tx1"/>
                  </w14:solidFill>
                </w14:textFill>
              </w:rPr>
            </w:pPr>
            <w:r>
              <w:rPr>
                <w:rFonts w:eastAsia="宋体"/>
                <w:color w:val="000000" w:themeColor="text1"/>
                <w:szCs w:val="24"/>
                <w:highlight w:val="white"/>
                <w14:textFill>
                  <w14:solidFill>
                    <w14:schemeClr w14:val="tx1"/>
                  </w14:solidFill>
                </w14:textFill>
              </w:rPr>
              <w:t xml:space="preserve">保证金：</w:t>
            </w:r>
            <w:r>
              <w:rPr>
                <w:highlight w:val="white"/>
              </w:rPr>
            </w:r>
            <w:r/>
          </w:p>
          <w:p>
            <w:pPr>
              <w:pStyle w:val="1271"/>
              <w:rPr>
                <w:rFonts w:hint="eastAsia" w:eastAsia="宋体"/>
                <w:color w:val="000000" w:themeColor="text1"/>
                <w:szCs w:val="24"/>
                <w:highlight w:val="white"/>
                <w14:textFill>
                  <w14:solidFill>
                    <w14:schemeClr w14:val="tx1"/>
                  </w14:solidFill>
                </w14:textFill>
              </w:rPr>
            </w:pPr>
            <w:r>
              <w:rPr>
                <w:rFonts w:hint="eastAsia" w:ascii="MS Gothic" w:hAnsi="MS Gothic" w:eastAsia="宋体" w:cs="MS Gothic"/>
                <w:color w:val="000000" w:themeColor="text1"/>
                <w:szCs w:val="24"/>
                <w:highlight w:val="white"/>
                <w14:textFill>
                  <w14:solidFill>
                    <w14:schemeClr w14:val="tx1"/>
                  </w14:solidFill>
                </w14:textFill>
              </w:rPr>
              <w:t xml:space="preserve">☑</w:t>
            </w:r>
            <w:r>
              <w:rPr>
                <w:rFonts w:eastAsia="宋体"/>
                <w:color w:val="000000" w:themeColor="text1"/>
                <w:szCs w:val="24"/>
                <w:highlight w:val="white"/>
                <w14:textFill>
                  <w14:solidFill>
                    <w14:schemeClr w14:val="tx1"/>
                  </w14:solidFill>
                </w14:textFill>
              </w:rPr>
              <w:t xml:space="preserve">不需提交，采购文件中有关保证金的规定均不适用。</w:t>
            </w:r>
            <w:r>
              <w:rPr>
                <w:highlight w:val="white"/>
              </w:rPr>
            </w:r>
            <w:r/>
          </w:p>
          <w:p>
            <w:pPr>
              <w:pStyle w:val="1271"/>
              <w:rPr>
                <w:rFonts w:hint="eastAsia" w:eastAsia="宋体"/>
                <w:color w:val="000000" w:themeColor="text1"/>
                <w:szCs w:val="24"/>
                <w:highlight w:val="white"/>
                <w14:textFill>
                  <w14:solidFill>
                    <w14:schemeClr w14:val="tx1"/>
                  </w14:solidFill>
                </w14:textFill>
              </w:rPr>
            </w:pPr>
            <w:r>
              <w:rPr>
                <w:rFonts w:ascii="MS Gothic" w:hAnsi="MS Gothic" w:eastAsia="MS Gothic" w:cs="MS Gothic"/>
                <w:color w:val="000000" w:themeColor="text1"/>
                <w:szCs w:val="24"/>
                <w:highlight w:val="white"/>
                <w14:textFill>
                  <w14:solidFill>
                    <w14:schemeClr w14:val="tx1"/>
                  </w14:solidFill>
                </w14:textFill>
              </w:rPr>
              <w:t xml:space="preserve">☒</w:t>
            </w:r>
            <w:r>
              <w:rPr>
                <w:rFonts w:eastAsia="宋体"/>
                <w:color w:val="000000" w:themeColor="text1"/>
                <w:szCs w:val="24"/>
                <w:highlight w:val="white"/>
                <w14:textFill>
                  <w14:solidFill>
                    <w14:schemeClr w14:val="tx1"/>
                  </w14:solidFill>
                </w14:textFill>
              </w:rPr>
              <w:t xml:space="preserve">需提交，保证金金额（¥）：</w:t>
            </w:r>
            <w:r>
              <w:rPr>
                <w:rFonts w:hint="eastAsia" w:eastAsia="宋体"/>
                <w:color w:val="000000" w:themeColor="text1"/>
                <w:szCs w:val="24"/>
                <w:highlight w:val="white"/>
                <w14:textFill>
                  <w14:solidFill>
                    <w14:schemeClr w14:val="tx1"/>
                  </w14:solidFill>
                </w14:textFill>
              </w:rPr>
              <w:t xml:space="preserve">     元整</w:t>
            </w:r>
            <w:r>
              <w:rPr>
                <w:highlight w:val="white"/>
              </w:rPr>
            </w:r>
            <w:r/>
          </w:p>
          <w:p>
            <w:pPr>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帐户名：江苏至衡诚达工程咨询有限公司苏州分公司</w:t>
            </w:r>
            <w:r>
              <w:rPr>
                <w:highlight w:val="white"/>
              </w:rPr>
            </w:r>
            <w:r/>
          </w:p>
          <w:p>
            <w:pPr>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开户银行：中国银行吴中经济开发区支行</w:t>
            </w:r>
            <w:r>
              <w:rPr>
                <w:highlight w:val="white"/>
              </w:rPr>
            </w:r>
            <w:r/>
          </w:p>
          <w:p>
            <w:pPr>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银行</w:t>
            </w:r>
            <w:r>
              <w:rPr>
                <w:rFonts w:hint="eastAsia" w:ascii="宋体" w:hAnsi="宋体"/>
                <w:color w:val="000000" w:themeColor="text1"/>
                <w:sz w:val="24"/>
                <w:highlight w:val="white"/>
                <w:lang w:eastAsia="zh-CN"/>
                <w14:textFill>
                  <w14:solidFill>
                    <w14:schemeClr w14:val="tx1"/>
                  </w14:solidFill>
                </w14:textFill>
              </w:rPr>
              <w:t xml:space="preserve">账号</w:t>
            </w:r>
            <w:r>
              <w:rPr>
                <w:rFonts w:hint="eastAsia" w:ascii="宋体" w:hAnsi="宋体"/>
                <w:color w:val="000000" w:themeColor="text1"/>
                <w:sz w:val="24"/>
                <w:highlight w:val="white"/>
                <w14:textFill>
                  <w14:solidFill>
                    <w14:schemeClr w14:val="tx1"/>
                  </w14:solidFill>
                </w14:textFill>
              </w:rPr>
              <w:t xml:space="preserve">：535280515118</w:t>
            </w:r>
            <w:r>
              <w:rPr>
                <w:highlight w:val="white"/>
              </w:rPr>
            </w:r>
            <w:r/>
          </w:p>
          <w:p>
            <w:pPr>
              <w:jc w:val="left"/>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保证金的提交方式：供应商的投标保证金以银行汇票方式或银行本票方式，于投标截止时间前随同投标（响应）文件在开标现场一并提交给代理机构。代理机构在开标现场收取投标保证金后当场开具有效收据。供应商如为实施国库集中支付管理的事业单位，无需提交投标（响应）保证金，但应于开标（或磋商等）现场提交盖有本单位公章的有效的统一社会信用代码证或者组织机构代码证复印件，否则被视作无效投标处理。</w:t>
            </w:r>
            <w:r>
              <w:rPr>
                <w:highlight w:val="white"/>
              </w:rPr>
            </w:r>
            <w:r/>
          </w:p>
        </w:tc>
      </w:tr>
      <w:tr>
        <w:trPr>
          <w:jc w:val="center"/>
          <w:trHeight w:val="703"/>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磋商文件 份数</w:t>
            </w:r>
            <w:r>
              <w:rPr>
                <w:highlight w:val="white"/>
              </w:rPr>
            </w:r>
            <w:r/>
          </w:p>
        </w:tc>
        <w:tc>
          <w:tcPr>
            <w:tcW w:w="6908" w:type="dxa"/>
            <w:vAlign w:val="center"/>
            <w:textDirection w:val="lrTb"/>
            <w:noWrap w:val="false"/>
          </w:tcPr>
          <w:p>
            <w:pPr>
              <w:jc w:val="left"/>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项目采用电子响应文件，供应商按照采购文件要求制作上传电子响应文件。成交单位需在领取采购合同前向采购代理机构提供三份纸质响应文件，纸质响应文件需与上传的电子响应文件一致。注：纸质响应文件仅作归档使用。</w:t>
            </w:r>
            <w:r>
              <w:rPr>
                <w:highlight w:val="white"/>
              </w:rPr>
            </w:r>
            <w:r/>
          </w:p>
        </w:tc>
      </w:tr>
      <w:tr>
        <w:trPr>
          <w:jc w:val="center"/>
          <w:trHeight w:val="920"/>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响应文件提交截止时间</w:t>
            </w:r>
            <w:r>
              <w:rPr>
                <w:highlight w:val="white"/>
              </w:rPr>
            </w:r>
            <w:r/>
          </w:p>
        </w:tc>
        <w:tc>
          <w:tcPr>
            <w:tcW w:w="6908" w:type="dxa"/>
            <w:vAlign w:val="center"/>
            <w:textDirection w:val="lrTb"/>
            <w:noWrap w:val="false"/>
          </w:tcPr>
          <w:p>
            <w:pPr>
              <w:spacing w:line="360" w:lineRule="auto"/>
              <w:rPr>
                <w:rFonts w:hint="eastAsia"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截止时间：</w:t>
            </w:r>
            <w:r>
              <w:rPr>
                <w:rFonts w:hint="eastAsia" w:ascii="宋体" w:hAnsi="宋体"/>
                <w:color w:val="000000" w:themeColor="text1"/>
                <w:sz w:val="24"/>
                <w:szCs w:val="22"/>
                <w:highlight w:val="white"/>
                <w:lang w:eastAsia="zh-CN"/>
                <w14:textFill>
                  <w14:solidFill>
                    <w14:schemeClr w14:val="tx1"/>
                  </w14:solidFill>
                </w14:textFill>
              </w:rPr>
              <w:t xml:space="preserve">2026年11月6日</w:t>
            </w:r>
            <w:r>
              <w:rPr>
                <w:rFonts w:hint="eastAsia" w:ascii="宋体" w:hAnsi="宋体"/>
                <w:color w:val="000000" w:themeColor="text1"/>
                <w:sz w:val="24"/>
                <w:szCs w:val="22"/>
                <w:highlight w:val="white"/>
                <w14:textFill>
                  <w14:solidFill>
                    <w14:schemeClr w14:val="tx1"/>
                  </w14:solidFill>
                </w14:textFill>
              </w:rPr>
              <w:t xml:space="preserve">09:30（北京时间）</w:t>
            </w:r>
            <w:r>
              <w:rPr>
                <w:highlight w:val="white"/>
              </w:rPr>
            </w:r>
            <w:r/>
          </w:p>
          <w:p>
            <w:pPr>
              <w:spacing w:line="360" w:lineRule="auto"/>
              <w:rPr>
                <w:rFonts w:hint="eastAsia"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磋商时间：</w:t>
            </w:r>
            <w:r>
              <w:rPr>
                <w:rFonts w:hint="eastAsia" w:ascii="宋体" w:hAnsi="宋体"/>
                <w:color w:val="000000" w:themeColor="text1"/>
                <w:sz w:val="24"/>
                <w:szCs w:val="22"/>
                <w:highlight w:val="white"/>
                <w:lang w:eastAsia="zh-CN"/>
                <w14:textFill>
                  <w14:solidFill>
                    <w14:schemeClr w14:val="tx1"/>
                  </w14:solidFill>
                </w14:textFill>
              </w:rPr>
              <w:t xml:space="preserve">2026年11月6日</w:t>
            </w:r>
            <w:r>
              <w:rPr>
                <w:rFonts w:hint="eastAsia" w:ascii="宋体" w:hAnsi="宋体"/>
                <w:color w:val="000000" w:themeColor="text1"/>
                <w:sz w:val="24"/>
                <w:szCs w:val="22"/>
                <w:highlight w:val="white"/>
                <w14:textFill>
                  <w14:solidFill>
                    <w14:schemeClr w14:val="tx1"/>
                  </w14:solidFill>
                </w14:textFill>
              </w:rPr>
              <w:t xml:space="preserve">09:30（北京时间）</w:t>
            </w:r>
            <w:r>
              <w:rPr>
                <w:highlight w:val="white"/>
              </w:rPr>
            </w:r>
            <w:r/>
          </w:p>
          <w:p>
            <w:pPr>
              <w:spacing w:line="360" w:lineRule="auto"/>
              <w:rPr>
                <w:rFonts w:hint="eastAsia" w:ascii="宋体" w:hAnsi="宋体" w:cs="宋体"/>
                <w:b/>
                <w:color w:val="000000" w:themeColor="text1"/>
                <w:sz w:val="24"/>
                <w:highlight w:val="white"/>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磋商地点：“苏采云”政府采购交易系统网上开标大厅。</w:t>
            </w:r>
            <w:r>
              <w:rPr>
                <w:highlight w:val="white"/>
              </w:rPr>
            </w:r>
            <w:r/>
          </w:p>
        </w:tc>
      </w:tr>
      <w:tr>
        <w:trPr>
          <w:jc w:val="center"/>
          <w:trHeight w:val="1365"/>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6</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磋商时间</w:t>
            </w:r>
            <w:r>
              <w:rPr>
                <w:highlight w:val="white"/>
              </w:rPr>
            </w:r>
            <w:r/>
          </w:p>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地点</w:t>
            </w:r>
            <w:r>
              <w:rPr>
                <w:highlight w:val="white"/>
              </w:rPr>
            </w:r>
            <w:r/>
          </w:p>
        </w:tc>
        <w:tc>
          <w:tcPr>
            <w:tcW w:w="6908" w:type="dxa"/>
            <w:vAlign w:val="center"/>
            <w:textDirection w:val="lrTb"/>
            <w:noWrap w:val="false"/>
          </w:tcPr>
          <w:p>
            <w:pP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eastAsia="zh-CN"/>
                <w14:textFill>
                  <w14:solidFill>
                    <w14:schemeClr w14:val="tx1"/>
                  </w14:solidFill>
                </w14:textFill>
              </w:rPr>
              <w:t xml:space="preserve">2026年11月6日</w:t>
            </w:r>
            <w:r>
              <w:rPr>
                <w:rFonts w:hint="eastAsia" w:ascii="宋体" w:hAnsi="宋体" w:cs="宋体"/>
                <w:color w:val="000000" w:themeColor="text1"/>
                <w:sz w:val="24"/>
                <w:highlight w:val="white"/>
                <w14:textFill>
                  <w14:solidFill>
                    <w14:schemeClr w14:val="tx1"/>
                  </w14:solidFill>
                </w14:textFill>
              </w:rPr>
              <w:t xml:space="preserve">09：30（北京时间）</w:t>
            </w:r>
            <w:r>
              <w:rPr>
                <w:highlight w:val="white"/>
              </w:rPr>
            </w:r>
            <w:r/>
          </w:p>
          <w:p>
            <w:pP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“苏采云”系统（网址：http：//jszfcg.jsczt.cn/）</w:t>
            </w:r>
            <w:r>
              <w:rPr>
                <w:highlight w:val="white"/>
              </w:rPr>
            </w:r>
            <w:r/>
          </w:p>
          <w:p>
            <w:pPr>
              <w:spacing w:line="400" w:lineRule="exact"/>
              <w:rPr>
                <w:rFonts w:hint="eastAsia" w:ascii="宋体" w:hAnsi="宋体" w:cs="宋体"/>
                <w:b/>
                <w:color w:val="000000" w:themeColor="text1"/>
                <w:sz w:val="24"/>
                <w:highlight w:val="white"/>
                <w14:textFill>
                  <w14:solidFill>
                    <w14:schemeClr w14:val="tx1"/>
                  </w14:solidFill>
                </w14:textFill>
              </w:rPr>
            </w:pPr>
            <w:r>
              <w:rPr>
                <w:rFonts w:hint="eastAsia" w:ascii="宋体" w:hAnsi="宋体"/>
                <w:b/>
                <w:bCs/>
                <w:color w:val="000000" w:themeColor="text1"/>
                <w:sz w:val="24"/>
                <w:szCs w:val="22"/>
                <w:highlight w:val="white"/>
                <w14:textFill>
                  <w14:solidFill>
                    <w14:schemeClr w14:val="tx1"/>
                  </w14:solidFill>
                </w14:textFill>
              </w:rPr>
              <w:t xml:space="preserve">本项目为不见面磋商项目，开启阶段供应商在【供应商解密】环节必须使用 CA证书</w:t>
            </w:r>
            <w:bookmarkStart w:id="27" w:name="_GoBack"/>
            <w:r>
              <w:rPr>
                <w:highlight w:val="white"/>
              </w:rPr>
            </w:r>
            <w:bookmarkEnd w:id="27"/>
            <w:r>
              <w:rPr>
                <w:rFonts w:hint="eastAsia" w:ascii="宋体" w:hAnsi="宋体"/>
                <w:b/>
                <w:bCs/>
                <w:color w:val="000000" w:themeColor="text1"/>
                <w:sz w:val="24"/>
                <w:szCs w:val="22"/>
                <w:highlight w:val="white"/>
                <w14:textFill>
                  <w14:solidFill>
                    <w14:schemeClr w14:val="tx1"/>
                  </w14:solidFill>
                </w14:textFill>
              </w:rPr>
              <w:t xml:space="preserve">解密电子响应文件，如在系统规定的解密时间（响应文件提交截止时间后 30 分钟)内未能完成解密的视为放弃参与本项目。</w:t>
            </w:r>
            <w:r>
              <w:rPr>
                <w:highlight w:val="white"/>
              </w:rPr>
            </w:r>
            <w:r/>
          </w:p>
        </w:tc>
      </w:tr>
      <w:tr>
        <w:trPr>
          <w:jc w:val="center"/>
          <w:trHeight w:val="481"/>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7</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评审时间</w:t>
            </w:r>
            <w:r>
              <w:rPr>
                <w:highlight w:val="white"/>
              </w:rPr>
            </w:r>
            <w:r/>
          </w:p>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地点</w:t>
            </w:r>
            <w:r>
              <w:rPr>
                <w:highlight w:val="white"/>
              </w:rPr>
            </w:r>
            <w:r/>
          </w:p>
        </w:tc>
        <w:tc>
          <w:tcPr>
            <w:tcW w:w="6908" w:type="dxa"/>
            <w:vAlign w:val="center"/>
            <w:textDirection w:val="lrTb"/>
            <w:noWrap w:val="false"/>
          </w:tcPr>
          <w:p>
            <w:pP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eastAsia="zh-CN"/>
                <w14:textFill>
                  <w14:solidFill>
                    <w14:schemeClr w14:val="tx1"/>
                  </w14:solidFill>
                </w14:textFill>
              </w:rPr>
              <w:t xml:space="preserve">2026年11月6日</w:t>
            </w:r>
            <w:r>
              <w:rPr>
                <w:rFonts w:hint="eastAsia" w:ascii="宋体" w:hAnsi="宋体" w:cs="宋体"/>
                <w:color w:val="000000" w:themeColor="text1"/>
                <w:sz w:val="24"/>
                <w:highlight w:val="white"/>
                <w14:textFill>
                  <w14:solidFill>
                    <w14:schemeClr w14:val="tx1"/>
                  </w14:solidFill>
                </w14:textFill>
              </w:rPr>
              <w:t xml:space="preserve">09：30（北京时间）</w:t>
            </w:r>
            <w:r>
              <w:rPr>
                <w:highlight w:val="white"/>
              </w:rPr>
            </w:r>
            <w:r/>
          </w:p>
          <w:p>
            <w:pP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苏州市高新区邓蔚路105号狮山科技馆</w:t>
            </w:r>
            <w:r>
              <w:rPr>
                <w:highlight w:val="white"/>
              </w:rPr>
            </w:r>
            <w:r/>
          </w:p>
        </w:tc>
      </w:tr>
      <w:tr>
        <w:trPr>
          <w:jc w:val="center"/>
          <w:trHeight w:val="5350"/>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8</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代理</w:t>
            </w:r>
            <w:r>
              <w:rPr>
                <w:rFonts w:hint="eastAsia" w:ascii="宋体" w:hAnsi="宋体" w:cs="宋体"/>
                <w:color w:val="000000" w:themeColor="text1"/>
                <w:sz w:val="24"/>
                <w:highlight w:val="white"/>
                <w14:textFill>
                  <w14:solidFill>
                    <w14:schemeClr w14:val="tx1"/>
                  </w14:solidFill>
                </w14:textFill>
              </w:rPr>
              <w:t xml:space="preserve">服务费</w:t>
            </w:r>
            <w:r>
              <w:rPr>
                <w:highlight w:val="white"/>
              </w:rPr>
            </w:r>
            <w:r/>
          </w:p>
        </w:tc>
        <w:tc>
          <w:tcPr>
            <w:tcW w:w="6908" w:type="dxa"/>
            <w:vAlign w:val="center"/>
            <w:textDirection w:val="lrTb"/>
            <w:noWrap w:val="false"/>
          </w:tcPr>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代理服务费</w:t>
            </w:r>
            <w:r>
              <w:rPr>
                <w:rFonts w:hint="eastAsia"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lang w:val="en-US" w:eastAsia="zh-CN"/>
                <w14:textFill>
                  <w14:solidFill>
                    <w14:schemeClr w14:val="tx1"/>
                  </w14:solidFill>
                </w14:textFill>
              </w:rPr>
              <w:t xml:space="preserve">本项目采购预算已包含代理服务费，该费用由成交供应商支付</w:t>
            </w:r>
            <w:r>
              <w:rPr>
                <w:rFonts w:hint="eastAsia" w:ascii="宋体" w:hAnsi="宋体"/>
                <w:color w:val="000000" w:themeColor="text1"/>
                <w:sz w:val="24"/>
                <w:highlight w:val="white"/>
                <w14:textFill>
                  <w14:solidFill>
                    <w14:schemeClr w14:val="tx1"/>
                  </w14:solidFill>
                </w14:textFill>
              </w:rPr>
              <w:t xml:space="preserve">。根据</w:t>
            </w:r>
            <w:r>
              <w:rPr>
                <w:rFonts w:hint="eastAsia" w:ascii="宋体" w:hAnsi="宋体"/>
                <w:b w:val="0"/>
                <w:bCs w:val="0"/>
                <w:color w:val="000000" w:themeColor="text1"/>
                <w:sz w:val="24"/>
                <w:highlight w:val="white"/>
                <w14:textFill>
                  <w14:solidFill>
                    <w14:schemeClr w14:val="tx1"/>
                  </w14:solidFill>
                </w14:textFill>
              </w:rPr>
              <w:t xml:space="preserve">苏财购告【2016】31号</w:t>
            </w:r>
            <w:r>
              <w:rPr>
                <w:rFonts w:hint="eastAsia" w:ascii="宋体" w:hAnsi="宋体"/>
                <w:color w:val="000000" w:themeColor="text1"/>
                <w:sz w:val="24"/>
                <w:highlight w:val="white"/>
                <w14:textFill>
                  <w14:solidFill>
                    <w14:schemeClr w14:val="tx1"/>
                  </w14:solidFill>
                </w14:textFill>
              </w:rPr>
              <w:t xml:space="preserve">文件的规定收取</w:t>
            </w:r>
            <w:r>
              <w:rPr>
                <w:rFonts w:hint="eastAsia" w:ascii="宋体" w:hAnsi="宋体"/>
                <w:color w:val="000000" w:themeColor="text1"/>
                <w:sz w:val="24"/>
                <w:highlight w:val="white"/>
                <w:lang w:eastAsia="zh-CN"/>
                <w14:textFill>
                  <w14:solidFill>
                    <w14:schemeClr w14:val="tx1"/>
                  </w14:solidFill>
                </w14:textFill>
              </w:rPr>
              <w:t xml:space="preserve">代理服务费</w:t>
            </w:r>
            <w:r>
              <w:rPr>
                <w:rFonts w:hint="eastAsia" w:ascii="宋体" w:hAnsi="宋体"/>
                <w:color w:val="000000" w:themeColor="text1"/>
                <w:sz w:val="24"/>
                <w:highlight w:val="white"/>
                <w14:textFill>
                  <w14:solidFill>
                    <w14:schemeClr w14:val="tx1"/>
                  </w14:solidFill>
                </w14:textFill>
              </w:rPr>
              <w:t xml:space="preserve">。领取成交通知书时成交供应商向招标代理机构一次性付清。按照采购预算100万元以内1.5%、100～500万元以1.1%、500~1000万元以0.8%，差额定率累进法计算并支付</w:t>
            </w:r>
            <w:r>
              <w:rPr>
                <w:rFonts w:hint="eastAsia" w:ascii="宋体" w:hAnsi="宋体"/>
                <w:color w:val="000000" w:themeColor="text1"/>
                <w:sz w:val="24"/>
                <w:highlight w:val="white"/>
                <w:lang w:eastAsia="zh-CN"/>
                <w14:textFill>
                  <w14:solidFill>
                    <w14:schemeClr w14:val="tx1"/>
                  </w14:solidFill>
                </w14:textFill>
              </w:rPr>
              <w:t xml:space="preserve">代理服务费</w:t>
            </w:r>
            <w:r>
              <w:rPr>
                <w:rFonts w:hint="eastAsia" w:ascii="宋体" w:hAnsi="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14:textFill>
                  <w14:solidFill>
                    <w14:schemeClr w14:val="tx1"/>
                  </w14:solidFill>
                </w14:textFill>
              </w:rPr>
              <w:t xml:space="preserve">单个项目收费不低于3000.00元。</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说明：代理服务费以采购预算金额为基数依据，按以上规定的标准和差额定率累进法进行计算收取。例：如预算金额为150万元，则代理服务费＝100万元以下部分×1.5%＋（500万元－100万元以下部分）×1.1%。</w:t>
            </w:r>
            <w:r>
              <w:rPr>
                <w:highlight w:val="white"/>
              </w:rPr>
            </w:r>
            <w:r/>
          </w:p>
          <w:p>
            <w:pPr>
              <w:ind w:firstLine="480"/>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本项目</w:t>
            </w:r>
            <w:r>
              <w:rPr>
                <w:rFonts w:hint="eastAsia" w:ascii="宋体" w:hAnsi="宋体"/>
                <w:color w:val="000000" w:themeColor="text1"/>
                <w:sz w:val="24"/>
                <w:highlight w:val="white"/>
                <w:lang w:val="en-US" w:eastAsia="zh-CN"/>
                <w14:textFill>
                  <w14:solidFill>
                    <w14:schemeClr w14:val="tx1"/>
                  </w14:solidFill>
                </w14:textFill>
              </w:rPr>
              <w:t xml:space="preserve">代理服务费</w:t>
            </w:r>
            <w:r>
              <w:rPr>
                <w:rFonts w:hint="eastAsia" w:ascii="宋体" w:hAnsi="宋体"/>
                <w:color w:val="000000" w:themeColor="text1"/>
                <w:sz w:val="24"/>
                <w:highlight w:val="white"/>
                <w14:textFill>
                  <w14:solidFill>
                    <w14:schemeClr w14:val="tx1"/>
                  </w14:solidFill>
                </w14:textFill>
              </w:rPr>
              <w:t xml:space="preserve">为￥</w:t>
            </w:r>
            <w:r>
              <w:rPr>
                <w:rFonts w:hint="eastAsia" w:ascii="宋体" w:hAnsi="宋体"/>
                <w:color w:val="auto"/>
                <w:sz w:val="24"/>
                <w:highlight w:val="white"/>
                <w:lang w:val="en-US" w:eastAsia="zh-CN"/>
              </w:rPr>
              <w:t xml:space="preserve">25384.00</w:t>
            </w:r>
            <w:r>
              <w:rPr>
                <w:rFonts w:hint="eastAsia" w:ascii="宋体" w:hAnsi="宋体"/>
                <w:color w:val="000000" w:themeColor="text1"/>
                <w:sz w:val="24"/>
                <w:highlight w:val="white"/>
                <w14:textFill>
                  <w14:solidFill>
                    <w14:schemeClr w14:val="tx1"/>
                  </w14:solidFill>
                </w14:textFill>
              </w:rPr>
              <w:t xml:space="preserve">元；由成交单位支付，在领取成交通知书时向采购代理机构一次性付清。</w:t>
            </w:r>
            <w:r>
              <w:rPr>
                <w:highlight w:val="white"/>
              </w:rPr>
            </w:r>
            <w:r/>
          </w:p>
        </w:tc>
      </w:tr>
      <w:tr>
        <w:trPr>
          <w:jc w:val="center"/>
          <w:trHeight w:val="576"/>
        </w:trPr>
        <w:tc>
          <w:tcPr>
            <w:tcW w:w="766"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9</w:t>
            </w:r>
            <w:r>
              <w:rPr>
                <w:highlight w:val="white"/>
              </w:rPr>
            </w:r>
            <w:r/>
          </w:p>
        </w:tc>
        <w:tc>
          <w:tcPr>
            <w:tcW w:w="1522" w:type="dxa"/>
            <w:vAlign w:val="center"/>
            <w:textDirection w:val="lrTb"/>
            <w:noWrap w:val="false"/>
          </w:tcPr>
          <w:p>
            <w:pPr>
              <w:jc w:val="cente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监督管理</w:t>
            </w:r>
            <w:r>
              <w:rPr>
                <w:highlight w:val="white"/>
              </w:rPr>
            </w:r>
            <w:r/>
          </w:p>
        </w:tc>
        <w:tc>
          <w:tcPr>
            <w:tcW w:w="6908" w:type="dxa"/>
            <w:vAlign w:val="center"/>
            <w:textDirection w:val="lrTb"/>
            <w:noWrap w:val="false"/>
          </w:tcPr>
          <w:p>
            <w:pPr>
              <w:spacing w:line="4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苏州太湖新城吴中管理委员会监管电话：（0512）65169307</w:t>
            </w:r>
            <w:r>
              <w:rPr>
                <w:highlight w:val="white"/>
              </w:rPr>
            </w:r>
            <w:r/>
          </w:p>
        </w:tc>
      </w:tr>
    </w:tbl>
    <w:p>
      <w:pPr>
        <w:jc w:val="center"/>
        <w:tabs>
          <w:tab w:val="left" w:pos="315" w:leader="none"/>
          <w:tab w:val="center" w:pos="4153" w:leader="none"/>
        </w:tabs>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r>
      <w:r>
        <w:rPr>
          <w:highlight w:val="white"/>
        </w:rPr>
      </w:r>
      <w:r/>
    </w:p>
    <w:p>
      <w:pPr>
        <w:jc w:val="center"/>
        <w:tabs>
          <w:tab w:val="left" w:pos="315" w:leader="none"/>
          <w:tab w:val="center" w:pos="4153" w:leader="none"/>
        </w:tabs>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r>
      <w:r>
        <w:rPr>
          <w:highlight w:val="white"/>
        </w:rPr>
      </w:r>
      <w:r/>
    </w:p>
    <w:p>
      <w:pPr>
        <w:jc w:val="center"/>
        <w:tabs>
          <w:tab w:val="left" w:pos="315" w:leader="none"/>
          <w:tab w:val="center" w:pos="4153" w:leader="none"/>
        </w:tabs>
        <w:rPr>
          <w:rFonts w:hint="eastAsia"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br w:type="page" w:clear="all"/>
      </w:r>
      <w:r>
        <w:rPr>
          <w:highlight w:val="white"/>
        </w:rPr>
      </w:r>
      <w:r/>
    </w:p>
    <w:p>
      <w:pPr>
        <w:pStyle w:val="998"/>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rPr>
          <w:highlight w:val="white"/>
        </w:rPr>
      </w:r>
      <w:r/>
    </w:p>
    <w:p>
      <w:pPr>
        <w:pStyle w:val="984"/>
        <w:ind w:left="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tabs>
          <w:tab w:val="left" w:pos="315" w:leader="none"/>
          <w:tab w:val="center" w:pos="4153" w:leader="none"/>
        </w:tabs>
        <w:rPr>
          <w:rFonts w:hint="eastAsia" w:ascii="黑体" w:hAnsi="宋体" w:eastAsia="黑体" w:cs="宋体"/>
          <w:b/>
          <w:color w:val="000000" w:themeColor="text1"/>
          <w:sz w:val="44"/>
          <w:highlight w:val="white"/>
          <w14:textFill>
            <w14:solidFill>
              <w14:schemeClr w14:val="tx1"/>
            </w14:solidFill>
          </w14:textFill>
        </w:rPr>
      </w:pPr>
      <w:r>
        <w:rPr>
          <w:rFonts w:hint="eastAsia" w:ascii="黑体" w:hAnsi="宋体" w:eastAsia="黑体" w:cs="宋体"/>
          <w:b/>
          <w:color w:val="000000" w:themeColor="text1"/>
          <w:sz w:val="44"/>
          <w:highlight w:val="white"/>
          <w14:textFill>
            <w14:solidFill>
              <w14:schemeClr w14:val="tx1"/>
            </w14:solidFill>
          </w14:textFill>
        </w:rPr>
        <w:t xml:space="preserve">总目录</w:t>
      </w:r>
      <w:r>
        <w:rPr>
          <w:highlight w:val="white"/>
        </w:rPr>
      </w:r>
      <w:r/>
    </w:p>
    <w:p>
      <w:pPr>
        <w:jc w:val="center"/>
        <w:tabs>
          <w:tab w:val="left" w:pos="315" w:leader="none"/>
          <w:tab w:val="center" w:pos="4153"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r>
      <w:r>
        <w:rPr>
          <w:highlight w:val="white"/>
        </w:rPr>
      </w:r>
      <w:r/>
    </w:p>
    <w:p>
      <w:pPr>
        <w:tabs>
          <w:tab w:val="left" w:pos="315" w:leader="none"/>
          <w:tab w:val="center" w:pos="4153" w:leader="none"/>
        </w:tabs>
        <w:rPr>
          <w:rFonts w:eastAsia="黑体"/>
          <w:color w:val="000000" w:themeColor="text1"/>
          <w:sz w:val="24"/>
          <w:highlight w:val="white"/>
          <w14:textFill>
            <w14:solidFill>
              <w14:schemeClr w14:val="tx1"/>
            </w14:solidFill>
          </w14:textFill>
        </w:rPr>
      </w:pPr>
      <w:r>
        <w:rPr>
          <w:rFonts w:eastAsia="黑体"/>
          <w:color w:val="000000" w:themeColor="text1"/>
          <w:sz w:val="24"/>
          <w:highlight w:val="white"/>
          <w14:textFill>
            <w14:solidFill>
              <w14:schemeClr w14:val="tx1"/>
            </w14:solidFill>
          </w14:textFill>
        </w:rPr>
      </w:r>
      <w:r>
        <w:rPr>
          <w:highlight w:val="white"/>
        </w:rPr>
      </w:r>
      <w:r/>
    </w:p>
    <w:p>
      <w:pPr>
        <w:tabs>
          <w:tab w:val="left" w:pos="315" w:leader="none"/>
          <w:tab w:val="center" w:pos="4153" w:leader="none"/>
        </w:tabs>
        <w:rPr>
          <w:rFonts w:eastAsia="黑体"/>
          <w:b/>
          <w:color w:val="000000" w:themeColor="text1"/>
          <w:sz w:val="24"/>
          <w:highlight w:val="white"/>
          <w14:textFill>
            <w14:solidFill>
              <w14:schemeClr w14:val="tx1"/>
            </w14:solidFill>
          </w14:textFill>
        </w:rPr>
      </w:pPr>
      <w:r>
        <w:rPr>
          <w:rFonts w:eastAsia="黑体"/>
          <w:b/>
          <w:color w:val="000000" w:themeColor="text1"/>
          <w:sz w:val="24"/>
          <w:highlight w:val="white"/>
          <w14:textFill>
            <w14:solidFill>
              <w14:schemeClr w14:val="tx1"/>
            </w14:solidFill>
          </w14:textFill>
        </w:rPr>
      </w:r>
      <w:r>
        <w:rPr>
          <w:highlight w:val="white"/>
        </w:rPr>
      </w:r>
      <w:r/>
    </w:p>
    <w:p>
      <w:pPr>
        <w:spacing w:line="360" w:lineRule="auto"/>
        <w:tabs>
          <w:tab w:val="left" w:pos="315" w:leader="none"/>
          <w:tab w:val="center" w:pos="4153" w:leader="none"/>
        </w:tabs>
        <w:rPr>
          <w:rFonts w:eastAsia="黑体"/>
          <w:b/>
          <w:color w:val="000000" w:themeColor="text1"/>
          <w:sz w:val="56"/>
          <w:szCs w:val="56"/>
          <w:highlight w:val="white"/>
          <w14:textFill>
            <w14:solidFill>
              <w14:schemeClr w14:val="tx1"/>
            </w14:solidFill>
          </w14:textFill>
        </w:rPr>
      </w:pPr>
      <w:r>
        <w:rPr>
          <w:rFonts w:eastAsia="黑体"/>
          <w:b/>
          <w:color w:val="000000" w:themeColor="text1"/>
          <w:sz w:val="56"/>
          <w:szCs w:val="56"/>
          <w:highlight w:val="white"/>
          <w14:textFill>
            <w14:solidFill>
              <w14:schemeClr w14:val="tx1"/>
            </w14:solidFill>
          </w14:textFill>
        </w:rPr>
      </w:r>
      <w:r>
        <w:rPr>
          <w:highlight w:val="white"/>
        </w:rPr>
      </w:r>
      <w:r/>
    </w:p>
    <w:p>
      <w:pPr>
        <w:pStyle w:val="925"/>
        <w:tabs>
          <w:tab w:val="right" w:pos="8312" w:leader="dot"/>
        </w:tabs>
        <w:rPr>
          <w:color w:val="000000" w:themeColor="text1"/>
          <w:sz w:val="40"/>
          <w:szCs w:val="48"/>
          <w:highlight w:val="white"/>
          <w14:textFill>
            <w14:solidFill>
              <w14:schemeClr w14:val="tx1"/>
            </w14:solidFill>
          </w14:textFill>
        </w:rPr>
      </w:pPr>
      <w:r>
        <w:rPr>
          <w:rFonts w:eastAsia="黑体"/>
          <w:b/>
          <w:color w:val="000000" w:themeColor="text1"/>
          <w:sz w:val="192"/>
          <w:szCs w:val="192"/>
          <w:highlight w:val="white"/>
          <w14:textFill>
            <w14:solidFill>
              <w14:schemeClr w14:val="tx1"/>
            </w14:solidFill>
          </w14:textFill>
        </w:rPr>
        <w:fldChar w:fldCharType="begin"/>
      </w:r>
      <w:r>
        <w:rPr>
          <w:rFonts w:eastAsia="黑体"/>
          <w:b/>
          <w:color w:val="000000" w:themeColor="text1"/>
          <w:sz w:val="192"/>
          <w:szCs w:val="192"/>
          <w:highlight w:val="white"/>
          <w14:textFill>
            <w14:solidFill>
              <w14:schemeClr w14:val="tx1"/>
            </w14:solidFill>
          </w14:textFill>
        </w:rPr>
        <w:instrText xml:space="preserve"> TOC \o "1-1" \h \z \u </w:instrText>
      </w:r>
      <w:r>
        <w:rPr>
          <w:rFonts w:eastAsia="黑体"/>
          <w:b/>
          <w:color w:val="000000" w:themeColor="text1"/>
          <w:sz w:val="192"/>
          <w:szCs w:val="192"/>
          <w:highlight w:val="white"/>
          <w14:textFill>
            <w14:solidFill>
              <w14:schemeClr w14:val="tx1"/>
            </w14:solidFill>
          </w14:textFill>
        </w:rPr>
        <w:fldChar w:fldCharType="separate"/>
      </w:r>
      <w:r>
        <w:rPr>
          <w:highlight w:val="white"/>
        </w:rPr>
        <w:fldChar w:fldCharType="begin"/>
      </w:r>
      <w:r>
        <w:rPr>
          <w:highlight w:val="white"/>
        </w:rPr>
        <w:instrText xml:space="preserve"> HYPERLINK \l "_Toc19146" </w:instrText>
      </w:r>
      <w:r>
        <w:rPr>
          <w:highlight w:val="white"/>
        </w:rPr>
        <w:fldChar w:fldCharType="separate"/>
      </w:r>
      <w:r>
        <w:rPr>
          <w:rFonts w:hint="eastAsia" w:ascii="黑体" w:hAnsi="宋体" w:eastAsia="黑体"/>
          <w:color w:val="000000" w:themeColor="text1"/>
          <w:sz w:val="40"/>
          <w:szCs w:val="28"/>
          <w:highlight w:val="white"/>
          <w14:textFill>
            <w14:solidFill>
              <w14:schemeClr w14:val="tx1"/>
            </w14:solidFill>
          </w14:textFill>
        </w:rPr>
        <w:t xml:space="preserve">第一章  竞争性磋商公告</w:t>
      </w:r>
      <w:r>
        <w:rPr>
          <w:color w:val="000000" w:themeColor="text1"/>
          <w:sz w:val="40"/>
          <w:szCs w:val="48"/>
          <w:highlight w:val="white"/>
          <w14:textFill>
            <w14:solidFill>
              <w14:schemeClr w14:val="tx1"/>
            </w14:solidFill>
          </w14:textFill>
        </w:rPr>
        <w:tab/>
      </w:r>
      <w:r>
        <w:rPr>
          <w:color w:val="000000" w:themeColor="text1"/>
          <w:sz w:val="40"/>
          <w:szCs w:val="48"/>
          <w:highlight w:val="white"/>
          <w14:textFill>
            <w14:solidFill>
              <w14:schemeClr w14:val="tx1"/>
            </w14:solidFill>
          </w14:textFill>
        </w:rPr>
        <w:fldChar w:fldCharType="begin"/>
      </w:r>
      <w:r>
        <w:rPr>
          <w:color w:val="000000" w:themeColor="text1"/>
          <w:sz w:val="40"/>
          <w:szCs w:val="48"/>
          <w:highlight w:val="white"/>
          <w14:textFill>
            <w14:solidFill>
              <w14:schemeClr w14:val="tx1"/>
            </w14:solidFill>
          </w14:textFill>
        </w:rPr>
        <w:instrText xml:space="preserve"> PAGEREF _Toc19146 \h </w:instrText>
      </w:r>
      <w:r>
        <w:rPr>
          <w:color w:val="000000" w:themeColor="text1"/>
          <w:sz w:val="40"/>
          <w:szCs w:val="48"/>
          <w:highlight w:val="white"/>
          <w14:textFill>
            <w14:solidFill>
              <w14:schemeClr w14:val="tx1"/>
            </w14:solidFill>
          </w14:textFill>
        </w:rPr>
        <w:fldChar w:fldCharType="separate"/>
      </w:r>
      <w:r>
        <w:rPr>
          <w:color w:val="000000" w:themeColor="text1"/>
          <w:sz w:val="40"/>
          <w:szCs w:val="48"/>
          <w:highlight w:val="white"/>
          <w14:textFill>
            <w14:solidFill>
              <w14:schemeClr w14:val="tx1"/>
            </w14:solidFill>
          </w14:textFill>
        </w:rPr>
        <w:t xml:space="preserve">5</w:t>
      </w:r>
      <w:r>
        <w:rPr>
          <w:color w:val="000000" w:themeColor="text1"/>
          <w:sz w:val="40"/>
          <w:szCs w:val="48"/>
          <w:highlight w:val="white"/>
          <w14:textFill>
            <w14:solidFill>
              <w14:schemeClr w14:val="tx1"/>
            </w14:solidFill>
          </w14:textFill>
        </w:rPr>
        <w:fldChar w:fldCharType="end"/>
      </w:r>
      <w:r>
        <w:rPr>
          <w:color w:val="000000" w:themeColor="text1"/>
          <w:sz w:val="40"/>
          <w:szCs w:val="48"/>
          <w:highlight w:val="white"/>
          <w14:textFill>
            <w14:solidFill>
              <w14:schemeClr w14:val="tx1"/>
            </w14:solidFill>
          </w14:textFill>
        </w:rPr>
        <w:fldChar w:fldCharType="end"/>
      </w:r>
      <w:r>
        <w:rPr>
          <w:highlight w:val="white"/>
        </w:rPr>
      </w:r>
      <w:r/>
    </w:p>
    <w:p>
      <w:pPr>
        <w:pStyle w:val="925"/>
        <w:tabs>
          <w:tab w:val="right" w:pos="8312" w:leader="dot"/>
        </w:tabs>
        <w:rPr>
          <w:color w:val="000000" w:themeColor="text1"/>
          <w:sz w:val="40"/>
          <w:szCs w:val="48"/>
          <w:highlight w:val="white"/>
          <w14:textFill>
            <w14:solidFill>
              <w14:schemeClr w14:val="tx1"/>
            </w14:solidFill>
          </w14:textFill>
        </w:rPr>
      </w:pPr>
      <w:r>
        <w:rPr>
          <w:highlight w:val="white"/>
        </w:rPr>
        <w:fldChar w:fldCharType="begin"/>
      </w:r>
      <w:r>
        <w:rPr>
          <w:highlight w:val="white"/>
        </w:rPr>
        <w:instrText xml:space="preserve"> HYPERLINK \l "_Toc26670" </w:instrText>
      </w:r>
      <w:r>
        <w:rPr>
          <w:highlight w:val="white"/>
        </w:rPr>
        <w:fldChar w:fldCharType="separate"/>
      </w:r>
      <w:r>
        <w:rPr>
          <w:rFonts w:hint="eastAsia" w:ascii="黑体" w:hAnsi="宋体" w:eastAsia="黑体"/>
          <w:color w:val="000000" w:themeColor="text1"/>
          <w:sz w:val="40"/>
          <w:szCs w:val="28"/>
          <w:highlight w:val="white"/>
          <w14:textFill>
            <w14:solidFill>
              <w14:schemeClr w14:val="tx1"/>
            </w14:solidFill>
          </w14:textFill>
        </w:rPr>
        <w:t xml:space="preserve">第二章</w:t>
      </w:r>
      <w:r>
        <w:rPr>
          <w:rFonts w:ascii="黑体" w:hAnsi="宋体" w:eastAsia="黑体"/>
          <w:color w:val="000000" w:themeColor="text1"/>
          <w:sz w:val="40"/>
          <w:szCs w:val="28"/>
          <w:highlight w:val="white"/>
          <w14:textFill>
            <w14:solidFill>
              <w14:schemeClr w14:val="tx1"/>
            </w14:solidFill>
          </w14:textFill>
        </w:rPr>
        <w:t xml:space="preserve"> </w:t>
      </w:r>
      <w:r>
        <w:rPr>
          <w:rFonts w:hint="eastAsia" w:ascii="黑体" w:hAnsi="宋体" w:eastAsia="黑体"/>
          <w:color w:val="000000" w:themeColor="text1"/>
          <w:sz w:val="40"/>
          <w:szCs w:val="28"/>
          <w:highlight w:val="white"/>
          <w14:textFill>
            <w14:solidFill>
              <w14:schemeClr w14:val="tx1"/>
            </w14:solidFill>
          </w14:textFill>
        </w:rPr>
        <w:t xml:space="preserve"> 供应商须知</w:t>
      </w:r>
      <w:r>
        <w:rPr>
          <w:color w:val="000000" w:themeColor="text1"/>
          <w:sz w:val="40"/>
          <w:szCs w:val="48"/>
          <w:highlight w:val="white"/>
          <w14:textFill>
            <w14:solidFill>
              <w14:schemeClr w14:val="tx1"/>
            </w14:solidFill>
          </w14:textFill>
        </w:rPr>
        <w:tab/>
      </w:r>
      <w:r>
        <w:rPr>
          <w:color w:val="000000" w:themeColor="text1"/>
          <w:sz w:val="40"/>
          <w:szCs w:val="48"/>
          <w:highlight w:val="white"/>
          <w14:textFill>
            <w14:solidFill>
              <w14:schemeClr w14:val="tx1"/>
            </w14:solidFill>
          </w14:textFill>
        </w:rPr>
        <w:fldChar w:fldCharType="begin"/>
      </w:r>
      <w:r>
        <w:rPr>
          <w:color w:val="000000" w:themeColor="text1"/>
          <w:sz w:val="40"/>
          <w:szCs w:val="48"/>
          <w:highlight w:val="white"/>
          <w14:textFill>
            <w14:solidFill>
              <w14:schemeClr w14:val="tx1"/>
            </w14:solidFill>
          </w14:textFill>
        </w:rPr>
        <w:instrText xml:space="preserve"> PAGEREF _Toc26670 \h </w:instrText>
      </w:r>
      <w:r>
        <w:rPr>
          <w:color w:val="000000" w:themeColor="text1"/>
          <w:sz w:val="40"/>
          <w:szCs w:val="48"/>
          <w:highlight w:val="white"/>
          <w14:textFill>
            <w14:solidFill>
              <w14:schemeClr w14:val="tx1"/>
            </w14:solidFill>
          </w14:textFill>
        </w:rPr>
        <w:fldChar w:fldCharType="separate"/>
      </w:r>
      <w:r>
        <w:rPr>
          <w:color w:val="000000" w:themeColor="text1"/>
          <w:sz w:val="40"/>
          <w:szCs w:val="48"/>
          <w:highlight w:val="white"/>
          <w14:textFill>
            <w14:solidFill>
              <w14:schemeClr w14:val="tx1"/>
            </w14:solidFill>
          </w14:textFill>
        </w:rPr>
        <w:t xml:space="preserve">9</w:t>
      </w:r>
      <w:r>
        <w:rPr>
          <w:color w:val="000000" w:themeColor="text1"/>
          <w:sz w:val="40"/>
          <w:szCs w:val="48"/>
          <w:highlight w:val="white"/>
          <w14:textFill>
            <w14:solidFill>
              <w14:schemeClr w14:val="tx1"/>
            </w14:solidFill>
          </w14:textFill>
        </w:rPr>
        <w:fldChar w:fldCharType="end"/>
      </w:r>
      <w:r>
        <w:rPr>
          <w:color w:val="000000" w:themeColor="text1"/>
          <w:sz w:val="40"/>
          <w:szCs w:val="48"/>
          <w:highlight w:val="white"/>
          <w14:textFill>
            <w14:solidFill>
              <w14:schemeClr w14:val="tx1"/>
            </w14:solidFill>
          </w14:textFill>
        </w:rPr>
        <w:fldChar w:fldCharType="end"/>
      </w:r>
      <w:r>
        <w:rPr>
          <w:highlight w:val="white"/>
        </w:rPr>
      </w:r>
      <w:r/>
    </w:p>
    <w:p>
      <w:pPr>
        <w:pStyle w:val="925"/>
        <w:tabs>
          <w:tab w:val="right" w:pos="8312" w:leader="dot"/>
        </w:tabs>
        <w:rPr>
          <w:color w:val="000000" w:themeColor="text1"/>
          <w:sz w:val="40"/>
          <w:szCs w:val="48"/>
          <w:highlight w:val="white"/>
          <w14:textFill>
            <w14:solidFill>
              <w14:schemeClr w14:val="tx1"/>
            </w14:solidFill>
          </w14:textFill>
        </w:rPr>
      </w:pPr>
      <w:r>
        <w:rPr>
          <w:highlight w:val="white"/>
        </w:rPr>
        <w:fldChar w:fldCharType="begin"/>
      </w:r>
      <w:r>
        <w:rPr>
          <w:highlight w:val="white"/>
        </w:rPr>
        <w:instrText xml:space="preserve"> HYPERLINK \l "_Toc20478" </w:instrText>
      </w:r>
      <w:r>
        <w:rPr>
          <w:highlight w:val="white"/>
        </w:rPr>
        <w:fldChar w:fldCharType="separate"/>
      </w:r>
      <w:r>
        <w:rPr>
          <w:rFonts w:hint="eastAsia" w:ascii="黑体" w:hAnsi="宋体" w:eastAsia="黑体"/>
          <w:color w:val="000000" w:themeColor="text1"/>
          <w:sz w:val="40"/>
          <w:szCs w:val="28"/>
          <w:highlight w:val="white"/>
          <w14:textFill>
            <w14:solidFill>
              <w14:schemeClr w14:val="tx1"/>
            </w14:solidFill>
          </w14:textFill>
        </w:rPr>
        <w:t xml:space="preserve">第三章  采购需求</w:t>
      </w:r>
      <w:r>
        <w:rPr>
          <w:color w:val="000000" w:themeColor="text1"/>
          <w:sz w:val="40"/>
          <w:szCs w:val="48"/>
          <w:highlight w:val="white"/>
          <w14:textFill>
            <w14:solidFill>
              <w14:schemeClr w14:val="tx1"/>
            </w14:solidFill>
          </w14:textFill>
        </w:rPr>
        <w:tab/>
      </w:r>
      <w:r>
        <w:rPr>
          <w:color w:val="000000" w:themeColor="text1"/>
          <w:sz w:val="40"/>
          <w:szCs w:val="48"/>
          <w:highlight w:val="white"/>
          <w14:textFill>
            <w14:solidFill>
              <w14:schemeClr w14:val="tx1"/>
            </w14:solidFill>
          </w14:textFill>
        </w:rPr>
        <w:fldChar w:fldCharType="begin"/>
      </w:r>
      <w:r>
        <w:rPr>
          <w:color w:val="000000" w:themeColor="text1"/>
          <w:sz w:val="40"/>
          <w:szCs w:val="48"/>
          <w:highlight w:val="white"/>
          <w14:textFill>
            <w14:solidFill>
              <w14:schemeClr w14:val="tx1"/>
            </w14:solidFill>
          </w14:textFill>
        </w:rPr>
        <w:instrText xml:space="preserve"> PAGEREF _Toc20478 \h </w:instrText>
      </w:r>
      <w:r>
        <w:rPr>
          <w:color w:val="000000" w:themeColor="text1"/>
          <w:sz w:val="40"/>
          <w:szCs w:val="48"/>
          <w:highlight w:val="white"/>
          <w14:textFill>
            <w14:solidFill>
              <w14:schemeClr w14:val="tx1"/>
            </w14:solidFill>
          </w14:textFill>
        </w:rPr>
        <w:fldChar w:fldCharType="separate"/>
      </w:r>
      <w:r>
        <w:rPr>
          <w:color w:val="000000" w:themeColor="text1"/>
          <w:sz w:val="40"/>
          <w:szCs w:val="48"/>
          <w:highlight w:val="white"/>
          <w14:textFill>
            <w14:solidFill>
              <w14:schemeClr w14:val="tx1"/>
            </w14:solidFill>
          </w14:textFill>
        </w:rPr>
        <w:t xml:space="preserve">21</w:t>
      </w:r>
      <w:r>
        <w:rPr>
          <w:color w:val="000000" w:themeColor="text1"/>
          <w:sz w:val="40"/>
          <w:szCs w:val="48"/>
          <w:highlight w:val="white"/>
          <w14:textFill>
            <w14:solidFill>
              <w14:schemeClr w14:val="tx1"/>
            </w14:solidFill>
          </w14:textFill>
        </w:rPr>
        <w:fldChar w:fldCharType="end"/>
      </w:r>
      <w:r>
        <w:rPr>
          <w:color w:val="000000" w:themeColor="text1"/>
          <w:sz w:val="40"/>
          <w:szCs w:val="48"/>
          <w:highlight w:val="white"/>
          <w14:textFill>
            <w14:solidFill>
              <w14:schemeClr w14:val="tx1"/>
            </w14:solidFill>
          </w14:textFill>
        </w:rPr>
        <w:fldChar w:fldCharType="end"/>
      </w:r>
      <w:r>
        <w:rPr>
          <w:highlight w:val="white"/>
        </w:rPr>
      </w:r>
      <w:r/>
    </w:p>
    <w:p>
      <w:pPr>
        <w:pStyle w:val="925"/>
        <w:tabs>
          <w:tab w:val="right" w:pos="8312" w:leader="dot"/>
        </w:tabs>
        <w:rPr>
          <w:color w:val="000000" w:themeColor="text1"/>
          <w:sz w:val="40"/>
          <w:szCs w:val="48"/>
          <w:highlight w:val="white"/>
          <w14:textFill>
            <w14:solidFill>
              <w14:schemeClr w14:val="tx1"/>
            </w14:solidFill>
          </w14:textFill>
        </w:rPr>
      </w:pPr>
      <w:r>
        <w:rPr>
          <w:highlight w:val="white"/>
        </w:rPr>
        <w:fldChar w:fldCharType="begin"/>
      </w:r>
      <w:r>
        <w:rPr>
          <w:highlight w:val="white"/>
        </w:rPr>
        <w:instrText xml:space="preserve"> HYPERLINK \l "_Toc14138" </w:instrText>
      </w:r>
      <w:r>
        <w:rPr>
          <w:highlight w:val="white"/>
        </w:rPr>
        <w:fldChar w:fldCharType="separate"/>
      </w:r>
      <w:r>
        <w:rPr>
          <w:rFonts w:hint="eastAsia" w:ascii="黑体" w:hAnsi="宋体" w:eastAsia="黑体"/>
          <w:color w:val="000000" w:themeColor="text1"/>
          <w:sz w:val="40"/>
          <w:szCs w:val="48"/>
          <w:highlight w:val="white"/>
          <w14:textFill>
            <w14:solidFill>
              <w14:schemeClr w14:val="tx1"/>
            </w14:solidFill>
          </w14:textFill>
        </w:rPr>
        <w:t xml:space="preserve">第四章  合同主要条款</w:t>
      </w:r>
      <w:r>
        <w:rPr>
          <w:color w:val="000000" w:themeColor="text1"/>
          <w:sz w:val="40"/>
          <w:szCs w:val="48"/>
          <w:highlight w:val="white"/>
          <w14:textFill>
            <w14:solidFill>
              <w14:schemeClr w14:val="tx1"/>
            </w14:solidFill>
          </w14:textFill>
        </w:rPr>
        <w:tab/>
      </w:r>
      <w:r>
        <w:rPr>
          <w:color w:val="000000" w:themeColor="text1"/>
          <w:sz w:val="40"/>
          <w:szCs w:val="48"/>
          <w:highlight w:val="white"/>
          <w14:textFill>
            <w14:solidFill>
              <w14:schemeClr w14:val="tx1"/>
            </w14:solidFill>
          </w14:textFill>
        </w:rPr>
        <w:fldChar w:fldCharType="begin"/>
      </w:r>
      <w:r>
        <w:rPr>
          <w:color w:val="000000" w:themeColor="text1"/>
          <w:sz w:val="40"/>
          <w:szCs w:val="48"/>
          <w:highlight w:val="white"/>
          <w14:textFill>
            <w14:solidFill>
              <w14:schemeClr w14:val="tx1"/>
            </w14:solidFill>
          </w14:textFill>
        </w:rPr>
        <w:instrText xml:space="preserve"> PAGEREF _Toc14138 \h </w:instrText>
      </w:r>
      <w:r>
        <w:rPr>
          <w:color w:val="000000" w:themeColor="text1"/>
          <w:sz w:val="40"/>
          <w:szCs w:val="48"/>
          <w:highlight w:val="white"/>
          <w14:textFill>
            <w14:solidFill>
              <w14:schemeClr w14:val="tx1"/>
            </w14:solidFill>
          </w14:textFill>
        </w:rPr>
        <w:fldChar w:fldCharType="separate"/>
      </w:r>
      <w:r>
        <w:rPr>
          <w:color w:val="000000" w:themeColor="text1"/>
          <w:sz w:val="40"/>
          <w:szCs w:val="48"/>
          <w:highlight w:val="white"/>
          <w14:textFill>
            <w14:solidFill>
              <w14:schemeClr w14:val="tx1"/>
            </w14:solidFill>
          </w14:textFill>
        </w:rPr>
        <w:t xml:space="preserve">33</w:t>
      </w:r>
      <w:r>
        <w:rPr>
          <w:color w:val="000000" w:themeColor="text1"/>
          <w:sz w:val="40"/>
          <w:szCs w:val="48"/>
          <w:highlight w:val="white"/>
          <w14:textFill>
            <w14:solidFill>
              <w14:schemeClr w14:val="tx1"/>
            </w14:solidFill>
          </w14:textFill>
        </w:rPr>
        <w:fldChar w:fldCharType="end"/>
      </w:r>
      <w:r>
        <w:rPr>
          <w:color w:val="000000" w:themeColor="text1"/>
          <w:sz w:val="40"/>
          <w:szCs w:val="48"/>
          <w:highlight w:val="white"/>
          <w14:textFill>
            <w14:solidFill>
              <w14:schemeClr w14:val="tx1"/>
            </w14:solidFill>
          </w14:textFill>
        </w:rPr>
        <w:fldChar w:fldCharType="end"/>
      </w:r>
      <w:r>
        <w:rPr>
          <w:highlight w:val="white"/>
        </w:rPr>
      </w:r>
      <w:r/>
    </w:p>
    <w:p>
      <w:pPr>
        <w:pStyle w:val="925"/>
        <w:tabs>
          <w:tab w:val="right" w:pos="8312" w:leader="dot"/>
        </w:tabs>
        <w:rPr>
          <w:color w:val="000000" w:themeColor="text1"/>
          <w:sz w:val="40"/>
          <w:szCs w:val="48"/>
          <w:highlight w:val="white"/>
          <w14:textFill>
            <w14:solidFill>
              <w14:schemeClr w14:val="tx1"/>
            </w14:solidFill>
          </w14:textFill>
        </w:rPr>
      </w:pPr>
      <w:r>
        <w:rPr>
          <w:highlight w:val="white"/>
        </w:rPr>
        <w:fldChar w:fldCharType="begin"/>
      </w:r>
      <w:r>
        <w:rPr>
          <w:highlight w:val="white"/>
        </w:rPr>
        <w:instrText xml:space="preserve"> HYPERLINK \l "_Toc25383" </w:instrText>
      </w:r>
      <w:r>
        <w:rPr>
          <w:highlight w:val="white"/>
        </w:rPr>
        <w:fldChar w:fldCharType="separate"/>
      </w:r>
      <w:r>
        <w:rPr>
          <w:rFonts w:hint="eastAsia" w:ascii="黑体" w:hAnsi="宋体" w:eastAsia="黑体"/>
          <w:color w:val="000000" w:themeColor="text1"/>
          <w:sz w:val="40"/>
          <w:szCs w:val="28"/>
          <w:highlight w:val="white"/>
          <w14:textFill>
            <w14:solidFill>
              <w14:schemeClr w14:val="tx1"/>
            </w14:solidFill>
          </w14:textFill>
        </w:rPr>
        <w:t xml:space="preserve">第五章  评审办法</w:t>
      </w:r>
      <w:r>
        <w:rPr>
          <w:color w:val="000000" w:themeColor="text1"/>
          <w:sz w:val="40"/>
          <w:szCs w:val="48"/>
          <w:highlight w:val="white"/>
          <w14:textFill>
            <w14:solidFill>
              <w14:schemeClr w14:val="tx1"/>
            </w14:solidFill>
          </w14:textFill>
        </w:rPr>
        <w:tab/>
      </w:r>
      <w:r>
        <w:rPr>
          <w:color w:val="000000" w:themeColor="text1"/>
          <w:sz w:val="40"/>
          <w:szCs w:val="48"/>
          <w:highlight w:val="white"/>
          <w14:textFill>
            <w14:solidFill>
              <w14:schemeClr w14:val="tx1"/>
            </w14:solidFill>
          </w14:textFill>
        </w:rPr>
        <w:fldChar w:fldCharType="begin"/>
      </w:r>
      <w:r>
        <w:rPr>
          <w:color w:val="000000" w:themeColor="text1"/>
          <w:sz w:val="40"/>
          <w:szCs w:val="48"/>
          <w:highlight w:val="white"/>
          <w14:textFill>
            <w14:solidFill>
              <w14:schemeClr w14:val="tx1"/>
            </w14:solidFill>
          </w14:textFill>
        </w:rPr>
        <w:instrText xml:space="preserve"> PAGEREF _Toc25383 \h </w:instrText>
      </w:r>
      <w:r>
        <w:rPr>
          <w:color w:val="000000" w:themeColor="text1"/>
          <w:sz w:val="40"/>
          <w:szCs w:val="48"/>
          <w:highlight w:val="white"/>
          <w14:textFill>
            <w14:solidFill>
              <w14:schemeClr w14:val="tx1"/>
            </w14:solidFill>
          </w14:textFill>
        </w:rPr>
        <w:fldChar w:fldCharType="separate"/>
      </w:r>
      <w:r>
        <w:rPr>
          <w:color w:val="000000" w:themeColor="text1"/>
          <w:sz w:val="40"/>
          <w:szCs w:val="48"/>
          <w:highlight w:val="white"/>
          <w14:textFill>
            <w14:solidFill>
              <w14:schemeClr w14:val="tx1"/>
            </w14:solidFill>
          </w14:textFill>
        </w:rPr>
        <w:t xml:space="preserve">49</w:t>
      </w:r>
      <w:r>
        <w:rPr>
          <w:color w:val="000000" w:themeColor="text1"/>
          <w:sz w:val="40"/>
          <w:szCs w:val="48"/>
          <w:highlight w:val="white"/>
          <w14:textFill>
            <w14:solidFill>
              <w14:schemeClr w14:val="tx1"/>
            </w14:solidFill>
          </w14:textFill>
        </w:rPr>
        <w:fldChar w:fldCharType="end"/>
      </w:r>
      <w:r>
        <w:rPr>
          <w:color w:val="000000" w:themeColor="text1"/>
          <w:sz w:val="40"/>
          <w:szCs w:val="48"/>
          <w:highlight w:val="white"/>
          <w14:textFill>
            <w14:solidFill>
              <w14:schemeClr w14:val="tx1"/>
            </w14:solidFill>
          </w14:textFill>
        </w:rPr>
        <w:fldChar w:fldCharType="end"/>
      </w:r>
      <w:r>
        <w:rPr>
          <w:highlight w:val="white"/>
        </w:rPr>
      </w:r>
      <w:r/>
    </w:p>
    <w:p>
      <w:pPr>
        <w:pStyle w:val="925"/>
        <w:tabs>
          <w:tab w:val="right" w:pos="8312" w:leader="dot"/>
        </w:tabs>
        <w:rPr>
          <w:color w:val="000000" w:themeColor="text1"/>
          <w:sz w:val="40"/>
          <w:szCs w:val="48"/>
          <w:highlight w:val="white"/>
          <w14:textFill>
            <w14:solidFill>
              <w14:schemeClr w14:val="tx1"/>
            </w14:solidFill>
          </w14:textFill>
        </w:rPr>
      </w:pPr>
      <w:r>
        <w:rPr>
          <w:highlight w:val="white"/>
        </w:rPr>
        <w:fldChar w:fldCharType="begin"/>
      </w:r>
      <w:r>
        <w:rPr>
          <w:highlight w:val="white"/>
        </w:rPr>
        <w:instrText xml:space="preserve"> HYPERLINK \l "_Toc26351" </w:instrText>
      </w:r>
      <w:r>
        <w:rPr>
          <w:highlight w:val="white"/>
        </w:rPr>
        <w:fldChar w:fldCharType="separate"/>
      </w:r>
      <w:r>
        <w:rPr>
          <w:rFonts w:hint="eastAsia" w:ascii="黑体" w:hAnsi="宋体" w:eastAsia="黑体"/>
          <w:color w:val="000000" w:themeColor="text1"/>
          <w:sz w:val="40"/>
          <w:szCs w:val="28"/>
          <w:highlight w:val="white"/>
          <w14:textFill>
            <w14:solidFill>
              <w14:schemeClr w14:val="tx1"/>
            </w14:solidFill>
          </w14:textFill>
        </w:rPr>
        <w:t xml:space="preserve">第六章  磋商响应文件格式</w:t>
      </w:r>
      <w:r>
        <w:rPr>
          <w:color w:val="000000" w:themeColor="text1"/>
          <w:sz w:val="40"/>
          <w:szCs w:val="48"/>
          <w:highlight w:val="white"/>
          <w14:textFill>
            <w14:solidFill>
              <w14:schemeClr w14:val="tx1"/>
            </w14:solidFill>
          </w14:textFill>
        </w:rPr>
        <w:tab/>
      </w:r>
      <w:r>
        <w:rPr>
          <w:color w:val="000000" w:themeColor="text1"/>
          <w:sz w:val="40"/>
          <w:szCs w:val="48"/>
          <w:highlight w:val="white"/>
          <w14:textFill>
            <w14:solidFill>
              <w14:schemeClr w14:val="tx1"/>
            </w14:solidFill>
          </w14:textFill>
        </w:rPr>
        <w:fldChar w:fldCharType="begin"/>
      </w:r>
      <w:r>
        <w:rPr>
          <w:color w:val="000000" w:themeColor="text1"/>
          <w:sz w:val="40"/>
          <w:szCs w:val="48"/>
          <w:highlight w:val="white"/>
          <w14:textFill>
            <w14:solidFill>
              <w14:schemeClr w14:val="tx1"/>
            </w14:solidFill>
          </w14:textFill>
        </w:rPr>
        <w:instrText xml:space="preserve"> PAGEREF _Toc26351 \h </w:instrText>
      </w:r>
      <w:r>
        <w:rPr>
          <w:color w:val="000000" w:themeColor="text1"/>
          <w:sz w:val="40"/>
          <w:szCs w:val="48"/>
          <w:highlight w:val="white"/>
          <w14:textFill>
            <w14:solidFill>
              <w14:schemeClr w14:val="tx1"/>
            </w14:solidFill>
          </w14:textFill>
        </w:rPr>
        <w:fldChar w:fldCharType="separate"/>
      </w:r>
      <w:r>
        <w:rPr>
          <w:color w:val="000000" w:themeColor="text1"/>
          <w:sz w:val="40"/>
          <w:szCs w:val="48"/>
          <w:highlight w:val="white"/>
          <w14:textFill>
            <w14:solidFill>
              <w14:schemeClr w14:val="tx1"/>
            </w14:solidFill>
          </w14:textFill>
        </w:rPr>
        <w:t xml:space="preserve">53</w:t>
      </w:r>
      <w:r>
        <w:rPr>
          <w:color w:val="000000" w:themeColor="text1"/>
          <w:sz w:val="40"/>
          <w:szCs w:val="48"/>
          <w:highlight w:val="white"/>
          <w14:textFill>
            <w14:solidFill>
              <w14:schemeClr w14:val="tx1"/>
            </w14:solidFill>
          </w14:textFill>
        </w:rPr>
        <w:fldChar w:fldCharType="end"/>
      </w:r>
      <w:r>
        <w:rPr>
          <w:color w:val="000000" w:themeColor="text1"/>
          <w:sz w:val="40"/>
          <w:szCs w:val="48"/>
          <w:highlight w:val="white"/>
          <w14:textFill>
            <w14:solidFill>
              <w14:schemeClr w14:val="tx1"/>
            </w14:solidFill>
          </w14:textFill>
        </w:rPr>
        <w:fldChar w:fldCharType="end"/>
      </w:r>
      <w:r>
        <w:rPr>
          <w:highlight w:val="white"/>
        </w:rPr>
      </w:r>
      <w:r/>
    </w:p>
    <w:p>
      <w:pPr>
        <w:spacing w:line="360" w:lineRule="auto"/>
        <w:tabs>
          <w:tab w:val="left" w:pos="315" w:leader="none"/>
          <w:tab w:val="center" w:pos="4153" w:leader="none"/>
        </w:tabs>
        <w:rPr>
          <w:rFonts w:eastAsia="黑体"/>
          <w:b/>
          <w:color w:val="000000" w:themeColor="text1"/>
          <w:sz w:val="48"/>
          <w:szCs w:val="48"/>
          <w:highlight w:val="white"/>
          <w14:textFill>
            <w14:solidFill>
              <w14:schemeClr w14:val="tx1"/>
            </w14:solidFill>
          </w14:textFill>
        </w:rPr>
      </w:pPr>
      <w:r>
        <w:rPr>
          <w:rFonts w:eastAsia="黑体"/>
          <w:color w:val="000000" w:themeColor="text1"/>
          <w:sz w:val="40"/>
          <w:szCs w:val="192"/>
          <w:highlight w:val="white"/>
          <w14:textFill>
            <w14:solidFill>
              <w14:schemeClr w14:val="tx1"/>
            </w14:solidFill>
          </w14:textFill>
        </w:rPr>
        <w:fldChar w:fldCharType="end"/>
      </w:r>
      <w:r>
        <w:rPr>
          <w:highlight w:val="white"/>
        </w:rPr>
      </w:r>
      <w:r/>
    </w:p>
    <w:p>
      <w:pPr>
        <w:spacing w:line="360" w:lineRule="auto"/>
        <w:tabs>
          <w:tab w:val="left" w:pos="315" w:leader="none"/>
          <w:tab w:val="center" w:pos="4153" w:leader="none"/>
        </w:tabs>
        <w:rPr>
          <w:rFonts w:eastAsia="黑体"/>
          <w:b/>
          <w:color w:val="000000" w:themeColor="text1"/>
          <w:sz w:val="24"/>
          <w:highlight w:val="white"/>
          <w14:textFill>
            <w14:solidFill>
              <w14:schemeClr w14:val="tx1"/>
            </w14:solidFill>
          </w14:textFill>
        </w:rPr>
      </w:pPr>
      <w:r>
        <w:rPr>
          <w:rFonts w:eastAsia="黑体"/>
          <w:b/>
          <w:color w:val="000000" w:themeColor="text1"/>
          <w:sz w:val="24"/>
          <w:highlight w:val="white"/>
          <w14:textFill>
            <w14:solidFill>
              <w14:schemeClr w14:val="tx1"/>
            </w14:solidFill>
          </w14:textFill>
        </w:rPr>
      </w:r>
      <w:r>
        <w:rPr>
          <w:highlight w:val="white"/>
        </w:rPr>
      </w:r>
      <w:r/>
    </w:p>
    <w:p>
      <w:pPr>
        <w:tabs>
          <w:tab w:val="left" w:pos="315" w:leader="none"/>
          <w:tab w:val="center" w:pos="4153" w:leader="none"/>
        </w:tabs>
        <w:rPr>
          <w:rFonts w:eastAsia="黑体"/>
          <w:b/>
          <w:color w:val="000000" w:themeColor="text1"/>
          <w:sz w:val="24"/>
          <w:highlight w:val="white"/>
          <w14:textFill>
            <w14:solidFill>
              <w14:schemeClr w14:val="tx1"/>
            </w14:solidFill>
          </w14:textFill>
        </w:rPr>
      </w:pPr>
      <w:r>
        <w:rPr>
          <w:rFonts w:eastAsia="黑体"/>
          <w:b/>
          <w:color w:val="000000" w:themeColor="text1"/>
          <w:sz w:val="24"/>
          <w:highlight w:val="white"/>
          <w14:textFill>
            <w14:solidFill>
              <w14:schemeClr w14:val="tx1"/>
            </w14:solidFill>
          </w14:textFill>
        </w:rPr>
      </w:r>
      <w:r>
        <w:rPr>
          <w:highlight w:val="white"/>
        </w:rPr>
      </w:r>
      <w:r/>
    </w:p>
    <w:p>
      <w:pPr>
        <w:tabs>
          <w:tab w:val="left" w:pos="315" w:leader="none"/>
          <w:tab w:val="center" w:pos="4153" w:leader="none"/>
        </w:tabs>
        <w:rPr>
          <w:rFonts w:eastAsia="黑体"/>
          <w:b/>
          <w:color w:val="000000" w:themeColor="text1"/>
          <w:sz w:val="24"/>
          <w:highlight w:val="white"/>
          <w14:textFill>
            <w14:solidFill>
              <w14:schemeClr w14:val="tx1"/>
            </w14:solidFill>
          </w14:textFill>
        </w:rPr>
      </w:pPr>
      <w:r>
        <w:rPr>
          <w:rFonts w:eastAsia="黑体"/>
          <w:b/>
          <w:color w:val="000000" w:themeColor="text1"/>
          <w:sz w:val="24"/>
          <w:highlight w:val="white"/>
          <w14:textFill>
            <w14:solidFill>
              <w14:schemeClr w14:val="tx1"/>
            </w14:solidFill>
          </w14:textFill>
        </w:rPr>
        <w:br w:type="page" w:clear="all"/>
      </w:r>
      <w:r>
        <w:rPr>
          <w:highlight w:val="white"/>
        </w:rPr>
      </w:r>
      <w:r/>
    </w:p>
    <w:p>
      <w:pPr>
        <w:pStyle w:val="1252"/>
        <w:jc w:val="center"/>
        <w:rPr>
          <w:rFonts w:hint="eastAsia" w:ascii="黑体" w:hAnsi="宋体" w:eastAsia="黑体"/>
          <w:color w:val="000000" w:themeColor="text1"/>
          <w:szCs w:val="16"/>
          <w:highlight w:val="white"/>
          <w14:textFill>
            <w14:solidFill>
              <w14:schemeClr w14:val="tx1"/>
            </w14:solidFill>
          </w14:textFill>
        </w:rPr>
      </w:pPr>
      <w:r>
        <w:rPr>
          <w:highlight w:val="white"/>
        </w:rPr>
      </w:r>
      <w:bookmarkStart w:id="0" w:name="_Toc474491763"/>
      <w:r>
        <w:rPr>
          <w:highlight w:val="white"/>
        </w:rPr>
      </w:r>
      <w:bookmarkStart w:id="1" w:name="_Toc19146"/>
      <w:r>
        <w:rPr>
          <w:rFonts w:hint="eastAsia" w:ascii="黑体" w:hAnsi="宋体" w:eastAsia="黑体"/>
          <w:color w:val="000000" w:themeColor="text1"/>
          <w:szCs w:val="16"/>
          <w:highlight w:val="white"/>
          <w14:textFill>
            <w14:solidFill>
              <w14:schemeClr w14:val="tx1"/>
            </w14:solidFill>
          </w14:textFill>
        </w:rPr>
        <w:t xml:space="preserve">第一章  </w:t>
      </w:r>
      <w:bookmarkEnd w:id="0"/>
      <w:r>
        <w:rPr>
          <w:rFonts w:hint="eastAsia" w:ascii="黑体" w:hAnsi="宋体" w:eastAsia="黑体"/>
          <w:color w:val="000000" w:themeColor="text1"/>
          <w:szCs w:val="16"/>
          <w:highlight w:val="white"/>
          <w14:textFill>
            <w14:solidFill>
              <w14:schemeClr w14:val="tx1"/>
            </w14:solidFill>
          </w14:textFill>
        </w:rPr>
        <w:t xml:space="preserve">竞争性磋商公告</w:t>
      </w:r>
      <w:bookmarkEnd w:id="1"/>
      <w:r>
        <w:rPr>
          <w:highlight w:val="white"/>
        </w:rPr>
      </w:r>
      <w:r/>
    </w:p>
    <w:tbl>
      <w:tblPr>
        <w:tblStyle w:val="9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Pr>
        <w:tc>
          <w:tcPr>
            <w:tcW w:w="5000" w:type="dxa"/>
            <w:textDirection w:val="lrTb"/>
            <w:noWrap w:val="false"/>
          </w:tcPr>
          <w:p>
            <w:pPr>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zh-CN"/>
                <w14:textFill>
                  <w14:solidFill>
                    <w14:schemeClr w14:val="tx1"/>
                  </w14:solidFill>
                </w14:textFill>
              </w:rPr>
              <w:t xml:space="preserve">项目概况</w:t>
            </w:r>
            <w:r>
              <w:rPr>
                <w:highlight w:val="white"/>
              </w:rPr>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u w:val="single"/>
                <w:lang w:eastAsia="zh-CN"/>
                <w14:textFill>
                  <w14:solidFill>
                    <w14:schemeClr w14:val="tx1"/>
                  </w14:solidFill>
                </w14:textFill>
              </w:rPr>
              <w:t xml:space="preserve">2026-2027年太湖新城社会联勤联防食堂食材配送项目</w:t>
            </w:r>
            <w:r>
              <w:rPr>
                <w:rFonts w:hint="eastAsia" w:ascii="宋体" w:hAnsi="宋体"/>
                <w:color w:val="000000" w:themeColor="text1"/>
                <w:sz w:val="24"/>
                <w:highlight w:val="white"/>
                <w14:textFill>
                  <w14:solidFill>
                    <w14:schemeClr w14:val="tx1"/>
                  </w14:solidFill>
                </w14:textFill>
              </w:rPr>
              <w:t xml:space="preserve">采购项目的潜在供应商应在</w:t>
            </w:r>
            <w:r>
              <w:rPr>
                <w:rFonts w:hint="eastAsia" w:ascii="宋体" w:hAnsi="宋体" w:cs="宋体"/>
                <w:color w:val="000000" w:themeColor="text1"/>
                <w:sz w:val="24"/>
                <w:highlight w:val="white"/>
                <w:u w:val="single"/>
                <w14:textFill>
                  <w14:solidFill>
                    <w14:schemeClr w14:val="tx1"/>
                  </w14:solidFill>
                </w14:textFill>
              </w:rPr>
              <w:t xml:space="preserve">“苏采云”政府采购交易系统（以下简称“苏采云系统”）</w:t>
            </w:r>
            <w:r>
              <w:rPr>
                <w:rFonts w:hint="eastAsia" w:ascii="宋体" w:hAnsi="宋体" w:cs="宋体"/>
                <w:color w:val="000000" w:themeColor="text1"/>
                <w:sz w:val="24"/>
                <w:highlight w:val="white"/>
                <w14:textFill>
                  <w14:solidFill>
                    <w14:schemeClr w14:val="tx1"/>
                  </w14:solidFill>
                </w14:textFill>
              </w:rPr>
              <w:t xml:space="preserve">获取招标文件，并于</w:t>
            </w:r>
            <w:r>
              <w:rPr>
                <w:rFonts w:hint="eastAsia" w:ascii="宋体" w:hAnsi="宋体" w:cs="宋体"/>
                <w:color w:val="000000" w:themeColor="text1"/>
                <w:sz w:val="24"/>
                <w:highlight w:val="white"/>
                <w:u w:val="single"/>
                <w:lang w:eastAsia="zh-CN"/>
                <w14:textFill>
                  <w14:solidFill>
                    <w14:schemeClr w14:val="tx1"/>
                  </w14:solidFill>
                </w14:textFill>
              </w:rPr>
              <w:t xml:space="preserve">2026年11月6日</w:t>
            </w:r>
            <w:r>
              <w:rPr>
                <w:rFonts w:hint="eastAsia" w:ascii="宋体" w:hAnsi="宋体" w:cs="宋体"/>
                <w:color w:val="000000" w:themeColor="text1"/>
                <w:sz w:val="24"/>
                <w:highlight w:val="white"/>
                <w:u w:val="single"/>
                <w14:textFill>
                  <w14:solidFill>
                    <w14:schemeClr w14:val="tx1"/>
                  </w14:solidFill>
                </w14:textFill>
              </w:rPr>
              <w:t xml:space="preserve">09:30</w:t>
            </w:r>
            <w:r>
              <w:rPr>
                <w:rFonts w:hint="eastAsia" w:ascii="宋体" w:hAnsi="宋体" w:cs="宋体"/>
                <w:bCs/>
                <w:color w:val="000000" w:themeColor="text1"/>
                <w:sz w:val="24"/>
                <w:highlight w:val="white"/>
                <w14:textFill>
                  <w14:solidFill>
                    <w14:schemeClr w14:val="tx1"/>
                  </w14:solidFill>
                </w14:textFill>
              </w:rPr>
              <w:t xml:space="preserve">（北京时间）前递交响应文件</w:t>
            </w:r>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tc>
      </w:tr>
    </w:tbl>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left"/>
        <w:spacing w:line="360" w:lineRule="auto"/>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一、项目基本情况</w:t>
      </w:r>
      <w:r>
        <w:rPr>
          <w:highlight w:val="white"/>
        </w:rPr>
      </w:r>
      <w:r/>
    </w:p>
    <w:p>
      <w:pPr>
        <w:ind w:firstLine="480"/>
        <w:jc w:val="left"/>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w:t>
      </w:r>
      <w:bookmarkStart w:id="2" w:name="auto_fouce_1"/>
      <w:r>
        <w:rPr>
          <w:rFonts w:hint="eastAsia" w:ascii="宋体" w:hAnsi="宋体" w:cs="宋体"/>
          <w:color w:val="000000" w:themeColor="text1"/>
          <w:sz w:val="24"/>
          <w:highlight w:val="white"/>
          <w14:textFill>
            <w14:solidFill>
              <w14:schemeClr w14:val="tx1"/>
            </w14:solidFill>
          </w14:textFill>
        </w:rPr>
        <w:t xml:space="preserve">项目编号：</w:t>
      </w:r>
      <w:bookmarkEnd w:id="2"/>
      <w:r>
        <w:rPr>
          <w:rFonts w:hint="eastAsia" w:ascii="宋体" w:hAnsi="宋体"/>
          <w:color w:val="000000" w:themeColor="text1"/>
          <w:sz w:val="24"/>
          <w:highlight w:val="white"/>
          <w:lang w:eastAsia="zh-CN"/>
          <w14:textFill>
            <w14:solidFill>
              <w14:schemeClr w14:val="tx1"/>
            </w14:solidFill>
          </w14:textFill>
        </w:rPr>
        <w:t xml:space="preserve">JSZC-320506006-ZHCD-C2026-0015</w:t>
      </w:r>
      <w:r>
        <w:rPr>
          <w:highlight w:val="white"/>
        </w:rPr>
      </w:r>
      <w:r/>
    </w:p>
    <w:p>
      <w:pPr>
        <w:ind w:firstLine="480"/>
        <w:jc w:val="left"/>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2、项目名称：</w:t>
      </w:r>
      <w:r>
        <w:rPr>
          <w:rFonts w:hint="eastAsia" w:ascii="宋体" w:hAnsi="宋体" w:cs="宋体"/>
          <w:color w:val="000000" w:themeColor="text1"/>
          <w:sz w:val="24"/>
          <w:highlight w:val="white"/>
          <w:lang w:eastAsia="zh-CN"/>
          <w14:textFill>
            <w14:solidFill>
              <w14:schemeClr w14:val="tx1"/>
            </w14:solidFill>
          </w14:textFill>
        </w:rPr>
        <w:t xml:space="preserve">2026-2027年太湖新城社会联勤联防食堂食材配送项目</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3、采购方式：竞争性磋商</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4、预算金额：</w:t>
      </w:r>
      <w:r>
        <w:rPr>
          <w:rFonts w:hint="eastAsia" w:ascii="宋体" w:hAnsi="宋体" w:cs="宋体"/>
          <w:color w:val="000000" w:themeColor="text1"/>
          <w:sz w:val="24"/>
          <w:highlight w:val="white"/>
          <w:lang w:eastAsia="zh-CN"/>
          <w14:textFill>
            <w14:solidFill>
              <w14:schemeClr w14:val="tx1"/>
            </w14:solidFill>
          </w14:textFill>
        </w:rPr>
        <w:t xml:space="preserve">壹佰玖拾肆万肆仟元整（￥1944000.00元）</w:t>
      </w:r>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5、最高限价：</w:t>
      </w:r>
      <w:r>
        <w:rPr>
          <w:rFonts w:hint="eastAsia" w:ascii="宋体" w:hAnsi="宋体" w:cs="宋体"/>
          <w:color w:val="000000" w:themeColor="text1"/>
          <w:sz w:val="24"/>
          <w:highlight w:val="white"/>
          <w:lang w:eastAsia="zh-CN"/>
          <w14:textFill>
            <w14:solidFill>
              <w14:schemeClr w14:val="tx1"/>
            </w14:solidFill>
          </w14:textFill>
        </w:rPr>
        <w:t xml:space="preserve">壹佰玖拾肆万肆仟元整（￥1944000.00元）</w:t>
      </w:r>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p>
      <w:pPr>
        <w:ind w:firstLine="480"/>
        <w:spacing w:line="360" w:lineRule="auto"/>
        <w:rPr>
          <w:rFonts w:hint="eastAsia"/>
          <w:highlight w:val="white"/>
        </w:rPr>
      </w:pPr>
      <w:r>
        <w:rPr>
          <w:rFonts w:hint="eastAsia" w:ascii="宋体" w:hAnsi="宋体" w:cs="宋体"/>
          <w:sz w:val="24"/>
          <w:highlight w:val="white"/>
        </w:rPr>
        <w:t xml:space="preserve">6、采购内容：对食堂原材料进行采购，包含大米、食用油、调味品、肉、禽蛋、蔬菜、水产、水果、豆制品、面包、牛奶等食材进行统一配送。</w:t>
      </w:r>
      <w:r>
        <w:rPr>
          <w:highlight w:val="white"/>
        </w:rPr>
      </w:r>
      <w:r/>
    </w:p>
    <w:p>
      <w:pPr>
        <w:ind w:firstLine="420"/>
        <w:spacing w:line="360" w:lineRule="auto"/>
        <w:rPr>
          <w:rFonts w:hint="eastAsia" w:ascii="宋体" w:hAnsi="宋体" w:cs="宋体"/>
          <w:sz w:val="24"/>
          <w:highlight w:val="white"/>
        </w:rPr>
      </w:pPr>
      <w:r>
        <w:rPr>
          <w:rFonts w:hint="eastAsia" w:ascii="宋体" w:hAnsi="宋体" w:cs="宋体"/>
          <w:sz w:val="24"/>
          <w:highlight w:val="white"/>
        </w:rPr>
        <w:t xml:space="preserve">7、项目地点：</w:t>
      </w:r>
      <w:r>
        <w:rPr>
          <w:rFonts w:hint="eastAsia" w:ascii="宋体" w:hAnsi="宋体" w:cs="宋体"/>
          <w:sz w:val="24"/>
          <w:highlight w:val="white"/>
          <w:lang w:eastAsia="zh-CN"/>
        </w:rPr>
        <w:t xml:space="preserve">太湖新城社会联勤联防食堂</w:t>
      </w:r>
      <w:r>
        <w:rPr>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8、技术、质量要求：符合采购单位要求及国家相关规定。</w:t>
      </w:r>
      <w:r>
        <w:rPr>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9、合同期限：</w:t>
      </w:r>
      <w:r>
        <w:rPr>
          <w:rFonts w:hint="eastAsia" w:ascii="宋体" w:hAnsi="宋体" w:eastAsia="宋体" w:cs="宋体"/>
          <w:sz w:val="24"/>
          <w:highlight w:val="white"/>
          <w:lang w:val="zh-CN"/>
        </w:rPr>
        <w:t xml:space="preserve">壹年（具体以实际提供服务之日起算）</w:t>
      </w:r>
      <w:r>
        <w:rPr>
          <w:rFonts w:hint="eastAsia" w:ascii="宋体" w:hAnsi="宋体" w:eastAsia="宋体" w:cs="宋体"/>
          <w:sz w:val="24"/>
          <w:highlight w:val="white"/>
        </w:rPr>
        <w:t xml:space="preserve">。</w:t>
      </w:r>
      <w:r>
        <w:rPr>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10、本项目不接受联合体响应、不允许分包、不允许转包。</w:t>
      </w:r>
      <w:r>
        <w:rPr>
          <w:highlight w:val="white"/>
        </w:rPr>
      </w:r>
      <w:r/>
    </w:p>
    <w:p>
      <w:pPr>
        <w:ind w:firstLine="480"/>
        <w:jc w:val="left"/>
        <w:spacing w:line="360" w:lineRule="auto"/>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二、供应商资格要求：</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1、满足《中华人民共和国政府采购法》第二十二条规定；</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highlight w:val="white"/>
        </w:rPr>
      </w:r>
      <w:bookmarkStart w:id="3" w:name="_Toc28359003"/>
      <w:r>
        <w:rPr>
          <w:rFonts w:hint="eastAsia" w:ascii="宋体" w:hAnsi="宋体" w:cs="宋体"/>
          <w:color w:val="000000" w:themeColor="text1"/>
          <w:sz w:val="24"/>
          <w:highlight w:val="white"/>
          <w14:textFill>
            <w14:solidFill>
              <w14:schemeClr w14:val="tx1"/>
            </w14:solidFill>
          </w14:textFill>
        </w:rPr>
        <w:t xml:space="preserve">（1）具有独立承担民事责任的能力；</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（2）具有良好的商业信誉和健全的财务会计制度；</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（3）具有履行合同所必需的设备和专业技术能力；</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（4）有依法缴纳税收和社会保障资金的良好记录；</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（5）参加政府采购活动前三年内，在经营活动中没有重大违法记录；</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（6）法律、行政法规规定的其他条件</w:t>
      </w:r>
      <w:bookmarkEnd w:id="3"/>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2、落实政府采购政策需满足的资格要求：根据《关于印发&lt;苏州市政府采购促进中小企业发展实施意见&gt;的通知》的相关规定，本项目专门面向中小企业，</w:t>
      </w:r>
      <w:r>
        <w:rPr>
          <w:rFonts w:hint="eastAsia" w:ascii="宋体" w:hAnsi="宋体" w:cs="宋体"/>
          <w:color w:val="000000"/>
          <w:sz w:val="24"/>
          <w:highlight w:val="white"/>
        </w:rPr>
        <w:t xml:space="preserve">所属行业为</w:t>
      </w:r>
      <w:r>
        <w:rPr>
          <w:rFonts w:hint="eastAsia" w:ascii="宋体" w:hAnsi="宋体" w:cs="宋体"/>
          <w:color w:val="000000"/>
          <w:sz w:val="24"/>
          <w:highlight w:val="white"/>
          <w:lang w:eastAsia="zh-CN"/>
        </w:rPr>
        <w:t xml:space="preserve">批发业</w:t>
      </w:r>
      <w:r>
        <w:rPr>
          <w:rFonts w:hint="eastAsia" w:ascii="宋体" w:hAnsi="宋体" w:cs="宋体"/>
          <w:color w:val="000000"/>
          <w:sz w:val="24"/>
          <w:highlight w:val="white"/>
        </w:rPr>
        <w:t xml:space="preserve">。</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3、本项目的特定资格要求：</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（1）未被“信用中国”网站（www.creditchina.gov.cn）列入失信被执行人、重大税收违法案件当事人名单、政府采购严重失信行为记录名单；</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（3）其他特定资格要求：</w:t>
      </w:r>
      <w:r>
        <w:rPr>
          <w:rFonts w:hint="eastAsia" w:ascii="宋体" w:hAnsi="宋体" w:cs="宋体"/>
          <w:color w:val="000000"/>
          <w:sz w:val="24"/>
          <w:highlight w:val="white"/>
        </w:rPr>
        <w:t xml:space="preserve">具有有效期内的食品经营许可证或食品生产许可证</w:t>
      </w:r>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p>
      <w:pPr>
        <w:ind w:firstLine="480"/>
        <w:jc w:val="left"/>
        <w:spacing w:line="360" w:lineRule="auto"/>
        <w:rPr>
          <w:rFonts w:hint="eastAsia" w:ascii="宋体" w:hAnsi="宋体"/>
          <w:b/>
          <w:bCs/>
          <w:color w:val="000000" w:themeColor="text1"/>
          <w:sz w:val="24"/>
          <w:highlight w:val="white"/>
          <w14:textFill>
            <w14:solidFill>
              <w14:schemeClr w14:val="tx1"/>
            </w14:solidFill>
          </w14:textFill>
        </w:rPr>
      </w:pPr>
      <w:r>
        <w:rPr>
          <w:rFonts w:hint="eastAsia" w:ascii="宋体" w:hAnsi="宋体"/>
          <w:b/>
          <w:bCs/>
          <w:color w:val="000000" w:themeColor="text1"/>
          <w:sz w:val="24"/>
          <w:highlight w:val="white"/>
          <w14:textFill>
            <w14:solidFill>
              <w14:schemeClr w14:val="tx1"/>
            </w14:solidFill>
          </w14:textFill>
        </w:rPr>
        <w:t xml:space="preserve">三</w:t>
      </w:r>
      <w:r>
        <w:rPr>
          <w:rFonts w:ascii="宋体" w:hAnsi="宋体"/>
          <w:b/>
          <w:bCs/>
          <w:color w:val="000000" w:themeColor="text1"/>
          <w:sz w:val="24"/>
          <w:highlight w:val="white"/>
          <w14:textFill>
            <w14:solidFill>
              <w14:schemeClr w14:val="tx1"/>
            </w14:solidFill>
          </w14:textFill>
        </w:rPr>
        <w:t xml:space="preserve">、</w:t>
      </w:r>
      <w:r>
        <w:rPr>
          <w:rFonts w:hint="eastAsia" w:ascii="宋体" w:hAnsi="宋体"/>
          <w:b/>
          <w:bCs/>
          <w:color w:val="000000" w:themeColor="text1"/>
          <w:sz w:val="24"/>
          <w:highlight w:val="white"/>
          <w14:textFill>
            <w14:solidFill>
              <w14:schemeClr w14:val="tx1"/>
            </w14:solidFill>
          </w14:textFill>
        </w:rPr>
        <w:t xml:space="preserve">磋商文件获取</w:t>
      </w:r>
      <w:r>
        <w:rPr>
          <w:rFonts w:ascii="宋体" w:hAnsi="宋体"/>
          <w:b/>
          <w:bCs/>
          <w:color w:val="000000" w:themeColor="text1"/>
          <w:sz w:val="24"/>
          <w:highlight w:val="white"/>
          <w14:textFill>
            <w14:solidFill>
              <w14:schemeClr w14:val="tx1"/>
            </w14:solidFill>
          </w14:textFill>
        </w:rPr>
        <w:t xml:space="preserve">信息：</w:t>
      </w:r>
      <w:r>
        <w:rPr>
          <w:highlight w:val="white"/>
        </w:rPr>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1、报名时间：</w:t>
      </w:r>
      <w:r>
        <w:rPr>
          <w:rFonts w:hint="eastAsia" w:ascii="宋体" w:hAnsi="宋体"/>
          <w:bCs/>
          <w:color w:val="000000" w:themeColor="text1"/>
          <w:sz w:val="24"/>
          <w:highlight w:val="white"/>
          <w14:textFill>
            <w14:solidFill>
              <w14:schemeClr w14:val="tx1"/>
            </w14:solidFill>
          </w14:textFill>
        </w:rPr>
        <w:t xml:space="preserve">自公告发布之</w:t>
      </w:r>
      <w:r>
        <w:rPr>
          <w:rFonts w:hint="eastAsia" w:ascii="宋体" w:hAnsi="宋体"/>
          <w:bCs/>
          <w:color w:val="000000" w:themeColor="text1"/>
          <w:sz w:val="24"/>
          <w:highlight w:val="white"/>
          <w:lang w:eastAsia="zh-CN"/>
          <w14:textFill>
            <w14:solidFill>
              <w14:schemeClr w14:val="tx1"/>
            </w14:solidFill>
          </w14:textFill>
        </w:rPr>
        <w:t xml:space="preserve">日起</w:t>
      </w:r>
      <w:r>
        <w:rPr>
          <w:rFonts w:hint="eastAsia" w:ascii="宋体" w:hAnsi="宋体"/>
          <w:bCs/>
          <w:color w:val="000000" w:themeColor="text1"/>
          <w:sz w:val="24"/>
          <w:highlight w:val="white"/>
          <w14:textFill>
            <w14:solidFill>
              <w14:schemeClr w14:val="tx1"/>
            </w14:solidFill>
          </w14:textFill>
        </w:rPr>
        <w:t xml:space="preserve">五个工作日</w:t>
      </w:r>
      <w:r>
        <w:rPr>
          <w:rFonts w:ascii="宋体" w:hAnsi="宋体"/>
          <w:bCs/>
          <w:color w:val="000000" w:themeColor="text1"/>
          <w:sz w:val="24"/>
          <w:highlight w:val="white"/>
          <w14:textFill>
            <w14:solidFill>
              <w14:schemeClr w14:val="tx1"/>
            </w14:solidFill>
          </w14:textFill>
        </w:rPr>
        <w:t xml:space="preserve">。</w:t>
      </w:r>
      <w:r>
        <w:rPr>
          <w:highlight w:val="white"/>
        </w:rPr>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2、地点：苏采云系统中自行下载</w:t>
      </w:r>
      <w:r>
        <w:rPr>
          <w:highlight w:val="white"/>
        </w:rPr>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3、报名方式：</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（1）CA证书办理</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themeColor="text1"/>
          <w:sz w:val="24"/>
          <w:highlight w:val="white"/>
          <w14:textFill>
            <w14:solidFill>
              <w14:schemeClr w14:val="tx1"/>
            </w14:solidFill>
          </w14:textFill>
        </w:rPr>
        <w:t xml:space="preserve">苏州现场办理地址：苏州市高新区邓蔚路105号狮山科技馆一楼服务大厅，咨询电话：0512</w:t>
      </w:r>
      <w:r>
        <w:rPr>
          <w:rFonts w:hint="eastAsia" w:ascii="宋体" w:hAnsi="宋体"/>
          <w:b/>
          <w:bCs/>
          <w:color w:val="000000" w:themeColor="text1"/>
          <w:sz w:val="24"/>
          <w:highlight w:val="white"/>
          <w:lang w:val="en-US" w:eastAsia="zh-CN"/>
          <w14:textFill>
            <w14:solidFill>
              <w14:schemeClr w14:val="tx1"/>
            </w14:solidFill>
          </w14:textFill>
        </w:rPr>
        <w:t xml:space="preserve">-</w:t>
      </w:r>
      <w:r>
        <w:rPr>
          <w:rFonts w:hint="eastAsia" w:ascii="宋体" w:hAnsi="宋体"/>
          <w:b/>
          <w:bCs/>
          <w:color w:val="000000" w:themeColor="text1"/>
          <w:sz w:val="24"/>
          <w:highlight w:val="white"/>
          <w14:textFill>
            <w14:solidFill>
              <w14:schemeClr w14:val="tx1"/>
            </w14:solidFill>
          </w14:textFill>
        </w:rPr>
        <w:t xml:space="preserve">6573 7699。</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（2）参与采购活动</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供应商插入CA证书</w:t>
      </w:r>
      <w:r>
        <w:rPr>
          <w:rFonts w:hint="eastAsia" w:ascii="宋体" w:hAnsi="宋体"/>
          <w:color w:val="000000" w:themeColor="text1"/>
          <w:sz w:val="24"/>
          <w:highlight w:val="white"/>
          <w:lang w:eastAsia="zh-CN"/>
          <w14:textFill>
            <w14:solidFill>
              <w14:schemeClr w14:val="tx1"/>
            </w14:solidFill>
          </w14:textFill>
        </w:rPr>
        <w:t xml:space="preserve">登录</w:t>
      </w:r>
      <w:r>
        <w:rPr>
          <w:rFonts w:hint="eastAsia" w:ascii="宋体" w:hAnsi="宋体"/>
          <w:color w:val="000000" w:themeColor="text1"/>
          <w:sz w:val="24"/>
          <w:highlight w:val="white"/>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（3）电子投标准备</w:t>
      </w:r>
      <w:r>
        <w:rPr>
          <w:highlight w:val="white"/>
        </w:rPr>
      </w:r>
      <w:r/>
    </w:p>
    <w:p>
      <w:pPr>
        <w:ind w:firstLine="480"/>
        <w:spacing w:line="360" w:lineRule="auto"/>
        <w:rPr>
          <w:rFonts w:hint="eastAsia" w:ascii="宋体" w:hAnsi="宋体"/>
          <w:b/>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供应商在“苏采云”系统中操作成功参与项目后，必须在“已参与项目”界面中下载电子采购文件（后缀名为“.kedt”）并导入政府采购客户端工具后方可进行电子响应文件制作和提交</w:t>
      </w:r>
      <w:r>
        <w:rPr>
          <w:rFonts w:hint="eastAsia" w:ascii="宋体" w:hAnsi="宋体"/>
          <w:b/>
          <w:bCs/>
          <w:color w:val="000000" w:themeColor="text1"/>
          <w:sz w:val="24"/>
          <w:highlight w:val="white"/>
          <w14:textFill>
            <w14:solidFill>
              <w14:schemeClr w14:val="tx1"/>
            </w14:solidFill>
          </w14:textFill>
        </w:rPr>
        <w:t xml:space="preserve">（具体详见《苏采云系统供应商操作手册》，</w:t>
      </w:r>
      <w:r>
        <w:rPr>
          <w:highlight w:val="white"/>
        </w:rPr>
      </w:r>
      <w:r/>
    </w:p>
    <w:p>
      <w:pPr>
        <w:ind w:firstLine="480"/>
        <w:spacing w:line="360" w:lineRule="auto"/>
        <w:rPr>
          <w:rFonts w:hint="eastAsia" w:ascii="宋体" w:hAnsi="宋体"/>
          <w:b/>
          <w:bCs/>
          <w:color w:val="000000" w:themeColor="text1"/>
          <w:sz w:val="24"/>
          <w:highlight w:val="white"/>
          <w14:textFill>
            <w14:solidFill>
              <w14:schemeClr w14:val="tx1"/>
            </w14:solidFill>
          </w14:textFill>
        </w:rPr>
      </w:pPr>
      <w:r>
        <w:rPr>
          <w:rFonts w:hint="eastAsia" w:ascii="宋体" w:hAnsi="宋体"/>
          <w:b/>
          <w:bCs/>
          <w:color w:val="000000" w:themeColor="text1"/>
          <w:sz w:val="24"/>
          <w:highlight w:val="white"/>
          <w14:textFill>
            <w14:solidFill>
              <w14:schemeClr w14:val="tx1"/>
            </w14:solidFill>
          </w14:textFill>
        </w:rPr>
        <w:t xml:space="preserve">网址链接</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b/>
          <w:bCs/>
          <w:color w:val="000000" w:themeColor="text1"/>
          <w:sz w:val="24"/>
          <w:highlight w:val="white"/>
          <w14:textFill>
            <w14:solidFill>
              <w14:schemeClr w14:val="tx1"/>
            </w14:solidFill>
          </w14:textFill>
        </w:rPr>
        <w:t xml:space="preserve">https://czju.suzhou.gov.cn/zfcg/html/content/20231220161910031.shtml）</w:t>
      </w:r>
      <w:r>
        <w:rPr>
          <w:rFonts w:hint="eastAsia" w:ascii="宋体" w:hAnsi="宋体"/>
          <w:color w:val="000000" w:themeColor="text1"/>
          <w:sz w:val="24"/>
          <w:highlight w:val="white"/>
          <w14:textFill>
            <w14:solidFill>
              <w14:schemeClr w14:val="tx1"/>
            </w14:solidFill>
          </w14:textFill>
        </w:rPr>
        <w:t xml:space="preserve">。</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000000" w:themeColor="text1"/>
          <w:sz w:val="24"/>
          <w:highlight w:val="white"/>
          <w14:textFill>
            <w14:solidFill>
              <w14:schemeClr w14:val="tx1"/>
            </w14:solidFill>
          </w14:textFill>
        </w:rPr>
        <w:t xml:space="preserve">如有遗漏（包括但不限于文件未下载或下载不完整），可能无法解密投标（响应）文件，由此所造成的响应失败或损失由供应商自行负责。</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考虑到熟悉“苏采云”系统、办理CA证书都需要一定的时间，请提早准备以免耽误招标采购活动。</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4、在系统操作过程中如有疑问，请按以下方式联系：</w:t>
      </w:r>
      <w:r>
        <w:rPr>
          <w:highlight w:val="white"/>
        </w:rPr>
      </w:r>
      <w:r/>
    </w:p>
    <w:p>
      <w:pPr>
        <w:ind w:firstLine="482"/>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注册咨询：18261002950；</w:t>
      </w:r>
      <w:r>
        <w:rPr>
          <w:highlight w:val="white"/>
        </w:rPr>
      </w:r>
      <w:r/>
    </w:p>
    <w:p>
      <w:pPr>
        <w:ind w:firstLine="482"/>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CA技术咨询电话：400-608-6099；</w:t>
      </w:r>
      <w:r>
        <w:rPr>
          <w:highlight w:val="white"/>
        </w:rPr>
      </w:r>
      <w:r/>
    </w:p>
    <w:p>
      <w:pPr>
        <w:ind w:firstLine="482"/>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签章使用问题：025-83633811、025-83633812、15380932027、15371015030；</w:t>
      </w:r>
      <w:r>
        <w:rPr>
          <w:highlight w:val="white"/>
        </w:rPr>
      </w:r>
      <w:r/>
    </w:p>
    <w:p>
      <w:pPr>
        <w:ind w:firstLine="482"/>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系统使用指导与咨询：联系电话：18261002950；QQ：3048755361、1315179389、895706745。</w:t>
      </w:r>
      <w:r>
        <w:rPr>
          <w:highlight w:val="white"/>
        </w:rPr>
      </w:r>
      <w:r/>
    </w:p>
    <w:p>
      <w:pPr>
        <w:ind w:firstLine="482"/>
        <w:spacing w:line="360" w:lineRule="auto"/>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四、响应文件提交</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1、截止时间：</w:t>
      </w:r>
      <w:r>
        <w:rPr>
          <w:rFonts w:hint="eastAsia" w:ascii="宋体" w:hAnsi="宋体"/>
          <w:color w:val="000000" w:themeColor="text1"/>
          <w:sz w:val="24"/>
          <w:highlight w:val="white"/>
          <w:lang w:eastAsia="zh-CN"/>
          <w14:textFill>
            <w14:solidFill>
              <w14:schemeClr w14:val="tx1"/>
            </w14:solidFill>
          </w14:textFill>
        </w:rPr>
        <w:t xml:space="preserve">2026年11月6日</w:t>
      </w:r>
      <w:r>
        <w:rPr>
          <w:rFonts w:hint="eastAsia" w:ascii="宋体" w:hAnsi="宋体"/>
          <w:color w:val="000000" w:themeColor="text1"/>
          <w:sz w:val="24"/>
          <w:highlight w:val="white"/>
          <w14:textFill>
            <w14:solidFill>
              <w14:schemeClr w14:val="tx1"/>
            </w14:solidFill>
          </w14:textFill>
        </w:rPr>
        <w:t xml:space="preserve">09:30（北京时间）</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2、地点：“苏采云”系统（网址：http://jszfcg.jsczt.cn/），响应文件网上递交，不需要现场参加采购活动，无需提供纸质响应文件。</w:t>
      </w:r>
      <w:r>
        <w:rPr>
          <w:highlight w:val="white"/>
        </w:rPr>
      </w:r>
      <w:r/>
    </w:p>
    <w:p>
      <w:pPr>
        <w:ind w:firstLine="482"/>
        <w:spacing w:line="360" w:lineRule="auto"/>
        <w:rPr>
          <w:rFonts w:hint="eastAsia" w:ascii="宋体" w:hAnsi="宋体"/>
          <w:b/>
          <w:bCs/>
          <w:color w:val="000000" w:themeColor="text1"/>
          <w:sz w:val="24"/>
          <w:szCs w:val="22"/>
          <w:highlight w:val="white"/>
          <w14:textFill>
            <w14:solidFill>
              <w14:schemeClr w14:val="tx1"/>
            </w14:solidFill>
          </w14:textFill>
        </w:rPr>
      </w:pPr>
      <w:r>
        <w:rPr>
          <w:rFonts w:hint="eastAsia" w:ascii="宋体" w:hAnsi="宋体"/>
          <w:b/>
          <w:bCs/>
          <w:color w:val="000000" w:themeColor="text1"/>
          <w:sz w:val="24"/>
          <w:szCs w:val="22"/>
          <w:highlight w:val="white"/>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white"/>
        </w:rPr>
      </w:r>
      <w:r/>
    </w:p>
    <w:p>
      <w:pPr>
        <w:ind w:firstLine="482"/>
        <w:spacing w:line="360" w:lineRule="auto"/>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五、开启</w:t>
      </w:r>
      <w:r>
        <w:rPr>
          <w:highlight w:val="white"/>
        </w:rPr>
      </w:r>
      <w:r/>
    </w:p>
    <w:p>
      <w:pPr>
        <w:ind w:firstLine="480"/>
        <w:spacing w:line="360" w:lineRule="auto"/>
        <w:rPr>
          <w:rFonts w:hint="eastAsia"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时间：</w:t>
      </w:r>
      <w:r>
        <w:rPr>
          <w:rFonts w:hint="eastAsia" w:ascii="宋体" w:hAnsi="宋体"/>
          <w:color w:val="000000" w:themeColor="text1"/>
          <w:sz w:val="24"/>
          <w:highlight w:val="white"/>
          <w:lang w:eastAsia="zh-CN"/>
          <w14:textFill>
            <w14:solidFill>
              <w14:schemeClr w14:val="tx1"/>
            </w14:solidFill>
          </w14:textFill>
        </w:rPr>
        <w:t xml:space="preserve">2026年11月6日</w:t>
      </w:r>
      <w:r>
        <w:rPr>
          <w:rFonts w:hint="eastAsia" w:ascii="宋体" w:hAnsi="宋体"/>
          <w:color w:val="000000" w:themeColor="text1"/>
          <w:sz w:val="24"/>
          <w:highlight w:val="white"/>
          <w14:textFill>
            <w14:solidFill>
              <w14:schemeClr w14:val="tx1"/>
            </w14:solidFill>
          </w14:textFill>
        </w:rPr>
        <w:t xml:space="preserve">09:30</w:t>
      </w:r>
      <w:r>
        <w:rPr>
          <w:rFonts w:hint="eastAsia" w:ascii="宋体" w:hAnsi="宋体"/>
          <w:color w:val="000000" w:themeColor="text1"/>
          <w:sz w:val="24"/>
          <w:szCs w:val="22"/>
          <w:highlight w:val="white"/>
          <w14:textFill>
            <w14:solidFill>
              <w14:schemeClr w14:val="tx1"/>
            </w14:solidFill>
          </w14:textFill>
        </w:rPr>
        <w:t xml:space="preserve">（北京时间）</w:t>
      </w:r>
      <w:r>
        <w:rPr>
          <w:highlight w:val="white"/>
        </w:rPr>
      </w:r>
      <w:r/>
    </w:p>
    <w:p>
      <w:pPr>
        <w:ind w:firstLine="480"/>
        <w:spacing w:line="360" w:lineRule="auto"/>
        <w:rPr>
          <w:rFonts w:hint="eastAsia"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地点：“苏采云”政府采购交易系统网上开标大厅（网址：</w:t>
      </w:r>
      <w:r>
        <w:rPr>
          <w:highlight w:val="white"/>
        </w:rPr>
        <w:fldChar w:fldCharType="begin"/>
      </w:r>
      <w:r>
        <w:rPr>
          <w:highlight w:val="white"/>
        </w:rPr>
        <w:instrText xml:space="preserve">HYPERLINK "http://jszfcg.jsczt.cn/），响应文件网上递交，不需要现场参加采购活动。"</w:instrText>
      </w:r>
      <w:r>
        <w:rPr>
          <w:highlight w:val="white"/>
        </w:rPr>
        <w:fldChar w:fldCharType="separate"/>
      </w:r>
      <w:r>
        <w:rPr>
          <w:rFonts w:hint="eastAsia" w:ascii="宋体" w:hAnsi="宋体"/>
          <w:color w:val="000000" w:themeColor="text1"/>
          <w:sz w:val="24"/>
          <w:szCs w:val="22"/>
          <w:highlight w:val="white"/>
          <w14:textFill>
            <w14:solidFill>
              <w14:schemeClr w14:val="tx1"/>
            </w14:solidFill>
          </w14:textFill>
        </w:rPr>
        <w:t xml:space="preserve">http://jszfcg.jsczt.cn/），响应文件网上递交，不需要现场参加采购活动。</w:t>
      </w:r>
      <w:r>
        <w:rPr>
          <w:highlight w:val="white"/>
        </w:rPr>
        <w:fldChar w:fldCharType="end"/>
      </w:r>
      <w:r>
        <w:rPr>
          <w:highlight w:val="white"/>
        </w:rPr>
      </w:r>
      <w:r/>
    </w:p>
    <w:p>
      <w:pPr>
        <w:ind w:firstLine="480"/>
        <w:spacing w:line="360" w:lineRule="auto"/>
        <w:rPr>
          <w:rFonts w:hint="eastAsia"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000000" w:themeColor="text1"/>
          <w:sz w:val="24"/>
          <w:szCs w:val="22"/>
          <w:highlight w:val="white"/>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rPr>
          <w:highlight w:val="white"/>
        </w:rPr>
      </w:r>
      <w:r/>
    </w:p>
    <w:p>
      <w:pPr>
        <w:ind w:firstLine="482"/>
        <w:spacing w:line="360" w:lineRule="auto"/>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六、公告期限</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自本公告发布之日起3个工作日。</w:t>
      </w:r>
      <w:r>
        <w:rPr>
          <w:highlight w:val="white"/>
        </w:rPr>
      </w:r>
      <w:r/>
    </w:p>
    <w:p>
      <w:pPr>
        <w:ind w:firstLine="482"/>
        <w:spacing w:line="360" w:lineRule="auto"/>
        <w:rPr>
          <w:rFonts w:hint="eastAsia" w:ascii="宋体" w:hAnsi="宋体" w:cs="宋体"/>
          <w:b/>
          <w:color w:val="000000" w:themeColor="text1"/>
          <w:sz w:val="24"/>
          <w:highlight w:val="white"/>
          <w14:textFill>
            <w14:solidFill>
              <w14:schemeClr w14:val="tx1"/>
            </w14:solidFill>
          </w14:textFill>
        </w:rPr>
      </w:pPr>
      <w:r>
        <w:rPr>
          <w:highlight w:val="white"/>
        </w:rPr>
      </w:r>
      <w:bookmarkStart w:id="4" w:name="_Toc35393626"/>
      <w:r>
        <w:rPr>
          <w:highlight w:val="white"/>
        </w:rPr>
      </w:r>
      <w:bookmarkStart w:id="5" w:name="_Toc35393795"/>
      <w:r>
        <w:rPr>
          <w:rFonts w:hint="eastAsia" w:ascii="宋体" w:hAnsi="宋体" w:cs="宋体"/>
          <w:b/>
          <w:color w:val="000000" w:themeColor="text1"/>
          <w:sz w:val="24"/>
          <w:highlight w:val="white"/>
          <w14:textFill>
            <w14:solidFill>
              <w14:schemeClr w14:val="tx1"/>
            </w14:solidFill>
          </w14:textFill>
        </w:rPr>
        <w:t xml:space="preserve">七、其他补充事宜</w:t>
      </w:r>
      <w:bookmarkEnd w:id="4"/>
      <w:r>
        <w:rPr>
          <w:highlight w:val="white"/>
        </w:rPr>
      </w:r>
      <w:bookmarkEnd w:id="5"/>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1、本次采购的有关信息将在中国政府采购网中央主网、江苏政府采购网、苏州政府采购网，敬请留意！</w:t>
      </w:r>
      <w:r>
        <w:rPr>
          <w:highlight w:val="white"/>
        </w:rPr>
      </w:r>
      <w:r/>
    </w:p>
    <w:p>
      <w:pPr>
        <w:ind w:firstLine="480"/>
        <w:spacing w:line="360" w:lineRule="auto"/>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2、苏州太湖新城吴中管理委员会党政办公室监管电话：（0512）65169307。</w:t>
      </w:r>
      <w:r>
        <w:rPr>
          <w:highlight w:val="white"/>
        </w:rPr>
      </w:r>
      <w:r/>
    </w:p>
    <w:p>
      <w:pPr>
        <w:ind w:firstLine="482"/>
        <w:spacing w:line="360" w:lineRule="auto"/>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八、凡对本次采购提出询问，请按以下方式联系。</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1、采购人信息</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名称：</w:t>
      </w:r>
      <w:r>
        <w:rPr>
          <w:rFonts w:hint="eastAsia" w:ascii="宋体" w:hAnsi="宋体"/>
          <w:color w:val="000000" w:themeColor="text1"/>
          <w:sz w:val="24"/>
          <w:highlight w:val="white"/>
          <w14:textFill>
            <w14:solidFill>
              <w14:schemeClr w14:val="tx1"/>
            </w14:solidFill>
          </w14:textFill>
        </w:rPr>
        <w:t xml:space="preserve">苏州市吴中区人民政府太湖街道办事处</w:t>
      </w:r>
      <w:r>
        <w:rPr>
          <w:highlight w:val="white"/>
        </w:rPr>
      </w:r>
      <w:r/>
    </w:p>
    <w:p>
      <w:pPr>
        <w:ind w:firstLine="480"/>
        <w:jc w:val="left"/>
        <w:spacing w:line="360" w:lineRule="auto"/>
        <w:rPr>
          <w:rFonts w:hint="eastAsia" w:ascii="宋体" w:hAnsi="宋体" w:cs="宋体"/>
          <w:color w:val="000000" w:themeColor="text1"/>
          <w:sz w:val="24"/>
          <w:highlight w:val="white"/>
          <w:shd w:val="clear" w:color="auto" w:fill="ffffff"/>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地址：江苏省苏州市吴中区龙翔路777号</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联系方式：席东/0512-68560020</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2、采购代理机构信息</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名称：江苏至衡诚达工程咨询有限公司</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地址：东太湖路66号威仪工园2号楼217室</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联系方式：孙继伟/13063718760</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3、项目联系方式</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项目联系人：孙继伟 邢建东</w:t>
      </w:r>
      <w:r>
        <w:rPr>
          <w:rFonts w:hint="eastAsia" w:ascii="宋体" w:hAnsi="宋体" w:cs="宋体"/>
          <w:color w:val="000000" w:themeColor="text1"/>
          <w:sz w:val="24"/>
          <w:highlight w:val="white"/>
          <w14:textFill>
            <w14:solidFill>
              <w14:schemeClr w14:val="tx1"/>
            </w14:solidFill>
          </w14:textFill>
        </w:rPr>
        <w:tab/>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电话：13063718760</w:t>
      </w:r>
      <w:r>
        <w:rPr>
          <w:highlight w:val="white"/>
        </w:rPr>
      </w:r>
      <w:r/>
    </w:p>
    <w:p>
      <w:pPr>
        <w:ind w:firstLine="480"/>
        <w:jc w:val="righ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righ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righ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江苏至衡诚达工程咨询有限公司</w:t>
      </w:r>
      <w:r>
        <w:rPr>
          <w:highlight w:val="white"/>
        </w:rPr>
      </w:r>
      <w:r/>
    </w:p>
    <w:p>
      <w:pPr>
        <w:ind w:firstLine="480"/>
        <w:jc w:val="right"/>
        <w:spacing w:line="360" w:lineRule="auto"/>
        <w:rPr>
          <w:rFonts w:hint="eastAsia" w:ascii="宋体" w:hAnsi="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2026年</w:t>
      </w:r>
      <w:r>
        <w:rPr>
          <w:rFonts w:hint="eastAsia" w:ascii="宋体" w:hAnsi="宋体" w:cs="宋体"/>
          <w:color w:val="000000" w:themeColor="text1"/>
          <w:sz w:val="24"/>
          <w:highlight w:val="white"/>
          <w:lang w:val="en-US" w:eastAsia="zh-CN"/>
          <w14:textFill>
            <w14:solidFill>
              <w14:schemeClr w14:val="tx1"/>
            </w14:solidFill>
          </w14:textFill>
        </w:rPr>
        <w:t xml:space="preserve">10</w:t>
      </w:r>
      <w:r>
        <w:rPr>
          <w:rFonts w:hint="eastAsia" w:ascii="宋体" w:hAnsi="宋体" w:cs="宋体"/>
          <w:color w:val="000000" w:themeColor="text1"/>
          <w:sz w:val="24"/>
          <w:highlight w:val="white"/>
          <w14:textFill>
            <w14:solidFill>
              <w14:schemeClr w14:val="tx1"/>
            </w14:solidFill>
          </w14:textFill>
        </w:rPr>
        <w:t xml:space="preserve">月</w:t>
      </w:r>
      <w:r>
        <w:rPr>
          <w:rFonts w:hint="eastAsia" w:ascii="宋体" w:hAnsi="宋体" w:cs="宋体"/>
          <w:color w:val="000000" w:themeColor="text1"/>
          <w:sz w:val="24"/>
          <w:highlight w:val="white"/>
          <w:lang w:val="en-US" w:eastAsia="zh-CN"/>
          <w14:textFill>
            <w14:solidFill>
              <w14:schemeClr w14:val="tx1"/>
            </w14:solidFill>
          </w14:textFill>
        </w:rPr>
        <w:t xml:space="preserve">2</w:t>
      </w:r>
      <w:r>
        <w:rPr>
          <w:rFonts w:hint="eastAsia" w:ascii="宋体" w:hAnsi="宋体" w:cs="宋体"/>
          <w:color w:val="000000" w:themeColor="text1"/>
          <w:sz w:val="24"/>
          <w:highlight w:val="white"/>
          <w:lang w:val="en-US" w:eastAsia="zh-CN"/>
          <w14:textFill>
            <w14:solidFill>
              <w14:schemeClr w14:val="tx1"/>
            </w14:solidFill>
          </w14:textFill>
        </w:rPr>
        <w:t xml:space="preserve">6</w:t>
      </w:r>
      <w:r>
        <w:rPr>
          <w:rFonts w:hint="eastAsia" w:ascii="宋体" w:hAnsi="宋体" w:cs="宋体"/>
          <w:color w:val="000000" w:themeColor="text1"/>
          <w:sz w:val="24"/>
          <w:highlight w:val="white"/>
          <w14:textFill>
            <w14:solidFill>
              <w14:schemeClr w14:val="tx1"/>
            </w14:solidFill>
          </w14:textFill>
        </w:rPr>
        <w:t xml:space="preserve">日</w:t>
      </w:r>
      <w:r>
        <w:rPr>
          <w:rFonts w:ascii="宋体" w:hAnsi="宋体"/>
          <w:color w:val="000000" w:themeColor="text1"/>
          <w:sz w:val="24"/>
          <w:highlight w:val="white"/>
          <w14:textFill>
            <w14:solidFill>
              <w14:schemeClr w14:val="tx1"/>
            </w14:solidFill>
          </w14:textFill>
        </w:rPr>
        <w:br w:type="page" w:clear="all"/>
      </w:r>
      <w:r>
        <w:rPr>
          <w:highlight w:val="white"/>
        </w:rPr>
      </w:r>
      <w:r/>
    </w:p>
    <w:p>
      <w:pPr>
        <w:pStyle w:val="1252"/>
        <w:jc w:val="center"/>
        <w:rPr>
          <w:rFonts w:hint="eastAsia" w:ascii="黑体" w:hAnsi="宋体" w:eastAsia="黑体"/>
          <w:color w:val="000000" w:themeColor="text1"/>
          <w:szCs w:val="16"/>
          <w:highlight w:val="white"/>
          <w14:textFill>
            <w14:solidFill>
              <w14:schemeClr w14:val="tx1"/>
            </w14:solidFill>
          </w14:textFill>
        </w:rPr>
      </w:pPr>
      <w:r>
        <w:rPr>
          <w:highlight w:val="white"/>
        </w:rPr>
      </w:r>
      <w:bookmarkStart w:id="6" w:name="_Toc474491764"/>
      <w:r>
        <w:rPr>
          <w:highlight w:val="white"/>
        </w:rPr>
      </w:r>
      <w:bookmarkStart w:id="7" w:name="_Toc26670"/>
      <w:r>
        <w:rPr>
          <w:rFonts w:hint="eastAsia" w:ascii="黑体" w:hAnsi="宋体" w:eastAsia="黑体"/>
          <w:color w:val="000000" w:themeColor="text1"/>
          <w:szCs w:val="16"/>
          <w:highlight w:val="white"/>
          <w14:textFill>
            <w14:solidFill>
              <w14:schemeClr w14:val="tx1"/>
            </w14:solidFill>
          </w14:textFill>
        </w:rPr>
        <w:t xml:space="preserve">第二章</w:t>
      </w:r>
      <w:r>
        <w:rPr>
          <w:rFonts w:ascii="黑体" w:hAnsi="宋体" w:eastAsia="黑体"/>
          <w:color w:val="000000" w:themeColor="text1"/>
          <w:szCs w:val="16"/>
          <w:highlight w:val="white"/>
          <w14:textFill>
            <w14:solidFill>
              <w14:schemeClr w14:val="tx1"/>
            </w14:solidFill>
          </w14:textFill>
        </w:rPr>
        <w:t xml:space="preserve"> </w:t>
      </w:r>
      <w:r>
        <w:rPr>
          <w:rFonts w:hint="eastAsia" w:ascii="黑体" w:hAnsi="宋体" w:eastAsia="黑体"/>
          <w:color w:val="000000" w:themeColor="text1"/>
          <w:szCs w:val="16"/>
          <w:highlight w:val="white"/>
          <w14:textFill>
            <w14:solidFill>
              <w14:schemeClr w14:val="tx1"/>
            </w14:solidFill>
          </w14:textFill>
        </w:rPr>
        <w:t xml:space="preserve"> </w:t>
      </w:r>
      <w:bookmarkEnd w:id="6"/>
      <w:r>
        <w:rPr>
          <w:rFonts w:hint="eastAsia" w:ascii="黑体" w:hAnsi="宋体" w:eastAsia="黑体"/>
          <w:color w:val="000000" w:themeColor="text1"/>
          <w:szCs w:val="16"/>
          <w:highlight w:val="white"/>
          <w14:textFill>
            <w14:solidFill>
              <w14:schemeClr w14:val="tx1"/>
            </w14:solidFill>
          </w14:textFill>
        </w:rPr>
        <w:t xml:space="preserve">供应商须知</w:t>
      </w:r>
      <w:bookmarkEnd w:id="7"/>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A 说明和释义</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1.说明</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1.1本采购文件仅适用于江苏至衡诚达工程咨询有限公司组织的采购活动。</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1.2本次采购活动及因本次采购产生的合同受中国法律制约和保护。</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1.3本采购文件的解释权属于江苏至衡诚达工程咨询有限公司。</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2.词语释义</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2.1采购单位：依法进行政府采购的国家机关、事业单位、团体组织。</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2.2供应商：响应磋商并且符合磋商采购文件规定的资格条件和参加磋商竞争的法人、其他组织或者自然人。</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2.3响应：供应商根据采购单位发布的磋商采购文件，编制磋商响应文件并按规定参与磋商的行为。</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2.4合同：采供双方根据采购文件和成交的磋商响应文件及成交通知书规定的内容签署的以书面形式所达成的协议，包括所有的附件、附录和构成协议的所有文件。</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2.5采购单位（采购方）：合同中明确规定的实际购买货物和服务的法人或其他组织和自然人。</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2.6供应商（服务单位）（供应商）：合同中规定的向采购方提供货物和服务的法人或其他组织和自然人。</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2.7货物：系指供应商（服务单位）按采购文件规定，应向采购单位提供的一切设备、备品、备件、工具、手册及其</w:t>
      </w:r>
      <w:r>
        <w:rPr>
          <w:rFonts w:ascii="宋体" w:hAnsi="宋体" w:cs="宋体"/>
          <w:color w:val="000000" w:themeColor="text1"/>
          <w:sz w:val="24"/>
          <w:highlight w:val="white"/>
          <w14:textFill>
            <w14:solidFill>
              <w14:schemeClr w14:val="tx1"/>
            </w14:solidFill>
          </w14:textFill>
        </w:rPr>
        <w:t xml:space="preserve">他</w:t>
      </w:r>
      <w:r>
        <w:rPr>
          <w:rFonts w:hint="eastAsia" w:ascii="宋体" w:hAnsi="宋体" w:cs="宋体"/>
          <w:color w:val="000000" w:themeColor="text1"/>
          <w:sz w:val="24"/>
          <w:highlight w:val="white"/>
          <w14:textFill>
            <w14:solidFill>
              <w14:schemeClr w14:val="tx1"/>
            </w14:solidFill>
          </w14:textFill>
        </w:rPr>
        <w:t xml:space="preserve">有关技术资料和材料。</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2.8服务：系指本次采购文件规定供应商（服务单位）应承担的与提供货物和服务有关的辅助服务，比如运输、保险、安装、调试、提供技术援助、培训、配合措施、维修响应及合同中规定供应商（服务单位）应承担的其它义务。</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2.9知识产权：指专利权、商标权、著作权等无形财产专有权的统称。</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2.10天：日历天。</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2.11交货地点：合同中明确约定的供应商（服务单位）提交的货物和服务最终到达地点。</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2.12合同价款：根据合同规定，供应商（服务单位）在正确的履行合同义务后采购单位应支付供应商（服务单位）的价款。</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2.13产地：货物开采、生长、生产、最终制造、加工或提供服务的来源地。</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2.14不可抗力：不能预见、不能避免并且不能克服的客观情况。</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2.15实质响应：满足有关本次采购标的、数量、质量、价款或者报酬、履行期限、履行地点和方式、违约责任和解决争议方法等要求。</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2.16进口产品：通过中国海关报关验放进入中国境内且产自关境外的产品。</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2.17书面形式：指书面文字、合同书、信件和传真等可以有形地表现所载内容的形式。</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B 供应商</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3.合格磋商供应商的一般条件</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3.1能够独立承担民事责任的能力（供应商营业执照及法人身份证明文件）；</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3.2具有良好的商业信誉和健全的财务会计制度证明。包括但不限于最近一期经审计的财务报告，其他组织、自然人及成立未满一年的法人应提供银行出具的资信证明；</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3.3具有履行合同所必需的设备和专业技术能力，（根据《中华人民共和国市场主体登记管理条例》第十三条及相关部门规章的规定，企业法人性质的政府采购供应商应在经工商管理部门核准登记注册的经营范围内参与经营活动）；</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3.4有依法缴纳税收和社会保障资金的良好记录（合理期限内依法缴纳税收的凭据，社会保险登记证或依法缴纳社会保险的凭据）；</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3.5参加政府采购活动前三年内，在经营活动中没有重大违法记录（书面声明函）；</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3.6法律、行政法规规定的其他条件；</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3.7本次采购不接受进口产品；</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3.8本项目不接受联合体投标；</w:t>
      </w:r>
      <w:r>
        <w:rPr>
          <w:highlight w:val="white"/>
        </w:rPr>
      </w:r>
      <w:r/>
    </w:p>
    <w:p>
      <w:pPr>
        <w:pStyle w:val="1346"/>
        <w:ind w:firstLine="48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3.9合格磋商供应商的特殊条件：</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3.9.1单位负责人为同一人或者存在直接控股、管理关系的不同供应商（包含法定代表人为同一个人的两个及两个以上法人，母公司、全资子公司及其控股公司），不得参加同一合同项下的政府采购活动。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80"/>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3.9.2未被列入失信被执行人、重大税收违法案件当事人名单、政府采购严重失信行为记录名单</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3.9.3其他特定资格要求：</w:t>
      </w:r>
      <w:r>
        <w:rPr>
          <w:rFonts w:hint="eastAsia" w:ascii="宋体" w:hAnsi="宋体" w:cs="宋体"/>
          <w:color w:val="000000"/>
          <w:sz w:val="24"/>
          <w:highlight w:val="white"/>
        </w:rPr>
        <w:t xml:space="preserve">具有有效期内的食品经营许可证或食品生产许可证</w:t>
      </w:r>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3.</w:t>
      </w:r>
      <w:r>
        <w:rPr>
          <w:rFonts w:hint="eastAsia" w:ascii="宋体" w:hAnsi="宋体" w:cs="宋体"/>
          <w:color w:val="000000" w:themeColor="text1"/>
          <w:sz w:val="24"/>
          <w:highlight w:val="white"/>
          <w14:textFill>
            <w14:solidFill>
              <w14:schemeClr w14:val="tx1"/>
            </w14:solidFill>
          </w14:textFill>
        </w:rPr>
        <w:t xml:space="preserve">10</w:t>
      </w:r>
      <w:r>
        <w:rPr>
          <w:rFonts w:ascii="宋体" w:hAnsi="宋体" w:cs="宋体"/>
          <w:color w:val="000000" w:themeColor="text1"/>
          <w:sz w:val="24"/>
          <w:highlight w:val="white"/>
          <w14:textFill>
            <w14:solidFill>
              <w14:schemeClr w14:val="tx1"/>
            </w14:solidFill>
          </w14:textFill>
        </w:rPr>
        <w:t xml:space="preserve">项目负责人的替换：在项目执行过程中，因特殊情形需要替换项目负责人时，供应商应至少提前十五日向采购人报告，并提供替换人选的相关</w:t>
      </w:r>
      <w:r>
        <w:rPr>
          <w:rFonts w:hint="eastAsia" w:ascii="宋体" w:hAnsi="宋体" w:cs="宋体"/>
          <w:color w:val="000000" w:themeColor="text1"/>
          <w:sz w:val="24"/>
          <w:highlight w:val="white"/>
          <w14:textFill>
            <w14:solidFill>
              <w14:schemeClr w14:val="tx1"/>
            </w14:solidFill>
          </w14:textFill>
        </w:rPr>
        <w:t xml:space="preserve">证书</w:t>
      </w:r>
      <w:r>
        <w:rPr>
          <w:rFonts w:ascii="宋体" w:hAnsi="宋体" w:cs="宋体"/>
          <w:color w:val="000000" w:themeColor="text1"/>
          <w:sz w:val="24"/>
          <w:highlight w:val="white"/>
          <w14:textFill>
            <w14:solidFill>
              <w14:schemeClr w14:val="tx1"/>
            </w14:solidFill>
          </w14:textFill>
        </w:rPr>
        <w:t xml:space="preserve">，且需经采购人书面确认同意后方可</w:t>
      </w:r>
      <w:r>
        <w:rPr>
          <w:rFonts w:hint="eastAsia" w:ascii="宋体" w:hAnsi="宋体" w:cs="宋体"/>
          <w:color w:val="000000" w:themeColor="text1"/>
          <w:sz w:val="24"/>
          <w:highlight w:val="white"/>
          <w14:textFill>
            <w14:solidFill>
              <w14:schemeClr w14:val="tx1"/>
            </w14:solidFill>
          </w14:textFill>
        </w:rPr>
        <w:t xml:space="preserve">替换</w:t>
      </w:r>
      <w:r>
        <w:rPr>
          <w:rFonts w:ascii="宋体" w:hAnsi="宋体" w:cs="宋体"/>
          <w:color w:val="000000" w:themeColor="text1"/>
          <w:sz w:val="24"/>
          <w:highlight w:val="white"/>
          <w14:textFill>
            <w14:solidFill>
              <w14:schemeClr w14:val="tx1"/>
            </w14:solidFill>
          </w14:textFill>
        </w:rPr>
        <w:t xml:space="preserve">。</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4.供应商代表</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4.1指全权代表供应商参加磋商采购活动并签署磋商响应文件的人，如果磋商供应商代表不是法人代表，须持有《法定代表人授权委托书》（详见附件格式）。 </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5.磋商费用</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5.1无论磋商过程中的做法和结果如何，磋商供应商自行承担所有与参加磋商有关的全部费用。</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6.磋商采购文件</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7.采购文件的修改</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7.1在递交（上传）磋商响应文件截止时间前，采购单位无论出于自己的考虑，还是出</w:t>
      </w:r>
      <w:r>
        <w:rPr>
          <w:rFonts w:hint="eastAsia" w:ascii="宋体" w:hAnsi="宋体" w:cs="宋体"/>
          <w:color w:val="000000" w:themeColor="text1"/>
          <w:sz w:val="24"/>
          <w:highlight w:val="white"/>
          <w14:textFill>
            <w14:solidFill>
              <w14:schemeClr w14:val="tx1"/>
            </w14:solidFill>
          </w14:textFill>
        </w:rPr>
        <w:t xml:space="preserve">于对供应商提问的澄清，均可对采购文件用更正公告的方式进行修改。</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7.2采购单位对采购文件的修改，将以网上公告形式通知已购买采购文件的磋商供应商。更正公告将作为采购文件的组成部分，对所有磋商供应商有约束力。</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7.3采购文件的澄清、修改、补充等内容均以网上公告形式明确的内容为准。当采购文件及采购文件的澄清、修改、补充等在同一内容的表述上不一致时，以苏州市政府采购网最后发布的文件为准。</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8.采购文件提疑</w:t>
      </w:r>
      <w:r>
        <w:rPr>
          <w:highlight w:val="white"/>
        </w:rPr>
      </w:r>
      <w:r/>
    </w:p>
    <w:p>
      <w:pPr>
        <w:ind w:firstLine="480"/>
        <w:spacing w:line="360" w:lineRule="auto"/>
        <w:tabs>
          <w:tab w:val="left" w:pos="8930" w:leader="none"/>
          <w:tab w:val="left" w:pos="9306" w:leader="none"/>
        </w:tabs>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highlight w:val="white"/>
        </w:rPr>
      </w:r>
      <w:r/>
    </w:p>
    <w:p>
      <w:pPr>
        <w:ind w:firstLine="480"/>
        <w:spacing w:line="360" w:lineRule="auto"/>
        <w:tabs>
          <w:tab w:val="left" w:pos="8930" w:leader="none"/>
          <w:tab w:val="left" w:pos="9306" w:leader="none"/>
        </w:tabs>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 w:val="24"/>
          <w:highlight w:val="white"/>
          <w14:textFill>
            <w14:solidFill>
              <w14:schemeClr w14:val="tx1"/>
            </w14:solidFill>
          </w14:textFill>
        </w:rPr>
        <w:t xml:space="preserve">投标供应商确认函</w:t>
      </w:r>
      <w:r>
        <w:rPr>
          <w:rFonts w:hint="eastAsia" w:ascii="宋体" w:hAnsi="宋体" w:cs="宋体"/>
          <w:bCs/>
          <w:color w:val="000000" w:themeColor="text1"/>
          <w:sz w:val="24"/>
          <w:highlight w:val="white"/>
          <w14:textFill>
            <w14:solidFill>
              <w14:schemeClr w14:val="tx1"/>
            </w14:solidFill>
          </w14:textFill>
        </w:rPr>
        <w:t xml:space="preserve">》）与质疑函一起递交，否则不予受理。</w:t>
      </w:r>
      <w:r>
        <w:rPr>
          <w:highlight w:val="white"/>
        </w:rPr>
      </w:r>
      <w:r/>
    </w:p>
    <w:p>
      <w:pPr>
        <w:ind w:firstLine="480"/>
        <w:spacing w:line="360" w:lineRule="auto"/>
        <w:tabs>
          <w:tab w:val="left" w:pos="8930" w:leader="none"/>
          <w:tab w:val="left" w:pos="9306" w:leader="none"/>
        </w:tabs>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8.3本次采购文件要求供应商在法定质疑期内一次性提出针对同一采购程序环节的质疑。</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8.4供应商提出质疑应当提交质疑函和必要的证明材料。质疑函应当包括下列内容：</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8.4.1供应商的姓名或者名称（以营业执照副本复印件为准）、地址、邮编、联系人及联系电话；</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8.4.2质疑项目的名称、编号；</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8.4.3具体、明确的质疑事项和与质疑事项相关的请求；</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8.4.4事实依据；</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8.4.5必要的法律依据；</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8.4.6提出质疑的日期。</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8.4.7</w:t>
      </w:r>
      <w:r>
        <w:rPr>
          <w:rFonts w:hint="eastAsia" w:ascii="宋体" w:hAnsi="宋体" w:cs="宋体"/>
          <w:bCs/>
          <w:color w:val="000000" w:themeColor="text1"/>
          <w:sz w:val="24"/>
          <w:highlight w:val="white"/>
          <w14:textFill>
            <w14:solidFill>
              <w14:schemeClr w14:val="tx1"/>
            </w14:solidFill>
          </w14:textFill>
        </w:rPr>
        <w:t xml:space="preserve">供应商参加投标确认函</w:t>
      </w:r>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p>
      <w:pPr>
        <w:ind w:firstLine="480"/>
        <w:spacing w:line="360" w:lineRule="auto"/>
        <w:tabs>
          <w:tab w:val="left" w:pos="8930" w:leader="none"/>
          <w:tab w:val="left" w:pos="9306" w:leader="none"/>
        </w:tabs>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8.4.8接收质疑函的方式：书面形式（当场送达或邮寄方式）。</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质疑联系人：孙继伟</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联系电话：13063718760</w:t>
      </w:r>
      <w:r>
        <w:rPr>
          <w:highlight w:val="white"/>
        </w:rPr>
      </w:r>
      <w:r/>
    </w:p>
    <w:p>
      <w:pPr>
        <w:ind w:firstLine="480"/>
        <w:spacing w:line="360" w:lineRule="auto"/>
        <w:tabs>
          <w:tab w:val="left" w:pos="8930" w:leader="none"/>
          <w:tab w:val="left" w:pos="9306" w:leader="none"/>
        </w:tabs>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通讯地址：东太湖路66号威仪工园2号楼217室</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9.提示与要求</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9.1磋商供应商应仔细阅读采购文件的所有内容，按采购文件的要求提供（上传）响应文件，并保证所提供的全部资料的真实性，以使其对采购文件作出实质性响应，否则，其磋商响应文件可能被拒绝。</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9.2无论是否递交（上传）磋商响应文件，供应商都应将采购文件及以后的所有通知、文件等视为保密文件。</w:t>
      </w:r>
      <w:r>
        <w:rPr>
          <w:highlight w:val="white"/>
        </w:rPr>
      </w:r>
      <w:r/>
    </w:p>
    <w:p>
      <w:pP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10.响应文件计量单位和使用文字</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10.1响应文件中所使用的计量单位，除采购文件中有特殊要求外，均应使用中华人民共和国法定计量单位。</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10.2响应文件应使用中文编制，响应文件中必须使用其他文字的，必须附有中文译本。对于未附有中文译本和中文译本不准确的响应文件可能引起的对供应商不利的后果，采购单位概不负责。</w:t>
      </w:r>
      <w:r>
        <w:rPr>
          <w:highlight w:val="white"/>
        </w:rPr>
      </w:r>
      <w:r/>
    </w:p>
    <w:p>
      <w:pPr>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11. 响应文件组成（部分格式见第六章）</w:t>
      </w:r>
      <w:r>
        <w:rPr>
          <w:highlight w:val="white"/>
        </w:rPr>
      </w:r>
      <w:r/>
    </w:p>
    <w:p>
      <w:pPr>
        <w:pStyle w:val="1347"/>
        <w:ind w:firstLine="482"/>
        <w:spacing w:line="360" w:lineRule="auto"/>
        <w:rPr>
          <w:rFonts w:hint="eastAsia" w:ascii="宋体" w:hAnsi="宋体" w:eastAsia="宋体" w:cs="宋体"/>
          <w:b/>
          <w:bCs/>
          <w:color w:val="000000" w:themeColor="text1"/>
          <w:szCs w:val="24"/>
          <w:highlight w:val="white"/>
          <w14:textFill>
            <w14:solidFill>
              <w14:schemeClr w14:val="tx1"/>
            </w14:solidFill>
          </w14:textFill>
        </w:rPr>
      </w:pPr>
      <w:r>
        <w:rPr>
          <w:rFonts w:hint="eastAsia" w:ascii="宋体" w:hAnsi="宋体" w:eastAsia="宋体" w:cs="宋体"/>
          <w:b/>
          <w:bCs/>
          <w:color w:val="000000" w:themeColor="text1"/>
          <w:szCs w:val="24"/>
          <w:highlight w:val="white"/>
          <w14:textFill>
            <w14:solidFill>
              <w14:schemeClr w14:val="tx1"/>
            </w14:solidFill>
          </w14:textFill>
        </w:rPr>
        <w:t xml:space="preserve">11.1响应文件报价部分：</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11.1.1磋商响应函；</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11.1.2磋商响应报价表；</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11.1.3分项报价明细表；</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11.1.4法定代表人授权委托书（如有授权）；</w:t>
      </w:r>
      <w:r>
        <w:rPr>
          <w:highlight w:val="white"/>
        </w:rPr>
      </w:r>
      <w:r/>
    </w:p>
    <w:p>
      <w:pPr>
        <w:pStyle w:val="1347"/>
        <w:ind w:firstLine="482"/>
        <w:spacing w:line="360" w:lineRule="auto"/>
        <w:rPr>
          <w:rFonts w:hint="eastAsia" w:ascii="宋体" w:hAnsi="宋体" w:eastAsia="宋体" w:cs="宋体"/>
          <w:b/>
          <w:bCs/>
          <w:color w:val="000000" w:themeColor="text1"/>
          <w:szCs w:val="24"/>
          <w:highlight w:val="white"/>
          <w14:textFill>
            <w14:solidFill>
              <w14:schemeClr w14:val="tx1"/>
            </w14:solidFill>
          </w14:textFill>
        </w:rPr>
      </w:pPr>
      <w:r>
        <w:rPr>
          <w:rFonts w:hint="eastAsia" w:ascii="宋体" w:hAnsi="宋体" w:eastAsia="宋体" w:cs="宋体"/>
          <w:b/>
          <w:bCs/>
          <w:color w:val="000000" w:themeColor="text1"/>
          <w:szCs w:val="24"/>
          <w:highlight w:val="white"/>
          <w14:textFill>
            <w14:solidFill>
              <w14:schemeClr w14:val="tx1"/>
            </w14:solidFill>
          </w14:textFill>
        </w:rPr>
        <w:t xml:space="preserve">11.2响应文件资格及技术部分：</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11.2.1关于资格文件的声明函；</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11.2.2磋商响应单位基本情况表；</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11.2.3磋商响应单位《营业执照》副本扫描件；</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11.2.4磋商响应单位法定代表人身份证扫描件；</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11.2.5磋商响应单位代理人身份证扫描件（如有授权）；</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11.2.6合格供应商的基本条件</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11.2.6.1具有独立承担民事责任的能力证明。包括法人或者其他组织的营业执照等证明文件，自然人的身份证明；</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11.2.6.2具有良好的商业信誉和健全的财务会计制度证明。包括但不限于最近一期经审计的财务报告，其他组织、自然人及成立未满一年的法人应提供银行出具的资信证明。</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11.2.6.3响应单位证明其满足合格响应单位条件的证书、证明、文件等资料以及响应单位所具备的专业设备和专业技术能力，（根据《中华人民共和国市场主体登记管理条例》第十三条及相关部门规章的规定，企业法人性质的政府采购响应单位应在经工商管理部门核准登记注册的经营范围内参与经营活动。）</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11.2.6.5参加政府采购活动前三年内，在经营活动中没有重大违法记录的书面声明函；</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11.2.6.6《中小企业声明函》或《残疾人福利性单位声明函》或由省级以上监狱管理局、戒毒管理局（含新疆生产建设兵团）出具的属于监狱企业的证明文件</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11.2.7合格供应商的特殊条件</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未被“信用中国”网站（www.creditchina.gov.cn）列入失信被执行人、重大税收违法案件当事人名单、政府采购严重失信行为记录名单；</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11.2.8其他特定资格要求：</w:t>
      </w:r>
      <w:r>
        <w:rPr>
          <w:rFonts w:hint="eastAsia" w:ascii="宋体" w:hAnsi="宋体" w:cs="宋体"/>
          <w:color w:val="000000"/>
          <w:sz w:val="24"/>
          <w:highlight w:val="white"/>
        </w:rPr>
        <w:t xml:space="preserve">具有有效期内的食品经营许可证或食品生产许可证</w:t>
      </w:r>
      <w:r>
        <w:rPr>
          <w:rFonts w:hint="eastAsia" w:ascii="宋体" w:hAnsi="宋体" w:eastAsia="宋体" w:cs="宋体"/>
          <w:color w:val="000000" w:themeColor="text1"/>
          <w:szCs w:val="24"/>
          <w:highlight w:val="white"/>
          <w14:textFill>
            <w14:solidFill>
              <w14:schemeClr w14:val="tx1"/>
            </w14:solidFill>
          </w14:textFill>
        </w:rPr>
        <w:t xml:space="preserve">。</w:t>
      </w:r>
      <w:r>
        <w:rPr>
          <w:highlight w:val="white"/>
        </w:rPr>
      </w:r>
      <w:r/>
    </w:p>
    <w:p>
      <w:pPr>
        <w:pStyle w:val="1347"/>
        <w:ind w:firstLine="480"/>
        <w:spacing w:line="360" w:lineRule="auto"/>
        <w:rPr>
          <w:rFonts w:hint="eastAsia" w:ascii="宋体" w:hAnsi="宋体" w:eastAsia="宋体" w:cs="宋体"/>
          <w:color w:val="000000" w:themeColor="text1"/>
          <w:szCs w:val="24"/>
          <w:highlight w:val="white"/>
          <w14:textFill>
            <w14:solidFill>
              <w14:schemeClr w14:val="tx1"/>
            </w14:solidFill>
          </w14:textFill>
        </w:rPr>
      </w:pPr>
      <w:r>
        <w:rPr>
          <w:rFonts w:hint="eastAsia" w:ascii="宋体" w:hAnsi="宋体" w:eastAsia="宋体" w:cs="宋体"/>
          <w:color w:val="000000" w:themeColor="text1"/>
          <w:szCs w:val="24"/>
          <w:highlight w:val="white"/>
          <w14:textFill>
            <w14:solidFill>
              <w14:schemeClr w14:val="tx1"/>
            </w14:solidFill>
          </w14:textFill>
        </w:rPr>
        <w:t xml:space="preserve">11.3响应单位针对本项目的服务方案；</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注：</w:t>
      </w:r>
      <w:r>
        <w:rPr>
          <w:rFonts w:hint="eastAsia" w:ascii="宋体" w:hAnsi="宋体" w:cs="宋体"/>
          <w:b/>
          <w:bCs/>
          <w:color w:val="000000" w:themeColor="text1"/>
          <w:sz w:val="24"/>
          <w:highlight w:val="white"/>
          <w14:textFill>
            <w14:solidFill>
              <w14:schemeClr w14:val="tx1"/>
            </w14:solidFill>
          </w14:textFill>
        </w:rPr>
        <w:t xml:space="preserve">磋商供应商必须上传上述“11.1-11.3”款规定的资料。否则，磋商响应文件将被认定为未实质性响应。</w:t>
      </w:r>
      <w:r>
        <w:rPr>
          <w:highlight w:val="white"/>
        </w:rPr>
      </w:r>
      <w:r/>
    </w:p>
    <w:p>
      <w:pPr>
        <w:pStyle w:val="1348"/>
        <w:ind w:firstLine="422"/>
        <w:spacing w:line="360" w:lineRule="auto"/>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注：</w:t>
      </w:r>
      <w:r>
        <w:rPr>
          <w:rFonts w:hint="eastAsia" w:ascii="宋体" w:hAnsi="宋体" w:cs="宋体"/>
          <w:b/>
          <w:bCs/>
          <w:color w:val="000000" w:themeColor="text1"/>
          <w:highlight w:val="white"/>
          <w14:textFill>
            <w14:solidFill>
              <w14:schemeClr w14:val="tx1"/>
            </w14:solidFill>
          </w14:textFill>
        </w:rPr>
        <w:t xml:space="preserve">（1）以上11.2.6-11.2.8为资格审查要求提供的材料，是作为对供应商资格审查、质疑身份认定的依据，响应供应商必须提供并加盖电子公章。否则，磋商响应文件将被认定为不符合资格审查要求。</w:t>
      </w:r>
      <w:r>
        <w:rPr>
          <w:highlight w:val="white"/>
        </w:rPr>
      </w:r>
      <w:r/>
    </w:p>
    <w:p>
      <w:pPr>
        <w:pStyle w:val="1348"/>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（2）以上11.1.1-11.2.5为符合性审查须提供的资料，响应供应商必须提供并加盖电子公章。否则，磋商响应文件将被认定为未实质性响应。</w:t>
      </w:r>
      <w:r>
        <w:rPr>
          <w:highlight w:val="white"/>
        </w:rPr>
      </w:r>
      <w:r/>
    </w:p>
    <w:p>
      <w:pPr>
        <w:pStyle w:val="1348"/>
        <w:spacing w:line="360" w:lineRule="auto"/>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（3）制作电子响应文件时必须与响应文件制作软件目录一一对应，将相关资料上传至相应模块。</w:t>
      </w:r>
      <w:r>
        <w:rPr>
          <w:highlight w:val="white"/>
        </w:rPr>
      </w:r>
      <w:r/>
    </w:p>
    <w:p>
      <w:pPr>
        <w:pStyle w:val="1348"/>
        <w:spacing w:line="36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（4）磋商响应文件编制要求：</w:t>
      </w:r>
      <w:r>
        <w:rPr>
          <w:rFonts w:hint="eastAsia" w:ascii="宋体" w:hAnsi="宋体" w:cs="宋体"/>
          <w:bCs/>
          <w:color w:val="000000" w:themeColor="text1"/>
          <w:highlight w:val="white"/>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cs="宋体"/>
          <w:b/>
          <w:bCs/>
          <w:color w:val="000000" w:themeColor="text1"/>
          <w:highlight w:val="white"/>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cs="宋体"/>
          <w:bCs/>
          <w:color w:val="000000" w:themeColor="text1"/>
          <w:highlight w:val="whit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rPr>
          <w:highlight w:val="white"/>
        </w:rPr>
      </w:r>
      <w:r/>
    </w:p>
    <w:p>
      <w:pPr>
        <w:ind w:firstLine="241"/>
        <w:spacing w:line="360" w:lineRule="auto"/>
        <w:tabs>
          <w:tab w:val="left" w:pos="753"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highlight w:val="white"/>
        </w:rPr>
      </w:r>
      <w:r/>
    </w:p>
    <w:p>
      <w:pPr>
        <w:ind w:firstLine="241"/>
        <w:spacing w:line="360" w:lineRule="auto"/>
        <w:tabs>
          <w:tab w:val="left" w:pos="753"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（6）在“苏采云”系统中出现供应商“机器码一致”情形的，响应文件将被拒绝。</w:t>
      </w:r>
      <w:r>
        <w:rPr>
          <w:highlight w:val="white"/>
        </w:rPr>
      </w:r>
      <w:r/>
    </w:p>
    <w:p>
      <w:pPr>
        <w:ind w:firstLine="241"/>
        <w:spacing w:line="360" w:lineRule="auto"/>
        <w:tabs>
          <w:tab w:val="left" w:pos="753" w:leader="none"/>
        </w:tabs>
        <w:rPr>
          <w:rFonts w:hint="eastAsia" w:ascii="宋体" w:hAnsi="宋体" w:cs="宋体"/>
          <w:color w:val="000000" w:themeColor="text1"/>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7）项目评标结束后成交供应商须向采购代理机构提交响应文件纸质版，份数为三份。纸质响应文件与上传的电子响应文件一致，用于存档备案。（邮寄地址东太湖路66号威仪工园2号楼217室，联系人：孙继伟，联系电话：13063718760）</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12.报价（编制）要求的说明</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highlight w:val="white"/>
        </w:rPr>
      </w:r>
      <w:bookmarkStart w:id="8" w:name="_Toc14166"/>
      <w:r>
        <w:rPr>
          <w:rFonts w:hint="eastAsia" w:ascii="宋体" w:hAnsi="宋体" w:cs="宋体"/>
          <w:color w:val="000000" w:themeColor="text1"/>
          <w:sz w:val="24"/>
          <w:highlight w:val="white"/>
          <w14:textFill>
            <w14:solidFill>
              <w14:schemeClr w14:val="tx1"/>
            </w14:solidFill>
          </w14:textFill>
        </w:rPr>
        <w:t xml:space="preserve">12.1根据提供的磋商文件、服务清单及有关资料单独编制相关项目实施的磋商报价并汇总填入《分项报价明细表》。</w:t>
      </w:r>
      <w:bookmarkEnd w:id="8"/>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highlight w:val="white"/>
        </w:rPr>
      </w:r>
      <w:bookmarkStart w:id="9" w:name="_Toc5748"/>
      <w:r>
        <w:rPr>
          <w:rFonts w:hint="eastAsia" w:ascii="宋体" w:hAnsi="宋体" w:cs="宋体"/>
          <w:color w:val="000000" w:themeColor="text1"/>
          <w:sz w:val="24"/>
          <w:highlight w:val="white"/>
          <w14:textFill>
            <w14:solidFill>
              <w14:schemeClr w14:val="tx1"/>
            </w14:solidFill>
          </w14:textFill>
        </w:rPr>
        <w:t xml:space="preserve">12.2《分项报价明细表》中标的物顺序和数量均应按本磋商文件提供的清单编制。如发现响应报价中有错算现象，一旦成交，磋商供应商自行承担错算这部分的经济损失</w:t>
      </w:r>
      <w:bookmarkEnd w:id="9"/>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highlight w:val="white"/>
        </w:rPr>
      </w:r>
      <w:bookmarkStart w:id="10" w:name="_Toc24886"/>
      <w:r>
        <w:rPr>
          <w:rFonts w:hint="eastAsia" w:ascii="宋体" w:hAnsi="宋体" w:cs="宋体"/>
          <w:color w:val="000000" w:themeColor="text1"/>
          <w:sz w:val="24"/>
          <w:highlight w:val="white"/>
          <w14:textFill>
            <w14:solidFill>
              <w14:schemeClr w14:val="tx1"/>
            </w14:solidFill>
          </w14:textFill>
        </w:rPr>
        <w:t xml:space="preserve">本项目采用线上二次报价：</w:t>
      </w:r>
      <w:bookmarkEnd w:id="10"/>
      <w:r>
        <w:rPr>
          <w:highlight w:val="white"/>
        </w:rPr>
      </w:r>
      <w:r/>
    </w:p>
    <w:p>
      <w:pPr>
        <w:ind w:firstLine="408"/>
        <w:spacing w:line="360" w:lineRule="auto"/>
        <w:rPr>
          <w:rFonts w:hint="eastAsia" w:ascii="宋体" w:hAnsi="宋体" w:cs="宋体"/>
          <w:color w:val="000000" w:themeColor="text1"/>
          <w:sz w:val="24"/>
          <w:highlight w:val="white"/>
          <w14:textFill>
            <w14:solidFill>
              <w14:schemeClr w14:val="tx1"/>
            </w14:solidFill>
          </w14:textFill>
        </w:rPr>
        <w:outlineLvl w:val="0"/>
      </w:pPr>
      <w:r>
        <w:rPr>
          <w:highlight w:val="white"/>
        </w:rPr>
      </w:r>
      <w:bookmarkStart w:id="11" w:name="_Toc1802"/>
      <w:r>
        <w:rPr>
          <w:highlight w:val="white"/>
        </w:rPr>
      </w:r>
      <w:bookmarkStart w:id="12" w:name="_Toc25069"/>
      <w:r>
        <w:rPr>
          <w:highlight w:val="white"/>
        </w:rPr>
      </w:r>
      <w:bookmarkStart w:id="13" w:name="_Toc4164"/>
      <w:r>
        <w:rPr>
          <w:highlight w:val="white"/>
        </w:rPr>
      </w:r>
      <w:bookmarkStart w:id="14" w:name="_Toc8820"/>
      <w:r>
        <w:rPr>
          <w:rFonts w:hint="eastAsia" w:ascii="宋体" w:hAnsi="宋体" w:cs="宋体"/>
          <w:bCs/>
          <w:color w:val="000000" w:themeColor="text1"/>
          <w:sz w:val="24"/>
          <w:highlight w:val="white"/>
          <w14:textFill>
            <w14:solidFill>
              <w14:schemeClr w14:val="tx1"/>
            </w14:solidFill>
          </w14:textFill>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color w:val="000000" w:themeColor="text1"/>
          <w:sz w:val="24"/>
          <w:highlight w:val="whit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bookmarkEnd w:id="11"/>
      <w:r>
        <w:rPr>
          <w:highlight w:val="white"/>
        </w:rPr>
      </w:r>
      <w:bookmarkEnd w:id="12"/>
      <w:r>
        <w:rPr>
          <w:highlight w:val="white"/>
        </w:rPr>
      </w:r>
      <w:bookmarkEnd w:id="13"/>
      <w:r>
        <w:rPr>
          <w:highlight w:val="white"/>
        </w:rPr>
      </w:r>
      <w:bookmarkEnd w:id="14"/>
      <w:r>
        <w:rPr>
          <w:highlight w:val="white"/>
        </w:rPr>
      </w:r>
      <w:r/>
    </w:p>
    <w:p>
      <w:pPr>
        <w:ind w:firstLine="482"/>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进入项目评审流程后，建议各供应商法定代表人或授权委托人始终保持通讯顺畅，时刻关注不见面开标大厅，不离开不见面开标大厅。</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12.2磋商供应商应对采购文件内所要采购的全部内容进行总价报价，只投其中部分内容者，其响应文件将被拒绝。但如果采购文件要求分标段响应的，则供应商可以有选择地只投其中一个或几个标段，也可以投全部标段，但各标段应分别计算填写单价和总价。本次采购不分标段。</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12.3一项内容只允许一个报价，采购单位不接受任何有选择性的报价。各供应商根据竞争性磋商文件的规定，结合企业自身管理水平及市场行情自主报价，</w:t>
      </w:r>
      <w:r>
        <w:rPr>
          <w:rFonts w:hint="eastAsia" w:ascii="宋体" w:hAnsi="宋体" w:cs="宋体"/>
          <w:b/>
          <w:bCs/>
          <w:color w:val="000000" w:themeColor="text1"/>
          <w:sz w:val="24"/>
          <w:highlight w:val="white"/>
          <w14:textFill>
            <w14:solidFill>
              <w14:schemeClr w14:val="tx1"/>
            </w14:solidFill>
          </w14:textFill>
        </w:rPr>
        <w:t xml:space="preserve">报价均不得超过项目预算（最高限价）</w:t>
      </w:r>
      <w:r>
        <w:rPr>
          <w:rFonts w:hint="eastAsia" w:ascii="宋体" w:hAnsi="宋体" w:cs="宋体"/>
          <w:color w:val="000000" w:themeColor="text1"/>
          <w:sz w:val="24"/>
          <w:highlight w:val="white"/>
          <w14:textFill>
            <w14:solidFill>
              <w14:schemeClr w14:val="tx1"/>
            </w14:solidFill>
          </w14:textFill>
        </w:rPr>
        <w:t xml:space="preserve">。凡因供应商对竞争性磋商文件阅读疏忽或误解，或因对现场、环境、市场行情等了解不清而造成的后果和风险，由供应商负责；如供应商因此而提出索赔或交货期延长，采购人将不予批准。</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12.4磋商响应文件报价中的单价和总价全部采用人民币表示，除非合同的特殊条款另有规定。价格条件为项目现场完税价，报价含增值税和其他税费、保险费及其它伴随费用之和。</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13.保证金</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根据《江苏省财政厅文件苏财购【2020】52号》相关规定，本项目无须支付保证金。</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14.响应文件的有效期</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14.1自磋商响应文件递交（上传）截止之日起</w:t>
      </w:r>
      <w:r>
        <w:rPr>
          <w:rFonts w:hint="eastAsia" w:ascii="宋体" w:hAnsi="宋体" w:cs="宋体"/>
          <w:color w:val="000000" w:themeColor="text1"/>
          <w:sz w:val="24"/>
          <w:highlight w:val="white"/>
          <w:u w:val="single"/>
          <w14:textFill>
            <w14:solidFill>
              <w14:schemeClr w14:val="tx1"/>
            </w14:solidFill>
          </w14:textFill>
        </w:rPr>
        <w:t xml:space="preserve">60</w:t>
      </w:r>
      <w:r>
        <w:rPr>
          <w:rFonts w:hint="eastAsia" w:ascii="宋体" w:hAnsi="宋体" w:cs="宋体"/>
          <w:color w:val="000000" w:themeColor="text1"/>
          <w:sz w:val="24"/>
          <w:highlight w:val="white"/>
          <w14:textFill>
            <w14:solidFill>
              <w14:schemeClr w14:val="tx1"/>
            </w14:solidFill>
          </w14:textFill>
        </w:rPr>
        <w:t xml:space="preserve">天内，磋商响应文件应保持有效。有效期短于这个规定期限的响应，将被拒绝。</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15.截止时间</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15.1响应文件必须在递交（上传）截止时间前上传系统。</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15.2采购单位推迟磋商截止时间时，应以网上公告形式，通知所有供应商。在这种情况下，采购单位和供应商的权利和义务将受到新的截止期的约束。</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15.3在递交（上传）截止时间以后递交（上传）的磋商响应文件，采购单位将拒绝接收。</w:t>
      </w:r>
      <w:r>
        <w:rPr>
          <w:highlight w:val="white"/>
        </w:rPr>
      </w:r>
      <w:r/>
    </w:p>
    <w:p>
      <w:pPr>
        <w:spacing w:line="360" w:lineRule="auto"/>
        <w:tabs>
          <w:tab w:val="left" w:pos="753"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16. 磋商程序</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16.1采购代理机构按本须知规定的时间、地点主持磋商采购活动。</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16.3由磋商小组审查供应商解密的响应文件。</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16.5磋商过程中关于异常低价审查的相关要求</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16.5.1依据“财库〔2026〕2号”文相关规定，评审过程中出现下列情形之一的，磋商小组应当启动异常低价投标（响应）审查程序：</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16.5.1.1投标（响应）报价低于全部通过符合性审查供应商投标（响应）报价平均值50%的，即投标（响应）报价&lt;全部通过符合性审查供应商投标（响应）报价平均值×50%；</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16.5.1.2投标（响应）报价低于通过符合性审查的次低报价供应商投标（响应）报价50%的，即投标（响应）报价&lt;通过符合性审查的次低报价供应商投标（响应）报价×50%；</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16.5.1.3投标（响应）报价低于采购项目最高限价45%的，即投标（响应）报价&lt;采购项目最高限价×45%；</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16.5.1.4评审委员会基于专业判断，认为供应商报价过低，有可能影响产品质量或者不能诚信履约的其他情形。</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采购人可以结合具体项目实际情况，提高上述第1项至第3项中启动异常低价投标（响应）审查的数值标准，但是最高不得超过65%。</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相关法律法规对供应商报价有规定的，从其规定。</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16.5.2评审委员会启动异常低价投标（响应）审查后，属于前述第16.5.1.1项至第16.5.1.4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16.5.1.3项情形，供应商已随投标（响应）文件一并提交相关书面说明及必要的证明材料的，在评审现场可不再重复提交。</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highlight w:val="white"/>
        </w:rPr>
      </w:r>
      <w:r/>
    </w:p>
    <w:p>
      <w:pPr>
        <w:ind w:firstLine="482"/>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4"/>
          <w:highlight w:val="white"/>
          <w14:textFill>
            <w14:solidFill>
              <w14:schemeClr w14:val="tx1"/>
            </w14:solidFill>
          </w14:textFill>
        </w:rPr>
        <w:t xml:space="preserve">(</w:t>
      </w:r>
      <w:r>
        <w:rPr>
          <w:rFonts w:hint="eastAsia" w:ascii="宋体" w:hAnsi="宋体" w:cs="宋体"/>
          <w:b/>
          <w:color w:val="000000" w:themeColor="text1"/>
          <w:sz w:val="24"/>
          <w:highlight w:val="whit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16.7对于通过资格审查和符合性审查的供应商，磋商小组所有成员集中与单一供应商分别进行磋商，并给予所有参加磋商的供应商平等的磋商机会。</w:t>
      </w:r>
      <w:r>
        <w:rPr>
          <w:rFonts w:hint="eastAsia" w:ascii="宋体" w:hAnsi="宋体" w:cs="宋体"/>
          <w:b/>
          <w:bCs/>
          <w:color w:val="000000" w:themeColor="text1"/>
          <w:sz w:val="24"/>
          <w:highlight w:val="white"/>
          <w14:textFill>
            <w14:solidFill>
              <w14:schemeClr w14:val="tx1"/>
            </w14:solidFill>
          </w14:textFill>
        </w:rPr>
        <w:t xml:space="preserve">磋商小组通过“苏采云”系统向供应商发布“磋商函”，供应商应当按照要求在“苏采云”系统提交“磋商响应函”并加盖CA电子公章。</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16.9供应商应当按照采购文件的变动情况和磋商小组的要求，各供应商应及时关注【评审】环节等待询标澄清进行回复。</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16.10磋商结束后，</w:t>
      </w:r>
      <w:r>
        <w:rPr>
          <w:rFonts w:hint="eastAsia" w:ascii="宋体" w:hAnsi="宋体" w:cs="宋体"/>
          <w:b/>
          <w:bCs/>
          <w:color w:val="000000" w:themeColor="text1"/>
          <w:sz w:val="24"/>
          <w:highlight w:val="white"/>
          <w14:textFill>
            <w14:solidFill>
              <w14:schemeClr w14:val="tx1"/>
            </w14:solidFill>
          </w14:textFill>
        </w:rPr>
        <w:t xml:space="preserve">磋商小组将在“苏采云”系统向所有实质性响应的供应商发布“最后报价要求函”及最后报价格式表，要求所有实质性响应的供应商在规定时间内提交最后报价。</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16.11经磋商确定最终采购需求和提交最后报价的供应商后，由磋商小组采用综合评分法对提交最后报价的供应商的响应文件和最后报价进行综合评分。</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16.12磋商小组根据磋商成交原则确定成交供应商，并将结果通知所有参加磋商的供应商。若出现违反政府采购相关法律、法规或采购文件中的明确要求等情形，由此导致成交结果无效或合同解除的，供应商要承担由此引起的违约责任，并赔偿采购人因此遭受的所有损失。</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16.13如磋商过程中出现本采购文件未尽事宜，由磋商小组根据政府采购有关法律、法规讨论决定。</w:t>
      </w:r>
      <w:r>
        <w:rPr>
          <w:highlight w:val="white"/>
        </w:rPr>
      </w:r>
      <w:r/>
    </w:p>
    <w:p>
      <w:pPr>
        <w:ind w:firstLine="480"/>
        <w:spacing w:line="360" w:lineRule="auto"/>
        <w:tabs>
          <w:tab w:val="left" w:pos="753" w:leader="none"/>
        </w:tabs>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16.14竞争性磋商文件的解释权归采购代理机构，如发现竞争性磋商文件内容与现行法律法规不相符的情况，以现行法律法规为准。</w:t>
      </w:r>
      <w:r>
        <w:rPr>
          <w:highlight w:val="white"/>
        </w:rPr>
      </w:r>
      <w:r/>
    </w:p>
    <w:p>
      <w:pPr>
        <w:spacing w:line="360" w:lineRule="auto"/>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17.项目的终止</w:t>
      </w:r>
      <w:r>
        <w:rPr>
          <w:highlight w:val="white"/>
        </w:rPr>
      </w:r>
      <w:r/>
    </w:p>
    <w:p>
      <w:pPr>
        <w:ind w:firstLine="480"/>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17.1出现下列情形之一的，将终止竞争性磋商采购活动：</w:t>
      </w:r>
      <w:r>
        <w:rPr>
          <w:highlight w:val="white"/>
        </w:rPr>
      </w:r>
      <w:r/>
    </w:p>
    <w:p>
      <w:pPr>
        <w:ind w:firstLine="480"/>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17.1.1因情况变化，不再符合规定的竞争性磋商采购方式适用情形的；</w:t>
      </w:r>
      <w:r>
        <w:rPr>
          <w:highlight w:val="white"/>
        </w:rPr>
      </w:r>
      <w:r/>
    </w:p>
    <w:p>
      <w:pPr>
        <w:ind w:firstLine="480"/>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17.1.2出现影响采购公正的违法、违规行为的；</w:t>
      </w:r>
      <w:r>
        <w:rPr>
          <w:highlight w:val="white"/>
        </w:rPr>
      </w:r>
      <w:r/>
    </w:p>
    <w:p>
      <w:pPr>
        <w:ind w:firstLine="480"/>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17.1.3在采购过程中符合要求的供应商或者报价未超过采购预算的供应商不足3家的；</w:t>
      </w:r>
      <w:r>
        <w:rPr>
          <w:highlight w:val="white"/>
        </w:rPr>
      </w:r>
      <w:r/>
    </w:p>
    <w:p>
      <w:pPr>
        <w:ind w:firstLine="480"/>
        <w:spacing w:line="360" w:lineRule="auto"/>
        <w:tabs>
          <w:tab w:val="left" w:pos="753"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17.1.4在采购活动中因重大变故，采购任务取消的。</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18.评审内容的保密</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18.1磋商开始后，直到宣布授予成交单位合同为止，凡属于审查、澄清、评价和比较磋商响应文件的所有资料，有关授予合同的信息都不应向磋商供应商或与评审无关的其他人泄露。供应商在此期间应保持信息的保密性，未经许可不得擅自发布或公开与磋商相关的任何信息，违者应承担相应的法律责任。</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18.2在磋商响应文件的审查、澄清、评价和比较以及授予合同的过程中，磋商供应商对采购单位和磋商小组施加影响的任何行为，都将取消其成交资格。</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18.3在评审期间，采购单位将通过指定联络人与磋商供应商进行联系。</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19.成交单位的确认</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19.1磋商小组根据磋商供应商资格审查情况，对其响应文件进行评价和比较，按照评审办法和标准进行评审，并按采购单位的委托向采购单位推荐成交候选单位。</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19.2</w:t>
      </w:r>
      <w:r>
        <w:rPr>
          <w:rFonts w:hint="eastAsia" w:ascii="宋体" w:hAnsi="宋体" w:cs="宋体"/>
          <w:color w:val="000000" w:themeColor="text1"/>
          <w:sz w:val="24"/>
          <w:highlight w:val="white"/>
          <w14:textFill>
            <w14:solidFill>
              <w14:schemeClr w14:val="tx1"/>
            </w14:solidFill>
          </w14:textFill>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19.3</w:t>
      </w:r>
      <w:r>
        <w:rPr>
          <w:rFonts w:hint="eastAsia" w:ascii="宋体" w:hAnsi="宋体" w:cs="宋体"/>
          <w:bCs/>
          <w:color w:val="000000" w:themeColor="text1"/>
          <w:sz w:val="24"/>
          <w:highlight w:val="white"/>
          <w14:textFill>
            <w14:solidFill>
              <w14:schemeClr w14:val="tx1"/>
            </w14:solidFill>
          </w14:textFill>
        </w:rPr>
        <w:t xml:space="preserve">由采购人在磋商小组推荐的成交候选单位中确定成交供应商。</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20.合同授予标准</w:t>
      </w:r>
      <w:r>
        <w:rPr>
          <w:highlight w:val="white"/>
        </w:rPr>
      </w:r>
      <w:r/>
    </w:p>
    <w:p>
      <w:pPr>
        <w:ind w:firstLine="480"/>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20.1采购单位将把合同授予其磋商响应文件在实质上响应采购文件要求和按本须知规定评选出的供应商。确定为成交的供应商必须具有实施本合同的能力和资源。</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21.成交通知书</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21.2成交通知书将成为合同的组成部分。</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21.3采购单位对未成交单位不承担解释未成交原因的义务。</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21.4在发放《中标（成交）通知书》的同时，向参与项目评审的未中标（成交）供应商发放《未中标（成交）通知书》，以</w:t>
      </w:r>
      <w:r>
        <w:rPr>
          <w:rFonts w:hint="eastAsia" w:ascii="宋体" w:hAnsi="宋体" w:cs="宋体"/>
          <w:color w:val="000000" w:themeColor="text1"/>
          <w:sz w:val="24"/>
          <w:highlight w:val="white"/>
          <w:u w:val="single"/>
          <w14:textFill>
            <w14:solidFill>
              <w14:schemeClr w14:val="tx1"/>
            </w14:solidFill>
          </w14:textFill>
        </w:rPr>
        <w:t xml:space="preserve">电子邮件、</w:t>
      </w:r>
      <w:r>
        <w:rPr>
          <w:rFonts w:hint="eastAsia" w:ascii="宋体" w:hAnsi="宋体" w:cs="宋体"/>
          <w:color w:val="000000" w:themeColor="text1"/>
          <w:sz w:val="24"/>
          <w:highlight w:val="white"/>
          <w14:textFill>
            <w14:solidFill>
              <w14:schemeClr w14:val="tx1"/>
            </w14:solidFill>
          </w14:textFill>
        </w:rPr>
        <w:t xml:space="preserve">纸质寄送等与投标（响应）供应商约定的方式书面告知该未中标（成交）供应商的评审得分与排名，未中标（成交）供应商未按约定的时间和方式获取告知信息的，视为自动放弃并自行承担相应后果。</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21.5各响应单位应在响应文件醒目位置注明电子邮箱号，如未按上述要求提供邮箱，视为自动放弃并自行承担相应后果。</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21.6成交单位应按成交通知书中规定的时间和地点，由法定代表人或代理人与采购单位代表签订合同。否则按放弃处理。</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21.7签订合同及合同条款应以采购文件和成交单位的磋商响应文件及其澄清文件为依据。</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21.8成交单位因自身原因不按规定与采购人签订货物合同，则采购人将废除授标，并由成交单位依法承担相应法律责任。成交供应商因不可抗力或者自身原因不能履行采购合同的，采购人可以与排位在成交供应商之后第一位的成交候选供应商签订采购合同，以此类推，也可以重新开展采购活动。因自身原因拒绝签订采购合同的或者未按合同约定进行履约的，成交人不得参加对该项目重新开展的招标活动。</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22.服务费</w:t>
      </w:r>
      <w:r>
        <w:rPr>
          <w:highlight w:val="white"/>
        </w:rPr>
      </w:r>
      <w:r/>
    </w:p>
    <w:p>
      <w:pPr>
        <w:ind w:firstLine="480"/>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22.1成交单位须按前附表的规定按其预算金额计算并支付服务费，该费用应在领取成交通知书前付清。</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23.</w:t>
      </w:r>
      <w:r>
        <w:rPr>
          <w:rFonts w:hint="eastAsia" w:ascii="宋体" w:hAnsi="宋体" w:cs="宋体"/>
          <w:b/>
          <w:bCs/>
          <w:color w:val="000000" w:themeColor="text1"/>
          <w:sz w:val="24"/>
          <w:highlight w:val="white"/>
          <w14:textFill>
            <w14:solidFill>
              <w14:schemeClr w14:val="tx1"/>
            </w14:solidFill>
          </w14:textFill>
        </w:rPr>
        <w:t xml:space="preserve">履约保证金（履约保函）</w:t>
      </w:r>
      <w:r>
        <w:rPr>
          <w:rFonts w:hint="eastAsia" w:ascii="宋体" w:hAnsi="宋体" w:cs="宋体"/>
          <w:bCs/>
          <w:color w:val="000000" w:themeColor="text1"/>
          <w:sz w:val="24"/>
          <w:highlight w:val="white"/>
          <w14:textFill>
            <w14:solidFill>
              <w14:schemeClr w14:val="tx1"/>
            </w14:solidFill>
          </w14:textFill>
        </w:rPr>
        <w:t xml:space="preserve">：无。</w:t>
      </w:r>
      <w:r>
        <w:rPr>
          <w:highlight w:val="white"/>
        </w:rPr>
      </w:r>
      <w:r/>
    </w:p>
    <w:p>
      <w:pPr>
        <w:spacing w:line="360" w:lineRule="auto"/>
        <w:tabs>
          <w:tab w:val="left" w:pos="8930" w:leader="none"/>
          <w:tab w:val="left" w:pos="9306" w:leader="none"/>
        </w:tabs>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24.未尽事宜</w:t>
      </w:r>
      <w:r>
        <w:rPr>
          <w:highlight w:val="white"/>
        </w:rPr>
      </w:r>
      <w:r/>
    </w:p>
    <w:p>
      <w:pPr>
        <w:ind w:firstLine="480"/>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按《中华人民共和国政府采购法》及其他有关的法律法规的规定执行。</w:t>
      </w:r>
      <w:r>
        <w:rPr>
          <w:highlight w:val="white"/>
        </w:rPr>
      </w:r>
      <w:r/>
    </w:p>
    <w:p>
      <w:pPr>
        <w:pStyle w:val="1258"/>
        <w:ind w:firstLine="0"/>
        <w:spacing w:line="360" w:lineRule="auto"/>
        <w:rPr>
          <w:rFonts w:hint="eastAsia" w:ascii="宋体" w:hAnsi="宋体" w:eastAsia="宋体"/>
          <w:b/>
          <w:color w:val="000000" w:themeColor="text1"/>
          <w:sz w:val="21"/>
          <w:szCs w:val="21"/>
          <w:highlight w:val="white"/>
          <w14:textFill>
            <w14:solidFill>
              <w14:schemeClr w14:val="tx1"/>
            </w14:solidFill>
          </w14:textFill>
        </w:rPr>
        <w:outlineLvl w:val="2"/>
      </w:pPr>
      <w:r>
        <w:rPr>
          <w:rFonts w:hint="eastAsia" w:ascii="宋体" w:hAnsi="宋体" w:eastAsia="宋体"/>
          <w:b/>
          <w:color w:val="000000" w:themeColor="text1"/>
          <w:sz w:val="21"/>
          <w:szCs w:val="21"/>
          <w:highlight w:val="white"/>
          <w14:textFill>
            <w14:solidFill>
              <w14:schemeClr w14:val="tx1"/>
            </w14:solidFill>
          </w14:textFill>
        </w:rPr>
      </w:r>
      <w:r>
        <w:rPr>
          <w:highlight w:val="white"/>
        </w:rPr>
      </w:r>
      <w:r/>
    </w:p>
    <w:p>
      <w:pPr>
        <w:pStyle w:val="1258"/>
        <w:ind w:firstLine="0"/>
        <w:spacing w:line="360" w:lineRule="auto"/>
        <w:rPr>
          <w:rFonts w:hint="eastAsia" w:ascii="宋体" w:hAnsi="宋体" w:eastAsia="宋体"/>
          <w:b/>
          <w:color w:val="000000" w:themeColor="text1"/>
          <w:sz w:val="21"/>
          <w:szCs w:val="21"/>
          <w:highlight w:val="white"/>
          <w14:textFill>
            <w14:solidFill>
              <w14:schemeClr w14:val="tx1"/>
            </w14:solidFill>
          </w14:textFill>
        </w:rPr>
        <w:outlineLvl w:val="2"/>
      </w:pPr>
      <w:r>
        <w:rPr>
          <w:rFonts w:hint="eastAsia" w:ascii="宋体" w:hAnsi="宋体" w:eastAsia="宋体"/>
          <w:b/>
          <w:color w:val="000000" w:themeColor="text1"/>
          <w:sz w:val="21"/>
          <w:szCs w:val="21"/>
          <w:highlight w:val="white"/>
          <w14:textFill>
            <w14:solidFill>
              <w14:schemeClr w14:val="tx1"/>
            </w14:solidFill>
          </w14:textFill>
        </w:rPr>
      </w:r>
      <w:r>
        <w:rPr>
          <w:highlight w:val="white"/>
        </w:rPr>
      </w:r>
      <w:r/>
    </w:p>
    <w:p>
      <w:pPr>
        <w:pStyle w:val="1258"/>
        <w:ind w:firstLine="0"/>
        <w:spacing w:line="360" w:lineRule="auto"/>
        <w:rPr>
          <w:rFonts w:hint="eastAsia" w:ascii="宋体" w:hAnsi="宋体"/>
          <w:color w:val="000000" w:themeColor="text1"/>
          <w:highlight w:val="white"/>
          <w14:textFill>
            <w14:solidFill>
              <w14:schemeClr w14:val="tx1"/>
            </w14:solidFill>
          </w14:textFill>
        </w:rPr>
        <w:outlineLvl w:val="2"/>
      </w:pPr>
      <w:r>
        <w:rPr>
          <w:rFonts w:ascii="宋体" w:hAnsi="宋体" w:eastAsia="宋体"/>
          <w:b/>
          <w:color w:val="000000" w:themeColor="text1"/>
          <w:sz w:val="21"/>
          <w:szCs w:val="21"/>
          <w:highlight w:val="white"/>
          <w14:textFill>
            <w14:solidFill>
              <w14:schemeClr w14:val="tx1"/>
            </w14:solidFill>
          </w14:textFill>
        </w:rPr>
        <w:br w:type="page" w:clear="all"/>
      </w:r>
      <w:r>
        <w:rPr>
          <w:highlight w:val="white"/>
        </w:rPr>
      </w:r>
      <w:r/>
    </w:p>
    <w:p>
      <w:pPr>
        <w:pStyle w:val="1252"/>
        <w:jc w:val="center"/>
        <w:rPr>
          <w:rFonts w:hint="eastAsia" w:ascii="黑体" w:hAnsi="宋体" w:eastAsia="黑体"/>
          <w:color w:val="000000" w:themeColor="text1"/>
          <w:szCs w:val="16"/>
          <w:highlight w:val="white"/>
          <w14:textFill>
            <w14:solidFill>
              <w14:schemeClr w14:val="tx1"/>
            </w14:solidFill>
          </w14:textFill>
        </w:rPr>
      </w:pPr>
      <w:r>
        <w:rPr>
          <w:highlight w:val="white"/>
        </w:rPr>
      </w:r>
      <w:bookmarkStart w:id="15" w:name="_Toc13642115"/>
      <w:r>
        <w:rPr>
          <w:highlight w:val="white"/>
        </w:rPr>
      </w:r>
      <w:bookmarkStart w:id="16" w:name="_Toc474491765"/>
      <w:r>
        <w:rPr>
          <w:highlight w:val="white"/>
        </w:rPr>
      </w:r>
      <w:bookmarkStart w:id="17" w:name="_Toc20478"/>
      <w:r>
        <w:rPr>
          <w:rFonts w:hint="eastAsia" w:ascii="黑体" w:hAnsi="宋体" w:eastAsia="黑体"/>
          <w:color w:val="000000" w:themeColor="text1"/>
          <w:szCs w:val="16"/>
          <w:highlight w:val="white"/>
          <w14:textFill>
            <w14:solidFill>
              <w14:schemeClr w14:val="tx1"/>
            </w14:solidFill>
          </w14:textFill>
        </w:rPr>
        <w:t xml:space="preserve">第三章 </w:t>
      </w:r>
      <w:bookmarkEnd w:id="15"/>
      <w:r>
        <w:rPr>
          <w:rFonts w:hint="eastAsia" w:ascii="黑体" w:hAnsi="宋体" w:eastAsia="黑体"/>
          <w:color w:val="000000" w:themeColor="text1"/>
          <w:szCs w:val="16"/>
          <w:highlight w:val="white"/>
          <w14:textFill>
            <w14:solidFill>
              <w14:schemeClr w14:val="tx1"/>
            </w14:solidFill>
          </w14:textFill>
        </w:rPr>
        <w:t xml:space="preserve"> 采购</w:t>
      </w:r>
      <w:bookmarkEnd w:id="16"/>
      <w:r>
        <w:rPr>
          <w:rFonts w:hint="eastAsia" w:ascii="黑体" w:hAnsi="宋体" w:eastAsia="黑体"/>
          <w:color w:val="000000" w:themeColor="text1"/>
          <w:szCs w:val="16"/>
          <w:highlight w:val="white"/>
          <w14:textFill>
            <w14:solidFill>
              <w14:schemeClr w14:val="tx1"/>
            </w14:solidFill>
          </w14:textFill>
        </w:rPr>
        <w:t xml:space="preserve">需求</w:t>
      </w:r>
      <w:bookmarkEnd w:id="17"/>
      <w:r>
        <w:rPr>
          <w:highlight w:val="white"/>
        </w:rPr>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受</w:t>
      </w:r>
      <w:r>
        <w:rPr>
          <w:rFonts w:hint="eastAsia" w:ascii="宋体" w:hAnsi="宋体"/>
          <w:color w:val="000000"/>
          <w:sz w:val="24"/>
          <w:highlight w:val="white"/>
          <w:lang w:eastAsia="zh-CN"/>
        </w:rPr>
        <w:t xml:space="preserve">苏州市吴中区人民政府太湖街道办事处</w:t>
      </w:r>
      <w:r>
        <w:rPr>
          <w:rFonts w:hint="eastAsia" w:ascii="宋体" w:hAnsi="宋体"/>
          <w:color w:val="000000"/>
          <w:sz w:val="24"/>
          <w:highlight w:val="white"/>
        </w:rPr>
        <w:t xml:space="preserve">委托，江苏至衡诚达工程咨询有限公司对其</w:t>
      </w:r>
      <w:r>
        <w:rPr>
          <w:rFonts w:hint="eastAsia" w:ascii="宋体" w:hAnsi="宋体" w:cs="宋体"/>
          <w:color w:val="000000"/>
          <w:sz w:val="24"/>
          <w:highlight w:val="white"/>
          <w:lang w:eastAsia="zh-CN"/>
        </w:rPr>
        <w:t xml:space="preserve">2026-2027年太湖新城社会联勤联防食堂食材配送项目</w:t>
      </w:r>
      <w:r>
        <w:rPr>
          <w:rFonts w:hint="eastAsia" w:ascii="宋体" w:hAnsi="宋体"/>
          <w:color w:val="000000"/>
          <w:sz w:val="24"/>
          <w:highlight w:val="white"/>
        </w:rPr>
        <w:t xml:space="preserve">在国内组织竞争性磋商采购。欢迎符合资格条件的供应商前来报名参加磋商。</w:t>
      </w:r>
      <w:r>
        <w:rPr>
          <w:highlight w:val="white"/>
        </w:rPr>
      </w:r>
      <w:r/>
    </w:p>
    <w:p>
      <w:pPr>
        <w:ind w:firstLine="480"/>
        <w:jc w:val="left"/>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一、项目基本情况</w:t>
      </w:r>
      <w:r>
        <w:rPr>
          <w:highlight w:val="white"/>
        </w:rPr>
      </w:r>
      <w:r/>
    </w:p>
    <w:p>
      <w:pPr>
        <w:ind w:firstLine="480"/>
        <w:jc w:val="left"/>
        <w:spacing w:line="360" w:lineRule="auto"/>
        <w:rPr>
          <w:rFonts w:hint="default" w:ascii="宋体" w:hAnsi="宋体" w:eastAsia="宋体" w:cs="宋体"/>
          <w:color w:val="auto"/>
          <w:sz w:val="24"/>
          <w:highlight w:val="white"/>
        </w:rPr>
      </w:pPr>
      <w:r>
        <w:rPr>
          <w:rFonts w:hint="eastAsia" w:ascii="宋体" w:hAnsi="宋体" w:cs="宋体"/>
          <w:color w:val="000000"/>
          <w:sz w:val="24"/>
          <w:highlight w:val="white"/>
        </w:rPr>
        <w:t xml:space="preserve">（一）项目编号：</w:t>
      </w:r>
      <w:r>
        <w:rPr>
          <w:rFonts w:hint="eastAsia" w:ascii="宋体" w:hAnsi="宋体"/>
          <w:color w:val="auto"/>
          <w:sz w:val="24"/>
          <w:highlight w:val="white"/>
          <w:lang w:eastAsia="zh-CN"/>
        </w:rPr>
        <w:t xml:space="preserve">JSZC-320506006-ZHCD-C2026-0015</w:t>
      </w:r>
      <w:r>
        <w:rPr>
          <w:highlight w:val="white"/>
        </w:rPr>
      </w:r>
      <w:r/>
    </w:p>
    <w:p>
      <w:pPr>
        <w:ind w:firstLine="480"/>
        <w:jc w:val="left"/>
        <w:spacing w:line="360" w:lineRule="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（二）项目名称：</w:t>
      </w:r>
      <w:r>
        <w:rPr>
          <w:rFonts w:hint="eastAsia" w:ascii="宋体" w:hAnsi="宋体" w:cs="宋体"/>
          <w:color w:val="000000"/>
          <w:sz w:val="24"/>
          <w:highlight w:val="white"/>
          <w:lang w:eastAsia="zh-CN"/>
        </w:rPr>
        <w:t xml:space="preserve">2026-2027年太湖新城社会联勤联防食堂食材配送项目</w:t>
      </w:r>
      <w:r>
        <w:rPr>
          <w:highlight w:val="white"/>
        </w:rPr>
      </w:r>
      <w:r/>
    </w:p>
    <w:p>
      <w:pPr>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（三）采购方式：竞争性磋商</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（四）预算金额：</w:t>
      </w:r>
      <w:r>
        <w:rPr>
          <w:rFonts w:hint="eastAsia" w:ascii="宋体" w:hAnsi="宋体" w:cs="宋体"/>
          <w:color w:val="000000"/>
          <w:sz w:val="24"/>
          <w:highlight w:val="white"/>
          <w:lang w:eastAsia="zh-CN"/>
        </w:rPr>
        <w:t xml:space="preserve">壹佰玖拾肆万肆仟元整（￥1944000.00元）</w:t>
      </w:r>
      <w:r>
        <w:rPr>
          <w:rFonts w:hint="eastAsia" w:ascii="宋体" w:hAnsi="宋体" w:cs="宋体"/>
          <w:color w:val="000000"/>
          <w:sz w:val="24"/>
          <w:highlight w:val="white"/>
        </w:rPr>
        <w:t xml:space="preserve">。</w:t>
      </w:r>
      <w:r>
        <w:rPr>
          <w:highlight w:val="white"/>
        </w:rPr>
      </w:r>
      <w:r/>
    </w:p>
    <w:p>
      <w:pPr>
        <w:ind w:firstLine="480"/>
        <w:jc w:val="left"/>
        <w:spacing w:line="360" w:lineRule="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（五）最高限价：</w:t>
      </w:r>
      <w:r>
        <w:rPr>
          <w:rFonts w:hint="eastAsia" w:ascii="宋体" w:hAnsi="宋体" w:cs="宋体"/>
          <w:color w:val="000000"/>
          <w:sz w:val="24"/>
          <w:highlight w:val="white"/>
          <w:lang w:eastAsia="zh-CN"/>
        </w:rPr>
        <w:t xml:space="preserve">壹佰玖拾肆万肆仟元整（￥1944000.00元）</w:t>
      </w:r>
      <w:r>
        <w:rPr>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六）</w:t>
      </w:r>
      <w:r>
        <w:rPr>
          <w:rFonts w:hint="eastAsia" w:ascii="宋体" w:hAnsi="宋体" w:cs="宋体"/>
          <w:sz w:val="24"/>
          <w:highlight w:val="white"/>
        </w:rPr>
        <w:t xml:space="preserve">合同期限：</w:t>
      </w:r>
      <w:r>
        <w:rPr>
          <w:rFonts w:hint="eastAsia" w:ascii="宋体" w:hAnsi="宋体" w:cs="宋体"/>
          <w:color w:val="000000"/>
          <w:sz w:val="24"/>
          <w:highlight w:val="white"/>
          <w:lang w:val="zh-CN"/>
        </w:rPr>
        <w:t xml:space="preserve">壹年（具体以实际提供服务之日起算）</w:t>
      </w:r>
      <w:r>
        <w:rPr>
          <w:rFonts w:hint="eastAsia" w:ascii="宋体" w:hAnsi="宋体" w:cs="宋体"/>
          <w:sz w:val="24"/>
          <w:highlight w:val="white"/>
        </w:rPr>
        <w:t xml:space="preserve">。</w:t>
      </w:r>
      <w:r>
        <w:rPr>
          <w:highlight w:val="white"/>
        </w:rPr>
      </w:r>
      <w:r/>
    </w:p>
    <w:p>
      <w:pPr>
        <w:ind w:firstLine="480"/>
        <w:jc w:val="left"/>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二、采购内容：</w:t>
      </w:r>
      <w:r>
        <w:rPr>
          <w:highlight w:val="white"/>
        </w:rPr>
      </w:r>
      <w:r/>
    </w:p>
    <w:p>
      <w:pPr>
        <w:ind w:firstLine="480"/>
        <w:spacing w:line="360" w:lineRule="auto"/>
        <w:rPr>
          <w:rFonts w:hint="eastAsia" w:eastAsia="楷体_GB2312"/>
          <w:sz w:val="24"/>
          <w:highlight w:val="white"/>
        </w:rPr>
      </w:pPr>
      <w:r>
        <w:rPr>
          <w:rFonts w:hint="eastAsia" w:ascii="宋体" w:hAnsi="宋体" w:cs="宋体"/>
          <w:sz w:val="24"/>
          <w:highlight w:val="white"/>
        </w:rPr>
        <w:t xml:space="preserve">全体所有在岗工作人员约</w:t>
      </w:r>
      <w:r>
        <w:rPr>
          <w:rFonts w:hint="eastAsia" w:ascii="宋体" w:hAnsi="宋体" w:cs="宋体"/>
          <w:sz w:val="24"/>
          <w:highlight w:val="white"/>
          <w:lang w:val="en-US" w:eastAsia="zh-CN"/>
        </w:rPr>
        <w:t xml:space="preserve">180</w:t>
      </w:r>
      <w:r>
        <w:rPr>
          <w:rFonts w:hint="eastAsia" w:ascii="宋体" w:hAnsi="宋体" w:cs="宋体"/>
          <w:sz w:val="24"/>
          <w:highlight w:val="white"/>
        </w:rPr>
        <w:t xml:space="preserve">人提供早、中、晚三餐餐食，根据采购人实际需求配送食材。</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由于本项目涉及食品安全以及生鲜食品供应链等，关系到服务质量、环境、安全等，因此要求响应单位在自身完善响应的管理体系的基础上，还应该承担有关食品安全等方面的责任，同时对生鲜食品供应链等也有一定的要求。</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服务内容与要求：</w:t>
      </w:r>
      <w:r>
        <w:rPr>
          <w:highlight w:val="white"/>
        </w:rPr>
      </w:r>
      <w:r/>
    </w:p>
    <w:p>
      <w:pPr>
        <w:pStyle w:val="1093"/>
        <w:spacing w:line="360" w:lineRule="auto"/>
        <w:rPr>
          <w:rFonts w:hint="eastAsia" w:ascii="宋体" w:hAnsi="宋体" w:cs="宋体"/>
          <w:highlight w:val="white"/>
        </w:rPr>
      </w:pPr>
      <w:r>
        <w:rPr>
          <w:rFonts w:hint="eastAsia" w:ascii="宋体" w:hAnsi="宋体" w:cs="宋体"/>
          <w:bCs/>
          <w:highlight w:val="white"/>
        </w:rPr>
        <w:t xml:space="preserve">（一）</w:t>
      </w:r>
      <w:r>
        <w:rPr>
          <w:rFonts w:hint="eastAsia" w:ascii="宋体" w:hAnsi="宋体" w:cs="宋体"/>
          <w:highlight w:val="white"/>
        </w:rPr>
        <w:t xml:space="preserve">主要原材料质量标准：</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1、大米配送标准：新大米（国标一级），必须符合国家最新标准，并拥有“SC食品生产许可证”。</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2、面粉配送标准：面粉级别为特一级，必须符合国家最新标准，并拥有“SC食品生产许可证”。</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3、食用油配送标准：非转基因食用油，每桶5升左右，必须符合国家食用植物油卫生标准，并具有“SC食品生产许可证”。</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4、猪肉配送标准：使用冷鲜肉品牌产品，猪肉质量必须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5、家禽冻品（鸡腿、鸡翅等）质量要求：配送单位须提供产品合格证明文件，动物产品提供《动物或动物产品分销信息凭证》或《动物检疫合格证》。</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6、豆制品质量要求：发酵性豆制品必须符合国家最新标准，非发酵豆制品必须符合GBT22106-2008标准、GB2711-2003非发酵性豆制品及面筋卫生标准，对豆制品的有关安全健康指标符合国家最新规定。</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7、水产品质量要求：</w:t>
      </w:r>
      <w:r>
        <w:rPr>
          <w:rFonts w:hint="eastAsia" w:ascii="宋体" w:hAnsi="宋体" w:cs="宋体"/>
          <w:sz w:val="24"/>
          <w:highlight w:val="white"/>
        </w:rPr>
        <w:t xml:space="preserve">必须符合国家最新标准</w:t>
      </w:r>
      <w:r>
        <w:rPr>
          <w:rFonts w:hint="eastAsia" w:ascii="宋体" w:hAnsi="宋体" w:cs="宋体"/>
          <w:sz w:val="24"/>
          <w:highlight w:val="white"/>
        </w:rPr>
        <w:t xml:space="preserve">。产品的感观、安全、卫生、稳定性等指标符合相关规定。</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8、无公害蔬菜质量要求：必须符合国家农产品安全质量无公害蔬菜安全要求，对蔬菜中有害物质严格控制在标准规定范围之内。</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9、调味品质量要求：食用盐、酱油、味精、生粉（淀粉制品）、食糖、食醋、酿造食醋等都必须符合国家最新标准。</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10、食品添加剂质量要求：食品添加剂应符合相应的食品安全标准，添加剂的使用必须符合国家最新标准，对食品的添加量严格控制在标准规定范围之内。</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11、鲜蛋质量要求：鸡蛋等新鲜蛋类必须符合国家最新标准。</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12、水果质量要求：必须符合农产品安全质量无公害蔬菜安全要求，对蔬菜中有害物质严格控制在标准规定范围之内。</w:t>
      </w:r>
      <w:r>
        <w:rPr>
          <w:highlight w:val="white"/>
        </w:rPr>
      </w:r>
      <w:r/>
    </w:p>
    <w:p>
      <w:pPr>
        <w:ind w:firstLine="360"/>
        <w:spacing w:line="360" w:lineRule="auto"/>
        <w:rPr>
          <w:rFonts w:hint="eastAsia" w:ascii="宋体" w:hAnsi="宋体" w:cs="宋体"/>
          <w:sz w:val="24"/>
          <w:highlight w:val="white"/>
        </w:rPr>
      </w:pPr>
      <w:r>
        <w:rPr>
          <w:rFonts w:hint="eastAsia" w:ascii="宋体" w:hAnsi="宋体" w:cs="宋体"/>
          <w:sz w:val="24"/>
          <w:highlight w:val="white"/>
        </w:rPr>
        <w:t xml:space="preserve">13、奶制品:食材包装及外观干净、整洁，生产日期、保质期、贮藏条件标识清晰，须在保质期内:符合国家标准。</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（二）食材检测要求：</w:t>
      </w:r>
      <w:r>
        <w:rPr>
          <w:highlight w:val="white"/>
        </w:rPr>
      </w:r>
      <w:r/>
    </w:p>
    <w:p>
      <w:pPr>
        <w:ind w:firstLine="480"/>
        <w:spacing w:line="360" w:lineRule="auto"/>
        <w:rPr>
          <w:rFonts w:hint="eastAsia" w:ascii="宋体" w:hAnsi="宋体"/>
          <w:sz w:val="24"/>
          <w:highlight w:val="white"/>
        </w:rPr>
      </w:pPr>
      <w:r>
        <w:rPr>
          <w:rFonts w:ascii="宋体" w:hAnsi="宋体"/>
          <w:sz w:val="24"/>
          <w:highlight w:val="white"/>
        </w:rPr>
        <w:t xml:space="preserve">1</w:t>
      </w:r>
      <w:r>
        <w:rPr>
          <w:rFonts w:hint="eastAsia" w:ascii="宋体" w:hAnsi="宋体"/>
          <w:sz w:val="24"/>
          <w:highlight w:val="white"/>
        </w:rPr>
        <w:t xml:space="preserve">、</w:t>
      </w:r>
      <w:r>
        <w:rPr>
          <w:rFonts w:ascii="宋体" w:hAnsi="宋体"/>
          <w:sz w:val="24"/>
          <w:highlight w:val="white"/>
        </w:rPr>
        <w:t xml:space="preserve">肉类（含家禽、鱼、肉、冷鲜肉及冷冻肉等）、豆制品、调味品、食用油必须使用优质品牌产品，即由所处经营领域中有较高知名度与美誉度的大型企业提供，其产品可以追根溯源。</w:t>
      </w:r>
      <w:r>
        <w:rPr>
          <w:highlight w:val="white"/>
        </w:rPr>
      </w:r>
      <w:r/>
    </w:p>
    <w:p>
      <w:pPr>
        <w:ind w:firstLine="480"/>
        <w:spacing w:line="360" w:lineRule="auto"/>
        <w:rPr>
          <w:rFonts w:hint="eastAsia" w:ascii="宋体" w:hAnsi="宋体"/>
          <w:sz w:val="24"/>
          <w:highlight w:val="white"/>
        </w:rPr>
      </w:pPr>
      <w:r>
        <w:rPr>
          <w:rFonts w:ascii="宋体" w:hAnsi="宋体"/>
          <w:sz w:val="24"/>
          <w:highlight w:val="white"/>
        </w:rPr>
        <w:t xml:space="preserve">2</w:t>
      </w:r>
      <w:r>
        <w:rPr>
          <w:rFonts w:hint="eastAsia" w:ascii="宋体" w:hAnsi="宋体"/>
          <w:sz w:val="24"/>
          <w:highlight w:val="white"/>
        </w:rPr>
        <w:t xml:space="preserve">、</w:t>
      </w:r>
      <w:r>
        <w:rPr>
          <w:rFonts w:ascii="宋体" w:hAnsi="宋体"/>
          <w:sz w:val="24"/>
          <w:highlight w:val="white"/>
        </w:rPr>
        <w:t xml:space="preserve">每次配送的食材均需提供相关的检测报告或检验合格证。</w:t>
      </w:r>
      <w:r>
        <w:rPr>
          <w:highlight w:val="white"/>
        </w:rPr>
      </w:r>
      <w:r/>
    </w:p>
    <w:p>
      <w:pPr>
        <w:ind w:firstLine="480"/>
        <w:spacing w:line="360" w:lineRule="auto"/>
        <w:rPr>
          <w:rFonts w:hint="eastAsia" w:ascii="宋体" w:hAnsi="宋体"/>
          <w:sz w:val="24"/>
          <w:highlight w:val="white"/>
        </w:rPr>
      </w:pPr>
      <w:r>
        <w:rPr>
          <w:rFonts w:ascii="宋体" w:hAnsi="宋体"/>
          <w:sz w:val="24"/>
          <w:highlight w:val="white"/>
        </w:rPr>
        <w:t xml:space="preserve">3</w:t>
      </w:r>
      <w:r>
        <w:rPr>
          <w:rFonts w:hint="eastAsia" w:ascii="宋体" w:hAnsi="宋体"/>
          <w:sz w:val="24"/>
          <w:highlight w:val="white"/>
        </w:rPr>
        <w:t xml:space="preserve">、采购单位</w:t>
      </w:r>
      <w:r>
        <w:rPr>
          <w:rFonts w:ascii="宋体" w:hAnsi="宋体"/>
          <w:sz w:val="24"/>
          <w:highlight w:val="white"/>
        </w:rPr>
        <w:t xml:space="preserve">将委托权威部门定期对配送单位提供的食材进行抽样检测，如检测发现质量问题，由配送单位承担检测费用及相关责任。</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（三）食材配送日常要求：</w:t>
      </w:r>
      <w:r>
        <w:rPr>
          <w:highlight w:val="white"/>
        </w:rPr>
      </w:r>
      <w:r/>
    </w:p>
    <w:p>
      <w:pPr>
        <w:ind w:firstLine="480"/>
        <w:jc w:val="left"/>
        <w:spacing w:line="360" w:lineRule="auto"/>
        <w:rPr>
          <w:rFonts w:hint="eastAsia" w:ascii="宋体" w:hAnsi="宋体"/>
          <w:sz w:val="24"/>
          <w:highlight w:val="white"/>
          <w:u w:val="single"/>
        </w:rPr>
      </w:pPr>
      <w:r>
        <w:rPr>
          <w:rFonts w:hint="eastAsia" w:ascii="宋体" w:hAnsi="宋体"/>
          <w:sz w:val="24"/>
          <w:highlight w:val="white"/>
          <w:lang w:bidi="en-US"/>
        </w:rPr>
        <w:t xml:space="preserve">1、配送品牌要求：</w:t>
      </w:r>
      <w:r>
        <w:rPr>
          <w:highlight w:val="white"/>
        </w:rPr>
      </w:r>
      <w:r/>
    </w:p>
    <w:tbl>
      <w:tblPr>
        <w:tblStyle w:val="91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29"/>
        <w:gridCol w:w="6523"/>
      </w:tblGrid>
      <w:tr>
        <w:trPr>
          <w:jc w:val="center"/>
          <w:trHeight w:val="444"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食材类别</w:t>
            </w:r>
            <w:r>
              <w:rPr>
                <w:highlight w:val="white"/>
              </w:rPr>
            </w:r>
            <w:r/>
          </w:p>
        </w:tc>
        <w:tc>
          <w:tcPr>
            <w:tcW w:w="3310"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食材品牌</w:t>
            </w:r>
            <w:r>
              <w:rPr>
                <w:highlight w:val="white"/>
              </w:rPr>
            </w:r>
            <w:r/>
          </w:p>
        </w:tc>
      </w:tr>
      <w:tr>
        <w:trPr>
          <w:jc w:val="center"/>
          <w:trHeight w:val="567" w:hRule="exact"/>
        </w:trPr>
        <w:tc>
          <w:tcPr>
            <w:tcW w:w="1689" w:type="dxa"/>
            <w:vAlign w:val="center"/>
            <w:textDirection w:val="lrTb"/>
            <w:noWrap w:val="false"/>
          </w:tcPr>
          <w:p>
            <w:pPr>
              <w:ind w:firstLine="480"/>
              <w:jc w:val="both"/>
              <w:spacing w:line="360" w:lineRule="auto"/>
              <w:rPr>
                <w:rFonts w:hint="eastAsia" w:ascii="宋体" w:hAnsi="宋体"/>
                <w:sz w:val="24"/>
                <w:highlight w:val="white"/>
              </w:rPr>
            </w:pPr>
            <w:r>
              <w:rPr>
                <w:rFonts w:hint="eastAsia" w:ascii="宋体" w:hAnsi="宋体"/>
                <w:sz w:val="24"/>
                <w:highlight w:val="white"/>
                <w:lang w:bidi="en-US"/>
              </w:rPr>
              <w:t xml:space="preserve">肉类</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雨润、双汇、青莲、中粮（不低于上述档次品牌）</w:t>
            </w:r>
            <w:r>
              <w:rPr>
                <w:highlight w:val="white"/>
              </w:rPr>
            </w:r>
            <w:r/>
          </w:p>
        </w:tc>
      </w:tr>
      <w:tr>
        <w:trPr>
          <w:jc w:val="center"/>
          <w:trHeight w:val="58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食用油（非转基因）</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金成、福临门、金龙鱼（不低于上述档次品牌）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调味品</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海天、李锦记、太太乐（不低于上述档次品牌）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冷冻品</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大成、成达、六和、凯牧（不低于上述档次品牌）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豆制品</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艺杏、祖名、日和（不低于上述档次品牌）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水产</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本地基地（优选）</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蔬菜</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本地基地（优选）</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禽蛋</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菜场</w:t>
            </w:r>
            <w:r>
              <w:rPr>
                <w:highlight w:val="white"/>
              </w:rPr>
            </w:r>
            <w:r/>
          </w:p>
        </w:tc>
      </w:tr>
      <w:tr>
        <w:trPr>
          <w:jc w:val="center"/>
          <w:trHeight w:val="544"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南北干货</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菜场</w:t>
            </w:r>
            <w:r>
              <w:rPr>
                <w:highlight w:val="white"/>
              </w:rPr>
            </w:r>
            <w:r/>
          </w:p>
        </w:tc>
      </w:tr>
      <w:tr>
        <w:trPr>
          <w:jc w:val="center"/>
          <w:trHeight w:val="448"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其他</w:t>
            </w:r>
            <w:r>
              <w:rPr>
                <w:highlight w:val="white"/>
              </w:rPr>
            </w:r>
            <w:r/>
          </w:p>
        </w:tc>
        <w:tc>
          <w:tcPr>
            <w:tcW w:w="3310"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rPr>
            </w:r>
            <w:r>
              <w:rPr>
                <w:highlight w:val="white"/>
              </w:rPr>
            </w:r>
            <w:r/>
          </w:p>
        </w:tc>
      </w:tr>
    </w:tbl>
    <w:p>
      <w:pPr>
        <w:ind w:firstLine="480"/>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中标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并对配送单位扣除进行本次配送货物金额5-10倍的货款作为违约金。</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3、配送单位严禁</w:t>
      </w:r>
      <w:r>
        <w:rPr>
          <w:rFonts w:hint="eastAsia" w:ascii="宋体" w:hAnsi="宋体" w:cs="宋体"/>
          <w:sz w:val="24"/>
          <w:highlight w:val="white"/>
        </w:rPr>
        <w:t xml:space="preserve">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他不符合食品卫生标准和要求的食品。</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（四）配送频率要求：</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1、每天送货一次，应急配送的在收到通知后半小时内响应，1小时内完成或提出解决方案。</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3、配送车辆符合国家食品运输相关规定。</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（五）其他要求</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由于本项目涉及</w:t>
      </w:r>
      <w:r>
        <w:rPr>
          <w:rFonts w:hint="eastAsia" w:ascii="宋体" w:hAnsi="宋体"/>
          <w:sz w:val="24"/>
          <w:highlight w:val="white"/>
          <w:lang w:val="en-US" w:eastAsia="zh-CN"/>
        </w:rPr>
        <w:t xml:space="preserve">到食品安全与卫生，</w:t>
      </w:r>
      <w:r>
        <w:rPr>
          <w:rFonts w:hint="eastAsia" w:ascii="宋体" w:hAnsi="宋体"/>
          <w:sz w:val="24"/>
          <w:highlight w:val="white"/>
        </w:rPr>
        <w:t xml:space="preserve">尤其考虑到该项目服务包含环境卫生</w:t>
      </w: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食品安全等关乎人员身体健康</w:t>
      </w:r>
      <w:r>
        <w:rPr>
          <w:rFonts w:hint="eastAsia" w:ascii="宋体" w:hAnsi="宋体"/>
          <w:sz w:val="24"/>
          <w:highlight w:val="white"/>
        </w:rPr>
        <w:t xml:space="preserve">等方面的服务，因此要求响应单位在自身完善</w:t>
      </w:r>
      <w:r>
        <w:rPr>
          <w:rFonts w:hint="eastAsia" w:ascii="宋体" w:hAnsi="宋体"/>
          <w:sz w:val="24"/>
          <w:highlight w:val="white"/>
          <w:lang w:val="en-US" w:eastAsia="zh-CN"/>
        </w:rPr>
        <w:t xml:space="preserve">相应的</w:t>
      </w:r>
      <w:r>
        <w:rPr>
          <w:rFonts w:hint="eastAsia" w:ascii="宋体" w:hAnsi="宋体"/>
          <w:sz w:val="24"/>
          <w:highlight w:val="white"/>
        </w:rPr>
        <w:t xml:space="preserve">管理体系的基础上，应该承担一定的社会责任，</w:t>
      </w:r>
      <w:r>
        <w:rPr>
          <w:rFonts w:hint="eastAsia" w:ascii="宋体" w:hAnsi="宋体"/>
          <w:sz w:val="24"/>
          <w:highlight w:val="white"/>
          <w:lang w:val="en-US" w:eastAsia="zh-CN"/>
        </w:rPr>
        <w:t xml:space="preserve">具备有关食品安全与人员健康相关管理能力为佳，同时所配备服务人员应该具备与食品安全等相关的服务人员为佳</w:t>
      </w:r>
      <w:r>
        <w:rPr>
          <w:rFonts w:hint="eastAsia" w:ascii="宋体" w:hAnsi="宋体"/>
          <w:sz w:val="24"/>
          <w:highlight w:val="white"/>
        </w:rPr>
        <w:t xml:space="preserve">。</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1、各供应商需对本项目及自身情况（包括但不限于</w:t>
      </w:r>
      <w:r>
        <w:rPr>
          <w:rFonts w:hint="eastAsia" w:hAnsi="宋体"/>
          <w:sz w:val="24"/>
          <w:highlight w:val="white"/>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sz w:val="24"/>
          <w:highlight w:val="white"/>
        </w:rPr>
        <w:t xml:space="preserve">）报出针对原材料的</w:t>
      </w:r>
      <w:r>
        <w:rPr>
          <w:rFonts w:hint="eastAsia" w:ascii="宋体" w:hAnsi="宋体"/>
          <w:sz w:val="24"/>
          <w:highlight w:val="white"/>
          <w:lang w:eastAsia="zh-CN"/>
        </w:rPr>
        <w:t xml:space="preserve">下浮率</w:t>
      </w:r>
      <w:r>
        <w:rPr>
          <w:rFonts w:hint="eastAsia" w:ascii="宋体" w:hAnsi="宋体"/>
          <w:sz w:val="24"/>
          <w:highlight w:val="white"/>
        </w:rPr>
        <w:t xml:space="preserve">。</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2、若采购单位有特殊情况需临时要求供货，中标单位须有相应的应急预案，并承诺在采购单位规定的合理时间范围内能送货至采购单位指定地点。</w:t>
      </w:r>
      <w:r>
        <w:rPr>
          <w:highlight w:val="white"/>
        </w:rPr>
      </w:r>
      <w:r/>
    </w:p>
    <w:p>
      <w:pPr>
        <w:ind w:firstLine="480"/>
        <w:spacing w:line="360" w:lineRule="auto"/>
        <w:tabs>
          <w:tab w:val="left" w:pos="6521" w:leader="none"/>
        </w:tabs>
        <w:rPr>
          <w:rFonts w:hint="eastAsia" w:ascii="宋体" w:hAnsi="宋体" w:eastAsia="宋体"/>
          <w:sz w:val="24"/>
          <w:highlight w:val="white"/>
        </w:rPr>
      </w:pPr>
      <w:r>
        <w:rPr>
          <w:rFonts w:hint="eastAsia" w:ascii="宋体" w:hAnsi="宋体"/>
          <w:sz w:val="24"/>
          <w:highlight w:val="white"/>
        </w:rPr>
        <w:t xml:space="preserve">3、经核有下列情形之一者采购方有权立即终止配送单位的配送工作，并终止与之签订的食堂配送协议：（1）原材料问题引起的员工食物中毒等食源性疾病的发生；（2）月度考核二次或二次以上低于80分；（3）被政府监管部门查到故意向采购单位销售假冒伪劣商品</w:t>
      </w:r>
      <w:r>
        <w:rPr>
          <w:rFonts w:hint="eastAsia" w:ascii="宋体" w:hAnsi="宋体"/>
          <w:sz w:val="24"/>
          <w:highlight w:val="white"/>
          <w:lang w:eastAsia="zh-CN"/>
        </w:rPr>
        <w:t xml:space="preserve">；</w:t>
      </w:r>
      <w:r>
        <w:rPr>
          <w:rFonts w:hint="eastAsia" w:ascii="宋体" w:hAnsi="宋体" w:cs="宋体"/>
          <w:sz w:val="24"/>
          <w:highlight w:val="white"/>
        </w:rPr>
        <w:t xml:space="preserve">（4）经查实，将部分配送工作分包或转包给他人或其他单位。</w:t>
      </w:r>
      <w:r>
        <w:rPr>
          <w:highlight w:val="white"/>
        </w:rPr>
      </w:r>
      <w:r/>
    </w:p>
    <w:p>
      <w:pPr>
        <w:ind w:firstLine="480"/>
        <w:spacing w:line="360" w:lineRule="auto"/>
        <w:rPr>
          <w:rFonts w:hint="eastAsia" w:ascii="宋体" w:hAnsi="宋体" w:cs="宋体"/>
          <w:sz w:val="24"/>
          <w:highlight w:val="white"/>
        </w:rPr>
      </w:pPr>
      <w:r>
        <w:rPr>
          <w:rFonts w:hint="eastAsia" w:ascii="宋体" w:hAnsi="宋体"/>
          <w:sz w:val="24"/>
          <w:highlight w:val="white"/>
        </w:rPr>
        <w:t xml:space="preserve">4、</w:t>
      </w:r>
      <w:r>
        <w:rPr>
          <w:rFonts w:hint="eastAsia" w:ascii="宋体" w:hAnsi="宋体" w:cs="宋体"/>
          <w:sz w:val="24"/>
          <w:highlight w:val="white"/>
        </w:rPr>
        <w:t xml:space="preserve">因重大责任事故，取消配送资格的供应商，不得继续为采购方提供所有物质的配送，已签订的合同双方协商解除。</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、本项目需配备项目负责人1名</w:t>
      </w: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服务人员不少于3名。</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、结算方式：</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项目报价要求：以苏州发展和改革委员会官网上公布的最新“苏州市部分农贸市场零售均价”的100%的价格为基准价，按照采购文件中的报价表作规定的让利。合同最终价格不得超过采购预算，若服务期限内结算金额达到采购预算后合同自动终止。</w:t>
      </w:r>
      <w:r>
        <w:rPr>
          <w:highlight w:val="white"/>
        </w:rPr>
      </w:r>
      <w:r/>
    </w:p>
    <w:p>
      <w:pPr>
        <w:ind w:firstLine="480"/>
        <w:spacing w:line="360" w:lineRule="auto"/>
        <w:rPr>
          <w:rFonts w:hint="eastAsia" w:ascii="宋体" w:hAnsi="宋体"/>
          <w:bCs/>
          <w:sz w:val="24"/>
          <w:highlight w:val="white"/>
        </w:rPr>
      </w:pPr>
      <w:r>
        <w:rPr>
          <w:rFonts w:hint="eastAsia" w:ascii="宋体" w:hAnsi="宋体" w:cs="宋体"/>
          <w:sz w:val="24"/>
          <w:highlight w:val="white"/>
        </w:rPr>
        <w:t xml:space="preserve">（2）若实际供货中涉及范围在苏州发展和改革委员会官网公布上未查到，则按照不高于周边市场均价按实结算，报价不高于周边市场均价。</w:t>
      </w:r>
      <w:r>
        <w:rPr>
          <w:highlight w:val="white"/>
        </w:rPr>
      </w: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（3）供货价格一星期一报价(若供货价格无较大变化，可延长报价时间)。</w:t>
      </w:r>
      <w:r>
        <w:rPr>
          <w:highlight w:val="white"/>
        </w:rPr>
      </w:r>
      <w:r/>
    </w:p>
    <w:p>
      <w:pPr>
        <w:ind w:firstLine="480"/>
        <w:spacing w:line="360" w:lineRule="auto"/>
        <w:rPr>
          <w:rFonts w:ascii="宋体" w:hAnsi="宋体" w:eastAsia="宋体" w:cs="宋体"/>
          <w:sz w:val="24"/>
          <w:highlight w:val="white"/>
        </w:rPr>
      </w:pPr>
      <w:r>
        <w:rPr>
          <w:rFonts w:hint="eastAsia" w:ascii="宋体" w:hAnsi="宋体" w:eastAsia="宋体" w:cs="宋体"/>
          <w:sz w:val="24"/>
          <w:highlight w:val="white"/>
          <w:lang w:val="en-US" w:eastAsia="zh-CN"/>
        </w:rPr>
        <w:t xml:space="preserve">（4）合同终止条件：服务限满一年或实际已完产值达到合同金额（二者中以先满足条件为准）。</w:t>
      </w:r>
      <w:r>
        <w:rPr>
          <w:highlight w:val="white"/>
        </w:rPr>
      </w:r>
      <w:r/>
    </w:p>
    <w:p>
      <w:pPr>
        <w:ind w:firstLine="482"/>
        <w:spacing w:line="360" w:lineRule="auto"/>
        <w:rPr>
          <w:rFonts w:hint="eastAsia" w:ascii="宋体" w:hAnsi="宋体" w:cs="宋体"/>
          <w:b/>
          <w:bCs/>
          <w:sz w:val="24"/>
          <w:highlight w:val="white"/>
        </w:rPr>
      </w:pPr>
      <w:r>
        <w:rPr>
          <w:rFonts w:hint="eastAsia" w:ascii="宋体" w:hAnsi="宋体" w:cs="宋体"/>
          <w:b/>
          <w:bCs/>
          <w:sz w:val="24"/>
          <w:highlight w:val="white"/>
        </w:rPr>
        <w:t xml:space="preserve">三、项目考核要求：</w:t>
      </w:r>
      <w:r>
        <w:rPr>
          <w:highlight w:val="white"/>
        </w:rPr>
      </w:r>
      <w:r/>
    </w:p>
    <w:p>
      <w:pPr>
        <w:ind w:firstLine="480"/>
        <w:spacing w:line="360" w:lineRule="auto"/>
        <w:rPr>
          <w:rFonts w:hint="eastAsia" w:ascii="宋体" w:hAnsi="宋体"/>
          <w:sz w:val="24"/>
          <w:highlight w:val="white"/>
        </w:rPr>
      </w:pPr>
      <w:r>
        <w:rPr>
          <w:rFonts w:hint="eastAsia" w:ascii="宋体" w:hAnsi="宋体" w:cs="宋体"/>
          <w:sz w:val="24"/>
          <w:highlight w:val="white"/>
        </w:rPr>
        <w:t xml:space="preserve">本项目需配备项目负责人</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名</w:t>
      </w: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服务人员不少于3名。</w:t>
      </w:r>
      <w:r>
        <w:rPr>
          <w:rFonts w:hint="eastAsia" w:ascii="宋体" w:hAnsi="宋体" w:cs="宋体"/>
          <w:sz w:val="24"/>
          <w:highlight w:val="white"/>
        </w:rPr>
        <w:t xml:space="preserve">甲方每月对乙方服务项目进行考核，具体详见附件《配餐服务月考核表》。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1、有下列情形之一者采购人应立即终止配送单位的配送工作，并终止与之签订的协议：</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（1）原材料问题引起的食物中毒等食源性疾病的发生；</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（2）月度考核二次或二次以上低于80分；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（3）被政府监管部门查到故意销售假冒伪劣商品；</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（4）经查实，将部分配送工作分包或转包给他人或其他单位。</w:t>
      </w:r>
      <w:r>
        <w:rPr>
          <w:highlight w:val="white"/>
        </w:rPr>
      </w:r>
      <w:r/>
    </w:p>
    <w:p>
      <w:pPr>
        <w:pStyle w:val="1322"/>
        <w:ind w:firstLine="480"/>
        <w:spacing w:line="360" w:lineRule="auto"/>
        <w:tabs>
          <w:tab w:val="left" w:pos="2700" w:leader="none"/>
        </w:tabs>
        <w:rPr>
          <w:rFonts w:hint="eastAsia" w:ascii="宋体" w:hAnsi="宋体" w:eastAsia="宋体" w:cs="宋体"/>
          <w:color w:val="auto"/>
          <w:sz w:val="24"/>
          <w:szCs w:val="24"/>
          <w:highlight w:val="white"/>
        </w:rPr>
        <w:framePr w:wrap="auto" w:vAnchor="margin" w:hAnchor="text" w:yAlign="inline"/>
      </w:pPr>
      <w:r>
        <w:rPr>
          <w:rFonts w:hint="eastAsia" w:ascii="宋体" w:hAnsi="宋体" w:eastAsia="宋体" w:cs="宋体"/>
          <w:color w:val="auto"/>
          <w:sz w:val="24"/>
          <w:szCs w:val="24"/>
          <w:highlight w:val="white"/>
        </w:rPr>
        <w:t xml:space="preserve">2、月度考核得分达</w:t>
      </w:r>
      <w:r>
        <w:rPr>
          <w:rFonts w:hint="eastAsia" w:ascii="宋体" w:hAnsi="宋体" w:eastAsia="宋体" w:cs="宋体"/>
          <w:color w:val="auto"/>
          <w:sz w:val="24"/>
          <w:szCs w:val="24"/>
          <w:highlight w:val="white"/>
          <w:lang w:val="en-US" w:eastAsia="zh-CN"/>
        </w:rPr>
        <w:t xml:space="preserve">90</w:t>
      </w:r>
      <w:r>
        <w:rPr>
          <w:rFonts w:hint="eastAsia" w:ascii="宋体" w:hAnsi="宋体" w:eastAsia="宋体" w:cs="宋体"/>
          <w:color w:val="auto"/>
          <w:sz w:val="24"/>
          <w:szCs w:val="24"/>
          <w:highlight w:val="white"/>
        </w:rPr>
        <w:t xml:space="preserve">分及以上，不扣除当月费用</w:t>
      </w:r>
      <w:r>
        <w:rPr>
          <w:rFonts w:hint="eastAsia" w:ascii="宋体" w:hAnsi="宋体" w:eastAsia="宋体" w:cs="宋体"/>
          <w:color w:val="auto"/>
          <w:sz w:val="24"/>
          <w:szCs w:val="24"/>
          <w:highlight w:val="white"/>
          <w:lang w:eastAsia="zh-CN"/>
        </w:rPr>
        <w:t xml:space="preserve">；如总分低于90分（含90分），</w:t>
      </w:r>
      <w:r>
        <w:rPr>
          <w:rFonts w:hint="eastAsia" w:ascii="宋体" w:hAnsi="宋体" w:eastAsia="宋体" w:cs="宋体"/>
          <w:color w:val="auto"/>
          <w:sz w:val="24"/>
          <w:szCs w:val="24"/>
          <w:highlight w:val="white"/>
        </w:rPr>
        <w:t xml:space="preserve">配送公司要做出书面的整改承诺</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并按照每下降一分处以500元扣款（违约金），</w:t>
      </w:r>
      <w:r>
        <w:rPr>
          <w:rFonts w:hint="eastAsia" w:ascii="宋体" w:hAnsi="宋体" w:eastAsia="宋体" w:cs="宋体"/>
          <w:color w:val="auto"/>
          <w:sz w:val="24"/>
          <w:szCs w:val="24"/>
          <w:highlight w:val="white"/>
          <w:lang w:val="en-US" w:eastAsia="zh-CN"/>
        </w:rPr>
        <w:t xml:space="preserve">采购方</w:t>
      </w:r>
      <w:r>
        <w:rPr>
          <w:rFonts w:hint="eastAsia" w:ascii="宋体" w:hAnsi="宋体" w:eastAsia="宋体" w:cs="宋体"/>
          <w:color w:val="auto"/>
          <w:sz w:val="24"/>
          <w:szCs w:val="24"/>
          <w:highlight w:val="white"/>
        </w:rPr>
        <w:t xml:space="preserve">有权直接从应付未付款项中扣除。。</w:t>
      </w:r>
      <w:r>
        <w:rPr>
          <w:highlight w:val="white"/>
        </w:rPr>
      </w:r>
      <w:r/>
    </w:p>
    <w:p>
      <w:pPr>
        <w:pStyle w:val="1322"/>
        <w:ind w:firstLine="480"/>
        <w:spacing w:line="360" w:lineRule="auto"/>
        <w:tabs>
          <w:tab w:val="left" w:pos="2700" w:leader="none"/>
        </w:tabs>
        <w:rPr>
          <w:rFonts w:hint="eastAsia" w:ascii="宋体" w:hAnsi="宋体" w:eastAsia="宋体" w:cs="宋体"/>
          <w:color w:val="auto"/>
          <w:sz w:val="24"/>
          <w:szCs w:val="24"/>
          <w:highlight w:val="white"/>
        </w:rPr>
        <w:framePr w:wrap="auto" w:vAnchor="margin" w:hAnchor="text" w:yAlign="inline"/>
      </w:pPr>
      <w:r>
        <w:rPr>
          <w:rFonts w:hint="eastAsia" w:ascii="宋体" w:hAnsi="宋体" w:eastAsia="宋体" w:cs="宋体"/>
          <w:color w:val="auto"/>
          <w:sz w:val="24"/>
          <w:szCs w:val="24"/>
          <w:highlight w:val="white"/>
        </w:rPr>
        <w:t xml:space="preserve">为保证企业正常运作，同时巩固作业质量，如月度考核二次或二次以上低于80分；采购方有权终止合同（或协议），成交方需无条件按采购方要求办理移交、退场手续。</w:t>
      </w:r>
      <w:r>
        <w:rPr>
          <w:highlight w:val="white"/>
        </w:rPr>
      </w:r>
      <w:r/>
    </w:p>
    <w:p>
      <w:pPr>
        <w:pStyle w:val="1322"/>
        <w:ind w:firstLine="480"/>
        <w:spacing w:line="360" w:lineRule="auto"/>
        <w:tabs>
          <w:tab w:val="left" w:pos="2700" w:leader="none"/>
        </w:tabs>
        <w:rPr>
          <w:rFonts w:ascii="宋体" w:hAnsi="宋体" w:eastAsia="宋体" w:cs="宋体"/>
          <w:color w:val="auto"/>
          <w:sz w:val="24"/>
          <w:szCs w:val="24"/>
          <w:highlight w:val="white"/>
        </w:rPr>
        <w:framePr w:wrap="auto" w:vAnchor="margin" w:hAnchor="text" w:yAlign="inline"/>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、考核标准：后期采购单位有权根据项目实施的实际情况，对此标准进行调整。</w:t>
      </w:r>
      <w:r>
        <w:rPr>
          <w:highlight w:val="white"/>
        </w:rPr>
      </w:r>
      <w:r/>
    </w:p>
    <w:p>
      <w:pPr>
        <w:ind w:firstLine="480"/>
        <w:jc w:val="left"/>
        <w:spacing w:line="360" w:lineRule="auto"/>
        <w:rPr>
          <w:rFonts w:hint="eastAsia" w:ascii="宋体" w:hAnsi="宋体"/>
          <w:sz w:val="24"/>
          <w:highlight w:val="white"/>
        </w:rPr>
      </w:pPr>
      <w:r>
        <w:rPr>
          <w:rFonts w:hint="eastAsia" w:ascii="宋体" w:hAnsi="宋体"/>
          <w:sz w:val="24"/>
          <w:highlight w:val="white"/>
        </w:rPr>
      </w:r>
      <w:r>
        <w:rPr>
          <w:highlight w:val="white"/>
        </w:rPr>
      </w:r>
      <w:r/>
    </w:p>
    <w:p>
      <w:pPr>
        <w:spacing w:line="360" w:lineRule="auto"/>
        <w:widowControl/>
        <w:rPr>
          <w:rFonts w:ascii="宋体" w:hAnsi="宋体" w:cs="宋体"/>
          <w:b/>
          <w:bCs/>
          <w:sz w:val="24"/>
          <w:highlight w:val="white"/>
        </w:rPr>
      </w:pPr>
      <w:r>
        <w:rPr>
          <w:rFonts w:hint="eastAsia" w:ascii="宋体" w:hAnsi="宋体" w:cs="宋体"/>
          <w:b/>
          <w:bCs/>
          <w:sz w:val="24"/>
          <w:highlight w:val="white"/>
        </w:rPr>
        <w:t xml:space="preserve">附件：配餐服务月考核表</w:t>
      </w:r>
      <w:r>
        <w:rPr>
          <w:highlight w:val="white"/>
        </w:rPr>
      </w:r>
      <w:r/>
    </w:p>
    <w:p>
      <w:pPr>
        <w:jc w:val="left"/>
        <w:spacing w:line="360" w:lineRule="auto"/>
        <w:rPr>
          <w:rFonts w:ascii="宋体" w:hAnsi="宋体" w:cs="宋体"/>
          <w:sz w:val="24"/>
          <w:highlight w:val="white"/>
        </w:rPr>
      </w:pPr>
      <w:r>
        <w:rPr>
          <w:rFonts w:hint="eastAsia" w:ascii="宋体" w:hAnsi="宋体" w:cs="宋体"/>
          <w:sz w:val="24"/>
          <w:highlight w:val="white"/>
        </w:rPr>
        <w:t xml:space="preserve">被考核单位：          </w:t>
      </w:r>
      <w:r>
        <w:rPr>
          <w:rFonts w:hint="eastAsia" w:ascii="宋体" w:hAnsi="宋体" w:cs="宋体"/>
          <w:sz w:val="24"/>
          <w:highlight w:val="white"/>
          <w:lang w:val="en-US" w:eastAsia="zh-CN"/>
        </w:rPr>
        <w:t xml:space="preserve">        </w:t>
      </w:r>
      <w:r>
        <w:rPr>
          <w:rFonts w:hint="eastAsia" w:ascii="宋体" w:hAnsi="宋体" w:cs="宋体"/>
          <w:sz w:val="24"/>
          <w:highlight w:val="white"/>
        </w:rPr>
        <w:t xml:space="preserve">    日期：   年   月   日</w:t>
      </w:r>
      <w:r>
        <w:rPr>
          <w:highlight w:val="white"/>
        </w:rPr>
      </w:r>
      <w:r/>
    </w:p>
    <w:tbl>
      <w:tblPr>
        <w:tblStyle w:val="91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645"/>
        <w:gridCol w:w="858"/>
        <w:gridCol w:w="1058"/>
        <w:gridCol w:w="6308"/>
      </w:tblGrid>
      <w:tr>
        <w:trPr>
          <w:jc w:val="center"/>
          <w:trHeight w:val="531"/>
        </w:trPr>
        <w:tc>
          <w:tcPr>
            <w:tcW w:w="849"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一级</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指标</w:t>
            </w:r>
            <w:r>
              <w:rPr>
                <w:highlight w:val="white"/>
              </w:rPr>
            </w:r>
            <w:r/>
          </w:p>
        </w:tc>
        <w:tc>
          <w:tcPr>
            <w:tcW w:w="558"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分值</w:t>
            </w:r>
            <w:r>
              <w:rPr>
                <w:highlight w:val="whit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二级</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指标</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分值</w:t>
            </w:r>
            <w:r>
              <w:rPr>
                <w:highlight w:val="white"/>
              </w:rPr>
            </w:r>
            <w:r/>
          </w:p>
        </w:tc>
        <w:tc>
          <w:tcPr>
            <w:tcW w:w="5459"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考核要素和评估内容及其标准</w:t>
            </w:r>
            <w:r>
              <w:rPr>
                <w:highlight w:val="white"/>
              </w:rPr>
            </w:r>
            <w:r/>
          </w:p>
        </w:tc>
      </w:tr>
      <w:tr>
        <w:trPr>
          <w:jc w:val="center"/>
          <w:trHeight w:val="584"/>
        </w:trPr>
        <w:tc>
          <w:tcPr>
            <w:tcW w:w="849" w:type="dxa"/>
            <w:vAlign w:val="center"/>
            <w:vMerge w:val="restart"/>
            <w:textDirection w:val="tbRlV"/>
            <w:noWrap w:val="false"/>
          </w:tcPr>
          <w:p>
            <w:pPr>
              <w:ind w:left="113" w:righ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设备设施</w:t>
            </w:r>
            <w:r>
              <w:rPr>
                <w:highlight w:val="white"/>
              </w:rPr>
            </w:r>
            <w:r/>
          </w:p>
        </w:tc>
        <w:tc>
          <w:tcPr>
            <w:tcW w:w="558" w:type="dxa"/>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场地与功能</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食材配送占地和建筑面积适中，布局合理，设备设施配套功能齐全且整洁2分如有缩小面积、擅自改变其功能等与配送无关联的变更现象，该项不得分。</w:t>
            </w:r>
            <w:r>
              <w:rPr>
                <w:highlight w:val="white"/>
              </w:rPr>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运输工具</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送货均使用专用冷藏车2分（5-10月须开启冷藏设备，其余时间视气温情况而定），未用冷藏车或该开启冷藏设备而未开启冷藏设备发现一次扣1分，扣完为止。</w:t>
            </w:r>
            <w:r>
              <w:rPr>
                <w:highlight w:val="white"/>
              </w:rPr>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冷库</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科学、规范控制冷库温度，冷库堆放有序1分，如实填写进出库资料1分（根据实情酌情扣分）。</w:t>
            </w:r>
            <w:r>
              <w:rPr>
                <w:highlight w:val="white"/>
              </w:rPr>
            </w:r>
            <w:r/>
          </w:p>
        </w:tc>
      </w:tr>
      <w:tr>
        <w:trPr>
          <w:jc w:val="center"/>
          <w:trHeight w:val="641"/>
        </w:trPr>
        <w:tc>
          <w:tcPr>
            <w:tcW w:w="849" w:type="dxa"/>
            <w:vAlign w:val="center"/>
            <w:vMerge w:val="restart"/>
            <w:textDirection w:val="tbRlV"/>
            <w:noWrap w:val="false"/>
          </w:tcPr>
          <w:p>
            <w:pPr>
              <w:ind w:left="113" w:righ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流程管理</w:t>
            </w:r>
            <w:r>
              <w:rPr>
                <w:highlight w:val="white"/>
              </w:rPr>
            </w:r>
            <w:r/>
          </w:p>
        </w:tc>
        <w:tc>
          <w:tcPr>
            <w:tcW w:w="558" w:type="dxa"/>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30分</w:t>
            </w:r>
            <w:r>
              <w:rPr>
                <w:highlight w:val="whit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准时送货</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9分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送货准时，每天所需食材一并送达（水产除外）9分（非不可抗拒情况下延误一次扣3分，以此类推，扣完为止。</w:t>
            </w:r>
            <w:r>
              <w:rPr>
                <w:highlight w:val="white"/>
              </w:rPr>
            </w:r>
            <w:r/>
          </w:p>
        </w:tc>
      </w:tr>
      <w:tr>
        <w:trPr>
          <w:jc w:val="center"/>
          <w:trHeight w:val="570"/>
        </w:trPr>
        <w:tc>
          <w:tcPr>
            <w:tcW w:w="849" w:type="dxa"/>
            <w:vAlign w:val="center"/>
            <w:vMerge w:val="continue"/>
            <w:textDirection w:val="tbRlV"/>
            <w:noWrap w:val="false"/>
          </w:tcPr>
          <w:p>
            <w:pPr>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足斤足两</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9分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送货无短斤缺两现象9分（份量短缺达到该类食材配送总量5%以上，有一次扣3分，以此类推，扣完为止）。</w:t>
            </w:r>
            <w:r>
              <w:rPr>
                <w:highlight w:val="white"/>
              </w:rPr>
            </w:r>
            <w:r/>
          </w:p>
        </w:tc>
      </w:tr>
      <w:tr>
        <w:trPr>
          <w:jc w:val="center"/>
          <w:trHeight w:val="613"/>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服务态度</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4分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工作人员工作认真，服务热情周到，运送搬装文明4分（运送人员野蛮运装或无正当理由与食堂人员争执，一次扣2分，扣完为止）。</w:t>
            </w:r>
            <w:r>
              <w:rPr>
                <w:highlight w:val="white"/>
              </w:rPr>
            </w:r>
            <w:r/>
          </w:p>
        </w:tc>
      </w:tr>
      <w:tr>
        <w:trPr>
          <w:jc w:val="center"/>
          <w:trHeight w:val="419"/>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工作细致</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配送物品清单与实际配送无差错6分（误差一次扣3分，以此类推，扣完为止）。</w:t>
            </w:r>
            <w:r>
              <w:rPr>
                <w:highlight w:val="white"/>
              </w:rPr>
            </w:r>
            <w:r/>
          </w:p>
        </w:tc>
      </w:tr>
      <w:tr>
        <w:trPr>
          <w:jc w:val="center"/>
          <w:trHeight w:val="417"/>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单据清晰</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送货单（结算凭证）项目齐全，机器打印清晰2分，否则不得分。</w:t>
            </w:r>
            <w:r>
              <w:rPr>
                <w:highlight w:val="white"/>
              </w:rPr>
            </w:r>
            <w:r/>
          </w:p>
        </w:tc>
      </w:tr>
      <w:tr>
        <w:trPr>
          <w:jc w:val="center"/>
          <w:trHeight w:val="1124"/>
        </w:trPr>
        <w:tc>
          <w:tcPr>
            <w:tcW w:w="849" w:type="dxa"/>
            <w:vAlign w:val="center"/>
            <w:textDirection w:val="lrTb"/>
            <w:noWrap w:val="false"/>
          </w:tcPr>
          <w:p>
            <w:pPr>
              <w:ind w:lef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质量管理</w:t>
            </w:r>
            <w:r>
              <w:rPr>
                <w:highlight w:val="white"/>
              </w:rPr>
            </w:r>
            <w:r/>
          </w:p>
        </w:tc>
        <w:tc>
          <w:tcPr>
            <w:tcW w:w="558"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40分</w:t>
            </w:r>
            <w:r>
              <w:rPr>
                <w:highlight w:val="whit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食材每日</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评分</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40分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每天对配送单位提供的食材质量进行验收40分（验收时按各类食材验收标准打分，验收标准见合同）。</w:t>
            </w:r>
            <w:r>
              <w:rPr>
                <w:highlight w:val="white"/>
              </w:rPr>
            </w:r>
            <w:r/>
          </w:p>
        </w:tc>
      </w:tr>
      <w:tr>
        <w:trPr>
          <w:jc w:val="center"/>
          <w:trHeight w:val="662"/>
        </w:trPr>
        <w:tc>
          <w:tcPr>
            <w:tcW w:w="849" w:type="dxa"/>
            <w:vAlign w:val="center"/>
            <w:vMerge w:val="restart"/>
            <w:textDirection w:val="tbRlV"/>
            <w:noWrap w:val="false"/>
          </w:tcPr>
          <w:p>
            <w:pPr>
              <w:ind w:left="113" w:righ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科学管理</w:t>
            </w:r>
            <w:r>
              <w:rPr>
                <w:highlight w:val="white"/>
              </w:rPr>
            </w:r>
            <w:r/>
          </w:p>
        </w:tc>
        <w:tc>
          <w:tcPr>
            <w:tcW w:w="558" w:type="dxa"/>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24分</w:t>
            </w:r>
            <w:r>
              <w:rPr>
                <w:highlight w:val="whit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诚信经营</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不得将部分商品或部分</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的供应权限转让或分包给他人经营6分（如有违反不得分，并考虑取消配送资格）。</w:t>
            </w:r>
            <w:r>
              <w:rPr>
                <w:highlight w:val="white"/>
              </w:rPr>
            </w:r>
            <w:r/>
          </w:p>
        </w:tc>
      </w:tr>
      <w:tr>
        <w:trPr>
          <w:jc w:val="center"/>
          <w:trHeight w:val="835"/>
        </w:trPr>
        <w:tc>
          <w:tcPr>
            <w:tcW w:w="849" w:type="dxa"/>
            <w:vAlign w:val="center"/>
            <w:vMerge w:val="continue"/>
            <w:textDirection w:val="tbRlV"/>
            <w:noWrap w:val="false"/>
          </w:tcPr>
          <w:p>
            <w:pPr>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结算精准</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对</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：送货单上单价、月底结算价格符合招标文件精神，结算账目清晰准确，价格合理。对上家供应商：每月结清，不拖欠（结算不及时或延时付款，该项目不得分）。</w:t>
            </w:r>
            <w:r>
              <w:rPr>
                <w:highlight w:val="white"/>
              </w:rPr>
            </w:r>
            <w:r/>
          </w:p>
        </w:tc>
      </w:tr>
      <w:tr>
        <w:trPr>
          <w:jc w:val="center"/>
          <w:trHeight w:val="542"/>
        </w:trPr>
        <w:tc>
          <w:tcPr>
            <w:tcW w:w="849" w:type="dxa"/>
            <w:vAlign w:val="center"/>
            <w:vMerge w:val="continue"/>
            <w:textDirection w:val="tbRlV"/>
            <w:noWrap w:val="false"/>
          </w:tcPr>
          <w:p>
            <w:pPr>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留样制度</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每天做好蔬菜农药残留检测，并作记录。规范做好留样工作。（记录缺失扣3分，留样不规范扣3分）。</w:t>
            </w:r>
            <w:r>
              <w:rPr>
                <w:highlight w:val="white"/>
              </w:rPr>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安全清洁</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3分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操作场所、仓库、运输工具、贮物筐箱等保持清洁卫生，坚持每天清洁工作，按规定定期消毒并做好记载，仓库内无过期物品，有单独的专供仓库3分（抽查到不符要求的每次扣1分，以此类推，扣完为止）。</w:t>
            </w:r>
            <w:r>
              <w:rPr>
                <w:highlight w:val="white"/>
              </w:rPr>
            </w:r>
            <w:r/>
          </w:p>
        </w:tc>
      </w:tr>
      <w:tr>
        <w:trPr>
          <w:jc w:val="center"/>
          <w:trHeight w:val="810"/>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联系制度</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3分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如网上没有</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所需商品名录，事先与</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联系并谈妥商品的品牌、品级、规格、价格等事项，然后发货3分。（配送单位单方定价后再送货不得分）。</w:t>
            </w:r>
            <w:r>
              <w:rPr>
                <w:highlight w:val="white"/>
              </w:rPr>
            </w:r>
            <w:r/>
          </w:p>
        </w:tc>
      </w:tr>
      <w:tr>
        <w:trPr>
          <w:jc w:val="center"/>
          <w:trHeight w:val="570"/>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及时整改</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对</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的意见、建议虚心接受，运作过程中出现的新情况新问题及时主动沟通、协调有效果，及时整改见实效2分（整改效果不明显扣1分，未见整改效果不得分）。</w:t>
            </w:r>
            <w:r>
              <w:rPr>
                <w:highlight w:val="white"/>
              </w:rPr>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协调沟通</w:t>
            </w:r>
            <w:r>
              <w:rPr>
                <w:highlight w:val="white"/>
              </w:rPr>
            </w:r>
            <w:r/>
          </w:p>
        </w:tc>
        <w:tc>
          <w:tcPr>
            <w:tcW w:w="91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5459" w:type="dxa"/>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每个月的月底，主动向</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书面报告工作情况（主要内容为：</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、上家供应商运作情况，工作上不和谐之事之因之果，以及意见或建议）得2分；不按时交不得分。</w:t>
            </w:r>
            <w:r>
              <w:rPr>
                <w:highlight w:val="white"/>
              </w:rPr>
            </w:r>
            <w:r/>
          </w:p>
        </w:tc>
      </w:tr>
      <w:tr>
        <w:trPr>
          <w:jc w:val="center"/>
          <w:trHeight w:val="509"/>
        </w:trPr>
        <w:tc>
          <w:tcPr>
            <w:gridSpan w:val="4"/>
            <w:tcW w:w="3066" w:type="dxa"/>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总      分</w:t>
            </w:r>
            <w:r>
              <w:rPr>
                <w:highlight w:val="white"/>
              </w:rPr>
            </w:r>
            <w:r/>
          </w:p>
        </w:tc>
        <w:tc>
          <w:tcPr>
            <w:tcW w:w="5459" w:type="dxa"/>
            <w:vAlign w:val="top"/>
            <w:textDirection w:val="lrTb"/>
            <w:noWrap w:val="false"/>
          </w:tcPr>
          <w:p>
            <w:pP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509"/>
        </w:trPr>
        <w:tc>
          <w:tcPr>
            <w:gridSpan w:val="4"/>
            <w:tcW w:w="3066"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cs="宋体"/>
                <w:sz w:val="21"/>
                <w:szCs w:val="21"/>
                <w:highlight w:val="white"/>
                <w:lang w:val="en-US" w:eastAsia="zh-CN"/>
              </w:rPr>
              <w:t xml:space="preserve">说明</w:t>
            </w:r>
            <w:r>
              <w:rPr>
                <w:highlight w:val="white"/>
              </w:rPr>
            </w:r>
            <w:r/>
          </w:p>
        </w:tc>
        <w:tc>
          <w:tcPr>
            <w:tcW w:w="5459" w:type="dxa"/>
            <w:vAlign w:val="center"/>
            <w:textDirection w:val="lrTb"/>
            <w:noWrap w:val="false"/>
          </w:tcPr>
          <w:p>
            <w:pPr>
              <w:spacing w:line="360" w:lineRule="auto"/>
              <w:rPr>
                <w:rFonts w:hint="eastAsia" w:ascii="宋体" w:hAnsi="宋体" w:cs="宋体"/>
                <w:sz w:val="21"/>
                <w:szCs w:val="21"/>
                <w:highlight w:val="white"/>
              </w:rPr>
            </w:pPr>
            <w:r>
              <w:rPr>
                <w:rFonts w:hint="eastAsia" w:ascii="宋体" w:hAnsi="宋体" w:cs="宋体"/>
                <w:sz w:val="21"/>
                <w:szCs w:val="21"/>
                <w:highlight w:val="white"/>
                <w:lang w:val="en-US" w:eastAsia="zh-CN"/>
              </w:rPr>
              <w:t xml:space="preserve">1、</w:t>
            </w:r>
            <w:r>
              <w:rPr>
                <w:rFonts w:hint="eastAsia" w:ascii="宋体" w:hAnsi="宋体" w:cs="宋体"/>
                <w:sz w:val="21"/>
                <w:szCs w:val="21"/>
                <w:highlight w:val="white"/>
              </w:rPr>
              <w:t xml:space="preserve">月度考核得分达90分及以上，不扣除当月费用；如总分低于90分（含90分），配送公司要做出书面的整改承诺，并按照每下降一分处以500元扣款（违约金），采购方有权直接从应付未付款项中扣除。。</w:t>
            </w:r>
            <w:r>
              <w:rPr>
                <w:highlight w:val="white"/>
              </w:rPr>
            </w:r>
            <w:r/>
          </w:p>
          <w:p>
            <w:pPr>
              <w:spacing w:line="360" w:lineRule="auto"/>
              <w:rPr>
                <w:rFonts w:ascii="宋体" w:hAnsi="宋体" w:eastAsia="宋体" w:cs="宋体"/>
                <w:sz w:val="21"/>
                <w:szCs w:val="21"/>
                <w:highlight w:val="white"/>
              </w:rPr>
            </w:pPr>
            <w:r>
              <w:rPr>
                <w:rFonts w:hint="eastAsia" w:ascii="宋体" w:hAnsi="宋体" w:cs="宋体"/>
                <w:sz w:val="21"/>
                <w:szCs w:val="21"/>
                <w:highlight w:val="white"/>
                <w:lang w:val="en-US" w:eastAsia="zh-CN"/>
              </w:rPr>
              <w:t xml:space="preserve">2、</w:t>
            </w:r>
            <w:r>
              <w:rPr>
                <w:rFonts w:hint="eastAsia" w:ascii="宋体" w:hAnsi="宋体" w:cs="宋体"/>
                <w:sz w:val="21"/>
                <w:szCs w:val="21"/>
                <w:highlight w:val="white"/>
              </w:rPr>
              <w:t xml:space="preserve">为保证企业正常运作，同时巩固作业质量，如月度考核二次或二次以上低于80分；采购方有权终止合同（或协议），成交方需无条件按采购方要求办理移交、退场手续。</w:t>
            </w:r>
            <w:r>
              <w:rPr>
                <w:highlight w:val="white"/>
              </w:rPr>
            </w:r>
            <w:r/>
          </w:p>
        </w:tc>
      </w:tr>
    </w:tbl>
    <w:p>
      <w:pPr>
        <w:ind w:firstLine="48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项目负责人签字：</w:t>
      </w:r>
      <w:r>
        <w:rPr>
          <w:highlight w:val="white"/>
        </w:rPr>
      </w:r>
      <w:r/>
    </w:p>
    <w:p>
      <w:pPr>
        <w:ind w:firstLine="48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06"/>
        <w:rPr>
          <w:highlight w:val="white"/>
        </w:rPr>
      </w:pPr>
      <w:r>
        <w:rPr>
          <w:rFonts w:ascii="宋体" w:hAnsi="宋体" w:cs="宋体"/>
          <w:sz w:val="24"/>
          <w:highlight w:val="white"/>
        </w:rPr>
        <w:br w:type="page" w:clear="all"/>
      </w:r>
      <w:r>
        <w:rPr>
          <w:highlight w:val="white"/>
        </w:rPr>
      </w:r>
      <w:r/>
    </w:p>
    <w:p>
      <w:pPr>
        <w:ind w:firstLine="482"/>
        <w:spacing w:line="360" w:lineRule="auto"/>
        <w:rPr>
          <w:rFonts w:hint="eastAsia" w:ascii="宋体"/>
          <w:b/>
          <w:sz w:val="24"/>
          <w:highlight w:val="white"/>
        </w:rPr>
      </w:pPr>
      <w:r>
        <w:rPr>
          <w:rFonts w:hint="eastAsia" w:ascii="宋体"/>
          <w:b/>
          <w:sz w:val="24"/>
          <w:highlight w:val="white"/>
        </w:rPr>
        <w:t xml:space="preserve">四、综合说明及其他</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1.本采购文件中的产品若涉及品牌的仅为参考品牌，供各供应商投标时的参考。投标人必须承诺招标文件中提出的全部服务内容与要求，如果其中某些条款不响应时，应在文件中逐条列出，未列出的视同响应。</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2.供应商必须说明其是否响应采购文件中提出的全部服务内容与要求，如果以其中某些条款不响应时，应在文件中逐条列出，未列出的视同响应。</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3、投标人所提供的相关服务应符合根据国家标准和规范，并遵循招标文件的要求，其服务的质量和标准应达到招标要求，并提供详细的服务说明。如其中某些条款不能完全满足时，应在投标文件中逐条列出。</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4、中标人配送的主副食品必须符合国家相关规定的质量指标并可溯源，所供食材保质期不得低于标明的保质期限的1/2。价格必须按照中标</w:t>
      </w:r>
      <w:r>
        <w:rPr>
          <w:rFonts w:hint="eastAsia" w:ascii="宋体" w:hAnsi="宋体" w:cs="宋体"/>
          <w:sz w:val="24"/>
          <w:highlight w:val="white"/>
          <w:lang w:eastAsia="zh-CN"/>
        </w:rPr>
        <w:t xml:space="preserve">下浮率</w:t>
      </w:r>
      <w:r>
        <w:rPr>
          <w:rFonts w:hint="eastAsia" w:ascii="宋体" w:hAnsi="宋体" w:cs="宋体"/>
          <w:sz w:val="24"/>
          <w:highlight w:val="white"/>
        </w:rPr>
        <w:t xml:space="preserve">执行并保持相对稳定，不得以增加其它成本为由抬高价格。</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5、投标文件内容必须真实、准确、有效，如提供虚假材料或对招标文件所要求说明的情况故意隐瞒或虚报，按《中华人民共和国政府采购法》第七十七条的相关办法处理。</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6、采购单位有关部门负责中标单位日常服务工作的监管、协调、考核。</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、中标单位在供货过程中，如出现质量问题或保质期不足的情况，采购人有权拒绝接受所提供的物品或食品。</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、凡涉及招标文件的补充说明和修改，均以苏州市政府采购网上的信息为准。</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bCs/>
          <w:sz w:val="24"/>
          <w:highlight w:val="white"/>
          <w:lang w:val="en-US" w:eastAsia="zh-CN"/>
        </w:rPr>
        <w:t xml:space="preserve">9</w:t>
      </w:r>
      <w:r>
        <w:rPr>
          <w:rFonts w:hint="eastAsia" w:ascii="宋体" w:hAnsi="宋体" w:cs="宋体"/>
          <w:bCs/>
          <w:sz w:val="24"/>
          <w:highlight w:val="white"/>
        </w:rPr>
        <w:t xml:space="preserve">、预付款及付款步骤</w:t>
      </w:r>
      <w:r>
        <w:rPr>
          <w:highlight w:val="white"/>
        </w:rPr>
      </w:r>
      <w:r/>
    </w:p>
    <w:p>
      <w:pPr>
        <w:ind w:firstLine="480"/>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支付合同金额10%的预付款。在签订合同时，乙方明确表示无需预付款或者主动要求降低预付款比例的，甲方可不适用上述关于预付款的规定。甲方根据乙方当月实际配送种类、数量及价格结算货款。货款每个月结算一次，并于次月20日前结清（若遇节假日顺延至节假日后第一个工作日）；乙方需在双方核对货款金额无误后提前向甲方提供由其出具的符合甲方要求的国家正式税务发票，甲方以转账方式将货款转入乙方指定的帐户，不得将货款交给其他人员。</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10.1根据现行税法对采购方征收的与本项目采购合同有关的一切税费均由采购方承担；根据现行税法对成交单位征收的与本项目采购合同有关的一切税费均由成交单位承担。</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10.2支付方式：以采购方实际支付方式为准。付款前，成交单位须先向采购方提供的凭据，以采购方具体要求为准。</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11、成交单位将根据磋商文件、响应文件的相关约定，承担合同责任，履行合同义务。成交单位在服务中如达不到其当时在响应文件内所承诺的服务，采购方有权单方面解除合同。</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12、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13、质量与验收</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13.1成交单位应按照磋商文件的要求提供合格的服务；</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13.2验收标准：完全符合现行国家规范，地方、行业标准及采购方要求，以验收通过为准。</w:t>
      </w:r>
      <w:r>
        <w:rPr>
          <w:highlight w:val="white"/>
        </w:rPr>
      </w:r>
      <w:r/>
    </w:p>
    <w:p>
      <w:pPr>
        <w:ind w:firstLine="482"/>
        <w:spacing w:line="360" w:lineRule="auto"/>
        <w:rPr>
          <w:rFonts w:hint="eastAsia" w:ascii="宋体"/>
          <w:sz w:val="24"/>
          <w:highlight w:val="white"/>
        </w:rPr>
      </w:pPr>
      <w:r>
        <w:rPr>
          <w:rFonts w:hint="eastAsia" w:ascii="宋体"/>
          <w:sz w:val="24"/>
          <w:highlight w:val="white"/>
        </w:rPr>
        <w:t xml:space="preserve">14、成交单位必须在全部服务完成并验收合格后十五日历天内，提交结算报告，逾期提交或者提交资料不全，</w:t>
      </w:r>
      <w:r>
        <w:rPr>
          <w:rFonts w:hint="eastAsia" w:ascii="宋体" w:hAnsi="宋体" w:cs="宋体"/>
          <w:color w:val="000000"/>
          <w:sz w:val="24"/>
          <w:highlight w:val="white"/>
        </w:rPr>
        <w:t xml:space="preserve">采购单位</w:t>
      </w:r>
      <w:r>
        <w:rPr>
          <w:rFonts w:hint="eastAsia" w:ascii="宋体"/>
          <w:sz w:val="24"/>
          <w:highlight w:val="white"/>
        </w:rPr>
        <w:t xml:space="preserve">有权拒绝接受，并按照相关审计机关或第三方审计单位确认的结算价格作为最终结算价格。</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15、服务地点：采购单位指定地点。</w:t>
      </w:r>
      <w:r>
        <w:rPr>
          <w:highlight w:val="white"/>
        </w:rPr>
      </w:r>
      <w:r/>
    </w:p>
    <w:p>
      <w:pPr>
        <w:ind w:firstLine="480"/>
        <w:jc w:val="left"/>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五、政府采购政策：</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1、中、小企业：根据《关于印发&lt;苏州市政府采购促进中小企业发展实施意见&gt;的通知》（苏财购[2022]16号）规定：</w:t>
      </w:r>
      <w:r>
        <w:rPr>
          <w:highlight w:val="white"/>
        </w:rPr>
      </w:r>
      <w:r/>
    </w:p>
    <w:p>
      <w:pPr>
        <w:ind w:firstLine="480"/>
        <w:jc w:val="left"/>
        <w:spacing w:line="360" w:lineRule="auto"/>
        <w:rPr>
          <w:rFonts w:hint="eastAsia" w:ascii="宋体" w:hAnsi="宋体" w:cs="宋体"/>
          <w:b/>
          <w:bCs/>
          <w:color w:val="000000"/>
          <w:sz w:val="24"/>
          <w:highlight w:val="white"/>
          <w:u w:val="single"/>
        </w:rPr>
      </w:pPr>
      <w:r>
        <w:rPr>
          <w:rFonts w:hint="eastAsia" w:ascii="宋体" w:hAnsi="宋体" w:cs="宋体"/>
          <w:b/>
          <w:bCs/>
          <w:color w:val="000000"/>
          <w:sz w:val="24"/>
          <w:highlight w:val="white"/>
          <w:u w:val="single"/>
        </w:rPr>
        <w:t xml:space="preserve">1.1本项目属于专门面向中小企业采购。</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1.3本项目采购标的对应的中小企业划分标准所属行业为：</w:t>
      </w:r>
      <w:r>
        <w:rPr>
          <w:rFonts w:hint="eastAsia" w:ascii="宋体" w:hAnsi="宋体" w:cs="宋体"/>
          <w:color w:val="000000"/>
          <w:sz w:val="24"/>
          <w:highlight w:val="white"/>
          <w:lang w:eastAsia="zh-CN"/>
        </w:rPr>
        <w:t xml:space="preserve">批发业</w:t>
      </w:r>
      <w:r>
        <w:rPr>
          <w:rFonts w:hint="eastAsia" w:ascii="宋体" w:hAnsi="宋体" w:cs="宋体"/>
          <w:color w:val="000000"/>
          <w:sz w:val="24"/>
          <w:highlight w:val="white"/>
        </w:rPr>
        <w:t xml:space="preserve">。</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1.4中小企业参加政府采购活动，应当出具《关于印发&lt;苏州市政府采购促进中小企业发展实施意见&gt;的通知》（苏财购[2022]16号）规定的《中小企业声明函》，否则不得享受相关中小企业扶持政策。</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1.5本项目中，供应商提供的服务由中小企业承接，即提供服务的人员为中小企业依照《中华人民共和国劳动合同法》订立劳动合同的从业人员，才可享受规定的中小企业扶持政策。</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1.6若供应商提供的《中小企业声明函》为虚假声明则视同提供虚假材料，按政府采购相关规定处理并报请政府监管部门给予行政处罚。</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5、若供应商提供的《中小企业声明函》、《残疾人福利性单位声明函》及监狱企业认定证明等材料为虚假材料，按《政府采购法》相关规定处理并报请政府采购监管部门给予行政处罚。</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实施本国产品标准及相关政策</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本项目政府采购活动中既有本国产品又有非本国产品参与竞争的，依法对本国产品给予价格评审优惠，对本国产品的报价给予20%的价格扣除，用扣除后的价格参与评审。</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供应商需按照招标文件的要求提供《关于符合本国产品标准的声明函》（以下简称《声明函》）或财政部会同有关部门规定的有关证明文件的，如不提供或提供不符要求的将不享受本国产品价格评审优惠。</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六、关于对参与供应商信用记录的政府采购要求</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1、采购代理机构会在接收响应文件截止时间后，登录信用中国网站（www.creditchina.gov.cn/）和中国政府采购网（www.ccgp.gov.cn/）查询供应商的信用记录，并将查询结果递交评审小组。</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（一）政府采购严重违法记录，即供应商被全国各级财政部门列入“政府采购严重违法失信行为记录名单”，且在处罚有效期内的。</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（二）财政部门与法院、工商、税务等部门联合惩戒的失信信息，包括：</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（1）被列入失信被执行人名单；</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（2）被列入重大税收违法案件当事人名单；</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2.2供应商若在经营活动中受到罚款的，请携带相关地方、部门对较大数额认定标准的证明材料，与响应文件一并提交。若无法提供，则可能承担响应无效等相应不利后果。</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2.3对存在失信信息的供应商，由失信供应商进行确认。同时，采购代理机构工作人员应根据评审小组确认的失信信息，登陆到相关来源网站页面进行复核并打印，作为证据留存。</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七、行业属性：</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cs="宋体"/>
          <w:color w:val="000000"/>
          <w:sz w:val="24"/>
          <w:highlight w:val="white"/>
          <w:lang w:eastAsia="zh-CN"/>
        </w:rPr>
        <w:t xml:space="preserve">批发业</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八、凡涉及采购文件的补充说明和修改，均以苏州政府采购网发布的文件为准。</w:t>
      </w:r>
      <w:r>
        <w:rPr>
          <w:highlight w:val="white"/>
        </w:rPr>
      </w:r>
      <w:r/>
    </w:p>
    <w:p>
      <w:pPr>
        <w:ind w:firstLine="480"/>
        <w:jc w:val="center"/>
        <w:spacing w:line="360" w:lineRule="auto"/>
        <w:rPr>
          <w:rFonts w:hint="eastAsia" w:ascii="黑体" w:hAnsi="宋体" w:eastAsia="黑体"/>
          <w:color w:val="000000" w:themeColor="text1"/>
          <w:sz w:val="52"/>
          <w:highlight w:val="white"/>
          <w14:textFill>
            <w14:solidFill>
              <w14:schemeClr w14:val="tx1"/>
            </w14:solidFill>
          </w14:textFill>
        </w:rPr>
      </w:pPr>
      <w:r>
        <w:rPr>
          <w:color w:val="000000" w:themeColor="text1"/>
          <w:sz w:val="24"/>
          <w:highlight w:val="white"/>
          <w14:textFill>
            <w14:solidFill>
              <w14:schemeClr w14:val="tx1"/>
            </w14:solidFill>
          </w14:textFill>
        </w:rPr>
        <w:br w:type="page" w:clear="all"/>
      </w:r>
      <w:bookmarkStart w:id="18" w:name="_Toc474491766"/>
      <w:r>
        <w:rPr>
          <w:highlight w:val="white"/>
        </w:rPr>
      </w:r>
      <w:bookmarkStart w:id="19" w:name="_Toc14138"/>
      <w:r>
        <w:rPr>
          <w:rFonts w:hint="eastAsia" w:ascii="黑体" w:hAnsi="宋体" w:eastAsia="黑体"/>
          <w:color w:val="000000" w:themeColor="text1"/>
          <w:sz w:val="52"/>
          <w:highlight w:val="white"/>
          <w14:textFill>
            <w14:solidFill>
              <w14:schemeClr w14:val="tx1"/>
            </w14:solidFill>
          </w14:textFill>
        </w:rPr>
        <w:t xml:space="preserve">第四章  合同主要条款</w:t>
      </w:r>
      <w:bookmarkEnd w:id="18"/>
      <w:r>
        <w:rPr>
          <w:highlight w:val="white"/>
        </w:rPr>
      </w:r>
      <w:bookmarkEnd w:id="19"/>
      <w:r>
        <w:rPr>
          <w:highlight w:val="white"/>
        </w:rPr>
      </w:r>
      <w:r/>
    </w:p>
    <w:tbl>
      <w:tblPr>
        <w:tblStyle w:val="913"/>
        <w:tblW w:w="9673" w:type="dxa"/>
        <w:jc w:val="center"/>
        <w:tblLayout w:type="fixed"/>
        <w:tblCellMar>
          <w:left w:w="108" w:type="dxa"/>
          <w:top w:w="0" w:type="dxa"/>
          <w:right w:w="108" w:type="dxa"/>
          <w:bottom w:w="0" w:type="dxa"/>
        </w:tblCellMar>
        <w:tblLook w:val="04A0" w:firstRow="1" w:lastRow="0" w:firstColumn="1" w:lastColumn="0" w:noHBand="0" w:noVBand="1"/>
      </w:tblPr>
      <w:tblGrid>
        <w:gridCol w:w="6539"/>
        <w:gridCol w:w="3134"/>
      </w:tblGrid>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jc w:val="left"/>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甲方（采购人）：</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jc w:val="left"/>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单位地址：</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联系人：</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联系电话：</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乙方（供应商）：</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单位地址：</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联系人：</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6539" w:type="dxa"/>
            <w:vAlign w:val="center"/>
            <w:textDirection w:val="lrTb"/>
            <w:noWrap w:val="false"/>
          </w:tcPr>
          <w:p>
            <w:pPr>
              <w:ind w:firstLine="480"/>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t xml:space="preserve">联系电话：</w:t>
            </w:r>
            <w:r>
              <w:rPr>
                <w:highlight w:val="white"/>
              </w:rPr>
            </w:r>
            <w:r/>
          </w:p>
        </w:tc>
        <w:tc>
          <w:tcPr>
            <w:tcBorders>
              <w:top w:val="none" w:color="000000" w:sz="4" w:space="0"/>
              <w:left w:val="none" w:color="000000" w:sz="4" w:space="0"/>
              <w:bottom w:val="none" w:color="000000" w:sz="4" w:space="0"/>
              <w:right w:val="none" w:color="000000" w:sz="4" w:space="0"/>
            </w:tcBorders>
            <w:tcW w:w="3134" w:type="dxa"/>
            <w:vAlign w:val="center"/>
            <w:textDirection w:val="lrTb"/>
            <w:noWrap w:val="false"/>
          </w:tcPr>
          <w:p>
            <w:pPr>
              <w:spacing w:line="360" w:lineRule="auto"/>
              <w:rPr>
                <w:rFonts w:hint="eastAsia" w:ascii="宋体" w:hAnsi="宋体" w:cs="方正仿宋_GB2312"/>
                <w:color w:val="000000" w:themeColor="text1"/>
                <w:sz w:val="24"/>
                <w:highlight w:val="white"/>
                <w14:textFill>
                  <w14:solidFill>
                    <w14:schemeClr w14:val="tx1"/>
                  </w14:solidFill>
                </w14:textFill>
              </w:rPr>
            </w:pPr>
            <w:r>
              <w:rPr>
                <w:rFonts w:hint="eastAsia" w:ascii="宋体" w:hAnsi="宋体" w:cs="方正仿宋_GB2312"/>
                <w:color w:val="000000" w:themeColor="text1"/>
                <w:sz w:val="24"/>
                <w:highlight w:val="white"/>
                <w14:textFill>
                  <w14:solidFill>
                    <w14:schemeClr w14:val="tx1"/>
                  </w14:solidFill>
                </w14:textFill>
              </w:rPr>
            </w:r>
            <w:r>
              <w:rPr>
                <w:highlight w:val="white"/>
              </w:rPr>
            </w:r>
            <w:r/>
          </w:p>
        </w:tc>
      </w:tr>
    </w:tbl>
    <w:p>
      <w:pPr>
        <w:ind w:firstLine="480"/>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p>
      <w:pPr>
        <w:ind w:firstLine="480"/>
        <w:spacing w:line="360" w:lineRule="auto"/>
        <w:rPr>
          <w:rFonts w:hint="eastAsia" w:ascii="宋体" w:hAnsi="宋体" w:cs="宋体"/>
          <w:sz w:val="24"/>
          <w:highlight w:val="white"/>
        </w:rPr>
      </w:pPr>
      <w:r>
        <w:rPr>
          <w:highlight w:val="white"/>
        </w:rPr>
      </w:r>
      <w:bookmarkStart w:id="20" w:name="_Toc474491767"/>
      <w:r>
        <w:rPr>
          <w:rFonts w:hint="eastAsia" w:ascii="宋体" w:hAnsi="宋体" w:cs="宋体"/>
          <w:sz w:val="24"/>
          <w:highlight w:val="white"/>
        </w:rPr>
        <w:t xml:space="preserve">根据</w:t>
      </w:r>
      <w:r>
        <w:rPr>
          <w:rFonts w:hint="eastAsia" w:ascii="宋体" w:hAnsi="宋体" w:cs="宋体"/>
          <w:sz w:val="24"/>
          <w:highlight w:val="white"/>
          <w:lang w:eastAsia="zh-CN"/>
        </w:rPr>
        <w:t xml:space="preserve">苏州市吴中区人民政府太湖街道办事处</w:t>
      </w:r>
      <w:r>
        <w:rPr>
          <w:rFonts w:hint="eastAsia" w:ascii="宋体" w:hAnsi="宋体" w:cs="宋体"/>
          <w:sz w:val="24"/>
          <w:highlight w:val="white"/>
        </w:rPr>
        <w:t xml:space="preserve">的</w:t>
      </w:r>
      <w:r>
        <w:rPr>
          <w:rFonts w:hint="eastAsia" w:ascii="宋体" w:hAnsi="宋体" w:cs="宋体"/>
          <w:sz w:val="24"/>
          <w:highlight w:val="white"/>
          <w:lang w:eastAsia="zh-CN"/>
        </w:rPr>
        <w:t xml:space="preserve">2026-2027年太湖新城社会联勤联防食堂食材配送项目</w:t>
      </w:r>
      <w:r>
        <w:rPr>
          <w:rFonts w:hint="eastAsia" w:ascii="宋体" w:hAnsi="宋体" w:cs="宋体"/>
          <w:sz w:val="24"/>
          <w:highlight w:val="white"/>
        </w:rPr>
        <w:t xml:space="preserve">采购竞争性磋商文件（编号：</w:t>
      </w:r>
      <w:r>
        <w:rPr>
          <w:rFonts w:hint="eastAsia" w:ascii="宋体" w:hAnsi="宋体"/>
          <w:color w:val="000000"/>
          <w:sz w:val="24"/>
          <w:highlight w:val="white"/>
          <w:lang w:eastAsia="zh-CN"/>
        </w:rPr>
        <w:t xml:space="preserve">JSZC-320506006-ZHCD-C2026-0015</w:t>
      </w:r>
      <w:r>
        <w:rPr>
          <w:rFonts w:hint="eastAsia" w:ascii="宋体" w:hAnsi="宋体" w:cs="宋体"/>
          <w:sz w:val="24"/>
          <w:highlight w:val="white"/>
        </w:rPr>
        <w:t xml:space="preserve">）、该项目的《成交通知书》、《中华人民共和国民法典》有关规定，为明确采购单位和供应商（服务单位）服务过程中的权利、义务和经济责任，经双方友好协商，签订以下条款，以兹共同遵守。</w:t>
      </w:r>
      <w:r>
        <w:rPr>
          <w:highlight w:val="white"/>
        </w:rPr>
      </w:r>
      <w:r/>
    </w:p>
    <w:p>
      <w:pPr>
        <w:ind w:firstLine="482"/>
        <w:spacing w:line="360" w:lineRule="auto"/>
        <w:rPr>
          <w:rFonts w:ascii="宋体" w:hAnsi="宋体" w:cs="宋体"/>
          <w:sz w:val="24"/>
          <w:highlight w:val="white"/>
        </w:rPr>
      </w:pPr>
      <w:r>
        <w:rPr>
          <w:rFonts w:hint="eastAsia" w:ascii="宋体" w:hAnsi="宋体" w:cs="宋体"/>
          <w:b/>
          <w:bCs/>
          <w:sz w:val="24"/>
          <w:highlight w:val="white"/>
        </w:rPr>
        <w:t xml:space="preserve">一、合同价格及付款步骤：</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合同暂定金额</w:t>
      </w:r>
      <w:r>
        <w:rPr>
          <w:rFonts w:hint="eastAsia" w:ascii="宋体" w:hAnsi="宋体" w:cs="宋体"/>
          <w:sz w:val="24"/>
          <w:highlight w:val="white"/>
          <w:u w:val="single"/>
          <w:lang w:val="en-US" w:eastAsia="zh-CN"/>
        </w:rPr>
        <w:t xml:space="preserve">          </w:t>
      </w:r>
      <w:r>
        <w:rPr>
          <w:rFonts w:hint="eastAsia" w:ascii="宋体" w:hAnsi="宋体" w:cs="宋体"/>
          <w:sz w:val="24"/>
          <w:highlight w:val="white"/>
          <w:u w:val="none"/>
          <w:lang w:val="en-US" w:eastAsia="zh-CN"/>
        </w:rPr>
        <w:t xml:space="preserve">元，</w:t>
      </w:r>
      <w:r>
        <w:rPr>
          <w:rFonts w:hint="eastAsia" w:ascii="宋体" w:hAnsi="宋体" w:cs="宋体"/>
          <w:sz w:val="24"/>
          <w:highlight w:val="white"/>
          <w:lang w:val="en-US" w:eastAsia="zh-CN"/>
        </w:rPr>
        <w:t xml:space="preserve">成交</w:t>
      </w:r>
      <w:r>
        <w:rPr>
          <w:rFonts w:hint="eastAsia" w:ascii="宋体" w:hAnsi="宋体" w:cs="宋体"/>
          <w:sz w:val="24"/>
          <w:highlight w:val="white"/>
        </w:rPr>
        <w:t xml:space="preserve">下浮率</w:t>
      </w:r>
      <w:r>
        <w:rPr>
          <w:rFonts w:hint="eastAsia" w:ascii="宋体" w:hAnsi="宋体" w:cs="宋体"/>
          <w:sz w:val="24"/>
          <w:highlight w:val="white"/>
          <w:u w:val="single"/>
        </w:rPr>
        <w:t xml:space="preserve">        </w:t>
      </w:r>
      <w:r>
        <w:rPr>
          <w:rFonts w:hint="eastAsia" w:ascii="宋体" w:hAnsi="宋体" w:cs="宋体"/>
          <w:sz w:val="24"/>
          <w:highlight w:val="white"/>
        </w:rPr>
        <w:t xml:space="preserve">%，费用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w:t>
      </w:r>
      <w:r>
        <w:rPr>
          <w:rFonts w:hint="eastAsia" w:ascii="宋体" w:hAnsi="宋体" w:cs="宋体"/>
          <w:bCs/>
          <w:sz w:val="24"/>
          <w:highlight w:val="white"/>
        </w:rPr>
        <w:t xml:space="preserve">合同签订后，支付合同金额10%的预付款。在签订合同时，乙方明确表示无需预付款或者主动要求降低预付款比例的，甲方可不适用上述关于预付款的规定。</w:t>
      </w:r>
      <w:r>
        <w:rPr>
          <w:rFonts w:hint="eastAsia" w:ascii="宋体" w:hAnsi="宋体" w:cs="宋体"/>
          <w:sz w:val="24"/>
          <w:highlight w:val="white"/>
        </w:rPr>
        <w:t xml:space="preserve">甲方根据乙方当月实际配送种类、数量及价格结算货款。货款每个月结算一次，并于次月20日前结清（若遇节假日顺延至节假日后第一个工作日）；乙方需在双方核对货款金额无误后提前向甲方提供由其出具的符合甲方要求的国家正式税务发票，甲方以转账方式将货款转入乙方指定的帐户，不得将货款交给其他人员。</w:t>
      </w:r>
      <w:r>
        <w:rPr>
          <w:highlight w:val="white"/>
        </w:rPr>
      </w:r>
      <w:r/>
    </w:p>
    <w:p>
      <w:pPr>
        <w:ind w:firstLine="482"/>
        <w:jc w:val="left"/>
        <w:spacing w:line="360" w:lineRule="auto"/>
        <w:rPr>
          <w:rFonts w:ascii="宋体" w:hAnsi="宋体" w:cs="宋体"/>
          <w:sz w:val="24"/>
          <w:highlight w:val="white"/>
        </w:rPr>
      </w:pPr>
      <w:r>
        <w:rPr>
          <w:rFonts w:hint="eastAsia" w:ascii="宋体" w:hAnsi="宋体" w:cs="宋体"/>
          <w:b/>
          <w:bCs/>
          <w:sz w:val="24"/>
          <w:highlight w:val="white"/>
        </w:rPr>
        <w:t xml:space="preserve">二、服务地点</w:t>
      </w:r>
      <w:r>
        <w:rPr>
          <w:rFonts w:hint="eastAsia" w:ascii="宋体" w:hAnsi="宋体" w:cs="宋体"/>
          <w:sz w:val="24"/>
          <w:highlight w:val="white"/>
        </w:rPr>
        <w:t xml:space="preserve">：</w:t>
      </w:r>
      <w:r>
        <w:rPr>
          <w:rFonts w:hint="eastAsia" w:ascii="宋体" w:hAnsi="宋体" w:cs="宋体"/>
          <w:sz w:val="24"/>
          <w:highlight w:val="white"/>
          <w:lang w:eastAsia="zh-CN"/>
        </w:rPr>
        <w:t xml:space="preserve">太湖新城社会联勤联防食堂</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lang w:val="zh-CN"/>
        </w:rPr>
        <w:t xml:space="preserve">项目名称：</w:t>
      </w:r>
      <w:r>
        <w:rPr>
          <w:rFonts w:hint="eastAsia" w:ascii="宋体" w:hAnsi="宋体" w:cs="宋体"/>
          <w:sz w:val="24"/>
          <w:highlight w:val="white"/>
          <w:lang w:val="zh-CN"/>
        </w:rPr>
        <w:t xml:space="preserve">202</w:t>
      </w:r>
      <w:r>
        <w:rPr>
          <w:rFonts w:hint="eastAsia" w:ascii="宋体" w:hAnsi="宋体" w:cs="宋体"/>
          <w:sz w:val="24"/>
          <w:highlight w:val="white"/>
          <w:lang w:val="en-US" w:eastAsia="zh-CN"/>
        </w:rPr>
        <w:t xml:space="preserve">6</w:t>
      </w:r>
      <w:r>
        <w:rPr>
          <w:rFonts w:hint="eastAsia" w:ascii="宋体" w:hAnsi="宋体" w:cs="宋体"/>
          <w:sz w:val="24"/>
          <w:highlight w:val="white"/>
          <w:lang w:val="zh-CN"/>
        </w:rPr>
        <w:t xml:space="preserve">-202</w:t>
      </w:r>
      <w:r>
        <w:rPr>
          <w:rFonts w:hint="eastAsia" w:ascii="宋体" w:hAnsi="宋体" w:cs="宋体"/>
          <w:sz w:val="24"/>
          <w:highlight w:val="white"/>
          <w:lang w:val="en-US" w:eastAsia="zh-CN"/>
        </w:rPr>
        <w:t xml:space="preserve">7</w:t>
      </w:r>
      <w:r>
        <w:rPr>
          <w:rFonts w:hint="eastAsia" w:ascii="宋体" w:hAnsi="宋体" w:cs="宋体"/>
          <w:sz w:val="24"/>
          <w:highlight w:val="white"/>
          <w:lang w:val="zh-CN"/>
        </w:rPr>
        <w:t xml:space="preserve">年太湖新城社会联勤联防食堂食材配送项目</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lang w:val="zh-CN"/>
        </w:rPr>
        <w:t xml:space="preserve">服务期限：</w:t>
      </w:r>
      <w:r>
        <w:rPr>
          <w:rFonts w:hint="eastAsia" w:ascii="宋体" w:hAnsi="宋体" w:cs="宋体"/>
          <w:sz w:val="24"/>
          <w:highlight w:val="white"/>
        </w:rPr>
        <w:t xml:space="preserve">壹年</w:t>
      </w:r>
      <w:r>
        <w:rPr>
          <w:rFonts w:hint="eastAsia" w:ascii="宋体" w:hAnsi="宋体" w:cs="宋体"/>
          <w:sz w:val="24"/>
          <w:highlight w:val="white"/>
          <w:lang w:eastAsia="zh-CN"/>
        </w:rPr>
        <w:t xml:space="preserve">（</w:t>
      </w:r>
      <w:r>
        <w:rPr>
          <w:rFonts w:hint="eastAsia" w:ascii="宋体" w:hAnsi="宋体" w:cs="宋体"/>
          <w:sz w:val="24"/>
          <w:highlight w:val="white"/>
          <w:u w:val="single"/>
          <w:lang w:val="en-US" w:eastAsia="zh-CN"/>
        </w:rPr>
        <w:t xml:space="preserve">     </w:t>
      </w:r>
      <w:r>
        <w:rPr>
          <w:rFonts w:hint="eastAsia" w:ascii="宋体" w:hAnsi="宋体" w:cs="宋体"/>
          <w:sz w:val="24"/>
          <w:highlight w:val="white"/>
          <w:lang w:val="en-US" w:eastAsia="zh-CN"/>
        </w:rPr>
        <w:t xml:space="preserve">年</w:t>
      </w:r>
      <w:r>
        <w:rPr>
          <w:rFonts w:hint="eastAsia" w:ascii="宋体" w:hAnsi="宋体" w:cs="宋体"/>
          <w:sz w:val="24"/>
          <w:highlight w:val="white"/>
          <w:u w:val="single"/>
          <w:lang w:val="en-US" w:eastAsia="zh-CN"/>
        </w:rPr>
        <w:t xml:space="preserve">     </w:t>
      </w:r>
      <w:r>
        <w:rPr>
          <w:rFonts w:hint="eastAsia" w:ascii="宋体" w:hAnsi="宋体" w:cs="宋体"/>
          <w:sz w:val="24"/>
          <w:highlight w:val="white"/>
          <w:lang w:val="en-US" w:eastAsia="zh-CN"/>
        </w:rPr>
        <w:t xml:space="preserve">月</w:t>
      </w:r>
      <w:r>
        <w:rPr>
          <w:rFonts w:hint="eastAsia" w:ascii="宋体" w:hAnsi="宋体" w:cs="宋体"/>
          <w:sz w:val="24"/>
          <w:highlight w:val="white"/>
          <w:u w:val="single"/>
          <w:lang w:val="en-US" w:eastAsia="zh-CN"/>
        </w:rPr>
        <w:t xml:space="preserve">     </w:t>
      </w:r>
      <w:r>
        <w:rPr>
          <w:rFonts w:hint="eastAsia" w:ascii="宋体" w:hAnsi="宋体" w:cs="宋体"/>
          <w:sz w:val="24"/>
          <w:highlight w:val="white"/>
          <w:lang w:val="en-US" w:eastAsia="zh-CN"/>
        </w:rPr>
        <w:t xml:space="preserve">日  至</w:t>
      </w:r>
      <w:r>
        <w:rPr>
          <w:rFonts w:hint="eastAsia" w:ascii="宋体" w:hAnsi="宋体" w:cs="宋体"/>
          <w:sz w:val="24"/>
          <w:highlight w:val="white"/>
          <w:u w:val="single"/>
          <w:lang w:val="en-US" w:eastAsia="zh-CN"/>
        </w:rPr>
        <w:t xml:space="preserve">     </w:t>
      </w:r>
      <w:r>
        <w:rPr>
          <w:rFonts w:hint="eastAsia" w:ascii="宋体" w:hAnsi="宋体" w:cs="宋体"/>
          <w:sz w:val="24"/>
          <w:highlight w:val="white"/>
          <w:lang w:val="en-US" w:eastAsia="zh-CN"/>
        </w:rPr>
        <w:t xml:space="preserve">年</w:t>
      </w:r>
      <w:r>
        <w:rPr>
          <w:rFonts w:hint="eastAsia" w:ascii="宋体" w:hAnsi="宋体" w:cs="宋体"/>
          <w:sz w:val="24"/>
          <w:highlight w:val="white"/>
          <w:u w:val="single"/>
          <w:lang w:val="en-US" w:eastAsia="zh-CN"/>
        </w:rPr>
        <w:t xml:space="preserve">     </w:t>
      </w:r>
      <w:r>
        <w:rPr>
          <w:rFonts w:hint="eastAsia" w:ascii="宋体" w:hAnsi="宋体" w:cs="宋体"/>
          <w:sz w:val="24"/>
          <w:highlight w:val="white"/>
          <w:lang w:val="en-US" w:eastAsia="zh-CN"/>
        </w:rPr>
        <w:t xml:space="preserve">月</w:t>
      </w:r>
      <w:r>
        <w:rPr>
          <w:rFonts w:hint="eastAsia" w:ascii="宋体" w:hAnsi="宋体" w:cs="宋体"/>
          <w:sz w:val="24"/>
          <w:highlight w:val="white"/>
          <w:u w:val="single"/>
          <w:lang w:val="en-US" w:eastAsia="zh-CN"/>
        </w:rPr>
        <w:t xml:space="preserve">     </w:t>
      </w:r>
      <w:r>
        <w:rPr>
          <w:rFonts w:hint="eastAsia" w:ascii="宋体" w:hAnsi="宋体" w:cs="宋体"/>
          <w:sz w:val="24"/>
          <w:highlight w:val="white"/>
          <w:lang w:val="en-US" w:eastAsia="zh-CN"/>
        </w:rPr>
        <w:t xml:space="preserve">日</w:t>
      </w:r>
      <w:r>
        <w:rPr>
          <w:rFonts w:hint="eastAsia" w:ascii="宋体" w:hAnsi="宋体" w:cs="宋体"/>
          <w:sz w:val="24"/>
          <w:highlight w:val="white"/>
          <w:lang w:eastAsia="zh-CN"/>
        </w:rPr>
        <w:t xml:space="preserve">）。</w:t>
      </w:r>
      <w:r>
        <w:rPr>
          <w:highlight w:val="white"/>
        </w:rPr>
      </w:r>
      <w:r/>
    </w:p>
    <w:p>
      <w:pPr>
        <w:ind w:firstLine="482"/>
        <w:spacing w:line="360" w:lineRule="auto"/>
        <w:rPr>
          <w:rFonts w:ascii="宋体" w:hAnsi="宋体" w:cs="宋体"/>
          <w:b/>
          <w:bCs/>
          <w:sz w:val="24"/>
          <w:highlight w:val="white"/>
        </w:rPr>
      </w:pPr>
      <w:r>
        <w:rPr>
          <w:rFonts w:hint="eastAsia" w:ascii="宋体" w:hAnsi="宋体" w:cs="宋体"/>
          <w:b/>
          <w:bCs/>
          <w:sz w:val="24"/>
          <w:highlight w:val="white"/>
        </w:rPr>
        <w:t xml:space="preserve">三、下列文件为本合同不可分割部分：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（1）中标通知书；</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（2）乙方的投标文件；</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（3）乙方在投标过程中所作的其它承诺、声明、书面澄清等；</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（4）招标文件及其附件；</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（5）合同附件；</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以上与本合同具有同等法律效力。</w:t>
      </w:r>
      <w:r>
        <w:rPr>
          <w:highlight w:val="white"/>
        </w:rPr>
      </w:r>
      <w:r/>
    </w:p>
    <w:p>
      <w:pPr>
        <w:ind w:firstLine="482"/>
        <w:spacing w:line="360" w:lineRule="auto"/>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 xml:space="preserve">四、</w:t>
      </w:r>
      <w:r>
        <w:rPr>
          <w:rFonts w:hint="eastAsia" w:ascii="宋体" w:hAnsi="宋体" w:eastAsia="宋体" w:cs="宋体"/>
          <w:b/>
          <w:bCs/>
          <w:sz w:val="24"/>
          <w:highlight w:val="white"/>
        </w:rPr>
        <w:t xml:space="preserve">原材料要求：</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（一）主要原材料质量标准：</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1、大米配送标准：新大米（国标一级），必须符合国家最新标准，并拥有“SC食品生产许可证”。</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2、面粉配送标准：面粉级别为特一级，必须符合国家最新标准，并拥有“SC食品生产许可证”。</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3、食用油配送标准：非转基因食用油，每桶5升左右，必须符合国家食用植物油卫生标准，并具有“SC食品生产许可证”。</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4、猪肉配送标准：使用冷鲜肉品牌产品，猪肉质量必须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5、家禽冻品（鸡腿、鸡翅等）质量要求：配送单位须提供产品合格证明文件，动物产品提供《动物或动物产品分销信息凭证》或《动物检疫合格证》。</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6、豆制品质量要求：发酵性豆制品必须符合国家最新标准，非发酵豆制品必须符合GBT22106-2008标准、GB2711-2003非发酵性豆制品及面筋卫生标准，对豆制品的有关安全健康指标符合国家最新规定。</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7、水产品质量要求：</w:t>
      </w:r>
      <w:r>
        <w:rPr>
          <w:rFonts w:hint="eastAsia" w:ascii="宋体" w:hAnsi="宋体" w:cs="宋体"/>
          <w:bCs/>
          <w:highlight w:val="white"/>
        </w:rPr>
        <w:t xml:space="preserve">必须符合国家最新标准。</w:t>
      </w:r>
      <w:r>
        <w:rPr>
          <w:rFonts w:hint="eastAsia" w:ascii="宋体" w:hAnsi="宋体" w:cs="宋体"/>
          <w:bCs/>
          <w:highlight w:val="white"/>
        </w:rPr>
        <w:t xml:space="preserve">产品的感观、安全、卫生、稳定性等指标符合相关规定。</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8、无公害蔬菜质量要求：必须符合国家农产品安全质量无公害蔬菜安全要求，对蔬菜中有害物质严格控制在标准规定范围之内。</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9、调味品质量要求：食用盐、酱油、味精、生粉（淀粉制品）、食糖、食醋、酿造食醋等都必须符合国家最新标准。</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10、食品添加剂质量要求：食品添加剂应符合相应的食品安全标准，添加剂的使用必须符合国家最新标准，对食品的添加量严格控制在标准规定范围之内。</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11、鲜蛋质量要求：鸡蛋等新鲜蛋类必须符合国家最新标准。</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12、水果质量要求：必须符合农产品安全质量无公害蔬菜安全要求，对蔬菜中有害物质严格控制在标准规定范围之内。</w:t>
      </w:r>
      <w:r>
        <w:rPr>
          <w:highlight w:val="white"/>
        </w:rPr>
      </w:r>
      <w:r/>
    </w:p>
    <w:p>
      <w:pPr>
        <w:pStyle w:val="1093"/>
        <w:spacing w:line="360" w:lineRule="auto"/>
        <w:rPr>
          <w:rFonts w:hint="eastAsia" w:ascii="宋体" w:hAnsi="宋体" w:cs="宋体"/>
          <w:bCs/>
          <w:highlight w:val="white"/>
        </w:rPr>
      </w:pPr>
      <w:r>
        <w:rPr>
          <w:rFonts w:hint="eastAsia" w:ascii="宋体" w:hAnsi="宋体" w:cs="宋体"/>
          <w:bCs/>
          <w:highlight w:val="white"/>
        </w:rPr>
        <w:t xml:space="preserve">13、奶制品:食材包装及外观干净、整洁，生产日期、保质期、贮藏条件标识清晰，须在保质期内:符合国家标准。</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（二）食材检测要求：</w:t>
      </w:r>
      <w:r>
        <w:rPr>
          <w:highlight w:val="white"/>
        </w:rPr>
      </w:r>
      <w:r/>
    </w:p>
    <w:p>
      <w:pPr>
        <w:ind w:firstLine="480"/>
        <w:spacing w:line="360" w:lineRule="auto"/>
        <w:rPr>
          <w:rFonts w:hint="eastAsia" w:ascii="宋体" w:hAnsi="宋体"/>
          <w:sz w:val="24"/>
          <w:highlight w:val="white"/>
        </w:rPr>
      </w:pPr>
      <w:r>
        <w:rPr>
          <w:rFonts w:ascii="宋体" w:hAnsi="宋体"/>
          <w:sz w:val="24"/>
          <w:highlight w:val="white"/>
        </w:rPr>
        <w:t xml:space="preserve">1</w:t>
      </w:r>
      <w:r>
        <w:rPr>
          <w:rFonts w:hint="eastAsia" w:ascii="宋体" w:hAnsi="宋体"/>
          <w:sz w:val="24"/>
          <w:highlight w:val="white"/>
        </w:rPr>
        <w:t xml:space="preserve">、</w:t>
      </w:r>
      <w:r>
        <w:rPr>
          <w:rFonts w:ascii="宋体" w:hAnsi="宋体"/>
          <w:sz w:val="24"/>
          <w:highlight w:val="white"/>
        </w:rPr>
        <w:t xml:space="preserve">肉类（含家禽、鱼、肉、冷鲜肉及冷冻肉等）、豆制品、调味品、食用油必须使用优质品牌产品，即由所处经营领域中有较高知名度与美誉度的大型企业提供，其产品可以追根溯源。</w:t>
      </w:r>
      <w:r>
        <w:rPr>
          <w:highlight w:val="white"/>
        </w:rPr>
      </w:r>
      <w:r/>
    </w:p>
    <w:p>
      <w:pPr>
        <w:ind w:firstLine="480"/>
        <w:spacing w:line="360" w:lineRule="auto"/>
        <w:rPr>
          <w:rFonts w:hint="eastAsia" w:ascii="宋体" w:hAnsi="宋体"/>
          <w:sz w:val="24"/>
          <w:highlight w:val="white"/>
        </w:rPr>
      </w:pPr>
      <w:r>
        <w:rPr>
          <w:rFonts w:ascii="宋体" w:hAnsi="宋体"/>
          <w:sz w:val="24"/>
          <w:highlight w:val="white"/>
        </w:rPr>
        <w:t xml:space="preserve">2</w:t>
      </w:r>
      <w:r>
        <w:rPr>
          <w:rFonts w:hint="eastAsia" w:ascii="宋体" w:hAnsi="宋体"/>
          <w:sz w:val="24"/>
          <w:highlight w:val="white"/>
        </w:rPr>
        <w:t xml:space="preserve">、</w:t>
      </w:r>
      <w:r>
        <w:rPr>
          <w:rFonts w:ascii="宋体" w:hAnsi="宋体"/>
          <w:sz w:val="24"/>
          <w:highlight w:val="white"/>
        </w:rPr>
        <w:t xml:space="preserve">每次配送的食材均需提供相关的检测报告或检验合格证。</w:t>
      </w:r>
      <w:r>
        <w:rPr>
          <w:highlight w:val="white"/>
        </w:rPr>
      </w:r>
      <w:r/>
    </w:p>
    <w:p>
      <w:pPr>
        <w:ind w:firstLine="480"/>
        <w:spacing w:line="360" w:lineRule="auto"/>
        <w:rPr>
          <w:rFonts w:hint="eastAsia" w:ascii="宋体" w:hAnsi="宋体"/>
          <w:sz w:val="24"/>
          <w:highlight w:val="white"/>
        </w:rPr>
      </w:pPr>
      <w:r>
        <w:rPr>
          <w:rFonts w:ascii="宋体" w:hAnsi="宋体"/>
          <w:sz w:val="24"/>
          <w:highlight w:val="white"/>
        </w:rPr>
        <w:t xml:space="preserve">3</w:t>
      </w:r>
      <w:r>
        <w:rPr>
          <w:rFonts w:hint="eastAsia" w:ascii="宋体" w:hAnsi="宋体"/>
          <w:sz w:val="24"/>
          <w:highlight w:val="white"/>
        </w:rPr>
        <w:t xml:space="preserve">、采购单位</w:t>
      </w:r>
      <w:r>
        <w:rPr>
          <w:rFonts w:ascii="宋体" w:hAnsi="宋体"/>
          <w:sz w:val="24"/>
          <w:highlight w:val="white"/>
        </w:rPr>
        <w:t xml:space="preserve">将委托权威部门定期对配送单位提供的食材进行抽样检测，如检测发现质量问题，由配送单位承担检测费用及相关责任。</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（三）食材配送日常要求：</w:t>
      </w:r>
      <w:r>
        <w:rPr>
          <w:highlight w:val="white"/>
        </w:rPr>
      </w:r>
      <w:r/>
    </w:p>
    <w:p>
      <w:pPr>
        <w:ind w:firstLine="480"/>
        <w:jc w:val="left"/>
        <w:spacing w:line="360" w:lineRule="auto"/>
        <w:rPr>
          <w:rFonts w:hint="eastAsia" w:ascii="宋体" w:hAnsi="宋体"/>
          <w:sz w:val="24"/>
          <w:highlight w:val="white"/>
          <w:u w:val="single"/>
        </w:rPr>
      </w:pPr>
      <w:r>
        <w:rPr>
          <w:rFonts w:hint="eastAsia" w:ascii="宋体" w:hAnsi="宋体"/>
          <w:sz w:val="24"/>
          <w:highlight w:val="white"/>
          <w:lang w:bidi="en-US"/>
        </w:rPr>
        <w:t xml:space="preserve">1、配送品牌要求：</w:t>
      </w:r>
      <w:r>
        <w:rPr>
          <w:highlight w:val="white"/>
        </w:rPr>
      </w:r>
      <w:r/>
    </w:p>
    <w:tbl>
      <w:tblPr>
        <w:tblStyle w:val="91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29"/>
        <w:gridCol w:w="6523"/>
      </w:tblGrid>
      <w:tr>
        <w:trPr>
          <w:jc w:val="center"/>
          <w:trHeight w:val="444"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食材类别</w:t>
            </w:r>
            <w:r>
              <w:rPr>
                <w:highlight w:val="white"/>
              </w:rPr>
            </w:r>
            <w:r/>
          </w:p>
        </w:tc>
        <w:tc>
          <w:tcPr>
            <w:tcW w:w="3310"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食材品牌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肉类</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雨润、双汇、青莲、中粮（不低于上述档次品牌）</w:t>
            </w:r>
            <w:r>
              <w:rPr>
                <w:highlight w:val="white"/>
              </w:rPr>
            </w:r>
            <w:r/>
          </w:p>
        </w:tc>
      </w:tr>
      <w:tr>
        <w:trPr>
          <w:jc w:val="center"/>
          <w:trHeight w:val="58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食用油（非转基因）</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金成、福临门、金龙鱼（不低于上述档次品牌）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调味品</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海天、李锦记、太太乐（不低于上述档次品牌）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冷冻品</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大成、成达、六和、凯牧（不低于上述档次品牌）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豆制品</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艺杏、祖名、日和（不低于上述档次品牌）</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水产</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本地基地（优选）</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蔬菜</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本地基地（优选）</w:t>
            </w:r>
            <w:r>
              <w:rPr>
                <w:highlight w:val="white"/>
              </w:rPr>
            </w:r>
            <w:r/>
          </w:p>
        </w:tc>
      </w:tr>
      <w:tr>
        <w:trPr>
          <w:jc w:val="center"/>
          <w:trHeight w:val="567"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禽蛋</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菜场</w:t>
            </w:r>
            <w:r>
              <w:rPr>
                <w:highlight w:val="white"/>
              </w:rPr>
            </w:r>
            <w:r/>
          </w:p>
        </w:tc>
      </w:tr>
      <w:tr>
        <w:trPr>
          <w:jc w:val="center"/>
          <w:trHeight w:val="544"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南北干货</w:t>
            </w:r>
            <w:r>
              <w:rPr>
                <w:highlight w:val="white"/>
              </w:rPr>
            </w:r>
            <w:r/>
          </w:p>
        </w:tc>
        <w:tc>
          <w:tcPr>
            <w:tcW w:w="3310" w:type="dxa"/>
            <w:vAlign w:val="center"/>
            <w:textDirection w:val="lrTb"/>
            <w:noWrap w:val="false"/>
          </w:tcPr>
          <w:p>
            <w:pPr>
              <w:jc w:val="left"/>
              <w:spacing w:line="360" w:lineRule="auto"/>
              <w:rPr>
                <w:rFonts w:hint="eastAsia" w:ascii="宋体" w:hAnsi="宋体"/>
                <w:sz w:val="24"/>
                <w:highlight w:val="white"/>
              </w:rPr>
            </w:pPr>
            <w:r>
              <w:rPr>
                <w:rFonts w:hint="eastAsia" w:ascii="宋体" w:hAnsi="宋体"/>
                <w:sz w:val="24"/>
                <w:highlight w:val="white"/>
                <w:lang w:bidi="en-US"/>
              </w:rPr>
              <w:t xml:space="preserve">菜场</w:t>
            </w:r>
            <w:r>
              <w:rPr>
                <w:highlight w:val="white"/>
              </w:rPr>
            </w:r>
            <w:r/>
          </w:p>
        </w:tc>
      </w:tr>
      <w:tr>
        <w:trPr>
          <w:jc w:val="center"/>
          <w:trHeight w:val="448" w:hRule="exact"/>
        </w:trPr>
        <w:tc>
          <w:tcPr>
            <w:tcW w:w="1689"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lang w:bidi="en-US"/>
              </w:rPr>
              <w:t xml:space="preserve">其他</w:t>
            </w:r>
            <w:r>
              <w:rPr>
                <w:highlight w:val="white"/>
              </w:rPr>
            </w:r>
            <w:r/>
          </w:p>
        </w:tc>
        <w:tc>
          <w:tcPr>
            <w:tcW w:w="3310" w:type="dxa"/>
            <w:vAlign w:val="center"/>
            <w:textDirection w:val="lrTb"/>
            <w:noWrap w:val="false"/>
          </w:tcPr>
          <w:p>
            <w:pPr>
              <w:ind w:firstLine="480"/>
              <w:jc w:val="left"/>
              <w:spacing w:line="360" w:lineRule="auto"/>
              <w:rPr>
                <w:rFonts w:hint="eastAsia" w:ascii="宋体" w:hAnsi="宋体"/>
                <w:sz w:val="24"/>
                <w:highlight w:val="white"/>
              </w:rPr>
            </w:pPr>
            <w:r>
              <w:rPr>
                <w:rFonts w:hint="eastAsia" w:ascii="宋体" w:hAnsi="宋体"/>
                <w:sz w:val="24"/>
                <w:highlight w:val="white"/>
              </w:rPr>
            </w:r>
            <w:r>
              <w:rPr>
                <w:highlight w:val="white"/>
              </w:rPr>
            </w:r>
            <w:r/>
          </w:p>
        </w:tc>
      </w:tr>
    </w:tbl>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中标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并对配送单位扣除进行本次配送货物金额5-10倍的货款作为违约金。</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3、配送单位严禁</w:t>
      </w:r>
      <w:r>
        <w:rPr>
          <w:rFonts w:hint="eastAsia" w:ascii="宋体" w:hAnsi="宋体" w:cs="宋体"/>
          <w:sz w:val="24"/>
          <w:highlight w:val="white"/>
        </w:rPr>
        <w:t xml:space="preserve">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他不符合食品卫生标准和要求的食品。</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（四）配送频率要求：</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1、每天送货一次，应急配送的在收到通知后半小时内响应，1小时内完成或提出解决方案。</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3、配送车辆符合国家食品运输相关规定。</w:t>
      </w:r>
      <w:r>
        <w:rPr>
          <w:highlight w:val="white"/>
        </w:rPr>
      </w:r>
      <w:r/>
    </w:p>
    <w:p>
      <w:pPr>
        <w:ind w:firstLine="360"/>
        <w:spacing w:line="360" w:lineRule="auto"/>
        <w:rPr>
          <w:rFonts w:hint="eastAsia" w:ascii="宋体" w:hAnsi="宋体"/>
          <w:sz w:val="24"/>
          <w:highlight w:val="white"/>
        </w:rPr>
      </w:pPr>
      <w:r>
        <w:rPr>
          <w:rFonts w:hint="eastAsia" w:ascii="宋体" w:hAnsi="宋体"/>
          <w:sz w:val="24"/>
          <w:highlight w:val="white"/>
        </w:rPr>
        <w:t xml:space="preserve">（五）其他要求</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由于本项目涉及</w:t>
      </w:r>
      <w:r>
        <w:rPr>
          <w:rFonts w:hint="eastAsia" w:ascii="宋体" w:hAnsi="宋体"/>
          <w:sz w:val="24"/>
          <w:highlight w:val="white"/>
          <w:lang w:val="en-US" w:eastAsia="zh-CN"/>
        </w:rPr>
        <w:t xml:space="preserve">到食品安全与卫生，</w:t>
      </w:r>
      <w:r>
        <w:rPr>
          <w:rFonts w:hint="eastAsia" w:ascii="宋体" w:hAnsi="宋体"/>
          <w:sz w:val="24"/>
          <w:highlight w:val="white"/>
        </w:rPr>
        <w:t xml:space="preserve">尤其考虑到该项目服务包含环境卫生</w:t>
      </w: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食品安全等关乎人员身体健康</w:t>
      </w:r>
      <w:r>
        <w:rPr>
          <w:rFonts w:hint="eastAsia" w:ascii="宋体" w:hAnsi="宋体"/>
          <w:sz w:val="24"/>
          <w:highlight w:val="white"/>
        </w:rPr>
        <w:t xml:space="preserve">等方面的服务，因此要求</w:t>
      </w:r>
      <w:r>
        <w:rPr>
          <w:rFonts w:hint="eastAsia" w:ascii="宋体" w:hAnsi="宋体"/>
          <w:sz w:val="24"/>
          <w:highlight w:val="white"/>
          <w:lang w:val="en-US" w:eastAsia="zh-CN"/>
        </w:rPr>
        <w:t xml:space="preserve">供应商</w:t>
      </w:r>
      <w:r>
        <w:rPr>
          <w:rFonts w:hint="eastAsia" w:ascii="宋体" w:hAnsi="宋体"/>
          <w:sz w:val="24"/>
          <w:highlight w:val="white"/>
        </w:rPr>
        <w:t xml:space="preserve">在自身完善</w:t>
      </w:r>
      <w:r>
        <w:rPr>
          <w:rFonts w:hint="eastAsia" w:ascii="宋体" w:hAnsi="宋体"/>
          <w:sz w:val="24"/>
          <w:highlight w:val="white"/>
          <w:lang w:val="en-US" w:eastAsia="zh-CN"/>
        </w:rPr>
        <w:t xml:space="preserve">相应的</w:t>
      </w:r>
      <w:r>
        <w:rPr>
          <w:rFonts w:hint="eastAsia" w:ascii="宋体" w:hAnsi="宋体"/>
          <w:sz w:val="24"/>
          <w:highlight w:val="white"/>
        </w:rPr>
        <w:t xml:space="preserve">管理体系的基础上，应该承担一定的社会责任，</w:t>
      </w:r>
      <w:r>
        <w:rPr>
          <w:rFonts w:hint="eastAsia" w:ascii="宋体" w:hAnsi="宋体"/>
          <w:sz w:val="24"/>
          <w:highlight w:val="white"/>
          <w:lang w:val="en-US" w:eastAsia="zh-CN"/>
        </w:rPr>
        <w:t xml:space="preserve">具备有关食品安全与人员健康相关管理能力为佳，同时所配备服务人员应该具备与食品安全等相关的服务人员为佳</w:t>
      </w:r>
      <w:r>
        <w:rPr>
          <w:rFonts w:hint="eastAsia" w:ascii="宋体" w:hAnsi="宋体"/>
          <w:sz w:val="24"/>
          <w:highlight w:val="white"/>
        </w:rPr>
        <w:t xml:space="preserve">。</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1、各供应商需对本项目及自身情况（包括但不限于</w:t>
      </w:r>
      <w:r>
        <w:rPr>
          <w:rFonts w:hint="eastAsia" w:hAnsi="宋体"/>
          <w:sz w:val="24"/>
          <w:highlight w:val="white"/>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sz w:val="24"/>
          <w:highlight w:val="white"/>
        </w:rPr>
        <w:t xml:space="preserve">）报出针对原材料的</w:t>
      </w:r>
      <w:r>
        <w:rPr>
          <w:rFonts w:hint="eastAsia" w:ascii="宋体" w:hAnsi="宋体"/>
          <w:sz w:val="24"/>
          <w:highlight w:val="white"/>
          <w:lang w:eastAsia="zh-CN"/>
        </w:rPr>
        <w:t xml:space="preserve">下浮率</w:t>
      </w:r>
      <w:r>
        <w:rPr>
          <w:rFonts w:hint="eastAsia" w:ascii="宋体" w:hAnsi="宋体"/>
          <w:sz w:val="24"/>
          <w:highlight w:val="white"/>
        </w:rPr>
        <w:t xml:space="preserve">。</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2、若采购单位有特殊情况需临时要求供货，中标单位须有相应的应急预案，并承诺在采购单位规定的合理时间范围内能送货至采购单位指定地点。</w:t>
      </w:r>
      <w:r>
        <w:rPr>
          <w:highlight w:val="white"/>
        </w:rPr>
      </w:r>
      <w:r/>
    </w:p>
    <w:p>
      <w:pPr>
        <w:ind w:firstLine="480"/>
        <w:spacing w:line="360" w:lineRule="auto"/>
        <w:tabs>
          <w:tab w:val="left" w:pos="6521" w:leader="none"/>
        </w:tabs>
        <w:rPr>
          <w:rFonts w:hint="eastAsia" w:ascii="宋体" w:hAnsi="宋体" w:eastAsia="宋体"/>
          <w:sz w:val="24"/>
          <w:highlight w:val="white"/>
        </w:rPr>
      </w:pPr>
      <w:r>
        <w:rPr>
          <w:rFonts w:hint="eastAsia" w:ascii="宋体" w:hAnsi="宋体"/>
          <w:sz w:val="24"/>
          <w:highlight w:val="white"/>
        </w:rPr>
        <w:t xml:space="preserve">3、经核有下列情形之一者采购方有权立即终止配送单位的配送工作，并终止与之签订的食堂配送协议：（1）原材料问题引起的员工食物中毒等食源性疾病的发生；（2）月度考核二次或二次以上低于80分；（3）被政府监管部门查到故意向采购单位销售假冒伪劣商品</w:t>
      </w:r>
      <w:r>
        <w:rPr>
          <w:rFonts w:hint="eastAsia" w:ascii="宋体" w:hAnsi="宋体"/>
          <w:sz w:val="24"/>
          <w:highlight w:val="white"/>
          <w:lang w:eastAsia="zh-CN"/>
        </w:rPr>
        <w:t xml:space="preserve">；</w:t>
      </w:r>
      <w:r>
        <w:rPr>
          <w:rFonts w:hint="eastAsia" w:ascii="宋体" w:hAnsi="宋体" w:cs="宋体"/>
          <w:sz w:val="24"/>
          <w:highlight w:val="white"/>
        </w:rPr>
        <w:t xml:space="preserve">（4）经查实，将部分配送工作分包或转包给他人或其他单位。</w:t>
      </w:r>
      <w:r>
        <w:rPr>
          <w:highlight w:val="white"/>
        </w:rPr>
      </w:r>
      <w:r/>
    </w:p>
    <w:p>
      <w:pPr>
        <w:ind w:firstLine="480"/>
        <w:spacing w:line="360" w:lineRule="auto"/>
        <w:rPr>
          <w:rFonts w:hint="eastAsia" w:ascii="宋体" w:hAnsi="宋体" w:cs="宋体"/>
          <w:sz w:val="24"/>
          <w:highlight w:val="white"/>
        </w:rPr>
      </w:pPr>
      <w:r>
        <w:rPr>
          <w:rFonts w:hint="eastAsia" w:ascii="宋体" w:hAnsi="宋体"/>
          <w:sz w:val="24"/>
          <w:highlight w:val="white"/>
        </w:rPr>
        <w:t xml:space="preserve">4、</w:t>
      </w:r>
      <w:r>
        <w:rPr>
          <w:rFonts w:hint="eastAsia" w:ascii="宋体" w:hAnsi="宋体" w:cs="宋体"/>
          <w:sz w:val="24"/>
          <w:highlight w:val="white"/>
        </w:rPr>
        <w:t xml:space="preserve">因重大责任事故，取消配送资格的供应商，不得继续为采购方提供所有物质的配送，已签订的合同双方协商解除。</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、本项目需配备项目负责人1名</w:t>
      </w: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服务人员不少于3名。</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6、结算方式：</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1）项目报价要求：以苏州发展和改革委员会官网上公布的最新“苏州市部分农贸市场零售均价”的100%的价格为基准价，按照采购文件中的报价表作规定的让利。合同最终价格不得超过采购预算，若服务期限内结算金额达到采购预算后合同自动终止。</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（2）若实际供货中涉及范围在苏州发展和改革委员会官网公布上未查到，则按照不高于周边市场均价按实结算，报价不高于周边市场均价。</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（3）供货价格一星期一报价(若供货价格无较大变化，可延长报价时间)。</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（4）合同终止条件：服务限满一年或实际已完产值达到合同金额（二者中以先满足条件为准）。</w:t>
      </w:r>
      <w:r>
        <w:rPr>
          <w:highlight w:val="white"/>
        </w:rPr>
      </w:r>
      <w:r/>
    </w:p>
    <w:p>
      <w:pPr>
        <w:ind w:firstLine="482"/>
        <w:spacing w:line="360" w:lineRule="auto"/>
        <w:rPr>
          <w:rFonts w:hint="eastAsia" w:ascii="宋体" w:hAnsi="宋体" w:cs="宋体"/>
          <w:b/>
          <w:bCs/>
          <w:sz w:val="24"/>
          <w:highlight w:val="white"/>
        </w:rPr>
      </w:pPr>
      <w:r>
        <w:rPr>
          <w:rFonts w:hint="eastAsia" w:ascii="宋体" w:hAnsi="宋体" w:cs="宋体"/>
          <w:b/>
          <w:bCs/>
          <w:sz w:val="24"/>
          <w:highlight w:val="white"/>
          <w:lang w:val="en-US" w:eastAsia="zh-CN"/>
        </w:rPr>
        <w:t xml:space="preserve">五</w:t>
      </w:r>
      <w:r>
        <w:rPr>
          <w:rFonts w:hint="eastAsia" w:ascii="宋体" w:hAnsi="宋体" w:cs="宋体"/>
          <w:b/>
          <w:bCs/>
          <w:sz w:val="24"/>
          <w:highlight w:val="white"/>
        </w:rPr>
        <w:t xml:space="preserve">、项目考核要求：</w:t>
      </w:r>
      <w:r>
        <w:rPr>
          <w:highlight w:val="white"/>
        </w:rPr>
      </w:r>
      <w:r/>
    </w:p>
    <w:p>
      <w:pPr>
        <w:ind w:firstLine="480"/>
        <w:spacing w:line="360" w:lineRule="auto"/>
        <w:rPr>
          <w:rFonts w:hint="eastAsia" w:ascii="宋体" w:hAnsi="宋体"/>
          <w:sz w:val="24"/>
          <w:highlight w:val="white"/>
        </w:rPr>
      </w:pPr>
      <w:r>
        <w:rPr>
          <w:rFonts w:hint="eastAsia" w:ascii="宋体" w:hAnsi="宋体" w:cs="宋体"/>
          <w:sz w:val="24"/>
          <w:highlight w:val="white"/>
        </w:rPr>
        <w:t xml:space="preserve">本项目需配备项目负责人</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名</w:t>
      </w: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服务人员不少于3名。</w:t>
      </w:r>
      <w:r>
        <w:rPr>
          <w:rFonts w:hint="eastAsia" w:ascii="宋体" w:hAnsi="宋体" w:cs="宋体"/>
          <w:sz w:val="24"/>
          <w:highlight w:val="white"/>
        </w:rPr>
        <w:t xml:space="preserve">甲方每月对乙方服务项目进行考核，具体详见附件《配餐服务月考核表》。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1、有下列情形之一者采购人应立即终止配送单位的配送工作，并终止与之签订的协议：</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（1）原材料问题引起的食物中毒等食源性疾病的发生；</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（2）月度考核二次或二次以上低于80分；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（3）被政府监管部门查到故意销售假冒伪劣商品；</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（4）经查实，将部分配送工作分包或转包给他人或其他单位。</w:t>
      </w:r>
      <w:r>
        <w:rPr>
          <w:highlight w:val="white"/>
        </w:rPr>
      </w:r>
      <w:r/>
    </w:p>
    <w:p>
      <w:pPr>
        <w:pStyle w:val="1322"/>
        <w:ind w:firstLine="480"/>
        <w:spacing w:line="360" w:lineRule="auto"/>
        <w:tabs>
          <w:tab w:val="left" w:pos="2700" w:leader="none"/>
        </w:tabs>
        <w:rPr>
          <w:rFonts w:hint="eastAsia" w:ascii="宋体" w:hAnsi="宋体" w:eastAsia="宋体" w:cs="宋体"/>
          <w:color w:val="auto"/>
          <w:sz w:val="24"/>
          <w:szCs w:val="24"/>
          <w:highlight w:val="white"/>
        </w:rPr>
        <w:framePr w:wrap="auto" w:vAnchor="margin" w:hAnchor="text" w:yAlign="inline"/>
      </w:pPr>
      <w:r>
        <w:rPr>
          <w:rFonts w:hint="eastAsia" w:ascii="宋体" w:hAnsi="宋体" w:eastAsia="宋体" w:cs="宋体"/>
          <w:color w:val="auto"/>
          <w:sz w:val="24"/>
          <w:szCs w:val="24"/>
          <w:highlight w:val="white"/>
        </w:rPr>
        <w:t xml:space="preserve">2、月度考核得分达</w:t>
      </w:r>
      <w:r>
        <w:rPr>
          <w:rFonts w:hint="eastAsia" w:ascii="宋体" w:hAnsi="宋体" w:eastAsia="宋体" w:cs="宋体"/>
          <w:color w:val="auto"/>
          <w:sz w:val="24"/>
          <w:szCs w:val="24"/>
          <w:highlight w:val="white"/>
          <w:lang w:val="en-US" w:eastAsia="zh-CN"/>
        </w:rPr>
        <w:t xml:space="preserve">90</w:t>
      </w:r>
      <w:r>
        <w:rPr>
          <w:rFonts w:hint="eastAsia" w:ascii="宋体" w:hAnsi="宋体" w:eastAsia="宋体" w:cs="宋体"/>
          <w:color w:val="auto"/>
          <w:sz w:val="24"/>
          <w:szCs w:val="24"/>
          <w:highlight w:val="white"/>
        </w:rPr>
        <w:t xml:space="preserve">分及以上，不扣除当月费用</w:t>
      </w:r>
      <w:r>
        <w:rPr>
          <w:rFonts w:hint="eastAsia" w:ascii="宋体" w:hAnsi="宋体" w:eastAsia="宋体" w:cs="宋体"/>
          <w:color w:val="auto"/>
          <w:sz w:val="24"/>
          <w:szCs w:val="24"/>
          <w:highlight w:val="white"/>
          <w:lang w:eastAsia="zh-CN"/>
        </w:rPr>
        <w:t xml:space="preserve">；如总分低于90分（含90分），</w:t>
      </w:r>
      <w:r>
        <w:rPr>
          <w:rFonts w:hint="eastAsia" w:ascii="宋体" w:hAnsi="宋体" w:eastAsia="宋体" w:cs="宋体"/>
          <w:color w:val="auto"/>
          <w:sz w:val="24"/>
          <w:szCs w:val="24"/>
          <w:highlight w:val="white"/>
        </w:rPr>
        <w:t xml:space="preserve">配送公司要做出书面的整改承诺</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并按照每下降一分处以500元扣款（违约金），</w:t>
      </w:r>
      <w:r>
        <w:rPr>
          <w:rFonts w:hint="eastAsia" w:ascii="宋体" w:hAnsi="宋体" w:eastAsia="宋体" w:cs="宋体"/>
          <w:color w:val="auto"/>
          <w:sz w:val="24"/>
          <w:szCs w:val="24"/>
          <w:highlight w:val="white"/>
          <w:lang w:val="en-US" w:eastAsia="zh-CN"/>
        </w:rPr>
        <w:t xml:space="preserve">采购方</w:t>
      </w:r>
      <w:r>
        <w:rPr>
          <w:rFonts w:hint="eastAsia" w:ascii="宋体" w:hAnsi="宋体" w:eastAsia="宋体" w:cs="宋体"/>
          <w:color w:val="auto"/>
          <w:sz w:val="24"/>
          <w:szCs w:val="24"/>
          <w:highlight w:val="white"/>
        </w:rPr>
        <w:t xml:space="preserve">有权直接从应付未付款项中扣除。。</w:t>
      </w:r>
      <w:r>
        <w:rPr>
          <w:highlight w:val="white"/>
        </w:rPr>
      </w:r>
      <w:r/>
    </w:p>
    <w:p>
      <w:pPr>
        <w:pStyle w:val="1322"/>
        <w:ind w:firstLine="480"/>
        <w:spacing w:line="360" w:lineRule="auto"/>
        <w:tabs>
          <w:tab w:val="left" w:pos="2700" w:leader="none"/>
        </w:tabs>
        <w:rPr>
          <w:rFonts w:hint="eastAsia" w:ascii="宋体" w:hAnsi="宋体" w:eastAsia="宋体" w:cs="宋体"/>
          <w:color w:val="auto"/>
          <w:sz w:val="24"/>
          <w:szCs w:val="24"/>
          <w:highlight w:val="white"/>
        </w:rPr>
        <w:framePr w:wrap="auto" w:vAnchor="margin" w:hAnchor="text" w:yAlign="inline"/>
      </w:pPr>
      <w:r>
        <w:rPr>
          <w:rFonts w:hint="eastAsia" w:ascii="宋体" w:hAnsi="宋体" w:eastAsia="宋体" w:cs="宋体"/>
          <w:color w:val="auto"/>
          <w:sz w:val="24"/>
          <w:szCs w:val="24"/>
          <w:highlight w:val="white"/>
        </w:rPr>
        <w:t xml:space="preserve">（3）为保证企业正常运作，同时巩固作业质量，如月度考核二次或二次以上低于80分；采购方有权终止合同（或协议），成交方需无条件按采购方要求办理移交、退场手续。</w:t>
      </w:r>
      <w:r>
        <w:rPr>
          <w:highlight w:val="white"/>
        </w:rPr>
      </w:r>
      <w:r/>
    </w:p>
    <w:p>
      <w:pPr>
        <w:pStyle w:val="1322"/>
        <w:ind w:firstLine="480"/>
        <w:spacing w:line="360" w:lineRule="auto"/>
        <w:tabs>
          <w:tab w:val="left" w:pos="2700" w:leader="none"/>
        </w:tabs>
        <w:rPr>
          <w:rFonts w:ascii="宋体" w:hAnsi="宋体" w:eastAsia="宋体" w:cs="宋体"/>
          <w:color w:val="auto"/>
          <w:sz w:val="24"/>
          <w:szCs w:val="24"/>
          <w:highlight w:val="white"/>
        </w:rPr>
        <w:framePr w:wrap="auto" w:vAnchor="margin" w:hAnchor="text" w:yAlign="inline"/>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、考核标准：后期采购单位有权根据项目实施的实际情况，对此标准进行调整。</w:t>
      </w:r>
      <w:r>
        <w:rPr>
          <w:highlight w:val="white"/>
        </w:rPr>
      </w:r>
      <w:r/>
    </w:p>
    <w:p>
      <w:pPr>
        <w:ind w:firstLine="482"/>
        <w:spacing w:line="360" w:lineRule="auto"/>
        <w:rPr>
          <w:rFonts w:ascii="宋体" w:hAnsi="宋体" w:cs="宋体"/>
          <w:b/>
          <w:bCs/>
          <w:sz w:val="24"/>
          <w:highlight w:val="white"/>
          <w:u w:val="single"/>
        </w:rPr>
      </w:pPr>
      <w:r>
        <w:rPr>
          <w:rFonts w:hint="eastAsia" w:ascii="宋体" w:hAnsi="宋体" w:cs="宋体"/>
          <w:b/>
          <w:bCs/>
          <w:sz w:val="24"/>
          <w:highlight w:val="white"/>
          <w:lang w:val="en-US" w:eastAsia="zh-CN"/>
        </w:rPr>
        <w:t xml:space="preserve">六、</w:t>
      </w:r>
      <w:r>
        <w:rPr>
          <w:rFonts w:hint="eastAsia" w:ascii="宋体" w:hAnsi="宋体" w:cs="宋体"/>
          <w:b/>
          <w:bCs/>
          <w:sz w:val="24"/>
          <w:highlight w:val="white"/>
        </w:rPr>
        <w:t xml:space="preserve">权利和义务</w:t>
      </w:r>
      <w:r>
        <w:rPr>
          <w:highlight w:val="white"/>
        </w:rPr>
      </w:r>
      <w:r/>
    </w:p>
    <w:p>
      <w:pPr>
        <w:pStyle w:val="1086"/>
        <w:ind w:firstLine="482"/>
        <w:jc w:val="left"/>
        <w:spacing w:line="360" w:lineRule="auto"/>
        <w:tabs>
          <w:tab w:val="left" w:pos="540" w:leader="none"/>
        </w:tabs>
        <w:rPr>
          <w:rFonts w:ascii="宋体" w:hAnsi="宋体" w:cs="宋体"/>
          <w:b/>
          <w:sz w:val="24"/>
          <w:highlight w:val="white"/>
        </w:rPr>
      </w:pPr>
      <w:r>
        <w:rPr>
          <w:rFonts w:hint="eastAsia" w:ascii="宋体" w:hAnsi="宋体" w:cs="宋体"/>
          <w:b/>
          <w:sz w:val="24"/>
          <w:highlight w:val="white"/>
        </w:rPr>
        <w:t xml:space="preserve">（一）甲方权利义务</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（1）合同有效期内，甲方不再从另外渠道进货，因进货渠道不规范而影响正常就餐的，一切后果由甲方承担。</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（2）甲方每周五下午16点前确定下一周的食材项目、数量、质量后将配送计划发至乙方，合同期间如甲方需要乙方应根据自己的专业水平帮助甲方合理搭配菜品，</w:t>
      </w:r>
      <w:r>
        <w:rPr>
          <w:rFonts w:hint="eastAsia" w:ascii="宋体" w:hAnsi="宋体" w:cs="宋体"/>
          <w:sz w:val="24"/>
          <w:highlight w:val="white"/>
          <w:shd w:val="clear" w:color="auto" w:fill="ffffff"/>
        </w:rPr>
        <w:t xml:space="preserve">合理搭配包括粗细搭配、荤素搭配、酸碱搭配、</w:t>
      </w:r>
      <w:r>
        <w:rPr>
          <w:rFonts w:hint="eastAsia" w:ascii="宋体" w:hAnsi="宋体" w:cs="宋体"/>
          <w:bCs/>
          <w:sz w:val="24"/>
          <w:highlight w:val="white"/>
          <w:lang w:bidi="en-US"/>
        </w:rPr>
        <w:t xml:space="preserve">营养均衡</w:t>
      </w:r>
      <w:r>
        <w:rPr>
          <w:rFonts w:hint="eastAsia" w:ascii="宋体" w:hAnsi="宋体" w:cs="宋体"/>
          <w:sz w:val="24"/>
          <w:highlight w:val="white"/>
          <w:shd w:val="clear" w:color="auto" w:fill="ffffff"/>
        </w:rPr>
        <w:t xml:space="preserve">等，</w:t>
      </w:r>
      <w:r>
        <w:rPr>
          <w:rFonts w:hint="eastAsia" w:ascii="宋体" w:hAnsi="宋体" w:cs="宋体"/>
          <w:bCs/>
          <w:sz w:val="24"/>
          <w:highlight w:val="white"/>
          <w:lang w:bidi="en-US"/>
        </w:rPr>
        <w:t xml:space="preserve">食材品牌、规格等要求以甲方食材目录为依据。</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3）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甲方需对食材生菜、熟菜分别留样；若发现乙方违规，应按照合同相关条款处理，并记录备案。</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（4）甲方加强教育宣传工作：食堂工作人员要支持、配合乙方工作，使食堂配送工作有序有效进行。对乙方做到不索要，不为难，不马虎。</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（5）甲方如有需要，可约见乙方，当面商定进一步完善工作的措施，并每月做好对乙方配送工作的考核工作。</w:t>
      </w:r>
      <w:r>
        <w:rPr>
          <w:highlight w:val="white"/>
        </w:rPr>
      </w:r>
      <w:r/>
    </w:p>
    <w:p>
      <w:pPr>
        <w:pStyle w:val="1357"/>
        <w:ind w:firstLine="482"/>
        <w:spacing w:line="360" w:lineRule="auto"/>
        <w:tabs>
          <w:tab w:val="left" w:pos="900" w:leader="none"/>
        </w:tabs>
        <w:rPr>
          <w:rFonts w:ascii="宋体" w:hAnsi="宋体" w:cs="宋体"/>
          <w:b/>
          <w:sz w:val="24"/>
          <w:szCs w:val="24"/>
          <w:highlight w:val="white"/>
        </w:rPr>
      </w:pPr>
      <w:r>
        <w:rPr>
          <w:rFonts w:hint="eastAsia" w:ascii="宋体" w:hAnsi="宋体" w:cs="宋体"/>
          <w:b/>
          <w:sz w:val="24"/>
          <w:szCs w:val="24"/>
          <w:highlight w:val="white"/>
        </w:rPr>
        <w:t xml:space="preserve">（二）乙方权利义务</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（1）乙方必须严格履行投标时的一切承诺。</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（2）乙方承接甲方的食材配送工作，按时保质保量按要求从事配送工作。</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（3）乙方应服从政府相关职能部门的业务指导和监管。</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（4）乙方根据投标书的有关承诺条款，联系配送工作的具体情况，严格执行《中华人民共和国食品安全法》的规定，建立并自觉履行食品卫生安全和食品质量的保障机制，确保安全。</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（5）乙方必须根据协议约定和甲方提出的品种、品牌、规格、数量、质量等要求送货，并在规定的时间内及时送到；每日的配送清单须是打印稿，做到证货同行、证货相符。</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（6）乙方每次配送均需提供配送食材的检测报告、食材检验合格证等合格证明材料。如肉类制品必须是定点屠宰且经检疫合格，蔬菜应有农药残留检测证明等。</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7）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相关技术部门认定后再进行配送。</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8）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①无品名、产地、厂名、生产日期、保质期及中文标识及原料说明的定型包装食品；</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②超过保质期限或不符合食品标签规定的定型包装食品；</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③腐败变质、油脂酸败、霉变、生虫、污秽不洁、混有异物或者其它感官性状异常，含有毒、有害物质或者被有毒、有害物质污染，可能对人体健康有害的食品；</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④病死、死因不明或从疫区采购的水产品、畜、禽及其制品，不合格调味品，工业用盐，非碘盐或非食品原料和滥用食品添加剂，农药残留超标蔬菜等；</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⑤其它不符合食品卫生标准和要求的食品。</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⑥每季度进行满意度调查，调查合格率不满60%的。</w:t>
      </w:r>
      <w:r>
        <w:rPr>
          <w:highlight w:val="white"/>
        </w:rPr>
      </w:r>
      <w:r/>
    </w:p>
    <w:p>
      <w:pPr>
        <w:ind w:firstLine="480"/>
        <w:spacing w:line="360" w:lineRule="auto"/>
        <w:rPr>
          <w:rFonts w:ascii="宋体" w:hAnsi="宋体" w:cs="宋体"/>
          <w:sz w:val="24"/>
          <w:highlight w:val="white"/>
        </w:rPr>
      </w:pPr>
      <w:r>
        <w:rPr>
          <w:rFonts w:hint="eastAsia" w:ascii="宋体" w:hAnsi="宋体" w:cs="宋体"/>
          <w:bCs/>
          <w:sz w:val="24"/>
          <w:highlight w:val="white"/>
          <w:lang w:bidi="en-US"/>
        </w:rPr>
        <w:t xml:space="preserve">⑦</w:t>
      </w:r>
      <w:r>
        <w:rPr>
          <w:rFonts w:hint="eastAsia" w:ascii="宋体" w:hAnsi="宋体" w:cs="宋体"/>
          <w:sz w:val="24"/>
          <w:highlight w:val="white"/>
        </w:rPr>
        <w:t xml:space="preserve">乙方在接到甲方菜品</w:t>
      </w:r>
      <w:r>
        <w:rPr>
          <w:rFonts w:hint="eastAsia" w:ascii="宋体" w:hAnsi="宋体" w:cs="宋体"/>
          <w:bCs/>
          <w:sz w:val="24"/>
          <w:highlight w:val="white"/>
          <w:lang w:bidi="en-US"/>
        </w:rPr>
        <w:t xml:space="preserve">退货或换货</w:t>
      </w:r>
      <w:r>
        <w:rPr>
          <w:rFonts w:hint="eastAsia" w:ascii="宋体" w:hAnsi="宋体" w:cs="宋体"/>
          <w:sz w:val="24"/>
          <w:highlight w:val="white"/>
        </w:rPr>
        <w:t xml:space="preserve">通知后，没有在1小时响应，3小时内到达现场的。</w:t>
      </w:r>
      <w:r>
        <w:rPr>
          <w:highlight w:val="white"/>
        </w:rPr>
      </w:r>
      <w:r/>
    </w:p>
    <w:p>
      <w:pPr>
        <w:ind w:firstLine="480"/>
        <w:spacing w:line="360" w:lineRule="auto"/>
        <w:rPr>
          <w:rFonts w:ascii="宋体" w:hAnsi="宋体" w:cs="宋体"/>
          <w:bCs/>
          <w:sz w:val="24"/>
          <w:highlight w:val="white"/>
        </w:rPr>
      </w:pPr>
      <w:r>
        <w:rPr>
          <w:rFonts w:hint="eastAsia" w:ascii="宋体" w:hAnsi="宋体" w:cs="宋体"/>
          <w:sz w:val="24"/>
          <w:highlight w:val="white"/>
        </w:rPr>
        <w:t xml:space="preserve">⑧配送物品退货每月超过5次的。</w:t>
      </w:r>
      <w:r>
        <w:rPr>
          <w:highlight w:val="white"/>
        </w:rPr>
      </w:r>
      <w:r/>
    </w:p>
    <w:p>
      <w:pPr>
        <w:spacing w:line="360" w:lineRule="auto"/>
        <w:rPr>
          <w:rFonts w:ascii="宋体" w:hAnsi="宋体" w:cs="宋体"/>
          <w:bCs/>
          <w:sz w:val="24"/>
          <w:highlight w:val="white"/>
        </w:rPr>
      </w:pPr>
      <w:r>
        <w:rPr>
          <w:rFonts w:hint="eastAsia" w:ascii="宋体" w:hAnsi="宋体" w:cs="宋体"/>
          <w:bCs/>
          <w:sz w:val="24"/>
          <w:highlight w:val="white"/>
          <w:lang w:bidi="en-US"/>
        </w:rPr>
        <w:t xml:space="preserve">（9）退出机制。有下列情形之一，将酌情扣除当月货款；情节严重的立即终止乙方的配送工作，并自动终止与之签订的配送协议。同时，甲方将按相关规定追究乙方责任，情节严重的取消配送资格，造成责任事故的将追究其法律责任。</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①乙方配送食品原材料引起的食物中毒等食源性疾病的发生；</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②乙方存在严重安全隐患，经多次督促整改不到位的；</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③经查实，乙方故意向甲方销售假冒伪劣商品； </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④经查实，乙方将部分配送工作分包或转包给他人或其他单位；</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⑤乙方不能按照协议供货要求提供商品，并造成供餐事故的；</w:t>
      </w:r>
      <w:r>
        <w:rPr>
          <w:highlight w:val="white"/>
        </w:rPr>
      </w:r>
      <w:r/>
    </w:p>
    <w:p>
      <w:pPr>
        <w:ind w:firstLine="480"/>
        <w:spacing w:line="360" w:lineRule="auto"/>
        <w:rPr>
          <w:rFonts w:ascii="宋体" w:hAnsi="宋体" w:cs="宋体"/>
          <w:bCs/>
          <w:sz w:val="24"/>
          <w:highlight w:val="white"/>
        </w:rPr>
      </w:pPr>
      <w:r>
        <w:rPr>
          <w:rFonts w:hint="eastAsia" w:ascii="宋体" w:hAnsi="宋体" w:cs="宋体"/>
          <w:bCs/>
          <w:sz w:val="24"/>
          <w:highlight w:val="white"/>
          <w:lang w:bidi="en-US"/>
        </w:rPr>
        <w:t xml:space="preserve">⑥经查实，乙方在履行合同期间有行贿犯罪记录的，取消配送资格。</w:t>
      </w:r>
      <w:r>
        <w:rPr>
          <w:highlight w:val="white"/>
        </w:rPr>
      </w:r>
      <w:r/>
    </w:p>
    <w:p>
      <w:pPr>
        <w:spacing w:line="360" w:lineRule="auto"/>
        <w:rPr>
          <w:rFonts w:ascii="宋体" w:hAnsi="宋体" w:cs="宋体"/>
          <w:bCs/>
          <w:sz w:val="24"/>
          <w:highlight w:val="white"/>
        </w:rPr>
      </w:pPr>
      <w:r>
        <w:rPr>
          <w:rFonts w:hint="eastAsia" w:ascii="宋体" w:hAnsi="宋体" w:cs="宋体"/>
          <w:bCs/>
          <w:sz w:val="24"/>
          <w:highlight w:val="white"/>
          <w:lang w:bidi="en-US"/>
        </w:rPr>
        <w:t xml:space="preserve">（10）甲乙双方签订合同以后，乙方提出放弃或被取消配送资格的，乙方不得参与下一轮甲方组织的食堂食材供货及配送服务商公开招标采购</w:t>
      </w:r>
      <w:r>
        <w:rPr>
          <w:rFonts w:hint="eastAsia" w:ascii="宋体" w:hAnsi="宋体" w:cs="宋体"/>
          <w:sz w:val="24"/>
          <w:highlight w:val="white"/>
          <w:lang w:bidi="en-US"/>
        </w:rPr>
        <w:t xml:space="preserve">。</w:t>
      </w:r>
      <w:r>
        <w:rPr>
          <w:highlight w:val="white"/>
        </w:rPr>
      </w:r>
      <w:r/>
    </w:p>
    <w:p>
      <w:pPr>
        <w:pStyle w:val="1091"/>
        <w:spacing w:line="360" w:lineRule="auto"/>
        <w:rPr>
          <w:rFonts w:hAnsi="宋体" w:eastAsia="宋体" w:cs="宋体"/>
          <w:b/>
          <w:bCs/>
          <w:sz w:val="24"/>
          <w:highlight w:val="white"/>
        </w:rPr>
      </w:pPr>
      <w:r>
        <w:rPr>
          <w:rFonts w:hint="eastAsia" w:hAnsi="宋体" w:eastAsia="宋体" w:cs="宋体"/>
          <w:bCs/>
          <w:sz w:val="24"/>
          <w:highlight w:val="white"/>
          <w:lang w:bidi="en-US"/>
        </w:rPr>
        <w:t xml:space="preserve">（11）</w:t>
      </w:r>
      <w:r>
        <w:rPr>
          <w:rFonts w:hint="eastAsia" w:hAnsi="宋体" w:eastAsia="宋体" w:cs="宋体"/>
          <w:sz w:val="24"/>
          <w:highlight w:val="white"/>
          <w:lang w:bidi="en-US"/>
        </w:rPr>
        <w:t xml:space="preserve">取消配送资格的供应商，不得继续为</w:t>
      </w:r>
      <w:r>
        <w:rPr>
          <w:rFonts w:hint="eastAsia" w:hAnsi="宋体" w:eastAsia="宋体" w:cs="宋体"/>
          <w:sz w:val="24"/>
          <w:highlight w:val="white"/>
          <w:lang w:eastAsia="zh-CN" w:bidi="en-US"/>
        </w:rPr>
        <w:t xml:space="preserve">采购方</w:t>
      </w:r>
      <w:r>
        <w:rPr>
          <w:rFonts w:hint="eastAsia" w:hAnsi="宋体" w:eastAsia="宋体" w:cs="宋体"/>
          <w:sz w:val="24"/>
          <w:highlight w:val="white"/>
          <w:lang w:bidi="en-US"/>
        </w:rPr>
        <w:t xml:space="preserve">提供所有物质的配送，已签订的合同无效。为避免用餐情况发生中断，则由该采购项目中排名第二顺位的供应商继续提供食堂配送，以保证</w:t>
      </w:r>
      <w:r>
        <w:rPr>
          <w:rFonts w:hint="eastAsia" w:hAnsi="宋体" w:eastAsia="宋体" w:cs="宋体"/>
          <w:sz w:val="24"/>
          <w:highlight w:val="white"/>
          <w:lang w:eastAsia="zh-CN" w:bidi="en-US"/>
        </w:rPr>
        <w:t xml:space="preserve">采购方</w:t>
      </w:r>
      <w:r>
        <w:rPr>
          <w:rFonts w:hint="eastAsia" w:hAnsi="宋体" w:eastAsia="宋体" w:cs="宋体"/>
          <w:sz w:val="24"/>
          <w:highlight w:val="white"/>
          <w:lang w:bidi="en-US"/>
        </w:rPr>
        <w:t xml:space="preserve">正常用餐情况。</w:t>
      </w:r>
      <w:r>
        <w:rPr>
          <w:highlight w:val="white"/>
        </w:rPr>
      </w:r>
      <w:r/>
    </w:p>
    <w:p>
      <w:pPr>
        <w:ind w:firstLine="482"/>
        <w:spacing w:line="360" w:lineRule="auto"/>
        <w:rPr>
          <w:rFonts w:ascii="宋体" w:hAnsi="宋体" w:cs="宋体"/>
          <w:b/>
          <w:bCs/>
          <w:sz w:val="24"/>
          <w:highlight w:val="white"/>
        </w:rPr>
      </w:pPr>
      <w:r>
        <w:rPr>
          <w:rFonts w:hint="eastAsia" w:ascii="宋体" w:hAnsi="宋体" w:cs="宋体"/>
          <w:b/>
          <w:bCs/>
          <w:sz w:val="24"/>
          <w:highlight w:val="white"/>
          <w:lang w:val="en-US" w:eastAsia="zh-CN"/>
        </w:rPr>
        <w:t xml:space="preserve">七</w:t>
      </w:r>
      <w:r>
        <w:rPr>
          <w:rFonts w:hint="eastAsia" w:ascii="宋体" w:hAnsi="宋体" w:cs="宋体"/>
          <w:b/>
          <w:bCs/>
          <w:sz w:val="24"/>
          <w:highlight w:val="white"/>
        </w:rPr>
        <w:t xml:space="preserve">、违约责任</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1.合同一方不履行合同义务或者履行合同义务不符合约定的，应当承担继续履行、采取补救措施或者赔偿损失等违约责任。</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2.在合同生效后，甲方无故要求取消此次服务的，应向乙方偿付合同总价款的5%作为违约金，违约金不足以补偿损失的，乙方有权要求甲方补足。</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乙方不能正常提供服务（逾期超过十五天视为不能提供）从而影响甲方按期正常使用的，应向甲方偿付违约金，违约金不足以补偿损失的，甲方有权要求乙方补足。同时甲方有权要求乙方承担因此造成的其他损失。</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4.因不可抗力不能履行合同的，根据不可抗力的影响，部分或者全部免除责任。但合同一方迟延履行后发生不可抗力的，不能免除责任。</w:t>
      </w:r>
      <w:r>
        <w:rPr>
          <w:highlight w:val="white"/>
        </w:rPr>
      </w:r>
      <w:r/>
    </w:p>
    <w:p>
      <w:pPr>
        <w:ind w:firstLine="480"/>
        <w:spacing w:line="360" w:lineRule="auto"/>
        <w:rPr>
          <w:rFonts w:ascii="宋体" w:hAnsi="宋体" w:cs="宋体"/>
          <w:b/>
          <w:bCs/>
          <w:sz w:val="24"/>
          <w:highlight w:val="white"/>
        </w:rPr>
      </w:pPr>
      <w:r>
        <w:rPr>
          <w:rFonts w:hint="eastAsia" w:ascii="宋体" w:hAnsi="宋体" w:cs="宋体"/>
          <w:sz w:val="24"/>
          <w:highlight w:val="white"/>
        </w:rPr>
        <w:t xml:space="preserve">5.合同一方因不可抗力不能履行合同的，应及时通知对方，以减轻可能给对方造成的损失，并应当在合理期限内提供证明。</w:t>
      </w:r>
      <w:r>
        <w:rPr>
          <w:highlight w:val="white"/>
        </w:rPr>
      </w:r>
      <w:r/>
    </w:p>
    <w:p>
      <w:pPr>
        <w:pStyle w:val="1084"/>
        <w:ind w:firstLine="482"/>
        <w:spacing w:line="360" w:lineRule="auto"/>
        <w:rPr>
          <w:rFonts w:ascii="宋体" w:hAnsi="宋体" w:eastAsia="宋体" w:cs="宋体"/>
          <w:b/>
          <w:bCs/>
          <w:szCs w:val="24"/>
          <w:highlight w:val="white"/>
        </w:rPr>
      </w:pPr>
      <w:r>
        <w:rPr>
          <w:rFonts w:hint="eastAsia" w:ascii="宋体" w:hAnsi="宋体" w:eastAsia="宋体" w:cs="宋体"/>
          <w:b/>
          <w:bCs/>
          <w:szCs w:val="24"/>
          <w:highlight w:val="white"/>
          <w:lang w:val="en-US" w:eastAsia="zh-CN"/>
        </w:rPr>
        <w:t xml:space="preserve">八</w:t>
      </w:r>
      <w:r>
        <w:rPr>
          <w:rFonts w:hint="eastAsia" w:ascii="宋体" w:hAnsi="宋体" w:eastAsia="宋体" w:cs="宋体"/>
          <w:b/>
          <w:bCs/>
          <w:szCs w:val="24"/>
          <w:highlight w:val="white"/>
        </w:rPr>
        <w:t xml:space="preserve">、不可抗力</w:t>
      </w:r>
      <w:r>
        <w:rPr>
          <w:highlight w:val="white"/>
        </w:rPr>
      </w:r>
      <w:r/>
    </w:p>
    <w:p>
      <w:pPr>
        <w:pStyle w:val="1084"/>
        <w:ind w:firstLine="480"/>
        <w:spacing w:line="360" w:lineRule="auto"/>
        <w:rPr>
          <w:rFonts w:ascii="宋体" w:hAnsi="宋体" w:eastAsia="宋体" w:cs="宋体"/>
          <w:szCs w:val="24"/>
          <w:highlight w:val="white"/>
        </w:rPr>
      </w:pPr>
      <w:r>
        <w:rPr>
          <w:rFonts w:hint="eastAsia" w:ascii="宋体" w:hAnsi="宋体" w:eastAsia="宋体" w:cs="宋体"/>
          <w:szCs w:val="24"/>
          <w:highlight w:val="white"/>
        </w:rPr>
        <w:t xml:space="preserve">1、因不可抗力（或甲、乙双方不能控制的原因）不能履行合同的，根据不可抗力的影响，部分或者全部免除责任。但合同一方迟延履行后发生不可抗力的，不能免除责任。</w:t>
      </w:r>
      <w:r>
        <w:rPr>
          <w:highlight w:val="white"/>
        </w:rPr>
      </w:r>
      <w:r/>
    </w:p>
    <w:p>
      <w:pPr>
        <w:pStyle w:val="1084"/>
        <w:ind w:firstLine="480"/>
        <w:spacing w:line="360" w:lineRule="auto"/>
        <w:rPr>
          <w:rFonts w:ascii="宋体" w:hAnsi="宋体" w:eastAsia="宋体" w:cs="宋体"/>
          <w:b/>
          <w:szCs w:val="24"/>
          <w:highlight w:val="white"/>
        </w:rPr>
      </w:pPr>
      <w:r>
        <w:rPr>
          <w:rFonts w:hint="eastAsia" w:ascii="宋体" w:hAnsi="宋体" w:eastAsia="宋体" w:cs="宋体"/>
          <w:szCs w:val="24"/>
          <w:highlight w:val="white"/>
        </w:rPr>
        <w:t xml:space="preserve">2、合同一方因不可抗力不能履行合同的，应当及时通知对方，以减轻可能给对方造成的损失，并应当在合理期限内提供证明。</w:t>
      </w:r>
      <w:r>
        <w:rPr>
          <w:highlight w:val="white"/>
        </w:rPr>
      </w:r>
      <w:r/>
    </w:p>
    <w:p>
      <w:pPr>
        <w:pStyle w:val="1357"/>
        <w:ind w:firstLine="482"/>
        <w:spacing w:line="360" w:lineRule="auto"/>
        <w:rPr>
          <w:rFonts w:ascii="宋体" w:hAnsi="宋体" w:cs="宋体"/>
          <w:b/>
          <w:sz w:val="24"/>
          <w:szCs w:val="24"/>
          <w:highlight w:val="white"/>
        </w:rPr>
      </w:pPr>
      <w:r>
        <w:rPr>
          <w:rFonts w:hint="eastAsia" w:ascii="宋体" w:hAnsi="宋体" w:cs="宋体"/>
          <w:b/>
          <w:sz w:val="24"/>
          <w:szCs w:val="24"/>
          <w:highlight w:val="white"/>
          <w:lang w:val="en-US" w:eastAsia="zh-CN"/>
        </w:rPr>
        <w:t xml:space="preserve">九</w:t>
      </w:r>
      <w:r>
        <w:rPr>
          <w:rFonts w:hint="eastAsia" w:ascii="宋体" w:hAnsi="宋体" w:cs="宋体"/>
          <w:b/>
          <w:sz w:val="24"/>
          <w:szCs w:val="24"/>
          <w:highlight w:val="white"/>
        </w:rPr>
        <w:t xml:space="preserve">、保密条款</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1、甲乙双方及其员工因签订或履行本协议而知悉的对方商业信息，包括但不限于有关技术、财务、市场、运营、管理等方面的内容，均视为对方的保密信息，应作为对方的商业秘密。</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2、双方承诺对对方的商业信息严格保密，且仅用于本协议。</w:t>
      </w:r>
      <w:r>
        <w:rPr>
          <w:highlight w:val="white"/>
        </w:rPr>
      </w:r>
      <w:r/>
    </w:p>
    <w:p>
      <w:pPr>
        <w:ind w:firstLine="480"/>
        <w:spacing w:line="360" w:lineRule="auto"/>
        <w:rPr>
          <w:rFonts w:ascii="宋体" w:hAnsi="宋体" w:cs="宋体"/>
          <w:b/>
          <w:bCs/>
          <w:sz w:val="24"/>
          <w:highlight w:val="white"/>
        </w:rPr>
      </w:pPr>
      <w:r>
        <w:rPr>
          <w:rFonts w:hint="eastAsia" w:ascii="宋体" w:hAnsi="宋体" w:cs="宋体"/>
          <w:sz w:val="24"/>
          <w:highlight w:val="white"/>
        </w:rPr>
        <w:t xml:space="preserve">3、除下列情况外，双方不得使用或允许他人使用保密信息，或向任何第三方披露保密信息：a.经另一方书面同意； b.按照有管辖权的法院，以及相关政府部门的规定或要求。</w:t>
      </w:r>
      <w:r>
        <w:rPr>
          <w:highlight w:val="white"/>
        </w:rPr>
      </w:r>
      <w:r/>
    </w:p>
    <w:p>
      <w:pPr>
        <w:numPr>
          <w:ilvl w:val="0"/>
          <w:numId w:val="0"/>
        </w:numPr>
        <w:ind w:firstLine="482"/>
        <w:spacing w:line="360" w:lineRule="auto"/>
        <w:rPr>
          <w:rFonts w:ascii="宋体" w:hAnsi="宋体" w:cs="宋体"/>
          <w:b/>
          <w:bCs/>
          <w:sz w:val="24"/>
          <w:highlight w:val="white"/>
        </w:rPr>
      </w:pPr>
      <w:r>
        <w:rPr>
          <w:rFonts w:hint="eastAsia" w:ascii="宋体" w:hAnsi="宋体" w:cs="宋体"/>
          <w:b/>
          <w:bCs/>
          <w:sz w:val="24"/>
          <w:highlight w:val="white"/>
          <w:lang w:val="en-US" w:eastAsia="zh-CN"/>
        </w:rPr>
        <w:t xml:space="preserve">十、</w:t>
      </w:r>
      <w:r>
        <w:rPr>
          <w:rFonts w:hint="eastAsia" w:ascii="宋体" w:hAnsi="宋体" w:cs="宋体"/>
          <w:b/>
          <w:bCs/>
          <w:sz w:val="24"/>
          <w:highlight w:val="white"/>
        </w:rPr>
        <w:t xml:space="preserve">售后服务：</w:t>
      </w:r>
      <w:r>
        <w:rPr>
          <w:highlight w:val="white"/>
        </w:rPr>
      </w:r>
      <w:r/>
    </w:p>
    <w:p>
      <w:pPr>
        <w:pStyle w:val="1086"/>
        <w:ind w:firstLine="480"/>
        <w:jc w:val="left"/>
        <w:spacing w:line="360" w:lineRule="auto"/>
        <w:rPr>
          <w:rFonts w:ascii="宋体" w:hAnsi="宋体" w:cs="宋体"/>
          <w:b/>
          <w:bCs/>
          <w:sz w:val="24"/>
          <w:highlight w:val="white"/>
        </w:rPr>
      </w:pPr>
      <w:r>
        <w:rPr>
          <w:rFonts w:hint="eastAsia" w:ascii="宋体" w:hAnsi="宋体" w:cs="宋体"/>
          <w:sz w:val="24"/>
          <w:highlight w:val="white"/>
        </w:rPr>
        <w:t xml:space="preserve">售后服务见乙方投标文件的承诺。</w:t>
      </w:r>
      <w:r>
        <w:rPr>
          <w:highlight w:val="white"/>
        </w:rPr>
      </w:r>
      <w:r/>
    </w:p>
    <w:p>
      <w:pPr>
        <w:ind w:firstLine="482"/>
        <w:spacing w:line="360" w:lineRule="auto"/>
        <w:rPr>
          <w:rFonts w:ascii="宋体" w:hAnsi="宋体" w:cs="宋体"/>
          <w:b/>
          <w:bCs/>
          <w:sz w:val="24"/>
          <w:highlight w:val="white"/>
        </w:rPr>
      </w:pPr>
      <w:r>
        <w:rPr>
          <w:rFonts w:hint="eastAsia" w:ascii="宋体" w:hAnsi="宋体" w:cs="宋体"/>
          <w:b/>
          <w:bCs/>
          <w:sz w:val="24"/>
          <w:highlight w:val="white"/>
        </w:rPr>
        <w:t xml:space="preserve">十</w:t>
      </w:r>
      <w:r>
        <w:rPr>
          <w:rFonts w:hint="eastAsia" w:ascii="宋体" w:hAnsi="宋体" w:cs="宋体"/>
          <w:b/>
          <w:bCs/>
          <w:sz w:val="24"/>
          <w:highlight w:val="white"/>
          <w:lang w:val="en-US" w:eastAsia="zh-CN"/>
        </w:rPr>
        <w:t xml:space="preserve">一</w:t>
      </w:r>
      <w:r>
        <w:rPr>
          <w:rFonts w:hint="eastAsia" w:ascii="宋体" w:hAnsi="宋体" w:cs="宋体"/>
          <w:b/>
          <w:bCs/>
          <w:sz w:val="24"/>
          <w:highlight w:val="white"/>
        </w:rPr>
        <w:t xml:space="preserve">、特别条款</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1.双方签约人为各自法定代表人或被授权代表。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2.本合同系指本文件及其附件中的所有部分；其中招标文件、中标的投标文件、中标单位在采购过程中的澄清、承诺等为本合同不可缺少的必要组成部分。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w:t>
      </w:r>
      <w:r>
        <w:rPr>
          <w:rFonts w:hint="eastAsia" w:ascii="宋体" w:hAnsi="宋体"/>
          <w:sz w:val="24"/>
          <w:highlight w:val="white"/>
        </w:rPr>
        <w:t xml:space="preserve">本合同在甲乙双方法定（授权）代表人签字并加盖公章（或合同章），由代理公司将本合同提交政府采购监督管理部门备案通过后生效</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b/>
          <w:bCs/>
          <w:sz w:val="24"/>
          <w:highlight w:val="white"/>
        </w:rPr>
      </w:pPr>
      <w:r>
        <w:rPr>
          <w:rFonts w:hint="eastAsia" w:ascii="宋体" w:hAnsi="宋体" w:cs="宋体"/>
          <w:sz w:val="24"/>
          <w:highlight w:val="white"/>
        </w:rPr>
        <w:t xml:space="preserve">4.本合同一式捌份，甲方执肆份，乙方执贰份，招标代理公司及政府采购管理部门各执壹份，各份具有同等法律效力。</w:t>
      </w:r>
      <w:r>
        <w:rPr>
          <w:highlight w:val="white"/>
        </w:rPr>
      </w:r>
      <w:r/>
    </w:p>
    <w:p>
      <w:pPr>
        <w:ind w:firstLine="482"/>
        <w:spacing w:line="360" w:lineRule="auto"/>
        <w:rPr>
          <w:rFonts w:ascii="宋体" w:hAnsi="宋体" w:cs="宋体"/>
          <w:b/>
          <w:bCs/>
          <w:sz w:val="24"/>
          <w:highlight w:val="white"/>
        </w:rPr>
      </w:pPr>
      <w:r>
        <w:rPr>
          <w:rFonts w:hint="eastAsia" w:ascii="宋体" w:hAnsi="宋体" w:cs="宋体"/>
          <w:b/>
          <w:bCs/>
          <w:sz w:val="24"/>
          <w:highlight w:val="white"/>
        </w:rPr>
        <w:t xml:space="preserve">十</w:t>
      </w:r>
      <w:r>
        <w:rPr>
          <w:rFonts w:hint="eastAsia" w:ascii="宋体" w:hAnsi="宋体" w:cs="宋体"/>
          <w:b/>
          <w:bCs/>
          <w:sz w:val="24"/>
          <w:highlight w:val="white"/>
          <w:lang w:val="en-US" w:eastAsia="zh-CN"/>
        </w:rPr>
        <w:t xml:space="preserve">二</w:t>
      </w:r>
      <w:r>
        <w:rPr>
          <w:rFonts w:hint="eastAsia" w:ascii="宋体" w:hAnsi="宋体" w:cs="宋体"/>
          <w:b/>
          <w:bCs/>
          <w:sz w:val="24"/>
          <w:highlight w:val="white"/>
        </w:rPr>
        <w:t xml:space="preserve">、其他</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本合同未尽事宜，签约双方应友好协商解决。协商不成，任何一方均可向甲方所在地人民法院提起诉讼。</w:t>
      </w:r>
      <w:r>
        <w:rPr>
          <w:highlight w:val="white"/>
        </w:rPr>
      </w:r>
      <w:r/>
    </w:p>
    <w:p>
      <w:pPr>
        <w:ind w:firstLine="482"/>
        <w:spacing w:line="360" w:lineRule="auto"/>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 xml:space="preserve">十三、</w:t>
      </w:r>
      <w:r>
        <w:rPr>
          <w:rFonts w:hint="eastAsia" w:ascii="宋体" w:hAnsi="宋体" w:eastAsia="宋体" w:cs="宋体"/>
          <w:b/>
          <w:bCs/>
          <w:sz w:val="24"/>
          <w:highlight w:val="white"/>
        </w:rPr>
        <w:t xml:space="preserve">合同附件：</w:t>
      </w:r>
      <w:r>
        <w:rPr>
          <w:highlight w:val="white"/>
        </w:rPr>
      </w:r>
      <w:r/>
    </w:p>
    <w:p>
      <w:pPr>
        <w:ind w:left="17" w:firstLine="480"/>
        <w:spacing w:line="360" w:lineRule="auto"/>
        <w:rPr>
          <w:rFonts w:hint="eastAsia" w:ascii="宋体" w:hAnsi="宋体"/>
          <w:sz w:val="24"/>
          <w:highlight w:val="white"/>
        </w:rPr>
      </w:pPr>
      <w:r>
        <w:rPr>
          <w:rFonts w:hint="eastAsia" w:ascii="宋体" w:hAnsi="宋体"/>
          <w:sz w:val="24"/>
          <w:highlight w:val="white"/>
        </w:rPr>
        <w:t xml:space="preserve">附件1.配餐服务月考核表</w:t>
      </w:r>
      <w:r>
        <w:rPr>
          <w:highlight w:val="white"/>
        </w:rPr>
      </w:r>
      <w:r/>
    </w:p>
    <w:p>
      <w:pPr>
        <w:ind w:left="17" w:firstLine="480"/>
        <w:spacing w:line="360" w:lineRule="auto"/>
        <w:rPr>
          <w:rFonts w:hint="eastAsia" w:ascii="宋体" w:hAnsi="宋体"/>
          <w:sz w:val="24"/>
          <w:highlight w:val="white"/>
        </w:rPr>
      </w:pPr>
      <w:r>
        <w:rPr>
          <w:rFonts w:hint="eastAsia" w:ascii="宋体" w:hAnsi="宋体"/>
          <w:sz w:val="24"/>
          <w:highlight w:val="white"/>
        </w:rPr>
        <w:t xml:space="preserve">附件2.服务类项目履约验收方案</w:t>
      </w:r>
      <w:r>
        <w:rPr>
          <w:highlight w:val="white"/>
        </w:rPr>
      </w:r>
      <w:r/>
    </w:p>
    <w:p>
      <w:pPr>
        <w:ind w:left="17" w:firstLine="480"/>
        <w:spacing w:line="360" w:lineRule="auto"/>
        <w:rPr>
          <w:rFonts w:hint="eastAsia" w:ascii="宋体" w:hAnsi="宋体"/>
          <w:sz w:val="24"/>
          <w:highlight w:val="white"/>
        </w:rPr>
      </w:pPr>
      <w:r>
        <w:rPr>
          <w:rFonts w:hint="eastAsia" w:ascii="宋体" w:hAnsi="宋体"/>
          <w:sz w:val="24"/>
          <w:highlight w:val="white"/>
        </w:rPr>
        <w:t xml:space="preserve">附件3.政府采购履约验收书</w:t>
      </w:r>
      <w:r>
        <w:rPr>
          <w:highlight w:val="white"/>
        </w:rPr>
      </w:r>
      <w:r/>
    </w:p>
    <w:p>
      <w:pPr>
        <w:spacing w:line="360" w:lineRule="auto"/>
        <w:rPr>
          <w:rFonts w:hint="eastAsia" w:ascii="Verdana,ˎ̥" w:hAnsi="Verdana,ˎ̥" w:cs="宋体"/>
          <w:sz w:val="24"/>
          <w:highlight w:val="white"/>
        </w:rPr>
      </w:pPr>
      <w:r>
        <w:rPr>
          <w:rFonts w:cs="Arial"/>
          <w:sz w:val="24"/>
          <w:highlight w:val="white"/>
        </w:rPr>
        <w:t xml:space="preserve">（以下无正文）</w:t>
      </w:r>
      <w:r>
        <w:rPr>
          <w:highlight w:val="white"/>
        </w:rPr>
      </w:r>
      <w:r/>
    </w:p>
    <w:tbl>
      <w:tblPr>
        <w:tblStyle w:val="913"/>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5092"/>
        <w:gridCol w:w="4770"/>
      </w:tblGrid>
      <w:tr>
        <w:trPr>
          <w:jc w:val="center"/>
          <w:trHeight w:val="830"/>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jc w:val="left"/>
              <w:spacing w:line="360" w:lineRule="auto"/>
              <w:rPr>
                <w:rFonts w:ascii="宋体" w:hAnsi="宋体" w:cs="宋体"/>
                <w:sz w:val="24"/>
                <w:highlight w:val="white"/>
              </w:rPr>
            </w:pPr>
            <w:r>
              <w:rPr>
                <w:rFonts w:hint="eastAsia" w:ascii="宋体" w:hAnsi="宋体" w:cs="宋体"/>
                <w:sz w:val="24"/>
                <w:highlight w:val="white"/>
              </w:rPr>
              <w:t xml:space="preserve">采购单位（采购人/发包人）（公章）：</w:t>
            </w:r>
            <w:r>
              <w:rPr>
                <w:highlight w:val="white"/>
              </w:rPr>
            </w:r>
            <w:r/>
          </w:p>
          <w:p>
            <w:pPr>
              <w:spacing w:line="360" w:lineRule="auto"/>
              <w:rPr>
                <w:rFonts w:ascii="宋体" w:hAnsi="宋体" w:cs="宋体"/>
                <w:sz w:val="24"/>
                <w:highlight w:val="white"/>
              </w:rPr>
            </w:pPr>
            <w:r>
              <w:rPr>
                <w:rFonts w:ascii="宋体" w:hAnsi="宋体" w:cs="宋体"/>
                <w:sz w:val="24"/>
                <w:highlight w:val="white"/>
              </w:rPr>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供应商（服务单位）（公章）：</w:t>
            </w:r>
            <w:r>
              <w:rPr>
                <w:highlight w:val="white"/>
              </w:rPr>
            </w:r>
            <w:r/>
          </w:p>
          <w:p>
            <w:pPr>
              <w:spacing w:line="360" w:lineRule="auto"/>
              <w:rPr>
                <w:rFonts w:ascii="宋体" w:hAnsi="宋体" w:cs="宋体"/>
                <w:sz w:val="24"/>
                <w:highlight w:val="white"/>
              </w:rPr>
            </w:pPr>
            <w:r>
              <w:rPr>
                <w:rFonts w:ascii="宋体" w:hAnsi="宋体" w:cs="宋体"/>
                <w:sz w:val="24"/>
                <w:highlight w:val="white"/>
              </w:rPr>
            </w:r>
            <w:r>
              <w:rPr>
                <w:highlight w:val="white"/>
              </w:rPr>
            </w:r>
            <w:r/>
          </w:p>
        </w:tc>
      </w:tr>
      <w:tr>
        <w:trPr>
          <w:jc w:val="center"/>
          <w:trHeight w:val="400"/>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住所：</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住所：</w:t>
            </w:r>
            <w:r>
              <w:rPr>
                <w:highlight w:val="white"/>
              </w:rPr>
            </w:r>
            <w:r/>
          </w:p>
        </w:tc>
      </w:tr>
      <w:tr>
        <w:trPr>
          <w:jc w:val="center"/>
          <w:trHeight w:val="57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法定代表人（签章）：</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法定代表人（签章）：</w:t>
            </w:r>
            <w:r>
              <w:rPr>
                <w:highlight w:val="white"/>
              </w:rPr>
            </w:r>
            <w:r/>
          </w:p>
        </w:tc>
      </w:tr>
      <w:tr>
        <w:trPr>
          <w:jc w:val="center"/>
          <w:trHeight w:val="393"/>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委托代理人（签字）：</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委托代理人（签字）：</w:t>
            </w:r>
            <w:r>
              <w:rPr>
                <w:highlight w:val="white"/>
              </w:rPr>
            </w:r>
            <w:r/>
          </w:p>
        </w:tc>
      </w:tr>
      <w:tr>
        <w:trPr>
          <w:jc w:val="cente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电话：</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电话：</w:t>
            </w:r>
            <w:r>
              <w:rPr>
                <w:highlight w:val="white"/>
              </w:rPr>
            </w:r>
            <w:r/>
          </w:p>
        </w:tc>
      </w:tr>
      <w:tr>
        <w:trPr>
          <w:jc w:val="cente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传真：</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传真：</w:t>
            </w:r>
            <w:r>
              <w:rPr>
                <w:highlight w:val="white"/>
              </w:rPr>
            </w:r>
            <w:r/>
          </w:p>
        </w:tc>
      </w:tr>
      <w:tr>
        <w:trPr>
          <w:jc w:val="cente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开户银行：</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开户银行：</w:t>
            </w:r>
            <w:r>
              <w:rPr>
                <w:highlight w:val="white"/>
              </w:rPr>
            </w:r>
            <w:r/>
          </w:p>
        </w:tc>
      </w:tr>
      <w:tr>
        <w:trPr>
          <w:jc w:val="cente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银行账号：</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银行账号：</w:t>
            </w:r>
            <w:r>
              <w:rPr>
                <w:highlight w:val="white"/>
              </w:rPr>
            </w:r>
            <w:r/>
          </w:p>
        </w:tc>
      </w:tr>
      <w:tr>
        <w:trPr>
          <w:jc w:val="center"/>
          <w:trHeight w:val="38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数币账号</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数币账号</w:t>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签订日期：</w:t>
            </w:r>
            <w:r>
              <w:rPr>
                <w:highlight w:val="whit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签订日期：</w:t>
            </w:r>
            <w:r>
              <w:rPr>
                <w:highlight w:val="white"/>
              </w:rPr>
            </w:r>
            <w:r/>
          </w:p>
        </w:tc>
      </w:tr>
    </w:tbl>
    <w:p>
      <w:pPr>
        <w:ind w:firstLine="480"/>
        <w:jc w:val="left"/>
        <w:spacing w:line="360" w:lineRule="auto"/>
        <w:rPr>
          <w:rFonts w:hint="eastAsia" w:ascii="宋体" w:hAnsi="宋体"/>
          <w:sz w:val="24"/>
          <w:highlight w:val="white"/>
        </w:rPr>
      </w:pPr>
      <w:r>
        <w:rPr>
          <w:rFonts w:ascii="宋体" w:hAnsi="宋体"/>
          <w:b/>
          <w:sz w:val="30"/>
          <w:szCs w:val="30"/>
          <w:highlight w:val="white"/>
        </w:rPr>
        <w:br w:type="page" w:clear="all"/>
      </w:r>
      <w:r>
        <w:rPr>
          <w:highlight w:val="white"/>
        </w:rPr>
      </w:r>
      <w:r/>
    </w:p>
    <w:p>
      <w:pPr>
        <w:spacing w:line="360" w:lineRule="auto"/>
        <w:widowControl/>
        <w:rPr>
          <w:rFonts w:ascii="宋体" w:hAnsi="宋体" w:cs="宋体"/>
          <w:b/>
          <w:bCs/>
          <w:sz w:val="24"/>
          <w:highlight w:val="white"/>
        </w:rPr>
      </w:pPr>
      <w:r>
        <w:rPr>
          <w:rFonts w:hint="eastAsia" w:ascii="宋体" w:hAnsi="宋体" w:cs="宋体"/>
          <w:b/>
          <w:bCs/>
          <w:sz w:val="24"/>
          <w:highlight w:val="white"/>
        </w:rPr>
        <w:t xml:space="preserve">附件</w:t>
      </w:r>
      <w:r>
        <w:rPr>
          <w:rFonts w:hint="eastAsia" w:ascii="宋体" w:hAnsi="宋体" w:cs="宋体"/>
          <w:b/>
          <w:bCs/>
          <w:sz w:val="24"/>
          <w:highlight w:val="white"/>
          <w:lang w:val="en-US" w:eastAsia="zh-CN"/>
        </w:rPr>
        <w:t xml:space="preserve">1</w:t>
      </w:r>
      <w:r>
        <w:rPr>
          <w:rFonts w:hint="eastAsia" w:ascii="宋体" w:hAnsi="宋体" w:cs="宋体"/>
          <w:b/>
          <w:bCs/>
          <w:sz w:val="24"/>
          <w:highlight w:val="white"/>
        </w:rPr>
        <w:t xml:space="preserve">：配餐服务月考核表</w:t>
      </w:r>
      <w:r>
        <w:rPr>
          <w:highlight w:val="white"/>
        </w:rPr>
      </w:r>
      <w:r/>
    </w:p>
    <w:p>
      <w:pPr>
        <w:jc w:val="left"/>
        <w:spacing w:line="360" w:lineRule="auto"/>
        <w:rPr>
          <w:rFonts w:ascii="宋体" w:hAnsi="宋体" w:cs="宋体"/>
          <w:sz w:val="24"/>
          <w:highlight w:val="white"/>
        </w:rPr>
      </w:pPr>
      <w:r>
        <w:rPr>
          <w:rFonts w:hint="eastAsia" w:ascii="宋体" w:hAnsi="宋体" w:cs="宋体"/>
          <w:sz w:val="24"/>
          <w:highlight w:val="white"/>
        </w:rPr>
        <w:t xml:space="preserve">被考核单位：          </w:t>
      </w:r>
      <w:r>
        <w:rPr>
          <w:rFonts w:hint="eastAsia" w:ascii="宋体" w:hAnsi="宋体" w:cs="宋体"/>
          <w:sz w:val="24"/>
          <w:highlight w:val="white"/>
          <w:lang w:val="en-US" w:eastAsia="zh-CN"/>
        </w:rPr>
        <w:t xml:space="preserve">        </w:t>
      </w:r>
      <w:r>
        <w:rPr>
          <w:rFonts w:hint="eastAsia" w:ascii="宋体" w:hAnsi="宋体" w:cs="宋体"/>
          <w:sz w:val="24"/>
          <w:highlight w:val="white"/>
        </w:rPr>
        <w:t xml:space="preserve">    日期：   年   月   日</w:t>
      </w:r>
      <w:r>
        <w:rPr>
          <w:highlight w:val="white"/>
        </w:rPr>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517"/>
        <w:gridCol w:w="715"/>
        <w:gridCol w:w="517"/>
        <w:gridCol w:w="7279"/>
      </w:tblGrid>
      <w:tr>
        <w:trPr>
          <w:jc w:val="center"/>
          <w:trHeight w:val="531"/>
        </w:trPr>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一级</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指标</w:t>
            </w:r>
            <w:r>
              <w:rPr>
                <w:highlight w:val="white"/>
              </w:rPr>
            </w:r>
            <w:r/>
          </w:p>
        </w:tc>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分值</w:t>
            </w:r>
            <w:r>
              <w:rPr>
                <w:highlight w:val="white"/>
              </w:rPr>
            </w:r>
            <w:r/>
          </w:p>
        </w:tc>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二级</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指标</w:t>
            </w:r>
            <w:r>
              <w:rPr>
                <w:highlight w:val="white"/>
              </w:rPr>
            </w:r>
            <w:r/>
          </w:p>
        </w:tc>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分值</w:t>
            </w:r>
            <w:r>
              <w:rPr>
                <w:highlight w:val="white"/>
              </w:rPr>
            </w:r>
            <w:r/>
          </w:p>
        </w:tc>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考核要素和评估内容及其标准</w:t>
            </w:r>
            <w:r>
              <w:rPr>
                <w:highlight w:val="white"/>
              </w:rPr>
            </w:r>
            <w:r/>
          </w:p>
        </w:tc>
      </w:tr>
      <w:tr>
        <w:trPr>
          <w:jc w:val="center"/>
          <w:trHeight w:val="584"/>
        </w:trPr>
        <w:tc>
          <w:tcPr>
            <w:tcW w:w="0" w:type="auto"/>
            <w:vAlign w:val="center"/>
            <w:vMerge w:val="restart"/>
            <w:textDirection w:val="tbRlV"/>
            <w:noWrap w:val="false"/>
          </w:tcPr>
          <w:p>
            <w:pPr>
              <w:ind w:left="113" w:righ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设备设施</w:t>
            </w:r>
            <w:r>
              <w:rPr>
                <w:highlight w:val="white"/>
              </w:rPr>
            </w:r>
            <w:r/>
          </w:p>
        </w:tc>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场地与功能</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食材配送占地和建筑面积适中，布局合理，设备设施配套功能齐全且整洁2分如有缩小面积、擅自改变其功能等与配送无关联的变更现象，该项不得分。</w:t>
            </w:r>
            <w:r>
              <w:rPr>
                <w:highlight w:val="white"/>
              </w:rPr>
            </w:r>
            <w:r/>
          </w:p>
        </w:tc>
      </w:tr>
      <w:tr>
        <w:trPr>
          <w:jc w:val="center"/>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运输工具</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送货均使用专用冷藏车2分（5-10月须开启冷藏设备，其余时间视气温情况而定），未用冷藏车或该开启冷藏设备而未开启冷藏设备发现一次扣1分，扣完为止。</w:t>
            </w:r>
            <w:r>
              <w:rPr>
                <w:highlight w:val="white"/>
              </w:rPr>
            </w:r>
            <w:r/>
          </w:p>
        </w:tc>
      </w:tr>
      <w:tr>
        <w:trPr>
          <w:jc w:val="center"/>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冷库</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科学、规范控制冷库温度，冷库堆放有序1分，如实填写进出库资料1分（根据实情酌情扣分）。</w:t>
            </w:r>
            <w:r>
              <w:rPr>
                <w:highlight w:val="white"/>
              </w:rPr>
            </w:r>
            <w:r/>
          </w:p>
        </w:tc>
      </w:tr>
      <w:tr>
        <w:trPr>
          <w:jc w:val="center"/>
          <w:trHeight w:val="641"/>
        </w:trPr>
        <w:tc>
          <w:tcPr>
            <w:tcW w:w="0" w:type="auto"/>
            <w:vAlign w:val="center"/>
            <w:vMerge w:val="restart"/>
            <w:textDirection w:val="tbRlV"/>
            <w:noWrap w:val="false"/>
          </w:tcPr>
          <w:p>
            <w:pPr>
              <w:ind w:left="113" w:righ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流程管理</w:t>
            </w:r>
            <w:r>
              <w:rPr>
                <w:highlight w:val="white"/>
              </w:rPr>
            </w:r>
            <w:r/>
          </w:p>
        </w:tc>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30分</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准时送货</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9分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送货准时，每天所需食材一并送达（水产除外）9分（非不可抗拒情况下延误一次扣3分，以此类推，扣完为止。</w:t>
            </w:r>
            <w:r>
              <w:rPr>
                <w:highlight w:val="white"/>
              </w:rPr>
            </w:r>
            <w:r/>
          </w:p>
        </w:tc>
      </w:tr>
      <w:tr>
        <w:trPr>
          <w:jc w:val="center"/>
          <w:trHeight w:val="570"/>
        </w:trPr>
        <w:tc>
          <w:tcPr>
            <w:tcW w:w="0" w:type="auto"/>
            <w:vAlign w:val="center"/>
            <w:vMerge w:val="continue"/>
            <w:textDirection w:val="tbRlV"/>
            <w:noWrap w:val="false"/>
          </w:tcPr>
          <w:p>
            <w:pPr>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足斤足两</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9分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送货无短斤缺两现象9分（份量短缺达到该类食材配送总量5%以上，有一次扣3分，以此类推，扣完为止）。</w:t>
            </w:r>
            <w:r>
              <w:rPr>
                <w:highlight w:val="white"/>
              </w:rPr>
            </w:r>
            <w:r/>
          </w:p>
        </w:tc>
      </w:tr>
      <w:tr>
        <w:trPr>
          <w:jc w:val="center"/>
          <w:trHeight w:val="613"/>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服务态度</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4分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工作人员工作认真，服务热情周到，运送搬装文明4分（运送人员野蛮运装或无正当理由与食堂人员争执，一次扣2分，扣完为止）。</w:t>
            </w:r>
            <w:r>
              <w:rPr>
                <w:highlight w:val="white"/>
              </w:rPr>
            </w:r>
            <w:r/>
          </w:p>
        </w:tc>
      </w:tr>
      <w:tr>
        <w:trPr>
          <w:jc w:val="center"/>
          <w:trHeight w:val="419"/>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工作细致</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配送物品清单与实际配送无差错6分（误差一次扣3分，以此类推，扣完为止）。</w:t>
            </w:r>
            <w:r>
              <w:rPr>
                <w:highlight w:val="white"/>
              </w:rPr>
            </w:r>
            <w:r/>
          </w:p>
        </w:tc>
      </w:tr>
      <w:tr>
        <w:trPr>
          <w:jc w:val="center"/>
          <w:trHeight w:val="417"/>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单据清晰</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送货单（结算凭证）项目齐全，机器打印清晰2分，否则不得分。</w:t>
            </w:r>
            <w:r>
              <w:rPr>
                <w:highlight w:val="white"/>
              </w:rPr>
            </w:r>
            <w:r/>
          </w:p>
        </w:tc>
      </w:tr>
      <w:tr>
        <w:trPr>
          <w:jc w:val="center"/>
          <w:trHeight w:val="1124"/>
        </w:trPr>
        <w:tc>
          <w:tcPr>
            <w:tcW w:w="0" w:type="auto"/>
            <w:vAlign w:val="center"/>
            <w:textDirection w:val="lrTb"/>
            <w:noWrap w:val="false"/>
          </w:tcPr>
          <w:p>
            <w:pPr>
              <w:ind w:lef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质量管理</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40分</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食材每日</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评分</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40分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每天对配送单位提供的食材质量进行验收40分（验收时按各类食材验收标准打分，验收标准见合同）。</w:t>
            </w:r>
            <w:r>
              <w:rPr>
                <w:highlight w:val="white"/>
              </w:rPr>
            </w:r>
            <w:r/>
          </w:p>
        </w:tc>
      </w:tr>
      <w:tr>
        <w:trPr>
          <w:jc w:val="center"/>
          <w:trHeight w:val="662"/>
        </w:trPr>
        <w:tc>
          <w:tcPr>
            <w:tcW w:w="0" w:type="auto"/>
            <w:vAlign w:val="center"/>
            <w:vMerge w:val="restart"/>
            <w:textDirection w:val="tbRlV"/>
            <w:noWrap w:val="false"/>
          </w:tcPr>
          <w:p>
            <w:pPr>
              <w:ind w:left="113" w:right="113"/>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科学管理</w:t>
            </w:r>
            <w:r>
              <w:rPr>
                <w:highlight w:val="white"/>
              </w:rPr>
            </w:r>
            <w:r/>
          </w:p>
        </w:tc>
        <w:tc>
          <w:tcPr>
            <w:tcW w:w="0" w:type="auto"/>
            <w:vAlign w:val="center"/>
            <w:vMerge w:val="restart"/>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24分</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诚信经营</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不得将部分商品或部分</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的供应权限转让或分包给他人经营6分（如有违反不得分，并考虑取消配送资格）。</w:t>
            </w:r>
            <w:r>
              <w:rPr>
                <w:highlight w:val="white"/>
              </w:rPr>
            </w:r>
            <w:r/>
          </w:p>
        </w:tc>
      </w:tr>
      <w:tr>
        <w:trPr>
          <w:jc w:val="center"/>
          <w:trHeight w:val="835"/>
        </w:trPr>
        <w:tc>
          <w:tcPr>
            <w:tcW w:w="0" w:type="auto"/>
            <w:vAlign w:val="center"/>
            <w:vMerge w:val="continue"/>
            <w:textDirection w:val="tbRlV"/>
            <w:noWrap w:val="false"/>
          </w:tcPr>
          <w:p>
            <w:pPr>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结算精准</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对</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：送货单上单价、月底结算价格符合招标文件精神，结算账目清晰准确，价格合理。对上家供应商：每月结清，不拖欠（结算不及时或延时付款，该项目不得分）。</w:t>
            </w:r>
            <w:r>
              <w:rPr>
                <w:highlight w:val="white"/>
              </w:rPr>
            </w:r>
            <w:r/>
          </w:p>
        </w:tc>
      </w:tr>
      <w:tr>
        <w:trPr>
          <w:jc w:val="center"/>
          <w:trHeight w:val="542"/>
        </w:trPr>
        <w:tc>
          <w:tcPr>
            <w:tcW w:w="0" w:type="auto"/>
            <w:vAlign w:val="center"/>
            <w:vMerge w:val="continue"/>
            <w:textDirection w:val="tbRlV"/>
            <w:noWrap w:val="false"/>
          </w:tcPr>
          <w:p>
            <w:pPr>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留样制度</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6分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每天做好蔬菜农药残留检测，并作记录。规范做好留样工作。（记录缺失扣3分，留样不规范扣3分）。</w:t>
            </w:r>
            <w:r>
              <w:rPr>
                <w:highlight w:val="white"/>
              </w:rPr>
            </w:r>
            <w:r/>
          </w:p>
        </w:tc>
      </w:tr>
      <w:tr>
        <w:trPr>
          <w:jc w:val="center"/>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安全清洁</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3分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操作场所、仓库、运输工具、贮物筐箱等保持清洁卫生，坚持每天清洁工作，按规定定期消毒并做好记载，仓库内无过期物品，有单独的专供仓库3分（抽查到不符要求的每次扣1分，以此类推，扣完为止）。</w:t>
            </w:r>
            <w:r>
              <w:rPr>
                <w:highlight w:val="white"/>
              </w:rPr>
            </w:r>
            <w:r/>
          </w:p>
        </w:tc>
      </w:tr>
      <w:tr>
        <w:trPr>
          <w:jc w:val="center"/>
          <w:trHeight w:val="810"/>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联系制度</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3分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如网上没有</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所需商品名录，事先与</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联系并谈妥商品的品牌、品级、规格、价格等事项，然后发货3分。（配送单位单方定价后再送货不得分）。</w:t>
            </w:r>
            <w:r>
              <w:rPr>
                <w:highlight w:val="white"/>
              </w:rPr>
            </w:r>
            <w:r/>
          </w:p>
        </w:tc>
      </w:tr>
      <w:tr>
        <w:trPr>
          <w:jc w:val="center"/>
          <w:trHeight w:val="570"/>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及时整改</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对</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的意见、建议虚心接受，运作过程中出现的新情况新问题及时主动沟通、协调有效果，及时整改见实效2分（整改效果不明显扣1分，未见整改效果不得分）。</w:t>
            </w:r>
            <w:r>
              <w:rPr>
                <w:highlight w:val="white"/>
              </w:rPr>
            </w:r>
            <w:r/>
          </w:p>
        </w:tc>
      </w:tr>
      <w:tr>
        <w:trPr>
          <w:jc w:val="center"/>
        </w:trPr>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协调沟通</w:t>
            </w:r>
            <w:r>
              <w:rPr>
                <w:highlight w:val="white"/>
              </w:rPr>
            </w:r>
            <w:r/>
          </w:p>
        </w:tc>
        <w:tc>
          <w:tcPr>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2分</w:t>
            </w:r>
            <w:r>
              <w:rPr>
                <w:highlight w:val="white"/>
              </w:rPr>
            </w:r>
            <w:r/>
          </w:p>
        </w:tc>
        <w:tc>
          <w:tcPr>
            <w:tcW w:w="0" w:type="auto"/>
            <w:vAlign w:val="center"/>
            <w:textDirection w:val="lrTb"/>
            <w:noWrap w:val="false"/>
          </w:tcPr>
          <w:p>
            <w:pPr>
              <w:spacing w:line="360" w:lineRule="auto"/>
              <w:rPr>
                <w:rFonts w:ascii="宋体" w:hAnsi="宋体" w:cs="宋体"/>
                <w:sz w:val="21"/>
                <w:szCs w:val="21"/>
                <w:highlight w:val="white"/>
              </w:rPr>
            </w:pPr>
            <w:r>
              <w:rPr>
                <w:rFonts w:hint="eastAsia" w:ascii="宋体" w:hAnsi="宋体" w:cs="宋体"/>
                <w:sz w:val="21"/>
                <w:szCs w:val="21"/>
                <w:highlight w:val="white"/>
              </w:rPr>
              <w:t xml:space="preserve">每个月的月底，主动向</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书面报告工作情况（主要内容为：</w:t>
            </w:r>
            <w:r>
              <w:rPr>
                <w:rFonts w:hint="eastAsia" w:ascii="宋体" w:hAnsi="宋体" w:cs="宋体"/>
                <w:sz w:val="21"/>
                <w:szCs w:val="21"/>
                <w:highlight w:val="white"/>
                <w:lang w:eastAsia="zh-CN"/>
              </w:rPr>
              <w:t xml:space="preserve">采购方</w:t>
            </w:r>
            <w:r>
              <w:rPr>
                <w:rFonts w:hint="eastAsia" w:ascii="宋体" w:hAnsi="宋体" w:cs="宋体"/>
                <w:sz w:val="21"/>
                <w:szCs w:val="21"/>
                <w:highlight w:val="white"/>
              </w:rPr>
              <w:t xml:space="preserve">、上家供应商运作情况，工作上不和谐之事之因之果，以及意见或建议）得2分；不按时交不得分。</w:t>
            </w:r>
            <w:r>
              <w:rPr>
                <w:highlight w:val="white"/>
              </w:rPr>
            </w:r>
            <w:r/>
          </w:p>
        </w:tc>
      </w:tr>
      <w:tr>
        <w:trPr>
          <w:jc w:val="center"/>
          <w:trHeight w:val="509"/>
        </w:trPr>
        <w:tc>
          <w:tcPr>
            <w:gridSpan w:val="4"/>
            <w:tcW w:w="0" w:type="auto"/>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总      分</w:t>
            </w:r>
            <w:r>
              <w:rPr>
                <w:highlight w:val="white"/>
              </w:rPr>
            </w:r>
            <w:r/>
          </w:p>
        </w:tc>
        <w:tc>
          <w:tcPr>
            <w:tcW w:w="0" w:type="auto"/>
            <w:vAlign w:val="top"/>
            <w:textDirection w:val="lrTb"/>
            <w:noWrap w:val="false"/>
          </w:tcPr>
          <w:p>
            <w:pP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509"/>
        </w:trPr>
        <w:tc>
          <w:tcPr>
            <w:gridSpan w:val="4"/>
            <w:tcW w:w="0" w:type="auto"/>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cs="宋体"/>
                <w:sz w:val="21"/>
                <w:szCs w:val="21"/>
                <w:highlight w:val="white"/>
                <w:lang w:val="en-US" w:eastAsia="zh-CN"/>
              </w:rPr>
              <w:t xml:space="preserve">说明</w:t>
            </w:r>
            <w:r>
              <w:rPr>
                <w:highlight w:val="white"/>
              </w:rPr>
            </w:r>
            <w:r/>
          </w:p>
        </w:tc>
        <w:tc>
          <w:tcPr>
            <w:tcW w:w="0" w:type="auto"/>
            <w:vAlign w:val="center"/>
            <w:textDirection w:val="lrTb"/>
            <w:noWrap w:val="false"/>
          </w:tcPr>
          <w:p>
            <w:pPr>
              <w:spacing w:line="360" w:lineRule="auto"/>
              <w:rPr>
                <w:rFonts w:hint="eastAsia" w:ascii="宋体" w:hAnsi="宋体" w:cs="宋体"/>
                <w:sz w:val="21"/>
                <w:szCs w:val="21"/>
                <w:highlight w:val="white"/>
              </w:rPr>
            </w:pPr>
            <w:r>
              <w:rPr>
                <w:rFonts w:hint="eastAsia" w:ascii="宋体" w:hAnsi="宋体" w:cs="宋体"/>
                <w:sz w:val="21"/>
                <w:szCs w:val="21"/>
                <w:highlight w:val="white"/>
                <w:lang w:val="en-US" w:eastAsia="zh-CN"/>
              </w:rPr>
              <w:t xml:space="preserve">1、</w:t>
            </w:r>
            <w:r>
              <w:rPr>
                <w:rFonts w:hint="eastAsia" w:ascii="宋体" w:hAnsi="宋体" w:cs="宋体"/>
                <w:sz w:val="21"/>
                <w:szCs w:val="21"/>
                <w:highlight w:val="white"/>
              </w:rPr>
              <w:t xml:space="preserve">月度考核得分达90分及以上，不扣除当月费用；如总分低于90分（含90分），配送公司要做出书面的整改承诺，并按照每下降一分处以500元扣款（违约金），采购方有权直接从应付未付款项中扣除。。</w:t>
            </w:r>
            <w:r>
              <w:rPr>
                <w:highlight w:val="white"/>
              </w:rPr>
            </w:r>
            <w:r/>
          </w:p>
          <w:p>
            <w:pPr>
              <w:spacing w:line="360" w:lineRule="auto"/>
              <w:rPr>
                <w:rFonts w:ascii="宋体" w:hAnsi="宋体" w:eastAsia="宋体" w:cs="宋体"/>
                <w:sz w:val="21"/>
                <w:szCs w:val="21"/>
                <w:highlight w:val="white"/>
              </w:rPr>
            </w:pPr>
            <w:r>
              <w:rPr>
                <w:rFonts w:hint="eastAsia" w:ascii="宋体" w:hAnsi="宋体" w:cs="宋体"/>
                <w:sz w:val="21"/>
                <w:szCs w:val="21"/>
                <w:highlight w:val="white"/>
                <w:lang w:val="en-US" w:eastAsia="zh-CN"/>
              </w:rPr>
              <w:t xml:space="preserve">2、</w:t>
            </w:r>
            <w:r>
              <w:rPr>
                <w:rFonts w:hint="eastAsia" w:ascii="宋体" w:hAnsi="宋体" w:cs="宋体"/>
                <w:sz w:val="21"/>
                <w:szCs w:val="21"/>
                <w:highlight w:val="white"/>
              </w:rPr>
              <w:t xml:space="preserve">为保证企业正常运作，同时巩固作业质量，如月度考核二次或二次以上低于80分；采购方有权终止合同（或协议），成交方需无条件按采购方要求办理移交、退场手续。</w:t>
            </w:r>
            <w:r>
              <w:rPr>
                <w:highlight w:val="white"/>
              </w:rPr>
            </w:r>
            <w:r/>
          </w:p>
        </w:tc>
      </w:tr>
    </w:tbl>
    <w:p>
      <w:pPr>
        <w:ind w:firstLine="480"/>
        <w:spacing w:line="360" w:lineRule="auto"/>
        <w:rPr>
          <w:rFonts w:ascii="宋体" w:hAnsi="宋体" w:cs="宋体"/>
          <w:sz w:val="24"/>
          <w:highlight w:val="white"/>
        </w:rPr>
      </w:pPr>
      <w:r>
        <w:rPr>
          <w:rFonts w:hint="eastAsia" w:ascii="宋体" w:hAnsi="宋体" w:cs="宋体"/>
          <w:sz w:val="24"/>
          <w:highlight w:val="white"/>
        </w:rPr>
        <w:t xml:space="preserve">供应商（服务单位）（公章）：</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项目负责人签字：</w:t>
      </w:r>
      <w:r>
        <w:rPr>
          <w:highlight w:val="white"/>
        </w:rPr>
      </w:r>
      <w:r/>
    </w:p>
    <w:p>
      <w:pPr>
        <w:pStyle w:val="918"/>
        <w:rPr>
          <w:rFonts w:hint="eastAsia" w:ascii="宋体" w:hAnsi="宋体" w:cs="宋体"/>
          <w:sz w:val="24"/>
          <w:highlight w:val="white"/>
        </w:rPr>
      </w:pPr>
      <w:r>
        <w:rPr>
          <w:rFonts w:hint="eastAsia" w:ascii="宋体" w:hAnsi="宋体" w:cs="宋体"/>
          <w:sz w:val="24"/>
          <w:highlight w:val="white"/>
        </w:rPr>
      </w:r>
      <w:r>
        <w:rPr>
          <w:highlight w:val="white"/>
        </w:rPr>
      </w:r>
      <w:r/>
    </w:p>
    <w:p>
      <w:pPr>
        <w:rPr>
          <w:rFonts w:hint="eastAsia"/>
          <w:highlight w:val="white"/>
        </w:rPr>
      </w:pPr>
      <w:r>
        <w:rPr>
          <w:rFonts w:hint="eastAsia"/>
          <w:highlight w:val="white"/>
        </w:rPr>
        <w:br w:type="page" w:clear="all"/>
      </w:r>
      <w:r>
        <w:rPr>
          <w:highlight w:val="white"/>
        </w:rPr>
      </w:r>
      <w:r/>
    </w:p>
    <w:p>
      <w:pPr>
        <w:rPr>
          <w:rFonts w:hint="eastAsia"/>
          <w:highlight w:val="white"/>
        </w:rPr>
      </w:pPr>
      <w:r>
        <w:rPr>
          <w:rFonts w:hint="eastAsia"/>
          <w:highlight w:val="white"/>
        </w:rPr>
      </w:r>
      <w:r>
        <w:rPr>
          <w:highlight w:val="white"/>
        </w:rPr>
      </w:r>
      <w:r/>
    </w:p>
    <w:p>
      <w:pPr>
        <w:spacing w:line="360" w:lineRule="auto"/>
        <w:rPr>
          <w:rFonts w:hint="eastAsia" w:ascii="宋体" w:hAnsi="宋体" w:cs="宋体"/>
          <w:b/>
          <w:sz w:val="24"/>
          <w:szCs w:val="44"/>
          <w:highlight w:val="white"/>
        </w:rPr>
      </w:pPr>
      <w:r>
        <w:rPr>
          <w:rFonts w:hint="eastAsia" w:ascii="宋体" w:hAnsi="宋体" w:cs="宋体"/>
          <w:b/>
          <w:szCs w:val="36"/>
          <w:highlight w:val="white"/>
        </w:rPr>
        <w:t xml:space="preserve">附件2：</w:t>
      </w:r>
      <w:r>
        <w:rPr>
          <w:highlight w:val="white"/>
        </w:rPr>
      </w:r>
      <w:r/>
    </w:p>
    <w:p>
      <w:pPr>
        <w:jc w:val="center"/>
        <w:spacing w:after="160" w:line="360" w:lineRule="auto"/>
        <w:rPr>
          <w:rFonts w:hint="eastAsia" w:ascii="宋体" w:hAnsi="宋体" w:cs="宋体"/>
          <w:b/>
          <w:sz w:val="36"/>
          <w:szCs w:val="22"/>
          <w:highlight w:val="white"/>
        </w:rPr>
      </w:pPr>
      <w:r>
        <w:rPr>
          <w:rFonts w:hint="eastAsia" w:ascii="宋体" w:hAnsi="宋体" w:cs="宋体"/>
          <w:b/>
          <w:sz w:val="36"/>
          <w:szCs w:val="22"/>
          <w:highlight w:val="white"/>
        </w:rPr>
        <w:t xml:space="preserve">服务类项目履约验收方案</w:t>
      </w:r>
      <w:r>
        <w:rPr>
          <w:highlight w:val="white"/>
        </w:rPr>
      </w:r>
      <w:r/>
    </w:p>
    <w:p>
      <w:pPr>
        <w:numPr>
          <w:ilvl w:val="0"/>
          <w:numId w:val="1"/>
        </w:numPr>
        <w:jc w:val="left"/>
        <w:spacing w:after="160" w:line="360" w:lineRule="auto"/>
        <w:rPr>
          <w:rFonts w:hint="eastAsia" w:ascii="宋体" w:hAnsi="宋体" w:cs="宋体"/>
          <w:b/>
          <w:highlight w:val="white"/>
        </w:rPr>
      </w:pPr>
      <w:r>
        <w:rPr>
          <w:rFonts w:hint="eastAsia" w:ascii="宋体" w:hAnsi="宋体" w:cs="宋体"/>
          <w:b/>
          <w:sz w:val="24"/>
          <w:highlight w:val="white"/>
        </w:rPr>
        <w:t xml:space="preserve">项目概况</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项目编号：</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项目名称：</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供应商名称：</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合同金额：</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验收主体：</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验收目的</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验收依据</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采购单位通过政府采购方式和程序确定供应商的货物和服务类政府采购项目应当执行《江苏省政府采购履约验收管理办法》（苏财规〔2024〕7号）。政府招标文件、供应商投标（响应）文件、政府采购合同是履约验收工作的基本依据。</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验收责任主体</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验收方式（形式）</w:t>
      </w:r>
      <w:r>
        <w:rPr>
          <w:highlight w:val="white"/>
        </w:rPr>
      </w:r>
      <w:r/>
    </w:p>
    <w:p>
      <w:pPr>
        <w:jc w:val="left"/>
        <w:spacing w:after="160" w:line="360" w:lineRule="auto"/>
        <w:rPr>
          <w:rFonts w:hint="eastAsia" w:ascii="宋体" w:hAnsi="宋体" w:cs="宋体"/>
          <w:b/>
          <w:szCs w:val="22"/>
          <w:highlight w:val="white"/>
        </w:rPr>
      </w:pPr>
      <w:r>
        <w:rPr>
          <w:rFonts w:hint="eastAsia" w:ascii="宋体" w:hAnsi="宋体" w:cs="宋体"/>
          <w:b/>
          <w:szCs w:val="22"/>
          <w:highlight w:val="white"/>
        </w:rPr>
        <w:t xml:space="preserve">5.1日常考核、分段验收</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对于一次性整体验收不能反映履约情况的服务类项目，需要在服务期内对供应商服务实施情况进行日常考核、分段验收，应科学确定检查周期或分段节点，指派具体考核人员，分别实施验收。</w:t>
      </w:r>
      <w:r>
        <w:rPr>
          <w:highlight w:val="white"/>
        </w:rPr>
      </w:r>
      <w:r/>
    </w:p>
    <w:p>
      <w:pPr>
        <w:spacing w:after="120" w:line="278" w:lineRule="auto"/>
        <w:rPr>
          <w:rFonts w:hint="eastAsia" w:ascii="宋体" w:hAnsi="宋体" w:cs="宋体"/>
          <w:b/>
          <w:szCs w:val="22"/>
          <w:highlight w:val="white"/>
        </w:rPr>
      </w:pPr>
      <w:r>
        <w:rPr>
          <w:rFonts w:hint="eastAsia" w:ascii="宋体" w:hAnsi="宋体" w:cs="宋体"/>
          <w:szCs w:val="22"/>
          <w:highlight w:val="white"/>
        </w:rPr>
        <w:t xml:space="preserve">5.2</w:t>
      </w:r>
      <w:r>
        <w:rPr>
          <w:rFonts w:hint="eastAsia" w:ascii="宋体" w:hAnsi="宋体" w:cs="宋体"/>
          <w:b/>
          <w:szCs w:val="22"/>
          <w:highlight w:val="white"/>
        </w:rPr>
        <w:t xml:space="preserve">最终验收</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验收内容</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验收程序</w:t>
      </w:r>
      <w:r>
        <w:rPr>
          <w:highlight w:val="white"/>
        </w:rPr>
      </w:r>
      <w:r/>
    </w:p>
    <w:p>
      <w:pPr>
        <w:jc w:val="left"/>
        <w:spacing w:after="160" w:line="360" w:lineRule="auto"/>
        <w:rPr>
          <w:rFonts w:hint="eastAsia" w:ascii="宋体" w:hAnsi="宋体" w:cs="宋体"/>
          <w:b/>
          <w:bCs/>
          <w:szCs w:val="22"/>
          <w:highlight w:val="white"/>
        </w:rPr>
      </w:pPr>
      <w:r>
        <w:rPr>
          <w:rFonts w:hint="eastAsia" w:ascii="宋体" w:hAnsi="宋体" w:cs="宋体"/>
          <w:b/>
          <w:bCs/>
          <w:szCs w:val="22"/>
          <w:highlight w:val="white"/>
        </w:rPr>
        <w:t xml:space="preserve">7.1验收准备</w:t>
      </w:r>
      <w:r>
        <w:rPr>
          <w:highlight w:val="white"/>
        </w:rPr>
      </w:r>
      <w:r/>
    </w:p>
    <w:p>
      <w:pPr>
        <w:spacing w:after="160" w:line="360" w:lineRule="auto"/>
        <w:rPr>
          <w:rFonts w:hint="eastAsia" w:ascii="宋体" w:hAnsi="宋体" w:cs="宋体"/>
          <w:szCs w:val="22"/>
          <w:highlight w:val="white"/>
        </w:rPr>
      </w:pPr>
      <w:r>
        <w:rPr>
          <w:rFonts w:hint="eastAsia" w:ascii="宋体" w:hAnsi="宋体" w:cs="宋体"/>
          <w:szCs w:val="22"/>
          <w:highlight w:val="white"/>
        </w:rPr>
        <w:t xml:space="preserve">7.1.1合同履行达到招标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宋体"/>
          <w:b/>
          <w:bCs/>
          <w:szCs w:val="22"/>
          <w:highlight w:val="white"/>
        </w:rPr>
        <w:t xml:space="preserve">供应商在收到催告后五个工作日内拒不配合的，采购人应依照合同约定追究其责任。</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7.1.2供应商应当配合采购人、采购代理机构做好项目验收工作，及时提供与项目验收相关的生产、技术、服务、数量、质量、安全、合格证明及验收所必须具备的其他材料。</w:t>
      </w:r>
      <w:r>
        <w:rPr>
          <w:highlight w:val="white"/>
        </w:rPr>
      </w:r>
      <w:r/>
    </w:p>
    <w:p>
      <w:pPr>
        <w:jc w:val="left"/>
        <w:spacing w:after="160" w:line="360" w:lineRule="auto"/>
        <w:rPr>
          <w:rFonts w:hint="eastAsia" w:ascii="宋体" w:hAnsi="宋体" w:cs="宋体"/>
          <w:szCs w:val="22"/>
          <w:highlight w:val="white"/>
          <w:shd w:val="pct10" w:color="auto" w:fill="ffffff"/>
        </w:rPr>
      </w:pPr>
      <w:r>
        <w:rPr>
          <w:rFonts w:hint="eastAsia" w:ascii="宋体" w:hAnsi="宋体" w:cs="宋体"/>
          <w:szCs w:val="22"/>
          <w:highlight w:val="white"/>
        </w:rPr>
        <w:t xml:space="preserve">7.1.3采购人应及时全面准备验收，自收到验收申请之日起</w:t>
      </w:r>
      <w:r>
        <w:rPr>
          <w:rFonts w:hint="eastAsia" w:ascii="宋体" w:hAnsi="宋体" w:cs="宋体"/>
          <w:b/>
          <w:szCs w:val="22"/>
          <w:highlight w:val="white"/>
        </w:rPr>
        <w:t xml:space="preserve">五个工作日</w:t>
      </w:r>
      <w:r>
        <w:rPr>
          <w:rFonts w:hint="eastAsia" w:ascii="宋体" w:hAnsi="宋体" w:cs="宋体"/>
          <w:szCs w:val="22"/>
          <w:highlight w:val="white"/>
        </w:rPr>
        <w:t xml:space="preserve">内做好通水、通电、准备验收工具等必要的验收准备工作、启动项目验收、通知供应商。</w:t>
      </w:r>
      <w:r>
        <w:rPr>
          <w:highlight w:val="white"/>
        </w:rPr>
      </w:r>
      <w:r/>
    </w:p>
    <w:p>
      <w:pPr>
        <w:jc w:val="left"/>
        <w:spacing w:after="160" w:line="360" w:lineRule="auto"/>
        <w:rPr>
          <w:rFonts w:hint="eastAsia" w:ascii="宋体" w:hAnsi="宋体" w:cs="宋体"/>
          <w:b/>
          <w:bCs/>
          <w:szCs w:val="22"/>
          <w:highlight w:val="white"/>
        </w:rPr>
      </w:pPr>
      <w:r>
        <w:rPr>
          <w:rFonts w:hint="eastAsia" w:ascii="宋体" w:hAnsi="宋体" w:cs="宋体"/>
          <w:b/>
          <w:bCs/>
          <w:szCs w:val="22"/>
          <w:highlight w:val="white"/>
        </w:rPr>
        <w:t xml:space="preserve">7.2成立验收小组</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bCs/>
          <w:szCs w:val="22"/>
          <w:highlight w:val="white"/>
        </w:rPr>
        <w:t xml:space="preserve">7.2.1采购人应当组织成立验收小组</w:t>
      </w:r>
      <w:r>
        <w:rPr>
          <w:rFonts w:hint="eastAsia" w:ascii="宋体" w:hAnsi="宋体" w:cs="宋体"/>
          <w:szCs w:val="22"/>
          <w:highlight w:val="white"/>
        </w:rPr>
        <w:t xml:space="preserve">，验收小组负责实施项目验收工作，其成员构成、人员数量以及负责人由采购人确定，</w:t>
      </w:r>
      <w:r>
        <w:rPr>
          <w:rFonts w:hint="eastAsia" w:ascii="宋体" w:hAnsi="宋体" w:cs="宋体"/>
          <w:b/>
          <w:bCs/>
          <w:szCs w:val="22"/>
          <w:highlight w:val="white"/>
        </w:rPr>
        <w:t xml:space="preserve">劳务报酬等费用由中标单位承担</w:t>
      </w:r>
      <w:r>
        <w:rPr>
          <w:rFonts w:hint="eastAsia" w:ascii="宋体" w:hAnsi="宋体" w:cs="宋体"/>
          <w:szCs w:val="22"/>
          <w:highlight w:val="white"/>
        </w:rPr>
        <w:t xml:space="preserve">。</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7.2.2 验收小组应由采购人指定的具有相关专业能力或从事相关领域工作的 3 人以上单数人员组成，其中至少包含 1 名采购人的工作人员，若经办采购的人员与采购需求人员分属不同部门，二者应当同时参与验收。采购人可以委托同领域其他单位或者第三方专业机构人员，该人员不得同时作为7.3.2规定的参与验收人员。</w:t>
      </w:r>
      <w:r>
        <w:rPr>
          <w:rFonts w:hint="eastAsia" w:ascii="宋体" w:hAnsi="宋体" w:cs="宋体"/>
          <w:b/>
          <w:szCs w:val="22"/>
          <w:highlight w:val="white"/>
        </w:rPr>
        <w:t xml:space="preserve">采取代建方式进行采购</w:t>
      </w:r>
      <w:r>
        <w:rPr>
          <w:rFonts w:hint="eastAsia" w:ascii="宋体" w:hAnsi="宋体" w:cs="宋体"/>
          <w:szCs w:val="22"/>
          <w:highlight w:val="white"/>
        </w:rPr>
        <w:t xml:space="preserve">的，结合代建协议内容按照本条规定成立验收小组。</w:t>
      </w:r>
      <w:r>
        <w:rPr>
          <w:rFonts w:hint="eastAsia" w:ascii="宋体" w:hAnsi="宋体" w:cs="宋体"/>
          <w:b/>
          <w:szCs w:val="22"/>
          <w:highlight w:val="white"/>
        </w:rPr>
        <w:t xml:space="preserve">日常考核、分段验收小组成员的组成不受本条规定约束</w:t>
      </w:r>
      <w:r>
        <w:rPr>
          <w:rFonts w:hint="eastAsia" w:ascii="宋体" w:hAnsi="宋体" w:cs="宋体"/>
          <w:szCs w:val="22"/>
          <w:highlight w:val="white"/>
        </w:rPr>
        <w:t xml:space="preserve">，但采购人的工作人员必须参与最终验收。</w:t>
      </w:r>
      <w:r>
        <w:rPr>
          <w:highlight w:val="white"/>
        </w:rPr>
      </w:r>
      <w:r/>
    </w:p>
    <w:p>
      <w:pPr>
        <w:jc w:val="left"/>
        <w:spacing w:after="160" w:line="360" w:lineRule="auto"/>
        <w:rPr>
          <w:rFonts w:hint="eastAsia" w:ascii="宋体" w:hAnsi="宋体" w:cs="宋体"/>
          <w:b/>
          <w:bCs/>
          <w:szCs w:val="22"/>
          <w:highlight w:val="white"/>
        </w:rPr>
      </w:pPr>
      <w:r>
        <w:rPr>
          <w:rFonts w:hint="eastAsia" w:ascii="宋体" w:hAnsi="宋体" w:cs="宋体"/>
          <w:b/>
          <w:bCs/>
          <w:szCs w:val="22"/>
          <w:highlight w:val="white"/>
        </w:rPr>
        <w:t xml:space="preserve">7.3参与验收人员</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7.3.1对于采购人和使用人分离的采购项目，采购人应当邀请实际使用人参与验收。政府向社会公众提供的公共服务项目，验收时应当邀请服务对象参与，且验收结果应当向社会公布。</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rPr>
          <w:highlight w:val="white"/>
        </w:rPr>
      </w:r>
      <w:r/>
    </w:p>
    <w:p>
      <w:pPr>
        <w:jc w:val="left"/>
        <w:spacing w:after="160" w:line="360" w:lineRule="auto"/>
        <w:rPr>
          <w:rFonts w:hint="eastAsia" w:ascii="宋体" w:hAnsi="宋体" w:cs="宋体"/>
          <w:b/>
          <w:bCs/>
          <w:szCs w:val="22"/>
          <w:highlight w:val="white"/>
        </w:rPr>
      </w:pPr>
      <w:r>
        <w:rPr>
          <w:rFonts w:hint="eastAsia" w:ascii="宋体" w:hAnsi="宋体" w:cs="宋体"/>
          <w:b/>
          <w:bCs/>
          <w:szCs w:val="22"/>
          <w:highlight w:val="white"/>
        </w:rPr>
        <w:t xml:space="preserve">7.4验收原则</w:t>
      </w:r>
      <w:r>
        <w:rPr>
          <w:highlight w:val="white"/>
        </w:rPr>
      </w:r>
      <w:r/>
    </w:p>
    <w:p>
      <w:pPr>
        <w:spacing w:after="120" w:line="360" w:lineRule="auto"/>
        <w:rPr>
          <w:rFonts w:hint="eastAsia" w:ascii="宋体" w:hAnsi="宋体" w:cs="宋体"/>
          <w:szCs w:val="22"/>
          <w:highlight w:val="white"/>
        </w:rPr>
      </w:pPr>
      <w:r>
        <w:rPr>
          <w:rFonts w:hint="eastAsia" w:ascii="宋体" w:hAnsi="宋体" w:cs="宋体"/>
          <w:szCs w:val="22"/>
          <w:highlight w:val="white"/>
        </w:rPr>
        <w:t xml:space="preserve">政府采购履约验收应当遵循全面完整、客观真实、诚实信用的原则，坚持公开透明、应验必验、验收必严、违约必究。</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7.4.2项目验收范围应当完整，与采购合同一致，不得省略、遗漏和缺失，也不得擅自扩大范围。</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7.4.3项目验收方式应当符合项目特点，不能明确客观标准、涉及主观判断的，可以通过在采购人、使用人中开展问卷调查等方式予以客观、量化。</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7.4.4项目验收标准应包括所有客观、量化指标，符合采购合同约定，未进行相应约定的，应当符合法律法规、政策要求、国家标准、行业标准，地方标准或企业标准等有关标准。</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7.4.5项目验收意见应当客观真实。验收小组成员意见不一致时，按照少数服从多数的原则作出验收意见。</w:t>
      </w:r>
      <w:r>
        <w:rPr>
          <w:highlight w:val="white"/>
        </w:rPr>
      </w:r>
      <w:r/>
    </w:p>
    <w:p>
      <w:pPr>
        <w:spacing w:after="120" w:line="278" w:lineRule="auto"/>
        <w:rPr>
          <w:rFonts w:hint="eastAsia" w:ascii="宋体" w:hAnsi="宋体" w:cs="宋体"/>
          <w:szCs w:val="22"/>
          <w:highlight w:val="white"/>
        </w:rPr>
      </w:pPr>
      <w:r>
        <w:rPr>
          <w:rFonts w:hint="eastAsia" w:ascii="宋体" w:hAnsi="宋体" w:cs="宋体"/>
          <w:szCs w:val="22"/>
          <w:highlight w:val="white"/>
        </w:rPr>
        <w:t xml:space="preserve">7.4.6验收方法主要包括全部查验核对和抽查核对。</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b/>
          <w:bCs/>
          <w:szCs w:val="22"/>
          <w:highlight w:val="white"/>
        </w:rPr>
        <w:t xml:space="preserve">7.5验收记录</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7.5.1验收小组应当要求参与验收的供应商、专业机构、专家和服务对象等出具书面意见，作为验收书的重要组成部分。</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招标文件、投标（响应）文件、政府采购合同等逐一进行检验、核实、评估等工作，使用音视频、对现场情况描述且签字等方式留存证明材料，由供应商确认，作为履约验收的重要凭据。</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验收结果</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3、</w:t>
      </w:r>
      <w:r>
        <w:rPr>
          <w:rFonts w:hint="eastAsia" w:ascii="宋体" w:hAnsi="宋体" w:cs="宋体"/>
          <w:b/>
          <w:bCs/>
          <w:szCs w:val="22"/>
          <w:highlight w:val="white"/>
        </w:rPr>
        <w:t xml:space="preserve">《政府采购履约验收书》（见下表1）、合同是申请支付政府采购合同价款的必备资料。</w:t>
      </w:r>
      <w:r>
        <w:rPr>
          <w:rFonts w:hint="eastAsia" w:ascii="宋体" w:hAnsi="宋体" w:cs="宋体"/>
          <w:szCs w:val="22"/>
          <w:highlight w:val="whit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招标文件予以相应扣减。</w:t>
      </w:r>
      <w:r>
        <w:rPr>
          <w:highlight w:val="white"/>
        </w:rPr>
      </w:r>
      <w:r/>
    </w:p>
    <w:p>
      <w:pPr>
        <w:numPr>
          <w:ilvl w:val="0"/>
          <w:numId w:val="1"/>
        </w:numPr>
        <w:jc w:val="left"/>
        <w:spacing w:after="160" w:line="360" w:lineRule="auto"/>
        <w:rPr>
          <w:rFonts w:hint="eastAsia" w:ascii="宋体" w:hAnsi="宋体" w:cs="宋体"/>
          <w:b/>
          <w:sz w:val="24"/>
          <w:highlight w:val="white"/>
        </w:rPr>
      </w:pPr>
      <w:r>
        <w:rPr>
          <w:rFonts w:hint="eastAsia" w:ascii="宋体" w:hAnsi="宋体" w:cs="宋体"/>
          <w:b/>
          <w:sz w:val="24"/>
          <w:highlight w:val="white"/>
        </w:rPr>
        <w:t xml:space="preserve">验收资料归档</w:t>
      </w:r>
      <w:r>
        <w:rPr>
          <w:highlight w:val="white"/>
        </w:rPr>
      </w:r>
      <w:r/>
    </w:p>
    <w:p>
      <w:pPr>
        <w:jc w:val="left"/>
        <w:spacing w:after="160" w:line="360" w:lineRule="auto"/>
        <w:rPr>
          <w:rFonts w:hint="eastAsia" w:ascii="宋体" w:hAnsi="宋体" w:cs="宋体"/>
          <w:szCs w:val="22"/>
          <w:highlight w:val="white"/>
        </w:rPr>
      </w:pPr>
      <w:r>
        <w:rPr>
          <w:rFonts w:hint="eastAsia" w:ascii="宋体" w:hAnsi="宋体" w:cs="宋体"/>
          <w:szCs w:val="22"/>
          <w:highlight w:val="whit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szCs w:val="22"/>
          <w:highlight w:val="white"/>
        </w:rPr>
        <w:t xml:space="preserve">至少保存十五年</w:t>
      </w:r>
      <w:r>
        <w:rPr>
          <w:rFonts w:hint="eastAsia" w:ascii="宋体" w:hAnsi="宋体" w:cs="宋体"/>
          <w:szCs w:val="22"/>
          <w:highlight w:val="white"/>
        </w:rPr>
        <w:t xml:space="preserve">。</w:t>
      </w:r>
      <w:r>
        <w:rPr>
          <w:highlight w:val="white"/>
        </w:rPr>
      </w:r>
      <w:r/>
    </w:p>
    <w:p>
      <w:pPr>
        <w:spacing w:line="360" w:lineRule="auto"/>
        <w:tabs>
          <w:tab w:val="left" w:pos="0" w:leader="none"/>
        </w:tabs>
        <w:rPr>
          <w:rFonts w:hint="eastAsia" w:ascii="宋体" w:hAnsi="宋体" w:cs="宋体"/>
          <w:highlight w:val="white"/>
        </w:rPr>
      </w:pPr>
      <w:r>
        <w:rPr>
          <w:rFonts w:hint="eastAsia" w:ascii="宋体" w:hAnsi="宋体" w:cs="宋体"/>
          <w:highlight w:val="white"/>
        </w:rPr>
      </w:r>
      <w:r>
        <w:rPr>
          <w:highlight w:val="white"/>
        </w:rPr>
      </w:r>
      <w:r/>
    </w:p>
    <w:p>
      <w:pPr>
        <w:pStyle w:val="918"/>
        <w:rPr>
          <w:highlight w:val="whit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18" w:right="1021" w:bottom="1418" w:left="1021" w:header="567" w:footer="567" w:gutter="0"/>
          <w:cols w:num="1" w:sep="0" w:space="720" w:equalWidth="1"/>
          <w:docGrid w:linePitch="360"/>
          <w:titlePg/>
        </w:sectPr>
      </w:pPr>
      <w:r>
        <w:rPr>
          <w:highlight w:val="white"/>
        </w:rPr>
      </w:r>
      <w:r>
        <w:rPr>
          <w:highlight w:val="white"/>
        </w:rPr>
      </w:r>
      <w:r/>
    </w:p>
    <w:p>
      <w:pPr>
        <w:spacing w:after="120" w:line="360" w:lineRule="auto"/>
        <w:rPr>
          <w:rFonts w:hint="eastAsia" w:hAnsi="宋体" w:cs="宋体"/>
          <w:b/>
          <w:bCs/>
          <w:sz w:val="28"/>
          <w:szCs w:val="28"/>
          <w:highlight w:val="white"/>
        </w:rPr>
      </w:pPr>
      <w:r>
        <w:rPr>
          <w:rFonts w:hint="eastAsia" w:hAnsi="宋体" w:cs="宋体"/>
          <w:b/>
          <w:bCs/>
          <w:sz w:val="28"/>
          <w:szCs w:val="28"/>
          <w:highlight w:val="white"/>
        </w:rPr>
        <w:t xml:space="preserve">附件3、</w:t>
      </w:r>
      <w:r>
        <w:rPr>
          <w:rFonts w:hAnsi="宋体" w:cs="宋体"/>
          <w:b/>
          <w:bCs/>
          <w:sz w:val="28"/>
          <w:szCs w:val="28"/>
          <w:highlight w:val="white"/>
        </w:rPr>
        <w:t xml:space="preserve">政府采购履约验收书</w:t>
      </w:r>
      <w:r>
        <w:rPr>
          <w:highlight w:val="white"/>
        </w:rPr>
      </w:r>
      <w:r/>
    </w:p>
    <w:p>
      <w:pPr>
        <w:spacing w:before="72" w:line="185" w:lineRule="auto"/>
        <w:rPr>
          <w:rFonts w:hint="eastAsia" w:ascii="微软雅黑" w:hAnsi="微软雅黑" w:eastAsia="微软雅黑" w:cs="微软雅黑"/>
          <w:sz w:val="36"/>
          <w:szCs w:val="36"/>
          <w:highlight w:val="white"/>
        </w:rPr>
        <w:outlineLvl w:val="1"/>
      </w:pPr>
      <w:r>
        <w:rPr>
          <w:rFonts w:ascii="微软雅黑" w:hAnsi="微软雅黑" w:eastAsia="微软雅黑" w:cs="微软雅黑"/>
          <w:spacing w:val="19"/>
          <w:sz w:val="36"/>
          <w:szCs w:val="36"/>
          <w:highlight w:val="white"/>
        </w:rPr>
        <w:t xml:space="preserve">政府采购履约验收书参考样本(服务类)</w:t>
      </w:r>
      <w:r>
        <w:rPr>
          <w:highlight w:val="white"/>
        </w:rPr>
      </w:r>
      <w:r/>
    </w:p>
    <w:tbl>
      <w:tblPr>
        <w:tblStyle w:val="1356"/>
        <w:tblW w:w="831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62"/>
        <w:gridCol w:w="626"/>
        <w:gridCol w:w="1067"/>
        <w:gridCol w:w="686"/>
        <w:gridCol w:w="686"/>
        <w:gridCol w:w="1024"/>
        <w:gridCol w:w="967"/>
        <w:gridCol w:w="1797"/>
      </w:tblGrid>
      <w:tr>
        <w:trPr>
          <w:trHeight w:val="562"/>
        </w:trPr>
        <w:tc>
          <w:tcPr>
            <w:tcW w:w="0" w:type="auto"/>
            <w:textDirection w:val="lrTb"/>
            <w:noWrap w:val="false"/>
          </w:tcPr>
          <w:p>
            <w:pPr>
              <w:jc w:val="left"/>
              <w:spacing w:before="298" w:line="207" w:lineRule="auto"/>
              <w:rPr>
                <w:rFonts w:hint="eastAsia" w:ascii="宋体" w:hAnsi="宋体" w:cs="宋体"/>
                <w:sz w:val="18"/>
                <w:szCs w:val="18"/>
                <w:highlight w:val="white"/>
              </w:rPr>
            </w:pPr>
            <w:r>
              <w:rPr>
                <w:rFonts w:ascii="宋体" w:hAnsi="宋体" w:cs="宋体"/>
                <w:spacing w:val="-3"/>
                <w:sz w:val="18"/>
                <w:szCs w:val="18"/>
                <w:highlight w:val="white"/>
              </w:rPr>
              <w:t xml:space="preserve">采购人</w:t>
            </w:r>
            <w:r>
              <w:rPr>
                <w:highlight w:val="white"/>
              </w:rPr>
            </w:r>
            <w:r/>
          </w:p>
        </w:tc>
        <w:tc>
          <w:tcPr>
            <w:tcW w:w="0" w:type="auto"/>
            <w:textDirection w:val="lrTb"/>
            <w:noWrap w:val="false"/>
          </w:tcPr>
          <w:p>
            <w:pPr>
              <w:pStyle w:val="1332"/>
              <w:jc w:val="left"/>
              <w:rPr>
                <w:rFonts w:hint="eastAsia"/>
                <w:highlight w:val="white"/>
              </w:rPr>
            </w:pPr>
            <w:r>
              <w:rPr>
                <w:rFonts w:hint="eastAsia"/>
                <w:highlight w:val="white"/>
              </w:rPr>
            </w:r>
            <w:r>
              <w:rPr>
                <w:highlight w:val="white"/>
              </w:rPr>
            </w:r>
            <w:r/>
          </w:p>
        </w:tc>
        <w:tc>
          <w:tcPr>
            <w:tcW w:w="0" w:type="auto"/>
            <w:textDirection w:val="lrTb"/>
            <w:noWrap w:val="false"/>
          </w:tcPr>
          <w:p>
            <w:pPr>
              <w:jc w:val="left"/>
              <w:spacing w:before="298" w:line="208" w:lineRule="auto"/>
              <w:rPr>
                <w:rFonts w:hint="eastAsia" w:ascii="宋体" w:hAnsi="宋体" w:cs="宋体"/>
                <w:sz w:val="18"/>
                <w:szCs w:val="18"/>
                <w:highlight w:val="white"/>
              </w:rPr>
            </w:pPr>
            <w:r>
              <w:rPr>
                <w:rFonts w:ascii="宋体" w:hAnsi="宋体" w:cs="宋体"/>
                <w:spacing w:val="-3"/>
                <w:sz w:val="18"/>
                <w:szCs w:val="18"/>
                <w:highlight w:val="white"/>
              </w:rPr>
              <w:t xml:space="preserve">项目名称</w:t>
            </w:r>
            <w:r>
              <w:rPr>
                <w:highlight w:val="white"/>
              </w:rPr>
            </w:r>
            <w:r/>
          </w:p>
        </w:tc>
        <w:tc>
          <w:tcPr>
            <w:gridSpan w:val="2"/>
            <w:tcW w:w="0" w:type="auto"/>
            <w:textDirection w:val="lrTb"/>
            <w:noWrap w:val="false"/>
          </w:tcPr>
          <w:p>
            <w:pPr>
              <w:pStyle w:val="1332"/>
              <w:jc w:val="left"/>
              <w:rPr>
                <w:rFonts w:hint="eastAsia"/>
                <w:highlight w:val="white"/>
              </w:rPr>
            </w:pPr>
            <w:r>
              <w:rPr>
                <w:rFonts w:hint="eastAsia"/>
                <w:highlight w:val="white"/>
              </w:rPr>
            </w:r>
            <w:r>
              <w:rPr>
                <w:highlight w:val="white"/>
              </w:rPr>
            </w:r>
            <w:r/>
          </w:p>
        </w:tc>
        <w:tc>
          <w:tcPr>
            <w:gridSpan w:val="2"/>
            <w:tcW w:w="1999" w:type="dxa"/>
            <w:textDirection w:val="lrTb"/>
            <w:noWrap w:val="false"/>
          </w:tcPr>
          <w:p>
            <w:pPr>
              <w:jc w:val="left"/>
              <w:spacing w:before="298" w:line="207" w:lineRule="auto"/>
              <w:rPr>
                <w:rFonts w:hint="eastAsia" w:ascii="宋体" w:hAnsi="宋体" w:cs="宋体"/>
                <w:sz w:val="18"/>
                <w:szCs w:val="18"/>
                <w:highlight w:val="white"/>
              </w:rPr>
            </w:pPr>
            <w:r>
              <w:rPr>
                <w:rFonts w:ascii="宋体" w:hAnsi="宋体" w:cs="宋体"/>
                <w:spacing w:val="-2"/>
                <w:sz w:val="18"/>
                <w:szCs w:val="18"/>
                <w:highlight w:val="white"/>
              </w:rPr>
              <w:t xml:space="preserve">合同名称</w:t>
            </w:r>
            <w:r>
              <w:rPr>
                <w:highlight w:val="white"/>
              </w:rPr>
            </w:r>
            <w:r/>
          </w:p>
        </w:tc>
        <w:tc>
          <w:tcPr>
            <w:tcW w:w="1797" w:type="dxa"/>
            <w:textDirection w:val="lrTb"/>
            <w:noWrap w:val="false"/>
          </w:tcPr>
          <w:p>
            <w:pPr>
              <w:pStyle w:val="1332"/>
              <w:jc w:val="left"/>
              <w:rPr>
                <w:rFonts w:hint="eastAsia"/>
                <w:highlight w:val="white"/>
              </w:rPr>
            </w:pPr>
            <w:r>
              <w:rPr>
                <w:rFonts w:hint="eastAsia"/>
                <w:highlight w:val="white"/>
              </w:rPr>
            </w:r>
            <w:r>
              <w:rPr>
                <w:highlight w:val="white"/>
              </w:rPr>
            </w:r>
            <w:r/>
          </w:p>
        </w:tc>
      </w:tr>
      <w:tr>
        <w:trPr>
          <w:trHeight w:val="564"/>
        </w:trPr>
        <w:tc>
          <w:tcPr>
            <w:tcW w:w="0" w:type="auto"/>
            <w:textDirection w:val="lrTb"/>
            <w:noWrap w:val="false"/>
          </w:tcPr>
          <w:p>
            <w:pPr>
              <w:jc w:val="left"/>
              <w:spacing w:before="298" w:line="207" w:lineRule="auto"/>
              <w:rPr>
                <w:rFonts w:hint="eastAsia" w:ascii="宋体" w:hAnsi="宋体" w:cs="宋体"/>
                <w:sz w:val="18"/>
                <w:szCs w:val="18"/>
                <w:highlight w:val="white"/>
              </w:rPr>
            </w:pPr>
            <w:r>
              <w:rPr>
                <w:rFonts w:ascii="宋体" w:hAnsi="宋体" w:cs="宋体"/>
                <w:spacing w:val="-3"/>
                <w:sz w:val="18"/>
                <w:szCs w:val="18"/>
                <w:highlight w:val="white"/>
              </w:rPr>
              <w:t xml:space="preserve">供应商</w:t>
            </w:r>
            <w:r>
              <w:rPr>
                <w:highlight w:val="white"/>
              </w:rPr>
            </w:r>
            <w:r/>
          </w:p>
        </w:tc>
        <w:tc>
          <w:tcPr>
            <w:tcW w:w="0" w:type="auto"/>
            <w:textDirection w:val="lrTb"/>
            <w:noWrap w:val="false"/>
          </w:tcPr>
          <w:p>
            <w:pPr>
              <w:pStyle w:val="1332"/>
              <w:jc w:val="left"/>
              <w:rPr>
                <w:rFonts w:hint="eastAsia"/>
                <w:highlight w:val="white"/>
              </w:rPr>
            </w:pPr>
            <w:r>
              <w:rPr>
                <w:rFonts w:hint="eastAsia"/>
                <w:highlight w:val="white"/>
              </w:rPr>
            </w:r>
            <w:r>
              <w:rPr>
                <w:highlight w:val="white"/>
              </w:rPr>
            </w:r>
            <w:r/>
          </w:p>
        </w:tc>
        <w:tc>
          <w:tcPr>
            <w:tcW w:w="0" w:type="auto"/>
            <w:textDirection w:val="lrTb"/>
            <w:noWrap w:val="false"/>
          </w:tcPr>
          <w:p>
            <w:pPr>
              <w:jc w:val="left"/>
              <w:spacing w:before="298" w:line="207" w:lineRule="auto"/>
              <w:rPr>
                <w:rFonts w:hint="eastAsia" w:ascii="宋体" w:hAnsi="宋体" w:cs="宋体"/>
                <w:sz w:val="18"/>
                <w:szCs w:val="18"/>
                <w:highlight w:val="white"/>
              </w:rPr>
            </w:pPr>
            <w:r>
              <w:rPr>
                <w:rFonts w:ascii="宋体" w:hAnsi="宋体" w:cs="宋体"/>
                <w:spacing w:val="-2"/>
                <w:sz w:val="18"/>
                <w:szCs w:val="18"/>
                <w:highlight w:val="white"/>
              </w:rPr>
              <w:t xml:space="preserve">项目及合同编号</w:t>
            </w:r>
            <w:r>
              <w:rPr>
                <w:highlight w:val="white"/>
              </w:rPr>
            </w:r>
            <w:r/>
          </w:p>
        </w:tc>
        <w:tc>
          <w:tcPr>
            <w:gridSpan w:val="2"/>
            <w:tcW w:w="0" w:type="auto"/>
            <w:textDirection w:val="lrTb"/>
            <w:noWrap w:val="false"/>
          </w:tcPr>
          <w:p>
            <w:pPr>
              <w:pStyle w:val="1332"/>
              <w:jc w:val="left"/>
              <w:rPr>
                <w:rFonts w:hint="eastAsia"/>
                <w:highlight w:val="white"/>
              </w:rPr>
            </w:pPr>
            <w:r>
              <w:rPr>
                <w:rFonts w:hint="eastAsia"/>
                <w:highlight w:val="white"/>
              </w:rPr>
            </w:r>
            <w:r>
              <w:rPr>
                <w:highlight w:val="white"/>
              </w:rPr>
            </w:r>
            <w:r/>
          </w:p>
        </w:tc>
        <w:tc>
          <w:tcPr>
            <w:gridSpan w:val="2"/>
            <w:tcW w:w="1999" w:type="dxa"/>
            <w:textDirection w:val="lrTb"/>
            <w:noWrap w:val="false"/>
          </w:tcPr>
          <w:p>
            <w:pPr>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rPr>
              <w:t xml:space="preserve">合同金额</w:t>
            </w:r>
            <w:r>
              <w:rPr>
                <w:highlight w:val="white"/>
              </w:rPr>
            </w:r>
            <w:r/>
          </w:p>
        </w:tc>
        <w:tc>
          <w:tcPr>
            <w:tcW w:w="1797" w:type="dxa"/>
            <w:textDirection w:val="lrTb"/>
            <w:noWrap w:val="false"/>
          </w:tcPr>
          <w:p>
            <w:pPr>
              <w:pStyle w:val="1332"/>
              <w:jc w:val="left"/>
              <w:rPr>
                <w:rFonts w:hint="eastAsia"/>
                <w:highlight w:val="white"/>
              </w:rPr>
            </w:pPr>
            <w:r>
              <w:rPr>
                <w:rFonts w:hint="eastAsia"/>
                <w:highlight w:val="white"/>
              </w:rPr>
            </w:r>
            <w:r>
              <w:rPr>
                <w:highlight w:val="white"/>
              </w:rPr>
            </w:r>
            <w:r/>
          </w:p>
        </w:tc>
      </w:tr>
      <w:tr>
        <w:trPr>
          <w:trHeight w:val="559"/>
        </w:trPr>
        <w:tc>
          <w:tcPr>
            <w:tcW w:w="0" w:type="auto"/>
            <w:textDirection w:val="lrTb"/>
            <w:noWrap w:val="false"/>
          </w:tcPr>
          <w:p>
            <w:pPr>
              <w:jc w:val="left"/>
              <w:spacing w:before="267" w:line="240" w:lineRule="exact"/>
              <w:rPr>
                <w:rFonts w:hint="eastAsia" w:ascii="宋体" w:hAnsi="宋体" w:cs="宋体"/>
                <w:sz w:val="18"/>
                <w:szCs w:val="18"/>
                <w:highlight w:val="white"/>
              </w:rPr>
            </w:pPr>
            <w:r>
              <w:rPr>
                <w:rFonts w:ascii="宋体" w:hAnsi="宋体" w:cs="宋体"/>
                <w:spacing w:val="-2"/>
                <w:position w:val="1"/>
                <w:sz w:val="18"/>
                <w:szCs w:val="18"/>
                <w:highlight w:val="white"/>
              </w:rPr>
              <w:t xml:space="preserve">分期（段）验收</w:t>
            </w:r>
            <w:r>
              <w:rPr>
                <w:highlight w:val="white"/>
              </w:rPr>
            </w:r>
            <w:r/>
          </w:p>
        </w:tc>
        <w:tc>
          <w:tcPr>
            <w:tcW w:w="0" w:type="auto"/>
            <w:textDirection w:val="lrTb"/>
            <w:noWrap w:val="false"/>
          </w:tcPr>
          <w:p>
            <w:pPr>
              <w:jc w:val="left"/>
              <w:spacing w:before="267" w:line="240" w:lineRule="exact"/>
              <w:rPr>
                <w:rFonts w:hint="eastAsia" w:ascii="宋体" w:hAnsi="宋体" w:cs="宋体"/>
                <w:sz w:val="18"/>
                <w:szCs w:val="18"/>
                <w:highlight w:val="white"/>
              </w:rPr>
            </w:pPr>
            <w:r>
              <w:rPr>
                <w:rFonts w:ascii="宋体" w:hAnsi="宋体" w:cs="宋体"/>
                <w:spacing w:val="-6"/>
                <w:position w:val="1"/>
                <w:sz w:val="18"/>
                <w:szCs w:val="18"/>
                <w:highlight w:val="white"/>
              </w:rPr>
              <w:t xml:space="preserve">是□否□</w:t>
            </w:r>
            <w:r>
              <w:rPr>
                <w:highlight w:val="white"/>
              </w:rPr>
            </w:r>
            <w:r/>
          </w:p>
        </w:tc>
        <w:tc>
          <w:tcPr>
            <w:tcW w:w="0" w:type="auto"/>
            <w:textDirection w:val="lrTb"/>
            <w:noWrap w:val="false"/>
          </w:tcPr>
          <w:p>
            <w:pPr>
              <w:jc w:val="left"/>
              <w:spacing w:before="267" w:line="240" w:lineRule="exact"/>
              <w:rPr>
                <w:rFonts w:hint="eastAsia" w:ascii="宋体" w:hAnsi="宋体" w:cs="宋体"/>
                <w:sz w:val="18"/>
                <w:szCs w:val="18"/>
                <w:highlight w:val="white"/>
              </w:rPr>
            </w:pPr>
            <w:r>
              <w:rPr>
                <w:rFonts w:ascii="宋体" w:hAnsi="宋体" w:cs="宋体"/>
                <w:spacing w:val="-2"/>
                <w:position w:val="1"/>
                <w:sz w:val="18"/>
                <w:szCs w:val="18"/>
                <w:highlight w:val="white"/>
              </w:rPr>
              <w:t xml:space="preserve">分期（段）情况</w:t>
            </w:r>
            <w:r>
              <w:rPr>
                <w:highlight w:val="white"/>
              </w:rPr>
            </w:r>
            <w:r/>
          </w:p>
        </w:tc>
        <w:tc>
          <w:tcPr>
            <w:gridSpan w:val="5"/>
            <w:tcW w:w="0" w:type="auto"/>
            <w:textDirection w:val="lrTb"/>
            <w:noWrap w:val="false"/>
          </w:tcPr>
          <w:p>
            <w:pPr>
              <w:jc w:val="left"/>
              <w:spacing w:before="267" w:line="240"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共分   期（段</w:t>
            </w:r>
            <w:r>
              <w:rPr>
                <w:rFonts w:ascii="宋体" w:hAnsi="宋体" w:cs="宋体"/>
                <w:spacing w:val="6"/>
                <w:position w:val="1"/>
                <w:sz w:val="18"/>
                <w:szCs w:val="18"/>
                <w:highlight w:val="white"/>
              </w:rPr>
              <w:t xml:space="preserve">），</w:t>
            </w:r>
            <w:r>
              <w:rPr>
                <w:rFonts w:ascii="宋体" w:hAnsi="宋体" w:cs="宋体"/>
                <w:spacing w:val="-1"/>
                <w:position w:val="1"/>
                <w:sz w:val="18"/>
                <w:szCs w:val="18"/>
                <w:highlight w:val="white"/>
              </w:rPr>
              <w:t xml:space="preserve">此为第   期（段）验收</w:t>
            </w:r>
            <w:r>
              <w:rPr>
                <w:highlight w:val="white"/>
              </w:rPr>
            </w:r>
            <w:r/>
          </w:p>
        </w:tc>
      </w:tr>
      <w:tr>
        <w:trPr>
          <w:trHeight w:val="1089"/>
        </w:trPr>
        <w:tc>
          <w:tcPr>
            <w:tcW w:w="0" w:type="auto"/>
            <w:textDirection w:val="lrTb"/>
            <w:noWrap w:val="false"/>
          </w:tcPr>
          <w:p>
            <w:pPr>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rPr>
              <w:t xml:space="preserve">验收时间</w:t>
            </w:r>
            <w:r>
              <w:rPr>
                <w:highlight w:val="white"/>
              </w:rPr>
            </w:r>
            <w:r/>
          </w:p>
        </w:tc>
        <w:tc>
          <w:tcPr>
            <w:tcW w:w="0" w:type="auto"/>
            <w:textDirection w:val="lrTb"/>
            <w:noWrap w:val="false"/>
          </w:tcPr>
          <w:p>
            <w:pPr>
              <w:pStyle w:val="1332"/>
              <w:jc w:val="left"/>
              <w:rPr>
                <w:rFonts w:hint="eastAsia"/>
                <w:highlight w:val="white"/>
              </w:rPr>
            </w:pPr>
            <w:r>
              <w:rPr>
                <w:rFonts w:hint="eastAsia"/>
                <w:highlight w:val="white"/>
              </w:rPr>
            </w:r>
            <w:r>
              <w:rPr>
                <w:highlight w:val="white"/>
              </w:rPr>
            </w:r>
            <w:r/>
          </w:p>
        </w:tc>
        <w:tc>
          <w:tcPr>
            <w:tcW w:w="0" w:type="auto"/>
            <w:textDirection w:val="lrTb"/>
            <w:noWrap w:val="false"/>
          </w:tcPr>
          <w:p>
            <w:pPr>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rPr>
              <w:t xml:space="preserve">验收地点</w:t>
            </w:r>
            <w:r>
              <w:rPr>
                <w:highlight w:val="white"/>
              </w:rPr>
            </w:r>
            <w:r/>
          </w:p>
        </w:tc>
        <w:tc>
          <w:tcPr>
            <w:gridSpan w:val="2"/>
            <w:tcW w:w="0" w:type="auto"/>
            <w:textDirection w:val="lrTb"/>
            <w:noWrap w:val="false"/>
          </w:tcPr>
          <w:p>
            <w:pPr>
              <w:pStyle w:val="1332"/>
              <w:jc w:val="left"/>
              <w:rPr>
                <w:rFonts w:hint="eastAsia"/>
                <w:highlight w:val="white"/>
              </w:rPr>
            </w:pPr>
            <w:r>
              <w:rPr>
                <w:rFonts w:hint="eastAsia"/>
                <w:highlight w:val="white"/>
              </w:rPr>
            </w:r>
            <w:r>
              <w:rPr>
                <w:highlight w:val="white"/>
              </w:rPr>
            </w:r>
            <w:r/>
          </w:p>
        </w:tc>
        <w:tc>
          <w:tcPr>
            <w:gridSpan w:val="2"/>
            <w:tcW w:w="1999" w:type="dxa"/>
            <w:textDirection w:val="lrTb"/>
            <w:noWrap w:val="false"/>
          </w:tcPr>
          <w:p>
            <w:pPr>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rPr>
              <w:t xml:space="preserve">验收组织形式</w:t>
            </w:r>
            <w:r>
              <w:rPr>
                <w:highlight w:val="white"/>
              </w:rPr>
            </w:r>
            <w:r/>
          </w:p>
        </w:tc>
        <w:tc>
          <w:tcPr>
            <w:tcW w:w="1797" w:type="dxa"/>
            <w:textDirection w:val="lrTb"/>
            <w:noWrap w:val="false"/>
          </w:tcPr>
          <w:p>
            <w:pPr>
              <w:jc w:val="left"/>
              <w:spacing w:before="267" w:line="239" w:lineRule="exact"/>
              <w:rPr>
                <w:rFonts w:hint="eastAsia" w:ascii="宋体" w:hAnsi="宋体" w:cs="宋体"/>
                <w:sz w:val="18"/>
                <w:szCs w:val="18"/>
                <w:highlight w:val="white"/>
              </w:rPr>
            </w:pPr>
            <w:r>
              <w:rPr>
                <w:rFonts w:hint="eastAsia" w:ascii="宋体" w:hAnsi="宋体" w:cs="宋体"/>
                <w:spacing w:val="-4"/>
                <w:position w:val="1"/>
                <w:sz w:val="18"/>
                <w:szCs w:val="18"/>
                <w:highlight w:val="white"/>
              </w:rPr>
              <w:t xml:space="preserve">□</w:t>
            </w:r>
            <w:r>
              <w:rPr>
                <w:rFonts w:ascii="宋体" w:hAnsi="宋体" w:cs="宋体"/>
                <w:spacing w:val="-4"/>
                <w:position w:val="1"/>
                <w:sz w:val="18"/>
                <w:szCs w:val="18"/>
                <w:highlight w:val="white"/>
              </w:rPr>
              <w:t xml:space="preserve">自行简易验收</w:t>
            </w:r>
            <w:r>
              <w:rPr>
                <w:highlight w:val="white"/>
              </w:rPr>
            </w:r>
            <w:r/>
          </w:p>
          <w:p>
            <w:pPr>
              <w:jc w:val="left"/>
              <w:spacing w:before="58" w:line="240"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□验收小组验收</w:t>
            </w:r>
            <w:r>
              <w:rPr>
                <w:highlight w:val="white"/>
              </w:rPr>
            </w:r>
            <w:r/>
          </w:p>
          <w:p>
            <w:pPr>
              <w:jc w:val="left"/>
              <w:spacing w:before="58" w:line="239" w:lineRule="exact"/>
              <w:rPr>
                <w:rFonts w:hint="eastAsia" w:ascii="宋体" w:hAnsi="宋体" w:cs="宋体"/>
                <w:sz w:val="18"/>
                <w:szCs w:val="18"/>
                <w:highlight w:val="white"/>
              </w:rPr>
            </w:pPr>
            <w:r>
              <w:rPr>
                <w:rFonts w:ascii="宋体" w:hAnsi="宋体" w:cs="宋体"/>
                <w:spacing w:val="-3"/>
                <w:position w:val="1"/>
                <w:sz w:val="18"/>
                <w:szCs w:val="18"/>
                <w:highlight w:val="white"/>
              </w:rPr>
              <w:t xml:space="preserve">□采购代理机构验收</w:t>
            </w:r>
            <w:r>
              <w:rPr>
                <w:highlight w:val="white"/>
              </w:rPr>
            </w:r>
            <w:r/>
          </w:p>
        </w:tc>
      </w:tr>
      <w:tr>
        <w:trPr>
          <w:trHeight w:val="560"/>
        </w:trPr>
        <w:tc>
          <w:tcPr>
            <w:tcBorders>
              <w:bottom w:val="none" w:color="000000" w:sz="4" w:space="0"/>
            </w:tcBorders>
            <w:tcW w:w="0" w:type="auto"/>
            <w:vMerge w:val="restart"/>
            <w:textDirection w:val="lrTb"/>
            <w:noWrap w:val="false"/>
          </w:tcPr>
          <w:p>
            <w:pPr>
              <w:pStyle w:val="1332"/>
              <w:jc w:val="left"/>
              <w:spacing w:line="265" w:lineRule="auto"/>
              <w:rPr>
                <w:rFonts w:hint="eastAsia"/>
                <w:highlight w:val="white"/>
              </w:rPr>
            </w:pPr>
            <w:r>
              <w:rPr>
                <w:rFonts w:hint="eastAsia"/>
                <w:highlight w:val="white"/>
              </w:rPr>
            </w:r>
            <w:r>
              <w:rPr>
                <w:highlight w:val="white"/>
              </w:rPr>
            </w:r>
            <w:r/>
          </w:p>
          <w:p>
            <w:pPr>
              <w:pStyle w:val="1332"/>
              <w:jc w:val="left"/>
              <w:spacing w:line="265" w:lineRule="auto"/>
              <w:rPr>
                <w:rFonts w:hint="eastAsia"/>
                <w:highlight w:val="white"/>
              </w:rPr>
            </w:pPr>
            <w:r>
              <w:rPr>
                <w:rFonts w:hint="eastAsia"/>
                <w:highlight w:val="white"/>
              </w:rPr>
            </w:r>
            <w:r>
              <w:rPr>
                <w:highlight w:val="white"/>
              </w:rPr>
            </w:r>
            <w:r/>
          </w:p>
          <w:p>
            <w:pPr>
              <w:pStyle w:val="1332"/>
              <w:jc w:val="left"/>
              <w:spacing w:line="266" w:lineRule="auto"/>
              <w:rPr>
                <w:rFonts w:hint="eastAsia"/>
                <w:highlight w:val="white"/>
              </w:rPr>
            </w:pPr>
            <w:r>
              <w:rPr>
                <w:rFonts w:hint="eastAsia"/>
                <w:highlight w:val="white"/>
              </w:rPr>
            </w:r>
            <w:r>
              <w:rPr>
                <w:highlight w:val="white"/>
              </w:rPr>
            </w:r>
            <w:r/>
          </w:p>
          <w:p>
            <w:pPr>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rPr>
              <w:t xml:space="preserve">验收内容</w:t>
            </w:r>
            <w:r>
              <w:rPr>
                <w:highlight w:val="white"/>
              </w:rPr>
            </w:r>
            <w:r/>
          </w:p>
        </w:tc>
        <w:tc>
          <w:tcPr>
            <w:tcW w:w="0" w:type="auto"/>
            <w:textDirection w:val="lrTb"/>
            <w:noWrap w:val="false"/>
          </w:tcPr>
          <w:p>
            <w:pPr>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rPr>
              <w:t xml:space="preserve">服务质量</w:t>
            </w:r>
            <w:r>
              <w:rPr>
                <w:highlight w:val="white"/>
              </w:rPr>
            </w:r>
            <w:r/>
          </w:p>
        </w:tc>
        <w:tc>
          <w:tcPr>
            <w:tcW w:w="0" w:type="auto"/>
            <w:textDirection w:val="lrTb"/>
            <w:noWrap w:val="false"/>
          </w:tcPr>
          <w:p>
            <w:pPr>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rPr>
              <w:t xml:space="preserve">服务进度</w:t>
            </w:r>
            <w:r>
              <w:rPr>
                <w:highlight w:val="white"/>
              </w:rPr>
            </w:r>
            <w:r/>
          </w:p>
        </w:tc>
        <w:tc>
          <w:tcPr>
            <w:gridSpan w:val="2"/>
            <w:tcW w:w="0" w:type="auto"/>
            <w:textDirection w:val="lrTb"/>
            <w:noWrap w:val="false"/>
          </w:tcPr>
          <w:p>
            <w:pPr>
              <w:jc w:val="left"/>
              <w:spacing w:before="298" w:line="207" w:lineRule="auto"/>
              <w:rPr>
                <w:rFonts w:hint="eastAsia" w:ascii="宋体" w:hAnsi="宋体" w:cs="宋体"/>
                <w:sz w:val="18"/>
                <w:szCs w:val="18"/>
                <w:highlight w:val="white"/>
              </w:rPr>
            </w:pPr>
            <w:r>
              <w:rPr>
                <w:rFonts w:ascii="宋体" w:hAnsi="宋体" w:cs="宋体"/>
                <w:spacing w:val="-1"/>
                <w:sz w:val="18"/>
                <w:szCs w:val="18"/>
                <w:highlight w:val="white"/>
              </w:rPr>
              <w:t xml:space="preserve">人员、设备 配备情况</w:t>
            </w:r>
            <w:r>
              <w:rPr>
                <w:highlight w:val="white"/>
              </w:rPr>
            </w:r>
            <w:r/>
          </w:p>
        </w:tc>
        <w:tc>
          <w:tcPr>
            <w:tcW w:w="0" w:type="auto"/>
            <w:textDirection w:val="lrTb"/>
            <w:noWrap w:val="false"/>
          </w:tcPr>
          <w:p>
            <w:pPr>
              <w:jc w:val="left"/>
              <w:spacing w:before="297" w:line="209" w:lineRule="auto"/>
              <w:rPr>
                <w:rFonts w:hint="eastAsia" w:ascii="宋体" w:hAnsi="宋体" w:cs="宋体"/>
                <w:sz w:val="18"/>
                <w:szCs w:val="18"/>
                <w:highlight w:val="white"/>
              </w:rPr>
            </w:pPr>
            <w:r>
              <w:rPr>
                <w:rFonts w:ascii="宋体" w:hAnsi="宋体" w:cs="宋体"/>
                <w:spacing w:val="-2"/>
                <w:sz w:val="18"/>
                <w:szCs w:val="18"/>
                <w:highlight w:val="white"/>
              </w:rPr>
              <w:t xml:space="preserve">行业、安全标准</w:t>
            </w:r>
            <w:r>
              <w:rPr>
                <w:highlight w:val="white"/>
              </w:rPr>
            </w:r>
            <w:r/>
          </w:p>
        </w:tc>
        <w:tc>
          <w:tcPr>
            <w:tcW w:w="967" w:type="dxa"/>
            <w:textDirection w:val="lrTb"/>
            <w:noWrap w:val="false"/>
          </w:tcPr>
          <w:p>
            <w:pPr>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rPr>
              <w:t xml:space="preserve">项目需求、服务承诺</w:t>
            </w:r>
            <w:r>
              <w:rPr>
                <w:highlight w:val="white"/>
              </w:rPr>
            </w:r>
            <w:r/>
          </w:p>
        </w:tc>
        <w:tc>
          <w:tcPr>
            <w:tcW w:w="1797" w:type="dxa"/>
            <w:textDirection w:val="lrTb"/>
            <w:noWrap w:val="false"/>
          </w:tcPr>
          <w:p>
            <w:pPr>
              <w:jc w:val="left"/>
              <w:spacing w:before="299" w:line="208" w:lineRule="auto"/>
              <w:rPr>
                <w:rFonts w:hint="eastAsia" w:ascii="宋体" w:hAnsi="宋体" w:cs="宋体"/>
                <w:sz w:val="18"/>
                <w:szCs w:val="18"/>
                <w:highlight w:val="white"/>
              </w:rPr>
            </w:pPr>
            <w:r>
              <w:rPr>
                <w:rFonts w:ascii="宋体" w:hAnsi="宋体" w:cs="宋体"/>
                <w:spacing w:val="-1"/>
                <w:sz w:val="18"/>
                <w:szCs w:val="18"/>
                <w:highlight w:val="white"/>
              </w:rPr>
              <w:t xml:space="preserve">合同履约时间、 地点、方式</w:t>
            </w:r>
            <w:r>
              <w:rPr>
                <w:highlight w:val="white"/>
              </w:rPr>
            </w:r>
            <w:r/>
          </w:p>
        </w:tc>
      </w:tr>
      <w:tr>
        <w:trPr>
          <w:trHeight w:val="1119"/>
        </w:trPr>
        <w:tc>
          <w:tcPr>
            <w:tcBorders>
              <w:top w:val="none" w:color="000000" w:sz="4" w:space="0"/>
            </w:tcBorders>
            <w:tcW w:w="0" w:type="auto"/>
            <w:vMerge w:val="continue"/>
            <w:textDirection w:val="lrTb"/>
            <w:noWrap w:val="false"/>
          </w:tcPr>
          <w:p>
            <w:pPr>
              <w:pStyle w:val="1332"/>
              <w:jc w:val="left"/>
              <w:rPr>
                <w:rFonts w:hint="eastAsia"/>
                <w:lang w:eastAsia="zh-CN"/>
              </w:rPr>
            </w:pPr>
            <w:r>
              <w:rPr>
                <w:rFonts w:hint="eastAsia"/>
                <w:lang w:eastAsia="zh-CN"/>
              </w:rPr>
            </w:r>
            <w:r/>
          </w:p>
        </w:tc>
        <w:tc>
          <w:tcPr>
            <w:tcW w:w="0" w:type="auto"/>
            <w:textDirection w:val="lrTb"/>
            <w:noWrap w:val="false"/>
          </w:tcPr>
          <w:p>
            <w:pPr>
              <w:jc w:val="left"/>
              <w:spacing w:before="270" w:line="239" w:lineRule="exact"/>
              <w:rPr>
                <w:rFonts w:hint="eastAsia" w:ascii="宋体" w:hAnsi="宋体" w:cs="宋体"/>
                <w:sz w:val="18"/>
                <w:szCs w:val="18"/>
                <w:highlight w:val="white"/>
              </w:rPr>
            </w:pPr>
            <w:r>
              <w:rPr>
                <w:rFonts w:ascii="宋体" w:hAnsi="宋体" w:cs="宋体"/>
                <w:spacing w:val="-5"/>
                <w:position w:val="1"/>
                <w:sz w:val="18"/>
                <w:szCs w:val="18"/>
                <w:highlight w:val="white"/>
              </w:rPr>
              <w:t xml:space="preserve">合</w:t>
            </w:r>
            <w:r>
              <w:rPr>
                <w:rFonts w:ascii="宋体" w:hAnsi="宋体" w:cs="宋体"/>
                <w:spacing w:val="3"/>
                <w:position w:val="1"/>
                <w:sz w:val="18"/>
                <w:szCs w:val="18"/>
                <w:highlight w:val="white"/>
              </w:rPr>
              <w:t xml:space="preserve">  </w:t>
            </w:r>
            <w:r>
              <w:rPr>
                <w:rFonts w:ascii="宋体" w:hAnsi="宋体" w:cs="宋体"/>
                <w:spacing w:val="-5"/>
                <w:position w:val="1"/>
                <w:sz w:val="18"/>
                <w:szCs w:val="18"/>
                <w:highlight w:val="white"/>
              </w:rPr>
              <w:t xml:space="preserve">格□</w:t>
            </w:r>
            <w:r>
              <w:rPr>
                <w:highlight w:val="white"/>
              </w:rPr>
            </w:r>
            <w:r/>
          </w:p>
          <w:p>
            <w:pPr>
              <w:pStyle w:val="1332"/>
              <w:jc w:val="left"/>
              <w:spacing w:line="259" w:lineRule="auto"/>
              <w:rPr>
                <w:rFonts w:hint="eastAsia"/>
                <w:highlight w:val="white"/>
              </w:rPr>
            </w:pPr>
            <w:r>
              <w:rPr>
                <w:rFonts w:hint="eastAsia"/>
                <w:highlight w:val="white"/>
              </w:rPr>
            </w:r>
            <w:r>
              <w:rPr>
                <w:highlight w:val="white"/>
              </w:rPr>
            </w:r>
            <w:r/>
          </w:p>
          <w:p>
            <w:pPr>
              <w:jc w:val="left"/>
              <w:spacing w:before="59" w:line="239" w:lineRule="exact"/>
              <w:rPr>
                <w:rFonts w:hint="eastAsia" w:ascii="宋体" w:hAnsi="宋体" w:cs="宋体"/>
                <w:sz w:val="18"/>
                <w:szCs w:val="18"/>
                <w:highlight w:val="white"/>
              </w:rPr>
            </w:pPr>
            <w:r>
              <w:rPr>
                <w:rFonts w:ascii="宋体" w:hAnsi="宋体" w:cs="宋体"/>
                <w:spacing w:val="-3"/>
                <w:position w:val="1"/>
                <w:sz w:val="18"/>
                <w:szCs w:val="18"/>
                <w:highlight w:val="white"/>
              </w:rPr>
              <w:t xml:space="preserve">不合格□</w:t>
            </w:r>
            <w:r>
              <w:rPr>
                <w:highlight w:val="white"/>
              </w:rPr>
            </w:r>
            <w:r/>
          </w:p>
        </w:tc>
        <w:tc>
          <w:tcPr>
            <w:tcW w:w="0" w:type="auto"/>
            <w:textDirection w:val="lrTb"/>
            <w:noWrap w:val="false"/>
          </w:tcPr>
          <w:p>
            <w:pPr>
              <w:jc w:val="left"/>
              <w:spacing w:before="270" w:line="239" w:lineRule="exact"/>
              <w:rPr>
                <w:rFonts w:hint="eastAsia" w:ascii="宋体" w:hAnsi="宋体" w:cs="宋体"/>
                <w:sz w:val="18"/>
                <w:szCs w:val="18"/>
                <w:highlight w:val="white"/>
              </w:rPr>
            </w:pPr>
            <w:r>
              <w:rPr>
                <w:rFonts w:ascii="宋体" w:hAnsi="宋体" w:cs="宋体"/>
                <w:spacing w:val="-8"/>
                <w:position w:val="1"/>
                <w:sz w:val="18"/>
                <w:szCs w:val="18"/>
                <w:highlight w:val="white"/>
              </w:rPr>
              <w:t xml:space="preserve">按</w:t>
            </w:r>
            <w:r>
              <w:rPr>
                <w:rFonts w:ascii="宋体" w:hAnsi="宋体" w:cs="宋体"/>
                <w:spacing w:val="7"/>
                <w:position w:val="1"/>
                <w:sz w:val="18"/>
                <w:szCs w:val="18"/>
                <w:highlight w:val="white"/>
              </w:rPr>
              <w:t xml:space="preserve">  </w:t>
            </w:r>
            <w:r>
              <w:rPr>
                <w:rFonts w:ascii="宋体" w:hAnsi="宋体" w:cs="宋体"/>
                <w:spacing w:val="-8"/>
                <w:position w:val="1"/>
                <w:sz w:val="18"/>
                <w:szCs w:val="18"/>
                <w:highlight w:val="white"/>
              </w:rPr>
              <w:t xml:space="preserve">时□</w:t>
            </w:r>
            <w:r>
              <w:rPr>
                <w:highlight w:val="white"/>
              </w:rPr>
            </w:r>
            <w:r/>
          </w:p>
          <w:p>
            <w:pPr>
              <w:pStyle w:val="1332"/>
              <w:jc w:val="left"/>
              <w:spacing w:line="259" w:lineRule="auto"/>
              <w:rPr>
                <w:rFonts w:hint="eastAsia"/>
                <w:highlight w:val="white"/>
              </w:rPr>
            </w:pPr>
            <w:r>
              <w:rPr>
                <w:rFonts w:hint="eastAsia"/>
                <w:highlight w:val="white"/>
              </w:rPr>
            </w:r>
            <w:r>
              <w:rPr>
                <w:highlight w:val="white"/>
              </w:rPr>
            </w:r>
            <w:r/>
          </w:p>
          <w:p>
            <w:pPr>
              <w:jc w:val="left"/>
              <w:spacing w:before="59" w:line="239" w:lineRule="exact"/>
              <w:rPr>
                <w:rFonts w:hint="eastAsia" w:ascii="宋体" w:hAnsi="宋体" w:cs="宋体"/>
                <w:sz w:val="18"/>
                <w:szCs w:val="18"/>
                <w:highlight w:val="white"/>
              </w:rPr>
            </w:pPr>
            <w:r>
              <w:rPr>
                <w:rFonts w:ascii="宋体" w:hAnsi="宋体" w:cs="宋体"/>
                <w:spacing w:val="-3"/>
                <w:position w:val="1"/>
                <w:sz w:val="18"/>
                <w:szCs w:val="18"/>
                <w:highlight w:val="white"/>
              </w:rPr>
              <w:t xml:space="preserve">不按时□</w:t>
            </w:r>
            <w:r>
              <w:rPr>
                <w:highlight w:val="white"/>
              </w:rPr>
            </w:r>
            <w:r/>
          </w:p>
        </w:tc>
        <w:tc>
          <w:tcPr>
            <w:gridSpan w:val="2"/>
            <w:tcW w:w="0" w:type="auto"/>
            <w:textDirection w:val="lrTb"/>
            <w:noWrap w:val="false"/>
          </w:tcPr>
          <w:p>
            <w:pPr>
              <w:jc w:val="left"/>
              <w:spacing w:before="270" w:line="239" w:lineRule="exact"/>
              <w:rPr>
                <w:rFonts w:hint="eastAsia" w:ascii="宋体" w:hAnsi="宋体" w:cs="宋体"/>
                <w:sz w:val="18"/>
                <w:szCs w:val="18"/>
                <w:highlight w:val="white"/>
              </w:rPr>
            </w:pPr>
            <w:r>
              <w:rPr>
                <w:rFonts w:ascii="宋体" w:hAnsi="宋体" w:cs="宋体"/>
                <w:spacing w:val="-5"/>
                <w:position w:val="1"/>
                <w:sz w:val="18"/>
                <w:szCs w:val="18"/>
                <w:highlight w:val="white"/>
              </w:rPr>
              <w:t xml:space="preserve">合</w:t>
            </w:r>
            <w:r>
              <w:rPr>
                <w:rFonts w:ascii="宋体" w:hAnsi="宋体" w:cs="宋体"/>
                <w:spacing w:val="3"/>
                <w:position w:val="1"/>
                <w:sz w:val="18"/>
                <w:szCs w:val="18"/>
                <w:highlight w:val="white"/>
              </w:rPr>
              <w:t xml:space="preserve">  </w:t>
            </w:r>
            <w:r>
              <w:rPr>
                <w:rFonts w:ascii="宋体" w:hAnsi="宋体" w:cs="宋体"/>
                <w:spacing w:val="-5"/>
                <w:position w:val="1"/>
                <w:sz w:val="18"/>
                <w:szCs w:val="18"/>
                <w:highlight w:val="white"/>
              </w:rPr>
              <w:t xml:space="preserve">格□</w:t>
            </w:r>
            <w:r>
              <w:rPr>
                <w:highlight w:val="white"/>
              </w:rPr>
            </w:r>
            <w:r/>
          </w:p>
          <w:p>
            <w:pPr>
              <w:pStyle w:val="1332"/>
              <w:jc w:val="left"/>
              <w:spacing w:line="259" w:lineRule="auto"/>
              <w:rPr>
                <w:rFonts w:hint="eastAsia"/>
                <w:highlight w:val="white"/>
              </w:rPr>
            </w:pPr>
            <w:r>
              <w:rPr>
                <w:rFonts w:hint="eastAsia"/>
                <w:highlight w:val="white"/>
              </w:rPr>
            </w:r>
            <w:r>
              <w:rPr>
                <w:highlight w:val="white"/>
              </w:rPr>
            </w:r>
            <w:r/>
          </w:p>
          <w:p>
            <w:pPr>
              <w:jc w:val="left"/>
              <w:spacing w:before="59" w:line="239" w:lineRule="exact"/>
              <w:rPr>
                <w:rFonts w:hint="eastAsia" w:ascii="宋体" w:hAnsi="宋体" w:cs="宋体"/>
                <w:sz w:val="18"/>
                <w:szCs w:val="18"/>
                <w:highlight w:val="white"/>
              </w:rPr>
            </w:pPr>
            <w:r>
              <w:rPr>
                <w:rFonts w:ascii="宋体" w:hAnsi="宋体" w:cs="宋体"/>
                <w:spacing w:val="-3"/>
                <w:position w:val="1"/>
                <w:sz w:val="18"/>
                <w:szCs w:val="18"/>
                <w:highlight w:val="white"/>
              </w:rPr>
              <w:t xml:space="preserve">不合格□</w:t>
            </w:r>
            <w:r>
              <w:rPr>
                <w:highlight w:val="white"/>
              </w:rPr>
            </w:r>
            <w:r/>
          </w:p>
        </w:tc>
        <w:tc>
          <w:tcPr>
            <w:tcW w:w="0" w:type="auto"/>
            <w:textDirection w:val="lrTb"/>
            <w:noWrap w:val="false"/>
          </w:tcPr>
          <w:p>
            <w:pPr>
              <w:jc w:val="left"/>
              <w:spacing w:before="270" w:line="239" w:lineRule="exact"/>
              <w:rPr>
                <w:rFonts w:hint="eastAsia" w:ascii="宋体" w:hAnsi="宋体" w:cs="宋体"/>
                <w:sz w:val="18"/>
                <w:szCs w:val="18"/>
                <w:highlight w:val="white"/>
              </w:rPr>
            </w:pPr>
            <w:r>
              <w:rPr>
                <w:rFonts w:ascii="宋体" w:hAnsi="宋体" w:cs="宋体"/>
                <w:spacing w:val="-5"/>
                <w:position w:val="1"/>
                <w:sz w:val="18"/>
                <w:szCs w:val="18"/>
                <w:highlight w:val="white"/>
              </w:rPr>
              <w:t xml:space="preserve">合</w:t>
            </w:r>
            <w:r>
              <w:rPr>
                <w:rFonts w:ascii="宋体" w:hAnsi="宋体" w:cs="宋体"/>
                <w:spacing w:val="3"/>
                <w:position w:val="1"/>
                <w:sz w:val="18"/>
                <w:szCs w:val="18"/>
                <w:highlight w:val="white"/>
              </w:rPr>
              <w:t xml:space="preserve">  </w:t>
            </w:r>
            <w:r>
              <w:rPr>
                <w:rFonts w:ascii="宋体" w:hAnsi="宋体" w:cs="宋体"/>
                <w:spacing w:val="-5"/>
                <w:position w:val="1"/>
                <w:sz w:val="18"/>
                <w:szCs w:val="18"/>
                <w:highlight w:val="white"/>
              </w:rPr>
              <w:t xml:space="preserve">格□</w:t>
            </w:r>
            <w:r>
              <w:rPr>
                <w:highlight w:val="white"/>
              </w:rPr>
            </w:r>
            <w:r/>
          </w:p>
          <w:p>
            <w:pPr>
              <w:pStyle w:val="1332"/>
              <w:jc w:val="left"/>
              <w:spacing w:line="259" w:lineRule="auto"/>
              <w:rPr>
                <w:rFonts w:hint="eastAsia"/>
                <w:highlight w:val="white"/>
              </w:rPr>
            </w:pPr>
            <w:r>
              <w:rPr>
                <w:rFonts w:hint="eastAsia"/>
                <w:highlight w:val="white"/>
              </w:rPr>
            </w:r>
            <w:r>
              <w:rPr>
                <w:highlight w:val="white"/>
              </w:rPr>
            </w:r>
            <w:r/>
          </w:p>
          <w:p>
            <w:pPr>
              <w:jc w:val="left"/>
              <w:spacing w:before="59" w:line="239" w:lineRule="exact"/>
              <w:rPr>
                <w:rFonts w:hint="eastAsia" w:ascii="宋体" w:hAnsi="宋体" w:cs="宋体"/>
                <w:sz w:val="18"/>
                <w:szCs w:val="18"/>
                <w:highlight w:val="white"/>
              </w:rPr>
            </w:pPr>
            <w:r>
              <w:rPr>
                <w:rFonts w:ascii="宋体" w:hAnsi="宋体" w:cs="宋体"/>
                <w:spacing w:val="-3"/>
                <w:position w:val="1"/>
                <w:sz w:val="18"/>
                <w:szCs w:val="18"/>
                <w:highlight w:val="white"/>
              </w:rPr>
              <w:t xml:space="preserve">不合格□</w:t>
            </w:r>
            <w:r>
              <w:rPr>
                <w:highlight w:val="white"/>
              </w:rPr>
            </w:r>
            <w:r/>
          </w:p>
        </w:tc>
        <w:tc>
          <w:tcPr>
            <w:tcW w:w="967" w:type="dxa"/>
            <w:textDirection w:val="lrTb"/>
            <w:noWrap w:val="false"/>
          </w:tcPr>
          <w:p>
            <w:pPr>
              <w:jc w:val="left"/>
              <w:spacing w:before="270" w:line="239" w:lineRule="exact"/>
              <w:rPr>
                <w:rFonts w:hint="eastAsia" w:ascii="宋体" w:hAnsi="宋体" w:cs="宋体"/>
                <w:sz w:val="18"/>
                <w:szCs w:val="18"/>
                <w:highlight w:val="white"/>
              </w:rPr>
            </w:pPr>
            <w:r>
              <w:rPr>
                <w:rFonts w:ascii="宋体" w:hAnsi="宋体" w:cs="宋体"/>
                <w:spacing w:val="-5"/>
                <w:position w:val="1"/>
                <w:sz w:val="18"/>
                <w:szCs w:val="18"/>
                <w:highlight w:val="white"/>
              </w:rPr>
              <w:t xml:space="preserve">合</w:t>
            </w:r>
            <w:r>
              <w:rPr>
                <w:rFonts w:ascii="宋体" w:hAnsi="宋体" w:cs="宋体"/>
                <w:spacing w:val="3"/>
                <w:position w:val="1"/>
                <w:sz w:val="18"/>
                <w:szCs w:val="18"/>
                <w:highlight w:val="white"/>
              </w:rPr>
              <w:t xml:space="preserve">  </w:t>
            </w:r>
            <w:r>
              <w:rPr>
                <w:rFonts w:ascii="宋体" w:hAnsi="宋体" w:cs="宋体"/>
                <w:spacing w:val="-5"/>
                <w:position w:val="1"/>
                <w:sz w:val="18"/>
                <w:szCs w:val="18"/>
                <w:highlight w:val="white"/>
              </w:rPr>
              <w:t xml:space="preserve">格□</w:t>
            </w:r>
            <w:r>
              <w:rPr>
                <w:highlight w:val="white"/>
              </w:rPr>
            </w:r>
            <w:r/>
          </w:p>
          <w:p>
            <w:pPr>
              <w:pStyle w:val="1332"/>
              <w:jc w:val="left"/>
              <w:spacing w:line="259" w:lineRule="auto"/>
              <w:rPr>
                <w:rFonts w:hint="eastAsia"/>
                <w:highlight w:val="white"/>
              </w:rPr>
            </w:pPr>
            <w:r>
              <w:rPr>
                <w:rFonts w:hint="eastAsia"/>
                <w:highlight w:val="white"/>
              </w:rPr>
            </w:r>
            <w:r>
              <w:rPr>
                <w:highlight w:val="white"/>
              </w:rPr>
            </w:r>
            <w:r/>
          </w:p>
          <w:p>
            <w:pPr>
              <w:jc w:val="left"/>
              <w:spacing w:before="59" w:line="239" w:lineRule="exact"/>
              <w:rPr>
                <w:rFonts w:hint="eastAsia" w:ascii="宋体" w:hAnsi="宋体" w:cs="宋体"/>
                <w:sz w:val="18"/>
                <w:szCs w:val="18"/>
                <w:highlight w:val="white"/>
              </w:rPr>
            </w:pPr>
            <w:r>
              <w:rPr>
                <w:rFonts w:ascii="宋体" w:hAnsi="宋体" w:cs="宋体"/>
                <w:spacing w:val="-3"/>
                <w:position w:val="1"/>
                <w:sz w:val="18"/>
                <w:szCs w:val="18"/>
                <w:highlight w:val="white"/>
              </w:rPr>
              <w:t xml:space="preserve">不合格□</w:t>
            </w:r>
            <w:r>
              <w:rPr>
                <w:highlight w:val="white"/>
              </w:rPr>
            </w:r>
            <w:r/>
          </w:p>
        </w:tc>
        <w:tc>
          <w:tcPr>
            <w:tcW w:w="1797" w:type="dxa"/>
            <w:textDirection w:val="lrTb"/>
            <w:noWrap w:val="false"/>
          </w:tcPr>
          <w:p>
            <w:pPr>
              <w:jc w:val="left"/>
              <w:spacing w:before="270" w:line="239" w:lineRule="exact"/>
              <w:rPr>
                <w:rFonts w:hint="eastAsia" w:ascii="宋体" w:hAnsi="宋体" w:cs="宋体"/>
                <w:sz w:val="18"/>
                <w:szCs w:val="18"/>
                <w:highlight w:val="white"/>
              </w:rPr>
            </w:pPr>
            <w:r>
              <w:rPr>
                <w:rFonts w:ascii="宋体" w:hAnsi="宋体" w:cs="宋体"/>
                <w:spacing w:val="-5"/>
                <w:position w:val="1"/>
                <w:sz w:val="18"/>
                <w:szCs w:val="18"/>
                <w:highlight w:val="white"/>
              </w:rPr>
              <w:t xml:space="preserve">合</w:t>
            </w:r>
            <w:r>
              <w:rPr>
                <w:rFonts w:ascii="宋体" w:hAnsi="宋体" w:cs="宋体"/>
                <w:spacing w:val="3"/>
                <w:position w:val="1"/>
                <w:sz w:val="18"/>
                <w:szCs w:val="18"/>
                <w:highlight w:val="white"/>
              </w:rPr>
              <w:t xml:space="preserve">  </w:t>
            </w:r>
            <w:r>
              <w:rPr>
                <w:rFonts w:ascii="宋体" w:hAnsi="宋体" w:cs="宋体"/>
                <w:spacing w:val="-5"/>
                <w:position w:val="1"/>
                <w:sz w:val="18"/>
                <w:szCs w:val="18"/>
                <w:highlight w:val="white"/>
              </w:rPr>
              <w:t xml:space="preserve">格□</w:t>
            </w:r>
            <w:r>
              <w:rPr>
                <w:highlight w:val="white"/>
              </w:rPr>
            </w:r>
            <w:r/>
          </w:p>
          <w:p>
            <w:pPr>
              <w:pStyle w:val="1332"/>
              <w:jc w:val="left"/>
              <w:spacing w:line="259" w:lineRule="auto"/>
              <w:rPr>
                <w:rFonts w:hint="eastAsia"/>
                <w:highlight w:val="white"/>
              </w:rPr>
            </w:pPr>
            <w:r>
              <w:rPr>
                <w:rFonts w:hint="eastAsia"/>
                <w:highlight w:val="white"/>
              </w:rPr>
            </w:r>
            <w:r>
              <w:rPr>
                <w:highlight w:val="white"/>
              </w:rPr>
            </w:r>
            <w:r/>
          </w:p>
          <w:p>
            <w:pPr>
              <w:jc w:val="left"/>
              <w:spacing w:before="59" w:line="239" w:lineRule="exact"/>
              <w:rPr>
                <w:rFonts w:hint="eastAsia" w:ascii="宋体" w:hAnsi="宋体" w:cs="宋体"/>
                <w:sz w:val="18"/>
                <w:szCs w:val="18"/>
                <w:highlight w:val="white"/>
              </w:rPr>
            </w:pPr>
            <w:r>
              <w:rPr>
                <w:rFonts w:ascii="宋体" w:hAnsi="宋体" w:cs="宋体"/>
                <w:spacing w:val="-3"/>
                <w:position w:val="1"/>
                <w:sz w:val="18"/>
                <w:szCs w:val="18"/>
                <w:highlight w:val="white"/>
              </w:rPr>
              <w:t xml:space="preserve">不合格□</w:t>
            </w:r>
            <w:r>
              <w:rPr>
                <w:highlight w:val="white"/>
              </w:rPr>
            </w:r>
            <w:r/>
          </w:p>
        </w:tc>
      </w:tr>
      <w:tr>
        <w:trPr>
          <w:trHeight w:val="753"/>
        </w:trPr>
        <w:tc>
          <w:tcPr>
            <w:tcW w:w="0" w:type="auto"/>
            <w:textDirection w:val="lrTb"/>
            <w:noWrap w:val="false"/>
          </w:tcPr>
          <w:p>
            <w:pPr>
              <w:jc w:val="left"/>
              <w:spacing w:before="299" w:line="208" w:lineRule="auto"/>
              <w:rPr>
                <w:rFonts w:hint="eastAsia" w:ascii="宋体" w:hAnsi="宋体" w:cs="宋体"/>
                <w:sz w:val="18"/>
                <w:szCs w:val="18"/>
                <w:highlight w:val="white"/>
              </w:rPr>
            </w:pPr>
            <w:r>
              <w:rPr>
                <w:rFonts w:ascii="宋体" w:hAnsi="宋体" w:cs="宋体"/>
                <w:spacing w:val="-2"/>
                <w:sz w:val="18"/>
                <w:szCs w:val="18"/>
                <w:highlight w:val="white"/>
              </w:rPr>
              <w:t xml:space="preserve">专业检测机构情</w:t>
            </w:r>
            <w:r>
              <w:rPr>
                <w:rFonts w:ascii="宋体" w:hAnsi="宋体" w:cs="宋体"/>
                <w:spacing w:val="-3"/>
                <w:sz w:val="18"/>
                <w:szCs w:val="18"/>
                <w:highlight w:val="white"/>
              </w:rPr>
              <w:t xml:space="preserve">况说明</w:t>
            </w:r>
            <w:r>
              <w:rPr>
                <w:highlight w:val="white"/>
              </w:rPr>
            </w:r>
            <w:r/>
          </w:p>
        </w:tc>
        <w:tc>
          <w:tcPr>
            <w:gridSpan w:val="7"/>
            <w:tcW w:w="0" w:type="auto"/>
            <w:textDirection w:val="lrTb"/>
            <w:noWrap w:val="false"/>
          </w:tcPr>
          <w:p>
            <w:pPr>
              <w:pStyle w:val="1332"/>
              <w:jc w:val="left"/>
              <w:rPr>
                <w:rFonts w:hint="eastAsia"/>
                <w:highlight w:val="white"/>
              </w:rPr>
            </w:pPr>
            <w:r>
              <w:rPr>
                <w:rFonts w:hint="eastAsia"/>
                <w:highlight w:val="white"/>
                <w:lang w:eastAsia="zh-CN"/>
              </w:rPr>
            </w:r>
            <w:r>
              <w:rPr>
                <w:highlight w:val="white"/>
              </w:rPr>
            </w:r>
            <w:r/>
          </w:p>
        </w:tc>
      </w:tr>
      <w:tr>
        <w:trPr>
          <w:trHeight w:val="708"/>
        </w:trPr>
        <w:tc>
          <w:tcPr>
            <w:tcW w:w="0" w:type="auto"/>
            <w:textDirection w:val="lrTb"/>
            <w:noWrap w:val="false"/>
          </w:tcPr>
          <w:p>
            <w:pPr>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rPr>
              <w:t xml:space="preserve">存在问题和改进意见</w:t>
            </w:r>
            <w:r>
              <w:rPr>
                <w:highlight w:val="white"/>
              </w:rPr>
            </w:r>
            <w:r/>
          </w:p>
        </w:tc>
        <w:tc>
          <w:tcPr>
            <w:gridSpan w:val="7"/>
            <w:tcW w:w="0" w:type="auto"/>
            <w:textDirection w:val="lrTb"/>
            <w:noWrap w:val="false"/>
          </w:tcPr>
          <w:p>
            <w:pPr>
              <w:pStyle w:val="1332"/>
              <w:jc w:val="left"/>
              <w:rPr>
                <w:rFonts w:hint="eastAsia"/>
                <w:highlight w:val="white"/>
              </w:rPr>
            </w:pPr>
            <w:r>
              <w:rPr>
                <w:rFonts w:hint="eastAsia"/>
                <w:highlight w:val="white"/>
              </w:rPr>
            </w:r>
            <w:r>
              <w:rPr>
                <w:highlight w:val="white"/>
              </w:rPr>
            </w:r>
            <w:r/>
          </w:p>
        </w:tc>
      </w:tr>
      <w:tr>
        <w:trPr>
          <w:trHeight w:val="687"/>
        </w:trPr>
        <w:tc>
          <w:tcPr>
            <w:tcW w:w="0" w:type="auto"/>
            <w:textDirection w:val="lrTb"/>
            <w:noWrap w:val="false"/>
          </w:tcPr>
          <w:p>
            <w:pPr>
              <w:jc w:val="left"/>
              <w:spacing w:before="58" w:line="207" w:lineRule="auto"/>
              <w:rPr>
                <w:rFonts w:hint="eastAsia" w:ascii="宋体" w:hAnsi="宋体" w:cs="宋体"/>
                <w:sz w:val="18"/>
                <w:szCs w:val="18"/>
                <w:highlight w:val="white"/>
              </w:rPr>
            </w:pPr>
            <w:r>
              <w:rPr>
                <w:rFonts w:ascii="宋体" w:hAnsi="宋体" w:cs="宋体"/>
                <w:spacing w:val="-3"/>
                <w:sz w:val="18"/>
                <w:szCs w:val="18"/>
                <w:highlight w:val="white"/>
              </w:rPr>
              <w:t xml:space="preserve">最终结论</w:t>
            </w:r>
            <w:r>
              <w:rPr>
                <w:highlight w:val="white"/>
              </w:rPr>
            </w:r>
            <w:r/>
          </w:p>
        </w:tc>
        <w:tc>
          <w:tcPr>
            <w:gridSpan w:val="7"/>
            <w:tcW w:w="0" w:type="auto"/>
            <w:textDirection w:val="lrTb"/>
            <w:noWrap w:val="false"/>
          </w:tcPr>
          <w:p>
            <w:pPr>
              <w:pStyle w:val="1332"/>
              <w:jc w:val="left"/>
              <w:spacing w:line="271" w:lineRule="auto"/>
              <w:rPr>
                <w:rFonts w:hint="eastAsia"/>
                <w:highlight w:val="white"/>
              </w:rPr>
            </w:pPr>
            <w:r>
              <w:rPr>
                <w:rFonts w:hint="eastAsia"/>
                <w:highlight w:val="white"/>
              </w:rPr>
            </w:r>
            <w:r>
              <w:rPr>
                <w:highlight w:val="white"/>
              </w:rPr>
            </w:r>
            <w:r/>
          </w:p>
          <w:p>
            <w:pPr>
              <w:jc w:val="left"/>
              <w:spacing w:before="58" w:line="240" w:lineRule="exact"/>
              <w:rPr>
                <w:rFonts w:hint="eastAsia" w:ascii="宋体" w:hAnsi="宋体" w:cs="宋体"/>
                <w:sz w:val="18"/>
                <w:szCs w:val="18"/>
                <w:highlight w:val="white"/>
              </w:rPr>
            </w:pPr>
            <w:r>
              <w:rPr>
                <w:rFonts w:ascii="宋体" w:hAnsi="宋体" w:cs="宋体"/>
                <w:spacing w:val="-2"/>
                <w:position w:val="1"/>
                <w:sz w:val="18"/>
                <w:szCs w:val="18"/>
                <w:highlight w:val="white"/>
              </w:rPr>
              <w:t xml:space="preserve">合  格□</w:t>
            </w:r>
            <w:r>
              <w:rPr>
                <w:rFonts w:ascii="宋体" w:hAnsi="宋体" w:cs="宋体"/>
                <w:position w:val="1"/>
                <w:sz w:val="18"/>
                <w:szCs w:val="18"/>
                <w:highlight w:val="white"/>
              </w:rPr>
              <w:t xml:space="preserve">                              </w:t>
            </w:r>
            <w:r>
              <w:rPr>
                <w:rFonts w:ascii="宋体" w:hAnsi="宋体" w:cs="宋体"/>
                <w:spacing w:val="-2"/>
                <w:position w:val="1"/>
                <w:sz w:val="18"/>
                <w:szCs w:val="18"/>
                <w:highlight w:val="white"/>
              </w:rPr>
              <w:t xml:space="preserve">不合格□</w:t>
            </w:r>
            <w:r>
              <w:rPr>
                <w:highlight w:val="white"/>
              </w:rPr>
            </w:r>
            <w:r/>
          </w:p>
        </w:tc>
      </w:tr>
      <w:tr>
        <w:trPr>
          <w:trHeight w:val="727"/>
        </w:trPr>
        <w:tc>
          <w:tcPr>
            <w:tcW w:w="0" w:type="auto"/>
            <w:textDirection w:val="lrTb"/>
            <w:noWrap w:val="false"/>
          </w:tcPr>
          <w:p>
            <w:pPr>
              <w:jc w:val="left"/>
              <w:spacing w:before="295" w:line="208" w:lineRule="auto"/>
              <w:rPr>
                <w:rFonts w:hint="eastAsia" w:ascii="宋体" w:hAnsi="宋体" w:cs="宋体"/>
                <w:sz w:val="18"/>
                <w:szCs w:val="18"/>
                <w:highlight w:val="white"/>
              </w:rPr>
            </w:pPr>
            <w:r>
              <w:rPr>
                <w:rFonts w:ascii="宋体" w:hAnsi="宋体" w:cs="宋体"/>
                <w:spacing w:val="-2"/>
                <w:sz w:val="18"/>
                <w:szCs w:val="18"/>
                <w:highlight w:val="white"/>
              </w:rPr>
              <w:t xml:space="preserve">验收小组成员</w:t>
            </w:r>
            <w:r>
              <w:rPr>
                <w:rFonts w:ascii="宋体" w:hAnsi="宋体" w:cs="宋体"/>
                <w:spacing w:val="-4"/>
                <w:sz w:val="18"/>
                <w:szCs w:val="18"/>
                <w:highlight w:val="white"/>
              </w:rPr>
              <w:t xml:space="preserve">签字</w:t>
            </w:r>
            <w:r>
              <w:rPr>
                <w:highlight w:val="white"/>
              </w:rPr>
            </w:r>
            <w:r/>
          </w:p>
        </w:tc>
        <w:tc>
          <w:tcPr>
            <w:gridSpan w:val="7"/>
            <w:tcW w:w="0" w:type="auto"/>
            <w:textDirection w:val="lrTb"/>
            <w:noWrap w:val="false"/>
          </w:tcPr>
          <w:p>
            <w:pPr>
              <w:pStyle w:val="1332"/>
              <w:jc w:val="left"/>
              <w:rPr>
                <w:rFonts w:hint="eastAsia"/>
                <w:highlight w:val="white"/>
              </w:rPr>
            </w:pPr>
            <w:r>
              <w:rPr>
                <w:rFonts w:hint="eastAsia"/>
                <w:highlight w:val="white"/>
              </w:rPr>
            </w:r>
            <w:r>
              <w:rPr>
                <w:highlight w:val="white"/>
              </w:rPr>
            </w:r>
            <w:r/>
          </w:p>
        </w:tc>
      </w:tr>
      <w:tr>
        <w:trPr>
          <w:trHeight w:val="559"/>
        </w:trPr>
        <w:tc>
          <w:tcPr>
            <w:gridSpan w:val="4"/>
            <w:tcW w:w="0" w:type="auto"/>
            <w:textDirection w:val="lrTb"/>
            <w:noWrap w:val="false"/>
          </w:tcPr>
          <w:p>
            <w:pPr>
              <w:jc w:val="left"/>
              <w:spacing w:before="297" w:line="208" w:lineRule="auto"/>
              <w:rPr>
                <w:rFonts w:hint="eastAsia" w:ascii="宋体" w:hAnsi="宋体" w:cs="宋体"/>
                <w:sz w:val="18"/>
                <w:szCs w:val="18"/>
                <w:highlight w:val="white"/>
              </w:rPr>
            </w:pPr>
            <w:r>
              <w:rPr>
                <w:rFonts w:ascii="宋体" w:hAnsi="宋体" w:cs="宋体"/>
                <w:spacing w:val="-1"/>
                <w:sz w:val="18"/>
                <w:szCs w:val="18"/>
                <w:highlight w:val="white"/>
              </w:rPr>
              <w:t xml:space="preserve">采购代理机构意见</w:t>
            </w:r>
            <w:r>
              <w:rPr>
                <w:highlight w:val="white"/>
              </w:rPr>
            </w:r>
            <w:r/>
          </w:p>
        </w:tc>
        <w:tc>
          <w:tcPr>
            <w:gridSpan w:val="4"/>
            <w:tcW w:w="0" w:type="auto"/>
            <w:textDirection w:val="lrTb"/>
            <w:noWrap w:val="false"/>
          </w:tcPr>
          <w:p>
            <w:pPr>
              <w:jc w:val="left"/>
              <w:spacing w:before="297" w:line="207" w:lineRule="auto"/>
              <w:rPr>
                <w:rFonts w:hint="eastAsia" w:ascii="宋体" w:hAnsi="宋体" w:cs="宋体"/>
                <w:sz w:val="18"/>
                <w:szCs w:val="18"/>
                <w:highlight w:val="white"/>
              </w:rPr>
            </w:pPr>
            <w:r>
              <w:rPr>
                <w:rFonts w:ascii="宋体" w:hAnsi="宋体" w:cs="宋体"/>
                <w:spacing w:val="-2"/>
                <w:sz w:val="18"/>
                <w:szCs w:val="18"/>
                <w:highlight w:val="white"/>
              </w:rPr>
              <w:t xml:space="preserve">采购人意见</w:t>
            </w:r>
            <w:r>
              <w:rPr>
                <w:highlight w:val="white"/>
              </w:rPr>
            </w:r>
            <w:r/>
          </w:p>
        </w:tc>
      </w:tr>
      <w:tr>
        <w:trPr>
          <w:trHeight w:val="1119"/>
        </w:trPr>
        <w:tc>
          <w:tcPr>
            <w:gridSpan w:val="4"/>
            <w:tcW w:w="0" w:type="auto"/>
            <w:textDirection w:val="lrTb"/>
            <w:noWrap w:val="false"/>
          </w:tcPr>
          <w:p>
            <w:pPr>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8"/>
                <w:position w:val="1"/>
                <w:sz w:val="18"/>
                <w:szCs w:val="18"/>
                <w:highlight w:val="white"/>
              </w:rPr>
              <w:t xml:space="preserve">：</w:t>
            </w:r>
            <w:r>
              <w:rPr>
                <w:rFonts w:ascii="宋体" w:hAnsi="宋体" w:cs="宋体"/>
                <w:position w:val="1"/>
                <w:sz w:val="18"/>
                <w:szCs w:val="18"/>
                <w:highlight w:val="white"/>
              </w:rPr>
              <w:t xml:space="preserve">   </w:t>
            </w:r>
            <w:r>
              <w:rPr>
                <w:rFonts w:ascii="宋体" w:hAnsi="宋体" w:cs="宋体"/>
                <w:spacing w:val="-18"/>
                <w:position w:val="1"/>
                <w:sz w:val="18"/>
                <w:szCs w:val="18"/>
                <w:highlight w:val="white"/>
              </w:rPr>
              <w:t xml:space="preserve">（</w:t>
            </w:r>
            <w:r>
              <w:rPr>
                <w:rFonts w:ascii="宋体" w:hAnsi="宋体" w:cs="宋体"/>
                <w:spacing w:val="1"/>
                <w:position w:val="1"/>
                <w:sz w:val="18"/>
                <w:szCs w:val="18"/>
                <w:highlight w:val="white"/>
              </w:rPr>
              <w:t xml:space="preserve">采购代理机构公章）</w:t>
            </w:r>
            <w:r>
              <w:rPr>
                <w:highlight w:val="white"/>
              </w:rPr>
            </w:r>
            <w:r/>
          </w:p>
        </w:tc>
        <w:tc>
          <w:tcPr>
            <w:gridSpan w:val="4"/>
            <w:tcW w:w="0" w:type="auto"/>
            <w:textDirection w:val="lrTb"/>
            <w:noWrap w:val="false"/>
          </w:tcPr>
          <w:p>
            <w:pPr>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7"/>
                <w:position w:val="1"/>
                <w:sz w:val="18"/>
                <w:szCs w:val="18"/>
                <w:highlight w:val="white"/>
              </w:rPr>
              <w:t xml:space="preserve">：</w:t>
            </w:r>
            <w:r>
              <w:rPr>
                <w:rFonts w:ascii="宋体" w:hAnsi="宋体" w:cs="宋体"/>
                <w:position w:val="1"/>
                <w:sz w:val="18"/>
                <w:szCs w:val="18"/>
                <w:highlight w:val="white"/>
              </w:rPr>
              <w:t xml:space="preserve">        </w:t>
            </w:r>
            <w:r>
              <w:rPr>
                <w:rFonts w:ascii="宋体" w:hAnsi="宋体" w:cs="宋体"/>
                <w:spacing w:val="-17"/>
                <w:position w:val="1"/>
                <w:sz w:val="18"/>
                <w:szCs w:val="18"/>
                <w:highlight w:val="white"/>
              </w:rPr>
              <w:t xml:space="preserve">（</w:t>
            </w:r>
            <w:r>
              <w:rPr>
                <w:rFonts w:ascii="宋体" w:hAnsi="宋体" w:cs="宋体"/>
                <w:spacing w:val="1"/>
                <w:position w:val="1"/>
                <w:sz w:val="18"/>
                <w:szCs w:val="18"/>
                <w:highlight w:val="white"/>
              </w:rPr>
              <w:t xml:space="preserve">采购人公章）</w:t>
            </w:r>
            <w:r>
              <w:rPr>
                <w:highlight w:val="white"/>
              </w:rPr>
            </w:r>
            <w:r/>
          </w:p>
        </w:tc>
      </w:tr>
      <w:tr>
        <w:trPr>
          <w:trHeight w:val="1681"/>
        </w:trPr>
        <w:tc>
          <w:tcPr>
            <w:gridSpan w:val="8"/>
            <w:tcW w:w="0" w:type="auto"/>
            <w:textDirection w:val="lrTb"/>
            <w:noWrap w:val="false"/>
          </w:tcPr>
          <w:p>
            <w:pPr>
              <w:jc w:val="left"/>
              <w:spacing w:before="299" w:line="207" w:lineRule="auto"/>
              <w:rPr>
                <w:rFonts w:hint="eastAsia" w:ascii="宋体" w:hAnsi="宋体" w:cs="宋体"/>
                <w:sz w:val="18"/>
                <w:szCs w:val="18"/>
                <w:highlight w:val="white"/>
              </w:rPr>
            </w:pPr>
            <w:r>
              <w:rPr>
                <w:rFonts w:ascii="宋体" w:hAnsi="宋体" w:cs="宋体"/>
                <w:spacing w:val="-2"/>
                <w:sz w:val="18"/>
                <w:szCs w:val="18"/>
                <w:highlight w:val="white"/>
              </w:rPr>
              <w:t xml:space="preserve">供应商确认：</w:t>
            </w:r>
            <w:r>
              <w:rPr>
                <w:highlight w:val="white"/>
              </w:rPr>
            </w:r>
            <w:r/>
          </w:p>
          <w:p>
            <w:pPr>
              <w:pStyle w:val="1332"/>
              <w:jc w:val="left"/>
              <w:spacing w:line="275" w:lineRule="auto"/>
              <w:rPr>
                <w:rFonts w:hint="eastAsia"/>
                <w:highlight w:val="white"/>
              </w:rPr>
            </w:pPr>
            <w:r>
              <w:rPr>
                <w:rFonts w:hint="eastAsia"/>
                <w:highlight w:val="white"/>
                <w:lang w:eastAsia="zh-CN"/>
              </w:rPr>
            </w:r>
            <w:r>
              <w:rPr>
                <w:highlight w:val="white"/>
              </w:rPr>
            </w:r>
            <w:r/>
          </w:p>
          <w:p>
            <w:pPr>
              <w:pStyle w:val="1332"/>
              <w:jc w:val="left"/>
              <w:spacing w:line="275" w:lineRule="auto"/>
              <w:rPr>
                <w:rFonts w:hint="eastAsia"/>
                <w:highlight w:val="white"/>
              </w:rPr>
            </w:pPr>
            <w:r>
              <w:rPr>
                <w:rFonts w:hint="eastAsia"/>
                <w:highlight w:val="white"/>
                <w:lang w:eastAsia="zh-CN"/>
              </w:rPr>
            </w:r>
            <w:r>
              <w:rPr>
                <w:highlight w:val="white"/>
              </w:rPr>
            </w:r>
            <w:r/>
          </w:p>
          <w:p>
            <w:pPr>
              <w:jc w:val="left"/>
              <w:spacing w:before="58" w:line="239"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（单位公章或授权代表签字）</w:t>
            </w:r>
            <w:r>
              <w:rPr>
                <w:highlight w:val="white"/>
              </w:rPr>
            </w:r>
            <w:r/>
          </w:p>
        </w:tc>
      </w:tr>
    </w:tbl>
    <w:p>
      <w:pPr>
        <w:ind w:left="85"/>
        <w:jc w:val="left"/>
        <w:spacing w:before="266" w:line="239" w:lineRule="exact"/>
        <w:rPr>
          <w:rFonts w:hint="eastAsia" w:ascii="宋体" w:hAnsi="宋体" w:cs="宋体"/>
          <w:sz w:val="18"/>
          <w:szCs w:val="18"/>
          <w:highlight w:val="white"/>
        </w:rPr>
      </w:pPr>
      <w:r>
        <w:rPr>
          <w:rFonts w:ascii="宋体" w:hAnsi="宋体" w:cs="宋体"/>
          <w:position w:val="1"/>
          <w:sz w:val="18"/>
          <w:szCs w:val="18"/>
          <w:highlight w:val="white"/>
        </w:rPr>
        <w:t xml:space="preserve">说明：1.该表为服务类项目履约验收的参考样表，采购人或采购代理机构可以</w:t>
      </w:r>
      <w:r>
        <w:rPr>
          <w:rFonts w:ascii="宋体" w:hAnsi="宋体" w:cs="宋体"/>
          <w:spacing w:val="-1"/>
          <w:position w:val="1"/>
          <w:sz w:val="18"/>
          <w:szCs w:val="18"/>
          <w:highlight w:val="white"/>
        </w:rPr>
        <w:t xml:space="preserve">根据工作实际进行调整。</w:t>
      </w:r>
      <w:r>
        <w:rPr>
          <w:highlight w:val="white"/>
        </w:rPr>
      </w:r>
      <w:r/>
    </w:p>
    <w:p>
      <w:pPr>
        <w:pStyle w:val="918"/>
        <w:spacing w:line="262" w:lineRule="auto"/>
        <w:rPr>
          <w:highlight w:val="white"/>
        </w:rPr>
      </w:pPr>
      <w:r>
        <w:rPr>
          <w:highlight w:val="white"/>
        </w:rPr>
      </w:r>
      <w:r>
        <w:rPr>
          <w:highlight w:val="white"/>
        </w:rPr>
      </w:r>
      <w:r/>
    </w:p>
    <w:p>
      <w:pPr>
        <w:ind w:left="625"/>
        <w:spacing w:before="59" w:line="238" w:lineRule="exact"/>
        <w:rPr>
          <w:rFonts w:hint="eastAsia" w:ascii="宋体" w:hAnsi="宋体" w:cs="宋体"/>
          <w:spacing w:val="-1"/>
          <w:position w:val="1"/>
          <w:sz w:val="18"/>
          <w:szCs w:val="18"/>
          <w:highlight w:val="white"/>
        </w:rPr>
        <w:outlineLvl w:val="0"/>
      </w:pPr>
      <w:r>
        <w:rPr>
          <w:rFonts w:ascii="宋体" w:hAnsi="宋体" w:cs="宋体"/>
          <w:position w:val="1"/>
          <w:sz w:val="18"/>
          <w:szCs w:val="18"/>
          <w:highlight w:val="white"/>
        </w:rPr>
        <w:t xml:space="preserve">2.未委托采购代理机构开展履约验收工作的，无需填写“</w:t>
      </w:r>
      <w:r>
        <w:rPr>
          <w:rFonts w:ascii="宋体" w:hAnsi="宋体" w:cs="宋体"/>
          <w:spacing w:val="-1"/>
          <w:position w:val="1"/>
          <w:sz w:val="18"/>
          <w:szCs w:val="18"/>
          <w:highlight w:val="white"/>
        </w:rPr>
        <w:t xml:space="preserve">采购代理机构意见</w:t>
      </w:r>
      <w:r>
        <w:rPr>
          <w:rFonts w:ascii="宋体" w:hAnsi="宋体" w:cs="宋体"/>
          <w:spacing w:val="-66"/>
          <w:position w:val="1"/>
          <w:sz w:val="18"/>
          <w:szCs w:val="18"/>
          <w:highlight w:val="white"/>
        </w:rPr>
        <w:t xml:space="preserve"> </w:t>
      </w:r>
      <w:r>
        <w:rPr>
          <w:rFonts w:ascii="宋体" w:hAnsi="宋体" w:cs="宋体"/>
          <w:spacing w:val="-1"/>
          <w:position w:val="1"/>
          <w:sz w:val="18"/>
          <w:szCs w:val="18"/>
          <w:highlight w:val="white"/>
        </w:rPr>
        <w:t xml:space="preserve">”。</w:t>
      </w:r>
      <w:r>
        <w:rPr>
          <w:highlight w:val="white"/>
        </w:rPr>
      </w:r>
      <w:r/>
    </w:p>
    <w:p>
      <w:pPr>
        <w:rPr>
          <w:highlight w:val="white"/>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97" w:bottom="1440" w:left="1797" w:header="851" w:footer="992" w:gutter="0"/>
          <w:cols w:num="1" w:sep="0" w:space="1701" w:equalWidth="1"/>
          <w:docGrid w:linePitch="360"/>
          <w:titlePg/>
        </w:sectPr>
      </w:pPr>
      <w:r>
        <w:rPr>
          <w:highlight w:val="white"/>
        </w:rPr>
      </w:r>
      <w:r>
        <w:rPr>
          <w:highlight w:val="white"/>
        </w:rPr>
      </w:r>
      <w:r/>
    </w:p>
    <w:p>
      <w:pPr>
        <w:pStyle w:val="1252"/>
        <w:jc w:val="center"/>
        <w:rPr>
          <w:rFonts w:hint="eastAsia" w:ascii="黑体" w:hAnsi="宋体" w:eastAsia="黑体"/>
          <w:color w:val="000000" w:themeColor="text1"/>
          <w:szCs w:val="16"/>
          <w:highlight w:val="white"/>
          <w14:textFill>
            <w14:solidFill>
              <w14:schemeClr w14:val="tx1"/>
            </w14:solidFill>
          </w14:textFill>
        </w:rPr>
      </w:pPr>
      <w:r>
        <w:rPr>
          <w:highlight w:val="white"/>
        </w:rPr>
      </w:r>
      <w:bookmarkStart w:id="21" w:name="_Toc25383"/>
      <w:r>
        <w:rPr>
          <w:rFonts w:hint="eastAsia" w:ascii="黑体" w:hAnsi="宋体" w:eastAsia="黑体"/>
          <w:color w:val="000000" w:themeColor="text1"/>
          <w:szCs w:val="16"/>
          <w:highlight w:val="white"/>
          <w14:textFill>
            <w14:solidFill>
              <w14:schemeClr w14:val="tx1"/>
            </w14:solidFill>
          </w14:textFill>
        </w:rPr>
        <w:t xml:space="preserve">第五章  评审办法</w:t>
      </w:r>
      <w:bookmarkEnd w:id="20"/>
      <w:r>
        <w:rPr>
          <w:highlight w:val="white"/>
        </w:rPr>
      </w:r>
      <w:bookmarkEnd w:id="21"/>
      <w:r>
        <w:rPr>
          <w:highlight w:val="white"/>
        </w:rPr>
      </w:r>
      <w:r/>
    </w:p>
    <w:p>
      <w:pPr>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一、评审方法</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2、综合评分的主要因素为：综合实力、业绩、技术、信誉、服务、对磋商采购文件的响应程度，以及相应的比重或者数值等。</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w:t>
      </w:r>
      <w:r>
        <w:rPr>
          <w:rFonts w:ascii="宋体" w:hAnsi="宋体"/>
          <w:color w:val="000000" w:themeColor="text1"/>
          <w:sz w:val="24"/>
          <w:highlight w:val="white"/>
          <w14:textFill>
            <w14:solidFill>
              <w14:schemeClr w14:val="tx1"/>
            </w14:solidFill>
          </w14:textFill>
        </w:rPr>
        <w:t xml:space="preserve">针对小型、微型企业的价格评审办法：</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根据财政部、工业和信息化部《政府采购促进中小企业发展管理办法》的相关要求，结合省财政厅《关于做好政府采购支持企业发展有关事项的通知》（苏财购</w:t>
      </w:r>
      <w:r>
        <w:rPr>
          <w:rFonts w:hint="eastAsia" w:ascii="宋体" w:hAnsi="宋体"/>
          <w:color w:val="000000" w:themeColor="text1"/>
          <w:sz w:val="24"/>
          <w:highlight w:val="white"/>
          <w14:textFill>
            <w14:solidFill>
              <w14:schemeClr w14:val="tx1"/>
            </w14:solidFill>
          </w14:textFill>
        </w:rPr>
        <w:t xml:space="preserve">【2020】52号）</w:t>
      </w:r>
      <w:r>
        <w:rPr>
          <w:rFonts w:ascii="宋体" w:hAnsi="宋体"/>
          <w:color w:val="000000" w:themeColor="text1"/>
          <w:sz w:val="24"/>
          <w:highlight w:val="white"/>
          <w14:textFill>
            <w14:solidFill>
              <w14:schemeClr w14:val="tx1"/>
            </w14:solidFill>
          </w14:textFill>
        </w:rPr>
        <w:t xml:space="preserve">的文件精神，现将对小微企业报价扣除比例相关事项明确如下：</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如中小微企业在投标（响应）文件中，签署《中小企业声明函》，并根据工信部联企业〔</w:t>
      </w:r>
      <w:r>
        <w:rPr>
          <w:rFonts w:ascii="宋体" w:hAnsi="宋体"/>
          <w:color w:val="000000" w:themeColor="text1"/>
          <w:sz w:val="24"/>
          <w:highlight w:val="white"/>
          <w14:textFill>
            <w14:solidFill>
              <w14:schemeClr w14:val="tx1"/>
            </w14:solidFill>
          </w14:textFill>
        </w:rPr>
        <w:t xml:space="preserve">2011</w:t>
      </w: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300</w:t>
      </w:r>
      <w:r>
        <w:rPr>
          <w:rFonts w:hint="eastAsia" w:ascii="宋体" w:hAnsi="宋体"/>
          <w:color w:val="000000" w:themeColor="text1"/>
          <w:sz w:val="24"/>
          <w:highlight w:val="white"/>
          <w14:textFill>
            <w14:solidFill>
              <w14:schemeClr w14:val="tx1"/>
            </w14:solidFill>
          </w14:textFill>
        </w:rPr>
        <w:t xml:space="preserve">号通知，未在投标（响应）文件中提供《中小企业声明函》的，不享受促进中小微企业发展的相关政府采购政策。</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本次采购中，响应单位如为监狱企业，则视同小型、微型企业，享受评审中价格扣除等政府采购促进中小企业发展的政府采购政策。向监狱企业采购的金额，计入面向中小企业采购的统计数据。</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根据“中小企业声明函”、“残疾人福利性单位声明函”及监狱企业证明确定企业性质，对符合《政府采购促进中小企业发展管理办法》规定的小型、微型企业报价给予相应比例的扣除，其中货物和服务项目为20%，工程项目为5%，用扣除后的价格参加评审。</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注：</w:t>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①填报“中小企业声明函”需严格按“工信部联企业〔2011〕300号通知中的《中小企业划型标准规定》进行。</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②若</w:t>
      </w:r>
      <w:r>
        <w:rPr>
          <w:rFonts w:hint="eastAsia" w:ascii="宋体" w:hAnsi="宋体"/>
          <w:color w:val="000000" w:themeColor="text1"/>
          <w:sz w:val="24"/>
          <w:highlight w:val="white"/>
          <w14:textFill>
            <w14:solidFill>
              <w14:schemeClr w14:val="tx1"/>
            </w14:solidFill>
          </w14:textFill>
        </w:rPr>
        <w:t xml:space="preserve">供应商</w:t>
      </w:r>
      <w:r>
        <w:rPr>
          <w:rFonts w:ascii="宋体" w:hAnsi="宋体"/>
          <w:color w:val="000000" w:themeColor="text1"/>
          <w:sz w:val="24"/>
          <w:highlight w:val="white"/>
          <w14:textFill>
            <w14:solidFill>
              <w14:schemeClr w14:val="tx1"/>
            </w14:solidFill>
          </w14:textFill>
        </w:rPr>
        <w:t xml:space="preserve">提供的“中小企业声明函”或认定证明为虚假声明则视同提供虚假材</w:t>
      </w:r>
      <w:r>
        <w:rPr>
          <w:rFonts w:hint="eastAsia" w:ascii="宋体" w:hAnsi="宋体" w:cs="宋体"/>
          <w:color w:val="000000" w:themeColor="text1"/>
          <w:sz w:val="24"/>
          <w:highlight w:val="white"/>
          <w14:textFill>
            <w14:solidFill>
              <w14:schemeClr w14:val="tx1"/>
            </w14:solidFill>
          </w14:textFill>
        </w:rPr>
        <w:t xml:space="preserve">料，按“政府采购法”相关规定处理并报请政府监管部门给予行政处罚。</w:t>
      </w:r>
      <w:r>
        <w:rPr>
          <w:highlight w:val="white"/>
        </w:rPr>
      </w:r>
      <w:r/>
    </w:p>
    <w:p>
      <w:pPr>
        <w:ind w:firstLine="482"/>
        <w:spacing w:line="360" w:lineRule="auto"/>
        <w:rPr>
          <w:rFonts w:hint="eastAsia" w:ascii="宋体" w:hAnsi="宋体"/>
          <w:b/>
          <w:bCs/>
          <w:color w:val="000000" w:themeColor="text1"/>
          <w:sz w:val="24"/>
          <w:highlight w:val="white"/>
          <w14:textFill>
            <w14:solidFill>
              <w14:schemeClr w14:val="tx1"/>
            </w14:solidFill>
          </w14:textFill>
        </w:rPr>
      </w:pPr>
      <w:r>
        <w:rPr>
          <w:rFonts w:hint="eastAsia" w:ascii="宋体" w:hAnsi="宋体"/>
          <w:b/>
          <w:bCs/>
          <w:color w:val="000000" w:themeColor="text1"/>
          <w:sz w:val="24"/>
          <w:highlight w:val="white"/>
          <w14:textFill>
            <w14:solidFill>
              <w14:schemeClr w14:val="tx1"/>
            </w14:solidFill>
          </w14:textFill>
        </w:rPr>
        <w:t xml:space="preserve">③根据《关于印发&lt;苏州市政府采购促进中小企业发展实施意见&gt;的通知》（苏财购〔2022〕16号）相关要求，本项目为专门面向中小企业采购的项目，不再执行价格评审优惠的扶持政策。</w:t>
      </w:r>
      <w:r>
        <w:rPr>
          <w:highlight w:val="white"/>
        </w:rPr>
      </w:r>
      <w:r/>
    </w:p>
    <w:p>
      <w:pPr>
        <w:ind w:firstLine="420"/>
        <w:spacing w:line="420" w:lineRule="exact"/>
        <w:tabs>
          <w:tab w:val="left" w:pos="2870" w:leader="none"/>
        </w:tabs>
        <w:rPr>
          <w:rFonts w:hint="eastAsia" w:hAnsi="宋体"/>
          <w:b/>
          <w:bCs/>
          <w:color w:val="000000" w:themeColor="text1"/>
          <w:sz w:val="24"/>
          <w:highlight w:val="white"/>
          <w14:textFill>
            <w14:solidFill>
              <w14:schemeClr w14:val="tx1"/>
            </w14:solidFill>
          </w14:textFill>
        </w:rPr>
        <w:outlineLvl w:val="1"/>
      </w:pPr>
      <w:r>
        <w:rPr>
          <w:rFonts w:hint="eastAsia" w:hAnsi="宋体"/>
          <w:b/>
          <w:bCs/>
          <w:color w:val="000000" w:themeColor="text1"/>
          <w:sz w:val="24"/>
          <w:highlight w:val="white"/>
          <w14:textFill>
            <w14:solidFill>
              <w14:schemeClr w14:val="tx1"/>
            </w14:solidFill>
          </w14:textFill>
        </w:rPr>
      </w:r>
      <w:r>
        <w:rPr>
          <w:highlight w:val="white"/>
        </w:rPr>
      </w:r>
      <w:r/>
    </w:p>
    <w:p>
      <w:pPr>
        <w:ind w:firstLine="48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二、评分标准：</w:t>
      </w:r>
      <w:r>
        <w:rPr>
          <w:highlight w:val="white"/>
        </w:rPr>
      </w:r>
      <w:r/>
    </w:p>
    <w:p>
      <w:pPr>
        <w:spacing w:line="360" w:lineRule="auto"/>
        <w:rPr>
          <w:rFonts w:hint="eastAsia" w:ascii="宋体" w:hAnsi="宋体"/>
          <w:b/>
          <w:color w:val="000000"/>
          <w:sz w:val="24"/>
          <w:highlight w:val="white"/>
        </w:rPr>
      </w:pPr>
      <w:r>
        <w:rPr>
          <w:highlight w:val="white"/>
        </w:rPr>
      </w:r>
      <w:bookmarkStart w:id="22" w:name="_Toc227034744"/>
      <w:r>
        <w:rPr>
          <w:highlight w:val="white"/>
        </w:rPr>
      </w:r>
      <w:bookmarkStart w:id="23" w:name="_Toc226971675"/>
      <w:r>
        <w:rPr>
          <w:highlight w:val="white"/>
        </w:rPr>
      </w:r>
      <w:bookmarkStart w:id="24" w:name="_Toc227047097"/>
      <w:r>
        <w:rPr>
          <w:rFonts w:hint="eastAsia" w:ascii="宋体" w:hAnsi="宋体"/>
          <w:b/>
          <w:color w:val="000000"/>
          <w:sz w:val="24"/>
          <w:highlight w:val="white"/>
          <w:lang w:eastAsia="zh-CN"/>
        </w:rPr>
        <w:t xml:space="preserve">（</w:t>
      </w:r>
      <w:r>
        <w:rPr>
          <w:rFonts w:hint="eastAsia" w:ascii="宋体" w:hAnsi="宋体"/>
          <w:b/>
          <w:color w:val="000000"/>
          <w:sz w:val="24"/>
          <w:highlight w:val="white"/>
        </w:rPr>
        <w:t xml:space="preserve">一</w:t>
      </w:r>
      <w:r>
        <w:rPr>
          <w:rFonts w:hint="eastAsia" w:ascii="宋体" w:hAnsi="宋体"/>
          <w:b/>
          <w:color w:val="000000"/>
          <w:sz w:val="24"/>
          <w:highlight w:val="white"/>
          <w:lang w:eastAsia="zh-CN"/>
        </w:rPr>
        <w:t xml:space="preserve">）</w:t>
      </w:r>
      <w:r>
        <w:rPr>
          <w:rFonts w:hint="eastAsia" w:ascii="宋体" w:hAnsi="宋体"/>
          <w:b/>
          <w:color w:val="000000"/>
          <w:sz w:val="24"/>
          <w:highlight w:val="white"/>
          <w:lang w:val="en-US" w:eastAsia="zh-CN"/>
        </w:rPr>
        <w:t xml:space="preserve">报价得分</w:t>
      </w:r>
      <w:r>
        <w:rPr>
          <w:rFonts w:hint="eastAsia" w:ascii="宋体" w:hAnsi="宋体"/>
          <w:b/>
          <w:color w:val="000000"/>
          <w:sz w:val="24"/>
          <w:highlight w:val="white"/>
        </w:rPr>
        <w:t xml:space="preserve">（10分）</w:t>
      </w:r>
      <w:r>
        <w:rPr>
          <w:highlight w:val="white"/>
        </w:rPr>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1、供应商磋商报价对应的结算价格低于或等于预算价格的，为有效磋商报价；报价对应的结算价格超过预算价格的，为无效磋商报价。无效磋商报价不参与评审。</w:t>
      </w:r>
      <w:r>
        <w:rPr>
          <w:highlight w:val="white"/>
        </w:rPr>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2、价格分采用低价优先法计算，满足磋商文件要求且优惠率最高的磋商报价为磋商基准价。其他供应商报价得分按下列公式计算，计算结果四舍五入保留两位小数。</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3、磋商报价得分＝（1－基准优惠率）÷（1－供应商磋商优惠率）×10</w:t>
      </w:r>
      <w:bookmarkEnd w:id="22"/>
      <w:r>
        <w:rPr>
          <w:highlight w:val="white"/>
        </w:rPr>
      </w:r>
      <w:bookmarkEnd w:id="23"/>
      <w:r>
        <w:rPr>
          <w:highlight w:val="white"/>
        </w:rPr>
      </w:r>
      <w:bookmarkEnd w:id="24"/>
      <w:r>
        <w:rPr>
          <w:highlight w:val="white"/>
        </w:rPr>
      </w:r>
      <w:r/>
    </w:p>
    <w:p>
      <w:pPr>
        <w:ind w:firstLine="0"/>
        <w:spacing w:line="360" w:lineRule="auto"/>
        <w:tabs>
          <w:tab w:val="left" w:pos="8925" w:leader="none"/>
        </w:tabs>
        <w:rPr>
          <w:rFonts w:asciiTheme="minorEastAsia" w:hAnsiTheme="minorEastAsia" w:eastAsiaTheme="minorEastAsia" w:cstheme="minorEastAsia"/>
          <w:b/>
          <w:bCs/>
          <w:sz w:val="24"/>
          <w:szCs w:val="24"/>
          <w:highlight w:val="white"/>
        </w:rPr>
      </w:pPr>
      <w:r>
        <w:rPr>
          <w:rFonts w:hint="eastAsia" w:asciiTheme="minorEastAsia" w:hAnsiTheme="minorEastAsia" w:eastAsiaTheme="minorEastAsia" w:cstheme="minorEastAsia"/>
          <w:b/>
          <w:bCs/>
          <w:sz w:val="24"/>
          <w:szCs w:val="24"/>
          <w:highlight w:val="white"/>
        </w:rPr>
        <w:t xml:space="preserve">（二）针对本项目的服务方案比较（64分）</w:t>
      </w:r>
      <w:r>
        <w:rPr>
          <w:highlight w:val="white"/>
        </w:rPr>
      </w:r>
      <w:r/>
    </w:p>
    <w:p>
      <w:pPr>
        <w:ind w:firstLine="420"/>
        <w:spacing w:line="360" w:lineRule="auto"/>
        <w:tabs>
          <w:tab w:val="left" w:pos="8925" w:leader="none"/>
        </w:tabs>
        <w:rPr>
          <w:rFonts w:asciiTheme="minorEastAsia" w:hAnsiTheme="minorEastAsia" w:eastAsiaTheme="minorEastAsia" w:cstheme="minorEastAsia"/>
          <w:sz w:val="24"/>
          <w:szCs w:val="24"/>
          <w:highlight w:val="white"/>
        </w:rPr>
      </w:pPr>
      <w:r>
        <w:rPr>
          <w:rFonts w:asciiTheme="minorEastAsia" w:hAnsiTheme="minorEastAsia" w:eastAsiaTheme="minorEastAsia" w:cstheme="minorEastAsia"/>
          <w:sz w:val="24"/>
          <w:szCs w:val="24"/>
          <w:highlight w:val="white"/>
        </w:rPr>
        <w:t xml:space="preserve">1、对食材品质管控比较（10</w:t>
      </w:r>
      <w:r>
        <w:rPr>
          <w:rFonts w:hint="eastAsia" w:asciiTheme="minorEastAsia" w:hAnsiTheme="minorEastAsia" w:eastAsiaTheme="minorEastAsia" w:cstheme="minorEastAsia"/>
          <w:sz w:val="24"/>
          <w:szCs w:val="24"/>
          <w:highlight w:val="white"/>
        </w:rPr>
        <w:t xml:space="preserve">分）：</w:t>
      </w:r>
      <w:r>
        <w:rPr>
          <w:highlight w:val="white"/>
        </w:rPr>
      </w:r>
      <w:r/>
    </w:p>
    <w:p>
      <w:pPr>
        <w:ind w:firstLine="420"/>
        <w:spacing w:line="360" w:lineRule="auto"/>
        <w:tabs>
          <w:tab w:val="left" w:pos="8925" w:leader="none"/>
        </w:tabs>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对食材品质管控保障制度（包括但不限于食材进货渠道来源、</w:t>
      </w:r>
      <w:r>
        <w:rPr>
          <w:rFonts w:hint="eastAsia" w:ascii="宋体" w:hAnsi="宋体" w:eastAsia="宋体" w:cs="宋体"/>
          <w:sz w:val="24"/>
          <w:szCs w:val="24"/>
          <w:highlight w:val="white"/>
        </w:rPr>
        <w:t xml:space="preserve">进货采购流程</w:t>
      </w:r>
      <w:r>
        <w:rPr>
          <w:rFonts w:hint="eastAsia" w:asciiTheme="minorEastAsia" w:hAnsiTheme="minorEastAsia" w:eastAsiaTheme="minorEastAsia" w:cstheme="minorEastAsia"/>
          <w:sz w:val="24"/>
          <w:szCs w:val="24"/>
          <w:highlight w:val="white"/>
        </w:rPr>
        <w:t xml:space="preserve">、时间计划、</w:t>
      </w:r>
      <w:r>
        <w:rPr>
          <w:rFonts w:hint="eastAsia" w:ascii="宋体" w:hAnsi="宋体" w:eastAsia="宋体" w:cs="宋体"/>
          <w:sz w:val="24"/>
          <w:szCs w:val="24"/>
          <w:highlight w:val="white"/>
        </w:rPr>
        <w:t xml:space="preserve">食材定期抽检措施</w:t>
      </w:r>
      <w:r>
        <w:rPr>
          <w:rFonts w:hint="eastAsia" w:asciiTheme="minorEastAsia" w:hAnsiTheme="minorEastAsia" w:eastAsiaTheme="minorEastAsia" w:cstheme="minorEastAsia"/>
          <w:sz w:val="24"/>
          <w:szCs w:val="24"/>
          <w:highlight w:val="white"/>
        </w:rPr>
        <w:t xml:space="preserve">等），内容详尽完整、全面透彻、管理思路新颖，制度合理、科学、可操作性明确完整的得</w:t>
      </w:r>
      <w:r>
        <w:rPr>
          <w:rFonts w:asciiTheme="minorEastAsia" w:hAnsiTheme="minorEastAsia" w:eastAsiaTheme="minorEastAsia" w:cstheme="minorEastAsia"/>
          <w:sz w:val="24"/>
          <w:szCs w:val="24"/>
          <w:highlight w:val="white"/>
        </w:rPr>
        <w:t xml:space="preserve">10</w:t>
      </w:r>
      <w:r>
        <w:rPr>
          <w:rFonts w:hint="eastAsia" w:asciiTheme="minorEastAsia" w:hAnsiTheme="minorEastAsia" w:eastAsiaTheme="minorEastAsia" w:cstheme="minorEastAsia"/>
          <w:sz w:val="24"/>
          <w:szCs w:val="24"/>
          <w:highlight w:val="white"/>
        </w:rPr>
        <w:t xml:space="preserve">分；内容简单未漏项的得</w:t>
      </w:r>
      <w:r>
        <w:rPr>
          <w:rFonts w:asciiTheme="minorEastAsia" w:hAnsiTheme="minorEastAsia" w:eastAsiaTheme="minorEastAsia" w:cstheme="minorEastAsia"/>
          <w:sz w:val="24"/>
          <w:szCs w:val="24"/>
          <w:highlight w:val="white"/>
        </w:rPr>
        <w:t xml:space="preserve">7</w:t>
      </w:r>
      <w:r>
        <w:rPr>
          <w:rFonts w:hint="eastAsia" w:asciiTheme="minorEastAsia" w:hAnsiTheme="minorEastAsia" w:eastAsiaTheme="minorEastAsia" w:cstheme="minorEastAsia"/>
          <w:sz w:val="24"/>
          <w:szCs w:val="24"/>
          <w:highlight w:val="white"/>
        </w:rPr>
        <w:t xml:space="preserve">分；内容漏项不完整的得</w:t>
      </w:r>
      <w:r>
        <w:rPr>
          <w:rFonts w:asciiTheme="minorEastAsia" w:hAnsiTheme="minorEastAsia" w:eastAsiaTheme="minorEastAsia" w:cstheme="minorEastAsia"/>
          <w:sz w:val="24"/>
          <w:szCs w:val="24"/>
          <w:highlight w:val="white"/>
        </w:rPr>
        <w:t xml:space="preserve">4</w:t>
      </w:r>
      <w:r>
        <w:rPr>
          <w:rFonts w:hint="eastAsia" w:asciiTheme="minorEastAsia" w:hAnsiTheme="minorEastAsia" w:eastAsiaTheme="minorEastAsia" w:cstheme="minorEastAsia"/>
          <w:sz w:val="24"/>
          <w:szCs w:val="24"/>
          <w:highlight w:val="white"/>
        </w:rPr>
        <w:t xml:space="preserve">分；未提供不得分。</w:t>
      </w:r>
      <w:r>
        <w:rPr>
          <w:highlight w:val="white"/>
        </w:rPr>
      </w:r>
      <w:r/>
    </w:p>
    <w:p>
      <w:pPr>
        <w:numPr>
          <w:ilvl w:val="0"/>
          <w:numId w:val="2"/>
        </w:numPr>
        <w:ind w:firstLine="420"/>
        <w:spacing w:line="360" w:lineRule="auto"/>
        <w:tabs>
          <w:tab w:val="left" w:pos="8925" w:leader="none"/>
        </w:tabs>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内部管理方案比较（</w:t>
      </w:r>
      <w:r>
        <w:rPr>
          <w:rFonts w:asciiTheme="minorEastAsia" w:hAnsiTheme="minorEastAsia" w:eastAsiaTheme="minorEastAsia" w:cstheme="minorEastAsia"/>
          <w:sz w:val="24"/>
          <w:szCs w:val="24"/>
          <w:highlight w:val="white"/>
        </w:rPr>
        <w:t xml:space="preserve">8</w:t>
      </w:r>
      <w:r>
        <w:rPr>
          <w:rFonts w:hint="eastAsia" w:asciiTheme="minorEastAsia" w:hAnsiTheme="minorEastAsia" w:eastAsiaTheme="minorEastAsia" w:cstheme="minorEastAsia"/>
          <w:sz w:val="24"/>
          <w:szCs w:val="24"/>
          <w:highlight w:val="white"/>
        </w:rPr>
        <w:t xml:space="preserve">分）：</w:t>
      </w:r>
      <w:r>
        <w:rPr>
          <w:highlight w:val="white"/>
        </w:rPr>
      </w:r>
      <w:r/>
    </w:p>
    <w:p>
      <w:pPr>
        <w:ind w:firstLine="480"/>
        <w:spacing w:line="360" w:lineRule="auto"/>
        <w:tabs>
          <w:tab w:val="left" w:pos="8925" w:leader="none"/>
        </w:tabs>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对项目各岗位人员管理制度（包括但不限于人员的岗位职责、安全教育、业务培训、考核措施等）详尽完整、全面透彻、管理制度新颖符合项目需求的得</w:t>
      </w:r>
      <w:r>
        <w:rPr>
          <w:rFonts w:asciiTheme="minorEastAsia" w:hAnsiTheme="minorEastAsia" w:eastAsiaTheme="minorEastAsia" w:cstheme="minorEastAsia"/>
          <w:sz w:val="24"/>
          <w:szCs w:val="24"/>
          <w:highlight w:val="white"/>
        </w:rPr>
        <w:t xml:space="preserve">8</w:t>
      </w:r>
      <w:r>
        <w:rPr>
          <w:rFonts w:hint="eastAsia" w:asciiTheme="minorEastAsia" w:hAnsiTheme="minorEastAsia" w:eastAsiaTheme="minorEastAsia" w:cstheme="minorEastAsia"/>
          <w:sz w:val="24"/>
          <w:szCs w:val="24"/>
          <w:highlight w:val="white"/>
        </w:rPr>
        <w:t xml:space="preserve">分；内容简单未漏项的</w:t>
      </w:r>
      <w:r>
        <w:rPr>
          <w:rFonts w:asciiTheme="minorEastAsia" w:hAnsiTheme="minorEastAsia" w:eastAsiaTheme="minorEastAsia" w:cstheme="minorEastAsia"/>
          <w:sz w:val="24"/>
          <w:szCs w:val="24"/>
          <w:highlight w:val="white"/>
        </w:rPr>
        <w:t xml:space="preserve">5分；内容漏项不完整的得2分；未提供不得分。</w:t>
      </w:r>
      <w:r>
        <w:rPr>
          <w:highlight w:val="white"/>
        </w:rPr>
      </w:r>
      <w:r/>
    </w:p>
    <w:p>
      <w:pPr>
        <w:numPr>
          <w:ilvl w:val="0"/>
          <w:numId w:val="2"/>
        </w:numPr>
        <w:ind w:firstLine="420"/>
        <w:spacing w:line="360" w:lineRule="auto"/>
        <w:tabs>
          <w:tab w:val="left" w:pos="8925" w:leader="none"/>
        </w:tabs>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对食材配送方案（</w:t>
      </w:r>
      <w:r>
        <w:rPr>
          <w:rFonts w:asciiTheme="minorEastAsia" w:hAnsiTheme="minorEastAsia" w:eastAsiaTheme="minorEastAsia" w:cstheme="minorEastAsia"/>
          <w:sz w:val="24"/>
          <w:szCs w:val="24"/>
          <w:highlight w:val="white"/>
        </w:rPr>
        <w:t xml:space="preserve">8</w:t>
      </w:r>
      <w:r>
        <w:rPr>
          <w:rFonts w:hint="eastAsia" w:asciiTheme="minorEastAsia" w:hAnsiTheme="minorEastAsia" w:eastAsiaTheme="minorEastAsia" w:cstheme="minorEastAsia"/>
          <w:sz w:val="24"/>
          <w:szCs w:val="24"/>
          <w:highlight w:val="white"/>
        </w:rPr>
        <w:t xml:space="preserve">分）：</w:t>
      </w:r>
      <w:r>
        <w:rPr>
          <w:highlight w:val="white"/>
        </w:rPr>
      </w:r>
      <w:r/>
    </w:p>
    <w:p>
      <w:pPr>
        <w:ind w:firstLine="480"/>
        <w:spacing w:line="360" w:lineRule="auto"/>
        <w:rPr>
          <w:rFonts w:asciiTheme="minorEastAsia" w:hAnsiTheme="minorEastAsia" w:eastAsiaTheme="minorEastAsia" w:cstheme="minorEastAsia"/>
          <w:sz w:val="24"/>
          <w:szCs w:val="24"/>
          <w:highlight w:val="white"/>
        </w:rPr>
      </w:pPr>
      <w:r>
        <w:rPr>
          <w:rFonts w:hint="eastAsia" w:ascii="宋体" w:hAnsi="宋体" w:eastAsia="宋体" w:cs="宋体"/>
          <w:sz w:val="24"/>
          <w:szCs w:val="24"/>
          <w:highlight w:val="white"/>
        </w:rPr>
        <w:t xml:space="preserve">针对对本项目提供相应的配送方案，内容至少包括（</w:t>
      </w:r>
      <w:r>
        <w:rPr>
          <w:rFonts w:hint="eastAsia" w:cs="宋体" w:asciiTheme="minorEastAsia" w:hAnsiTheme="minorEastAsia" w:eastAsiaTheme="minorEastAsia"/>
          <w:sz w:val="24"/>
          <w:szCs w:val="24"/>
          <w:highlight w:val="white"/>
          <w:lang w:val="zh-CN"/>
        </w:rPr>
        <w:t xml:space="preserve">①</w:t>
      </w:r>
      <w:r>
        <w:rPr>
          <w:rFonts w:hint="eastAsia" w:ascii="宋体" w:hAnsi="宋体" w:eastAsia="宋体" w:cs="宋体"/>
          <w:sz w:val="24"/>
          <w:szCs w:val="24"/>
          <w:highlight w:val="white"/>
        </w:rPr>
        <w:t xml:space="preserve">配送的车辆、人员、时间；</w:t>
      </w:r>
      <w:r>
        <w:rPr>
          <w:rFonts w:hint="eastAsia" w:cs="宋体" w:asciiTheme="minorEastAsia" w:hAnsiTheme="minorEastAsia" w:eastAsiaTheme="minorEastAsia"/>
          <w:sz w:val="24"/>
          <w:szCs w:val="24"/>
          <w:highlight w:val="white"/>
          <w:lang w:val="zh-CN"/>
        </w:rPr>
        <w:t xml:space="preserve">②</w:t>
      </w:r>
      <w:r>
        <w:rPr>
          <w:rFonts w:hint="eastAsia" w:ascii="宋体" w:hAnsi="宋体" w:eastAsia="宋体" w:cs="宋体"/>
          <w:sz w:val="24"/>
          <w:szCs w:val="24"/>
          <w:highlight w:val="white"/>
        </w:rPr>
        <w:t xml:space="preserve">食材的分拣、包装、捆扎、装车、卸货；</w:t>
      </w:r>
      <w:r>
        <w:rPr>
          <w:rFonts w:hint="eastAsia" w:cs="宋体" w:asciiTheme="minorEastAsia" w:hAnsiTheme="minorEastAsia" w:eastAsiaTheme="minorEastAsia"/>
          <w:sz w:val="24"/>
          <w:szCs w:val="24"/>
          <w:highlight w:val="white"/>
          <w:lang w:val="zh-CN"/>
        </w:rPr>
        <w:t xml:space="preserve">③</w:t>
      </w:r>
      <w:r>
        <w:rPr>
          <w:rFonts w:hint="eastAsia" w:ascii="宋体" w:hAnsi="宋体" w:eastAsia="宋体" w:cs="宋体"/>
          <w:sz w:val="24"/>
          <w:szCs w:val="24"/>
          <w:highlight w:val="white"/>
        </w:rPr>
        <w:t xml:space="preserve">食材的配送交付流程；</w:t>
      </w:r>
      <w:r>
        <w:rPr>
          <w:rFonts w:hint="eastAsia" w:ascii="Arial" w:hAnsi="Arial" w:eastAsia="Arial" w:cs="Arial"/>
          <w:color w:val="333333"/>
          <w:sz w:val="24"/>
          <w:szCs w:val="24"/>
          <w:highlight w:val="white"/>
          <w:shd w:val="clear" w:color="auto" w:fill="ffffff"/>
        </w:rPr>
        <w:t xml:space="preserve">④</w:t>
      </w:r>
      <w:r>
        <w:rPr>
          <w:rFonts w:hint="eastAsia" w:ascii="宋体" w:hAnsi="宋体" w:eastAsia="宋体" w:cs="宋体"/>
          <w:sz w:val="24"/>
          <w:szCs w:val="24"/>
          <w:highlight w:val="white"/>
        </w:rPr>
        <w:t xml:space="preserve">配合采购方验收流程等</w:t>
      </w:r>
      <w:r>
        <w:rPr>
          <w:rFonts w:ascii="宋体" w:hAnsi="宋体" w:eastAsia="宋体" w:cs="宋体"/>
          <w:sz w:val="24"/>
          <w:szCs w:val="24"/>
          <w:highlight w:val="white"/>
        </w:rPr>
        <w:t xml:space="preserve">)</w:t>
      </w:r>
      <w:r>
        <w:rPr>
          <w:rFonts w:hint="eastAsia" w:asciiTheme="minorEastAsia" w:hAnsiTheme="minorEastAsia" w:eastAsiaTheme="minorEastAsia" w:cstheme="minorEastAsia"/>
          <w:sz w:val="24"/>
          <w:szCs w:val="24"/>
          <w:highlight w:val="white"/>
        </w:rPr>
        <w:t xml:space="preserve">，对配送的及时性、运输安全保障措施方案详尽、完善、全面、安排合理，准确得</w:t>
      </w:r>
      <w:r>
        <w:rPr>
          <w:rFonts w:asciiTheme="minorEastAsia" w:hAnsiTheme="minorEastAsia" w:eastAsiaTheme="minorEastAsia" w:cstheme="minorEastAsia"/>
          <w:sz w:val="24"/>
          <w:szCs w:val="24"/>
          <w:highlight w:val="white"/>
        </w:rPr>
        <w:t xml:space="preserve">8</w:t>
      </w:r>
      <w:r>
        <w:rPr>
          <w:rFonts w:hint="eastAsia" w:asciiTheme="minorEastAsia" w:hAnsiTheme="minorEastAsia" w:eastAsiaTheme="minorEastAsia" w:cstheme="minorEastAsia"/>
          <w:sz w:val="24"/>
          <w:szCs w:val="24"/>
          <w:highlight w:val="white"/>
        </w:rPr>
        <w:t xml:space="preserve">分；内容简单未漏项的得</w:t>
      </w:r>
      <w:r>
        <w:rPr>
          <w:rFonts w:asciiTheme="minorEastAsia" w:hAnsiTheme="minorEastAsia" w:eastAsiaTheme="minorEastAsia" w:cstheme="minorEastAsia"/>
          <w:sz w:val="24"/>
          <w:szCs w:val="24"/>
          <w:highlight w:val="white"/>
        </w:rPr>
        <w:t xml:space="preserve">5分；内容漏项不完整的得2分；未提供不得分。</w:t>
      </w:r>
      <w:r>
        <w:rPr>
          <w:highlight w:val="white"/>
        </w:rPr>
      </w:r>
      <w:r/>
    </w:p>
    <w:p>
      <w:pPr>
        <w:numPr>
          <w:ilvl w:val="0"/>
          <w:numId w:val="2"/>
        </w:numPr>
        <w:ind w:firstLine="420"/>
        <w:spacing w:line="360" w:lineRule="auto"/>
        <w:tabs>
          <w:tab w:val="left" w:pos="8925" w:leader="none"/>
        </w:tabs>
        <w:rPr>
          <w:rFonts w:asciiTheme="minorEastAsia" w:hAnsiTheme="minorEastAsia" w:eastAsiaTheme="minorEastAsia" w:cstheme="minorEastAsia"/>
          <w:sz w:val="24"/>
          <w:szCs w:val="24"/>
          <w:highlight w:val="white"/>
        </w:rPr>
      </w:pPr>
      <w:r>
        <w:rPr>
          <w:rFonts w:hint="eastAsia" w:ascii="宋体" w:hAnsi="宋体" w:eastAsia="宋体" w:cs="宋体"/>
          <w:sz w:val="24"/>
          <w:szCs w:val="24"/>
          <w:highlight w:val="white"/>
        </w:rPr>
        <w:t xml:space="preserve">对食材卫生保障方案</w:t>
      </w:r>
      <w:r>
        <w:rPr>
          <w:rFonts w:hint="eastAsia" w:asciiTheme="minorEastAsia" w:hAnsiTheme="minorEastAsia" w:eastAsiaTheme="minorEastAsia" w:cstheme="minorEastAsia"/>
          <w:sz w:val="24"/>
          <w:szCs w:val="24"/>
          <w:highlight w:val="white"/>
        </w:rPr>
        <w:t xml:space="preserve">（</w:t>
      </w:r>
      <w:r>
        <w:rPr>
          <w:rFonts w:asciiTheme="minorEastAsia" w:hAnsiTheme="minorEastAsia" w:eastAsiaTheme="minorEastAsia" w:cstheme="minorEastAsia"/>
          <w:sz w:val="24"/>
          <w:szCs w:val="24"/>
          <w:highlight w:val="white"/>
        </w:rPr>
        <w:t xml:space="preserve">8</w:t>
      </w:r>
      <w:r>
        <w:rPr>
          <w:rFonts w:hint="eastAsia" w:asciiTheme="minorEastAsia" w:hAnsiTheme="minorEastAsia" w:eastAsiaTheme="minorEastAsia" w:cstheme="minorEastAsia"/>
          <w:sz w:val="24"/>
          <w:szCs w:val="24"/>
          <w:highlight w:val="white"/>
        </w:rPr>
        <w:t xml:space="preserve">分）：</w:t>
      </w:r>
      <w:r>
        <w:rPr>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针对本项目提供相应的食材卫生保障方案，内容至少包括（</w:t>
      </w:r>
      <w:r>
        <w:rPr>
          <w:rFonts w:hint="eastAsia" w:cs="宋体" w:asciiTheme="minorEastAsia" w:hAnsiTheme="minorEastAsia" w:eastAsiaTheme="minorEastAsia"/>
          <w:sz w:val="24"/>
          <w:szCs w:val="24"/>
          <w:highlight w:val="white"/>
          <w:lang w:val="zh-CN"/>
        </w:rPr>
        <w:t xml:space="preserve">①</w:t>
      </w:r>
      <w:r>
        <w:rPr>
          <w:rFonts w:hint="eastAsia" w:ascii="宋体" w:hAnsi="宋体" w:eastAsia="宋体" w:cs="宋体"/>
          <w:sz w:val="24"/>
          <w:szCs w:val="24"/>
          <w:highlight w:val="white"/>
        </w:rPr>
        <w:t xml:space="preserve">仓储分拣包装运输全流程环节的卫生管理；</w:t>
      </w:r>
      <w:r>
        <w:rPr>
          <w:rFonts w:hint="eastAsia" w:cs="宋体" w:asciiTheme="minorEastAsia" w:hAnsiTheme="minorEastAsia" w:eastAsiaTheme="minorEastAsia"/>
          <w:sz w:val="24"/>
          <w:szCs w:val="24"/>
          <w:highlight w:val="white"/>
          <w:lang w:val="zh-CN"/>
        </w:rPr>
        <w:t xml:space="preserve">②</w:t>
      </w:r>
      <w:r>
        <w:rPr>
          <w:rFonts w:hint="eastAsia" w:ascii="宋体" w:hAnsi="宋体" w:eastAsia="宋体" w:cs="宋体"/>
          <w:sz w:val="24"/>
          <w:szCs w:val="24"/>
          <w:highlight w:val="white"/>
        </w:rPr>
        <w:t xml:space="preserve">配送人员健康保证；</w:t>
      </w:r>
      <w:r>
        <w:rPr>
          <w:rFonts w:hint="eastAsia" w:cs="宋体" w:asciiTheme="minorEastAsia" w:hAnsiTheme="minorEastAsia" w:eastAsiaTheme="minorEastAsia"/>
          <w:sz w:val="24"/>
          <w:szCs w:val="24"/>
          <w:highlight w:val="white"/>
          <w:lang w:val="zh-CN"/>
        </w:rPr>
        <w:t xml:space="preserve">③</w:t>
      </w:r>
      <w:r>
        <w:rPr>
          <w:rFonts w:hint="eastAsia" w:ascii="宋体" w:hAnsi="宋体" w:eastAsia="宋体" w:cs="宋体"/>
          <w:sz w:val="24"/>
          <w:szCs w:val="24"/>
          <w:highlight w:val="white"/>
        </w:rPr>
        <w:t xml:space="preserve">配送车辆的消杀清洁；</w:t>
      </w:r>
      <w:r>
        <w:rPr>
          <w:rFonts w:hint="eastAsia" w:ascii="Arial" w:hAnsi="Arial" w:eastAsia="Arial" w:cs="Arial"/>
          <w:color w:val="333333"/>
          <w:sz w:val="24"/>
          <w:szCs w:val="24"/>
          <w:highlight w:val="white"/>
          <w:shd w:val="clear" w:color="auto" w:fill="ffffff"/>
        </w:rPr>
        <w:t xml:space="preserve">④</w:t>
      </w:r>
      <w:r>
        <w:rPr>
          <w:rFonts w:hint="eastAsia" w:ascii="宋体" w:hAnsi="宋体" w:eastAsia="宋体" w:cs="宋体"/>
          <w:sz w:val="24"/>
          <w:szCs w:val="24"/>
          <w:highlight w:val="white"/>
        </w:rPr>
        <w:t xml:space="preserve">食材检测等）。内容科学合理，内容完整，可行性符合项目需求的得</w:t>
      </w:r>
      <w:r>
        <w:rPr>
          <w:rFonts w:ascii="宋体" w:hAnsi="宋体" w:eastAsia="宋体" w:cs="宋体"/>
          <w:sz w:val="24"/>
          <w:szCs w:val="24"/>
          <w:highlight w:val="white"/>
        </w:rPr>
        <w:t xml:space="preserve">8</w:t>
      </w:r>
      <w:r>
        <w:rPr>
          <w:rFonts w:hint="eastAsia" w:ascii="宋体" w:hAnsi="宋体" w:eastAsia="宋体" w:cs="宋体"/>
          <w:sz w:val="24"/>
          <w:szCs w:val="24"/>
          <w:highlight w:val="white"/>
        </w:rPr>
        <w:t xml:space="preserve">分；</w:t>
      </w:r>
      <w:r>
        <w:rPr>
          <w:rFonts w:hint="eastAsia" w:asciiTheme="minorEastAsia" w:hAnsiTheme="minorEastAsia" w:eastAsiaTheme="minorEastAsia" w:cstheme="minorEastAsia"/>
          <w:sz w:val="24"/>
          <w:szCs w:val="24"/>
          <w:highlight w:val="white"/>
        </w:rPr>
        <w:t xml:space="preserve">内容简单未漏项的得</w:t>
      </w:r>
      <w:r>
        <w:rPr>
          <w:rFonts w:asciiTheme="minorEastAsia" w:hAnsiTheme="minorEastAsia" w:eastAsiaTheme="minorEastAsia" w:cstheme="minorEastAsia"/>
          <w:sz w:val="24"/>
          <w:szCs w:val="24"/>
          <w:highlight w:val="white"/>
        </w:rPr>
        <w:t xml:space="preserve">5分；内容漏项不完整的得2分；未提供不得分。</w:t>
      </w:r>
      <w:r>
        <w:rPr>
          <w:highlight w:val="white"/>
        </w:rPr>
      </w:r>
      <w:r/>
    </w:p>
    <w:p>
      <w:pPr>
        <w:numPr>
          <w:ilvl w:val="0"/>
          <w:numId w:val="2"/>
        </w:numPr>
        <w:ind w:firstLine="420"/>
        <w:spacing w:line="360" w:lineRule="auto"/>
        <w:tabs>
          <w:tab w:val="left" w:pos="8925" w:leader="none"/>
        </w:tabs>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项目应急预案及实施思路（</w:t>
      </w:r>
      <w:r>
        <w:rPr>
          <w:rFonts w:asciiTheme="minorEastAsia" w:hAnsiTheme="minorEastAsia" w:eastAsiaTheme="minorEastAsia" w:cstheme="minorEastAsia"/>
          <w:sz w:val="24"/>
          <w:szCs w:val="24"/>
          <w:highlight w:val="white"/>
        </w:rPr>
        <w:t xml:space="preserve">10</w:t>
      </w:r>
      <w:r>
        <w:rPr>
          <w:rFonts w:hint="eastAsia" w:asciiTheme="minorEastAsia" w:hAnsiTheme="minorEastAsia" w:eastAsiaTheme="minorEastAsia" w:cstheme="minorEastAsia"/>
          <w:sz w:val="24"/>
          <w:szCs w:val="24"/>
          <w:highlight w:val="white"/>
        </w:rPr>
        <w:t xml:space="preserve">分）：</w:t>
      </w:r>
      <w:r>
        <w:rPr>
          <w:highlight w:val="white"/>
        </w:rPr>
      </w:r>
      <w:r/>
    </w:p>
    <w:p>
      <w:pPr>
        <w:ind w:firstLine="480"/>
        <w:spacing w:line="360" w:lineRule="auto"/>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针对服务中紧急情况制定的各项应急预案比较；预案包括（</w:t>
      </w:r>
      <w:r>
        <w:rPr>
          <w:rFonts w:hint="eastAsia" w:cs="宋体" w:asciiTheme="minorEastAsia" w:hAnsiTheme="minorEastAsia" w:eastAsiaTheme="minorEastAsia"/>
          <w:sz w:val="24"/>
          <w:szCs w:val="24"/>
          <w:highlight w:val="white"/>
          <w:lang w:val="zh-CN"/>
        </w:rPr>
        <w:t xml:space="preserve">①</w:t>
      </w:r>
      <w:r>
        <w:rPr>
          <w:rFonts w:hint="eastAsia" w:ascii="宋体" w:hAnsi="宋体" w:eastAsia="宋体" w:cs="宋体"/>
          <w:sz w:val="24"/>
          <w:szCs w:val="24"/>
          <w:highlight w:val="white"/>
        </w:rPr>
        <w:t xml:space="preserve">临时紧急供货，</w:t>
      </w:r>
      <w:r>
        <w:rPr>
          <w:rFonts w:hint="eastAsia" w:cs="宋体" w:asciiTheme="minorEastAsia" w:hAnsiTheme="minorEastAsia" w:eastAsiaTheme="minorEastAsia"/>
          <w:sz w:val="24"/>
          <w:szCs w:val="24"/>
          <w:highlight w:val="white"/>
          <w:lang w:val="zh-CN"/>
        </w:rPr>
        <w:t xml:space="preserve">②</w:t>
      </w:r>
      <w:r>
        <w:rPr>
          <w:rFonts w:hint="eastAsia" w:ascii="宋体" w:hAnsi="宋体" w:eastAsia="宋体" w:cs="宋体"/>
          <w:sz w:val="24"/>
          <w:szCs w:val="24"/>
          <w:highlight w:val="white"/>
        </w:rPr>
        <w:t xml:space="preserve">一般性食品安全事件及突发重大食品安全事故应对处理，</w:t>
      </w:r>
      <w:r>
        <w:rPr>
          <w:rFonts w:hint="eastAsia" w:cs="宋体" w:asciiTheme="minorEastAsia" w:hAnsiTheme="minorEastAsia" w:eastAsiaTheme="minorEastAsia"/>
          <w:sz w:val="24"/>
          <w:szCs w:val="24"/>
          <w:highlight w:val="white"/>
          <w:lang w:val="zh-CN"/>
        </w:rPr>
        <w:t xml:space="preserve">③</w:t>
      </w:r>
      <w:r>
        <w:rPr>
          <w:rFonts w:hint="eastAsia" w:ascii="宋体" w:hAnsi="宋体" w:eastAsia="宋体" w:cs="宋体"/>
          <w:sz w:val="24"/>
          <w:szCs w:val="24"/>
          <w:highlight w:val="white"/>
        </w:rPr>
        <w:t xml:space="preserve">运输车辆故障及道路交通安全事故应对处理，</w:t>
      </w:r>
      <w:r>
        <w:rPr>
          <w:rFonts w:hint="eastAsia" w:ascii="Arial" w:hAnsi="Arial" w:eastAsia="Arial" w:cs="Arial"/>
          <w:color w:val="333333"/>
          <w:sz w:val="24"/>
          <w:szCs w:val="24"/>
          <w:highlight w:val="white"/>
          <w:shd w:val="clear" w:color="auto" w:fill="ffffff"/>
        </w:rPr>
        <w:t xml:space="preserve">④</w:t>
      </w:r>
      <w:r>
        <w:rPr>
          <w:rFonts w:hint="eastAsia" w:ascii="宋体" w:hAnsi="宋体" w:eastAsia="宋体" w:cs="宋体"/>
          <w:sz w:val="24"/>
          <w:szCs w:val="24"/>
          <w:highlight w:val="white"/>
        </w:rPr>
        <w:t xml:space="preserve">特殊天气及不可抗力应对处理，</w:t>
      </w:r>
      <w:r>
        <w:rPr>
          <w:rFonts w:hint="eastAsia" w:ascii="Arial" w:hAnsi="Arial" w:eastAsia="Arial" w:cs="Arial"/>
          <w:color w:val="333333"/>
          <w:sz w:val="24"/>
          <w:szCs w:val="24"/>
          <w:highlight w:val="white"/>
          <w:shd w:val="clear" w:color="auto" w:fill="ffffff"/>
        </w:rPr>
        <w:t xml:space="preserve">⑤</w:t>
      </w:r>
      <w:r>
        <w:rPr>
          <w:rFonts w:hint="eastAsia" w:ascii="宋体" w:hAnsi="宋体" w:eastAsia="宋体" w:cs="宋体"/>
          <w:sz w:val="24"/>
          <w:szCs w:val="24"/>
          <w:highlight w:val="white"/>
        </w:rPr>
        <w:t xml:space="preserve">原材料市场缺失应对处理等</w:t>
      </w:r>
      <w:r>
        <w:rPr>
          <w:rFonts w:hint="eastAsia" w:asciiTheme="minorEastAsia" w:hAnsiTheme="minorEastAsia" w:eastAsiaTheme="minorEastAsia" w:cstheme="minorEastAsia"/>
          <w:sz w:val="24"/>
          <w:szCs w:val="24"/>
          <w:highlight w:val="white"/>
        </w:rPr>
        <w:t xml:space="preserve">）针对不同情况的采取的防范解决措施详尽、完善、科学合理、全面可行性强得</w:t>
      </w:r>
      <w:r>
        <w:rPr>
          <w:rFonts w:asciiTheme="minorEastAsia" w:hAnsiTheme="minorEastAsia" w:eastAsiaTheme="minorEastAsia" w:cstheme="minorEastAsia"/>
          <w:sz w:val="24"/>
          <w:szCs w:val="24"/>
          <w:highlight w:val="white"/>
        </w:rPr>
        <w:t xml:space="preserve">10</w:t>
      </w:r>
      <w:r>
        <w:rPr>
          <w:rFonts w:hint="eastAsia" w:asciiTheme="minorEastAsia" w:hAnsiTheme="minorEastAsia" w:eastAsiaTheme="minorEastAsia" w:cstheme="minorEastAsia"/>
          <w:sz w:val="24"/>
          <w:szCs w:val="24"/>
          <w:highlight w:val="white"/>
        </w:rPr>
        <w:t xml:space="preserve">分；内容简单未漏项的得</w:t>
      </w:r>
      <w:r>
        <w:rPr>
          <w:rFonts w:asciiTheme="minorEastAsia" w:hAnsiTheme="minorEastAsia" w:eastAsiaTheme="minorEastAsia" w:cstheme="minorEastAsia"/>
          <w:sz w:val="24"/>
          <w:szCs w:val="24"/>
          <w:highlight w:val="white"/>
        </w:rPr>
        <w:t xml:space="preserve">7</w:t>
      </w:r>
      <w:r>
        <w:rPr>
          <w:rFonts w:hint="eastAsia" w:asciiTheme="minorEastAsia" w:hAnsiTheme="minorEastAsia" w:eastAsiaTheme="minorEastAsia" w:cstheme="minorEastAsia"/>
          <w:sz w:val="24"/>
          <w:szCs w:val="24"/>
          <w:highlight w:val="white"/>
        </w:rPr>
        <w:t xml:space="preserve">分；内容漏项不完整的得</w:t>
      </w:r>
      <w:r>
        <w:rPr>
          <w:rFonts w:asciiTheme="minorEastAsia" w:hAnsiTheme="minorEastAsia" w:eastAsiaTheme="minorEastAsia" w:cstheme="minorEastAsia"/>
          <w:sz w:val="24"/>
          <w:szCs w:val="24"/>
          <w:highlight w:val="white"/>
        </w:rPr>
        <w:t xml:space="preserve">4</w:t>
      </w:r>
      <w:r>
        <w:rPr>
          <w:rFonts w:hint="eastAsia" w:asciiTheme="minorEastAsia" w:hAnsiTheme="minorEastAsia" w:eastAsiaTheme="minorEastAsia" w:cstheme="minorEastAsia"/>
          <w:sz w:val="24"/>
          <w:szCs w:val="24"/>
          <w:highlight w:val="white"/>
        </w:rPr>
        <w:t xml:space="preserve">分；未提供不得分。</w:t>
      </w:r>
      <w:r>
        <w:rPr>
          <w:highlight w:val="white"/>
        </w:rPr>
      </w:r>
      <w:r/>
    </w:p>
    <w:p>
      <w:pPr>
        <w:ind w:firstLine="480"/>
        <w:jc w:val="left"/>
        <w:spacing w:line="360" w:lineRule="auto"/>
        <w:rPr>
          <w:rFonts w:cs="宋体" w:asciiTheme="minorEastAsia" w:hAnsiTheme="minorEastAsia" w:eastAsiaTheme="minorEastAsia"/>
          <w:sz w:val="24"/>
          <w:szCs w:val="24"/>
          <w:highlight w:val="white"/>
        </w:rPr>
      </w:pPr>
      <w:r>
        <w:rPr>
          <w:rFonts w:cs="宋体" w:asciiTheme="minorEastAsia" w:hAnsiTheme="minorEastAsia" w:eastAsiaTheme="minorEastAsia"/>
          <w:sz w:val="24"/>
          <w:szCs w:val="24"/>
          <w:highlight w:val="white"/>
        </w:rPr>
        <w:t xml:space="preserve">6</w:t>
      </w:r>
      <w:r>
        <w:rPr>
          <w:rFonts w:hint="eastAsia" w:cs="宋体" w:asciiTheme="minorEastAsia" w:hAnsiTheme="minorEastAsia" w:eastAsiaTheme="minorEastAsia"/>
          <w:sz w:val="24"/>
          <w:szCs w:val="24"/>
          <w:highlight w:val="white"/>
          <w:lang w:val="zh-CN"/>
        </w:rPr>
        <w:t xml:space="preserve">、针对本项目的团队对接配合方案（</w:t>
      </w:r>
      <w:r>
        <w:rPr>
          <w:rFonts w:cs="宋体" w:asciiTheme="minorEastAsia" w:hAnsiTheme="minorEastAsia" w:eastAsiaTheme="minorEastAsia"/>
          <w:sz w:val="24"/>
          <w:szCs w:val="24"/>
          <w:highlight w:val="white"/>
        </w:rPr>
        <w:t xml:space="preserve">10</w:t>
      </w:r>
      <w:r>
        <w:rPr>
          <w:rFonts w:hint="eastAsia" w:cs="宋体" w:asciiTheme="minorEastAsia" w:hAnsiTheme="minorEastAsia" w:eastAsiaTheme="minorEastAsia"/>
          <w:sz w:val="24"/>
          <w:szCs w:val="24"/>
          <w:highlight w:val="white"/>
          <w:lang w:val="zh-CN"/>
        </w:rPr>
        <w:t xml:space="preserve">分）</w:t>
      </w:r>
      <w:r>
        <w:rPr>
          <w:highlight w:val="white"/>
        </w:rPr>
      </w:r>
      <w:r/>
    </w:p>
    <w:p>
      <w:pPr>
        <w:ind w:firstLine="480"/>
        <w:jc w:val="left"/>
        <w:spacing w:line="360" w:lineRule="auto"/>
        <w:rPr>
          <w:rFonts w:cs="宋体" w:asciiTheme="minorEastAsia" w:hAnsiTheme="minorEastAsia" w:eastAsiaTheme="minorEastAsia"/>
          <w:sz w:val="24"/>
          <w:szCs w:val="24"/>
          <w:highlight w:val="white"/>
        </w:rPr>
      </w:pPr>
      <w:r>
        <w:rPr>
          <w:rFonts w:hint="eastAsia" w:cs="宋体" w:asciiTheme="minorEastAsia" w:hAnsiTheme="minorEastAsia" w:eastAsiaTheme="minorEastAsia"/>
          <w:sz w:val="24"/>
          <w:szCs w:val="24"/>
          <w:highlight w:val="white"/>
          <w:lang w:val="zh-CN"/>
        </w:rPr>
        <w:t xml:space="preserve">供应商提供针对本项目与采购人的专门对接配合方案，内容至少包括：①项目负责人及日常联络专员的职责安排；②与采购人在下单、加急补单、交货验收、账务核对、临时保障任务等环节的具体对接流程；③日常信息沟通与反馈渠道。方案团队配置科学、职责明确、对接流程详尽且高度契合机关食堂高效保障需求的，得</w:t>
      </w:r>
      <w:r>
        <w:rPr>
          <w:rFonts w:cs="宋体" w:asciiTheme="minorEastAsia" w:hAnsiTheme="minorEastAsia" w:eastAsiaTheme="minorEastAsia"/>
          <w:sz w:val="24"/>
          <w:szCs w:val="24"/>
          <w:highlight w:val="white"/>
        </w:rPr>
        <w:t xml:space="preserve">10</w:t>
      </w:r>
      <w:r>
        <w:rPr>
          <w:rFonts w:hint="eastAsia" w:cs="宋体" w:asciiTheme="minorEastAsia" w:hAnsiTheme="minorEastAsia" w:eastAsiaTheme="minorEastAsia"/>
          <w:sz w:val="24"/>
          <w:szCs w:val="24"/>
          <w:highlight w:val="white"/>
          <w:lang w:val="zh-CN"/>
        </w:rPr>
        <w:t xml:space="preserve">分；团队配置较合理、职责较明确、对接流程较完整，可满足日常对接需求的，得</w:t>
      </w:r>
      <w:r>
        <w:rPr>
          <w:rFonts w:cs="宋体" w:asciiTheme="minorEastAsia" w:hAnsiTheme="minorEastAsia" w:eastAsiaTheme="minorEastAsia"/>
          <w:sz w:val="24"/>
          <w:szCs w:val="24"/>
          <w:highlight w:val="white"/>
        </w:rPr>
        <w:t xml:space="preserve">7</w:t>
      </w:r>
      <w:r>
        <w:rPr>
          <w:rFonts w:hint="eastAsia" w:cs="宋体" w:asciiTheme="minorEastAsia" w:hAnsiTheme="minorEastAsia" w:eastAsiaTheme="minorEastAsia"/>
          <w:sz w:val="24"/>
          <w:szCs w:val="24"/>
          <w:highlight w:val="white"/>
          <w:lang w:val="zh-CN"/>
        </w:rPr>
        <w:t xml:space="preserve">分；方案内容有缺漏，对接机制模糊，与项目实施衔接存在明显不足的，得</w:t>
      </w:r>
      <w:r>
        <w:rPr>
          <w:rFonts w:cs="宋体" w:asciiTheme="minorEastAsia" w:hAnsiTheme="minorEastAsia" w:eastAsiaTheme="minorEastAsia"/>
          <w:sz w:val="24"/>
          <w:szCs w:val="24"/>
          <w:highlight w:val="white"/>
        </w:rPr>
        <w:t xml:space="preserve">4</w:t>
      </w:r>
      <w:r>
        <w:rPr>
          <w:rFonts w:hint="eastAsia" w:cs="宋体" w:asciiTheme="minorEastAsia" w:hAnsiTheme="minorEastAsia" w:eastAsiaTheme="minorEastAsia"/>
          <w:sz w:val="24"/>
          <w:szCs w:val="24"/>
          <w:highlight w:val="white"/>
          <w:lang w:val="zh-CN"/>
        </w:rPr>
        <w:t xml:space="preserve">分；未提供不得分。</w:t>
      </w:r>
      <w:r>
        <w:rPr>
          <w:highlight w:val="white"/>
        </w:rPr>
      </w:r>
      <w:r/>
    </w:p>
    <w:p>
      <w:pPr>
        <w:ind w:firstLine="480"/>
        <w:jc w:val="left"/>
        <w:spacing w:line="360" w:lineRule="auto"/>
        <w:rPr>
          <w:rFonts w:cs="宋体" w:asciiTheme="minorEastAsia" w:hAnsiTheme="minorEastAsia" w:eastAsiaTheme="minorEastAsia"/>
          <w:sz w:val="24"/>
          <w:szCs w:val="24"/>
          <w:highlight w:val="white"/>
        </w:rPr>
      </w:pPr>
      <w:r>
        <w:rPr>
          <w:rFonts w:cs="宋体" w:asciiTheme="minorEastAsia" w:hAnsiTheme="minorEastAsia" w:eastAsiaTheme="minorEastAsia"/>
          <w:sz w:val="24"/>
          <w:szCs w:val="24"/>
          <w:highlight w:val="white"/>
        </w:rPr>
        <w:t xml:space="preserve">7</w:t>
      </w:r>
      <w:r>
        <w:rPr>
          <w:rFonts w:hint="eastAsia" w:cs="宋体" w:asciiTheme="minorEastAsia" w:hAnsiTheme="minorEastAsia" w:eastAsiaTheme="minorEastAsia"/>
          <w:sz w:val="24"/>
          <w:szCs w:val="24"/>
          <w:highlight w:val="white"/>
          <w:lang w:val="zh-CN"/>
        </w:rPr>
        <w:t xml:space="preserve">、岗位操作规程（</w:t>
      </w:r>
      <w:r>
        <w:rPr>
          <w:rFonts w:cs="宋体" w:asciiTheme="minorEastAsia" w:hAnsiTheme="minorEastAsia" w:eastAsiaTheme="minorEastAsia"/>
          <w:sz w:val="24"/>
          <w:szCs w:val="24"/>
          <w:highlight w:val="white"/>
        </w:rPr>
        <w:t xml:space="preserve">10</w:t>
      </w:r>
      <w:r>
        <w:rPr>
          <w:rFonts w:hint="eastAsia" w:cs="宋体" w:asciiTheme="minorEastAsia" w:hAnsiTheme="minorEastAsia" w:eastAsiaTheme="minorEastAsia"/>
          <w:sz w:val="24"/>
          <w:szCs w:val="24"/>
          <w:highlight w:val="white"/>
          <w:lang w:val="zh-CN"/>
        </w:rPr>
        <w:t xml:space="preserve">分）</w:t>
      </w:r>
      <w:r>
        <w:rPr>
          <w:highlight w:val="white"/>
        </w:rPr>
      </w:r>
      <w:r/>
    </w:p>
    <w:p>
      <w:pPr>
        <w:ind w:firstLine="480"/>
        <w:jc w:val="left"/>
        <w:spacing w:line="360" w:lineRule="auto"/>
        <w:rPr>
          <w:rFonts w:asciiTheme="minorEastAsia" w:hAnsiTheme="minorEastAsia" w:eastAsiaTheme="minorEastAsia" w:cstheme="minorEastAsia"/>
          <w:color w:val="000000"/>
          <w:sz w:val="24"/>
          <w:szCs w:val="24"/>
          <w:highlight w:val="white"/>
        </w:rPr>
      </w:pPr>
      <w:r>
        <w:rPr>
          <w:rFonts w:hint="eastAsia" w:cs="宋体" w:asciiTheme="minorEastAsia" w:hAnsiTheme="minorEastAsia" w:eastAsiaTheme="minorEastAsia"/>
          <w:sz w:val="24"/>
          <w:szCs w:val="24"/>
          <w:highlight w:val="white"/>
          <w:lang w:val="zh-CN"/>
        </w:rPr>
        <w:t xml:space="preserve">根据供应商提供的岗位操作规程进行综合评审，内容至少包括：①制定各岗位操作规范工序；②明确设施设备操作、维护标准；③明确各工序、各岗位人员的职责。方案内容完整详细，考虑周全、切实可行，能满足项目实施需要的，得</w:t>
      </w:r>
      <w:r>
        <w:rPr>
          <w:rFonts w:cs="宋体" w:asciiTheme="minorEastAsia" w:hAnsiTheme="minorEastAsia" w:eastAsiaTheme="minorEastAsia"/>
          <w:sz w:val="24"/>
          <w:szCs w:val="24"/>
          <w:highlight w:val="white"/>
        </w:rPr>
        <w:t xml:space="preserve">10</w:t>
      </w:r>
      <w:r>
        <w:rPr>
          <w:rFonts w:hint="eastAsia" w:cs="宋体" w:asciiTheme="minorEastAsia" w:hAnsiTheme="minorEastAsia" w:eastAsiaTheme="minorEastAsia"/>
          <w:sz w:val="24"/>
          <w:szCs w:val="24"/>
          <w:highlight w:val="white"/>
          <w:lang w:val="zh-CN"/>
        </w:rPr>
        <w:t xml:space="preserve">分；方案较为详细，考虑较为周全，具备可操作性，能满足项目实施需要的，得</w:t>
      </w:r>
      <w:r>
        <w:rPr>
          <w:rFonts w:cs="宋体" w:asciiTheme="minorEastAsia" w:hAnsiTheme="minorEastAsia" w:eastAsiaTheme="minorEastAsia"/>
          <w:sz w:val="24"/>
          <w:szCs w:val="24"/>
          <w:highlight w:val="white"/>
        </w:rPr>
        <w:t xml:space="preserve">7</w:t>
      </w:r>
      <w:r>
        <w:rPr>
          <w:rFonts w:hint="eastAsia" w:cs="宋体" w:asciiTheme="minorEastAsia" w:hAnsiTheme="minorEastAsia" w:eastAsiaTheme="minorEastAsia"/>
          <w:sz w:val="24"/>
          <w:szCs w:val="24"/>
          <w:highlight w:val="white"/>
          <w:lang w:val="zh-CN"/>
        </w:rPr>
        <w:t xml:space="preserve">分；方案简单，基本能满足项目实施需要的，得</w:t>
      </w:r>
      <w:r>
        <w:rPr>
          <w:rFonts w:cs="宋体" w:asciiTheme="minorEastAsia" w:hAnsiTheme="minorEastAsia" w:eastAsiaTheme="minorEastAsia"/>
          <w:sz w:val="24"/>
          <w:szCs w:val="24"/>
          <w:highlight w:val="white"/>
        </w:rPr>
        <w:t xml:space="preserve">4</w:t>
      </w:r>
      <w:r>
        <w:rPr>
          <w:rFonts w:hint="eastAsia" w:cs="宋体" w:asciiTheme="minorEastAsia" w:hAnsiTheme="minorEastAsia" w:eastAsiaTheme="minorEastAsia"/>
          <w:sz w:val="24"/>
          <w:szCs w:val="24"/>
          <w:highlight w:val="white"/>
          <w:lang w:val="zh-CN"/>
        </w:rPr>
        <w:t xml:space="preserve">分；未提供不得分。</w:t>
      </w:r>
      <w:r>
        <w:rPr>
          <w:highlight w:val="white"/>
        </w:rPr>
      </w:r>
      <w:r/>
    </w:p>
    <w:p>
      <w:pPr>
        <w:ind w:firstLine="0"/>
        <w:spacing w:line="360" w:lineRule="auto"/>
        <w:tabs>
          <w:tab w:val="left" w:pos="8925" w:leader="none"/>
        </w:tabs>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b/>
          <w:bCs/>
          <w:sz w:val="24"/>
          <w:szCs w:val="24"/>
          <w:highlight w:val="white"/>
        </w:rPr>
        <w:t xml:space="preserve">（三）综合实力比较（26分）</w:t>
      </w:r>
      <w:r>
        <w:rPr>
          <w:highlight w:val="white"/>
        </w:rPr>
      </w:r>
      <w:r/>
    </w:p>
    <w:p>
      <w:pPr>
        <w:ind w:firstLine="480"/>
        <w:spacing w:line="360" w:lineRule="auto"/>
        <w:rPr>
          <w:rFonts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1、车辆情况比较（8分）</w:t>
      </w:r>
      <w:r>
        <w:rPr>
          <w:highlight w:val="white"/>
        </w:rPr>
      </w:r>
      <w:r/>
    </w:p>
    <w:p>
      <w:pPr>
        <w:ind w:firstLine="480"/>
        <w:spacing w:line="360" w:lineRule="auto"/>
        <w:rPr>
          <w:rFonts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响应单位自有或租赁有厢式货车有一辆得2分，最高8分。</w:t>
      </w:r>
      <w:r>
        <w:rPr>
          <w:highlight w:val="white"/>
        </w:rPr>
      </w:r>
      <w:r/>
    </w:p>
    <w:p>
      <w:pPr>
        <w:ind w:firstLine="480"/>
        <w:spacing w:line="360" w:lineRule="auto"/>
        <w:rPr>
          <w:rFonts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响应文件中自有的需提供车辆的权属证明、对应行驶证扫描件及车辆照片，如车辆为租赁的，需提供租赁合同、对应行驶证扫描件及车辆照片。上述资料不全或未提供的不得分。</w:t>
      </w:r>
      <w:r>
        <w:rPr>
          <w:highlight w:val="white"/>
        </w:rPr>
      </w:r>
      <w:r/>
    </w:p>
    <w:p>
      <w:pPr>
        <w:ind w:firstLine="480"/>
        <w:spacing w:line="360" w:lineRule="auto"/>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color w:val="000000"/>
          <w:sz w:val="24"/>
          <w:szCs w:val="24"/>
          <w:highlight w:val="white"/>
        </w:rPr>
        <w:t xml:space="preserve">2、</w:t>
      </w:r>
      <w:r>
        <w:rPr>
          <w:rFonts w:hint="eastAsia" w:asciiTheme="minorEastAsia" w:hAnsiTheme="minorEastAsia" w:eastAsiaTheme="minorEastAsia" w:cstheme="minorEastAsia"/>
          <w:sz w:val="24"/>
          <w:szCs w:val="24"/>
          <w:highlight w:val="white"/>
        </w:rPr>
        <w:t xml:space="preserve">本项目配备人员情况（6分）</w:t>
      </w:r>
      <w:r>
        <w:rPr>
          <w:highlight w:val="white"/>
        </w:rPr>
      </w:r>
      <w:r/>
    </w:p>
    <w:p>
      <w:pPr>
        <w:ind w:firstLine="480"/>
        <w:spacing w:line="360" w:lineRule="auto"/>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（1）项目负责人具有食品安全员证书的，得2分。</w:t>
      </w:r>
      <w:r>
        <w:rPr>
          <w:highlight w:val="white"/>
        </w:rPr>
      </w:r>
      <w:r/>
    </w:p>
    <w:p>
      <w:pPr>
        <w:ind w:firstLine="480"/>
        <w:spacing w:line="360" w:lineRule="auto"/>
        <w:rPr>
          <w:rFonts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（2）团队人员（除项目负责人外）中具有食品检验员相关证书的或食品安全员证书的有一个得2分，最高4分</w:t>
      </w:r>
      <w:r>
        <w:rPr>
          <w:highlight w:val="white"/>
        </w:rPr>
      </w:r>
      <w:r/>
    </w:p>
    <w:p>
      <w:pPr>
        <w:ind w:firstLine="480"/>
        <w:spacing w:line="360" w:lineRule="auto"/>
        <w:rPr>
          <w:rFonts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响应文件中提供人员证书，未提供的不得分。</w:t>
      </w:r>
      <w:r>
        <w:rPr>
          <w:highlight w:val="white"/>
        </w:rPr>
      </w:r>
      <w:r/>
    </w:p>
    <w:p>
      <w:pPr>
        <w:ind w:firstLine="480"/>
        <w:spacing w:line="360" w:lineRule="auto"/>
        <w:rPr>
          <w:rFonts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3、食品责任险（2分）：</w:t>
      </w:r>
      <w:r>
        <w:rPr>
          <w:highlight w:val="white"/>
        </w:rPr>
      </w:r>
      <w:r/>
    </w:p>
    <w:p>
      <w:pPr>
        <w:ind w:firstLine="480"/>
        <w:spacing w:line="360" w:lineRule="auto"/>
        <w:rPr>
          <w:rFonts w:asciiTheme="minorEastAsia" w:hAnsiTheme="minorEastAsia" w:eastAsiaTheme="minorEastAsia" w:cstheme="minorEastAsia"/>
          <w:color w:val="000000"/>
          <w:sz w:val="24"/>
          <w:szCs w:val="24"/>
          <w:highlight w:val="white"/>
        </w:rPr>
      </w:pPr>
      <w:r>
        <w:rPr>
          <w:rFonts w:hint="eastAsia" w:asciiTheme="minorEastAsia" w:hAnsiTheme="minorEastAsia" w:eastAsiaTheme="minorEastAsia" w:cstheme="minorEastAsia"/>
          <w:color w:val="000000"/>
          <w:sz w:val="24"/>
          <w:szCs w:val="24"/>
          <w:highlight w:val="white"/>
        </w:rPr>
        <w:t xml:space="preserve">响应单位承诺成交后30天内提供食品安全责任险保单，保额大于等于500万小于1000万元的得1分，大于等于1000万元的得2分。（响应文件中提供承诺函并签响应单位公章，格式自拟，保险有效期与合同保持一致。未提供不得分。）</w:t>
      </w:r>
      <w:r>
        <w:rPr>
          <w:highlight w:val="white"/>
        </w:rPr>
      </w:r>
      <w:r/>
    </w:p>
    <w:p>
      <w:pPr>
        <w:numPr>
          <w:ilvl w:val="0"/>
          <w:numId w:val="3"/>
        </w:num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紧急配送能力（2分）</w:t>
      </w:r>
      <w:r>
        <w:rPr>
          <w:highlight w:val="white"/>
        </w:rPr>
      </w:r>
      <w:r/>
    </w:p>
    <w:p>
      <w:pPr>
        <w:numPr>
          <w:ilvl w:val="255"/>
          <w:numId w:val="0"/>
        </w:numPr>
        <w:ind w:firstLine="480"/>
        <w:spacing w:line="360" w:lineRule="auto"/>
        <w:rPr>
          <w:rFonts w:asciiTheme="minorEastAsia" w:hAnsiTheme="minorEastAsia" w:eastAsiaTheme="minorEastAsia" w:cstheme="minorEastAsia"/>
          <w:sz w:val="24"/>
          <w:szCs w:val="24"/>
          <w:highlight w:val="white"/>
        </w:rPr>
      </w:pPr>
      <w:r>
        <w:rPr>
          <w:rFonts w:hint="eastAsia" w:ascii="宋体" w:hAnsi="宋体" w:eastAsia="宋体" w:cs="宋体"/>
          <w:sz w:val="24"/>
          <w:szCs w:val="24"/>
          <w:highlight w:val="white"/>
        </w:rPr>
        <w:t xml:space="preserve">响应单位承诺在接到采购人紧急配送任务时</w:t>
      </w:r>
      <w:r>
        <w:rPr>
          <w:rFonts w:hint="eastAsia" w:ascii="宋体" w:hAnsi="宋体" w:eastAsia="宋体" w:cs="宋体"/>
          <w:sz w:val="24"/>
          <w:szCs w:val="24"/>
          <w:highlight w:val="white"/>
          <w:lang w:eastAsia="zh-CN"/>
        </w:rPr>
        <w:t xml:space="preserve">3</w:t>
      </w:r>
      <w:r>
        <w:rPr>
          <w:rFonts w:hint="eastAsia" w:ascii="宋体" w:hAnsi="宋体" w:eastAsia="宋体" w:cs="宋体"/>
          <w:sz w:val="24"/>
          <w:szCs w:val="24"/>
          <w:highlight w:val="white"/>
          <w:lang w:val="en-US" w:eastAsia="zh-CN"/>
        </w:rPr>
        <w:t xml:space="preserve">0</w:t>
      </w:r>
      <w:r>
        <w:rPr>
          <w:rFonts w:hint="eastAsia" w:ascii="宋体" w:hAnsi="宋体" w:eastAsia="宋体" w:cs="宋体"/>
          <w:sz w:val="24"/>
          <w:szCs w:val="24"/>
          <w:highlight w:val="white"/>
        </w:rPr>
        <w:t xml:space="preserve">分钟内送达的，得2分。（响应文件中提供承诺函并签响应单位公章，格式自拟，未提供不得分。）</w:t>
      </w:r>
      <w:r>
        <w:rPr>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5、响应单位具有有效期内的质量管理体系、环境管理体系、职业健康安全管理体系，有一项得2分，最高6分（响应文件中提供证书扫描件及中国国家认证认可监督管理委员会官网查询截图，未提供不得分）。</w:t>
      </w:r>
      <w:r>
        <w:rPr>
          <w:highlight w:val="white"/>
        </w:rPr>
      </w:r>
      <w:r/>
    </w:p>
    <w:p>
      <w:pPr>
        <w:ind w:firstLine="480"/>
        <w:jc w:val="left"/>
        <w:spacing w:line="360" w:lineRule="auto"/>
        <w:widowControl/>
        <w:rPr>
          <w:rFonts w:ascii="宋体" w:hAnsi="宋体" w:eastAsia="宋体" w:cs="宋体"/>
          <w:color w:val="000000"/>
          <w:sz w:val="24"/>
          <w:highlight w:val="white"/>
        </w:rPr>
      </w:pPr>
      <w:r>
        <w:rPr>
          <w:rFonts w:hint="eastAsia" w:asciiTheme="minorEastAsia" w:hAnsiTheme="minorEastAsia" w:eastAsiaTheme="minorEastAsia" w:cstheme="minorEastAsia"/>
          <w:color w:val="000000"/>
          <w:sz w:val="24"/>
          <w:szCs w:val="24"/>
          <w:highlight w:val="white"/>
        </w:rPr>
        <w:t xml:space="preserve">6、响应单位2023年1月1日至今（以合同签订时间为准）具有类似配送业绩的，有一项得1分，最高2分（响应文件中提供业绩合同扫描件，上述资料不全或未提供的不得分</w:t>
      </w:r>
      <w:r>
        <w:rPr>
          <w:rFonts w:asciiTheme="minorEastAsia" w:hAnsiTheme="minorEastAsia" w:eastAsiaTheme="minorEastAsia" w:cstheme="minorEastAsia"/>
          <w:color w:val="000000"/>
          <w:sz w:val="24"/>
          <w:szCs w:val="24"/>
          <w:highlight w:val="white"/>
        </w:rPr>
        <w:t xml:space="preserve">）</w:t>
      </w:r>
      <w:r>
        <w:rPr>
          <w:rFonts w:hint="eastAsia" w:asciiTheme="minorEastAsia" w:hAnsiTheme="minorEastAsia" w:eastAsiaTheme="minorEastAsia" w:cstheme="minorEastAsia"/>
          <w:color w:val="000000"/>
          <w:sz w:val="24"/>
          <w:szCs w:val="24"/>
          <w:highlight w:val="white"/>
        </w:rPr>
        <w:t xml:space="preserve">。</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rPr>
          <w:highlight w:val="white"/>
        </w:rPr>
      </w:r>
      <w:r/>
    </w:p>
    <w:p>
      <w:pPr>
        <w:pStyle w:val="1252"/>
        <w:jc w:val="center"/>
        <w:rPr>
          <w:rFonts w:hint="eastAsia" w:ascii="黑体" w:hAnsi="宋体" w:eastAsia="黑体"/>
          <w:color w:val="000000" w:themeColor="text1"/>
          <w:szCs w:val="16"/>
          <w:highlight w:val="white"/>
          <w14:textFill>
            <w14:solidFill>
              <w14:schemeClr w14:val="tx1"/>
            </w14:solidFill>
          </w14:textFill>
        </w:rPr>
      </w:pPr>
      <w:r>
        <w:rPr>
          <w:highlight w:val="white"/>
        </w:rPr>
      </w:r>
      <w:bookmarkStart w:id="25" w:name="_Toc26351"/>
      <w:r>
        <w:rPr>
          <w:highlight w:val="white"/>
        </w:rPr>
      </w:r>
      <w:bookmarkStart w:id="26" w:name="_Toc14752"/>
      <w:r>
        <w:rPr>
          <w:rFonts w:hint="eastAsia" w:ascii="黑体" w:hAnsi="宋体" w:eastAsia="黑体"/>
          <w:color w:val="000000" w:themeColor="text1"/>
          <w:szCs w:val="16"/>
          <w:highlight w:val="white"/>
          <w14:textFill>
            <w14:solidFill>
              <w14:schemeClr w14:val="tx1"/>
            </w14:solidFill>
          </w14:textFill>
        </w:rPr>
        <w:t xml:space="preserve">第六章  磋商响应文件格式</w:t>
      </w:r>
      <w:bookmarkEnd w:id="25"/>
      <w:r>
        <w:rPr>
          <w:highlight w:val="white"/>
        </w:rPr>
      </w:r>
      <w:bookmarkEnd w:id="26"/>
      <w:r>
        <w:rPr>
          <w:highlight w:val="white"/>
        </w:rPr>
      </w:r>
      <w:r/>
    </w:p>
    <w:p>
      <w:pPr>
        <w:pStyle w:val="1348"/>
        <w:ind w:firstLine="0"/>
        <w:spacing w:line="36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说明：</w:t>
      </w:r>
      <w:r>
        <w:rPr>
          <w:highlight w:val="white"/>
        </w:rPr>
      </w:r>
      <w:r/>
    </w:p>
    <w:p>
      <w:pPr>
        <w:pStyle w:val="1348"/>
        <w:ind w:firstLine="480"/>
        <w:spacing w:line="36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对本章所有的格式，磋商供应商可根据自身情况进行补充和修改，但补充和修改不得造成与本格式内容有实质性的违背。</w:t>
      </w:r>
      <w:r>
        <w:rPr>
          <w:highlight w:val="white"/>
        </w:rPr>
      </w:r>
      <w:r/>
    </w:p>
    <w:p>
      <w:pPr>
        <w:pStyle w:val="1348"/>
        <w:ind w:firstLine="0"/>
        <w:spacing w:line="360" w:lineRule="auto"/>
        <w:rPr>
          <w:rFonts w:hint="eastAsia" w:ascii="宋体" w:hAnsi="宋体"/>
          <w:color w:val="000000" w:themeColor="text1"/>
          <w:highlight w:val="white"/>
          <w14:textFill>
            <w14:solidFill>
              <w14:schemeClr w14:val="tx1"/>
            </w14:solidFill>
          </w14:textFill>
        </w:rPr>
        <w:outlineLvl w:val="1"/>
      </w:pPr>
      <w:r>
        <w:rPr>
          <w:rFonts w:ascii="宋体" w:hAnsi="宋体"/>
          <w:color w:val="000000" w:themeColor="text1"/>
          <w:highlight w:val="white"/>
          <w14:textFill>
            <w14:solidFill>
              <w14:schemeClr w14:val="tx1"/>
            </w14:solidFill>
          </w14:textFill>
        </w:rPr>
        <w:t xml:space="preserve">1</w:t>
      </w:r>
      <w:r>
        <w:rPr>
          <w:rFonts w:hint="eastAsia" w:ascii="宋体" w:hAnsi="宋体"/>
          <w:color w:val="000000" w:themeColor="text1"/>
          <w:highlight w:val="white"/>
          <w14:textFill>
            <w14:solidFill>
              <w14:schemeClr w14:val="tx1"/>
            </w14:solidFill>
          </w14:textFill>
        </w:rPr>
        <w:t xml:space="preserve">、（供应商）法定代表人授权委托书</w:t>
      </w:r>
      <w:r>
        <w:rPr>
          <w:highlight w:val="white"/>
        </w:rPr>
      </w:r>
      <w:r/>
    </w:p>
    <w:p>
      <w:pPr>
        <w:ind w:firstLine="422"/>
        <w:jc w:val="center"/>
        <w:spacing w:line="360" w:lineRule="auto"/>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lang w:val="zh-CN"/>
          <w14:textFill>
            <w14:solidFill>
              <w14:schemeClr w14:val="tx1"/>
            </w14:solidFill>
          </w14:textFill>
        </w:rPr>
        <w:t xml:space="preserve">法人授权委托书</w:t>
      </w:r>
      <w:r>
        <w:rPr>
          <w:highlight w:val="white"/>
        </w:rPr>
      </w:r>
      <w:r/>
    </w:p>
    <w:p>
      <w:pPr>
        <w:pStyle w:val="1348"/>
        <w:ind w:firstLine="0"/>
        <w:jc w:val="cente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ind w:firstLine="4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本授权书声明： </w:t>
      </w:r>
      <w:r>
        <w:rPr>
          <w:rFonts w:hint="eastAsia" w:ascii="宋体" w:hAnsi="宋体" w:cs="宋体"/>
          <w:color w:val="000000" w:themeColor="text1"/>
          <w:sz w:val="24"/>
          <w:highlight w:val="white"/>
          <w:u w:val="single"/>
          <w14:textFill>
            <w14:solidFill>
              <w14:schemeClr w14:val="tx1"/>
            </w14:solidFill>
          </w14:textFill>
        </w:rPr>
        <w:t xml:space="preserve">  （供应商名称）   </w:t>
      </w:r>
      <w:r>
        <w:rPr>
          <w:rFonts w:hint="eastAsia" w:ascii="宋体" w:hAnsi="宋体" w:cs="宋体"/>
          <w:color w:val="000000" w:themeColor="text1"/>
          <w:sz w:val="24"/>
          <w:highlight w:val="white"/>
          <w14:textFill>
            <w14:solidFill>
              <w14:schemeClr w14:val="tx1"/>
            </w14:solidFill>
          </w14:textFill>
        </w:rPr>
        <w:t xml:space="preserve">授权 </w:t>
      </w:r>
      <w:r>
        <w:rPr>
          <w:rFonts w:hint="eastAsia" w:ascii="宋体" w:hAnsi="宋体" w:cs="宋体"/>
          <w:color w:val="000000" w:themeColor="text1"/>
          <w:sz w:val="24"/>
          <w:highlight w:val="white"/>
          <w:u w:val="single"/>
          <w14:textFill>
            <w14:solidFill>
              <w14:schemeClr w14:val="tx1"/>
            </w14:solidFill>
          </w14:textFill>
        </w:rPr>
        <w:t xml:space="preserve"> （被授权人的姓名）</w:t>
      </w:r>
      <w:r>
        <w:rPr>
          <w:rFonts w:hint="eastAsia" w:ascii="宋体" w:hAnsi="宋体" w:cs="宋体"/>
          <w:color w:val="000000" w:themeColor="text1"/>
          <w:sz w:val="24"/>
          <w:highlight w:val="white"/>
          <w14:textFill>
            <w14:solidFill>
              <w14:schemeClr w14:val="tx1"/>
            </w14:solidFill>
          </w14:textFill>
        </w:rPr>
        <w:t xml:space="preserve">为我方授权代表（即代理人），参加</w:t>
      </w:r>
      <w:r>
        <w:rPr>
          <w:rFonts w:hint="eastAsia" w:ascii="宋体" w:hAnsi="宋体" w:cs="宋体"/>
          <w:color w:val="000000" w:themeColor="text1"/>
          <w:sz w:val="24"/>
          <w:highlight w:val="white"/>
          <w:u w:val="single"/>
          <w14:textFill>
            <w14:solidFill>
              <w14:schemeClr w14:val="tx1"/>
            </w14:solidFill>
          </w14:textFill>
        </w:rPr>
        <w:t xml:space="preserve">江苏至衡诚达工程咨询有限公司</w:t>
      </w:r>
      <w:r>
        <w:rPr>
          <w:rFonts w:hint="eastAsia" w:ascii="宋体" w:hAnsi="宋体" w:cs="宋体"/>
          <w:color w:val="000000" w:themeColor="text1"/>
          <w:sz w:val="24"/>
          <w:highlight w:val="white"/>
          <w14:textFill>
            <w14:solidFill>
              <w14:schemeClr w14:val="tx1"/>
            </w14:solidFill>
          </w14:textFill>
        </w:rPr>
        <w:t xml:space="preserve">组织实施的编号为</w:t>
      </w:r>
      <w:r>
        <w:rPr>
          <w:rFonts w:hint="eastAsia" w:ascii="宋体" w:hAnsi="宋体" w:cs="宋体"/>
          <w:color w:val="000000" w:themeColor="text1"/>
          <w:sz w:val="24"/>
          <w:highlight w:val="white"/>
          <w:u w:val="single"/>
          <w14:textFill>
            <w14:solidFill>
              <w14:schemeClr w14:val="tx1"/>
            </w14:solidFill>
          </w14:textFill>
        </w:rPr>
        <w:t xml:space="preserve">   （采购编号）   </w:t>
      </w:r>
      <w:r>
        <w:rPr>
          <w:rFonts w:hint="eastAsia" w:ascii="宋体" w:hAnsi="宋体" w:cs="宋体"/>
          <w:color w:val="000000" w:themeColor="text1"/>
          <w:sz w:val="24"/>
          <w:highlight w:val="white"/>
          <w14:textFill>
            <w14:solidFill>
              <w14:schemeClr w14:val="tx1"/>
            </w14:solidFill>
          </w14:textFill>
        </w:rPr>
        <w:t xml:space="preserve">的竞争性磋商采购。代理人在本次磋商活动过程、合同签订及处理有关事宜所作出的全部意思表示（包括签署的全部文件），我司均予以承认并由我司承担相应法律后果。</w:t>
      </w:r>
      <w:r>
        <w:rPr>
          <w:highlight w:val="white"/>
        </w:rPr>
      </w:r>
      <w:r/>
    </w:p>
    <w:p>
      <w:pPr>
        <w:ind w:firstLine="4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white"/>
        </w:rPr>
      </w:r>
      <w:r/>
    </w:p>
    <w:p>
      <w:pPr>
        <w:ind w:firstLine="4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本授权委托书有效期自委托书作出之日起至本项目合同履行完毕之日止。</w:t>
      </w:r>
      <w:r>
        <w:rPr>
          <w:highlight w:val="white"/>
        </w:rPr>
      </w:r>
      <w:r/>
    </w:p>
    <w:p>
      <w:pPr>
        <w:ind w:firstLine="4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代理人无转委托权。</w:t>
      </w:r>
      <w:r>
        <w:rPr>
          <w:highlight w:val="white"/>
        </w:rPr>
      </w:r>
      <w:r/>
    </w:p>
    <w:p>
      <w:pPr>
        <w:ind w:firstLine="4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被授权人身份证号码： </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ind w:firstLine="4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被授权人联系电话：</w:t>
      </w:r>
      <w:r>
        <w:rPr>
          <w:rFonts w:hint="eastAsia" w:ascii="宋体" w:hAnsi="宋体" w:cs="宋体"/>
          <w:color w:val="000000" w:themeColor="text1"/>
          <w:sz w:val="24"/>
          <w:highlight w:val="white"/>
          <w:u w:val="single"/>
          <w14:textFill>
            <w14:solidFill>
              <w14:schemeClr w14:val="tx1"/>
            </w14:solidFill>
          </w14:textFill>
        </w:rPr>
        <w:t xml:space="preserve">（手机）                </w:t>
      </w: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ind w:firstLine="4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right="630"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供应商名称：（加盖CA电子公章）                                    </w:t>
      </w:r>
      <w:r>
        <w:rPr>
          <w:highlight w:val="white"/>
        </w:rPr>
      </w:r>
      <w:r/>
    </w:p>
    <w:p>
      <w:pPr>
        <w:ind w:right="630"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日期：　　　　年　　  月　　  日</w:t>
      </w:r>
      <w:r>
        <w:rPr>
          <w:highlight w:val="white"/>
        </w:rPr>
      </w:r>
      <w:r/>
    </w:p>
    <w:p>
      <w:pPr>
        <w:jc w:val="left"/>
        <w:widowControl/>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t xml:space="preserve">备注：供应商如有授权委托，必须提供该法人授权委托书及法人和代理人的身份证，否则响应无效；</w:t>
      </w:r>
      <w:r>
        <w:rPr>
          <w:highlight w:val="white"/>
        </w:rPr>
      </w:r>
      <w:r/>
    </w:p>
    <w:p>
      <w:pPr>
        <w:pStyle w:val="1349"/>
        <w:ind w:firstLine="482"/>
        <w:jc w:val="both"/>
        <w:spacing w:before="0" w:beforeAutospacing="0" w:after="0" w:afterAutospacing="0" w:line="360" w:lineRule="auto"/>
        <w:rPr>
          <w:rFonts w:hint="eastAsia" w:cs="宋体"/>
          <w:color w:val="000000" w:themeColor="text1"/>
          <w:highlight w:val="white"/>
          <w14:textFill>
            <w14:solidFill>
              <w14:schemeClr w14:val="tx1"/>
            </w14:solidFill>
          </w14:textFill>
        </w:rPr>
      </w:pPr>
      <w:r>
        <w:rPr>
          <w:rFonts w:hint="eastAsia" w:cs="宋体"/>
          <w:b/>
          <w:color w:val="000000" w:themeColor="text1"/>
          <w:highlight w:val="white"/>
          <w14:textFill>
            <w14:solidFill>
              <w14:schemeClr w14:val="tx1"/>
            </w14:solidFill>
          </w14:textFill>
        </w:rPr>
        <w:t xml:space="preserve">供应商无授权委托的情况下，必须提供法定代表人身份证，否则响应无效。</w:t>
      </w:r>
      <w:r>
        <w:rPr>
          <w:highlight w:val="white"/>
        </w:rPr>
      </w:r>
      <w:r/>
    </w:p>
    <w:p>
      <w:pPr>
        <w:pStyle w:val="1348"/>
        <w:ind w:firstLine="0"/>
        <w:jc w:val="left"/>
        <w:spacing w:line="360" w:lineRule="auto"/>
        <w:rPr>
          <w:rFonts w:hint="eastAsia" w:ascii="宋体" w:hAnsi="宋体"/>
          <w:color w:val="000000" w:themeColor="text1"/>
          <w:highlight w:val="white"/>
          <w14:textFill>
            <w14:solidFill>
              <w14:schemeClr w14:val="tx1"/>
            </w14:solidFill>
          </w14:textFill>
        </w:rPr>
        <w:outlineLvl w:val="1"/>
      </w:pPr>
      <w:r>
        <w:rPr>
          <w:rFonts w:ascii="宋体" w:hAnsi="宋体"/>
          <w:color w:val="000000" w:themeColor="text1"/>
          <w:highlight w:val="white"/>
          <w14:textFill>
            <w14:solidFill>
              <w14:schemeClr w14:val="tx1"/>
            </w14:solidFill>
          </w14:textFill>
        </w:rPr>
        <w:br w:type="page" w:clear="all"/>
      </w:r>
      <w:r>
        <w:rPr>
          <w:rFonts w:ascii="宋体" w:hAnsi="宋体"/>
          <w:color w:val="000000" w:themeColor="text1"/>
          <w:highlight w:val="white"/>
          <w14:textFill>
            <w14:solidFill>
              <w14:schemeClr w14:val="tx1"/>
            </w14:solidFill>
          </w14:textFill>
        </w:rPr>
        <w:t xml:space="preserve">2</w:t>
      </w:r>
      <w:r>
        <w:rPr>
          <w:rFonts w:hint="eastAsia" w:ascii="宋体" w:hAnsi="宋体"/>
          <w:color w:val="000000" w:themeColor="text1"/>
          <w:highlight w:val="white"/>
          <w14:textFill>
            <w14:solidFill>
              <w14:schemeClr w14:val="tx1"/>
            </w14:solidFill>
          </w14:textFill>
        </w:rPr>
        <w:t xml:space="preserve">、</w:t>
      </w:r>
      <w:r>
        <w:rPr>
          <w:rStyle w:val="1056"/>
          <w:rFonts w:hint="eastAsia" w:ascii="宋体" w:hAnsi="宋体"/>
          <w:color w:val="000000" w:themeColor="text1"/>
          <w:sz w:val="24"/>
          <w:highlight w:val="white"/>
          <w14:textFill>
            <w14:solidFill>
              <w14:schemeClr w14:val="tx1"/>
            </w14:solidFill>
          </w14:textFill>
        </w:rPr>
        <w:t xml:space="preserve">磋商响应函</w:t>
      </w:r>
      <w:r>
        <w:rPr>
          <w:highlight w:val="white"/>
        </w:rPr>
      </w:r>
      <w:r/>
    </w:p>
    <w:p>
      <w:pPr>
        <w:pStyle w:val="1348"/>
        <w:jc w:val="center"/>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磋商响应函</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u w:val="single"/>
          <w14:textFill>
            <w14:solidFill>
              <w14:schemeClr w14:val="tx1"/>
            </w14:solidFill>
          </w14:textFill>
        </w:rPr>
        <w:t xml:space="preserve">江苏至衡诚达工程咨询有限公司</w:t>
      </w:r>
      <w:r>
        <w:rPr>
          <w:rFonts w:hint="eastAsia" w:ascii="宋体" w:hAnsi="宋体"/>
          <w:color w:val="000000" w:themeColor="text1"/>
          <w:highlight w:val="white"/>
          <w14:textFill>
            <w14:solidFill>
              <w14:schemeClr w14:val="tx1"/>
            </w14:solidFill>
          </w14:textFill>
        </w:rPr>
        <w:t xml:space="preserve">：</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我们收到贵公司</w:t>
      </w:r>
      <w:r>
        <w:rPr>
          <w:rFonts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u w:val="single"/>
          <w14:textFill>
            <w14:solidFill>
              <w14:schemeClr w14:val="tx1"/>
            </w14:solidFill>
          </w14:textFill>
        </w:rPr>
        <w:t xml:space="preserve">        </w:t>
      </w:r>
      <w:r>
        <w:rPr>
          <w:rFonts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 xml:space="preserve">号磋商邀请函，经仔细阅读和研究，我们决定参加该次磋商活动。</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1、我们愿意按照磋商采购邀请函的一切要求，提供包括但不限于全部所需布置设备、劳务、管理、材料、安装、调试、垃圾清扫和搬运、成品保护、建筑物修复、整改、验收、利润、税金、政策性文件规定及本项目包含的所有风险、责任、代理服务费等各项应有费用。</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2、如果我们磋商商务被接受，我们将严格履行磋商邀请函中规定的每一项要求，按期、按质、按量履行合同的义务。</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3、我们愿意提供邀请方在磋商采购文件中要求的所有资料。</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4、我们认为你们有权决定成交人者，还认为你们有权接受或拒绝所有的磋商供应商。</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5、我们愿意遵守磋商采购文件中所列的收费标准。</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6、如果我们成交，我们愿意在签订合同时按前附表规定的支付</w:t>
      </w:r>
      <w:r>
        <w:rPr>
          <w:rFonts w:hint="eastAsia" w:ascii="宋体" w:hAnsi="宋体"/>
          <w:color w:val="000000" w:themeColor="text1"/>
          <w:highlight w:val="white"/>
          <w:lang w:eastAsia="zh-CN"/>
          <w14:textFill>
            <w14:solidFill>
              <w14:schemeClr w14:val="tx1"/>
            </w14:solidFill>
          </w14:textFill>
        </w:rPr>
        <w:t xml:space="preserve">代理服务费</w:t>
      </w:r>
      <w:r>
        <w:rPr>
          <w:rFonts w:hint="eastAsia" w:ascii="宋体" w:hAnsi="宋体"/>
          <w:color w:val="000000" w:themeColor="text1"/>
          <w:highlight w:val="white"/>
          <w14:textFill>
            <w14:solidFill>
              <w14:schemeClr w14:val="tx1"/>
            </w14:solidFill>
          </w14:textFill>
        </w:rPr>
        <w:t xml:space="preserve">。</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7、综合说明：</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（1）供应商应提供详细的伴随服务及配合措施清单，并明确双方的职责和责任，以确保工程的顺利实施；</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（2）要求采购单位提供的配合；</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ascii="宋体" w:hAnsi="宋体"/>
          <w:color w:val="000000" w:themeColor="text1"/>
          <w:highlight w:val="white"/>
          <w14:textFill>
            <w14:solidFill>
              <w14:schemeClr w14:val="tx1"/>
            </w14:solidFill>
          </w14:textFill>
        </w:rPr>
        <w:t xml:space="preserve">（3）其</w:t>
      </w:r>
      <w:r>
        <w:rPr>
          <w:rFonts w:ascii="宋体" w:hAnsi="宋体" w:cs="宋体"/>
          <w:color w:val="000000" w:themeColor="text1"/>
          <w:highlight w:val="white"/>
          <w14:textFill>
            <w14:solidFill>
              <w14:schemeClr w14:val="tx1"/>
            </w14:solidFill>
          </w14:textFill>
        </w:rPr>
        <w:t xml:space="preserve">他</w:t>
      </w:r>
      <w:r>
        <w:rPr>
          <w:rFonts w:ascii="宋体" w:hAnsi="宋体"/>
          <w:color w:val="000000" w:themeColor="text1"/>
          <w:highlight w:val="white"/>
          <w14:textFill>
            <w14:solidFill>
              <w14:schemeClr w14:val="tx1"/>
            </w14:solidFill>
          </w14:textFill>
        </w:rPr>
        <w:t xml:space="preserve">说明。</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单位：                 联系人：</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地址：                 邮政编码：</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联系电话：             传真：</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olor w:val="000000" w:themeColor="text1"/>
          <w:highlight w:val="white"/>
          <w14:textFill>
            <w14:solidFill>
              <w14:schemeClr w14:val="tx1"/>
            </w14:solidFill>
          </w14:textFill>
        </w:rPr>
        <w:t xml:space="preserve">法定代表人或授权委托人：（签字或盖章）</w:t>
      </w:r>
      <w:r>
        <w:rPr>
          <w:highlight w:val="white"/>
        </w:rPr>
      </w:r>
      <w:r/>
    </w:p>
    <w:p>
      <w:pPr>
        <w:ind w:right="630"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供应商名称：（加盖CA电子公章）</w:t>
      </w:r>
      <w:r>
        <w:rPr>
          <w:highlight w:val="white"/>
        </w:rPr>
      </w:r>
      <w:r/>
    </w:p>
    <w:p>
      <w:pPr>
        <w:pStyle w:val="1348"/>
        <w:ind w:firstLine="480"/>
        <w:jc w:val="left"/>
        <w:spacing w:line="360" w:lineRule="auto"/>
        <w:rPr>
          <w:rFonts w:hint="eastAsia" w:ascii="宋体" w:hAnsi="宋体"/>
          <w:color w:val="000000" w:themeColor="text1"/>
          <w:highlight w:val="white"/>
          <w14:textFill>
            <w14:solidFill>
              <w14:schemeClr w14:val="tx1"/>
            </w14:solidFill>
          </w14:textFill>
        </w:rPr>
        <w:outlineLvl w:val="1"/>
      </w:pPr>
      <w:r>
        <w:rPr>
          <w:rFonts w:hint="eastAsia" w:ascii="宋体" w:hAnsi="宋体" w:cs="宋体"/>
          <w:color w:val="000000" w:themeColor="text1"/>
          <w:highlight w:val="white"/>
          <w14:textFill>
            <w14:solidFill>
              <w14:schemeClr w14:val="tx1"/>
            </w14:solidFill>
          </w14:textFill>
        </w:rPr>
        <w:t xml:space="preserve">日期：　　　　年　　月　　日</w:t>
      </w:r>
      <w:r>
        <w:rPr>
          <w:highlight w:val="white"/>
        </w:rPr>
      </w:r>
      <w:r/>
    </w:p>
    <w:p>
      <w:pPr>
        <w:pStyle w:val="1347"/>
        <w:ind w:firstLine="0"/>
        <w:jc w:val="both"/>
        <w:spacing w:line="360" w:lineRule="auto"/>
        <w:rPr>
          <w:rFonts w:hint="eastAsia" w:ascii="宋体" w:hAnsi="宋体" w:eastAsia="宋体" w:cs="宋体"/>
          <w:color w:val="000000" w:themeColor="text1"/>
          <w:highlight w:val="white"/>
          <w14:textFill>
            <w14:solidFill>
              <w14:schemeClr w14:val="tx1"/>
            </w14:solidFill>
          </w14:textFill>
        </w:rPr>
        <w:outlineLvl w:val="1"/>
      </w:pPr>
      <w:r>
        <w:rPr>
          <w:rFonts w:hint="eastAsia" w:ascii="宋体" w:hAnsi="宋体" w:eastAsia="宋体"/>
          <w:color w:val="000000" w:themeColor="text1"/>
          <w:szCs w:val="24"/>
          <w:highlight w:val="white"/>
          <w14:textFill>
            <w14:solidFill>
              <w14:schemeClr w14:val="tx1"/>
            </w14:solidFill>
          </w14:textFill>
        </w:rPr>
        <w:br w:type="page" w:clear="all"/>
      </w:r>
      <w:r>
        <w:rPr>
          <w:rFonts w:hint="eastAsia" w:ascii="宋体" w:hAnsi="宋体" w:eastAsia="宋体" w:cs="宋体"/>
          <w:color w:val="000000" w:themeColor="text1"/>
          <w:szCs w:val="24"/>
          <w:highlight w:val="white"/>
          <w14:textFill>
            <w14:solidFill>
              <w14:schemeClr w14:val="tx1"/>
            </w14:solidFill>
          </w14:textFill>
        </w:rPr>
        <w:t xml:space="preserve">3、磋商报价表</w:t>
      </w:r>
      <w:r>
        <w:rPr>
          <w:highlight w:val="white"/>
        </w:rPr>
      </w:r>
      <w:r/>
    </w:p>
    <w:p>
      <w:pPr>
        <w:spacing w:line="360" w:lineRule="auto"/>
        <w:rPr>
          <w:rFonts w:ascii="宋体" w:hAnsi="宋体" w:cs="宋体"/>
          <w:sz w:val="24"/>
          <w:highlight w:val="white"/>
        </w:rPr>
      </w:pPr>
      <w:r>
        <w:rPr>
          <w:rFonts w:hint="eastAsia" w:ascii="宋体" w:hAnsi="宋体" w:cs="宋体"/>
          <w:sz w:val="24"/>
          <w:highlight w:val="white"/>
          <w:lang w:val="zh-CN"/>
        </w:rPr>
        <w:t xml:space="preserve">采购编号：</w:t>
      </w:r>
      <w:r>
        <w:rPr>
          <w:highlight w:val="white"/>
        </w:rPr>
      </w:r>
      <w:r/>
    </w:p>
    <w:tbl>
      <w:tblPr>
        <w:tblStyle w:val="913"/>
        <w:tblW w:w="9453"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61"/>
        <w:gridCol w:w="1842"/>
        <w:gridCol w:w="2268"/>
        <w:gridCol w:w="1974"/>
      </w:tblGrid>
      <w:tr>
        <w:trPr>
          <w:trHeight w:val="465"/>
        </w:trPr>
        <w:tc>
          <w:tcPr>
            <w:tcW w:w="1008" w:type="dxa"/>
            <w:vAlign w:val="center"/>
            <w:textDirection w:val="lrTb"/>
            <w:noWrap w:val="false"/>
          </w:tcPr>
          <w:p>
            <w:pPr>
              <w:jc w:val="center"/>
              <w:rPr>
                <w:rFonts w:ascii="宋体" w:hAnsi="宋体" w:cs="宋体"/>
                <w:sz w:val="24"/>
                <w:highlight w:val="white"/>
              </w:rPr>
            </w:pPr>
            <w:r>
              <w:rPr>
                <w:rFonts w:hint="eastAsia" w:ascii="宋体" w:hAnsi="宋体" w:cs="宋体"/>
                <w:sz w:val="24"/>
                <w:highlight w:val="white"/>
                <w:lang w:val="zh-CN"/>
              </w:rPr>
              <w:t xml:space="preserve">序号</w:t>
            </w:r>
            <w:r>
              <w:rPr>
                <w:highlight w:val="white"/>
              </w:rPr>
            </w:r>
            <w:r/>
          </w:p>
        </w:tc>
        <w:tc>
          <w:tcPr>
            <w:tcW w:w="2361" w:type="dxa"/>
            <w:vAlign w:val="center"/>
            <w:textDirection w:val="lrTb"/>
            <w:noWrap w:val="false"/>
          </w:tcPr>
          <w:p>
            <w:pPr>
              <w:jc w:val="center"/>
              <w:rPr>
                <w:rFonts w:ascii="宋体" w:hAnsi="宋体" w:cs="宋体"/>
                <w:sz w:val="24"/>
                <w:highlight w:val="white"/>
              </w:rPr>
            </w:pPr>
            <w:r>
              <w:rPr>
                <w:rFonts w:hint="eastAsia" w:ascii="宋体" w:hAnsi="宋体" w:cs="宋体"/>
                <w:sz w:val="24"/>
                <w:highlight w:val="white"/>
                <w:lang w:val="zh-CN"/>
              </w:rPr>
              <w:t xml:space="preserve">项目名称</w:t>
            </w:r>
            <w:r>
              <w:rPr>
                <w:highlight w:val="white"/>
              </w:rPr>
            </w:r>
            <w:r/>
          </w:p>
        </w:tc>
        <w:tc>
          <w:tcPr>
            <w:tcW w:w="1842" w:type="dxa"/>
            <w:vAlign w:val="center"/>
            <w:textDirection w:val="lrTb"/>
            <w:noWrap w:val="false"/>
          </w:tcPr>
          <w:p>
            <w:pPr>
              <w:jc w:val="center"/>
              <w:rPr>
                <w:rFonts w:ascii="宋体" w:hAnsi="宋体" w:cs="宋体"/>
                <w:sz w:val="24"/>
                <w:highlight w:val="white"/>
              </w:rPr>
            </w:pPr>
            <w:r>
              <w:rPr>
                <w:rFonts w:hint="eastAsia" w:ascii="宋体" w:hAnsi="宋体" w:cs="宋体"/>
                <w:sz w:val="24"/>
                <w:highlight w:val="white"/>
              </w:rPr>
              <w:t xml:space="preserve">下浮率（%）</w:t>
            </w:r>
            <w:r>
              <w:rPr>
                <w:highlight w:val="white"/>
              </w:rPr>
            </w:r>
            <w:r/>
          </w:p>
        </w:tc>
        <w:tc>
          <w:tcPr>
            <w:tcW w:w="2268" w:type="dxa"/>
            <w:vAlign w:val="center"/>
            <w:textDirection w:val="lrTb"/>
            <w:noWrap w:val="false"/>
          </w:tcPr>
          <w:p>
            <w:pPr>
              <w:jc w:val="center"/>
              <w:rPr>
                <w:rFonts w:ascii="宋体" w:hAnsi="宋体" w:cs="宋体"/>
                <w:sz w:val="24"/>
                <w:highlight w:val="white"/>
              </w:rPr>
            </w:pPr>
            <w:r>
              <w:rPr>
                <w:rFonts w:hint="eastAsia" w:ascii="宋体" w:hAnsi="宋体" w:cs="宋体"/>
                <w:bCs/>
                <w:sz w:val="24"/>
                <w:highlight w:val="white"/>
              </w:rPr>
              <w:t xml:space="preserve">服务期限</w:t>
            </w:r>
            <w:r>
              <w:rPr>
                <w:highlight w:val="white"/>
              </w:rPr>
            </w:r>
            <w:r/>
          </w:p>
        </w:tc>
        <w:tc>
          <w:tcPr>
            <w:tcW w:w="1974" w:type="dxa"/>
            <w:vAlign w:val="center"/>
            <w:textDirection w:val="lrTb"/>
            <w:noWrap w:val="false"/>
          </w:tcPr>
          <w:p>
            <w:pPr>
              <w:jc w:val="center"/>
              <w:rPr>
                <w:rFonts w:ascii="宋体" w:hAnsi="宋体" w:cs="宋体"/>
                <w:sz w:val="24"/>
                <w:highlight w:val="white"/>
              </w:rPr>
            </w:pPr>
            <w:r>
              <w:rPr>
                <w:rFonts w:hint="eastAsia" w:ascii="宋体" w:hAnsi="宋体" w:cs="宋体"/>
                <w:sz w:val="24"/>
                <w:highlight w:val="white"/>
              </w:rPr>
              <w:t xml:space="preserve">备注</w:t>
            </w:r>
            <w:r>
              <w:rPr>
                <w:highlight w:val="white"/>
              </w:rPr>
            </w:r>
            <w:r/>
          </w:p>
        </w:tc>
      </w:tr>
      <w:tr>
        <w:trPr>
          <w:trHeight w:val="910"/>
        </w:trPr>
        <w:tc>
          <w:tcPr>
            <w:tcW w:w="1008" w:type="dxa"/>
            <w:vAlign w:val="center"/>
            <w:textDirection w:val="lrTb"/>
            <w:noWrap w:val="false"/>
          </w:tcPr>
          <w:p>
            <w:pPr>
              <w:jc w:val="center"/>
              <w:rPr>
                <w:rFonts w:ascii="宋体" w:hAnsi="宋体" w:cs="宋体"/>
                <w:sz w:val="24"/>
                <w:highlight w:val="white"/>
              </w:rPr>
            </w:pPr>
            <w:r>
              <w:rPr>
                <w:rFonts w:hint="eastAsia" w:ascii="宋体" w:hAnsi="宋体" w:cs="宋体"/>
                <w:sz w:val="24"/>
                <w:highlight w:val="white"/>
              </w:rPr>
              <w:t xml:space="preserve">1</w:t>
            </w:r>
            <w:r>
              <w:rPr>
                <w:highlight w:val="white"/>
              </w:rPr>
            </w:r>
            <w:r/>
          </w:p>
        </w:tc>
        <w:tc>
          <w:tcPr>
            <w:tcW w:w="2361" w:type="dxa"/>
            <w:vAlign w:val="center"/>
            <w:textDirection w:val="lrTb"/>
            <w:noWrap w:val="false"/>
          </w:tcPr>
          <w:p>
            <w:pPr>
              <w:jc w:val="center"/>
              <w:rPr>
                <w:rFonts w:ascii="宋体" w:hAnsi="宋体" w:cs="宋体"/>
                <w:sz w:val="24"/>
                <w:highlight w:val="white"/>
              </w:rPr>
            </w:pPr>
            <w:r>
              <w:rPr>
                <w:rFonts w:ascii="宋体" w:hAnsi="宋体" w:cs="宋体"/>
                <w:sz w:val="24"/>
                <w:highlight w:val="white"/>
              </w:rPr>
            </w:r>
            <w:r>
              <w:rPr>
                <w:highlight w:val="white"/>
              </w:rPr>
            </w:r>
            <w:r/>
          </w:p>
        </w:tc>
        <w:tc>
          <w:tcPr>
            <w:tcW w:w="1842" w:type="dxa"/>
            <w:vAlign w:val="top"/>
            <w:textDirection w:val="lrTb"/>
            <w:noWrap w:val="false"/>
          </w:tcPr>
          <w:p>
            <w:pPr>
              <w:jc w:val="center"/>
              <w:rPr>
                <w:rFonts w:ascii="宋体" w:hAnsi="宋体" w:cs="宋体"/>
                <w:sz w:val="24"/>
                <w:highlight w:val="white"/>
              </w:rPr>
            </w:pPr>
            <w:r>
              <w:rPr>
                <w:rFonts w:ascii="宋体" w:hAnsi="宋体" w:cs="宋体"/>
                <w:sz w:val="24"/>
                <w:highlight w:val="white"/>
              </w:rPr>
            </w:r>
            <w:r>
              <w:rPr>
                <w:highlight w:val="white"/>
              </w:rPr>
            </w:r>
            <w:r/>
          </w:p>
        </w:tc>
        <w:tc>
          <w:tcPr>
            <w:tcW w:w="2268" w:type="dxa"/>
            <w:vAlign w:val="top"/>
            <w:textDirection w:val="lrTb"/>
            <w:noWrap w:val="false"/>
          </w:tcPr>
          <w:p>
            <w:pPr>
              <w:jc w:val="center"/>
              <w:rPr>
                <w:rFonts w:ascii="宋体" w:hAnsi="宋体" w:cs="宋体"/>
                <w:sz w:val="24"/>
                <w:highlight w:val="white"/>
              </w:rPr>
            </w:pPr>
            <w:r>
              <w:rPr>
                <w:rFonts w:ascii="宋体" w:hAnsi="宋体" w:cs="宋体"/>
                <w:sz w:val="24"/>
                <w:highlight w:val="white"/>
              </w:rPr>
            </w:r>
            <w:r>
              <w:rPr>
                <w:highlight w:val="white"/>
              </w:rPr>
            </w:r>
            <w:r/>
          </w:p>
        </w:tc>
        <w:tc>
          <w:tcPr>
            <w:tcW w:w="1974" w:type="dxa"/>
            <w:vAlign w:val="top"/>
            <w:textDirection w:val="lrTb"/>
            <w:noWrap w:val="false"/>
          </w:tcPr>
          <w:p>
            <w:pPr>
              <w:jc w:val="center"/>
              <w:rPr>
                <w:rFonts w:ascii="宋体" w:hAnsi="宋体" w:cs="宋体"/>
                <w:sz w:val="24"/>
                <w:highlight w:val="white"/>
              </w:rPr>
            </w:pPr>
            <w:r>
              <w:rPr>
                <w:rFonts w:ascii="宋体" w:hAnsi="宋体" w:cs="宋体"/>
                <w:sz w:val="24"/>
                <w:highlight w:val="white"/>
              </w:rPr>
            </w:r>
            <w:r>
              <w:rPr>
                <w:highlight w:val="white"/>
              </w:rPr>
            </w:r>
            <w:r/>
          </w:p>
        </w:tc>
      </w:tr>
      <w:tr>
        <w:trPr>
          <w:trHeight w:val="760"/>
        </w:trPr>
        <w:tc>
          <w:tcPr>
            <w:gridSpan w:val="5"/>
            <w:tcW w:w="9453" w:type="dxa"/>
            <w:vAlign w:val="center"/>
            <w:textDirection w:val="lrTb"/>
            <w:noWrap w:val="false"/>
          </w:tcPr>
          <w:p>
            <w:pPr>
              <w:tabs>
                <w:tab w:val="left" w:pos="705" w:leader="none"/>
              </w:tabs>
              <w:rPr>
                <w:rFonts w:ascii="宋体" w:hAnsi="宋体" w:cs="宋体"/>
                <w:sz w:val="24"/>
                <w:highlight w:val="white"/>
              </w:rPr>
            </w:pPr>
            <w:r>
              <w:rPr>
                <w:rFonts w:hint="eastAsia" w:ascii="宋体" w:hAnsi="宋体" w:cs="宋体"/>
                <w:sz w:val="24"/>
                <w:highlight w:val="white"/>
              </w:rPr>
              <w:t xml:space="preserve">是否小微企业：   □小型       □微型</w:t>
            </w:r>
            <w:r>
              <w:rPr>
                <w:highlight w:val="white"/>
              </w:rPr>
            </w:r>
            <w:r/>
          </w:p>
        </w:tc>
      </w:tr>
    </w:tbl>
    <w:p>
      <w:pPr>
        <w:pStyle w:val="1350"/>
        <w:ind w:firstLine="240"/>
        <w:spacing w:line="360" w:lineRule="auto"/>
        <w:rPr>
          <w:rFonts w:hAnsi="宋体" w:eastAsia="宋体" w:cs="宋体"/>
          <w:sz w:val="24"/>
          <w:highlight w:val="white"/>
        </w:rPr>
      </w:pPr>
      <w:r>
        <w:rPr>
          <w:rFonts w:hAnsi="宋体" w:eastAsia="宋体" w:cs="宋体"/>
          <w:sz w:val="24"/>
          <w:highlight w:val="white"/>
        </w:rPr>
      </w:r>
      <w:r>
        <w:rPr>
          <w:highlight w:val="white"/>
        </w:rPr>
      </w:r>
      <w:r/>
    </w:p>
    <w:p>
      <w:pPr>
        <w:pStyle w:val="1354"/>
        <w:spacing w:line="360" w:lineRule="auto"/>
        <w:rPr>
          <w:rFonts w:hAnsi="宋体" w:eastAsia="宋体" w:cs="宋体"/>
          <w:sz w:val="24"/>
          <w:highlight w:val="white"/>
        </w:rPr>
      </w:pPr>
      <w:r>
        <w:rPr>
          <w:rFonts w:hAnsi="宋体" w:eastAsia="宋体" w:cs="宋体"/>
          <w:sz w:val="24"/>
          <w:highlight w:val="white"/>
        </w:rPr>
        <w:t xml:space="preserve">注：</w:t>
      </w:r>
      <w:r>
        <w:rPr>
          <w:highlight w:val="white"/>
        </w:rPr>
      </w:r>
      <w:r/>
    </w:p>
    <w:p>
      <w:pPr>
        <w:pStyle w:val="1354"/>
        <w:ind w:firstLine="480"/>
        <w:spacing w:line="360" w:lineRule="auto"/>
        <w:rPr>
          <w:rFonts w:hAnsi="宋体" w:eastAsia="宋体" w:cs="宋体"/>
          <w:sz w:val="24"/>
          <w:highlight w:val="white"/>
        </w:rPr>
      </w:pPr>
      <w:r>
        <w:rPr>
          <w:rFonts w:hAnsi="宋体" w:eastAsia="宋体" w:cs="宋体"/>
          <w:sz w:val="24"/>
          <w:highlight w:val="white"/>
        </w:rPr>
        <w:t xml:space="preserve">1.本表中的报价为综合报价，投标报价应包括完成该项工作所需的所有服务管理内容、</w:t>
      </w:r>
      <w:r>
        <w:rPr>
          <w:rFonts w:hint="eastAsia" w:hAnsi="宋体" w:eastAsia="宋体" w:cs="宋体"/>
          <w:sz w:val="24"/>
          <w:highlight w:val="white"/>
          <w:lang w:val="en-US" w:eastAsia="zh-CN"/>
        </w:rPr>
        <w:t xml:space="preserve">代理代理服务费、</w:t>
      </w:r>
      <w:r>
        <w:rPr>
          <w:rFonts w:hAnsi="宋体" w:eastAsia="宋体" w:cs="宋体"/>
          <w:sz w:val="24"/>
          <w:highlight w:val="white"/>
        </w:rPr>
        <w:t xml:space="preserve">通讯、运输、服装、胸卡、办公设备、车辆、各种税费、人工（薪资、加班、福利）、保险〈养老保险金、医疗保险金、失业保险金、生育保险金、公伤保险金〉、劳保、维护、利润、政策性文件规定及合同包含的所有风险、责任等各项应有费用。同时，除非合同条款中另有规定，否则，投标人所报价格在合同实施期间不因市场变化因素而变动。</w:t>
      </w:r>
      <w:r>
        <w:rPr>
          <w:highlight w:val="white"/>
        </w:rPr>
      </w:r>
      <w:r/>
    </w:p>
    <w:p>
      <w:pPr>
        <w:pStyle w:val="1354"/>
        <w:ind w:firstLine="480"/>
        <w:spacing w:line="360" w:lineRule="auto"/>
        <w:rPr>
          <w:rFonts w:hAnsi="宋体" w:eastAsia="宋体" w:cs="宋体"/>
          <w:sz w:val="24"/>
          <w:highlight w:val="white"/>
        </w:rPr>
      </w:pPr>
      <w:r>
        <w:rPr>
          <w:rFonts w:hAnsi="宋体" w:eastAsia="宋体" w:cs="宋体"/>
          <w:sz w:val="24"/>
          <w:highlight w:val="white"/>
        </w:rPr>
        <w:t xml:space="preserve">2.利润、管理费、税费及相应利润</w:t>
      </w:r>
      <w:r>
        <w:rPr>
          <w:rFonts w:hint="eastAsia" w:hAnsi="宋体" w:eastAsia="宋体" w:cs="宋体"/>
          <w:sz w:val="24"/>
          <w:highlight w:val="white"/>
          <w:lang w:eastAsia="zh-CN"/>
        </w:rPr>
        <w:t xml:space="preserve">响应单位</w:t>
      </w:r>
      <w:r>
        <w:rPr>
          <w:rFonts w:hAnsi="宋体" w:eastAsia="宋体" w:cs="宋体"/>
          <w:sz w:val="24"/>
          <w:highlight w:val="white"/>
        </w:rPr>
        <w:t xml:space="preserve">自行考虑。</w:t>
      </w:r>
      <w:r>
        <w:rPr>
          <w:highlight w:val="white"/>
        </w:rPr>
      </w:r>
      <w:r/>
    </w:p>
    <w:p>
      <w:pPr>
        <w:pStyle w:val="1354"/>
        <w:ind w:firstLine="480"/>
        <w:spacing w:line="360" w:lineRule="auto"/>
        <w:rPr>
          <w:rFonts w:hAnsi="宋体" w:eastAsia="宋体" w:cs="宋体"/>
          <w:sz w:val="24"/>
          <w:highlight w:val="white"/>
        </w:rPr>
      </w:pPr>
      <w:r>
        <w:rPr>
          <w:rFonts w:hAnsi="宋体" w:eastAsia="宋体" w:cs="宋体"/>
          <w:sz w:val="24"/>
          <w:highlight w:val="white"/>
        </w:rPr>
        <w:t xml:space="preserve">3.未按上述要求报价的，为无效投标报价。</w:t>
      </w:r>
      <w:r>
        <w:rPr>
          <w:highlight w:val="white"/>
        </w:rPr>
      </w:r>
      <w:r/>
    </w:p>
    <w:p>
      <w:pPr>
        <w:ind w:firstLine="480"/>
        <w:rPr>
          <w:rFonts w:ascii="宋体" w:hAnsi="宋体" w:cs="宋体"/>
          <w:sz w:val="24"/>
          <w:highlight w:val="white"/>
        </w:rPr>
      </w:pPr>
      <w:r>
        <w:rPr>
          <w:rFonts w:ascii="宋体" w:hAnsi="宋体" w:cs="宋体"/>
          <w:sz w:val="24"/>
          <w:highlight w:val="white"/>
        </w:rPr>
      </w:r>
      <w:r>
        <w:rPr>
          <w:highlight w:val="white"/>
        </w:rPr>
      </w:r>
      <w:r/>
    </w:p>
    <w:p>
      <w:pPr>
        <w:pStyle w:val="1338"/>
        <w:ind w:firstLine="210"/>
        <w:spacing w:line="360" w:lineRule="exact"/>
        <w:rPr>
          <w:rFonts w:hAnsi="宋体" w:eastAsia="宋体"/>
          <w:sz w:val="21"/>
          <w:szCs w:val="21"/>
          <w:highlight w:val="white"/>
        </w:rPr>
      </w:pPr>
      <w:r>
        <w:rPr>
          <w:rFonts w:hint="eastAsia" w:hAnsi="宋体" w:eastAsia="宋体"/>
          <w:sz w:val="21"/>
          <w:szCs w:val="21"/>
          <w:highlight w:val="white"/>
        </w:rPr>
        <w:t xml:space="preserve">供应商：（公章）</w:t>
      </w:r>
      <w:r>
        <w:rPr>
          <w:highlight w:val="white"/>
        </w:rPr>
      </w:r>
      <w:r/>
    </w:p>
    <w:p>
      <w:pPr>
        <w:pStyle w:val="1338"/>
        <w:ind w:firstLine="210"/>
        <w:spacing w:line="360" w:lineRule="exact"/>
        <w:rPr>
          <w:rFonts w:hAnsi="宋体" w:eastAsia="宋体"/>
          <w:sz w:val="21"/>
          <w:szCs w:val="21"/>
          <w:highlight w:val="white"/>
        </w:rPr>
      </w:pPr>
      <w:r>
        <w:rPr>
          <w:rFonts w:hint="eastAsia" w:hAnsi="宋体" w:eastAsia="宋体"/>
          <w:sz w:val="21"/>
          <w:szCs w:val="21"/>
          <w:highlight w:val="white"/>
        </w:rPr>
        <w:t xml:space="preserve">法定代表人/负责人：（签字或盖章）</w:t>
      </w:r>
      <w:r>
        <w:rPr>
          <w:highlight w:val="white"/>
        </w:rPr>
      </w:r>
      <w:r/>
    </w:p>
    <w:p>
      <w:pPr>
        <w:pStyle w:val="1338"/>
        <w:ind w:firstLine="210"/>
        <w:spacing w:line="360" w:lineRule="exact"/>
        <w:rPr>
          <w:rFonts w:hAnsi="宋体" w:eastAsia="宋体"/>
          <w:sz w:val="21"/>
          <w:szCs w:val="21"/>
          <w:highlight w:val="white"/>
        </w:rPr>
      </w:pPr>
      <w:r>
        <w:rPr>
          <w:rFonts w:hint="eastAsia" w:hAnsi="宋体" w:eastAsia="宋体"/>
          <w:sz w:val="21"/>
          <w:szCs w:val="21"/>
          <w:highlight w:val="white"/>
        </w:rPr>
        <w:t xml:space="preserve">代理人：（签字或盖章）</w:t>
      </w:r>
      <w:r>
        <w:rPr>
          <w:highlight w:val="white"/>
        </w:rPr>
      </w:r>
      <w:r/>
    </w:p>
    <w:p>
      <w:pPr>
        <w:pStyle w:val="1338"/>
        <w:ind w:firstLine="210"/>
        <w:spacing w:line="360" w:lineRule="exact"/>
        <w:rPr>
          <w:rFonts w:hAnsi="宋体" w:eastAsia="宋体"/>
          <w:sz w:val="21"/>
          <w:szCs w:val="21"/>
          <w:highlight w:val="white"/>
        </w:rPr>
      </w:pPr>
      <w:r>
        <w:rPr>
          <w:rFonts w:hint="eastAsia" w:hAnsi="宋体" w:eastAsia="宋体"/>
          <w:sz w:val="21"/>
          <w:szCs w:val="21"/>
          <w:highlight w:val="white"/>
        </w:rPr>
        <w:t xml:space="preserve">日期：</w:t>
      </w:r>
      <w:r>
        <w:rPr>
          <w:rFonts w:hAnsi="宋体" w:eastAsia="宋体"/>
          <w:sz w:val="21"/>
          <w:szCs w:val="21"/>
          <w:highlight w:val="white"/>
        </w:rPr>
        <w:t xml:space="preserve">         </w:t>
      </w:r>
      <w:r>
        <w:rPr>
          <w:rFonts w:hint="eastAsia" w:hAnsi="宋体" w:eastAsia="宋体"/>
          <w:sz w:val="21"/>
          <w:szCs w:val="21"/>
          <w:highlight w:val="white"/>
        </w:rPr>
        <w:t xml:space="preserve">年</w:t>
      </w:r>
      <w:r>
        <w:rPr>
          <w:rFonts w:hAnsi="宋体" w:eastAsia="宋体"/>
          <w:sz w:val="21"/>
          <w:szCs w:val="21"/>
          <w:highlight w:val="white"/>
        </w:rPr>
        <w:t xml:space="preserve">     </w:t>
      </w:r>
      <w:r>
        <w:rPr>
          <w:rFonts w:hint="eastAsia" w:hAnsi="宋体" w:eastAsia="宋体"/>
          <w:sz w:val="21"/>
          <w:szCs w:val="21"/>
          <w:highlight w:val="white"/>
        </w:rPr>
        <w:t xml:space="preserve">月</w:t>
      </w:r>
      <w:r>
        <w:rPr>
          <w:rFonts w:hAnsi="宋体" w:eastAsia="宋体"/>
          <w:sz w:val="21"/>
          <w:szCs w:val="21"/>
          <w:highlight w:val="white"/>
        </w:rPr>
        <w:t xml:space="preserve">   </w:t>
      </w:r>
      <w:r>
        <w:rPr>
          <w:rFonts w:hint="eastAsia" w:hAnsi="宋体" w:eastAsia="宋体"/>
          <w:sz w:val="21"/>
          <w:szCs w:val="21"/>
          <w:highlight w:val="white"/>
        </w:rPr>
        <w:t xml:space="preserve">日</w:t>
      </w:r>
      <w:r>
        <w:rPr>
          <w:highlight w:val="white"/>
        </w:rPr>
      </w:r>
      <w:r/>
    </w:p>
    <w:p>
      <w:pPr>
        <w:pStyle w:val="1084"/>
        <w:ind w:firstLine="0"/>
        <w:jc w:val="both"/>
        <w:spacing w:line="360" w:lineRule="auto"/>
        <w:rPr>
          <w:rFonts w:hint="eastAsia" w:ascii="宋体" w:hAnsi="宋体" w:eastAsia="宋体" w:cs="宋体"/>
          <w:b/>
          <w:color w:val="000000" w:themeColor="text1"/>
          <w:sz w:val="21"/>
          <w:szCs w:val="21"/>
          <w:highlight w:val="white"/>
          <w14:textFill>
            <w14:solidFill>
              <w14:schemeClr w14:val="tx1"/>
            </w14:solidFill>
          </w14:textFill>
        </w:rPr>
        <w:outlineLvl w:val="1"/>
      </w:pPr>
      <w:r>
        <w:rPr>
          <w:rFonts w:hint="eastAsia" w:ascii="宋体" w:hAnsi="宋体" w:eastAsia="宋体" w:cs="宋体"/>
          <w:b/>
          <w:color w:val="000000" w:themeColor="text1"/>
          <w:sz w:val="21"/>
          <w:szCs w:val="21"/>
          <w:highlight w:val="white"/>
          <w14:textFill>
            <w14:solidFill>
              <w14:schemeClr w14:val="tx1"/>
            </w14:solidFill>
          </w14:textFill>
        </w:rPr>
      </w:r>
      <w:r>
        <w:rPr>
          <w:highlight w:val="white"/>
        </w:rPr>
      </w:r>
      <w:r/>
    </w:p>
    <w:p>
      <w:pPr>
        <w:pStyle w:val="1350"/>
        <w:ind w:right="-290"/>
        <w:spacing w:line="400" w:lineRule="exact"/>
        <w:tabs>
          <w:tab w:val="left" w:pos="9000" w:leader="none"/>
        </w:tabs>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br w:type="page" w:clear="all"/>
      </w:r>
      <w:r>
        <w:rPr>
          <w:highlight w:val="white"/>
        </w:rPr>
      </w:r>
      <w:r/>
    </w:p>
    <w:p>
      <w:pPr>
        <w:rPr>
          <w:rFonts w:hint="eastAsia" w:ascii="宋体" w:hAnsi="宋体"/>
          <w:b/>
          <w:color w:val="000000" w:themeColor="text1"/>
          <w:sz w:val="24"/>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rPr>
          <w:rFonts w:hint="eastAsia" w:ascii="宋体" w:hAnsi="宋体"/>
          <w:b/>
          <w:color w:val="000000" w:themeColor="text1"/>
          <w:sz w:val="24"/>
          <w:highlight w:val="white"/>
          <w14:textFill>
            <w14:solidFill>
              <w14:schemeClr w14:val="tx1"/>
            </w14:solidFill>
          </w14:textFill>
        </w:rPr>
        <w:t xml:space="preserve">分项报价明细表</w:t>
      </w:r>
      <w:r>
        <w:rPr>
          <w:highlight w:val="white"/>
        </w:rPr>
      </w:r>
      <w:r/>
    </w:p>
    <w:p>
      <w:pPr>
        <w:pStyle w:val="100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spacing w:line="360" w:lineRule="auto"/>
        <w:rPr>
          <w:rFonts w:ascii="宋体" w:hAnsi="宋体" w:cs="宋体"/>
          <w:b/>
          <w:sz w:val="24"/>
          <w:highlight w:val="white"/>
        </w:rPr>
      </w:pPr>
      <w:r>
        <w:rPr>
          <w:rFonts w:hint="eastAsia" w:ascii="宋体" w:hAnsi="宋体" w:cs="宋体"/>
          <w:b/>
          <w:sz w:val="24"/>
          <w:highlight w:val="white"/>
        </w:rPr>
        <w:t xml:space="preserve">投标食材情况汇总表</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投标人名称：（盖章）                           招标编号：</w:t>
      </w:r>
      <w:r>
        <w:rPr>
          <w:highlight w:val="white"/>
        </w:rPr>
      </w:r>
      <w:r/>
    </w:p>
    <w:tbl>
      <w:tblPr>
        <w:tblStyle w:val="913"/>
        <w:tblW w:w="533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5"/>
        <w:gridCol w:w="864"/>
        <w:gridCol w:w="946"/>
        <w:gridCol w:w="946"/>
        <w:gridCol w:w="587"/>
        <w:gridCol w:w="1348"/>
        <w:gridCol w:w="2109"/>
        <w:gridCol w:w="891"/>
        <w:gridCol w:w="587"/>
      </w:tblGrid>
      <w:tr>
        <w:trPr>
          <w:jc w:val="center"/>
          <w:trHeight w:val="1130"/>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序号</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食材名称</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品牌</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（如有）</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等级</w:t>
            </w:r>
            <w:r>
              <w:rPr>
                <w:highlight w:val="white"/>
              </w:rPr>
            </w:r>
            <w:r/>
          </w:p>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（如有）</w:t>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产地</w:t>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生产厂家（如有）</w:t>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生产基地或种植/养殖基地（如有）</w:t>
            </w:r>
            <w:r>
              <w:rPr>
                <w:highlight w:val="white"/>
              </w:rPr>
            </w:r>
            <w:r/>
          </w:p>
        </w:tc>
        <w:tc>
          <w:tcPr>
            <w:tcW w:w="502"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综合下浮率</w:t>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备注</w:t>
            </w:r>
            <w:r>
              <w:rPr>
                <w:highlight w:val="white"/>
              </w:rPr>
            </w:r>
            <w:r/>
          </w:p>
        </w:tc>
      </w:tr>
      <w:tr>
        <w:trPr>
          <w:jc w:val="center"/>
          <w:trHeight w:val="519"/>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1</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蔬菜</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restart"/>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734"/>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2</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水产</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519"/>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3</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肉</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748"/>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4</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冷冻品</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748"/>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5</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豆制品</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519"/>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6</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鸡蛋</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519"/>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7</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面</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748"/>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8</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米面制品</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748"/>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lang w:val="zh-CN"/>
              </w:rPr>
              <w:t xml:space="preserve">9</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南北货</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748"/>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10</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调味品</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519"/>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11</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r>
        <w:trPr>
          <w:jc w:val="center"/>
          <w:trHeight w:val="528"/>
        </w:trPr>
        <w:tc>
          <w:tcPr>
            <w:tcW w:w="330"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12</w:t>
            </w:r>
            <w:r>
              <w:rPr>
                <w:highlight w:val="white"/>
              </w:rPr>
            </w:r>
            <w:r/>
          </w:p>
        </w:tc>
        <w:tc>
          <w:tcPr>
            <w:tcW w:w="487" w:type="pct"/>
            <w:vAlign w:val="center"/>
            <w:textDirection w:val="lrTb"/>
            <w:noWrap w:val="false"/>
          </w:tcPr>
          <w:p>
            <w:pPr>
              <w:jc w:val="center"/>
              <w:spacing w:line="360" w:lineRule="auto"/>
              <w:rPr>
                <w:rFonts w:ascii="宋体" w:hAnsi="宋体" w:cs="宋体"/>
                <w:sz w:val="21"/>
                <w:szCs w:val="21"/>
                <w:highlight w:val="white"/>
              </w:rPr>
            </w:pPr>
            <w:r>
              <w:rPr>
                <w:rFonts w:hint="eastAsia" w:ascii="宋体" w:hAnsi="宋体" w:cs="宋体"/>
                <w:sz w:val="21"/>
                <w:szCs w:val="21"/>
                <w:highlight w:val="white"/>
              </w:rPr>
              <w:t xml:space="preserve">...</w:t>
            </w:r>
            <w:r>
              <w:rPr>
                <w:highlight w:val="white"/>
              </w:rPr>
            </w:r>
            <w:r/>
          </w:p>
        </w:tc>
        <w:tc>
          <w:tcPr>
            <w:tcW w:w="533"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33"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331"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760"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1189" w:type="pct"/>
            <w:vAlign w:val="center"/>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c>
          <w:tcPr>
            <w:tcW w:w="502" w:type="pct"/>
            <w:vAlign w:val="top"/>
            <w:vMerge w:val="continue"/>
            <w:textDirection w:val="lrTb"/>
            <w:noWrap w:val="false"/>
          </w:tcPr>
          <w:p>
            <w:pPr>
              <w:jc w:val="center"/>
              <w:spacing w:line="360" w:lineRule="auto"/>
              <w:rPr>
                <w:rFonts w:ascii="宋体" w:hAnsi="宋体" w:cs="宋体"/>
                <w:sz w:val="21"/>
                <w:szCs w:val="21"/>
                <w:highlight w:val="none"/>
                <w:lang w:val="zh-CN"/>
              </w:rPr>
            </w:pPr>
            <w:r>
              <w:rPr>
                <w:rFonts w:ascii="宋体" w:hAnsi="宋体" w:cs="宋体"/>
                <w:sz w:val="21"/>
                <w:szCs w:val="21"/>
                <w:highlight w:val="none"/>
                <w:lang w:val="zh-CN"/>
              </w:rPr>
            </w:r>
            <w:r/>
          </w:p>
        </w:tc>
        <w:tc>
          <w:tcPr>
            <w:tcW w:w="331" w:type="pct"/>
            <w:vAlign w:val="top"/>
            <w:textDirection w:val="lrTb"/>
            <w:noWrap w:val="false"/>
          </w:tcPr>
          <w:p>
            <w:pPr>
              <w:jc w:val="center"/>
              <w:spacing w:line="360" w:lineRule="auto"/>
              <w:rPr>
                <w:rFonts w:ascii="宋体" w:hAnsi="宋体" w:cs="宋体"/>
                <w:sz w:val="21"/>
                <w:szCs w:val="21"/>
                <w:highlight w:val="white"/>
              </w:rPr>
            </w:pPr>
            <w:r>
              <w:rPr>
                <w:rFonts w:ascii="宋体" w:hAnsi="宋体" w:cs="宋体"/>
                <w:sz w:val="21"/>
                <w:szCs w:val="21"/>
                <w:highlight w:val="white"/>
              </w:rPr>
            </w:r>
            <w:r>
              <w:rPr>
                <w:highlight w:val="white"/>
              </w:rPr>
            </w:r>
            <w:r/>
          </w:p>
        </w:tc>
      </w:tr>
    </w:tbl>
    <w:p>
      <w:pPr>
        <w:pStyle w:val="1084"/>
        <w:ind w:firstLine="0"/>
        <w:spacing w:line="360" w:lineRule="auto"/>
        <w:rPr>
          <w:rFonts w:ascii="宋体" w:hAnsi="宋体" w:eastAsia="宋体" w:cs="宋体"/>
          <w:szCs w:val="24"/>
          <w:highlight w:val="white"/>
        </w:rPr>
      </w:pPr>
      <w:r>
        <w:rPr>
          <w:rFonts w:hint="eastAsia" w:ascii="宋体" w:hAnsi="宋体" w:eastAsia="宋体" w:cs="宋体"/>
          <w:szCs w:val="24"/>
          <w:highlight w:val="white"/>
        </w:rPr>
        <w:t xml:space="preserve">注：表格中所列食材为部分内容，各投标人须承诺后期提供的所有食材均按投标时所报下浮率结算，并在投标文件中提供承诺书（格式自拟）。如未提供承诺书视为无效投标。</w:t>
      </w:r>
      <w:r>
        <w:rPr>
          <w:highlight w:val="white"/>
        </w:rPr>
      </w:r>
      <w:r/>
    </w:p>
    <w:p>
      <w:pPr>
        <w:pStyle w:val="1084"/>
        <w:ind w:firstLine="0"/>
        <w:spacing w:line="360" w:lineRule="auto"/>
        <w:rPr>
          <w:rFonts w:ascii="宋体" w:hAnsi="宋体" w:eastAsia="宋体" w:cs="宋体"/>
          <w:b/>
          <w:szCs w:val="24"/>
          <w:highlight w:val="white"/>
        </w:rPr>
      </w:pPr>
      <w:r>
        <w:rPr>
          <w:rFonts w:ascii="宋体" w:hAnsi="宋体" w:eastAsia="宋体" w:cs="宋体"/>
          <w:b/>
          <w:szCs w:val="24"/>
          <w:highlight w:val="white"/>
        </w:rPr>
      </w:r>
      <w:r>
        <w:rPr>
          <w:highlight w:val="white"/>
        </w:rPr>
      </w:r>
      <w:r/>
    </w:p>
    <w:p>
      <w:pPr>
        <w:pStyle w:val="1338"/>
        <w:ind w:firstLine="210"/>
        <w:spacing w:line="360" w:lineRule="exact"/>
        <w:rPr>
          <w:rFonts w:hAnsi="宋体" w:eastAsia="宋体"/>
          <w:sz w:val="21"/>
          <w:szCs w:val="21"/>
          <w:highlight w:val="white"/>
        </w:rPr>
      </w:pPr>
      <w:r>
        <w:rPr>
          <w:rFonts w:hint="eastAsia" w:hAnsi="宋体" w:eastAsia="宋体"/>
          <w:sz w:val="21"/>
          <w:szCs w:val="21"/>
          <w:highlight w:val="white"/>
        </w:rPr>
        <w:t xml:space="preserve">供应商：（公章）</w:t>
      </w:r>
      <w:r>
        <w:rPr>
          <w:highlight w:val="white"/>
        </w:rPr>
      </w:r>
      <w:r/>
    </w:p>
    <w:p>
      <w:pPr>
        <w:pStyle w:val="1338"/>
        <w:ind w:firstLine="210"/>
        <w:spacing w:line="360" w:lineRule="exact"/>
        <w:rPr>
          <w:rFonts w:hAnsi="宋体" w:eastAsia="宋体"/>
          <w:sz w:val="21"/>
          <w:szCs w:val="21"/>
          <w:highlight w:val="white"/>
        </w:rPr>
      </w:pPr>
      <w:r>
        <w:rPr>
          <w:rFonts w:hint="eastAsia" w:hAnsi="宋体" w:eastAsia="宋体"/>
          <w:sz w:val="21"/>
          <w:szCs w:val="21"/>
          <w:highlight w:val="white"/>
        </w:rPr>
        <w:t xml:space="preserve">法定代表人/负责人：（签字或盖章）</w:t>
      </w:r>
      <w:r>
        <w:rPr>
          <w:highlight w:val="white"/>
        </w:rPr>
      </w:r>
      <w:r/>
    </w:p>
    <w:p>
      <w:pPr>
        <w:pStyle w:val="1338"/>
        <w:ind w:firstLine="210"/>
        <w:spacing w:line="360" w:lineRule="exact"/>
        <w:rPr>
          <w:rFonts w:hAnsi="宋体" w:eastAsia="宋体"/>
          <w:sz w:val="21"/>
          <w:szCs w:val="21"/>
          <w:highlight w:val="white"/>
        </w:rPr>
      </w:pPr>
      <w:r>
        <w:rPr>
          <w:rFonts w:hint="eastAsia" w:hAnsi="宋体" w:eastAsia="宋体"/>
          <w:sz w:val="21"/>
          <w:szCs w:val="21"/>
          <w:highlight w:val="white"/>
        </w:rPr>
        <w:t xml:space="preserve">代理人：（签字或盖章）</w:t>
      </w:r>
      <w:r>
        <w:rPr>
          <w:highlight w:val="white"/>
        </w:rPr>
      </w:r>
      <w:r/>
    </w:p>
    <w:p>
      <w:pPr>
        <w:pStyle w:val="1338"/>
        <w:ind w:firstLine="210"/>
        <w:spacing w:line="360" w:lineRule="exact"/>
        <w:rPr>
          <w:rFonts w:hAnsi="宋体" w:eastAsia="宋体"/>
          <w:b/>
          <w:bCs/>
          <w:sz w:val="21"/>
          <w:szCs w:val="21"/>
          <w:highlight w:val="white"/>
        </w:rPr>
      </w:pPr>
      <w:r>
        <w:rPr>
          <w:rFonts w:hint="eastAsia" w:hAnsi="宋体" w:eastAsia="宋体"/>
          <w:sz w:val="21"/>
          <w:szCs w:val="21"/>
          <w:highlight w:val="white"/>
        </w:rPr>
        <w:t xml:space="preserve">日期：</w:t>
      </w:r>
      <w:r>
        <w:rPr>
          <w:rFonts w:hAnsi="宋体" w:eastAsia="宋体"/>
          <w:sz w:val="21"/>
          <w:szCs w:val="21"/>
          <w:highlight w:val="white"/>
        </w:rPr>
        <w:t xml:space="preserve">         </w:t>
      </w:r>
      <w:r>
        <w:rPr>
          <w:rFonts w:hint="eastAsia" w:hAnsi="宋体" w:eastAsia="宋体"/>
          <w:sz w:val="21"/>
          <w:szCs w:val="21"/>
          <w:highlight w:val="white"/>
        </w:rPr>
        <w:t xml:space="preserve">年</w:t>
      </w:r>
      <w:r>
        <w:rPr>
          <w:rFonts w:hAnsi="宋体" w:eastAsia="宋体"/>
          <w:sz w:val="21"/>
          <w:szCs w:val="21"/>
          <w:highlight w:val="white"/>
        </w:rPr>
        <w:t xml:space="preserve">     </w:t>
      </w:r>
      <w:r>
        <w:rPr>
          <w:rFonts w:hint="eastAsia" w:hAnsi="宋体" w:eastAsia="宋体"/>
          <w:sz w:val="21"/>
          <w:szCs w:val="21"/>
          <w:highlight w:val="white"/>
        </w:rPr>
        <w:t xml:space="preserve">月</w:t>
      </w:r>
      <w:r>
        <w:rPr>
          <w:rFonts w:hAnsi="宋体" w:eastAsia="宋体"/>
          <w:sz w:val="21"/>
          <w:szCs w:val="21"/>
          <w:highlight w:val="white"/>
        </w:rPr>
        <w:t xml:space="preserve">   </w:t>
      </w:r>
      <w:r>
        <w:rPr>
          <w:rFonts w:hint="eastAsia" w:hAnsi="宋体" w:eastAsia="宋体"/>
          <w:sz w:val="21"/>
          <w:szCs w:val="21"/>
          <w:highlight w:val="white"/>
        </w:rPr>
        <w:t xml:space="preserve">日</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pStyle w:val="1258"/>
        <w:ind w:firstLine="0"/>
        <w:jc w:val="both"/>
        <w:spacing w:line="360" w:lineRule="auto"/>
        <w:tabs>
          <w:tab w:val="left" w:pos="8930" w:leader="none"/>
          <w:tab w:val="left" w:pos="9306" w:leader="none"/>
        </w:tabs>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t xml:space="preserve">5、项目组织机构人员名单</w:t>
      </w:r>
      <w:r>
        <w:rPr>
          <w:highlight w:val="white"/>
        </w:rPr>
      </w:r>
      <w:r/>
    </w:p>
    <w:p>
      <w:pPr>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项目名称：</w:t>
      </w:r>
      <w:r>
        <w:rPr>
          <w:rFonts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highlight w:val="white"/>
        </w:rPr>
      </w:r>
      <w:r/>
    </w:p>
    <w:p>
      <w:pPr>
        <w:pStyle w:val="1086"/>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rPr>
          <w:highlight w:val="white"/>
        </w:rPr>
      </w:r>
      <w:r/>
    </w:p>
    <w:tbl>
      <w:tblPr>
        <w:tblStyle w:val="913"/>
        <w:tblW w:w="9374" w:type="dxa"/>
        <w:tblInd w:w="-9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72"/>
        <w:gridCol w:w="1052"/>
        <w:gridCol w:w="749"/>
        <w:gridCol w:w="795"/>
        <w:gridCol w:w="752"/>
        <w:gridCol w:w="1379"/>
        <w:gridCol w:w="1242"/>
        <w:gridCol w:w="1488"/>
      </w:tblGrid>
      <w:tr>
        <w:trPr>
          <w:trHeight w:val="851"/>
        </w:trPr>
        <w:tc>
          <w:tcPr>
            <w:tcW w:w="745"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序号</w:t>
            </w:r>
            <w:r>
              <w:rPr>
                <w:highlight w:val="white"/>
              </w:rPr>
            </w:r>
            <w:r/>
          </w:p>
        </w:tc>
        <w:tc>
          <w:tcPr>
            <w:tcW w:w="1172"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color w:val="000000" w:themeColor="text1"/>
                <w:sz w:val="21"/>
                <w:szCs w:val="21"/>
                <w:highlight w:val="white"/>
                <w14:textFill>
                  <w14:solidFill>
                    <w14:schemeClr w14:val="tx1"/>
                  </w14:solidFill>
                </w14:textFill>
              </w:rPr>
              <w:t xml:space="preserve">拟</w:t>
            </w:r>
            <w:r>
              <w:rPr>
                <w:rFonts w:hint="eastAsia" w:ascii="宋体" w:hAnsi="宋体" w:eastAsia="Times New Roman"/>
                <w:color w:val="000000" w:themeColor="text1"/>
                <w:sz w:val="21"/>
                <w:szCs w:val="21"/>
                <w:highlight w:val="white"/>
                <w14:textFill>
                  <w14:solidFill>
                    <w14:schemeClr w14:val="tx1"/>
                  </w14:solidFill>
                </w14:textFill>
              </w:rPr>
              <w:t xml:space="preserve">任职务</w:t>
            </w:r>
            <w:r>
              <w:rPr>
                <w:highlight w:val="white"/>
              </w:rPr>
            </w:r>
            <w:r/>
          </w:p>
        </w:tc>
        <w:tc>
          <w:tcPr>
            <w:tcW w:w="1052"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姓名</w:t>
            </w:r>
            <w:r>
              <w:rPr>
                <w:highlight w:val="white"/>
              </w:rPr>
            </w:r>
            <w:r/>
          </w:p>
        </w:tc>
        <w:tc>
          <w:tcPr>
            <w:tcW w:w="749"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性别</w:t>
            </w:r>
            <w:r>
              <w:rPr>
                <w:highlight w:val="white"/>
              </w:rPr>
            </w:r>
            <w:r/>
          </w:p>
        </w:tc>
        <w:tc>
          <w:tcPr>
            <w:tcW w:w="795"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年龄</w:t>
            </w:r>
            <w:r>
              <w:rPr>
                <w:highlight w:val="white"/>
              </w:rPr>
            </w:r>
            <w:r/>
          </w:p>
        </w:tc>
        <w:tc>
          <w:tcPr>
            <w:tcW w:w="752"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职称</w:t>
            </w:r>
            <w:r>
              <w:rPr>
                <w:highlight w:val="white"/>
              </w:rPr>
            </w:r>
            <w:r/>
          </w:p>
        </w:tc>
        <w:tc>
          <w:tcPr>
            <w:tcW w:w="1379"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专业/资格</w:t>
            </w:r>
            <w:r>
              <w:rPr>
                <w:highlight w:val="white"/>
              </w:rPr>
            </w:r>
            <w:r/>
          </w:p>
        </w:tc>
        <w:tc>
          <w:tcPr>
            <w:tcW w:w="1242"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从事本工作时间</w:t>
            </w:r>
            <w:r>
              <w:rPr>
                <w:highlight w:val="white"/>
              </w:rPr>
            </w:r>
            <w:r/>
          </w:p>
        </w:tc>
        <w:tc>
          <w:tcPr>
            <w:tcW w:w="1488" w:type="dxa"/>
            <w:vAlign w:val="center"/>
            <w:textDirection w:val="lrTb"/>
            <w:noWrap w:val="false"/>
          </w:tcPr>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典型业务</w:t>
            </w:r>
            <w:r>
              <w:rPr>
                <w:highlight w:val="white"/>
              </w:rPr>
            </w:r>
            <w:r/>
          </w:p>
          <w:p>
            <w:pPr>
              <w:pStyle w:val="1096"/>
              <w:jc w:val="center"/>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与技术专长</w:t>
            </w:r>
            <w:r>
              <w:rPr>
                <w:highlight w:val="white"/>
              </w:rPr>
            </w:r>
            <w:r/>
          </w:p>
        </w:tc>
      </w:tr>
      <w:tr>
        <w:trPr>
          <w:trHeight w:val="567"/>
        </w:trPr>
        <w:tc>
          <w:tcPr>
            <w:tcW w:w="74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1</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2</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3</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4</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5</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hint="eastAsia" w:ascii="宋体" w:hAnsi="宋体" w:eastAsia="Times New Roman"/>
                <w:color w:val="000000" w:themeColor="text1"/>
                <w:sz w:val="21"/>
                <w:szCs w:val="21"/>
                <w:highlight w:val="white"/>
                <w14:textFill>
                  <w14:solidFill>
                    <w14:schemeClr w14:val="tx1"/>
                  </w14:solidFill>
                </w14:textFill>
              </w:rPr>
              <w:t xml:space="preserve">6</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hint="eastAsia" w:ascii="宋体" w:hAnsi="宋体"/>
                <w:color w:val="000000" w:themeColor="text1"/>
                <w:sz w:val="21"/>
                <w:szCs w:val="21"/>
                <w:highlight w:val="white"/>
                <w14:textFill>
                  <w14:solidFill>
                    <w14:schemeClr w14:val="tx1"/>
                  </w14:solidFill>
                </w14:textFill>
              </w:rPr>
            </w:pPr>
            <w:r>
              <w:rPr>
                <w:rFonts w:hint="eastAsia" w:ascii="宋体" w:hAnsi="宋体"/>
                <w:color w:val="000000" w:themeColor="text1"/>
                <w:sz w:val="21"/>
                <w:szCs w:val="21"/>
                <w:highlight w:val="white"/>
                <w14:textFill>
                  <w14:solidFill>
                    <w14:schemeClr w14:val="tx1"/>
                  </w14:solidFill>
                </w14:textFill>
              </w:rPr>
              <w:t xml:space="preserve">7</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hint="eastAsia" w:ascii="宋体" w:hAnsi="宋体"/>
                <w:color w:val="000000" w:themeColor="text1"/>
                <w:sz w:val="21"/>
                <w:szCs w:val="21"/>
                <w:highlight w:val="white"/>
                <w14:textFill>
                  <w14:solidFill>
                    <w14:schemeClr w14:val="tx1"/>
                  </w14:solidFill>
                </w14:textFill>
              </w:rPr>
            </w:pPr>
            <w:r>
              <w:rPr>
                <w:rFonts w:hint="eastAsia" w:ascii="宋体" w:hAnsi="宋体"/>
                <w:color w:val="000000" w:themeColor="text1"/>
                <w:sz w:val="21"/>
                <w:szCs w:val="21"/>
                <w:highlight w:val="white"/>
                <w14:textFill>
                  <w14:solidFill>
                    <w14:schemeClr w14:val="tx1"/>
                  </w14:solidFill>
                </w14:textFill>
              </w:rPr>
              <w:t xml:space="preserve">8</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hint="eastAsia" w:ascii="宋体" w:hAnsi="宋体"/>
                <w:color w:val="000000" w:themeColor="text1"/>
                <w:sz w:val="21"/>
                <w:szCs w:val="21"/>
                <w:highlight w:val="white"/>
                <w14:textFill>
                  <w14:solidFill>
                    <w14:schemeClr w14:val="tx1"/>
                  </w14:solidFill>
                </w14:textFill>
              </w:rPr>
            </w:pPr>
            <w:r>
              <w:rPr>
                <w:rFonts w:hint="eastAsia" w:ascii="宋体" w:hAnsi="宋体"/>
                <w:color w:val="000000" w:themeColor="text1"/>
                <w:sz w:val="21"/>
                <w:szCs w:val="21"/>
                <w:highlight w:val="white"/>
                <w14:textFill>
                  <w14:solidFill>
                    <w14:schemeClr w14:val="tx1"/>
                  </w14:solidFill>
                </w14:textFill>
              </w:rPr>
              <w:t xml:space="preserve">9</w:t>
            </w:r>
            <w:r>
              <w:rPr>
                <w:highlight w:val="white"/>
              </w:rPr>
            </w:r>
            <w:r/>
          </w:p>
        </w:tc>
        <w:tc>
          <w:tcPr>
            <w:tcW w:w="117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r>
        <w:trPr>
          <w:trHeight w:val="567"/>
        </w:trPr>
        <w:tc>
          <w:tcPr>
            <w:tcW w:w="745" w:type="dxa"/>
            <w:vAlign w:val="center"/>
            <w:textDirection w:val="lrTb"/>
            <w:noWrap w:val="false"/>
          </w:tcPr>
          <w:p>
            <w:pPr>
              <w:pStyle w:val="1096"/>
              <w:jc w:val="left"/>
              <w:rPr>
                <w:rFonts w:hint="eastAsia" w:ascii="宋体" w:hAnsi="宋体"/>
                <w:color w:val="000000" w:themeColor="text1"/>
                <w:sz w:val="21"/>
                <w:szCs w:val="21"/>
                <w:highlight w:val="white"/>
                <w14:textFill>
                  <w14:solidFill>
                    <w14:schemeClr w14:val="tx1"/>
                  </w14:solidFill>
                </w14:textFill>
              </w:rPr>
            </w:pPr>
            <w:r>
              <w:rPr>
                <w:rFonts w:hint="eastAsia" w:ascii="宋体" w:hAnsi="宋体"/>
                <w:color w:val="000000" w:themeColor="text1"/>
                <w:sz w:val="21"/>
                <w:szCs w:val="21"/>
                <w:highlight w:val="white"/>
                <w14:textFill>
                  <w14:solidFill>
                    <w14:schemeClr w14:val="tx1"/>
                  </w14:solidFill>
                </w14:textFill>
              </w:rPr>
              <w:t xml:space="preserve">……</w:t>
            </w:r>
            <w:r>
              <w:rPr>
                <w:highlight w:val="white"/>
              </w:rPr>
            </w:r>
            <w:r/>
          </w:p>
        </w:tc>
        <w:tc>
          <w:tcPr>
            <w:tcW w:w="1172" w:type="dxa"/>
            <w:vAlign w:val="center"/>
            <w:textDirection w:val="lrTb"/>
            <w:noWrap w:val="false"/>
          </w:tcPr>
          <w:p>
            <w:pPr>
              <w:pStyle w:val="1096"/>
              <w:jc w:val="left"/>
              <w:rPr>
                <w:rFonts w:hint="eastAsia" w:ascii="宋体" w:hAnsi="宋体"/>
                <w:color w:val="000000" w:themeColor="text1"/>
                <w:sz w:val="21"/>
                <w:szCs w:val="21"/>
                <w:highlight w:val="white"/>
                <w14:textFill>
                  <w14:solidFill>
                    <w14:schemeClr w14:val="tx1"/>
                  </w14:solidFill>
                </w14:textFill>
              </w:rPr>
            </w:pPr>
            <w:r>
              <w:rPr>
                <w:rFonts w:hint="eastAsia" w:ascii="宋体" w:hAnsi="宋体"/>
                <w:color w:val="000000" w:themeColor="text1"/>
                <w:sz w:val="21"/>
                <w:szCs w:val="21"/>
                <w:highlight w:val="white"/>
                <w14:textFill>
                  <w14:solidFill>
                    <w14:schemeClr w14:val="tx1"/>
                  </w14:solidFill>
                </w14:textFill>
              </w:rPr>
              <w:t xml:space="preserve">……</w:t>
            </w:r>
            <w:r>
              <w:rPr>
                <w:highlight w:val="white"/>
              </w:rPr>
            </w:r>
            <w:r/>
          </w:p>
        </w:tc>
        <w:tc>
          <w:tcPr>
            <w:tcW w:w="10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4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95"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75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379"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242"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c>
          <w:tcPr>
            <w:tcW w:w="1488" w:type="dxa"/>
            <w:vAlign w:val="center"/>
            <w:textDirection w:val="lrTb"/>
            <w:noWrap w:val="false"/>
          </w:tcPr>
          <w:p>
            <w:pPr>
              <w:pStyle w:val="1096"/>
              <w:jc w:val="left"/>
              <w:rPr>
                <w:rFonts w:ascii="宋体" w:hAnsi="宋体" w:eastAsia="Times New Roman"/>
                <w:color w:val="000000" w:themeColor="text1"/>
                <w:sz w:val="21"/>
                <w:szCs w:val="21"/>
                <w:highlight w:val="white"/>
                <w14:textFill>
                  <w14:solidFill>
                    <w14:schemeClr w14:val="tx1"/>
                  </w14:solidFill>
                </w14:textFill>
              </w:rPr>
            </w:pPr>
            <w:r>
              <w:rPr>
                <w:rFonts w:ascii="宋体" w:hAnsi="宋体" w:eastAsia="Times New Roman"/>
                <w:color w:val="000000" w:themeColor="text1"/>
                <w:sz w:val="21"/>
                <w:szCs w:val="21"/>
                <w:highlight w:val="white"/>
                <w14:textFill>
                  <w14:solidFill>
                    <w14:schemeClr w14:val="tx1"/>
                  </w14:solidFill>
                </w14:textFill>
              </w:rPr>
            </w:r>
            <w:r>
              <w:rPr>
                <w:highlight w:val="white"/>
              </w:rPr>
            </w:r>
            <w:r/>
          </w:p>
        </w:tc>
      </w:tr>
    </w:tbl>
    <w:p>
      <w:pPr>
        <w:rPr>
          <w:rFonts w:hint="eastAsia" w:ascii="宋体" w:hAnsi="宋体"/>
          <w:b/>
          <w:color w:val="000000" w:themeColor="text1"/>
          <w:szCs w:val="21"/>
          <w:highlight w:val="white"/>
          <w14:textFill>
            <w14:solidFill>
              <w14:schemeClr w14:val="tx1"/>
            </w14:solidFill>
          </w14:textFill>
        </w:rPr>
      </w:pPr>
      <w:r>
        <w:rPr>
          <w:rFonts w:hint="eastAsia" w:ascii="宋体" w:hAnsi="宋体"/>
          <w:b/>
          <w:color w:val="000000" w:themeColor="text1"/>
          <w:szCs w:val="21"/>
          <w:highlight w:val="white"/>
          <w14:textFill>
            <w14:solidFill>
              <w14:schemeClr w14:val="tx1"/>
            </w14:solidFill>
          </w14:textFill>
        </w:rPr>
      </w:r>
      <w:r>
        <w:rPr>
          <w:highlight w:val="white"/>
        </w:rPr>
      </w:r>
      <w:r/>
    </w:p>
    <w:p>
      <w:pPr>
        <w:ind w:firstLine="420"/>
        <w:jc w:val="left"/>
        <w:spacing w:line="400" w:lineRule="exac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供应商：         （盖章）</w:t>
      </w:r>
      <w:r>
        <w:rPr>
          <w:highlight w:val="white"/>
        </w:rPr>
      </w:r>
      <w:r/>
    </w:p>
    <w:p>
      <w:pPr>
        <w:ind w:firstLine="420"/>
        <w:jc w:val="left"/>
        <w:spacing w:line="400" w:lineRule="exac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法定代表人/负责人或代理人（签字或盖章）：</w:t>
      </w:r>
      <w:r>
        <w:rPr>
          <w:highlight w:val="white"/>
        </w:rPr>
      </w:r>
      <w:r/>
    </w:p>
    <w:p>
      <w:pPr>
        <w:ind w:firstLine="420"/>
        <w:jc w:val="left"/>
        <w:spacing w:line="400" w:lineRule="exac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日期:</w:t>
      </w:r>
      <w:r>
        <w:rPr>
          <w:highlight w:val="white"/>
        </w:rPr>
      </w:r>
      <w:r/>
    </w:p>
    <w:p>
      <w:pPr>
        <w:pStyle w:val="1324"/>
        <w:rPr>
          <w:rFonts w:hint="eastAsia" w:hAnsi="宋体" w:eastAsia="宋体" w:cs="宋体"/>
          <w:b/>
          <w:color w:val="000000" w:themeColor="text1"/>
          <w:sz w:val="21"/>
          <w:szCs w:val="21"/>
          <w:highlight w:val="white"/>
          <w14:textFill>
            <w14:solidFill>
              <w14:schemeClr w14:val="tx1"/>
            </w14:solidFill>
          </w14:textFill>
        </w:rPr>
      </w:pPr>
      <w:r>
        <w:rPr>
          <w:rFonts w:hint="eastAsia" w:hAnsi="宋体" w:eastAsia="宋体" w:cs="宋体"/>
          <w:b/>
          <w:color w:val="000000" w:themeColor="text1"/>
          <w:sz w:val="21"/>
          <w:szCs w:val="21"/>
          <w:highlight w:val="white"/>
          <w14:textFill>
            <w14:solidFill>
              <w14:schemeClr w14:val="tx1"/>
            </w14:solidFill>
          </w14:textFill>
        </w:rPr>
      </w:r>
      <w:r>
        <w:rPr>
          <w:highlight w:val="white"/>
        </w:rPr>
      </w:r>
      <w:r/>
    </w:p>
    <w:p>
      <w:pPr>
        <w:pStyle w:val="1324"/>
        <w:rPr>
          <w:rFonts w:hint="eastAsia" w:hAnsi="宋体" w:eastAsia="宋体" w:cs="宋体"/>
          <w:b/>
          <w:color w:val="000000" w:themeColor="text1"/>
          <w:sz w:val="21"/>
          <w:szCs w:val="21"/>
          <w:highlight w:val="white"/>
          <w14:textFill>
            <w14:solidFill>
              <w14:schemeClr w14:val="tx1"/>
            </w14:solidFill>
          </w14:textFill>
        </w:rPr>
      </w:pPr>
      <w:r>
        <w:rPr>
          <w:rFonts w:hint="eastAsia" w:hAnsi="宋体" w:eastAsia="宋体" w:cs="宋体"/>
          <w:b/>
          <w:color w:val="000000" w:themeColor="text1"/>
          <w:sz w:val="21"/>
          <w:szCs w:val="21"/>
          <w:highlight w:val="white"/>
          <w14:textFill>
            <w14:solidFill>
              <w14:schemeClr w14:val="tx1"/>
            </w14:solidFill>
          </w14:textFill>
        </w:rPr>
      </w:r>
      <w:r>
        <w:rPr>
          <w:highlight w:val="white"/>
        </w:rPr>
      </w:r>
      <w:r/>
    </w:p>
    <w:p>
      <w:pPr>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br w:type="page" w:clear="all"/>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6、项目业绩一览表</w:t>
      </w:r>
      <w:r>
        <w:rPr>
          <w:highlight w:val="white"/>
        </w:rPr>
      </w:r>
      <w:r/>
    </w:p>
    <w:p>
      <w:pPr>
        <w:pStyle w:val="1324"/>
        <w:jc w:val="center"/>
        <w:spacing w:line="360" w:lineRule="auto"/>
        <w:rPr>
          <w:rFonts w:hint="eastAsia" w:hAnsi="宋体" w:eastAsia="宋体" w:cs="宋体"/>
          <w:color w:val="000000" w:themeColor="text1"/>
          <w:sz w:val="21"/>
          <w:szCs w:val="21"/>
          <w:highlight w:val="white"/>
          <w14:textFill>
            <w14:solidFill>
              <w14:schemeClr w14:val="tx1"/>
            </w14:solidFill>
          </w14:textFill>
        </w:rPr>
      </w:pPr>
      <w:r>
        <w:rPr>
          <w:rFonts w:hint="eastAsia" w:hAnsi="宋体" w:eastAsia="宋体" w:cs="宋体"/>
          <w:color w:val="000000" w:themeColor="text1"/>
          <w:sz w:val="21"/>
          <w:szCs w:val="21"/>
          <w:highlight w:val="white"/>
          <w14:textFill>
            <w14:solidFill>
              <w14:schemeClr w14:val="tx1"/>
            </w14:solidFill>
          </w14:textFill>
        </w:rPr>
        <w:t xml:space="preserve">类似项目一览表</w:t>
      </w:r>
      <w:r>
        <w:rPr>
          <w:highlight w:val="white"/>
        </w:rPr>
      </w:r>
      <w:r/>
    </w:p>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bl>
      <w:tblPr>
        <w:tblStyle w:val="913"/>
        <w:tblW w:w="932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742"/>
        <w:gridCol w:w="1663"/>
        <w:gridCol w:w="1985"/>
        <w:gridCol w:w="1824"/>
        <w:gridCol w:w="1323"/>
      </w:tblGrid>
      <w:tr>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序号</w:t>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项目名称</w:t>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项目时间</w:t>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合同金额</w:t>
            </w:r>
            <w:r>
              <w:rPr>
                <w:highlight w:val="white"/>
              </w:rPr>
            </w:r>
            <w:r/>
          </w:p>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（人民币）</w:t>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业主单位</w:t>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备注</w:t>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w:t>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w:t>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w:t>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5</w:t>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w:t>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742"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400" w:lineRule="exact"/>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67" w:hRule="exact"/>
        </w:trPr>
        <w:tc>
          <w:tcPr>
            <w:tcW w:w="783"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742"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663"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98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24"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323"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bl>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注：附合同复印件。</w:t>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ind w:firstLine="480"/>
        <w:spacing w:before="25" w:after="25"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响应单位：（单位盖章）</w:t>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法定代表人或代理人：（签字或盖章）</w:t>
      </w:r>
      <w:r>
        <w:rPr>
          <w:highlight w:val="white"/>
        </w:rPr>
      </w:r>
      <w:r/>
    </w:p>
    <w:p>
      <w:pPr>
        <w:pStyle w:val="1084"/>
        <w:ind w:firstLine="0"/>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日期：     年    月    日</w:t>
      </w:r>
      <w:r>
        <w:rPr>
          <w:highlight w:val="white"/>
        </w:rPr>
      </w:r>
      <w:r/>
    </w:p>
    <w:p>
      <w:pPr>
        <w:pStyle w:val="1084"/>
        <w:ind w:firstLine="0"/>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rPr>
          <w:highlight w:val="white"/>
        </w:rPr>
      </w:r>
      <w:r/>
    </w:p>
    <w:p>
      <w:pPr>
        <w:pStyle w:val="1084"/>
        <w:ind w:firstLine="0"/>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br w:type="page" w:clear="all"/>
      </w:r>
      <w:r>
        <w:rPr>
          <w:highlight w:val="white"/>
        </w:rPr>
      </w:r>
      <w:r/>
    </w:p>
    <w:p>
      <w:pPr>
        <w:spacing w:line="360" w:lineRule="auto"/>
        <w:widowControl/>
        <w:rPr>
          <w:rFonts w:hint="eastAsia" w:ascii="宋体" w:hAnsi="宋体"/>
          <w:bCs/>
          <w:color w:val="000000" w:themeColor="text1"/>
          <w:sz w:val="24"/>
          <w:highlight w:val="white"/>
          <w14:textFill>
            <w14:solidFill>
              <w14:schemeClr w14:val="tx1"/>
            </w14:solidFill>
          </w14:textFill>
        </w:rPr>
        <w:outlineLvl w:val="1"/>
      </w:pPr>
      <w:r>
        <w:rPr>
          <w:rFonts w:hint="eastAsia" w:ascii="宋体" w:hAnsi="宋体"/>
          <w:bCs/>
          <w:color w:val="000000" w:themeColor="text1"/>
          <w:sz w:val="24"/>
          <w:highlight w:val="white"/>
          <w14:textFill>
            <w14:solidFill>
              <w14:schemeClr w14:val="tx1"/>
            </w14:solidFill>
          </w14:textFill>
        </w:rPr>
        <w:t xml:space="preserve">7、设备配备情况表（如有）</w:t>
      </w:r>
      <w:r>
        <w:rPr>
          <w:highlight w:val="white"/>
        </w:rPr>
      </w:r>
      <w:r/>
    </w:p>
    <w:p>
      <w:pPr>
        <w:spacing w:line="360" w:lineRule="auto"/>
        <w:widowControl/>
        <w:rPr>
          <w:rFonts w:hint="eastAsia" w:ascii="宋体" w:hAnsi="宋体"/>
          <w:b/>
          <w:color w:val="000000" w:themeColor="text1"/>
          <w:sz w:val="24"/>
          <w:highlight w:val="white"/>
          <w14:textFill>
            <w14:solidFill>
              <w14:schemeClr w14:val="tx1"/>
            </w14:solidFill>
          </w14:textFill>
        </w:rPr>
        <w:outlineLvl w:val="1"/>
      </w:pPr>
      <w:r>
        <w:rPr>
          <w:rFonts w:hint="eastAsia" w:ascii="宋体" w:hAnsi="宋体"/>
          <w:b/>
          <w:color w:val="000000" w:themeColor="text1"/>
          <w:sz w:val="24"/>
          <w:highlight w:val="white"/>
          <w14:textFill>
            <w14:solidFill>
              <w14:schemeClr w14:val="tx1"/>
            </w14:solidFill>
          </w14:textFill>
        </w:rPr>
      </w:r>
      <w:r>
        <w:rPr>
          <w:highlight w:val="white"/>
        </w:rPr>
      </w:r>
      <w:r/>
    </w:p>
    <w:p>
      <w:pPr>
        <w:pStyle w:val="1290"/>
        <w:ind w:left="0" w:firstLine="0"/>
        <w:jc w:val="center"/>
        <w:rPr>
          <w:rFonts w:hint="eastAsia" w:ascii="宋体" w:hAnsi="宋体"/>
          <w:b/>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设备配备情况表</w:t>
      </w:r>
      <w:r>
        <w:rPr>
          <w:highlight w:val="white"/>
        </w:rPr>
      </w:r>
      <w:r/>
    </w:p>
    <w:tbl>
      <w:tblPr>
        <w:tblStyle w:val="913"/>
        <w:tblpPr w:horzAnchor="page" w:tblpX="1968" w:vertAnchor="text" w:tblpY="287"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16"/>
        <w:gridCol w:w="2418"/>
        <w:gridCol w:w="1930"/>
        <w:gridCol w:w="836"/>
        <w:gridCol w:w="836"/>
        <w:gridCol w:w="1294"/>
      </w:tblGrid>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序号</w:t>
            </w:r>
            <w:r>
              <w:rPr>
                <w:highlight w:val="white"/>
              </w:rPr>
            </w:r>
            <w:r/>
          </w:p>
        </w:tc>
        <w:tc>
          <w:tcPr>
            <w:tcW w:w="2418"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设备名称</w:t>
            </w:r>
            <w:r>
              <w:rPr>
                <w:highlight w:val="white"/>
              </w:rPr>
            </w:r>
            <w:r/>
          </w:p>
        </w:tc>
        <w:tc>
          <w:tcPr>
            <w:tcW w:w="1930" w:type="dxa"/>
            <w:vAlign w:val="center"/>
            <w:textDirection w:val="lrTb"/>
            <w:noWrap w:val="false"/>
          </w:tcPr>
          <w:p>
            <w:pPr>
              <w:jc w:val="center"/>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品牌及型号</w:t>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单位</w:t>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数量</w:t>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备注</w:t>
            </w:r>
            <w:r>
              <w:rPr>
                <w:highlight w:val="white"/>
              </w:rPr>
            </w:r>
            <w:r/>
          </w:p>
        </w:tc>
      </w:tr>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1</w:t>
            </w:r>
            <w:r>
              <w:rPr>
                <w:highlight w:val="white"/>
              </w:rPr>
            </w:r>
            <w:r/>
          </w:p>
        </w:tc>
        <w:tc>
          <w:tcPr>
            <w:tcW w:w="2418" w:type="dxa"/>
            <w:vAlign w:val="center"/>
            <w:textDirection w:val="lrTb"/>
            <w:noWrap w:val="false"/>
          </w:tcPr>
          <w:p>
            <w:pPr>
              <w:jc w:val="center"/>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1930"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r>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2</w:t>
            </w:r>
            <w:r>
              <w:rPr>
                <w:highlight w:val="white"/>
              </w:rPr>
            </w:r>
            <w:r/>
          </w:p>
        </w:tc>
        <w:tc>
          <w:tcPr>
            <w:tcW w:w="2418" w:type="dxa"/>
            <w:vAlign w:val="center"/>
            <w:textDirection w:val="lrTb"/>
            <w:noWrap w:val="false"/>
          </w:tcPr>
          <w:p>
            <w:pPr>
              <w:jc w:val="center"/>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1930"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r>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3</w:t>
            </w:r>
            <w:r>
              <w:rPr>
                <w:highlight w:val="white"/>
              </w:rPr>
            </w:r>
            <w:r/>
          </w:p>
        </w:tc>
        <w:tc>
          <w:tcPr>
            <w:tcW w:w="2418"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930"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r>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t xml:space="preserve">…</w:t>
            </w:r>
            <w:r>
              <w:rPr>
                <w:highlight w:val="white"/>
              </w:rPr>
            </w:r>
            <w:r/>
          </w:p>
        </w:tc>
        <w:tc>
          <w:tcPr>
            <w:tcW w:w="2418"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930"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r>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2418"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930"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r>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2418"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930"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r>
      <w:tr>
        <w:trPr>
          <w:cantSplit/>
          <w:trHeight w:val="567"/>
        </w:trPr>
        <w:tc>
          <w:tcPr>
            <w:tcW w:w="91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2418"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930"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836"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c>
          <w:tcPr>
            <w:tcW w:w="1294" w:type="dxa"/>
            <w:vAlign w:val="center"/>
            <w:textDirection w:val="lrTb"/>
            <w:noWrap w:val="false"/>
          </w:tcPr>
          <w:p>
            <w:pPr>
              <w:pStyle w:val="1338"/>
              <w:jc w:val="center"/>
              <w:rPr>
                <w:rFonts w:hint="eastAsia" w:hAnsi="宋体" w:eastAsia="宋体" w:cs="宋体"/>
                <w:color w:val="000000" w:themeColor="text1"/>
                <w:sz w:val="24"/>
                <w:szCs w:val="24"/>
                <w:highlight w:val="white"/>
                <w14:textFill>
                  <w14:solidFill>
                    <w14:schemeClr w14:val="tx1"/>
                  </w14:solidFill>
                </w14:textFill>
              </w:rPr>
            </w:pPr>
            <w:r>
              <w:rPr>
                <w:rFonts w:hint="eastAsia" w:hAnsi="宋体" w:eastAsia="宋体" w:cs="宋体"/>
                <w:color w:val="000000" w:themeColor="text1"/>
                <w:sz w:val="24"/>
                <w:szCs w:val="24"/>
                <w:highlight w:val="white"/>
                <w14:textFill>
                  <w14:solidFill>
                    <w14:schemeClr w14:val="tx1"/>
                  </w14:solidFill>
                </w14:textFill>
              </w:rPr>
            </w:r>
            <w:r>
              <w:rPr>
                <w:highlight w:val="white"/>
              </w:rPr>
            </w:r>
            <w:r/>
          </w:p>
        </w:tc>
      </w:tr>
    </w:tbl>
    <w:p>
      <w:pPr>
        <w:spacing w:line="360" w:lineRule="auto"/>
        <w:widowControl/>
        <w:rPr>
          <w:rFonts w:hint="eastAsia" w:ascii="宋体" w:hAnsi="宋体"/>
          <w:bCs/>
          <w:color w:val="000000" w:themeColor="text1"/>
          <w:sz w:val="24"/>
          <w:highlight w:val="white"/>
          <w14:textFill>
            <w14:solidFill>
              <w14:schemeClr w14:val="tx1"/>
            </w14:solidFill>
          </w14:textFill>
        </w:rPr>
        <w:outlineLvl w:val="1"/>
      </w:pPr>
      <w:r>
        <w:rPr>
          <w:rFonts w:hint="eastAsia" w:ascii="宋体" w:hAnsi="宋体"/>
          <w:bCs/>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响应</w:t>
      </w:r>
      <w:r>
        <w:rPr>
          <w:rFonts w:ascii="宋体" w:hAnsi="宋体"/>
          <w:color w:val="000000" w:themeColor="text1"/>
          <w:sz w:val="24"/>
          <w:highlight w:val="white"/>
          <w14:textFill>
            <w14:solidFill>
              <w14:schemeClr w14:val="tx1"/>
            </w14:solidFill>
          </w14:textFill>
        </w:rPr>
        <w:t xml:space="preserve">单位：（单位盖章）</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法定代表人或代理人：（签字或盖章）</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日期：    年    月    日</w:t>
      </w:r>
      <w:r>
        <w:rPr>
          <w:highlight w:val="white"/>
        </w:rPr>
      </w:r>
      <w:r/>
    </w:p>
    <w:p>
      <w:pPr>
        <w:rPr>
          <w:rFonts w:hint="eastAsia" w:hAnsi="宋体"/>
          <w:b/>
          <w:bCs/>
          <w:color w:val="000000" w:themeColor="text1"/>
          <w:szCs w:val="21"/>
          <w:highlight w:val="white"/>
          <w14:textFill>
            <w14:solidFill>
              <w14:schemeClr w14:val="tx1"/>
            </w14:solidFill>
          </w14:textFill>
        </w:rPr>
      </w:pPr>
      <w:r>
        <w:rPr>
          <w:rFonts w:hint="eastAsia" w:hAnsi="宋体"/>
          <w:b/>
          <w:bCs/>
          <w:color w:val="000000" w:themeColor="text1"/>
          <w:szCs w:val="21"/>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p>
      <w:pPr>
        <w:pStyle w:val="961"/>
        <w:rPr>
          <w:rFonts w:hint="eastAsia"/>
          <w:highlight w:val="white"/>
        </w:rPr>
      </w:pPr>
      <w:r>
        <w:rPr>
          <w:rFonts w:hint="eastAsia"/>
          <w:highlight w:val="white"/>
        </w:rPr>
      </w:r>
      <w:r>
        <w:rPr>
          <w:highlight w:val="white"/>
        </w:rPr>
      </w:r>
      <w:r/>
    </w:p>
    <w:p>
      <w:pP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8、</w:t>
      </w:r>
      <w:r>
        <w:rPr>
          <w:rFonts w:hint="eastAsia" w:ascii="宋体" w:hAnsi="宋体" w:cs="宋体"/>
          <w:bCs/>
          <w:color w:val="000000" w:themeColor="text1"/>
          <w:sz w:val="24"/>
          <w:highlight w:val="white"/>
          <w14:textFill>
            <w14:solidFill>
              <w14:schemeClr w14:val="tx1"/>
            </w14:solidFill>
          </w14:textFill>
        </w:rPr>
        <w:t xml:space="preserve">服务方案</w:t>
      </w:r>
      <w:r>
        <w:rPr>
          <w:highlight w:val="white"/>
        </w:rPr>
      </w:r>
      <w:r/>
    </w:p>
    <w:p>
      <w:pPr>
        <w:jc w:val="cente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8、服务方案</w:t>
      </w:r>
      <w:r>
        <w:rPr>
          <w:highlight w:val="white"/>
        </w:rPr>
      </w:r>
      <w:r/>
    </w:p>
    <w:tbl>
      <w:tblPr>
        <w:tblStyle w:val="913"/>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2"/>
      </w:tblGrid>
      <w:tr>
        <w:trPr>
          <w:trHeight w:val="1797"/>
        </w:trPr>
        <w:tc>
          <w:tcPr>
            <w:tcW w:w="5000" w:type="dxa"/>
            <w:textDirection w:val="lrTb"/>
            <w:noWrap w:val="false"/>
          </w:tcPr>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提示：</w:t>
            </w:r>
            <w:r>
              <w:rPr>
                <w:highlight w:val="white"/>
              </w:rPr>
            </w:r>
            <w:r/>
          </w:p>
          <w:p>
            <w:pPr>
              <w:numPr>
                <w:ilvl w:val="0"/>
                <w:numId w:val="4"/>
              </w:num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供应商应针对本次采购项目特点及区域的具体情况编写拟采取的服务方案。</w:t>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2、供应商可根据自身情况编写，本页不够可另加页附后。</w:t>
            </w:r>
            <w:r>
              <w:rPr>
                <w:highlight w:val="white"/>
              </w:rPr>
            </w:r>
            <w:r/>
          </w:p>
        </w:tc>
      </w:tr>
      <w:tr>
        <w:trPr>
          <w:trHeight w:val="9707"/>
        </w:trPr>
        <w:tc>
          <w:tcPr>
            <w:tcW w:w="5000" w:type="dxa"/>
            <w:textDirection w:val="lrTb"/>
            <w:noWrap w:val="false"/>
          </w:tcPr>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单位名称（盖章）：</w:t>
            </w:r>
            <w:r>
              <w:rPr>
                <w:rFonts w:hint="eastAsia" w:ascii="宋体" w:hAnsi="宋体" w:cs="宋体"/>
                <w:color w:val="000000" w:themeColor="text1"/>
                <w:sz w:val="24"/>
                <w:highlight w:val="white"/>
                <w:u w:val="single"/>
                <w14:textFill>
                  <w14:solidFill>
                    <w14:schemeClr w14:val="tx1"/>
                  </w14:solidFill>
                </w14:textFill>
              </w:rPr>
              <w:t xml:space="preserve">                              </w:t>
            </w:r>
            <w:r>
              <w:rPr>
                <w:highlight w:val="white"/>
              </w:rPr>
            </w:r>
            <w:r/>
          </w:p>
        </w:tc>
      </w:tr>
    </w:tbl>
    <w:p>
      <w:p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9、有关资格证明文件</w:t>
      </w:r>
      <w:r>
        <w:rPr>
          <w:highlight w:val="white"/>
        </w:rPr>
      </w:r>
      <w:r/>
    </w:p>
    <w:p>
      <w:pPr>
        <w:ind w:firstLine="4320"/>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outlineLvl w:val="2"/>
      </w:pPr>
      <w:r>
        <w:rPr>
          <w:rFonts w:hint="eastAsia" w:ascii="宋体" w:hAnsi="宋体" w:cs="宋体"/>
          <w:bCs/>
          <w:color w:val="000000" w:themeColor="text1"/>
          <w:sz w:val="24"/>
          <w:highlight w:val="white"/>
          <w14:textFill>
            <w14:solidFill>
              <w14:schemeClr w14:val="tx1"/>
            </w14:solidFill>
          </w14:textFill>
        </w:rPr>
        <w:t xml:space="preserve">（1）关于资格文件的声明函</w:t>
      </w:r>
      <w:r>
        <w:rPr>
          <w:highlight w:val="white"/>
        </w:rPr>
      </w:r>
      <w:r/>
    </w:p>
    <w:p>
      <w:pPr>
        <w:jc w:val="cente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关于资格文件的声明函</w:t>
      </w:r>
      <w:r>
        <w:rPr>
          <w:highlight w:val="white"/>
        </w:rPr>
      </w:r>
      <w:r/>
    </w:p>
    <w:p>
      <w:pPr>
        <w:spacing w:line="360" w:lineRule="auto"/>
        <w:rPr>
          <w:rFonts w:hint="eastAsia" w:ascii="宋体" w:hAnsi="宋体" w:cs="宋体"/>
          <w:color w:val="000000" w:themeColor="text1"/>
          <w:sz w:val="24"/>
          <w:highlight w:val="white"/>
          <w:u w:val="single"/>
          <w14:textFill>
            <w14:solidFill>
              <w14:schemeClr w14:val="tx1"/>
            </w14:solidFill>
          </w14:textFill>
        </w:rPr>
      </w:pPr>
      <w:r>
        <w:rPr>
          <w:rFonts w:hint="eastAsia" w:ascii="宋体" w:hAnsi="宋体" w:cs="宋体"/>
          <w:color w:val="000000" w:themeColor="text1"/>
          <w:sz w:val="24"/>
          <w:highlight w:val="white"/>
          <w:u w:val="single"/>
          <w14:textFill>
            <w14:solidFill>
              <w14:schemeClr w14:val="tx1"/>
            </w14:solidFill>
          </w14:textFill>
        </w:rPr>
        <w:t xml:space="preserve">              ：</w:t>
      </w:r>
      <w:r>
        <w:rPr>
          <w:highlight w:val="white"/>
        </w:rPr>
      </w:r>
      <w:r/>
    </w:p>
    <w:p>
      <w:pPr>
        <w:ind w:firstLine="48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本公司愿就由贵公司组织实施的编号为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号的磋商采购活动进行商务磋商。本公司所提交的商务、技术及报价文件中所有关于磋商资格的文件、证明和陈述均是真实的、准确的。若与真实情况不符，本公司愿意承担由此而产生的一切后果。</w:t>
      </w:r>
      <w:r>
        <w:rPr>
          <w:highlight w:val="white"/>
        </w:rPr>
      </w:r>
      <w:r/>
    </w:p>
    <w:p>
      <w:pPr>
        <w:ind w:firstLine="432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ab/>
      </w:r>
      <w:r>
        <w:rPr>
          <w:highlight w:val="white"/>
        </w:rPr>
      </w:r>
      <w:r/>
    </w:p>
    <w:p>
      <w:pPr>
        <w:ind w:right="-290"/>
        <w:spacing w:line="360" w:lineRule="auto"/>
        <w:tabs>
          <w:tab w:val="left" w:pos="9000"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供应商：（单位盖章）</w:t>
      </w:r>
      <w:r>
        <w:rPr>
          <w:highlight w:val="white"/>
        </w:rPr>
      </w:r>
      <w:r/>
    </w:p>
    <w:p>
      <w:pPr>
        <w:ind w:right="-290"/>
        <w:jc w:val="left"/>
        <w:spacing w:line="360" w:lineRule="auto"/>
        <w:tabs>
          <w:tab w:val="left" w:pos="9000"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法定代表人或被授权人：（签字或盖章）</w:t>
      </w:r>
      <w:r>
        <w:rPr>
          <w:highlight w:val="white"/>
        </w:rPr>
      </w:r>
      <w:r/>
    </w:p>
    <w:p>
      <w:pPr>
        <w:ind w:right="-290"/>
        <w:jc w:val="left"/>
        <w:spacing w:line="360" w:lineRule="auto"/>
        <w:tabs>
          <w:tab w:val="left" w:pos="9000"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日期：        年     月     日</w:t>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br w:type="page" w:clear="all"/>
      </w:r>
      <w:r>
        <w:rPr>
          <w:rFonts w:hint="eastAsia" w:ascii="宋体" w:hAnsi="宋体" w:eastAsia="宋体" w:cs="宋体"/>
          <w:color w:val="000000" w:themeColor="text1"/>
          <w:szCs w:val="24"/>
          <w:highlight w:val="white"/>
          <w14:textFill>
            <w14:solidFill>
              <w14:schemeClr w14:val="tx1"/>
            </w14:solidFill>
          </w14:textFill>
        </w:rPr>
        <w:t xml:space="preserve">（2）响应单位情况表</w:t>
      </w:r>
      <w:r>
        <w:rPr>
          <w:highlight w:val="white"/>
        </w:rPr>
      </w:r>
      <w:r/>
    </w:p>
    <w:p>
      <w:pPr>
        <w:pStyle w:val="1347"/>
        <w:ind w:firstLine="0"/>
        <w:jc w:val="center"/>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响应单位情况表</w:t>
      </w:r>
      <w:r>
        <w:rPr>
          <w:highlight w:val="white"/>
        </w:rPr>
      </w:r>
      <w:r/>
    </w:p>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单位名称（盖章）</w:t>
      </w:r>
      <w:r>
        <w:rPr>
          <w:highlight w:val="white"/>
        </w:rPr>
      </w:r>
      <w:r/>
    </w:p>
    <w:tbl>
      <w:tblPr>
        <w:tblStyle w:val="913"/>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法定代表人</w:t>
            </w:r>
            <w:r>
              <w:rPr>
                <w:highlight w:val="white"/>
              </w:rPr>
            </w:r>
            <w:r/>
          </w:p>
        </w:tc>
        <w:tc>
          <w:tcPr>
            <w:tcW w:w="180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c>
          <w:tcPr>
            <w:tcW w:w="2160"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成立日期</w:t>
            </w:r>
            <w:r>
              <w:rPr>
                <w:highlight w:val="white"/>
              </w:rPr>
            </w:r>
            <w:r/>
          </w:p>
        </w:tc>
        <w:tc>
          <w:tcPr>
            <w:gridSpan w:val="2"/>
            <w:tcW w:w="2560" w:type="dxa"/>
            <w:textDirection w:val="lrTb"/>
            <w:noWrap w:val="false"/>
          </w:tcPr>
          <w:p>
            <w:pPr>
              <w:pStyle w:val="1347"/>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企业地址</w:t>
            </w:r>
            <w:r>
              <w:rPr>
                <w:highlight w:val="white"/>
              </w:rPr>
            </w:r>
            <w:r/>
          </w:p>
        </w:tc>
        <w:tc>
          <w:tcPr>
            <w:tcW w:w="180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c>
          <w:tcPr>
            <w:tcW w:w="2160"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注册资本</w:t>
            </w:r>
            <w:r>
              <w:rPr>
                <w:highlight w:val="white"/>
              </w:rPr>
            </w:r>
            <w:r/>
          </w:p>
        </w:tc>
        <w:tc>
          <w:tcPr>
            <w:gridSpan w:val="2"/>
            <w:tcW w:w="256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万元</w:t>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经营范围</w:t>
            </w:r>
            <w:r>
              <w:rPr>
                <w:highlight w:val="white"/>
              </w:rPr>
            </w:r>
            <w:r/>
          </w:p>
        </w:tc>
        <w:tc>
          <w:tcPr>
            <w:gridSpan w:val="4"/>
            <w:tcW w:w="65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职工人数</w:t>
            </w:r>
            <w:r>
              <w:rPr>
                <w:highlight w:val="white"/>
              </w:rPr>
            </w:r>
            <w:r/>
          </w:p>
        </w:tc>
        <w:tc>
          <w:tcPr>
            <w:tcW w:w="180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c>
          <w:tcPr>
            <w:gridSpan w:val="2"/>
            <w:tcW w:w="3600"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其中：有中高级以上职称的人数</w:t>
            </w:r>
            <w:r>
              <w:rPr>
                <w:highlight w:val="white"/>
              </w:rPr>
            </w:r>
            <w:r/>
          </w:p>
        </w:tc>
        <w:tc>
          <w:tcPr>
            <w:tcW w:w="11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资产总计</w:t>
            </w:r>
            <w:r>
              <w:rPr>
                <w:highlight w:val="white"/>
              </w:rPr>
            </w:r>
            <w:r/>
          </w:p>
        </w:tc>
        <w:tc>
          <w:tcPr>
            <w:tcW w:w="180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万元</w:t>
            </w:r>
            <w:r>
              <w:rPr>
                <w:highlight w:val="white"/>
              </w:rPr>
            </w:r>
            <w:r/>
          </w:p>
        </w:tc>
        <w:tc>
          <w:tcPr>
            <w:tcW w:w="2160"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净资产</w:t>
            </w:r>
            <w:r>
              <w:rPr>
                <w:highlight w:val="white"/>
              </w:rPr>
            </w:r>
            <w:r/>
          </w:p>
        </w:tc>
        <w:tc>
          <w:tcPr>
            <w:gridSpan w:val="2"/>
            <w:tcW w:w="2560" w:type="dxa"/>
            <w:textDirection w:val="lrTb"/>
            <w:noWrap w:val="false"/>
          </w:tcPr>
          <w:p>
            <w:pPr>
              <w:pStyle w:val="1347"/>
              <w:ind w:firstLine="174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万元</w:t>
            </w:r>
            <w:r>
              <w:rPr>
                <w:highlight w:val="white"/>
              </w:rPr>
            </w:r>
            <w:r/>
          </w:p>
        </w:tc>
      </w:tr>
      <w:tr>
        <w:trPr>
          <w:cantSplit/>
          <w:jc w:val="center"/>
        </w:trPr>
        <w:tc>
          <w:tcPr>
            <w:tcW w:w="2953" w:type="dxa"/>
            <w:vAlign w:val="center"/>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股东权益</w:t>
            </w:r>
            <w:r>
              <w:rPr>
                <w:highlight w:val="white"/>
              </w:rPr>
            </w:r>
            <w:r/>
          </w:p>
        </w:tc>
        <w:tc>
          <w:tcPr>
            <w:tcW w:w="1800" w:type="dxa"/>
            <w:vAlign w:val="center"/>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万元</w:t>
            </w:r>
            <w:r>
              <w:rPr>
                <w:highlight w:val="white"/>
              </w:rPr>
            </w:r>
            <w:r/>
          </w:p>
        </w:tc>
        <w:tc>
          <w:tcPr>
            <w:tcW w:w="2160" w:type="dxa"/>
            <w:vAlign w:val="center"/>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销售收入</w:t>
            </w:r>
            <w:r>
              <w:rPr>
                <w:highlight w:val="white"/>
              </w:rPr>
            </w:r>
            <w:r/>
          </w:p>
        </w:tc>
        <w:tc>
          <w:tcPr>
            <w:gridSpan w:val="2"/>
            <w:tcW w:w="2560" w:type="dxa"/>
            <w:textDirection w:val="lrTb"/>
            <w:noWrap w:val="false"/>
          </w:tcPr>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 </w:t>
            </w:r>
            <w:r>
              <w:rPr>
                <w:rFonts w:hint="eastAsia" w:ascii="宋体" w:hAnsi="宋体" w:eastAsia="宋体" w:cs="宋体"/>
                <w:color w:val="000000" w:themeColor="text1"/>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Cs w:val="24"/>
                <w:highlight w:val="white"/>
                <w14:textFill>
                  <w14:solidFill>
                    <w14:schemeClr w14:val="tx1"/>
                  </w14:solidFill>
                </w14:textFill>
              </w:rPr>
              <w:t xml:space="preserve">年       万元</w:t>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实现利润</w:t>
            </w:r>
            <w:r>
              <w:rPr>
                <w:highlight w:val="white"/>
              </w:rPr>
            </w:r>
            <w:r/>
          </w:p>
        </w:tc>
        <w:tc>
          <w:tcPr>
            <w:gridSpan w:val="4"/>
            <w:tcW w:w="6520" w:type="dxa"/>
            <w:textDirection w:val="lrTb"/>
            <w:noWrap w:val="false"/>
          </w:tcPr>
          <w:p>
            <w:pPr>
              <w:pStyle w:val="1347"/>
              <w:ind w:firstLine="120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年    万元</w:t>
            </w:r>
            <w:r>
              <w:rPr>
                <w:highlight w:val="white"/>
              </w:rPr>
            </w:r>
            <w:r/>
          </w:p>
        </w:tc>
      </w:tr>
      <w:tr>
        <w:trPr>
          <w:cantSplit/>
          <w:jc w:val="center"/>
        </w:trPr>
        <w:tc>
          <w:tcPr>
            <w:tcW w:w="2953" w:type="dxa"/>
            <w:vAlign w:val="center"/>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经营面积</w:t>
            </w:r>
            <w:r>
              <w:rPr>
                <w:highlight w:val="white"/>
              </w:rPr>
            </w:r>
            <w:r/>
          </w:p>
        </w:tc>
        <w:tc>
          <w:tcPr>
            <w:tcW w:w="1800" w:type="dxa"/>
            <w:vAlign w:val="center"/>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平方米</w:t>
            </w:r>
            <w:r>
              <w:rPr>
                <w:highlight w:val="white"/>
              </w:rPr>
            </w:r>
            <w:r/>
          </w:p>
        </w:tc>
        <w:tc>
          <w:tcPr>
            <w:tcW w:w="2160" w:type="dxa"/>
            <w:vAlign w:val="center"/>
            <w:textDirection w:val="lrTb"/>
            <w:noWrap w:val="false"/>
          </w:tcPr>
          <w:p>
            <w:pPr>
              <w:pStyle w:val="1347"/>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其中：</w:t>
            </w:r>
            <w:r>
              <w:rPr>
                <w:highlight w:val="white"/>
              </w:rPr>
            </w:r>
            <w:r/>
          </w:p>
        </w:tc>
        <w:tc>
          <w:tcPr>
            <w:gridSpan w:val="2"/>
            <w:tcW w:w="2560"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自有面积     平方米</w:t>
            </w:r>
            <w:r>
              <w:rPr>
                <w:highlight w:val="white"/>
              </w:rPr>
            </w:r>
            <w:r/>
          </w:p>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承租面积     平方米</w:t>
            </w:r>
            <w:r>
              <w:rPr>
                <w:highlight w:val="white"/>
              </w:rPr>
            </w:r>
            <w:r/>
          </w:p>
        </w:tc>
      </w:tr>
      <w:tr>
        <w:trPr>
          <w:cantSplit/>
          <w:jc w:val="center"/>
          <w:trHeight w:val="389"/>
        </w:trPr>
        <w:tc>
          <w:tcPr>
            <w:tcW w:w="2953" w:type="dxa"/>
            <w:vAlign w:val="center"/>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单位简历及内设机构情况</w:t>
            </w:r>
            <w:r>
              <w:rPr>
                <w:highlight w:val="white"/>
              </w:rPr>
            </w:r>
            <w:r/>
          </w:p>
        </w:tc>
        <w:tc>
          <w:tcPr>
            <w:gridSpan w:val="4"/>
            <w:tcW w:w="65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Height w:val="255"/>
        </w:trPr>
        <w:tc>
          <w:tcPr>
            <w:tcW w:w="2953" w:type="dxa"/>
            <w:vAlign w:val="center"/>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单位优势及特长</w:t>
            </w:r>
            <w:r>
              <w:rPr>
                <w:highlight w:val="white"/>
              </w:rPr>
            </w:r>
            <w:r/>
          </w:p>
        </w:tc>
        <w:tc>
          <w:tcPr>
            <w:gridSpan w:val="4"/>
            <w:tcW w:w="65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近三年来完成或正在履行的重大合同情况</w:t>
            </w:r>
            <w:r>
              <w:rPr>
                <w:highlight w:val="white"/>
              </w:rPr>
            </w:r>
            <w:r/>
          </w:p>
        </w:tc>
        <w:tc>
          <w:tcPr>
            <w:gridSpan w:val="4"/>
            <w:tcW w:w="65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最近2年内在经营过程中受到何种奖励或处分</w:t>
            </w:r>
            <w:r>
              <w:rPr>
                <w:highlight w:val="white"/>
              </w:rPr>
            </w:r>
            <w:r/>
          </w:p>
        </w:tc>
        <w:tc>
          <w:tcPr>
            <w:gridSpan w:val="4"/>
            <w:tcW w:w="6520" w:type="dxa"/>
            <w:textDirection w:val="lrTb"/>
            <w:noWrap w:val="false"/>
          </w:tcPr>
          <w:p>
            <w:pPr>
              <w:pStyle w:val="1347"/>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（包括财政、工商、税务、物价、技监部门稽查情况和结果）</w:t>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最近3年内有无因售假、售劣或是其他原因被消费者投诉或起诉的情况及说明</w:t>
            </w:r>
            <w:r>
              <w:rPr>
                <w:highlight w:val="white"/>
              </w:rPr>
            </w:r>
            <w:r/>
          </w:p>
        </w:tc>
        <w:tc>
          <w:tcPr>
            <w:gridSpan w:val="4"/>
            <w:tcW w:w="6520" w:type="dxa"/>
            <w:textDirection w:val="lrTb"/>
            <w:noWrap w:val="false"/>
          </w:tcPr>
          <w:p>
            <w:pPr>
              <w:pStyle w:val="1347"/>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（包括解决方式和结果）</w:t>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最近3年内主要负责人有无经济犯罪被司法机关追究的情意及说明</w:t>
            </w:r>
            <w:r>
              <w:rPr>
                <w:highlight w:val="white"/>
              </w:rPr>
            </w:r>
            <w:r/>
          </w:p>
        </w:tc>
        <w:tc>
          <w:tcPr>
            <w:gridSpan w:val="4"/>
            <w:tcW w:w="65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获得技术认证的工程师及简介</w:t>
            </w:r>
            <w:r>
              <w:rPr>
                <w:highlight w:val="white"/>
              </w:rPr>
            </w:r>
            <w:r/>
          </w:p>
        </w:tc>
        <w:tc>
          <w:tcPr>
            <w:gridSpan w:val="4"/>
            <w:tcW w:w="65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r>
        <w:trPr>
          <w:cantSplit/>
          <w:jc w:val="center"/>
        </w:trPr>
        <w:tc>
          <w:tcPr>
            <w:tcW w:w="2953" w:type="dxa"/>
            <w:textDirection w:val="lrTb"/>
            <w:noWrap w:val="false"/>
          </w:tcPr>
          <w:p>
            <w:pPr>
              <w:pStyle w:val="1347"/>
              <w:ind w:firstLine="0"/>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t xml:space="preserve">其他需要说明的情况</w:t>
            </w:r>
            <w:r>
              <w:rPr>
                <w:highlight w:val="white"/>
              </w:rPr>
            </w:r>
            <w:r/>
          </w:p>
        </w:tc>
        <w:tc>
          <w:tcPr>
            <w:gridSpan w:val="4"/>
            <w:tcW w:w="6520" w:type="dxa"/>
            <w:textDirection w:val="lrTb"/>
            <w:noWrap w:val="false"/>
          </w:tcPr>
          <w:p>
            <w:pPr>
              <w:pStyle w:val="1347"/>
              <w:jc w:val="both"/>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tc>
      </w:tr>
    </w:tbl>
    <w:p>
      <w:pPr>
        <w:pStyle w:val="1347"/>
        <w:ind w:firstLine="0"/>
        <w:spacing w:line="360" w:lineRule="auto"/>
        <w:rPr>
          <w:rFonts w:hint="eastAsia" w:ascii="宋体" w:hAnsi="宋体" w:eastAsia="宋体" w:cs="宋体"/>
          <w:color w:val="000000" w:themeColor="text1"/>
          <w:szCs w:val="24"/>
          <w:highlight w:val="white"/>
          <w14:textFill>
            <w14:solidFill>
              <w14:schemeClr w14:val="tx1"/>
            </w14:solidFill>
          </w14:textFill>
        </w:rPr>
        <w:outlineLvl w:val="1"/>
      </w:pPr>
      <w:r>
        <w:rPr>
          <w:rFonts w:hint="eastAsia" w:ascii="宋体" w:hAnsi="宋体" w:eastAsia="宋体" w:cs="宋体"/>
          <w:color w:val="000000" w:themeColor="text1"/>
          <w:szCs w:val="24"/>
          <w:highlight w:val="white"/>
          <w14:textFill>
            <w14:solidFill>
              <w14:schemeClr w14:val="tx1"/>
            </w14:solidFill>
          </w14:textFill>
        </w:rPr>
      </w:r>
      <w:r>
        <w:rPr>
          <w:highlight w:val="white"/>
        </w:rPr>
      </w:r>
      <w:r/>
    </w:p>
    <w:p>
      <w:pPr>
        <w:spacing w:line="360" w:lineRule="auto"/>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10、中小企业声明函（格式）</w:t>
      </w:r>
      <w:r>
        <w:rPr>
          <w:highlight w:val="white"/>
        </w:rPr>
      </w:r>
      <w:r/>
    </w:p>
    <w:p>
      <w:pPr>
        <w:jc w:val="cente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中小企业声明函（货物）</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本公司（联合体）郑重声明，根据《政府采购促进中小 企业发展管理办法》（财库﹝2020﹞46 号）的规定，本公司 （联合体）参加</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（单位名称）的</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rPr>
          <w:highlight w:val="white"/>
        </w:rPr>
      </w:r>
      <w:r/>
    </w:p>
    <w:p>
      <w:pPr>
        <w:numPr>
          <w:ilvl w:val="0"/>
          <w:numId w:val="5"/>
        </w:num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u w:val="single"/>
          <w14:textFill>
            <w14:solidFill>
              <w14:schemeClr w14:val="tx1"/>
            </w14:solidFill>
          </w14:textFill>
        </w:rPr>
        <w:t xml:space="preserve">         </w:t>
      </w:r>
      <w:r>
        <w:rPr>
          <w:rFonts w:ascii="宋体" w:hAnsi="宋体" w:cs="宋体"/>
          <w:color w:val="000000" w:themeColor="text1"/>
          <w:sz w:val="24"/>
          <w:highlight w:val="white"/>
          <w14:textFill>
            <w14:solidFill>
              <w14:schemeClr w14:val="tx1"/>
            </w14:solidFill>
          </w14:textFill>
        </w:rPr>
        <w:t xml:space="preserve">（标</w:t>
      </w:r>
      <w:r>
        <w:rPr>
          <w:rFonts w:hint="eastAsia" w:ascii="宋体" w:hAnsi="宋体" w:cs="宋体"/>
          <w:color w:val="000000" w:themeColor="text1"/>
          <w:sz w:val="24"/>
          <w:highlight w:val="white"/>
          <w14:textFill>
            <w14:solidFill>
              <w14:schemeClr w14:val="tx1"/>
            </w14:solidFill>
          </w14:textFill>
        </w:rPr>
        <w:t xml:space="preserve">的</w:t>
      </w:r>
      <w:r>
        <w:rPr>
          <w:rFonts w:ascii="宋体" w:hAnsi="宋体" w:cs="宋体"/>
          <w:color w:val="000000" w:themeColor="text1"/>
          <w:sz w:val="24"/>
          <w:highlight w:val="white"/>
          <w14:textFill>
            <w14:solidFill>
              <w14:schemeClr w14:val="tx1"/>
            </w14:solidFill>
          </w14:textFill>
        </w:rPr>
        <w:t xml:space="preserve">名称），属于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（采购文件中明确的所属行业） 行业；制造商为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（企业名称），从业人员</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人，营业收入为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万元，资产总额为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（中型企业、小型企业、微型企业）； </w:t>
      </w:r>
      <w:r>
        <w:rPr>
          <w:highlight w:val="white"/>
        </w:rPr>
      </w:r>
      <w:r/>
    </w:p>
    <w:p>
      <w:pPr>
        <w:numPr>
          <w:ilvl w:val="0"/>
          <w:numId w:val="5"/>
        </w:num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（标的名称），属于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（采购文件中明确的所属行业）行业；制造商为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（企业名称），从业人员</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人，营业收入为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万元，资产总额为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（中型企业、小型企业、微型企业）；</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以上企业，不属于大企业的分支机构，不存在控股股东为大企业的情形，也不存在与大企业的负责人为同一人的情形。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本企业对上述声明内容的真实性负责。如有虚假，将依 法承担相应责任。</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ind w:firstLine="480"/>
        <w:jc w:val="cente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                                    企业名称（盖章）</w:t>
      </w:r>
      <w:r>
        <w:rPr>
          <w:rFonts w:hint="eastAsia" w:ascii="宋体" w:hAnsi="宋体" w:cs="宋体"/>
          <w:color w:val="000000" w:themeColor="text1"/>
          <w:sz w:val="24"/>
          <w:highlight w:val="white"/>
          <w14:textFill>
            <w14:solidFill>
              <w14:schemeClr w14:val="tx1"/>
            </w14:solidFill>
          </w14:textFill>
        </w:rPr>
        <w:t xml:space="preserve">：</w:t>
      </w:r>
      <w:r>
        <w:rPr>
          <w:rFonts w:ascii="宋体" w:hAnsi="宋体" w:cs="宋体"/>
          <w:color w:val="000000" w:themeColor="text1"/>
          <w:sz w:val="24"/>
          <w:highlight w:val="white"/>
          <w14:textFill>
            <w14:solidFill>
              <w14:schemeClr w14:val="tx1"/>
            </w14:solidFill>
          </w14:textFill>
        </w:rPr>
        <w:t xml:space="preserve"> </w:t>
      </w:r>
      <w:r>
        <w:rPr>
          <w:highlight w:val="white"/>
        </w:rPr>
      </w:r>
      <w:r/>
    </w:p>
    <w:p>
      <w:pPr>
        <w:ind w:firstLine="480"/>
        <w:jc w:val="cente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日 期： </w:t>
      </w:r>
      <w:r>
        <w:rPr>
          <w:highlight w:val="white"/>
        </w:rPr>
      </w:r>
      <w:r/>
    </w:p>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highlight w:val="white"/>
          <w14:textFill>
            <w14:solidFill>
              <w14:schemeClr w14:val="tx1"/>
            </w14:solidFill>
          </w14:textFill>
        </w:rPr>
        <w:br w:type="page" w:clear="all"/>
      </w:r>
      <w:r>
        <w:rPr>
          <w:highlight w:val="white"/>
        </w:rPr>
      </w:r>
      <w:r/>
    </w:p>
    <w:p>
      <w:pPr>
        <w:jc w:val="cente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中小企业声明函（工程、服务）</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（单位名称）的</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项目名称）采购活动，工程（服务）的施工（服务）单位全部为符合政策要求的中小企业（或者：服务全部由符合政策要求的中小企业承接）。相关企业（含联合体中的中小企业、签订分包意向协议的中小企业）的具体情况如下： </w:t>
      </w:r>
      <w:r>
        <w:rPr>
          <w:highlight w:val="white"/>
        </w:rPr>
      </w:r>
      <w:r/>
    </w:p>
    <w:p>
      <w:pPr>
        <w:numPr>
          <w:ilvl w:val="0"/>
          <w:numId w:val="6"/>
        </w:num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（标的名称），属于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（采购文件中明确的所属行业）；承建（承接）企业为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（企业名称），从业人员</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人，营业收入为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万元，资产总额为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（中型企业、小型企业、微型企业）； </w:t>
      </w:r>
      <w:r>
        <w:rPr>
          <w:highlight w:val="white"/>
        </w:rPr>
      </w:r>
      <w:r/>
    </w:p>
    <w:p>
      <w:pPr>
        <w:numPr>
          <w:ilvl w:val="0"/>
          <w:numId w:val="6"/>
        </w:num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 （标的名称），属于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（采购文件中明确的所属行业）；承建（承接）企业为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（企业名称），从业人员</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人，营业收入为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万元，资产总额为</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万元，属于</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（中型企业、 小型企业、微型企业）；</w:t>
      </w:r>
      <w:r>
        <w:rPr>
          <w:highlight w:val="white"/>
        </w:rPr>
      </w:r>
      <w:r/>
    </w:p>
    <w:p>
      <w:pPr>
        <w:ind w:left="42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以上企业，不属于大企业的分支机构，不存在控股股东为大企业的情形，也不存在与大企业的负责人为同一人的情形。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本企业对上述声明内容的真实性负责。如有虚假，将依法承担相应责任。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企业名称（盖章）： </w:t>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日 期： </w:t>
      </w:r>
      <w:r>
        <w:rPr>
          <w:highlight w:val="white"/>
        </w:rPr>
      </w:r>
      <w:r/>
    </w:p>
    <w:p>
      <w:pPr>
        <w:pStyle w:val="1266"/>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r>
      <w:r>
        <w:rPr>
          <w:highlight w:val="white"/>
        </w:rPr>
      </w:r>
      <w:r/>
    </w:p>
    <w:p>
      <w:pPr>
        <w:ind w:firstLine="420"/>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备注：1.从业人员、营业收入、资产总额填报上一年度数据，无上一年度数据的新成立企业可不填报。</w:t>
      </w:r>
      <w:r>
        <w:rPr>
          <w:highlight w:val="white"/>
        </w:rPr>
      </w:r>
      <w:r/>
    </w:p>
    <w:p>
      <w:pPr>
        <w:ind w:firstLine="420"/>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2.在货物采购项目中，货物由中小企业制造，即货物由中小企业生产且使用该中小企业商号或者注册商标。供应商提供的货物既有中小企业制造货物，也有大型企业制造货物的，不享受相应扶持政策。</w:t>
      </w:r>
      <w:r>
        <w:rPr>
          <w:highlight w:val="white"/>
        </w:rPr>
      </w:r>
      <w:r/>
    </w:p>
    <w:p>
      <w:pPr>
        <w:ind w:firstLine="420"/>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rPr>
          <w:highlight w:val="white"/>
        </w:rPr>
      </w:r>
      <w:r/>
    </w:p>
    <w:p>
      <w:pPr>
        <w:ind w:firstLine="420"/>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4.如未对（中型企业、小型企业、微型企业）进行勾选，视同非中小微企业，不可享受相应扶持政策。</w:t>
      </w:r>
      <w:r>
        <w:rPr>
          <w:highlight w:val="white"/>
        </w:rPr>
      </w:r>
      <w:r/>
    </w:p>
    <w:p>
      <w:pPr>
        <w:ind w:firstLine="420"/>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5.中标单位享受中小企业扶持政策的，《中小企业声明函》将随中标结果同时公告。</w:t>
      </w:r>
      <w:r>
        <w:rPr>
          <w:highlight w:val="white"/>
        </w:rPr>
      </w:r>
      <w:r/>
    </w:p>
    <w:p>
      <w:pPr>
        <w:spacing w:line="280" w:lineRule="exact"/>
        <w:rPr>
          <w:rFonts w:hint="eastAsia" w:ascii="宋体" w:hAnsi="宋体"/>
          <w:b/>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附：中小企业划型标准规定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（一）农、林、牧、渔业。</w:t>
      </w:r>
      <w:r>
        <w:rPr>
          <w:rFonts w:hint="eastAsia" w:ascii="宋体" w:hAnsi="宋体"/>
          <w:color w:val="000000" w:themeColor="text1"/>
          <w:highlight w:val="whit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（二）工业。</w:t>
      </w:r>
      <w:r>
        <w:rPr>
          <w:rFonts w:hint="eastAsia" w:ascii="宋体" w:hAnsi="宋体"/>
          <w:color w:val="000000" w:themeColor="text1"/>
          <w:highlight w:val="white"/>
          <w14:textFill>
            <w14:solidFill>
              <w14:schemeClr w14:val="tx1"/>
            </w14:solidFill>
          </w14:textFill>
        </w:rPr>
        <w:t xml:space="preserve">从业人员1000人以下或营业收入40000万元以下的为中小微型企业。其中，从业人员300人及以上，且营业收入2000万元及以上的为中型企业；从业人员15人及以上，且营业收入300万元及以上的为小型企业；从业人员15人以下或营业收入300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（三）建筑业。</w:t>
      </w:r>
      <w:r>
        <w:rPr>
          <w:rFonts w:hint="eastAsia" w:ascii="宋体" w:hAnsi="宋体"/>
          <w:color w:val="000000" w:themeColor="text1"/>
          <w:highlight w:val="whit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（四）批发业。</w:t>
      </w:r>
      <w:r>
        <w:rPr>
          <w:rFonts w:hint="eastAsia" w:ascii="宋体" w:hAnsi="宋体"/>
          <w:color w:val="000000" w:themeColor="text1"/>
          <w:highlight w:val="white"/>
          <w14:textFill>
            <w14:solidFill>
              <w14:schemeClr w14:val="tx1"/>
            </w14:solidFill>
          </w14:textFill>
        </w:rPr>
        <w:t xml:space="preserve">从业人员200人以下或营业收入40000万元以下的为中小微型企业。其中，从业人员15人及以上，且营业收入5000万元及以上的为中型企业；从业人员5人及以上，且营业收入1000万元及以上的为小型企业；从业人员5人以下或营业收入1000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（五）零售业。</w:t>
      </w:r>
      <w:r>
        <w:rPr>
          <w:rFonts w:hint="eastAsia" w:ascii="宋体" w:hAnsi="宋体"/>
          <w:color w:val="000000" w:themeColor="text1"/>
          <w:highlight w:val="whit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（六）交通运输业。</w:t>
      </w:r>
      <w:r>
        <w:rPr>
          <w:rFonts w:hint="eastAsia" w:ascii="宋体" w:hAnsi="宋体"/>
          <w:color w:val="000000" w:themeColor="text1"/>
          <w:highlight w:val="white"/>
          <w14:textFill>
            <w14:solidFill>
              <w14:schemeClr w14:val="tx1"/>
            </w14:solidFill>
          </w14:textFill>
        </w:rPr>
        <w:t xml:space="preserve">从业人员1000人以下或营业收入30000万元以下的为中小微型企业。其中，从业人员300人及以上，且营业收入3000万元及以上的为中型企业；从业人员15人及以上，且营业收入200万元及以上的为小型企业；从业人员15人以下或营业收入200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（七）仓储业。</w:t>
      </w:r>
      <w:r>
        <w:rPr>
          <w:rFonts w:hint="eastAsia" w:ascii="宋体" w:hAnsi="宋体"/>
          <w:color w:val="000000" w:themeColor="text1"/>
          <w:highlight w:val="white"/>
          <w14:textFill>
            <w14:solidFill>
              <w14:schemeClr w14:val="tx1"/>
            </w14:solidFill>
          </w14:textFill>
        </w:rPr>
        <w:t xml:space="preserve">从业人员200人以下或营业收入30000万元以下的为中小微型企业。其中，从业人员100人及以上，且营业收入1000万元及以上的为中型企业；从业人员15人及以上，且营业收入100万元及以上的为小型企业；从业人员15人以下或营业收入100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（八）邮政业。</w:t>
      </w:r>
      <w:r>
        <w:rPr>
          <w:rFonts w:hint="eastAsia" w:ascii="宋体" w:hAnsi="宋体"/>
          <w:color w:val="000000" w:themeColor="text1"/>
          <w:highlight w:val="white"/>
          <w14:textFill>
            <w14:solidFill>
              <w14:schemeClr w14:val="tx1"/>
            </w14:solidFill>
          </w14:textFill>
        </w:rPr>
        <w:t xml:space="preserve">从业人员1000人以下或营业收入30000万元以下的为中小微型企业。其中，从业人员300人及以上，且营业收入2000万元及以上的为中型企业；从业人员15人及以上，且营业收入100万元及以上的为小型企业；从业人员15人以下或营业收入100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（九）住宿业。</w:t>
      </w:r>
      <w:r>
        <w:rPr>
          <w:rFonts w:hint="eastAsia" w:ascii="宋体" w:hAnsi="宋体"/>
          <w:color w:val="000000" w:themeColor="text1"/>
          <w:highlight w:val="whit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（十）餐饮业。</w:t>
      </w:r>
      <w:r>
        <w:rPr>
          <w:rFonts w:hint="eastAsia" w:ascii="宋体" w:hAnsi="宋体"/>
          <w:color w:val="000000" w:themeColor="text1"/>
          <w:highlight w:val="whit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（十一）信息传输业。</w:t>
      </w:r>
      <w:r>
        <w:rPr>
          <w:rFonts w:hint="eastAsia" w:ascii="宋体" w:hAnsi="宋体"/>
          <w:color w:val="000000" w:themeColor="text1"/>
          <w:highlight w:val="whit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（十二）软件和信息技术服务业。</w:t>
      </w:r>
      <w:r>
        <w:rPr>
          <w:rFonts w:hint="eastAsia" w:ascii="宋体" w:hAnsi="宋体"/>
          <w:color w:val="000000" w:themeColor="text1"/>
          <w:highlight w:val="whit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（十三）房地产开发经营。</w:t>
      </w:r>
      <w:r>
        <w:rPr>
          <w:rFonts w:hint="eastAsia" w:ascii="宋体" w:hAnsi="宋体"/>
          <w:color w:val="000000" w:themeColor="text1"/>
          <w:highlight w:val="whit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（十四）物业管理。</w:t>
      </w:r>
      <w:r>
        <w:rPr>
          <w:rFonts w:hint="eastAsia" w:ascii="宋体" w:hAnsi="宋体"/>
          <w:color w:val="000000" w:themeColor="text1"/>
          <w:highlight w:val="white"/>
          <w14:textFill>
            <w14:solidFill>
              <w14:schemeClr w14:val="tx1"/>
            </w14:solidFill>
          </w14:textFill>
        </w:rPr>
        <w:t xml:space="preserve">从业人员1000人以下或营业收入5000万元以下的为中小微型企业。其中，从业人员</w:t>
      </w:r>
      <w:r>
        <w:rPr>
          <w:highlight w:val="white"/>
        </w:rPr>
      </w:r>
      <w:r/>
    </w:p>
    <w:p>
      <w:pPr>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（十五）租赁和商务服务业。</w:t>
      </w:r>
      <w:r>
        <w:rPr>
          <w:rFonts w:hint="eastAsia" w:ascii="宋体" w:hAnsi="宋体"/>
          <w:color w:val="000000" w:themeColor="text1"/>
          <w:highlight w:val="whit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ind w:firstLine="422"/>
        <w:spacing w:line="280" w:lineRule="exact"/>
        <w:rPr>
          <w:rFonts w:hint="eastAsia" w:ascii="宋体" w:hAnsi="宋体"/>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t xml:space="preserve">（十六）其他未列明行业。</w:t>
      </w:r>
      <w:r>
        <w:rPr>
          <w:rFonts w:hint="eastAsia" w:ascii="宋体" w:hAnsi="宋体"/>
          <w:color w:val="000000" w:themeColor="text1"/>
          <w:highlight w:val="whit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rPr>
          <w:highlight w:val="white"/>
        </w:rPr>
      </w:r>
      <w:r/>
    </w:p>
    <w:p>
      <w:pPr>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r>
      <w:r>
        <w:rPr>
          <w:highlight w:val="white"/>
        </w:rPr>
      </w:r>
      <w:r/>
    </w:p>
    <w:p>
      <w:pPr>
        <w:pStyle w:val="1264"/>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br w:type="page" w:clear="all"/>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11、投标（响应）保证承诺书（参考格式）</w:t>
      </w:r>
      <w:r>
        <w:rPr>
          <w:highlight w:val="white"/>
        </w:rPr>
      </w:r>
      <w:r/>
    </w:p>
    <w:p>
      <w:pPr>
        <w:jc w:val="center"/>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致：</w:t>
      </w:r>
      <w:r>
        <w:rPr>
          <w:rFonts w:hint="eastAsia" w:ascii="宋体" w:hAnsi="宋体" w:cs="宋体"/>
          <w:color w:val="000000" w:themeColor="text1"/>
          <w:sz w:val="24"/>
          <w:highlight w:val="white"/>
          <w:u w:val="single"/>
          <w:cs/>
          <w14:textFill>
            <w14:solidFill>
              <w14:schemeClr w14:val="tx1"/>
            </w14:solidFill>
          </w14:textFill>
        </w:rPr>
        <w:t xml:space="preserve"> </w:t>
      </w:r>
      <w:r>
        <w:rPr>
          <w:rFonts w:hint="eastAsia" w:ascii="宋体" w:hAnsi="宋体" w:cs="宋体"/>
          <w:color w:val="000000" w:themeColor="text1"/>
          <w:sz w:val="24"/>
          <w:highlight w:val="white"/>
          <w:u w:val="single"/>
          <w14:textFill>
            <w14:solidFill>
              <w14:schemeClr w14:val="tx1"/>
            </w14:solidFill>
          </w14:textFill>
        </w:rPr>
        <w:t xml:space="preserve">（采购代理机构名称）</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我（单位/本人，以下统称我单位）自愿参加</w:t>
      </w:r>
      <w:r>
        <w:rPr>
          <w:rFonts w:hint="eastAsia" w:ascii="宋体" w:hAnsi="宋体" w:cs="宋体"/>
          <w:color w:val="000000" w:themeColor="text1"/>
          <w:sz w:val="24"/>
          <w:highlight w:val="white"/>
          <w:u w:val="single"/>
          <w:cs/>
          <w14:textFill>
            <w14:solidFill>
              <w14:schemeClr w14:val="tx1"/>
            </w14:solidFill>
          </w14:textFill>
        </w:rPr>
        <w:t xml:space="preserve">     </w:t>
      </w:r>
      <w:r>
        <w:rPr>
          <w:rFonts w:ascii="宋体" w:hAnsi="宋体" w:cs="宋体"/>
          <w:color w:val="000000" w:themeColor="text1"/>
          <w:sz w:val="24"/>
          <w:highlight w:val="white"/>
          <w14:textFill>
            <w14:solidFill>
              <w14:schemeClr w14:val="tx1"/>
            </w14:solidFill>
          </w14:textFill>
        </w:rPr>
        <w:t xml:space="preserve">（项目名称和项目编号）的投标（响应）,并</w:t>
      </w:r>
      <w:r>
        <w:rPr>
          <w:rFonts w:hint="eastAsia" w:ascii="宋体" w:hAnsi="宋体" w:cs="宋体"/>
          <w:color w:val="000000" w:themeColor="text1"/>
          <w:sz w:val="24"/>
          <w:highlight w:val="white"/>
          <w14:textFill>
            <w14:solidFill>
              <w14:schemeClr w14:val="tx1"/>
            </w14:solidFill>
          </w14:textFill>
        </w:rPr>
        <w:t xml:space="preserve">做</w:t>
      </w:r>
      <w:r>
        <w:rPr>
          <w:rFonts w:ascii="宋体" w:hAnsi="宋体" w:cs="宋体"/>
          <w:color w:val="000000" w:themeColor="text1"/>
          <w:sz w:val="24"/>
          <w:highlight w:val="white"/>
          <w14:textFill>
            <w14:solidFill>
              <w14:schemeClr w14:val="tx1"/>
            </w14:solidFill>
          </w14:textFill>
        </w:rPr>
        <w:t xml:space="preserve">出如下承诺：</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highlight w:val="white"/>
          <w:u w:val="single"/>
          <w14:textFill>
            <w14:solidFill>
              <w14:schemeClr w14:val="tx1"/>
            </w14:solidFill>
          </w14:textFill>
        </w:rPr>
        <w:t xml:space="preserve">（或采购人）</w:t>
      </w:r>
      <w:r>
        <w:rPr>
          <w:rFonts w:hint="eastAsia" w:ascii="宋体" w:hAnsi="宋体" w:cs="宋体"/>
          <w:color w:val="000000" w:themeColor="text1"/>
          <w:sz w:val="24"/>
          <w:highlight w:val="white"/>
          <w14:textFill>
            <w14:solidFill>
              <w14:schemeClr w14:val="tx1"/>
            </w14:solidFill>
          </w14:textFill>
        </w:rPr>
        <w:t xml:space="preserve">支付本采购文件公布的预算金额（或最高限价）的2%作为违约赔偿金（数量不确定的单价采购须约定具体金额）。</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1、自投标（响应）截止时间至本项目发布中标（成交）公告为止，撤销投标（响应）；</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2、中标（成交）后不依法与采购人签订合同；</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3、中标（成交）后不按本采购文件规定向采购人提交履约保证金；</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4、中标（成交）后不按本采购文件规定向贵方缴纳采购代理费。</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highlight w:val="white"/>
          <w:u w:val="single"/>
          <w14:textFill>
            <w14:solidFill>
              <w14:schemeClr w14:val="tx1"/>
            </w14:solidFill>
          </w14:textFill>
        </w:rPr>
        <w:t xml:space="preserve">（或采购人）</w:t>
      </w:r>
      <w:r>
        <w:rPr>
          <w:rFonts w:hint="eastAsia" w:ascii="宋体" w:hAnsi="宋体" w:cs="宋体"/>
          <w:color w:val="000000" w:themeColor="text1"/>
          <w:sz w:val="24"/>
          <w:highlight w:val="white"/>
          <w14:textFill>
            <w14:solidFill>
              <w14:schemeClr w14:val="tx1"/>
            </w14:solidFill>
          </w14:textFill>
        </w:rPr>
        <w:t xml:space="preserve">要求我单位履行违约赔偿义务的依据作用。</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投标（响应）人：（盖公章）</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地址：</w:t>
      </w:r>
      <w:r>
        <w:rPr>
          <w:rFonts w:hint="eastAsia" w:ascii="宋体" w:hAnsi="宋体" w:cs="宋体"/>
          <w:color w:val="000000" w:themeColor="text1"/>
          <w:sz w:val="24"/>
          <w:highlight w:val="white"/>
          <w:cs/>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电话：</w:t>
      </w:r>
      <w:r>
        <w:rPr>
          <w:rFonts w:hint="eastAsia" w:ascii="宋体" w:hAnsi="宋体" w:cs="宋体"/>
          <w:color w:val="000000" w:themeColor="text1"/>
          <w:sz w:val="24"/>
          <w:highlight w:val="white"/>
          <w:cs/>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传真：</w:t>
      </w:r>
      <w:r>
        <w:rPr>
          <w:rFonts w:hint="eastAsia" w:ascii="宋体" w:hAnsi="宋体" w:cs="宋体"/>
          <w:color w:val="000000" w:themeColor="text1"/>
          <w:sz w:val="24"/>
          <w:highlight w:val="white"/>
          <w:cs/>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电子邮件：</w:t>
      </w:r>
      <w:r>
        <w:rPr>
          <w:rFonts w:hint="eastAsia" w:ascii="宋体" w:hAnsi="宋体" w:cs="宋体"/>
          <w:color w:val="000000" w:themeColor="text1"/>
          <w:sz w:val="24"/>
          <w:highlight w:val="white"/>
          <w:cs/>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邮编：</w:t>
      </w:r>
      <w:r>
        <w:rPr>
          <w:rFonts w:hint="eastAsia" w:ascii="宋体" w:hAnsi="宋体" w:cs="宋体"/>
          <w:color w:val="000000" w:themeColor="text1"/>
          <w:sz w:val="24"/>
          <w:highlight w:val="white"/>
          <w:cs/>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法定代表人或委托代理人(签字或签章)</w:t>
      </w:r>
      <w:r>
        <w:rPr>
          <w:rFonts w:hint="eastAsia"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cs/>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日期：</w:t>
      </w:r>
      <w:r>
        <w:rPr>
          <w:rFonts w:hint="eastAsia" w:ascii="宋体" w:hAnsi="宋体" w:cs="宋体"/>
          <w:color w:val="000000" w:themeColor="text1"/>
          <w:sz w:val="24"/>
          <w:highlight w:val="white"/>
          <w:cs/>
          <w14:textFill>
            <w14:solidFill>
              <w14:schemeClr w14:val="tx1"/>
            </w14:solidFill>
          </w14:textFill>
        </w:rPr>
        <w:t xml:space="preserve">      </w:t>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1353"/>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961"/>
        <w:rPr>
          <w:rFonts w:hint="eastAsia"/>
          <w:highlight w:val="white"/>
        </w:rPr>
      </w:pPr>
      <w:r>
        <w:rPr>
          <w:rFonts w:hint="eastAsia"/>
          <w:highlight w:val="white"/>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12、残疾人福利性单位声明函（格式）</w:t>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white"/>
          <w:u w:val="single"/>
          <w:cs/>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单位的</w:t>
      </w:r>
      <w:r>
        <w:rPr>
          <w:rFonts w:hint="eastAsia" w:ascii="宋体" w:hAnsi="宋体" w:cs="宋体"/>
          <w:color w:val="000000" w:themeColor="text1"/>
          <w:sz w:val="24"/>
          <w:highlight w:val="white"/>
          <w:u w:val="single"/>
          <w:cs/>
          <w14:textFill>
            <w14:solidFill>
              <w14:schemeClr w14:val="tx1"/>
            </w14:solidFill>
          </w14:textFill>
        </w:rPr>
        <w:t xml:space="preserve">     </w:t>
      </w:r>
      <w:r>
        <w:rPr>
          <w:rFonts w:hint="eastAsia" w:ascii="宋体" w:hAnsi="宋体" w:cs="宋体"/>
          <w:color w:val="000000" w:themeColor="text1"/>
          <w:sz w:val="24"/>
          <w:highlight w:val="whit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本单位对上述声明的真实性负责。如有虚假，将依法承担相应责任。</w:t>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单位名称（盖章）：</w:t>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日  期：</w:t>
      </w:r>
      <w:r>
        <w:rPr>
          <w:highlight w:val="white"/>
        </w:rPr>
      </w:r>
      <w:r/>
    </w:p>
    <w:p>
      <w:pPr>
        <w:pStyle w:val="1347"/>
        <w:ind w:firstLine="0"/>
        <w:jc w:val="both"/>
        <w:spacing w:before="156" w:after="156" w:line="360" w:lineRule="auto"/>
        <w:rPr>
          <w:rFonts w:hint="eastAsia" w:ascii="宋体" w:hAnsi="宋体" w:eastAsia="宋体" w:cs="宋体"/>
          <w:color w:val="000000" w:themeColor="text1"/>
          <w:szCs w:val="24"/>
          <w:highlight w:val="white"/>
          <w14:textFill>
            <w14:solidFill>
              <w14:schemeClr w14:val="tx1"/>
            </w14:solidFill>
          </w14:textFill>
        </w:rPr>
        <w:outlineLvl w:val="2"/>
      </w:pPr>
      <w:r>
        <w:rPr>
          <w:rFonts w:hint="eastAsia" w:ascii="宋体" w:hAnsi="宋体" w:eastAsia="宋体" w:cs="宋体"/>
          <w:color w:val="000000" w:themeColor="text1"/>
          <w:highlight w:val="white"/>
          <w14:textFill>
            <w14:solidFill>
              <w14:schemeClr w14:val="tx1"/>
            </w14:solidFill>
          </w14:textFill>
        </w:rPr>
        <w:br w:type="page" w:clear="all"/>
      </w:r>
      <w:r>
        <w:rPr>
          <w:rFonts w:hint="eastAsia" w:ascii="宋体" w:hAnsi="宋体" w:eastAsia="宋体" w:cs="宋体"/>
          <w:color w:val="000000" w:themeColor="text1"/>
          <w:highlight w:val="white"/>
          <w14:textFill>
            <w14:solidFill>
              <w14:schemeClr w14:val="tx1"/>
            </w14:solidFill>
          </w14:textFill>
        </w:rPr>
        <w:t xml:space="preserve">13、</w:t>
      </w:r>
      <w:r>
        <w:rPr>
          <w:rFonts w:hint="eastAsia" w:ascii="宋体" w:hAnsi="宋体" w:eastAsia="宋体" w:cs="宋体"/>
          <w:color w:val="000000" w:themeColor="text1"/>
          <w:szCs w:val="24"/>
          <w:highlight w:val="white"/>
          <w14:textFill>
            <w14:solidFill>
              <w14:schemeClr w14:val="tx1"/>
            </w14:solidFill>
          </w14:textFill>
        </w:rPr>
        <w:t xml:space="preserve">开票信息</w:t>
      </w:r>
      <w:r>
        <w:rPr>
          <w:highlight w:val="white"/>
        </w:rPr>
      </w:r>
      <w:r/>
    </w:p>
    <w:p>
      <w:pPr>
        <w:ind w:left="420"/>
        <w:spacing w:after="120"/>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开票信息</w:t>
      </w:r>
      <w:r>
        <w:rPr>
          <w:highlight w:val="white"/>
        </w:rPr>
      </w:r>
      <w:r/>
    </w:p>
    <w:tbl>
      <w:tblPr>
        <w:tblStyle w:val="91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供应商名称</w:t>
            </w:r>
            <w:r>
              <w:rPr>
                <w:highlight w:val="white"/>
              </w:rPr>
            </w:r>
            <w:r/>
          </w:p>
        </w:tc>
        <w:tc>
          <w:tcPr>
            <w:tcW w:w="6636"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地址</w:t>
            </w:r>
            <w:r>
              <w:rPr>
                <w:highlight w:val="white"/>
              </w:rPr>
            </w:r>
            <w:r/>
          </w:p>
        </w:tc>
        <w:tc>
          <w:tcPr>
            <w:tcW w:w="6636"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电话</w:t>
            </w:r>
            <w:r>
              <w:rPr>
                <w:highlight w:val="white"/>
              </w:rPr>
            </w:r>
            <w:r/>
          </w:p>
        </w:tc>
        <w:tc>
          <w:tcPr>
            <w:tcW w:w="6636"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税号</w:t>
            </w:r>
            <w:r>
              <w:rPr>
                <w:highlight w:val="white"/>
              </w:rPr>
            </w:r>
            <w:r/>
          </w:p>
        </w:tc>
        <w:tc>
          <w:tcPr>
            <w:tcW w:w="6636"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开户行</w:t>
            </w:r>
            <w:r>
              <w:rPr>
                <w:highlight w:val="white"/>
              </w:rPr>
            </w:r>
            <w:r/>
          </w:p>
        </w:tc>
        <w:tc>
          <w:tcPr>
            <w:tcW w:w="6636"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r>
      <w:tr>
        <w:trPr>
          <w:jc w:val="center"/>
          <w:trHeight w:val="567"/>
        </w:trPr>
        <w:tc>
          <w:tcPr>
            <w:tcW w:w="2992"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银行账号</w:t>
            </w:r>
            <w:r>
              <w:rPr>
                <w:highlight w:val="white"/>
              </w:rPr>
            </w:r>
            <w:r/>
          </w:p>
        </w:tc>
        <w:tc>
          <w:tcPr>
            <w:tcW w:w="6636"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r>
    </w:tbl>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1006"/>
        <w:ind w:firstLine="480"/>
        <w:rPr>
          <w:rFonts w:hint="eastAsia" w:hAnsi="宋体" w:cs="宋体"/>
          <w:color w:val="000000" w:themeColor="text1"/>
          <w:sz w:val="24"/>
          <w:highlight w:val="white"/>
          <w14:textFill>
            <w14:solidFill>
              <w14:schemeClr w14:val="tx1"/>
            </w14:solidFill>
          </w14:textFill>
        </w:rPr>
      </w:pPr>
      <w:r>
        <w:rPr>
          <w:rFonts w:hint="eastAsia" w:hAnsi="宋体" w:cs="宋体"/>
          <w:color w:val="000000" w:themeColor="text1"/>
          <w:sz w:val="24"/>
          <w:highlight w:val="white"/>
          <w14:textFill>
            <w14:solidFill>
              <w14:schemeClr w14:val="tx1"/>
            </w14:solidFill>
          </w14:textFill>
        </w:rPr>
      </w:r>
      <w:r>
        <w:rPr>
          <w:highlight w:val="white"/>
        </w:rPr>
      </w:r>
      <w:r/>
    </w:p>
    <w:p>
      <w:pPr>
        <w:pStyle w:val="1322"/>
        <w:rPr>
          <w:rFonts w:hint="eastAsia" w:ascii="宋体" w:hAnsi="宋体" w:cs="宋体"/>
          <w:color w:val="000000" w:themeColor="text1"/>
          <w:highlight w:val="white"/>
          <w14:textFill>
            <w14:solidFill>
              <w14:schemeClr w14:val="tx1"/>
            </w14:solidFill>
          </w14:textFill>
        </w:rPr>
        <w:framePr w:wrap="around"/>
      </w:pPr>
      <w:r>
        <w:rPr>
          <w:rFonts w:hint="eastAsia" w:ascii="宋体" w:hAnsi="宋体" w:cs="宋体"/>
          <w:color w:val="000000" w:themeColor="text1"/>
          <w:highlight w:val="white"/>
          <w14:textFill>
            <w14:solidFill>
              <w14:schemeClr w14:val="tx1"/>
            </w14:solidFill>
          </w14:textFill>
        </w:rPr>
      </w:r>
      <w:r>
        <w:rPr>
          <w:highlight w:val="white"/>
        </w:rPr>
      </w:r>
      <w:r/>
    </w:p>
    <w:p>
      <w:pPr>
        <w:ind w:firstLine="576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单位名称（盖章）：</w:t>
      </w:r>
      <w:r>
        <w:rPr>
          <w:highlight w:val="white"/>
        </w:rPr>
      </w:r>
      <w:r/>
    </w:p>
    <w:p>
      <w:pPr>
        <w:ind w:firstLine="576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日  期：</w:t>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br w:type="page" w:clear="all"/>
      </w:r>
      <w:r>
        <w:rPr>
          <w:highlight w:val="white"/>
        </w:rPr>
      </w:r>
      <w:r/>
    </w:p>
    <w:p>
      <w:pPr>
        <w:pStyle w:val="918"/>
        <w:rPr>
          <w:rFonts w:hint="eastAsia"/>
          <w:highlight w:val="white"/>
        </w:rPr>
      </w:pPr>
      <w:r>
        <w:rPr>
          <w:rFonts w:hint="eastAsia"/>
          <w:highlight w:val="white"/>
        </w:rPr>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14、供应商与其他单位存在控股、管理关系情况表</w:t>
      </w:r>
      <w:r>
        <w:rPr>
          <w:highlight w:val="white"/>
        </w:rPr>
      </w:r>
      <w:r/>
    </w:p>
    <w:p>
      <w:pPr>
        <w:ind w:firstLine="1446"/>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供应商与其他单位存在控股、管理关系情况表</w:t>
      </w:r>
      <w:r>
        <w:rPr>
          <w:highlight w:val="white"/>
        </w:rPr>
      </w:r>
      <w:r/>
    </w:p>
    <w:tbl>
      <w:tblPr>
        <w:tblStyle w:val="913"/>
        <w:tblW w:w="9284" w:type="dxa"/>
        <w:tblInd w:w="0" w:type="dxa"/>
        <w:tblLayout w:type="fixed"/>
        <w:tblCellMar>
          <w:left w:w="0" w:type="dxa"/>
          <w:top w:w="0" w:type="dxa"/>
          <w:right w:w="0" w:type="dxa"/>
          <w:bottom w:w="0" w:type="dxa"/>
        </w:tblCellMar>
        <w:tblLook w:val="04A0" w:firstRow="1" w:lastRow="0" w:firstColumn="1" w:lastColumn="0" w:noHBand="0" w:noVBand="1"/>
      </w:tblPr>
      <w:tblGrid>
        <w:gridCol w:w="4885"/>
        <w:gridCol w:w="4399"/>
      </w:tblGrid>
      <w:tr>
        <w:trPr>
          <w:trHeight w:val="624"/>
        </w:trPr>
        <w:tc>
          <w:tcPr>
            <w:tcMar>
              <w:left w:w="0" w:type="dxa"/>
              <w:top w:w="0" w:type="dxa"/>
              <w:right w:w="0" w:type="dxa"/>
              <w:bottom w:w="0" w:type="dxa"/>
            </w:tcMar>
            <w:tcW w:w="4885" w:type="dxa"/>
            <w:textDirection w:val="lrTb"/>
            <w:noWrap w:val="false"/>
          </w:tcPr>
          <w:p>
            <w:pPr>
              <w:ind w:firstLine="47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b/>
                <w:color w:val="000000" w:themeColor="text1"/>
                <w:spacing w:val="-3"/>
                <w:sz w:val="24"/>
                <w:highlight w:val="white"/>
                <w14:textFill>
                  <w14:solidFill>
                    <w14:schemeClr w14:val="tx1"/>
                  </w14:solidFill>
                </w14:textFill>
              </w:rPr>
              <w:t xml:space="preserve">与供应商存在控股、管理关系的单位名称</w:t>
            </w:r>
            <w:r>
              <w:rPr>
                <w:highlight w:val="white"/>
              </w:rPr>
            </w:r>
            <w:r/>
          </w:p>
        </w:tc>
        <w:tc>
          <w:tcPr>
            <w:tcMar>
              <w:left w:w="0" w:type="dxa"/>
              <w:top w:w="0" w:type="dxa"/>
              <w:right w:w="0" w:type="dxa"/>
              <w:bottom w:w="0" w:type="dxa"/>
            </w:tcMar>
            <w:tcW w:w="4399" w:type="dxa"/>
            <w:textDirection w:val="lrTb"/>
            <w:noWrap w:val="false"/>
          </w:tcPr>
          <w:p>
            <w:pPr>
              <w:ind w:firstLine="478"/>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b/>
                <w:color w:val="000000" w:themeColor="text1"/>
                <w:spacing w:val="-1"/>
                <w:sz w:val="24"/>
                <w:highlight w:val="white"/>
                <w14:textFill>
                  <w14:solidFill>
                    <w14:schemeClr w14:val="tx1"/>
                  </w14:solidFill>
                </w14:textFill>
              </w:rPr>
              <w:t xml:space="preserve">控股、管理关系情况说明</w:t>
            </w:r>
            <w:r>
              <w:rPr>
                <w:highlight w:val="white"/>
              </w:rPr>
            </w:r>
            <w:r/>
          </w:p>
        </w:tc>
      </w:tr>
      <w:tr>
        <w:trPr>
          <w:trHeight w:val="848"/>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r>
      <w:tr>
        <w:trPr>
          <w:trHeight w:val="849"/>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r>
      <w:tr>
        <w:trPr>
          <w:trHeight w:val="848"/>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r>
      <w:tr>
        <w:trPr>
          <w:trHeight w:val="849"/>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r>
      <w:tr>
        <w:trPr>
          <w:trHeight w:val="838"/>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r>
      <w:tr>
        <w:trPr>
          <w:trHeight w:val="864"/>
        </w:trPr>
        <w:tc>
          <w:tcPr>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c>
          <w:tcPr>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highlight w:val="white"/>
              </w:rPr>
            </w:r>
            <w:r/>
          </w:p>
        </w:tc>
      </w:tr>
    </w:tbl>
    <w:p>
      <w:pPr>
        <w:spacing w:line="85" w:lineRule="atLeast"/>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注：供应商应当按实填写所有与之有控股、管理关系的情况</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2"/>
          <w:highlight w:val="white"/>
          <w14:textFill>
            <w14:solidFill>
              <w14:schemeClr w14:val="tx1"/>
            </w14:solidFill>
          </w14:textFill>
        </w:rPr>
        <w:t xml:space="preserve"> </w:t>
      </w:r>
      <w:r>
        <w:rPr>
          <w:highlight w:val="white"/>
        </w:rPr>
      </w:r>
      <w:r/>
    </w:p>
    <w:p>
      <w:pPr>
        <w:ind w:firstLine="576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单位名称（盖章）：</w:t>
      </w:r>
      <w:r>
        <w:rPr>
          <w:highlight w:val="white"/>
        </w:rPr>
      </w:r>
      <w:r/>
    </w:p>
    <w:p>
      <w:pPr>
        <w:ind w:firstLine="5760"/>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日  期：</w:t>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ind w:firstLine="424"/>
        <w:spacing w:line="360" w:lineRule="auto"/>
        <w:tabs>
          <w:tab w:val="left" w:pos="360" w:leader="none"/>
        </w:tabs>
        <w:rPr>
          <w:rFonts w:hint="eastAsia" w:ascii="宋体" w:hAnsi="宋体" w:cs="宋体"/>
          <w:b/>
          <w:bCs/>
          <w:color w:val="000000" w:themeColor="text1"/>
          <w:sz w:val="24"/>
          <w:highlight w:val="white"/>
          <w14:textFill>
            <w14:solidFill>
              <w14:schemeClr w14:val="tx1"/>
            </w14:solidFill>
          </w14:textFill>
        </w:rPr>
      </w:pPr>
      <w:r>
        <w:rPr>
          <w:rFonts w:hAnsi="宋体"/>
          <w:color w:val="000000" w:themeColor="text1"/>
          <w:sz w:val="24"/>
          <w:highlight w:val="white"/>
          <w14:textFill>
            <w14:solidFill>
              <w14:schemeClr w14:val="tx1"/>
            </w14:solidFill>
          </w14:textFill>
        </w:rPr>
        <w:br w:type="page" w:clear="all"/>
      </w:r>
      <w:r>
        <w:rPr>
          <w:highlight w:val="white"/>
        </w:rPr>
      </w:r>
      <w:r/>
    </w:p>
    <w:p>
      <w:pPr>
        <w:jc w:val="left"/>
        <w:spacing w:line="360" w:lineRule="auto"/>
        <w:tabs>
          <w:tab w:val="left" w:pos="8930" w:leader="none"/>
          <w:tab w:val="left" w:pos="9306" w:leader="none"/>
        </w:tabs>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15、响应单位资格承诺书</w:t>
      </w:r>
      <w:r>
        <w:rPr>
          <w:highlight w:val="white"/>
        </w:rPr>
      </w:r>
      <w:r/>
    </w:p>
    <w:p>
      <w:pPr>
        <w:jc w:val="center"/>
        <w:spacing w:line="360" w:lineRule="auto"/>
        <w:widowControl/>
        <w:rPr>
          <w:rFonts w:hint="eastAsia" w:ascii="宋体" w:hAnsi="宋体" w:cs="宋体"/>
          <w:b/>
          <w:color w:val="000000" w:themeColor="text1"/>
          <w:sz w:val="24"/>
          <w:highlight w:val="white"/>
          <w14:textFill>
            <w14:solidFill>
              <w14:schemeClr w14:val="tx1"/>
            </w14:solidFill>
          </w14:textFill>
        </w:rPr>
      </w:pPr>
      <w:r>
        <w:rPr>
          <w:rFonts w:hint="eastAsia" w:ascii="宋体" w:hAnsi="宋体" w:cs="宋体"/>
          <w:b/>
          <w:color w:val="000000" w:themeColor="text1"/>
          <w:sz w:val="24"/>
          <w:highlight w:val="white"/>
          <w14:textFill>
            <w14:solidFill>
              <w14:schemeClr w14:val="tx1"/>
            </w14:solidFill>
          </w14:textFill>
        </w:rPr>
      </w:r>
      <w:r>
        <w:rPr>
          <w:highlight w:val="white"/>
        </w:rPr>
      </w:r>
      <w:r/>
    </w:p>
    <w:p>
      <w:pPr>
        <w:jc w:val="center"/>
        <w:spacing w:line="360" w:lineRule="auto"/>
        <w:widowControl/>
        <w:rPr>
          <w:rFonts w:hint="eastAsia" w:ascii="宋体" w:hAnsi="宋体" w:cs="宋体"/>
          <w:b/>
          <w:color w:val="000000" w:themeColor="text1"/>
          <w:sz w:val="28"/>
          <w:szCs w:val="28"/>
          <w:highlight w:val="white"/>
          <w14:textFill>
            <w14:solidFill>
              <w14:schemeClr w14:val="tx1"/>
            </w14:solidFill>
          </w14:textFill>
        </w:rPr>
      </w:pPr>
      <w:r>
        <w:rPr>
          <w:rFonts w:hint="eastAsia" w:ascii="宋体" w:hAnsi="宋体" w:cs="宋体"/>
          <w:b/>
          <w:color w:val="000000" w:themeColor="text1"/>
          <w:sz w:val="28"/>
          <w:szCs w:val="28"/>
          <w:highlight w:val="white"/>
          <w14:textFill>
            <w14:solidFill>
              <w14:schemeClr w14:val="tx1"/>
            </w14:solidFill>
          </w14:textFill>
        </w:rPr>
        <w:t xml:space="preserve">响应单位资格承诺书</w:t>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zh-CN"/>
          <w14:textFill>
            <w14:solidFill>
              <w14:schemeClr w14:val="tx1"/>
            </w14:solidFill>
          </w14:textFill>
        </w:rPr>
        <w:t xml:space="preserve">响应单位</w:t>
      </w:r>
      <w:r>
        <w:rPr>
          <w:rFonts w:hint="eastAsia" w:ascii="宋体" w:hAnsi="宋体" w:cs="宋体"/>
          <w:color w:val="000000" w:themeColor="text1"/>
          <w:sz w:val="24"/>
          <w:highlight w:val="white"/>
          <w14:textFill>
            <w14:solidFill>
              <w14:schemeClr w14:val="tx1"/>
            </w14:solidFill>
          </w14:textFill>
        </w:rPr>
        <w:t xml:space="preserve">：（公章）                          采购编号：             号</w:t>
      </w:r>
      <w:r>
        <w:rPr>
          <w:highlight w:val="white"/>
        </w:rPr>
      </w:r>
      <w:r/>
    </w:p>
    <w:tbl>
      <w:tblPr>
        <w:tblStyle w:val="913"/>
        <w:tblW w:w="884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558"/>
        <w:gridCol w:w="1322"/>
        <w:gridCol w:w="3141"/>
      </w:tblGrid>
      <w:tr>
        <w:trPr>
          <w:trHeight w:val="696"/>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zh-CN"/>
                <w14:textFill>
                  <w14:solidFill>
                    <w14:schemeClr w14:val="tx1"/>
                  </w14:solidFill>
                </w14:textFill>
              </w:rPr>
              <w:t xml:space="preserve">序号</w:t>
            </w:r>
            <w:r>
              <w:rPr>
                <w:highlight w:val="white"/>
              </w:rPr>
            </w:r>
            <w:r/>
          </w:p>
        </w:tc>
        <w:tc>
          <w:tcPr>
            <w:tcW w:w="355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zh-CN"/>
                <w14:textFill>
                  <w14:solidFill>
                    <w14:schemeClr w14:val="tx1"/>
                  </w14:solidFill>
                </w14:textFill>
              </w:rPr>
              <w:t xml:space="preserve">磋商响应单位部分资格要求</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zh-CN"/>
                <w14:textFill>
                  <w14:solidFill>
                    <w14:schemeClr w14:val="tx1"/>
                  </w14:solidFill>
                </w14:textFill>
              </w:rPr>
              <w:t xml:space="preserve">是否完全满足</w:t>
            </w:r>
            <w:r>
              <w:rPr>
                <w:highlight w:val="white"/>
              </w:rPr>
            </w:r>
            <w:r/>
          </w:p>
        </w:tc>
        <w:tc>
          <w:tcPr>
            <w:tcW w:w="3141"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zh-CN"/>
                <w14:textFill>
                  <w14:solidFill>
                    <w14:schemeClr w14:val="tx1"/>
                  </w14:solidFill>
                </w14:textFill>
              </w:rPr>
              <w:t xml:space="preserve">备注</w:t>
            </w:r>
            <w:r>
              <w:rPr>
                <w:highlight w:val="white"/>
              </w:rPr>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w:t>
            </w:r>
            <w:r>
              <w:rPr>
                <w:highlight w:val="white"/>
              </w:rPr>
            </w:r>
            <w:r/>
          </w:p>
        </w:tc>
        <w:tc>
          <w:tcPr>
            <w:tcW w:w="3558"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具有独立承担民事责任的能力；</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3141" w:type="dxa"/>
            <w:vAlign w:val="center"/>
            <w:textDirection w:val="lrTb"/>
            <w:noWrap w:val="false"/>
          </w:tcPr>
          <w:p>
            <w:pPr>
              <w:rPr>
                <w:rFonts w:hint="eastAsia"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lang w:val="en-US" w:eastAsia="zh-CN"/>
                <w14:textFill>
                  <w14:solidFill>
                    <w14:schemeClr w14:val="tx1"/>
                  </w14:solidFill>
                </w14:textFill>
              </w:rPr>
              <w:t xml:space="preserve">提供包括法人或者其他组织的营业执照等证明文件，自然人的身份证明</w:t>
            </w:r>
            <w:r>
              <w:rPr>
                <w:highlight w:val="white"/>
              </w:rPr>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w:t>
            </w:r>
            <w:r>
              <w:rPr>
                <w:highlight w:val="white"/>
              </w:rPr>
            </w:r>
            <w:r/>
          </w:p>
        </w:tc>
        <w:tc>
          <w:tcPr>
            <w:tcW w:w="3558"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具有良好的商业信誉和健全的财务会计制度；</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3141" w:type="dxa"/>
            <w:vAlign w:val="center"/>
            <w:textDirection w:val="lrTb"/>
            <w:noWrap w:val="false"/>
          </w:tcPr>
          <w:p>
            <w:pPr>
              <w:rPr>
                <w:rFonts w:hint="eastAsia"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lang w:val="en-US" w:eastAsia="zh-CN"/>
                <w14:textFill>
                  <w14:solidFill>
                    <w14:schemeClr w14:val="tx1"/>
                  </w14:solidFill>
                </w14:textFill>
              </w:rPr>
              <w:t xml:space="preserve">提供包括但不限于最近一期经审计的财务报告，其他组织、自然人及成立未满一年的法人应提供银行出具的资信证明。</w:t>
            </w:r>
            <w:r>
              <w:rPr>
                <w:highlight w:val="white"/>
              </w:rPr>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w:t>
            </w:r>
            <w:r>
              <w:rPr>
                <w:highlight w:val="white"/>
              </w:rPr>
            </w:r>
            <w:r/>
          </w:p>
        </w:tc>
        <w:tc>
          <w:tcPr>
            <w:tcW w:w="3558"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具有履行合同所必需的设备和专业技术能力；</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3141" w:type="dxa"/>
            <w:vAlign w:val="center"/>
            <w:textDirection w:val="lrTb"/>
            <w:noWrap w:val="false"/>
          </w:tcPr>
          <w:p>
            <w:pPr>
              <w:rPr>
                <w:rFonts w:hint="eastAsia"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lang w:val="en-US" w:eastAsia="zh-CN"/>
                <w14:textFill>
                  <w14:solidFill>
                    <w14:schemeClr w14:val="tx1"/>
                  </w14:solidFill>
                </w14:textFill>
              </w:rPr>
              <w:t xml:space="preserve">提供书面声明</w:t>
            </w:r>
            <w:r>
              <w:rPr>
                <w:highlight w:val="white"/>
              </w:rPr>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w:t>
            </w:r>
            <w:r>
              <w:rPr>
                <w:highlight w:val="white"/>
              </w:rPr>
            </w:r>
            <w:r/>
          </w:p>
        </w:tc>
        <w:tc>
          <w:tcPr>
            <w:tcW w:w="3558"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有依法缴纳税收和社会保障资金的良好记录；</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3141" w:type="dxa"/>
            <w:vAlign w:val="center"/>
            <w:textDirection w:val="lrTb"/>
            <w:noWrap w:val="false"/>
          </w:tcPr>
          <w:p>
            <w:pPr>
              <w:rPr>
                <w:rFonts w:hint="eastAsia"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lang w:val="en-US" w:eastAsia="zh-CN"/>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highlight w:val="white"/>
              </w:rPr>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w:t>
            </w:r>
            <w:r>
              <w:rPr>
                <w:highlight w:val="white"/>
              </w:rPr>
            </w:r>
            <w:r/>
          </w:p>
        </w:tc>
        <w:tc>
          <w:tcPr>
            <w:tcW w:w="3558" w:type="dxa"/>
            <w:vAlign w:val="center"/>
            <w:textDirection w:val="lrTb"/>
            <w:noWrap w:val="false"/>
          </w:tcPr>
          <w:p>
            <w:pP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参加政府采购活动前三年内，在经营活动中没有重大违法记录。</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3141" w:type="dxa"/>
            <w:vAlign w:val="center"/>
            <w:textDirection w:val="lrTb"/>
            <w:noWrap w:val="false"/>
          </w:tcPr>
          <w:p>
            <w:pPr>
              <w:rPr>
                <w:rFonts w:hint="eastAsia"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lang w:val="en-US" w:eastAsia="zh-CN"/>
                <w14:textFill>
                  <w14:solidFill>
                    <w14:schemeClr w14:val="tx1"/>
                  </w14:solidFill>
                </w14:textFill>
              </w:rPr>
              <w:t xml:space="preserve">提供书面声明</w:t>
            </w:r>
            <w:r>
              <w:rPr>
                <w:highlight w:val="white"/>
              </w:rPr>
            </w:r>
            <w:r/>
          </w:p>
        </w:tc>
      </w:tr>
      <w:tr>
        <w:trPr>
          <w:trHeight w:val="660"/>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6</w:t>
            </w:r>
            <w:r>
              <w:rPr>
                <w:highlight w:val="white"/>
              </w:rPr>
            </w:r>
            <w:r/>
          </w:p>
        </w:tc>
        <w:tc>
          <w:tcPr>
            <w:tcW w:w="3558" w:type="dxa"/>
            <w:vAlign w:val="center"/>
            <w:textDirection w:val="lrTb"/>
            <w:noWrap w:val="false"/>
          </w:tcPr>
          <w:p>
            <w:pPr>
              <w:jc w:val="lef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法律、行政法规规定的其他条件；</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3141" w:type="dxa"/>
            <w:vAlign w:val="center"/>
            <w:textDirection w:val="lrTb"/>
            <w:noWrap w:val="false"/>
          </w:tcPr>
          <w:p>
            <w:pPr>
              <w:rPr>
                <w:rFonts w:hint="eastAsia"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lang w:val="en-US" w:eastAsia="zh-CN"/>
                <w14:textFill>
                  <w14:solidFill>
                    <w14:schemeClr w14:val="tx1"/>
                  </w14:solidFill>
                </w14:textFill>
              </w:rPr>
              <w:t xml:space="preserve">提供书面声明</w:t>
            </w:r>
            <w:r>
              <w:rPr>
                <w:highlight w:val="white"/>
              </w:rPr>
            </w:r>
            <w:r/>
          </w:p>
        </w:tc>
      </w:tr>
      <w:tr>
        <w:trPr>
          <w:trHeight w:val="694"/>
        </w:trPr>
        <w:tc>
          <w:tcPr>
            <w:tcW w:w="828"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7</w:t>
            </w:r>
            <w:r>
              <w:rPr>
                <w:highlight w:val="white"/>
              </w:rPr>
            </w:r>
            <w:r/>
          </w:p>
        </w:tc>
        <w:tc>
          <w:tcPr>
            <w:tcW w:w="3558" w:type="dxa"/>
            <w:vAlign w:val="center"/>
            <w:textDirection w:val="lrTb"/>
            <w:noWrap w:val="false"/>
          </w:tcPr>
          <w:p>
            <w:pPr>
              <w:jc w:val="lef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合格磋商响应单位的特定条件（如有，按磋商公告要求）</w:t>
            </w:r>
            <w:r>
              <w:rPr>
                <w:highlight w:val="white"/>
              </w:rPr>
            </w:r>
            <w:r/>
          </w:p>
        </w:tc>
        <w:tc>
          <w:tcPr>
            <w:tcW w:w="1322" w:type="dxa"/>
            <w:vAlign w:val="center"/>
            <w:textDirection w:val="lrTb"/>
            <w:noWrap w:val="false"/>
          </w:tcPr>
          <w:p>
            <w:pPr>
              <w:jc w:val="center"/>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tc>
        <w:tc>
          <w:tcPr>
            <w:tcW w:w="3141" w:type="dxa"/>
            <w:vAlign w:val="center"/>
            <w:textDirection w:val="lrTb"/>
            <w:noWrap w:val="false"/>
          </w:tcPr>
          <w:p>
            <w:pPr>
              <w:rPr>
                <w:rFonts w:hint="eastAsia"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lang w:val="en-US" w:eastAsia="zh-CN"/>
                <w14:textFill>
                  <w14:solidFill>
                    <w14:schemeClr w14:val="tx1"/>
                  </w14:solidFill>
                </w14:textFill>
              </w:rPr>
              <w:t xml:space="preserve">提供相关证明材料</w:t>
            </w:r>
            <w:r>
              <w:rPr>
                <w:highlight w:val="white"/>
              </w:rPr>
            </w:r>
            <w:r/>
          </w:p>
        </w:tc>
      </w:tr>
    </w:tbl>
    <w:p>
      <w:pPr>
        <w:spacing w:line="360" w:lineRule="auto"/>
        <w:widowControl/>
        <w:rPr>
          <w:rFonts w:hint="eastAsia" w:ascii="宋体" w:hAnsi="宋体"/>
          <w:b/>
          <w:color w:val="000000" w:themeColor="text1"/>
          <w:sz w:val="24"/>
          <w:highlight w:val="white"/>
          <w14:textFill>
            <w14:solidFill>
              <w14:schemeClr w14:val="tx1"/>
            </w14:solidFill>
          </w14:textFill>
        </w:rPr>
        <w:outlineLvl w:val="1"/>
      </w:pPr>
      <w:r>
        <w:rPr>
          <w:rFonts w:hint="eastAsia" w:ascii="宋体" w:hAnsi="宋体"/>
          <w:b/>
          <w:color w:val="000000" w:themeColor="text1"/>
          <w:sz w:val="24"/>
          <w:highlight w:val="white"/>
          <w14:textFill>
            <w14:solidFill>
              <w14:schemeClr w14:val="tx1"/>
            </w14:solidFill>
          </w14:textFill>
        </w:rPr>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响应</w:t>
      </w:r>
      <w:r>
        <w:rPr>
          <w:rFonts w:ascii="宋体" w:hAnsi="宋体"/>
          <w:color w:val="000000" w:themeColor="text1"/>
          <w:sz w:val="24"/>
          <w:highlight w:val="white"/>
          <w14:textFill>
            <w14:solidFill>
              <w14:schemeClr w14:val="tx1"/>
            </w14:solidFill>
          </w14:textFill>
        </w:rPr>
        <w:t xml:space="preserve">单位：（单位盖章）</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法定代表人或代理人：（签字或盖章）</w:t>
      </w:r>
      <w:r>
        <w:rPr>
          <w:highlight w:val="white"/>
        </w:rPr>
      </w:r>
      <w:r/>
    </w:p>
    <w:p>
      <w:pPr>
        <w:spacing w:line="380" w:lineRule="exact"/>
        <w:rPr>
          <w:rFonts w:hint="eastAsia" w:ascii="宋体" w:hAnsi="宋体"/>
          <w:color w:val="000000" w:themeColor="text1"/>
          <w:sz w:val="28"/>
          <w:szCs w:val="28"/>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日期：    年    月    日</w:t>
      </w:r>
      <w:r>
        <w:rPr>
          <w:highlight w:val="white"/>
        </w:rPr>
      </w:r>
      <w:r/>
    </w:p>
    <w:p>
      <w:pPr>
        <w:spacing w:line="360" w:lineRule="auto"/>
        <w:widowControl/>
        <w:rPr>
          <w:rFonts w:hint="eastAsia" w:ascii="宋体" w:hAnsi="宋体"/>
          <w:bCs/>
          <w:color w:val="000000" w:themeColor="text1"/>
          <w:sz w:val="24"/>
          <w:highlight w:val="white"/>
          <w14:textFill>
            <w14:solidFill>
              <w14:schemeClr w14:val="tx1"/>
            </w14:solidFill>
          </w14:textFill>
        </w:rPr>
        <w:outlineLvl w:val="1"/>
      </w:pPr>
      <w:r>
        <w:rPr>
          <w:rFonts w:hint="eastAsia" w:ascii="宋体" w:hAnsi="宋体"/>
          <w:b/>
          <w:color w:val="000000" w:themeColor="text1"/>
          <w:sz w:val="24"/>
          <w:highlight w:val="white"/>
          <w14:textFill>
            <w14:solidFill>
              <w14:schemeClr w14:val="tx1"/>
            </w14:solidFill>
          </w14:textFill>
        </w:rPr>
        <w:br w:type="page" w:clear="all"/>
      </w:r>
      <w:r>
        <w:rPr>
          <w:rFonts w:hint="eastAsia" w:ascii="宋体" w:hAnsi="宋体"/>
          <w:bCs/>
          <w:color w:val="000000" w:themeColor="text1"/>
          <w:sz w:val="24"/>
          <w:highlight w:val="white"/>
          <w14:textFill>
            <w14:solidFill>
              <w14:schemeClr w14:val="tx1"/>
            </w14:solidFill>
          </w14:textFill>
        </w:rPr>
        <w:t xml:space="preserve">16、偏离表</w:t>
      </w:r>
      <w:r>
        <w:rPr>
          <w:highlight w:val="white"/>
        </w:rPr>
      </w:r>
      <w:r/>
    </w:p>
    <w:p>
      <w:pPr>
        <w:pStyle w:val="1290"/>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jc w:val="center"/>
        <w:spacing w:line="380" w:lineRule="exact"/>
        <w:rPr>
          <w:rFonts w:hint="eastAsia" w:ascii="宋体" w:hAnsi="宋体"/>
          <w:b/>
          <w:color w:val="000000" w:themeColor="text1"/>
          <w:sz w:val="24"/>
          <w:highlight w:val="white"/>
          <w14:textFill>
            <w14:solidFill>
              <w14:schemeClr w14:val="tx1"/>
            </w14:solidFill>
          </w14:textFill>
        </w:rPr>
      </w:pPr>
      <w:r>
        <w:rPr>
          <w:rFonts w:ascii="宋体" w:hAnsi="宋体"/>
          <w:b/>
          <w:color w:val="000000" w:themeColor="text1"/>
          <w:sz w:val="24"/>
          <w:highlight w:val="white"/>
          <w14:textFill>
            <w14:solidFill>
              <w14:schemeClr w14:val="tx1"/>
            </w14:solidFill>
          </w14:textFill>
        </w:rPr>
        <w:t xml:space="preserve">偏离表</w:t>
      </w:r>
      <w:r>
        <w:rPr>
          <w:rFonts w:hint="eastAsia" w:ascii="宋体" w:hAnsi="宋体"/>
          <w:b/>
          <w:color w:val="000000" w:themeColor="text1"/>
          <w:sz w:val="24"/>
          <w:highlight w:val="white"/>
          <w14:textFill>
            <w14:solidFill>
              <w14:schemeClr w14:val="tx1"/>
            </w14:solidFill>
          </w14:textFill>
        </w:rPr>
        <w:t xml:space="preserve">（技术、商务）</w:t>
      </w:r>
      <w:r>
        <w:rPr>
          <w:highlight w:val="white"/>
        </w:rPr>
      </w:r>
      <w:r/>
    </w:p>
    <w:p>
      <w:pPr>
        <w:ind w:left="420" w:firstLine="420"/>
        <w:spacing w:after="12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tbl>
      <w:tblPr>
        <w:tblStyle w:val="913"/>
        <w:tblW w:w="8466" w:type="dxa"/>
        <w:tblInd w:w="-216"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30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采购服务要求</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响应</w:t>
            </w:r>
            <w:r>
              <w:rPr>
                <w:highlight w:val="white"/>
              </w:rPr>
            </w:r>
            <w:r/>
          </w:p>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（正偏离、负偏离、无偏离）</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偏离说明（如有）</w:t>
            </w:r>
            <w:r>
              <w:rPr>
                <w:highlight w:val="whit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r>
            <w:r>
              <w:rPr>
                <w:highlight w:val="white"/>
              </w:rPr>
            </w:r>
            <w:r/>
          </w:p>
        </w:tc>
      </w:tr>
    </w:tbl>
    <w:p>
      <w:pPr>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注：供应商</w:t>
      </w:r>
      <w:r>
        <w:rPr>
          <w:rFonts w:hint="eastAsia" w:ascii="宋体" w:hAnsi="宋体"/>
          <w:color w:val="000000" w:themeColor="text1"/>
          <w:sz w:val="24"/>
          <w:highlight w:val="white"/>
          <w14:textFill>
            <w14:solidFill>
              <w14:schemeClr w14:val="tx1"/>
            </w14:solidFill>
          </w14:textFill>
        </w:rPr>
        <w:t xml:space="preserve">应在本表中对照磋商采购文件要求逐项对应列出响应内容，并在“偏离说明”项下填写以下内容：优于的，填写“正偏离”；符合的，填写“无偏离”；低于的，填写“负偏离”。</w:t>
      </w:r>
      <w:r>
        <w:rPr>
          <w:highlight w:val="white"/>
        </w:rPr>
      </w:r>
      <w:r/>
    </w:p>
    <w:p>
      <w:pPr>
        <w:ind w:firstLine="210"/>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rPr>
          <w:highlight w:val="white"/>
        </w:rPr>
      </w:r>
      <w:r/>
    </w:p>
    <w:p>
      <w:pPr>
        <w:pStyle w:val="1290"/>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响应</w:t>
      </w:r>
      <w:r>
        <w:rPr>
          <w:rFonts w:ascii="宋体" w:hAnsi="宋体"/>
          <w:color w:val="000000" w:themeColor="text1"/>
          <w:sz w:val="24"/>
          <w:highlight w:val="white"/>
          <w14:textFill>
            <w14:solidFill>
              <w14:schemeClr w14:val="tx1"/>
            </w14:solidFill>
          </w14:textFill>
        </w:rPr>
        <w:t xml:space="preserve">单位：（单位盖章）</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法定代表人或代理人：（签字或盖章）</w:t>
      </w:r>
      <w:r>
        <w:rPr>
          <w:highlight w:val="white"/>
        </w:rPr>
      </w:r>
      <w:r/>
    </w:p>
    <w:p>
      <w:pPr>
        <w:spacing w:line="380" w:lineRule="exact"/>
        <w:rPr>
          <w:rFonts w:hint="eastAsia" w:ascii="宋体" w:hAnsi="宋体"/>
          <w:color w:val="000000" w:themeColor="text1"/>
          <w:sz w:val="28"/>
          <w:szCs w:val="28"/>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日期：    年    月    日</w:t>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br w:type="page" w:clear="all"/>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17.</w:t>
      </w:r>
      <w:r>
        <w:rPr>
          <w:rFonts w:hint="eastAsia" w:ascii="宋体" w:hAnsi="宋体" w:cs="宋体"/>
          <w:color w:val="000000" w:themeColor="text1"/>
          <w:sz w:val="24"/>
          <w:highlight w:val="white"/>
          <w14:textFill>
            <w14:solidFill>
              <w14:schemeClr w14:val="tx1"/>
            </w14:solidFill>
          </w14:textFill>
        </w:rPr>
        <w:t xml:space="preserve">附件：政府采购合同信用融资政策告知函</w:t>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center"/>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政府采购合同信用融资政策告知函</w:t>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各政府采购供应商:</w:t>
      </w:r>
      <w:r>
        <w:rPr>
          <w:highlight w:val="white"/>
        </w:rPr>
      </w:r>
      <w:r/>
    </w:p>
    <w:p>
      <w:pPr>
        <w:ind w:firstLine="480"/>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欢迎贵公司参加苏州市政府采购活动!</w:t>
      </w:r>
      <w:r>
        <w:rPr>
          <w:highlight w:val="white"/>
        </w:rPr>
      </w:r>
      <w:r/>
    </w:p>
    <w:p>
      <w:pPr>
        <w:ind w:firstLine="480"/>
        <w:jc w:val="left"/>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 </w:t>
      </w:r>
      <w:r>
        <w:rPr>
          <w:highlight w:val="white"/>
        </w:rPr>
      </w:r>
      <w:r/>
    </w:p>
    <w:p>
      <w:pPr>
        <w:jc w:val="center"/>
        <w:spacing w:line="85" w:lineRule="atLeas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（全文完）</w:t>
      </w:r>
      <w:r>
        <w:rPr>
          <w:highlight w:val="white"/>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2"/>
          <w:highlight w:val="white"/>
          <w14:textFill>
            <w14:solidFill>
              <w14:schemeClr w14:val="tx1"/>
            </w14:solidFill>
          </w14:textFill>
        </w:rPr>
        <w:t xml:space="preserve"> </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响应</w:t>
      </w:r>
      <w:r>
        <w:rPr>
          <w:rFonts w:ascii="宋体" w:hAnsi="宋体"/>
          <w:color w:val="000000" w:themeColor="text1"/>
          <w:sz w:val="24"/>
          <w:highlight w:val="white"/>
          <w14:textFill>
            <w14:solidFill>
              <w14:schemeClr w14:val="tx1"/>
            </w14:solidFill>
          </w14:textFill>
        </w:rPr>
        <w:t xml:space="preserve">单位：（单位盖章）</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法定代表人或代理人：（签字或盖章）</w:t>
      </w:r>
      <w:r>
        <w:rPr>
          <w:highlight w:val="white"/>
        </w:rPr>
      </w:r>
      <w:r/>
    </w:p>
    <w:p>
      <w:pPr>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日期：    年    月    日</w:t>
      </w:r>
      <w:r>
        <w:rPr>
          <w:highlight w:val="white"/>
        </w:rPr>
      </w:r>
      <w:r/>
    </w:p>
    <w:p>
      <w:pPr>
        <w:pStyle w:val="918"/>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rPr>
          <w:highlight w:val="white"/>
        </w:rPr>
      </w:r>
      <w:r/>
    </w:p>
    <w:p>
      <w:pPr>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br w:type="page" w:clear="all"/>
      </w:r>
      <w:r>
        <w:rPr>
          <w:highlight w:val="white"/>
        </w:rPr>
      </w:r>
      <w:r/>
    </w:p>
    <w:p>
      <w:pPr>
        <w:jc w:val="left"/>
        <w:spacing w:line="85" w:lineRule="atLeas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附件18.关于符合本国产品标准的声明函</w:t>
      </w:r>
      <w:r>
        <w:rPr>
          <w:highlight w:val="white"/>
        </w:rPr>
      </w:r>
      <w:r/>
    </w:p>
    <w:p>
      <w:pPr>
        <w:pStyle w:val="1286"/>
        <w:ind w:left="0" w:right="0" w:firstLine="0"/>
        <w:jc w:val="center"/>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333333"/>
          <w:sz w:val="21"/>
          <w:szCs w:val="21"/>
          <w:highlight w:val="whit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1"/>
          <w:szCs w:val="21"/>
          <w:highlight w:val="white"/>
          <w:shd w:val="clear" w:color="auto" w:fill="ffffff"/>
        </w:rPr>
      </w:r>
      <w:r>
        <w:rPr>
          <w:highlight w:val="white"/>
        </w:rPr>
      </w:r>
      <w:r/>
    </w:p>
    <w:p>
      <w:pPr>
        <w:pStyle w:val="1286"/>
        <w:ind w:left="0" w:right="0" w:firstLine="0"/>
        <w:jc w:val="center"/>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1"/>
          <w:szCs w:val="21"/>
          <w:highlight w:val="white"/>
          <w:shd w:val="clear" w:color="auto" w:fill="ffffff"/>
        </w:rPr>
        <w:t xml:space="preserve">关于符合本国产品标准的声明函</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white"/>
          <w:shd w:val="clear" w:color="auto" w:fill="ffffff"/>
        </w:rPr>
        <w:t xml:space="preserve"> </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1.</w:t>
      </w:r>
      <w:r>
        <w:rPr>
          <w:rFonts w:hint="eastAsia" w:ascii="宋体" w:hAnsi="宋体" w:eastAsia="宋体" w:cs="宋体"/>
          <w:color w:val="000000"/>
          <w:sz w:val="21"/>
          <w:szCs w:val="21"/>
          <w:highlight w:val="white"/>
          <w:u w:val="single"/>
          <w:shd w:val="clear" w:color="auto" w:fill="ffffff"/>
        </w:rPr>
        <w:t xml:space="preserve">（产品名称1）</w:t>
      </w:r>
      <w:r>
        <w:rPr>
          <w:rFonts w:hint="eastAsia" w:ascii="宋体" w:hAnsi="宋体" w:eastAsia="宋体" w:cs="宋体"/>
          <w:color w:val="000000"/>
          <w:sz w:val="21"/>
          <w:szCs w:val="21"/>
          <w:highlight w:val="white"/>
          <w:shd w:val="clear" w:color="auto" w:fill="ffffff"/>
          <w:vertAlign w:val="superscript"/>
        </w:rPr>
        <w:t xml:space="preserve">1</w:t>
      </w:r>
      <w:r>
        <w:rPr>
          <w:rFonts w:hint="eastAsia" w:ascii="宋体" w:hAnsi="宋体" w:eastAsia="宋体" w:cs="宋体"/>
          <w:color w:val="000000"/>
          <w:sz w:val="21"/>
          <w:szCs w:val="21"/>
          <w:highlight w:val="white"/>
          <w:shd w:val="clear" w:color="auto" w:fill="ffffff"/>
        </w:rPr>
        <w:t xml:space="preserve">，生产厂为</w:t>
      </w:r>
      <w:r>
        <w:rPr>
          <w:rFonts w:hint="eastAsia" w:ascii="宋体" w:hAnsi="宋体" w:eastAsia="宋体" w:cs="宋体"/>
          <w:color w:val="000000"/>
          <w:sz w:val="21"/>
          <w:szCs w:val="21"/>
          <w:highlight w:val="white"/>
          <w:u w:val="single"/>
          <w:shd w:val="clear" w:color="auto" w:fill="ffffff"/>
        </w:rPr>
        <w:t xml:space="preserve">（厂名）</w:t>
      </w:r>
      <w:r>
        <w:rPr>
          <w:rFonts w:hint="eastAsia" w:ascii="宋体" w:hAnsi="宋体" w:eastAsia="宋体" w:cs="宋体"/>
          <w:color w:val="000000"/>
          <w:sz w:val="21"/>
          <w:szCs w:val="21"/>
          <w:highlight w:val="white"/>
          <w:shd w:val="clear" w:color="auto" w:fill="ffffff"/>
          <w:vertAlign w:val="superscript"/>
        </w:rPr>
        <w:t xml:space="preserve">2</w:t>
      </w:r>
      <w:r>
        <w:rPr>
          <w:rFonts w:hint="eastAsia" w:ascii="宋体" w:hAnsi="宋体" w:eastAsia="宋体" w:cs="宋体"/>
          <w:color w:val="000000"/>
          <w:sz w:val="21"/>
          <w:szCs w:val="21"/>
          <w:highlight w:val="white"/>
          <w:shd w:val="clear" w:color="auto" w:fill="ffffff"/>
        </w:rPr>
        <w:t xml:space="preserve">，厂址为</w:t>
      </w:r>
      <w:r>
        <w:rPr>
          <w:rFonts w:hint="eastAsia" w:ascii="宋体" w:hAnsi="宋体" w:eastAsia="宋体" w:cs="宋体"/>
          <w:color w:val="000000"/>
          <w:sz w:val="21"/>
          <w:szCs w:val="21"/>
          <w:highlight w:val="white"/>
          <w:u w:val="single"/>
          <w:shd w:val="clear" w:color="auto" w:fill="ffffff"/>
        </w:rPr>
        <w:t xml:space="preserve">（生产厂址）</w:t>
      </w:r>
      <w:r>
        <w:rPr>
          <w:rFonts w:hint="eastAsia" w:ascii="宋体" w:hAnsi="宋体" w:eastAsia="宋体" w:cs="宋体"/>
          <w:color w:val="000000"/>
          <w:sz w:val="21"/>
          <w:szCs w:val="21"/>
          <w:highlight w:val="white"/>
          <w:shd w:val="clear" w:color="auto" w:fill="ffffff"/>
        </w:rPr>
        <w:t xml:space="preserve">。</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的中国境内生产的组件成本占比≥</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vertAlign w:val="superscript"/>
        </w:rPr>
        <w:t xml:space="preserve">3</w:t>
      </w:r>
      <w:r>
        <w:rPr>
          <w:rFonts w:hint="eastAsia" w:ascii="宋体" w:hAnsi="宋体" w:eastAsia="宋体" w:cs="宋体"/>
          <w:color w:val="000000"/>
          <w:sz w:val="21"/>
          <w:szCs w:val="21"/>
          <w:highlight w:val="white"/>
          <w:shd w:val="clear" w:color="auto" w:fill="ffffff"/>
        </w:rPr>
        <w:t xml:space="preserve">。</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的</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vertAlign w:val="superscript"/>
        </w:rPr>
        <w:t xml:space="preserve">4</w:t>
      </w:r>
      <w:r>
        <w:rPr>
          <w:rFonts w:hint="eastAsia" w:ascii="宋体" w:hAnsi="宋体" w:eastAsia="宋体" w:cs="宋体"/>
          <w:color w:val="000000"/>
          <w:sz w:val="21"/>
          <w:szCs w:val="21"/>
          <w:highlight w:val="white"/>
          <w:shd w:val="clear" w:color="auto" w:fill="ffffff"/>
        </w:rPr>
        <w:t xml:space="preserve">在中国境内生产。</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的</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vertAlign w:val="superscript"/>
        </w:rPr>
        <w:t xml:space="preserve">5</w:t>
      </w:r>
      <w:r>
        <w:rPr>
          <w:rFonts w:hint="eastAsia" w:ascii="宋体" w:hAnsi="宋体" w:eastAsia="宋体" w:cs="宋体"/>
          <w:color w:val="000000"/>
          <w:sz w:val="21"/>
          <w:szCs w:val="21"/>
          <w:highlight w:val="white"/>
          <w:shd w:val="clear" w:color="auto" w:fill="ffffff"/>
        </w:rPr>
        <w:t xml:space="preserve">在中国境内完成。</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2.</w:t>
      </w:r>
      <w:r>
        <w:rPr>
          <w:rFonts w:hint="eastAsia" w:ascii="宋体" w:hAnsi="宋体" w:eastAsia="宋体" w:cs="宋体"/>
          <w:color w:val="000000"/>
          <w:sz w:val="21"/>
          <w:szCs w:val="21"/>
          <w:highlight w:val="white"/>
          <w:u w:val="single"/>
          <w:shd w:val="clear" w:color="auto" w:fill="ffffff"/>
        </w:rPr>
        <w:t xml:space="preserve">（产品名称2）</w:t>
      </w:r>
      <w:r>
        <w:rPr>
          <w:rFonts w:hint="eastAsia" w:ascii="宋体" w:hAnsi="宋体" w:eastAsia="宋体" w:cs="宋体"/>
          <w:color w:val="000000"/>
          <w:sz w:val="21"/>
          <w:szCs w:val="21"/>
          <w:highlight w:val="white"/>
          <w:shd w:val="clear" w:color="auto" w:fill="ffffff"/>
        </w:rPr>
        <w:t xml:space="preserve">，生产厂为</w:t>
      </w:r>
      <w:r>
        <w:rPr>
          <w:rFonts w:hint="eastAsia" w:ascii="宋体" w:hAnsi="宋体" w:eastAsia="宋体" w:cs="宋体"/>
          <w:color w:val="000000"/>
          <w:sz w:val="21"/>
          <w:szCs w:val="21"/>
          <w:highlight w:val="white"/>
          <w:u w:val="single"/>
          <w:shd w:val="clear" w:color="auto" w:fill="ffffff"/>
        </w:rPr>
        <w:t xml:space="preserve">（厂名）</w:t>
      </w:r>
      <w:r>
        <w:rPr>
          <w:rFonts w:hint="eastAsia" w:ascii="宋体" w:hAnsi="宋体" w:eastAsia="宋体" w:cs="宋体"/>
          <w:color w:val="000000"/>
          <w:sz w:val="21"/>
          <w:szCs w:val="21"/>
          <w:highlight w:val="white"/>
          <w:shd w:val="clear" w:color="auto" w:fill="ffffff"/>
        </w:rPr>
        <w:t xml:space="preserve">，厂址为</w:t>
      </w:r>
      <w:r>
        <w:rPr>
          <w:rFonts w:hint="eastAsia" w:ascii="宋体" w:hAnsi="宋体" w:eastAsia="宋体" w:cs="宋体"/>
          <w:color w:val="000000"/>
          <w:sz w:val="21"/>
          <w:szCs w:val="21"/>
          <w:highlight w:val="white"/>
          <w:u w:val="single"/>
          <w:shd w:val="clear" w:color="auto" w:fill="ffffff"/>
        </w:rPr>
        <w:t xml:space="preserve">（生产厂址）</w:t>
      </w:r>
      <w:r>
        <w:rPr>
          <w:rFonts w:hint="eastAsia" w:ascii="宋体" w:hAnsi="宋体" w:eastAsia="宋体" w:cs="宋体"/>
          <w:color w:val="000000"/>
          <w:sz w:val="21"/>
          <w:szCs w:val="21"/>
          <w:highlight w:val="white"/>
          <w:shd w:val="clear" w:color="auto" w:fill="ffffff"/>
        </w:rPr>
        <w:t xml:space="preserve">。</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的中国境内生产的组件成本占比≥</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的</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在中国境内生产。</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的</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在中国境内完成。</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本公司（单位）对上述声明内容的真实性负责。如有虚假，愿承担相应法律责任。</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white"/>
          <w:shd w:val="clear" w:color="auto" w:fill="ffffff"/>
        </w:rPr>
        <w:t xml:space="preserve"> </w:t>
      </w:r>
      <w:r>
        <w:rPr>
          <w:highlight w:val="white"/>
        </w:rPr>
      </w:r>
      <w:r/>
    </w:p>
    <w:p>
      <w:pPr>
        <w:pStyle w:val="1286"/>
        <w:ind w:left="0" w:right="0" w:firstLine="0"/>
        <w:jc w:val="right"/>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   公司（单位）名称（加盖CA电子公章）：         </w:t>
      </w:r>
      <w:r>
        <w:rPr>
          <w:highlight w:val="white"/>
        </w:rPr>
      </w:r>
      <w:r/>
    </w:p>
    <w:p>
      <w:pPr>
        <w:pStyle w:val="1286"/>
        <w:ind w:left="0" w:right="0" w:firstLine="0"/>
        <w:jc w:val="center"/>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           日期：      年   月   日         </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white"/>
          <w:shd w:val="clear" w:color="auto" w:fill="ffffff"/>
        </w:rPr>
        <w:t xml:space="preserve"> </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white"/>
          <w:shd w:val="clear" w:color="auto" w:fill="ffffff"/>
        </w:rPr>
        <w:t xml:space="preserve"> </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_________________</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1.产品如有型号，请在“产品名称”栏一并填写。</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2.生产厂名与厂址应与生产厂营业执照载明的相关信息保持一致。</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3.该产品的中国境内生产的组件成本占比相关要求实施前，“规定比例”栏可不填，下同。</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4.该产品的关键组件要求实施前，“关键组件”栏可不填，下同。</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sz w:val="21"/>
          <w:szCs w:val="21"/>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5.该产品的关键工序要求实施前，“关键工序”栏可不填，下同。</w:t>
      </w:r>
      <w:r>
        <w:rPr>
          <w:highlight w:val="white"/>
        </w:rPr>
      </w:r>
      <w:r/>
    </w:p>
    <w:p>
      <w:pPr>
        <w:pStyle w:val="1286"/>
        <w:ind w:left="0" w:right="0" w:firstLine="0"/>
        <w:keepLines w:val="0"/>
        <w:keepNext w:val="0"/>
        <w:pageBreakBefore w:val="0"/>
        <w:spacing w:before="0" w:beforeAutospacing="0" w:after="0" w:afterAutospacing="0" w:line="360" w:lineRule="auto"/>
        <w:shd w:val="clear" w:color="auto" w:fill="auto"/>
        <w:widowControl/>
        <w:rPr>
          <w:rFonts w:hint="eastAsia"/>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white"/>
          <w:shd w:val="clear" w:color="auto" w:fill="ffffff"/>
        </w:rPr>
        <w:t xml:space="preserve">6.《声明函》中标注“</w:t>
      </w:r>
      <w:r>
        <w:rPr>
          <w:rFonts w:hint="eastAsia" w:ascii="宋体" w:hAnsi="宋体" w:eastAsia="宋体" w:cs="宋体"/>
          <w:color w:val="000000"/>
          <w:sz w:val="21"/>
          <w:szCs w:val="21"/>
          <w:highlight w:val="white"/>
          <w:u w:val="single"/>
          <w:shd w:val="clear" w:color="auto" w:fill="ffffff"/>
        </w:rPr>
        <w:t xml:space="preserve">  /  </w:t>
      </w:r>
      <w:r>
        <w:rPr>
          <w:rFonts w:hint="eastAsia" w:ascii="宋体" w:hAnsi="宋体" w:eastAsia="宋体" w:cs="宋体"/>
          <w:color w:val="000000"/>
          <w:sz w:val="21"/>
          <w:szCs w:val="21"/>
          <w:highlight w:val="white"/>
          <w:shd w:val="clear" w:color="auto" w:fill="ffffff"/>
        </w:rPr>
        <w:t xml:space="preserve">”的地方无需填写。</w:t>
      </w:r>
      <w:r>
        <w:rPr>
          <w:highlight w:val="white"/>
        </w:rPr>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Verdana,ˎ̥">
    <w:panose1 w:val="020B0604030504040204"/>
  </w:font>
  <w:font w:name="MS Gothic">
    <w:panose1 w:val="020B0609070205080204"/>
  </w:font>
  <w:font w:name="Symbol">
    <w:panose1 w:val="05050102010706020507"/>
  </w:font>
  <w:font w:name="Wingdings">
    <w:panose1 w:val="05000000000000000000"/>
  </w:font>
  <w:font w:name="Verdana">
    <w:panose1 w:val="020B0604030504040204"/>
  </w:font>
  <w:font w:name="印品仿宋简 Medium">
    <w:panose1 w:val="020B0503020202020204"/>
  </w:font>
  <w:font w:name="方正仿宋简体">
    <w:panose1 w:val="020B0503020202020204"/>
  </w:font>
  <w:font w:name="Tahoma">
    <w:panose1 w:val="020B0604030504040204"/>
  </w:font>
  <w:font w:name="Cambria">
    <w:panose1 w:val="02040503050406030204"/>
  </w:font>
  <w:font w:name="微软雅黑">
    <w:panose1 w:val="020B0503020204020204"/>
  </w:font>
  <w:font w:name="Calibri">
    <w:panose1 w:val="020F0502020204030204"/>
  </w:font>
  <w:font w:name="方正楷体_GB2312">
    <w:panose1 w:val="020B0503020202020204"/>
  </w:font>
  <w:font w:name="Courier New">
    <w:panose1 w:val="02070309020205020404"/>
  </w:font>
  <w:font w:name="方正仿宋_GB2312">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2599690</wp:posOffset>
              </wp:positionH>
              <wp:positionV relativeFrom="paragraph">
                <wp:posOffset>3175</wp:posOffset>
              </wp:positionV>
              <wp:extent cx="1476375" cy="1828800"/>
              <wp:effectExtent l="0" t="0" r="9525" b="1143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476375" cy="1828800"/>
                      </a:xfrm>
                      <a:prstGeom prst="rect">
                        <a:avLst/>
                      </a:prstGeom>
                      <a:noFill/>
                      <a:ln w="6350">
                        <a:noFill/>
                      </a:ln>
                      <a:effectLst/>
                    </wps:spPr>
                    <wps:txbx>
                      <w:txbxContent>
                        <w:p>
                          <w:pPr>
                            <w:pStyle w:val="923"/>
                          </w:pPr>
                          <w:r>
                            <w:t xml:space="preserve">第 </w:t>
                          </w:r>
                          <w:r>
                            <w:fldChar w:fldCharType="begin"/>
                          </w:r>
                          <w:r>
                            <w:instrText xml:space="preserve"> PAGE  \* MERGEFORMAT </w:instrText>
                          </w:r>
                          <w:r>
                            <w:fldChar w:fldCharType="separate"/>
                          </w:r>
                          <w:r>
                            <w:t xml:space="preserve">157</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04.7pt;mso-position-horizontal:absolute;mso-position-vertical-relative:text;margin-top:0.2pt;mso-position-vertical:absolute;width:116.2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157</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2599690</wp:posOffset>
              </wp:positionH>
              <wp:positionV relativeFrom="paragraph">
                <wp:posOffset>3175</wp:posOffset>
              </wp:positionV>
              <wp:extent cx="1304925" cy="161925"/>
              <wp:effectExtent l="0" t="0" r="9525" b="952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304925" cy="161925"/>
                      </a:xfrm>
                      <a:prstGeom prst="rect">
                        <a:avLst/>
                      </a:prstGeom>
                      <a:noFill/>
                      <a:ln w="6350">
                        <a:noFill/>
                      </a:ln>
                      <a:effectLst/>
                    </wps:spPr>
                    <wps:txbx>
                      <w:txbxContent>
                        <w:p>
                          <w:pPr>
                            <w:pStyle w:val="923"/>
                          </w:pPr>
                          <w:r>
                            <w:t xml:space="preserve">第 </w:t>
                          </w:r>
                          <w:r>
                            <w:fldChar w:fldCharType="begin"/>
                          </w:r>
                          <w:r>
                            <w:instrText xml:space="preserve"> PAGE  \* MERGEFORMAT </w:instrText>
                          </w:r>
                          <w:r>
                            <w:fldChar w:fldCharType="separate"/>
                          </w:r>
                          <w:r>
                            <w:t xml:space="preserve">156</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argin-left:204.7pt;mso-position-horizontal:absolute;mso-position-vertical-relative:text;margin-top:0.2pt;mso-position-vertical:absolute;width:102.8pt;height:12.8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156</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2106930</wp:posOffset>
              </wp:positionH>
              <wp:positionV relativeFrom="paragraph">
                <wp:posOffset>2540</wp:posOffset>
              </wp:positionV>
              <wp:extent cx="1666875" cy="1828800"/>
              <wp:effectExtent l="0" t="0" r="9525" b="1651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666875"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wps:txbx>
                    <wps:bodyPr wrap="squar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argin-left:165.9pt;mso-position-horizontal:absolute;mso-position-vertical-relative:text;margin-top:0.2pt;mso-position-vertical:absolute;width:131.2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right"/>
    </w:pPr>
    <w:r>
      <w:rPr>
        <w:rFonts w:hint="eastAsia"/>
      </w:rPr>
      <w:t xml:space="preserve">江苏至衡诚达工程咨询有限公司采购文件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name w:val="Heading 1"/>
    <w:basedOn w:val="902"/>
    <w:next w:val="902"/>
    <w:uiPriority w:val="9"/>
    <w:qFormat/>
    <w:pPr>
      <w:keepLines/>
      <w:keepNext/>
      <w:spacing w:before="480" w:after="200"/>
      <w:outlineLvl w:val="0"/>
    </w:pPr>
    <w:rPr>
      <w:rFonts w:ascii="Arial" w:hAnsi="Arial" w:eastAsia="Arial" w:cs="Arial"/>
      <w:sz w:val="40"/>
      <w:szCs w:val="40"/>
    </w:rPr>
  </w:style>
  <w:style w:type="paragraph" w:styleId="904">
    <w:name w:val="Heading 2"/>
    <w:basedOn w:val="902"/>
    <w:next w:val="902"/>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uiPriority w:val="9"/>
    <w:unhideWhenUsed/>
    <w:qFormat/>
    <w:pPr>
      <w:keepLines/>
      <w:keepNext/>
      <w:spacing w:before="320" w:after="200"/>
      <w:outlineLvl w:val="4"/>
    </w:pPr>
    <w:rPr>
      <w:rFonts w:ascii="Arial" w:hAnsi="Arial" w:eastAsia="Arial" w:cs="Arial"/>
      <w:b/>
      <w:bCs/>
      <w:sz w:val="24"/>
    </w:rPr>
  </w:style>
  <w:style w:type="paragraph" w:styleId="908">
    <w:name w:val="Heading 6"/>
    <w:basedOn w:val="902"/>
    <w:next w:val="902"/>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uiPriority w:val="9"/>
    <w:unhideWhenUsed/>
    <w:qFormat/>
    <w:pPr>
      <w:keepLines/>
      <w:keepNext/>
      <w:spacing w:before="320" w:after="200"/>
      <w:outlineLvl w:val="8"/>
    </w:pPr>
    <w:rPr>
      <w:rFonts w:ascii="Arial" w:hAnsi="Arial" w:eastAsia="Arial" w:cs="Arial"/>
      <w:i/>
      <w:iCs/>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toc 7"/>
    <w:basedOn w:val="902"/>
    <w:next w:val="902"/>
    <w:uiPriority w:val="39"/>
    <w:unhideWhenUsed/>
    <w:qFormat/>
    <w:pPr>
      <w:ind w:left="1701"/>
      <w:spacing w:after="57"/>
    </w:pPr>
  </w:style>
  <w:style w:type="paragraph" w:styleId="915">
    <w:name w:val="Normal Indent"/>
    <w:basedOn w:val="902"/>
    <w:next w:val="902"/>
    <w:uiPriority w:val="0"/>
    <w:qFormat/>
    <w:pPr>
      <w:ind w:left="420" w:firstLine="4772"/>
    </w:pPr>
  </w:style>
  <w:style w:type="paragraph" w:styleId="916">
    <w:name w:val="Caption"/>
    <w:basedOn w:val="902"/>
    <w:next w:val="9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7">
    <w:name w:val="annotation text"/>
    <w:basedOn w:val="902"/>
    <w:link w:val="1355"/>
    <w:uiPriority w:val="99"/>
    <w:semiHidden/>
    <w:unhideWhenUsed/>
    <w:qFormat/>
    <w:pPr>
      <w:jc w:val="left"/>
    </w:pPr>
  </w:style>
  <w:style w:type="paragraph" w:styleId="918">
    <w:name w:val="Body Text"/>
    <w:basedOn w:val="902"/>
    <w:next w:val="915"/>
    <w:uiPriority w:val="0"/>
    <w:qFormat/>
    <w:pPr>
      <w:ind w:firstLine="2560"/>
    </w:pPr>
  </w:style>
  <w:style w:type="paragraph" w:styleId="919">
    <w:name w:val="toc 5"/>
    <w:basedOn w:val="902"/>
    <w:next w:val="902"/>
    <w:uiPriority w:val="39"/>
    <w:unhideWhenUsed/>
    <w:qFormat/>
    <w:pPr>
      <w:ind w:left="1134"/>
      <w:spacing w:after="57"/>
    </w:pPr>
  </w:style>
  <w:style w:type="paragraph" w:styleId="920">
    <w:name w:val="toc 3"/>
    <w:basedOn w:val="902"/>
    <w:next w:val="902"/>
    <w:uiPriority w:val="39"/>
    <w:unhideWhenUsed/>
    <w:qFormat/>
    <w:pPr>
      <w:ind w:left="567"/>
      <w:spacing w:after="57"/>
    </w:pPr>
  </w:style>
  <w:style w:type="paragraph" w:styleId="921">
    <w:name w:val="toc 8"/>
    <w:basedOn w:val="902"/>
    <w:next w:val="902"/>
    <w:uiPriority w:val="39"/>
    <w:unhideWhenUsed/>
    <w:qFormat/>
    <w:pPr>
      <w:ind w:left="1984"/>
      <w:spacing w:after="57"/>
    </w:pPr>
  </w:style>
  <w:style w:type="paragraph" w:styleId="922">
    <w:name w:val="endnote text"/>
    <w:basedOn w:val="902"/>
    <w:uiPriority w:val="99"/>
    <w:semiHidden/>
    <w:unhideWhenUsed/>
    <w:qFormat/>
    <w:rPr>
      <w:sz w:val="20"/>
    </w:rPr>
  </w:style>
  <w:style w:type="paragraph" w:styleId="923">
    <w:name w:val="Footer"/>
    <w:basedOn w:val="902"/>
    <w:uiPriority w:val="99"/>
    <w:unhideWhenUsed/>
    <w:qFormat/>
    <w:pPr>
      <w:tabs>
        <w:tab w:val="center" w:pos="7143" w:leader="none"/>
        <w:tab w:val="right" w:pos="14287" w:leader="none"/>
      </w:tabs>
    </w:pPr>
  </w:style>
  <w:style w:type="paragraph" w:styleId="924">
    <w:name w:val="Header"/>
    <w:basedOn w:val="902"/>
    <w:uiPriority w:val="99"/>
    <w:unhideWhenUsed/>
    <w:qFormat/>
    <w:pPr>
      <w:tabs>
        <w:tab w:val="center" w:pos="7143" w:leader="none"/>
        <w:tab w:val="right" w:pos="14287" w:leader="none"/>
      </w:tabs>
    </w:pPr>
  </w:style>
  <w:style w:type="paragraph" w:styleId="925">
    <w:name w:val="toc 1"/>
    <w:basedOn w:val="902"/>
    <w:next w:val="902"/>
    <w:uiPriority w:val="39"/>
    <w:unhideWhenUsed/>
    <w:qFormat/>
    <w:pPr>
      <w:spacing w:after="57"/>
    </w:pPr>
  </w:style>
  <w:style w:type="paragraph" w:styleId="926">
    <w:name w:val="toc 4"/>
    <w:basedOn w:val="902"/>
    <w:next w:val="902"/>
    <w:uiPriority w:val="39"/>
    <w:unhideWhenUsed/>
    <w:qFormat/>
    <w:pPr>
      <w:ind w:left="850"/>
      <w:spacing w:after="57"/>
    </w:pPr>
  </w:style>
  <w:style w:type="paragraph" w:styleId="927">
    <w:name w:val="Subtitle"/>
    <w:basedOn w:val="902"/>
    <w:next w:val="902"/>
    <w:uiPriority w:val="11"/>
    <w:qFormat/>
    <w:pPr>
      <w:spacing w:before="200" w:after="200"/>
    </w:pPr>
    <w:rPr>
      <w:sz w:val="24"/>
    </w:rPr>
  </w:style>
  <w:style w:type="paragraph" w:styleId="928">
    <w:name w:val="footnote text"/>
    <w:basedOn w:val="902"/>
    <w:uiPriority w:val="99"/>
    <w:semiHidden/>
    <w:unhideWhenUsed/>
    <w:qFormat/>
    <w:pPr>
      <w:spacing w:after="40"/>
    </w:pPr>
    <w:rPr>
      <w:sz w:val="18"/>
    </w:rPr>
  </w:style>
  <w:style w:type="paragraph" w:styleId="929">
    <w:name w:val="toc 6"/>
    <w:basedOn w:val="902"/>
    <w:next w:val="902"/>
    <w:uiPriority w:val="39"/>
    <w:unhideWhenUsed/>
    <w:qFormat/>
    <w:pPr>
      <w:ind w:left="1417"/>
      <w:spacing w:after="57"/>
    </w:pPr>
  </w:style>
  <w:style w:type="paragraph" w:styleId="930">
    <w:name w:val="table of figures"/>
    <w:basedOn w:val="902"/>
    <w:next w:val="902"/>
    <w:uiPriority w:val="99"/>
    <w:unhideWhenUsed/>
    <w:qFormat/>
  </w:style>
  <w:style w:type="paragraph" w:styleId="931">
    <w:name w:val="toc 2"/>
    <w:basedOn w:val="902"/>
    <w:next w:val="902"/>
    <w:uiPriority w:val="39"/>
    <w:unhideWhenUsed/>
    <w:qFormat/>
    <w:pPr>
      <w:ind w:left="283"/>
      <w:spacing w:after="57"/>
    </w:pPr>
  </w:style>
  <w:style w:type="paragraph" w:styleId="932">
    <w:name w:val="toc 9"/>
    <w:basedOn w:val="902"/>
    <w:next w:val="902"/>
    <w:uiPriority w:val="39"/>
    <w:unhideWhenUsed/>
    <w:qFormat/>
    <w:pPr>
      <w:ind w:left="2268"/>
      <w:spacing w:after="57"/>
    </w:pPr>
  </w:style>
  <w:style w:type="paragraph" w:styleId="933">
    <w:name w:val="Title"/>
    <w:basedOn w:val="902"/>
    <w:next w:val="902"/>
    <w:uiPriority w:val="10"/>
    <w:qFormat/>
    <w:pPr>
      <w:contextualSpacing/>
      <w:spacing w:before="300" w:after="200"/>
    </w:pPr>
    <w:rPr>
      <w:sz w:val="48"/>
      <w:szCs w:val="48"/>
    </w:rPr>
  </w:style>
  <w:style w:type="table" w:styleId="9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endnote reference"/>
    <w:uiPriority w:val="99"/>
    <w:semiHidden/>
    <w:unhideWhenUsed/>
    <w:qFormat/>
    <w:rPr>
      <w:vertAlign w:val="superscript"/>
    </w:rPr>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annotation reference"/>
    <w:basedOn w:val="912"/>
    <w:uiPriority w:val="99"/>
    <w:qFormat/>
    <w:rPr>
      <w:sz w:val="16"/>
      <w:szCs w:val="16"/>
    </w:rPr>
  </w:style>
  <w:style w:type="character" w:styleId="938">
    <w:name w:val="footnote reference"/>
    <w:uiPriority w:val="99"/>
    <w:unhideWhenUsed/>
    <w:qFormat/>
    <w:rPr>
      <w:vertAlign w:val="superscript"/>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9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2"/>
    <w:basedOn w:val="9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3"/>
    <w:basedOn w:val="9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Plain Table 4"/>
    <w:basedOn w:val="9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Plain Table 5"/>
    <w:basedOn w:val="9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Grid Table 1 Light"/>
    <w:basedOn w:val="9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2"/>
    <w:basedOn w:val="9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3"/>
    <w:basedOn w:val="9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basedOn w:val="9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5 Dark"/>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6 Colorful"/>
    <w:basedOn w:val="9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7 Colorful"/>
    <w:basedOn w:val="9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1 Light"/>
    <w:basedOn w:val="9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2"/>
    <w:basedOn w:val="9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3"/>
    <w:basedOn w:val="9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w:basedOn w:val="9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5 Dark"/>
    <w:basedOn w:val="9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9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7 Colorful"/>
    <w:basedOn w:val="9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正文1"/>
    <w:basedOn w:val="902"/>
    <w:next w:val="902"/>
    <w:uiPriority w:val="0"/>
    <w:qFormat/>
    <w:pPr>
      <w:ind w:left="420" w:firstLine="527"/>
      <w:spacing w:before="120" w:line="360" w:lineRule="auto"/>
    </w:pPr>
    <w:rPr>
      <w:rFonts w:ascii="宋体" w:hAnsi="宋体"/>
    </w:rPr>
  </w:style>
  <w:style w:type="paragraph" w:styleId="962" w:customStyle="1">
    <w:name w:val="标题 113"/>
    <w:basedOn w:val="902"/>
    <w:next w:val="902"/>
    <w:uiPriority w:val="9"/>
    <w:qFormat/>
    <w:pPr>
      <w:keepLines/>
      <w:keepNext/>
      <w:spacing w:before="480" w:after="200"/>
      <w:outlineLvl w:val="0"/>
    </w:pPr>
    <w:rPr>
      <w:rFonts w:ascii="Arial" w:hAnsi="Arial" w:eastAsia="Arial" w:cs="Arial"/>
      <w:sz w:val="40"/>
      <w:szCs w:val="40"/>
    </w:rPr>
  </w:style>
  <w:style w:type="paragraph" w:styleId="963" w:customStyle="1">
    <w:name w:val="标题 212"/>
    <w:basedOn w:val="902"/>
    <w:next w:val="902"/>
    <w:uiPriority w:val="9"/>
    <w:unhideWhenUsed/>
    <w:qFormat/>
    <w:pPr>
      <w:keepLines/>
      <w:keepNext/>
      <w:spacing w:before="360" w:after="200"/>
      <w:outlineLvl w:val="1"/>
    </w:pPr>
    <w:rPr>
      <w:rFonts w:ascii="Arial" w:hAnsi="Arial" w:eastAsia="Arial" w:cs="Arial"/>
      <w:sz w:val="34"/>
    </w:rPr>
  </w:style>
  <w:style w:type="paragraph" w:styleId="964" w:customStyle="1">
    <w:name w:val="标题 312"/>
    <w:basedOn w:val="902"/>
    <w:next w:val="902"/>
    <w:uiPriority w:val="9"/>
    <w:unhideWhenUsed/>
    <w:qFormat/>
    <w:pPr>
      <w:keepLines/>
      <w:keepNext/>
      <w:spacing w:before="320" w:after="200"/>
      <w:outlineLvl w:val="2"/>
    </w:pPr>
    <w:rPr>
      <w:rFonts w:ascii="Arial" w:hAnsi="Arial" w:eastAsia="Arial" w:cs="Arial"/>
      <w:sz w:val="30"/>
      <w:szCs w:val="30"/>
    </w:rPr>
  </w:style>
  <w:style w:type="paragraph" w:styleId="965" w:customStyle="1">
    <w:name w:val="标题 413"/>
    <w:basedOn w:val="902"/>
    <w:next w:val="902"/>
    <w:uiPriority w:val="9"/>
    <w:unhideWhenUsed/>
    <w:qFormat/>
    <w:pPr>
      <w:keepLines/>
      <w:keepNext/>
      <w:spacing w:before="320" w:after="200"/>
      <w:outlineLvl w:val="3"/>
    </w:pPr>
    <w:rPr>
      <w:rFonts w:ascii="Arial" w:hAnsi="Arial" w:eastAsia="Arial" w:cs="Arial"/>
      <w:b/>
      <w:bCs/>
      <w:sz w:val="26"/>
      <w:szCs w:val="26"/>
    </w:rPr>
  </w:style>
  <w:style w:type="paragraph" w:styleId="966" w:customStyle="1">
    <w:name w:val="标题 512"/>
    <w:basedOn w:val="902"/>
    <w:next w:val="902"/>
    <w:uiPriority w:val="9"/>
    <w:unhideWhenUsed/>
    <w:qFormat/>
    <w:pPr>
      <w:keepLines/>
      <w:keepNext/>
      <w:spacing w:before="320" w:after="200"/>
      <w:outlineLvl w:val="4"/>
    </w:pPr>
    <w:rPr>
      <w:rFonts w:ascii="Arial" w:hAnsi="Arial" w:eastAsia="Arial" w:cs="Arial"/>
      <w:b/>
      <w:bCs/>
      <w:sz w:val="24"/>
    </w:rPr>
  </w:style>
  <w:style w:type="paragraph" w:styleId="967" w:customStyle="1">
    <w:name w:val="标题 612"/>
    <w:basedOn w:val="902"/>
    <w:next w:val="902"/>
    <w:uiPriority w:val="9"/>
    <w:unhideWhenUsed/>
    <w:qFormat/>
    <w:pPr>
      <w:keepLines/>
      <w:keepNext/>
      <w:spacing w:before="320" w:after="200"/>
      <w:outlineLvl w:val="5"/>
    </w:pPr>
    <w:rPr>
      <w:rFonts w:ascii="Arial" w:hAnsi="Arial" w:eastAsia="Arial" w:cs="Arial"/>
      <w:b/>
      <w:bCs/>
      <w:sz w:val="22"/>
      <w:szCs w:val="22"/>
    </w:rPr>
  </w:style>
  <w:style w:type="paragraph" w:styleId="968" w:customStyle="1">
    <w:name w:val="标题 712"/>
    <w:basedOn w:val="902"/>
    <w:next w:val="902"/>
    <w:uiPriority w:val="9"/>
    <w:unhideWhenUsed/>
    <w:qFormat/>
    <w:pPr>
      <w:keepLines/>
      <w:keepNext/>
      <w:spacing w:before="320" w:after="200"/>
      <w:outlineLvl w:val="6"/>
    </w:pPr>
    <w:rPr>
      <w:rFonts w:ascii="Arial" w:hAnsi="Arial" w:eastAsia="Arial" w:cs="Arial"/>
      <w:b/>
      <w:bCs/>
      <w:i/>
      <w:iCs/>
      <w:sz w:val="22"/>
      <w:szCs w:val="22"/>
    </w:rPr>
  </w:style>
  <w:style w:type="paragraph" w:styleId="969" w:customStyle="1">
    <w:name w:val="标题 812"/>
    <w:basedOn w:val="902"/>
    <w:next w:val="902"/>
    <w:uiPriority w:val="9"/>
    <w:unhideWhenUsed/>
    <w:qFormat/>
    <w:pPr>
      <w:keepLines/>
      <w:keepNext/>
      <w:spacing w:before="320" w:after="200"/>
      <w:outlineLvl w:val="7"/>
    </w:pPr>
    <w:rPr>
      <w:rFonts w:ascii="Arial" w:hAnsi="Arial" w:eastAsia="Arial" w:cs="Arial"/>
      <w:i/>
      <w:iCs/>
      <w:sz w:val="22"/>
      <w:szCs w:val="22"/>
    </w:rPr>
  </w:style>
  <w:style w:type="paragraph" w:styleId="970" w:customStyle="1">
    <w:name w:val="标题 912"/>
    <w:basedOn w:val="902"/>
    <w:next w:val="902"/>
    <w:uiPriority w:val="9"/>
    <w:unhideWhenUsed/>
    <w:qFormat/>
    <w:pPr>
      <w:keepLines/>
      <w:keepNext/>
      <w:spacing w:before="320" w:after="200"/>
      <w:outlineLvl w:val="8"/>
    </w:pPr>
    <w:rPr>
      <w:rFonts w:ascii="Arial" w:hAnsi="Arial" w:eastAsia="Arial" w:cs="Arial"/>
      <w:i/>
      <w:iCs/>
      <w:szCs w:val="21"/>
    </w:rPr>
  </w:style>
  <w:style w:type="character" w:styleId="971" w:customStyle="1">
    <w:name w:val="默认段落字体113"/>
    <w:uiPriority w:val="1"/>
    <w:unhideWhenUsed/>
    <w:qFormat/>
  </w:style>
  <w:style w:type="table" w:styleId="972" w:customStyle="1">
    <w:name w:val="普通表格13"/>
    <w:uiPriority w:val="99"/>
    <w:unhideWhenUsed/>
    <w:qFormat/>
    <w:tblPr>
      <w:tblCellMar>
        <w:left w:w="0" w:type="dxa"/>
        <w:top w:w="0" w:type="dxa"/>
        <w:right w:w="0" w:type="dxa"/>
        <w:bottom w:w="0" w:type="dxa"/>
      </w:tblCellMar>
    </w:tblPr>
  </w:style>
  <w:style w:type="paragraph" w:styleId="973" w:customStyle="1">
    <w:name w:val="目录 712"/>
    <w:basedOn w:val="902"/>
    <w:next w:val="902"/>
    <w:uiPriority w:val="39"/>
    <w:unhideWhenUsed/>
    <w:qFormat/>
    <w:pPr>
      <w:ind w:left="1701"/>
      <w:spacing w:after="57"/>
    </w:pPr>
  </w:style>
  <w:style w:type="paragraph" w:styleId="974" w:customStyle="1">
    <w:name w:val="正文缩进14"/>
    <w:basedOn w:val="902"/>
    <w:uiPriority w:val="0"/>
    <w:qFormat/>
    <w:pPr>
      <w:ind w:left="420" w:firstLine="4772"/>
    </w:pPr>
  </w:style>
  <w:style w:type="paragraph" w:styleId="975" w:customStyle="1">
    <w:name w:val="题注12"/>
    <w:basedOn w:val="902"/>
    <w:next w:val="902"/>
    <w:uiPriority w:val="35"/>
    <w:unhideWhenUsed/>
    <w:qFormat/>
    <w:pPr>
      <w:spacing w:line="276" w:lineRule="auto"/>
    </w:pPr>
    <w:rPr>
      <w:b/>
      <w:bCs/>
      <w:color w:val="4f81bd"/>
      <w:sz w:val="18"/>
      <w:szCs w:val="18"/>
    </w:rPr>
  </w:style>
  <w:style w:type="paragraph" w:styleId="976" w:customStyle="1">
    <w:name w:val="正文文本12"/>
    <w:basedOn w:val="902"/>
    <w:next w:val="902"/>
    <w:uiPriority w:val="0"/>
    <w:qFormat/>
    <w:pPr>
      <w:ind w:firstLine="2560"/>
    </w:pPr>
  </w:style>
  <w:style w:type="paragraph" w:styleId="977" w:customStyle="1">
    <w:name w:val="正文文本缩进112"/>
    <w:basedOn w:val="902"/>
    <w:next w:val="902"/>
    <w:uiPriority w:val="0"/>
    <w:qFormat/>
    <w:pPr>
      <w:ind w:firstLine="570"/>
    </w:pPr>
    <w:rPr>
      <w:rFonts w:ascii="宋体"/>
      <w:sz w:val="28"/>
      <w:szCs w:val="20"/>
    </w:rPr>
  </w:style>
  <w:style w:type="paragraph" w:styleId="978" w:customStyle="1">
    <w:name w:val="文本块11"/>
    <w:basedOn w:val="902"/>
    <w:uiPriority w:val="0"/>
    <w:qFormat/>
    <w:pPr>
      <w:ind w:left="630" w:right="-609" w:firstLine="420"/>
      <w:spacing w:line="360" w:lineRule="auto"/>
    </w:pPr>
    <w:rPr>
      <w:rFonts w:hint="eastAsia" w:ascii="方正仿宋_GB2312" w:eastAsia="方正仿宋_GB2312"/>
      <w:szCs w:val="20"/>
    </w:rPr>
  </w:style>
  <w:style w:type="paragraph" w:styleId="979" w:customStyle="1">
    <w:name w:val="目录 513"/>
    <w:basedOn w:val="902"/>
    <w:next w:val="902"/>
    <w:uiPriority w:val="39"/>
    <w:unhideWhenUsed/>
    <w:qFormat/>
    <w:pPr>
      <w:ind w:left="1134"/>
      <w:spacing w:after="57"/>
    </w:pPr>
  </w:style>
  <w:style w:type="paragraph" w:styleId="980" w:customStyle="1">
    <w:name w:val="目录 313"/>
    <w:basedOn w:val="902"/>
    <w:next w:val="902"/>
    <w:uiPriority w:val="39"/>
    <w:unhideWhenUsed/>
    <w:qFormat/>
    <w:pPr>
      <w:ind w:left="567"/>
      <w:spacing w:after="57"/>
    </w:pPr>
  </w:style>
  <w:style w:type="paragraph" w:styleId="981" w:customStyle="1">
    <w:name w:val="纯文本13"/>
    <w:basedOn w:val="902"/>
    <w:uiPriority w:val="0"/>
    <w:qFormat/>
    <w:rPr>
      <w:rFonts w:ascii="宋体" w:hAnsi="Courier New" w:eastAsia="方正楷体_GB2312"/>
      <w:sz w:val="28"/>
      <w:szCs w:val="20"/>
    </w:rPr>
  </w:style>
  <w:style w:type="paragraph" w:styleId="982" w:customStyle="1">
    <w:name w:val="目录 812"/>
    <w:basedOn w:val="902"/>
    <w:next w:val="902"/>
    <w:uiPriority w:val="39"/>
    <w:unhideWhenUsed/>
    <w:qFormat/>
    <w:pPr>
      <w:ind w:left="1984"/>
      <w:spacing w:after="57"/>
    </w:pPr>
  </w:style>
  <w:style w:type="paragraph" w:styleId="983" w:customStyle="1">
    <w:name w:val="正文文本缩进 212"/>
    <w:basedOn w:val="902"/>
    <w:next w:val="984"/>
    <w:uiPriority w:val="0"/>
    <w:qFormat/>
    <w:pPr>
      <w:ind w:left="420"/>
      <w:spacing w:after="120" w:line="480" w:lineRule="auto"/>
    </w:pPr>
  </w:style>
  <w:style w:type="paragraph" w:styleId="984" w:customStyle="1">
    <w:name w:val="索引 91"/>
    <w:basedOn w:val="902"/>
    <w:next w:val="902"/>
    <w:uiPriority w:val="0"/>
    <w:semiHidden/>
    <w:qFormat/>
    <w:pPr>
      <w:ind w:left="1600"/>
    </w:pPr>
  </w:style>
  <w:style w:type="paragraph" w:styleId="985" w:customStyle="1">
    <w:name w:val="尾注文本12"/>
    <w:basedOn w:val="902"/>
    <w:uiPriority w:val="99"/>
    <w:unhideWhenUsed/>
    <w:qFormat/>
    <w:rPr>
      <w:sz w:val="20"/>
    </w:rPr>
  </w:style>
  <w:style w:type="paragraph" w:styleId="986" w:customStyle="1">
    <w:name w:val="页脚14"/>
    <w:basedOn w:val="902"/>
    <w:uiPriority w:val="99"/>
    <w:unhideWhenUsed/>
    <w:qFormat/>
    <w:pPr>
      <w:tabs>
        <w:tab w:val="center" w:pos="7143" w:leader="none"/>
        <w:tab w:val="right" w:pos="14287" w:leader="none"/>
      </w:tabs>
    </w:pPr>
  </w:style>
  <w:style w:type="paragraph" w:styleId="987" w:customStyle="1">
    <w:name w:val="页眉14"/>
    <w:basedOn w:val="902"/>
    <w:uiPriority w:val="99"/>
    <w:unhideWhenUsed/>
    <w:qFormat/>
    <w:pPr>
      <w:tabs>
        <w:tab w:val="center" w:pos="7143" w:leader="none"/>
        <w:tab w:val="right" w:pos="14287" w:leader="none"/>
      </w:tabs>
    </w:pPr>
  </w:style>
  <w:style w:type="paragraph" w:styleId="988" w:customStyle="1">
    <w:name w:val="目录 113"/>
    <w:basedOn w:val="902"/>
    <w:next w:val="902"/>
    <w:uiPriority w:val="39"/>
    <w:unhideWhenUsed/>
    <w:qFormat/>
    <w:pPr>
      <w:spacing w:after="57"/>
    </w:pPr>
  </w:style>
  <w:style w:type="paragraph" w:styleId="989" w:customStyle="1">
    <w:name w:val="目录 412"/>
    <w:basedOn w:val="902"/>
    <w:next w:val="902"/>
    <w:uiPriority w:val="39"/>
    <w:unhideWhenUsed/>
    <w:qFormat/>
    <w:pPr>
      <w:ind w:left="850"/>
      <w:spacing w:after="57"/>
    </w:pPr>
  </w:style>
  <w:style w:type="paragraph" w:styleId="990" w:customStyle="1">
    <w:name w:val="副标题12"/>
    <w:basedOn w:val="902"/>
    <w:next w:val="902"/>
    <w:uiPriority w:val="11"/>
    <w:qFormat/>
    <w:pPr>
      <w:spacing w:before="200" w:after="200"/>
    </w:pPr>
    <w:rPr>
      <w:sz w:val="24"/>
    </w:rPr>
  </w:style>
  <w:style w:type="paragraph" w:styleId="991" w:customStyle="1">
    <w:name w:val="脚注文本13"/>
    <w:basedOn w:val="902"/>
    <w:uiPriority w:val="99"/>
    <w:unhideWhenUsed/>
    <w:qFormat/>
    <w:pPr>
      <w:spacing w:after="40"/>
    </w:pPr>
    <w:rPr>
      <w:sz w:val="18"/>
    </w:rPr>
  </w:style>
  <w:style w:type="paragraph" w:styleId="992" w:customStyle="1">
    <w:name w:val="目录 612"/>
    <w:basedOn w:val="902"/>
    <w:next w:val="902"/>
    <w:uiPriority w:val="39"/>
    <w:unhideWhenUsed/>
    <w:qFormat/>
    <w:pPr>
      <w:ind w:left="1417"/>
      <w:spacing w:after="57"/>
    </w:pPr>
  </w:style>
  <w:style w:type="paragraph" w:styleId="993" w:customStyle="1">
    <w:name w:val="图表目录12"/>
    <w:basedOn w:val="902"/>
    <w:next w:val="902"/>
    <w:uiPriority w:val="99"/>
    <w:unhideWhenUsed/>
    <w:qFormat/>
  </w:style>
  <w:style w:type="paragraph" w:styleId="994" w:customStyle="1">
    <w:name w:val="目录 213"/>
    <w:basedOn w:val="902"/>
    <w:next w:val="902"/>
    <w:uiPriority w:val="39"/>
    <w:unhideWhenUsed/>
    <w:qFormat/>
    <w:pPr>
      <w:ind w:left="283"/>
      <w:spacing w:after="57"/>
    </w:pPr>
  </w:style>
  <w:style w:type="paragraph" w:styleId="995" w:customStyle="1">
    <w:name w:val="目录 912"/>
    <w:basedOn w:val="902"/>
    <w:next w:val="902"/>
    <w:uiPriority w:val="39"/>
    <w:unhideWhenUsed/>
    <w:qFormat/>
    <w:pPr>
      <w:ind w:left="2268"/>
      <w:spacing w:after="57"/>
    </w:pPr>
  </w:style>
  <w:style w:type="paragraph" w:styleId="996" w:customStyle="1">
    <w:name w:val="普通(网站)12"/>
    <w:basedOn w:val="902"/>
    <w:uiPriority w:val="99"/>
    <w:unhideWhenUsed/>
    <w:qFormat/>
    <w:pPr>
      <w:jc w:val="left"/>
      <w:spacing w:before="100" w:beforeAutospacing="1" w:after="100" w:afterAutospacing="1"/>
    </w:pPr>
    <w:rPr>
      <w:sz w:val="24"/>
    </w:rPr>
  </w:style>
  <w:style w:type="paragraph" w:styleId="997" w:customStyle="1">
    <w:name w:val="标题12"/>
    <w:basedOn w:val="902"/>
    <w:next w:val="902"/>
    <w:uiPriority w:val="10"/>
    <w:qFormat/>
    <w:pPr>
      <w:contextualSpacing/>
      <w:spacing w:before="300" w:after="200"/>
    </w:pPr>
    <w:rPr>
      <w:sz w:val="48"/>
      <w:szCs w:val="48"/>
    </w:rPr>
  </w:style>
  <w:style w:type="paragraph" w:styleId="998" w:customStyle="1">
    <w:name w:val="正文首行缩进 212"/>
    <w:basedOn w:val="977"/>
    <w:next w:val="983"/>
    <w:uiPriority w:val="0"/>
    <w:qFormat/>
    <w:pPr>
      <w:ind w:firstLine="420"/>
    </w:pPr>
  </w:style>
  <w:style w:type="table" w:styleId="999" w:customStyle="1">
    <w:name w:val="网格型13"/>
    <w:uiPriority w:val="59"/>
    <w:qFormat/>
    <w:tblPr>
      <w:tblCellMar>
        <w:left w:w="0" w:type="dxa"/>
        <w:top w:w="0" w:type="dxa"/>
        <w:right w:w="0" w:type="dxa"/>
        <w:bottom w:w="0" w:type="dxa"/>
      </w:tblCellMar>
    </w:tblPr>
  </w:style>
  <w:style w:type="character" w:styleId="1000" w:customStyle="1">
    <w:name w:val="要点11"/>
    <w:basedOn w:val="971"/>
    <w:uiPriority w:val="22"/>
    <w:qFormat/>
    <w:rPr>
      <w:b/>
    </w:rPr>
  </w:style>
  <w:style w:type="character" w:styleId="1001" w:customStyle="1">
    <w:name w:val="尾注引用12"/>
    <w:uiPriority w:val="99"/>
    <w:unhideWhenUsed/>
    <w:qFormat/>
    <w:rPr>
      <w:vertAlign w:val="superscript"/>
    </w:rPr>
  </w:style>
  <w:style w:type="character" w:styleId="1002" w:customStyle="1">
    <w:name w:val="页码111"/>
    <w:uiPriority w:val="0"/>
    <w:qFormat/>
  </w:style>
  <w:style w:type="character" w:styleId="1003" w:customStyle="1">
    <w:name w:val="强调1"/>
    <w:basedOn w:val="971"/>
    <w:uiPriority w:val="20"/>
    <w:qFormat/>
    <w:rPr>
      <w:i/>
    </w:rPr>
  </w:style>
  <w:style w:type="character" w:styleId="1004" w:customStyle="1">
    <w:name w:val="超链接13"/>
    <w:uiPriority w:val="99"/>
    <w:unhideWhenUsed/>
    <w:qFormat/>
    <w:rPr>
      <w:color w:val="0000ff"/>
      <w:u w:val="single"/>
    </w:rPr>
  </w:style>
  <w:style w:type="character" w:styleId="1005" w:customStyle="1">
    <w:name w:val="脚注引用13"/>
    <w:uiPriority w:val="99"/>
    <w:unhideWhenUsed/>
    <w:qFormat/>
    <w:rPr>
      <w:vertAlign w:val="superscript"/>
    </w:rPr>
  </w:style>
  <w:style w:type="paragraph" w:styleId="1006" w:customStyle="1">
    <w:name w:val="段"/>
    <w:next w:val="902"/>
    <w:uiPriority w:val="0"/>
    <w:qFormat/>
    <w:pPr>
      <w:ind w:firstLine="200"/>
      <w:jc w:val="both"/>
    </w:pPr>
    <w:rPr>
      <w:rFonts w:hint="default" w:ascii="宋体" w:hAnsi="Times New Roman" w:eastAsia="宋体" w:cs="Times New Roman"/>
      <w:sz w:val="21"/>
      <w:lang w:val="en-US" w:eastAsia="zh-CN" w:bidi="ar-SA"/>
    </w:rPr>
  </w:style>
  <w:style w:type="character" w:styleId="1007" w:customStyle="1">
    <w:name w:val="要点1"/>
    <w:uiPriority w:val="0"/>
    <w:qFormat/>
    <w:rPr>
      <w:rFonts w:ascii="Times New Roman" w:hAnsi="Times New Roman" w:eastAsia="宋体" w:cs="Times New Roman"/>
      <w:b/>
    </w:rPr>
  </w:style>
  <w:style w:type="paragraph" w:styleId="1008" w:customStyle="1">
    <w:name w:val="标题 112"/>
    <w:basedOn w:val="902"/>
    <w:next w:val="902"/>
    <w:link w:val="1009"/>
    <w:uiPriority w:val="9"/>
    <w:qFormat/>
    <w:pPr>
      <w:keepLines/>
      <w:keepNext/>
      <w:spacing w:before="480" w:after="200"/>
      <w:outlineLvl w:val="0"/>
    </w:pPr>
    <w:rPr>
      <w:rFonts w:ascii="Arial" w:hAnsi="Arial" w:eastAsia="Arial" w:cs="Arial"/>
      <w:sz w:val="40"/>
      <w:szCs w:val="40"/>
    </w:rPr>
  </w:style>
  <w:style w:type="character" w:styleId="1009" w:customStyle="1">
    <w:name w:val="Heading 1 Char"/>
    <w:link w:val="1008"/>
    <w:uiPriority w:val="9"/>
    <w:qFormat/>
    <w:rPr>
      <w:rFonts w:ascii="Arial" w:hAnsi="Arial" w:eastAsia="Arial" w:cs="Arial"/>
      <w:sz w:val="40"/>
      <w:szCs w:val="40"/>
    </w:rPr>
  </w:style>
  <w:style w:type="paragraph" w:styleId="1010" w:customStyle="1">
    <w:name w:val="标题 211"/>
    <w:basedOn w:val="902"/>
    <w:next w:val="902"/>
    <w:link w:val="1011"/>
    <w:uiPriority w:val="9"/>
    <w:unhideWhenUsed/>
    <w:qFormat/>
    <w:pPr>
      <w:keepLines/>
      <w:keepNext/>
      <w:spacing w:before="360" w:after="200"/>
      <w:outlineLvl w:val="1"/>
    </w:pPr>
    <w:rPr>
      <w:rFonts w:ascii="Arial" w:hAnsi="Arial" w:eastAsia="Arial" w:cs="Arial"/>
      <w:sz w:val="34"/>
    </w:rPr>
  </w:style>
  <w:style w:type="character" w:styleId="1011" w:customStyle="1">
    <w:name w:val="Heading 2 Char"/>
    <w:link w:val="1010"/>
    <w:uiPriority w:val="9"/>
    <w:qFormat/>
    <w:rPr>
      <w:rFonts w:ascii="Arial" w:hAnsi="Arial" w:eastAsia="Arial" w:cs="Arial"/>
      <w:sz w:val="34"/>
    </w:rPr>
  </w:style>
  <w:style w:type="paragraph" w:styleId="1012" w:customStyle="1">
    <w:name w:val="标题 311"/>
    <w:basedOn w:val="902"/>
    <w:next w:val="902"/>
    <w:link w:val="1013"/>
    <w:uiPriority w:val="9"/>
    <w:unhideWhenUsed/>
    <w:qFormat/>
    <w:pPr>
      <w:keepLines/>
      <w:keepNext/>
      <w:spacing w:before="320" w:after="200"/>
      <w:outlineLvl w:val="2"/>
    </w:pPr>
    <w:rPr>
      <w:rFonts w:ascii="Arial" w:hAnsi="Arial" w:eastAsia="Arial" w:cs="Arial"/>
      <w:sz w:val="30"/>
      <w:szCs w:val="30"/>
    </w:rPr>
  </w:style>
  <w:style w:type="character" w:styleId="1013" w:customStyle="1">
    <w:name w:val="Heading 3 Char"/>
    <w:link w:val="1012"/>
    <w:uiPriority w:val="9"/>
    <w:qFormat/>
    <w:rPr>
      <w:rFonts w:ascii="Arial" w:hAnsi="Arial" w:eastAsia="Arial" w:cs="Arial"/>
      <w:sz w:val="30"/>
      <w:szCs w:val="30"/>
    </w:rPr>
  </w:style>
  <w:style w:type="paragraph" w:styleId="1014" w:customStyle="1">
    <w:name w:val="标题 412"/>
    <w:basedOn w:val="902"/>
    <w:next w:val="902"/>
    <w:link w:val="1015"/>
    <w:uiPriority w:val="9"/>
    <w:unhideWhenUsed/>
    <w:qFormat/>
    <w:pPr>
      <w:keepLines/>
      <w:keepNext/>
      <w:spacing w:before="320" w:after="200"/>
      <w:outlineLvl w:val="3"/>
    </w:pPr>
    <w:rPr>
      <w:rFonts w:ascii="Arial" w:hAnsi="Arial" w:eastAsia="Arial" w:cs="Arial"/>
      <w:b/>
      <w:bCs/>
      <w:sz w:val="26"/>
      <w:szCs w:val="26"/>
    </w:rPr>
  </w:style>
  <w:style w:type="character" w:styleId="1015" w:customStyle="1">
    <w:name w:val="Heading 4 Char"/>
    <w:link w:val="1014"/>
    <w:uiPriority w:val="9"/>
    <w:qFormat/>
    <w:rPr>
      <w:rFonts w:ascii="Arial" w:hAnsi="Arial" w:eastAsia="Arial" w:cs="Arial"/>
      <w:b/>
      <w:bCs/>
      <w:sz w:val="26"/>
      <w:szCs w:val="26"/>
    </w:rPr>
  </w:style>
  <w:style w:type="paragraph" w:styleId="1016" w:customStyle="1">
    <w:name w:val="标题 511"/>
    <w:basedOn w:val="902"/>
    <w:next w:val="902"/>
    <w:link w:val="1017"/>
    <w:uiPriority w:val="9"/>
    <w:unhideWhenUsed/>
    <w:qFormat/>
    <w:pPr>
      <w:keepLines/>
      <w:keepNext/>
      <w:spacing w:before="320" w:after="200"/>
      <w:outlineLvl w:val="4"/>
    </w:pPr>
    <w:rPr>
      <w:rFonts w:ascii="Arial" w:hAnsi="Arial" w:eastAsia="Arial" w:cs="Arial"/>
      <w:b/>
      <w:bCs/>
      <w:sz w:val="24"/>
    </w:rPr>
  </w:style>
  <w:style w:type="character" w:styleId="1017" w:customStyle="1">
    <w:name w:val="Heading 5 Char"/>
    <w:link w:val="1016"/>
    <w:uiPriority w:val="9"/>
    <w:qFormat/>
    <w:rPr>
      <w:rFonts w:ascii="Arial" w:hAnsi="Arial" w:eastAsia="Arial" w:cs="Arial"/>
      <w:b/>
      <w:bCs/>
      <w:sz w:val="24"/>
      <w:szCs w:val="24"/>
    </w:rPr>
  </w:style>
  <w:style w:type="paragraph" w:styleId="1018" w:customStyle="1">
    <w:name w:val="标题 611"/>
    <w:basedOn w:val="902"/>
    <w:next w:val="902"/>
    <w:link w:val="1019"/>
    <w:uiPriority w:val="9"/>
    <w:unhideWhenUsed/>
    <w:qFormat/>
    <w:pPr>
      <w:keepLines/>
      <w:keepNext/>
      <w:spacing w:before="320" w:after="200"/>
      <w:outlineLvl w:val="5"/>
    </w:pPr>
    <w:rPr>
      <w:rFonts w:ascii="Arial" w:hAnsi="Arial" w:eastAsia="Arial" w:cs="Arial"/>
      <w:b/>
      <w:bCs/>
      <w:sz w:val="22"/>
      <w:szCs w:val="22"/>
    </w:rPr>
  </w:style>
  <w:style w:type="character" w:styleId="1019" w:customStyle="1">
    <w:name w:val="Heading 6 Char"/>
    <w:link w:val="1018"/>
    <w:uiPriority w:val="9"/>
    <w:qFormat/>
    <w:rPr>
      <w:rFonts w:ascii="Arial" w:hAnsi="Arial" w:eastAsia="Arial" w:cs="Arial"/>
      <w:b/>
      <w:bCs/>
      <w:sz w:val="22"/>
      <w:szCs w:val="22"/>
    </w:rPr>
  </w:style>
  <w:style w:type="paragraph" w:styleId="1020" w:customStyle="1">
    <w:name w:val="标题 711"/>
    <w:basedOn w:val="902"/>
    <w:next w:val="902"/>
    <w:link w:val="1021"/>
    <w:uiPriority w:val="9"/>
    <w:unhideWhenUsed/>
    <w:qFormat/>
    <w:pPr>
      <w:keepLines/>
      <w:keepNext/>
      <w:spacing w:before="320" w:after="200"/>
      <w:outlineLvl w:val="6"/>
    </w:pPr>
    <w:rPr>
      <w:rFonts w:ascii="Arial" w:hAnsi="Arial" w:eastAsia="Arial" w:cs="Arial"/>
      <w:b/>
      <w:bCs/>
      <w:i/>
      <w:iCs/>
      <w:sz w:val="22"/>
      <w:szCs w:val="22"/>
    </w:rPr>
  </w:style>
  <w:style w:type="character" w:styleId="1021" w:customStyle="1">
    <w:name w:val="Heading 7 Char"/>
    <w:link w:val="1020"/>
    <w:uiPriority w:val="9"/>
    <w:qFormat/>
    <w:rPr>
      <w:rFonts w:ascii="Arial" w:hAnsi="Arial" w:eastAsia="Arial" w:cs="Arial"/>
      <w:b/>
      <w:bCs/>
      <w:i/>
      <w:iCs/>
      <w:sz w:val="22"/>
      <w:szCs w:val="22"/>
    </w:rPr>
  </w:style>
  <w:style w:type="paragraph" w:styleId="1022" w:customStyle="1">
    <w:name w:val="标题 811"/>
    <w:basedOn w:val="902"/>
    <w:next w:val="902"/>
    <w:link w:val="1023"/>
    <w:uiPriority w:val="9"/>
    <w:unhideWhenUsed/>
    <w:qFormat/>
    <w:pPr>
      <w:keepLines/>
      <w:keepNext/>
      <w:spacing w:before="320" w:after="200"/>
      <w:outlineLvl w:val="7"/>
    </w:pPr>
    <w:rPr>
      <w:rFonts w:ascii="Arial" w:hAnsi="Arial" w:eastAsia="Arial" w:cs="Arial"/>
      <w:i/>
      <w:iCs/>
      <w:sz w:val="22"/>
      <w:szCs w:val="22"/>
    </w:rPr>
  </w:style>
  <w:style w:type="character" w:styleId="1023" w:customStyle="1">
    <w:name w:val="Heading 8 Char"/>
    <w:link w:val="1022"/>
    <w:uiPriority w:val="9"/>
    <w:qFormat/>
    <w:rPr>
      <w:rFonts w:ascii="Arial" w:hAnsi="Arial" w:eastAsia="Arial" w:cs="Arial"/>
      <w:i/>
      <w:iCs/>
      <w:sz w:val="22"/>
      <w:szCs w:val="22"/>
    </w:rPr>
  </w:style>
  <w:style w:type="paragraph" w:styleId="1024" w:customStyle="1">
    <w:name w:val="标题 911"/>
    <w:basedOn w:val="902"/>
    <w:next w:val="902"/>
    <w:link w:val="1025"/>
    <w:uiPriority w:val="9"/>
    <w:unhideWhenUsed/>
    <w:qFormat/>
    <w:pPr>
      <w:keepLines/>
      <w:keepNext/>
      <w:spacing w:before="320" w:after="200"/>
      <w:outlineLvl w:val="8"/>
    </w:pPr>
    <w:rPr>
      <w:rFonts w:ascii="Arial" w:hAnsi="Arial" w:eastAsia="Arial" w:cs="Arial"/>
      <w:i/>
      <w:iCs/>
      <w:szCs w:val="21"/>
    </w:rPr>
  </w:style>
  <w:style w:type="character" w:styleId="1025" w:customStyle="1">
    <w:name w:val="Heading 9 Char"/>
    <w:link w:val="1024"/>
    <w:uiPriority w:val="9"/>
    <w:qFormat/>
    <w:rPr>
      <w:rFonts w:ascii="Arial" w:hAnsi="Arial" w:eastAsia="Arial" w:cs="Arial"/>
      <w:i/>
      <w:iCs/>
      <w:sz w:val="21"/>
      <w:szCs w:val="21"/>
    </w:rPr>
  </w:style>
  <w:style w:type="character" w:styleId="1026" w:customStyle="1">
    <w:name w:val="默认段落字体112"/>
    <w:uiPriority w:val="1"/>
    <w:unhideWhenUsed/>
    <w:qFormat/>
  </w:style>
  <w:style w:type="table" w:styleId="1027" w:customStyle="1">
    <w:name w:val="普通表格12"/>
    <w:uiPriority w:val="99"/>
    <w:unhideWhenUsed/>
    <w:qFormat/>
    <w:tblPr>
      <w:tblCellMar>
        <w:left w:w="0" w:type="dxa"/>
        <w:top w:w="0" w:type="dxa"/>
        <w:right w:w="0" w:type="dxa"/>
        <w:bottom w:w="0" w:type="dxa"/>
      </w:tblCellMar>
    </w:tblPr>
  </w:style>
  <w:style w:type="paragraph" w:styleId="1028" w:customStyle="1">
    <w:name w:val="目录 711"/>
    <w:basedOn w:val="902"/>
    <w:next w:val="902"/>
    <w:uiPriority w:val="39"/>
    <w:unhideWhenUsed/>
    <w:qFormat/>
    <w:pPr>
      <w:ind w:left="1701"/>
      <w:spacing w:after="57"/>
    </w:pPr>
  </w:style>
  <w:style w:type="paragraph" w:styleId="1029" w:customStyle="1">
    <w:name w:val="题注11"/>
    <w:basedOn w:val="902"/>
    <w:next w:val="902"/>
    <w:uiPriority w:val="35"/>
    <w:unhideWhenUsed/>
    <w:qFormat/>
    <w:pPr>
      <w:spacing w:line="276" w:lineRule="auto"/>
    </w:pPr>
    <w:rPr>
      <w:b/>
      <w:bCs/>
      <w:color w:val="4f81bd"/>
      <w:sz w:val="18"/>
      <w:szCs w:val="18"/>
    </w:rPr>
  </w:style>
  <w:style w:type="paragraph" w:styleId="1030" w:customStyle="1">
    <w:name w:val="目录 512"/>
    <w:basedOn w:val="902"/>
    <w:next w:val="902"/>
    <w:uiPriority w:val="39"/>
    <w:unhideWhenUsed/>
    <w:qFormat/>
    <w:pPr>
      <w:ind w:left="1134"/>
      <w:spacing w:after="57"/>
    </w:pPr>
  </w:style>
  <w:style w:type="paragraph" w:styleId="1031" w:customStyle="1">
    <w:name w:val="目录 312"/>
    <w:basedOn w:val="902"/>
    <w:next w:val="902"/>
    <w:uiPriority w:val="39"/>
    <w:unhideWhenUsed/>
    <w:qFormat/>
    <w:pPr>
      <w:ind w:left="567"/>
      <w:spacing w:after="57"/>
    </w:pPr>
  </w:style>
  <w:style w:type="paragraph" w:styleId="1032" w:customStyle="1">
    <w:name w:val="目录 811"/>
    <w:basedOn w:val="902"/>
    <w:next w:val="902"/>
    <w:uiPriority w:val="39"/>
    <w:unhideWhenUsed/>
    <w:qFormat/>
    <w:pPr>
      <w:ind w:left="1984"/>
      <w:spacing w:after="57"/>
    </w:pPr>
  </w:style>
  <w:style w:type="paragraph" w:styleId="1033" w:customStyle="1">
    <w:name w:val="尾注文本11"/>
    <w:basedOn w:val="902"/>
    <w:link w:val="1034"/>
    <w:uiPriority w:val="99"/>
    <w:unhideWhenUsed/>
    <w:qFormat/>
    <w:rPr>
      <w:sz w:val="20"/>
    </w:rPr>
  </w:style>
  <w:style w:type="character" w:styleId="1034" w:customStyle="1">
    <w:name w:val="Endnote Text Char"/>
    <w:link w:val="1033"/>
    <w:uiPriority w:val="99"/>
    <w:qFormat/>
    <w:rPr>
      <w:sz w:val="20"/>
    </w:rPr>
  </w:style>
  <w:style w:type="paragraph" w:styleId="1035" w:customStyle="1">
    <w:name w:val="页脚13"/>
    <w:basedOn w:val="902"/>
    <w:link w:val="1036"/>
    <w:uiPriority w:val="99"/>
    <w:unhideWhenUsed/>
    <w:qFormat/>
    <w:pPr>
      <w:tabs>
        <w:tab w:val="center" w:pos="7143" w:leader="none"/>
        <w:tab w:val="right" w:pos="14287" w:leader="none"/>
      </w:tabs>
    </w:pPr>
  </w:style>
  <w:style w:type="character" w:styleId="1036" w:customStyle="1">
    <w:name w:val="Footer Char"/>
    <w:link w:val="1035"/>
    <w:uiPriority w:val="99"/>
    <w:qFormat/>
  </w:style>
  <w:style w:type="paragraph" w:styleId="1037" w:customStyle="1">
    <w:name w:val="页眉13"/>
    <w:basedOn w:val="902"/>
    <w:link w:val="1038"/>
    <w:uiPriority w:val="99"/>
    <w:unhideWhenUsed/>
    <w:qFormat/>
    <w:pPr>
      <w:tabs>
        <w:tab w:val="center" w:pos="7143" w:leader="none"/>
        <w:tab w:val="right" w:pos="14287" w:leader="none"/>
      </w:tabs>
    </w:pPr>
  </w:style>
  <w:style w:type="character" w:styleId="1038" w:customStyle="1">
    <w:name w:val="Header Char"/>
    <w:link w:val="1037"/>
    <w:uiPriority w:val="99"/>
    <w:qFormat/>
  </w:style>
  <w:style w:type="paragraph" w:styleId="1039" w:customStyle="1">
    <w:name w:val="目录 112"/>
    <w:basedOn w:val="902"/>
    <w:next w:val="902"/>
    <w:uiPriority w:val="39"/>
    <w:unhideWhenUsed/>
    <w:qFormat/>
    <w:pPr>
      <w:spacing w:after="57"/>
    </w:pPr>
  </w:style>
  <w:style w:type="paragraph" w:styleId="1040" w:customStyle="1">
    <w:name w:val="目录 411"/>
    <w:basedOn w:val="902"/>
    <w:next w:val="902"/>
    <w:uiPriority w:val="39"/>
    <w:unhideWhenUsed/>
    <w:qFormat/>
    <w:pPr>
      <w:ind w:left="850"/>
      <w:spacing w:after="57"/>
    </w:pPr>
  </w:style>
  <w:style w:type="paragraph" w:styleId="1041" w:customStyle="1">
    <w:name w:val="副标题11"/>
    <w:basedOn w:val="902"/>
    <w:next w:val="902"/>
    <w:link w:val="1042"/>
    <w:uiPriority w:val="11"/>
    <w:qFormat/>
    <w:pPr>
      <w:spacing w:before="200" w:after="200"/>
    </w:pPr>
    <w:rPr>
      <w:sz w:val="24"/>
    </w:rPr>
  </w:style>
  <w:style w:type="character" w:styleId="1042" w:customStyle="1">
    <w:name w:val="Subtitle Char"/>
    <w:link w:val="1041"/>
    <w:uiPriority w:val="11"/>
    <w:qFormat/>
    <w:rPr>
      <w:sz w:val="24"/>
      <w:szCs w:val="24"/>
    </w:rPr>
  </w:style>
  <w:style w:type="paragraph" w:styleId="1043" w:customStyle="1">
    <w:name w:val="脚注文本12"/>
    <w:basedOn w:val="902"/>
    <w:link w:val="1044"/>
    <w:uiPriority w:val="99"/>
    <w:unhideWhenUsed/>
    <w:qFormat/>
    <w:pPr>
      <w:spacing w:after="40"/>
    </w:pPr>
    <w:rPr>
      <w:sz w:val="18"/>
    </w:rPr>
  </w:style>
  <w:style w:type="character" w:styleId="1044" w:customStyle="1">
    <w:name w:val="Footnote Text Char"/>
    <w:link w:val="1043"/>
    <w:uiPriority w:val="99"/>
    <w:qFormat/>
    <w:rPr>
      <w:sz w:val="18"/>
    </w:rPr>
  </w:style>
  <w:style w:type="paragraph" w:styleId="1045" w:customStyle="1">
    <w:name w:val="目录 611"/>
    <w:basedOn w:val="902"/>
    <w:next w:val="902"/>
    <w:uiPriority w:val="39"/>
    <w:unhideWhenUsed/>
    <w:qFormat/>
    <w:pPr>
      <w:ind w:left="1417"/>
      <w:spacing w:after="57"/>
    </w:pPr>
  </w:style>
  <w:style w:type="paragraph" w:styleId="1046" w:customStyle="1">
    <w:name w:val="图表目录11"/>
    <w:basedOn w:val="902"/>
    <w:next w:val="902"/>
    <w:uiPriority w:val="99"/>
    <w:unhideWhenUsed/>
    <w:qFormat/>
  </w:style>
  <w:style w:type="paragraph" w:styleId="1047" w:customStyle="1">
    <w:name w:val="目录 212"/>
    <w:basedOn w:val="902"/>
    <w:next w:val="902"/>
    <w:uiPriority w:val="39"/>
    <w:unhideWhenUsed/>
    <w:qFormat/>
    <w:pPr>
      <w:ind w:left="283"/>
      <w:spacing w:after="57"/>
    </w:pPr>
  </w:style>
  <w:style w:type="paragraph" w:styleId="1048" w:customStyle="1">
    <w:name w:val="目录 911"/>
    <w:basedOn w:val="902"/>
    <w:next w:val="902"/>
    <w:uiPriority w:val="39"/>
    <w:unhideWhenUsed/>
    <w:qFormat/>
    <w:pPr>
      <w:ind w:left="2268"/>
      <w:spacing w:after="57"/>
    </w:pPr>
  </w:style>
  <w:style w:type="paragraph" w:styleId="1049" w:customStyle="1">
    <w:name w:val="标题11"/>
    <w:basedOn w:val="902"/>
    <w:next w:val="902"/>
    <w:link w:val="1050"/>
    <w:uiPriority w:val="10"/>
    <w:qFormat/>
    <w:pPr>
      <w:contextualSpacing/>
      <w:spacing w:before="300" w:after="200"/>
    </w:pPr>
    <w:rPr>
      <w:sz w:val="48"/>
      <w:szCs w:val="48"/>
    </w:rPr>
  </w:style>
  <w:style w:type="character" w:styleId="1050" w:customStyle="1">
    <w:name w:val="Title Char"/>
    <w:link w:val="1049"/>
    <w:uiPriority w:val="10"/>
    <w:qFormat/>
    <w:rPr>
      <w:sz w:val="48"/>
      <w:szCs w:val="48"/>
    </w:rPr>
  </w:style>
  <w:style w:type="table" w:styleId="1051" w:customStyle="1">
    <w:name w:val="网格型12"/>
    <w:uiPriority w:val="59"/>
    <w:qFormat/>
    <w:tblPr>
      <w:tblCellMar>
        <w:left w:w="0" w:type="dxa"/>
        <w:top w:w="0" w:type="dxa"/>
        <w:right w:w="0" w:type="dxa"/>
        <w:bottom w:w="0" w:type="dxa"/>
      </w:tblCellMar>
    </w:tblPr>
  </w:style>
  <w:style w:type="character" w:styleId="1052" w:customStyle="1">
    <w:name w:val="尾注引用11"/>
    <w:uiPriority w:val="99"/>
    <w:unhideWhenUsed/>
    <w:qFormat/>
    <w:rPr>
      <w:vertAlign w:val="superscript"/>
    </w:rPr>
  </w:style>
  <w:style w:type="character" w:styleId="1053" w:customStyle="1">
    <w:name w:val="超链接12"/>
    <w:uiPriority w:val="99"/>
    <w:unhideWhenUsed/>
    <w:qFormat/>
    <w:rPr>
      <w:color w:val="0000ff"/>
      <w:u w:val="single"/>
    </w:rPr>
  </w:style>
  <w:style w:type="character" w:styleId="1054" w:customStyle="1">
    <w:name w:val="脚注引用12"/>
    <w:uiPriority w:val="99"/>
    <w:unhideWhenUsed/>
    <w:qFormat/>
    <w:rPr>
      <w:vertAlign w:val="superscript"/>
    </w:rPr>
  </w:style>
  <w:style w:type="paragraph" w:styleId="1055" w:customStyle="1">
    <w:name w:val="首行缩进"/>
    <w:basedOn w:val="902"/>
    <w:uiPriority w:val="0"/>
    <w:qFormat/>
    <w:pPr>
      <w:ind w:firstLine="480"/>
    </w:pPr>
    <w:rPr>
      <w:rFonts w:ascii="Calibri" w:hAnsi="Calibri"/>
      <w:lang w:val="zh-CN"/>
    </w:rPr>
  </w:style>
  <w:style w:type="character" w:styleId="1056" w:customStyle="1">
    <w:name w:val="NormalCharacter1"/>
    <w:uiPriority w:val="0"/>
    <w:qFormat/>
    <w:rPr>
      <w:sz w:val="21"/>
      <w:szCs w:val="24"/>
      <w:lang w:val="en-US" w:eastAsia="zh-CN" w:bidi="ar-SA"/>
    </w:rPr>
  </w:style>
  <w:style w:type="paragraph" w:styleId="1057">
    <w:name w:val="List Paragraph"/>
    <w:basedOn w:val="902"/>
    <w:uiPriority w:val="34"/>
    <w:qFormat/>
    <w:pPr>
      <w:contextualSpacing/>
      <w:ind w:left="720"/>
    </w:pPr>
  </w:style>
  <w:style w:type="paragraph" w:styleId="1058">
    <w:name w:val="No Spacing"/>
    <w:uiPriority w:val="1"/>
    <w:qFormat/>
    <w:rPr>
      <w:rFonts w:hint="default" w:ascii="Times New Roman" w:hAnsi="Times New Roman" w:eastAsia="宋体" w:cs="Times New Roman"/>
      <w:lang w:val="en-US" w:eastAsia="zh-CN" w:bidi="ar-SA"/>
    </w:rPr>
  </w:style>
  <w:style w:type="paragraph" w:styleId="1059">
    <w:name w:val="Quote"/>
    <w:basedOn w:val="902"/>
    <w:next w:val="902"/>
    <w:link w:val="1060"/>
    <w:uiPriority w:val="29"/>
    <w:qFormat/>
    <w:pPr>
      <w:ind w:left="720" w:right="720"/>
    </w:pPr>
    <w:rPr>
      <w:i/>
    </w:rPr>
  </w:style>
  <w:style w:type="character" w:styleId="1060" w:customStyle="1">
    <w:name w:val="引用 字符1"/>
    <w:link w:val="1059"/>
    <w:uiPriority w:val="29"/>
    <w:qFormat/>
    <w:rPr>
      <w:i/>
    </w:rPr>
  </w:style>
  <w:style w:type="paragraph" w:styleId="1061">
    <w:name w:val="Intense Quote"/>
    <w:basedOn w:val="902"/>
    <w:next w:val="902"/>
    <w:link w:val="10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2" w:customStyle="1">
    <w:name w:val="明显引用 字符1"/>
    <w:link w:val="1061"/>
    <w:uiPriority w:val="30"/>
    <w:qFormat/>
    <w:rPr>
      <w:i/>
    </w:rPr>
  </w:style>
  <w:style w:type="paragraph" w:styleId="1063" w:customStyle="1">
    <w:name w:val="标题 111"/>
    <w:basedOn w:val="902"/>
    <w:next w:val="902"/>
    <w:link w:val="1064"/>
    <w:uiPriority w:val="9"/>
    <w:qFormat/>
    <w:pPr>
      <w:keepLines/>
      <w:keepNext/>
      <w:spacing w:before="480" w:after="200"/>
      <w:outlineLvl w:val="0"/>
    </w:pPr>
    <w:rPr>
      <w:rFonts w:ascii="Arial" w:hAnsi="Arial" w:eastAsia="Arial" w:cs="Arial"/>
      <w:sz w:val="40"/>
      <w:szCs w:val="40"/>
    </w:rPr>
  </w:style>
  <w:style w:type="character" w:styleId="1064" w:customStyle="1">
    <w:name w:val="标题 1 字符1"/>
    <w:link w:val="1063"/>
    <w:uiPriority w:val="9"/>
    <w:qFormat/>
    <w:rPr>
      <w:rFonts w:ascii="Arial" w:hAnsi="Arial" w:eastAsia="Arial" w:cs="Arial"/>
      <w:sz w:val="40"/>
      <w:szCs w:val="40"/>
    </w:rPr>
  </w:style>
  <w:style w:type="paragraph" w:styleId="1065" w:customStyle="1">
    <w:name w:val="标题 21"/>
    <w:basedOn w:val="902"/>
    <w:next w:val="902"/>
    <w:link w:val="1066"/>
    <w:uiPriority w:val="9"/>
    <w:qFormat/>
    <w:pPr>
      <w:keepLines/>
      <w:keepNext/>
      <w:spacing w:before="360" w:after="200"/>
      <w:outlineLvl w:val="1"/>
    </w:pPr>
    <w:rPr>
      <w:rFonts w:ascii="Arial" w:hAnsi="Arial" w:eastAsia="Arial" w:cs="Arial"/>
      <w:sz w:val="34"/>
    </w:rPr>
  </w:style>
  <w:style w:type="character" w:styleId="1066" w:customStyle="1">
    <w:name w:val="标题 2 字符"/>
    <w:link w:val="1065"/>
    <w:uiPriority w:val="9"/>
    <w:qFormat/>
    <w:rPr>
      <w:rFonts w:ascii="Arial" w:hAnsi="Arial" w:eastAsia="Arial" w:cs="Arial"/>
      <w:sz w:val="34"/>
    </w:rPr>
  </w:style>
  <w:style w:type="paragraph" w:styleId="1067" w:customStyle="1">
    <w:name w:val="标题 31"/>
    <w:basedOn w:val="902"/>
    <w:next w:val="902"/>
    <w:link w:val="1068"/>
    <w:uiPriority w:val="9"/>
    <w:qFormat/>
    <w:pPr>
      <w:keepLines/>
      <w:keepNext/>
      <w:spacing w:before="320" w:after="200"/>
      <w:outlineLvl w:val="2"/>
    </w:pPr>
    <w:rPr>
      <w:rFonts w:ascii="Arial" w:hAnsi="Arial" w:eastAsia="Arial" w:cs="Arial"/>
      <w:sz w:val="30"/>
      <w:szCs w:val="30"/>
    </w:rPr>
  </w:style>
  <w:style w:type="character" w:styleId="1068" w:customStyle="1">
    <w:name w:val="标题 3 字符"/>
    <w:link w:val="1067"/>
    <w:uiPriority w:val="9"/>
    <w:qFormat/>
    <w:rPr>
      <w:rFonts w:ascii="Arial" w:hAnsi="Arial" w:eastAsia="Arial" w:cs="Arial"/>
      <w:sz w:val="30"/>
      <w:szCs w:val="30"/>
    </w:rPr>
  </w:style>
  <w:style w:type="paragraph" w:styleId="1069" w:customStyle="1">
    <w:name w:val="标题 411"/>
    <w:basedOn w:val="902"/>
    <w:next w:val="902"/>
    <w:link w:val="1070"/>
    <w:uiPriority w:val="9"/>
    <w:qFormat/>
    <w:pPr>
      <w:keepLines/>
      <w:keepNext/>
      <w:spacing w:before="320" w:after="200"/>
      <w:outlineLvl w:val="3"/>
    </w:pPr>
    <w:rPr>
      <w:rFonts w:ascii="Arial" w:hAnsi="Arial" w:eastAsia="Arial" w:cs="Arial"/>
      <w:b/>
      <w:bCs/>
      <w:sz w:val="26"/>
      <w:szCs w:val="26"/>
    </w:rPr>
  </w:style>
  <w:style w:type="character" w:styleId="1070" w:customStyle="1">
    <w:name w:val="标题 4 字符1"/>
    <w:link w:val="1069"/>
    <w:uiPriority w:val="9"/>
    <w:qFormat/>
    <w:rPr>
      <w:rFonts w:ascii="Arial" w:hAnsi="Arial" w:eastAsia="Arial" w:cs="Arial"/>
      <w:b/>
      <w:bCs/>
      <w:sz w:val="26"/>
      <w:szCs w:val="26"/>
    </w:rPr>
  </w:style>
  <w:style w:type="paragraph" w:styleId="1071" w:customStyle="1">
    <w:name w:val="标题 51"/>
    <w:basedOn w:val="902"/>
    <w:next w:val="902"/>
    <w:link w:val="1072"/>
    <w:uiPriority w:val="9"/>
    <w:qFormat/>
    <w:pPr>
      <w:keepLines/>
      <w:keepNext/>
      <w:spacing w:before="320" w:after="200"/>
      <w:outlineLvl w:val="4"/>
    </w:pPr>
    <w:rPr>
      <w:rFonts w:ascii="Arial" w:hAnsi="Arial" w:eastAsia="Arial" w:cs="Arial"/>
      <w:b/>
      <w:bCs/>
      <w:sz w:val="24"/>
    </w:rPr>
  </w:style>
  <w:style w:type="character" w:styleId="1072" w:customStyle="1">
    <w:name w:val="标题 5 字符"/>
    <w:link w:val="1071"/>
    <w:uiPriority w:val="9"/>
    <w:qFormat/>
    <w:rPr>
      <w:rFonts w:ascii="Arial" w:hAnsi="Arial" w:eastAsia="Arial" w:cs="Arial"/>
      <w:b/>
      <w:bCs/>
      <w:sz w:val="24"/>
      <w:szCs w:val="24"/>
    </w:rPr>
  </w:style>
  <w:style w:type="paragraph" w:styleId="1073" w:customStyle="1">
    <w:name w:val="标题 61"/>
    <w:basedOn w:val="902"/>
    <w:next w:val="902"/>
    <w:link w:val="1074"/>
    <w:uiPriority w:val="9"/>
    <w:qFormat/>
    <w:pPr>
      <w:keepLines/>
      <w:keepNext/>
      <w:spacing w:before="320" w:after="200"/>
      <w:outlineLvl w:val="5"/>
    </w:pPr>
    <w:rPr>
      <w:rFonts w:ascii="Arial" w:hAnsi="Arial" w:eastAsia="Arial" w:cs="Arial"/>
      <w:b/>
      <w:bCs/>
      <w:sz w:val="22"/>
      <w:szCs w:val="22"/>
    </w:rPr>
  </w:style>
  <w:style w:type="character" w:styleId="1074" w:customStyle="1">
    <w:name w:val="标题 6 字符"/>
    <w:link w:val="1073"/>
    <w:uiPriority w:val="9"/>
    <w:qFormat/>
    <w:rPr>
      <w:rFonts w:ascii="Arial" w:hAnsi="Arial" w:eastAsia="Arial" w:cs="Arial"/>
      <w:b/>
      <w:bCs/>
      <w:sz w:val="22"/>
      <w:szCs w:val="22"/>
    </w:rPr>
  </w:style>
  <w:style w:type="paragraph" w:styleId="1075" w:customStyle="1">
    <w:name w:val="标题 71"/>
    <w:basedOn w:val="902"/>
    <w:next w:val="902"/>
    <w:link w:val="1076"/>
    <w:uiPriority w:val="9"/>
    <w:qFormat/>
    <w:pPr>
      <w:keepLines/>
      <w:keepNext/>
      <w:spacing w:before="320" w:after="200"/>
      <w:outlineLvl w:val="6"/>
    </w:pPr>
    <w:rPr>
      <w:rFonts w:ascii="Arial" w:hAnsi="Arial" w:eastAsia="Arial" w:cs="Arial"/>
      <w:b/>
      <w:bCs/>
      <w:i/>
      <w:iCs/>
      <w:sz w:val="22"/>
      <w:szCs w:val="22"/>
    </w:rPr>
  </w:style>
  <w:style w:type="character" w:styleId="1076" w:customStyle="1">
    <w:name w:val="标题 7 字符"/>
    <w:link w:val="1075"/>
    <w:uiPriority w:val="9"/>
    <w:qFormat/>
    <w:rPr>
      <w:rFonts w:ascii="Arial" w:hAnsi="Arial" w:eastAsia="Arial" w:cs="Arial"/>
      <w:b/>
      <w:bCs/>
      <w:i/>
      <w:iCs/>
      <w:sz w:val="22"/>
      <w:szCs w:val="22"/>
    </w:rPr>
  </w:style>
  <w:style w:type="paragraph" w:styleId="1077" w:customStyle="1">
    <w:name w:val="标题 81"/>
    <w:basedOn w:val="902"/>
    <w:next w:val="902"/>
    <w:link w:val="1078"/>
    <w:uiPriority w:val="9"/>
    <w:qFormat/>
    <w:pPr>
      <w:keepLines/>
      <w:keepNext/>
      <w:spacing w:before="320" w:after="200"/>
      <w:outlineLvl w:val="7"/>
    </w:pPr>
    <w:rPr>
      <w:rFonts w:ascii="Arial" w:hAnsi="Arial" w:eastAsia="Arial" w:cs="Arial"/>
      <w:i/>
      <w:iCs/>
      <w:sz w:val="22"/>
      <w:szCs w:val="22"/>
    </w:rPr>
  </w:style>
  <w:style w:type="character" w:styleId="1078" w:customStyle="1">
    <w:name w:val="标题 8 字符"/>
    <w:link w:val="1077"/>
    <w:uiPriority w:val="9"/>
    <w:qFormat/>
    <w:rPr>
      <w:rFonts w:ascii="Arial" w:hAnsi="Arial" w:eastAsia="Arial" w:cs="Arial"/>
      <w:i/>
      <w:iCs/>
      <w:sz w:val="22"/>
      <w:szCs w:val="22"/>
    </w:rPr>
  </w:style>
  <w:style w:type="paragraph" w:styleId="1079" w:customStyle="1">
    <w:name w:val="标题 91"/>
    <w:basedOn w:val="902"/>
    <w:next w:val="902"/>
    <w:link w:val="1080"/>
    <w:uiPriority w:val="9"/>
    <w:qFormat/>
    <w:pPr>
      <w:keepLines/>
      <w:keepNext/>
      <w:spacing w:before="320" w:after="200"/>
      <w:outlineLvl w:val="8"/>
    </w:pPr>
    <w:rPr>
      <w:rFonts w:ascii="Arial" w:hAnsi="Arial" w:eastAsia="Arial" w:cs="Arial"/>
      <w:i/>
      <w:iCs/>
      <w:szCs w:val="21"/>
    </w:rPr>
  </w:style>
  <w:style w:type="character" w:styleId="1080" w:customStyle="1">
    <w:name w:val="标题 9 字符"/>
    <w:link w:val="1079"/>
    <w:uiPriority w:val="9"/>
    <w:qFormat/>
    <w:rPr>
      <w:rFonts w:ascii="Arial" w:hAnsi="Arial" w:eastAsia="Arial" w:cs="Arial"/>
      <w:i/>
      <w:iCs/>
      <w:sz w:val="21"/>
      <w:szCs w:val="21"/>
    </w:rPr>
  </w:style>
  <w:style w:type="character" w:styleId="1081" w:customStyle="1">
    <w:name w:val="默认段落字体111"/>
    <w:uiPriority w:val="1"/>
    <w:unhideWhenUsed/>
    <w:qFormat/>
  </w:style>
  <w:style w:type="table" w:styleId="1082" w:customStyle="1">
    <w:name w:val="普通表格11"/>
    <w:uiPriority w:val="99"/>
    <w:unhideWhenUsed/>
    <w:qFormat/>
    <w:tblPr>
      <w:tblCellMar>
        <w:left w:w="0" w:type="dxa"/>
        <w:top w:w="0" w:type="dxa"/>
        <w:right w:w="0" w:type="dxa"/>
        <w:bottom w:w="0" w:type="dxa"/>
      </w:tblCellMar>
    </w:tblPr>
  </w:style>
  <w:style w:type="paragraph" w:styleId="1083" w:customStyle="1">
    <w:name w:val="目录 71"/>
    <w:basedOn w:val="902"/>
    <w:next w:val="902"/>
    <w:uiPriority w:val="39"/>
    <w:unhideWhenUsed/>
    <w:qFormat/>
    <w:pPr>
      <w:ind w:left="1701"/>
      <w:spacing w:after="57"/>
    </w:pPr>
  </w:style>
  <w:style w:type="paragraph" w:styleId="1084" w:customStyle="1">
    <w:name w:val="正文缩进13"/>
    <w:basedOn w:val="902"/>
    <w:uiPriority w:val="0"/>
    <w:qFormat/>
    <w:pPr>
      <w:ind w:firstLine="420"/>
      <w:jc w:val="left"/>
      <w:widowControl/>
    </w:pPr>
    <w:rPr>
      <w:rFonts w:eastAsia="方正楷体_GB2312"/>
      <w:sz w:val="24"/>
      <w:szCs w:val="20"/>
    </w:rPr>
  </w:style>
  <w:style w:type="paragraph" w:styleId="1085" w:customStyle="1">
    <w:name w:val="题注1"/>
    <w:basedOn w:val="902"/>
    <w:next w:val="902"/>
    <w:uiPriority w:val="35"/>
    <w:qFormat/>
    <w:pPr>
      <w:spacing w:line="276" w:lineRule="auto"/>
    </w:pPr>
    <w:rPr>
      <w:b/>
      <w:bCs/>
      <w:color w:val="4f81bd"/>
      <w:sz w:val="18"/>
      <w:szCs w:val="18"/>
    </w:rPr>
  </w:style>
  <w:style w:type="paragraph" w:styleId="1086" w:customStyle="1">
    <w:name w:val="正文文本11"/>
    <w:basedOn w:val="902"/>
    <w:uiPriority w:val="0"/>
    <w:qFormat/>
    <w:pPr>
      <w:spacing w:after="120"/>
    </w:pPr>
  </w:style>
  <w:style w:type="paragraph" w:styleId="1087" w:customStyle="1">
    <w:name w:val="正文文本缩进111"/>
    <w:basedOn w:val="902"/>
    <w:next w:val="1088"/>
    <w:uiPriority w:val="0"/>
    <w:qFormat/>
    <w:pPr>
      <w:ind w:left="420"/>
      <w:spacing w:after="120"/>
    </w:pPr>
  </w:style>
  <w:style w:type="paragraph" w:styleId="1088" w:customStyle="1">
    <w:name w:val="寄信人地址12"/>
    <w:basedOn w:val="902"/>
    <w:uiPriority w:val="99"/>
    <w:unhideWhenUsed/>
    <w:qFormat/>
    <w:rPr>
      <w:rFonts w:ascii="Cambria" w:hAnsi="Cambria"/>
    </w:rPr>
  </w:style>
  <w:style w:type="paragraph" w:styleId="1089" w:customStyle="1">
    <w:name w:val="目录 511"/>
    <w:basedOn w:val="902"/>
    <w:next w:val="902"/>
    <w:uiPriority w:val="39"/>
    <w:unhideWhenUsed/>
    <w:qFormat/>
    <w:pPr>
      <w:ind w:left="1134"/>
      <w:spacing w:after="57"/>
    </w:pPr>
  </w:style>
  <w:style w:type="paragraph" w:styleId="1090" w:customStyle="1">
    <w:name w:val="目录 311"/>
    <w:basedOn w:val="902"/>
    <w:next w:val="902"/>
    <w:uiPriority w:val="39"/>
    <w:unhideWhenUsed/>
    <w:qFormat/>
    <w:pPr>
      <w:ind w:left="567"/>
      <w:spacing w:after="57"/>
    </w:pPr>
  </w:style>
  <w:style w:type="paragraph" w:styleId="1091" w:customStyle="1">
    <w:name w:val="纯文本12"/>
    <w:basedOn w:val="902"/>
    <w:uiPriority w:val="0"/>
    <w:qFormat/>
    <w:rPr>
      <w:rFonts w:ascii="宋体" w:hAnsi="Courier New" w:eastAsia="方正楷体_GB2312"/>
      <w:sz w:val="26"/>
    </w:rPr>
  </w:style>
  <w:style w:type="paragraph" w:styleId="1092" w:customStyle="1">
    <w:name w:val="目录 81"/>
    <w:basedOn w:val="902"/>
    <w:next w:val="902"/>
    <w:uiPriority w:val="39"/>
    <w:unhideWhenUsed/>
    <w:qFormat/>
    <w:pPr>
      <w:ind w:left="1984"/>
      <w:spacing w:after="57"/>
    </w:pPr>
  </w:style>
  <w:style w:type="paragraph" w:styleId="1093" w:customStyle="1">
    <w:name w:val="正文文本缩进 211"/>
    <w:basedOn w:val="902"/>
    <w:uiPriority w:val="0"/>
    <w:qFormat/>
    <w:pPr>
      <w:ind w:left="1" w:firstLine="480"/>
      <w:spacing w:line="400" w:lineRule="exact"/>
      <w:tabs>
        <w:tab w:val="left" w:pos="360" w:leader="none"/>
      </w:tabs>
    </w:pPr>
    <w:rPr>
      <w:sz w:val="24"/>
    </w:rPr>
  </w:style>
  <w:style w:type="paragraph" w:styleId="1094" w:customStyle="1">
    <w:name w:val="尾注文本1"/>
    <w:basedOn w:val="902"/>
    <w:link w:val="1095"/>
    <w:uiPriority w:val="99"/>
    <w:unhideWhenUsed/>
    <w:qFormat/>
    <w:rPr>
      <w:sz w:val="20"/>
    </w:rPr>
  </w:style>
  <w:style w:type="character" w:styleId="1095" w:customStyle="1">
    <w:name w:val="尾注文本 字符"/>
    <w:link w:val="1094"/>
    <w:uiPriority w:val="99"/>
    <w:qFormat/>
    <w:rPr>
      <w:sz w:val="20"/>
    </w:rPr>
  </w:style>
  <w:style w:type="paragraph" w:styleId="1096" w:customStyle="1">
    <w:name w:val="批注框文本11"/>
    <w:basedOn w:val="902"/>
    <w:uiPriority w:val="0"/>
    <w:qFormat/>
    <w:rPr>
      <w:sz w:val="16"/>
      <w:szCs w:val="16"/>
    </w:rPr>
  </w:style>
  <w:style w:type="paragraph" w:styleId="1097" w:customStyle="1">
    <w:name w:val="页脚12"/>
    <w:basedOn w:val="902"/>
    <w:link w:val="1099"/>
    <w:uiPriority w:val="99"/>
    <w:unhideWhenUsed/>
    <w:qFormat/>
    <w:pPr>
      <w:tabs>
        <w:tab w:val="center" w:pos="7143" w:leader="none"/>
        <w:tab w:val="right" w:pos="14287" w:leader="none"/>
      </w:tabs>
    </w:pPr>
  </w:style>
  <w:style w:type="character" w:styleId="1098" w:customStyle="1">
    <w:name w:val="页脚 字符1"/>
    <w:uiPriority w:val="99"/>
    <w:qFormat/>
  </w:style>
  <w:style w:type="character" w:styleId="1099" w:customStyle="1">
    <w:name w:val="Caption Char"/>
    <w:link w:val="1097"/>
    <w:uiPriority w:val="99"/>
    <w:qFormat/>
  </w:style>
  <w:style w:type="paragraph" w:styleId="1100" w:customStyle="1">
    <w:name w:val="页眉12"/>
    <w:basedOn w:val="902"/>
    <w:link w:val="1101"/>
    <w:uiPriority w:val="99"/>
    <w:unhideWhenUsed/>
    <w:qFormat/>
    <w:pPr>
      <w:tabs>
        <w:tab w:val="center" w:pos="7143" w:leader="none"/>
        <w:tab w:val="right" w:pos="14287" w:leader="none"/>
      </w:tabs>
    </w:pPr>
  </w:style>
  <w:style w:type="character" w:styleId="1101" w:customStyle="1">
    <w:name w:val="页眉 字符1"/>
    <w:link w:val="1100"/>
    <w:uiPriority w:val="99"/>
    <w:qFormat/>
  </w:style>
  <w:style w:type="paragraph" w:styleId="1102" w:customStyle="1">
    <w:name w:val="目录 111"/>
    <w:basedOn w:val="902"/>
    <w:next w:val="902"/>
    <w:uiPriority w:val="39"/>
    <w:unhideWhenUsed/>
    <w:qFormat/>
    <w:pPr>
      <w:spacing w:after="57"/>
    </w:pPr>
  </w:style>
  <w:style w:type="paragraph" w:styleId="1103" w:customStyle="1">
    <w:name w:val="目录 41"/>
    <w:basedOn w:val="902"/>
    <w:next w:val="902"/>
    <w:uiPriority w:val="39"/>
    <w:unhideWhenUsed/>
    <w:qFormat/>
    <w:pPr>
      <w:ind w:left="850"/>
      <w:spacing w:after="57"/>
    </w:pPr>
  </w:style>
  <w:style w:type="paragraph" w:styleId="1104" w:customStyle="1">
    <w:name w:val="副标题1"/>
    <w:basedOn w:val="902"/>
    <w:next w:val="902"/>
    <w:link w:val="1105"/>
    <w:uiPriority w:val="11"/>
    <w:qFormat/>
    <w:pPr>
      <w:spacing w:before="200" w:after="200"/>
    </w:pPr>
    <w:rPr>
      <w:sz w:val="24"/>
    </w:rPr>
  </w:style>
  <w:style w:type="character" w:styleId="1105" w:customStyle="1">
    <w:name w:val="副标题 字符"/>
    <w:link w:val="1104"/>
    <w:uiPriority w:val="11"/>
    <w:qFormat/>
    <w:rPr>
      <w:sz w:val="24"/>
      <w:szCs w:val="24"/>
    </w:rPr>
  </w:style>
  <w:style w:type="paragraph" w:styleId="1106" w:customStyle="1">
    <w:name w:val="脚注文本11"/>
    <w:basedOn w:val="902"/>
    <w:link w:val="1107"/>
    <w:uiPriority w:val="99"/>
    <w:unhideWhenUsed/>
    <w:qFormat/>
    <w:pPr>
      <w:spacing w:after="40"/>
    </w:pPr>
    <w:rPr>
      <w:sz w:val="18"/>
    </w:rPr>
  </w:style>
  <w:style w:type="character" w:styleId="1107" w:customStyle="1">
    <w:name w:val="脚注文本 字符"/>
    <w:link w:val="1106"/>
    <w:uiPriority w:val="99"/>
    <w:qFormat/>
    <w:rPr>
      <w:sz w:val="18"/>
    </w:rPr>
  </w:style>
  <w:style w:type="paragraph" w:styleId="1108" w:customStyle="1">
    <w:name w:val="目录 61"/>
    <w:basedOn w:val="902"/>
    <w:next w:val="902"/>
    <w:uiPriority w:val="39"/>
    <w:unhideWhenUsed/>
    <w:qFormat/>
    <w:pPr>
      <w:ind w:left="1417"/>
      <w:spacing w:after="57"/>
    </w:pPr>
  </w:style>
  <w:style w:type="paragraph" w:styleId="1109" w:customStyle="1">
    <w:name w:val="图表目录1"/>
    <w:basedOn w:val="902"/>
    <w:next w:val="902"/>
    <w:uiPriority w:val="99"/>
    <w:unhideWhenUsed/>
    <w:qFormat/>
  </w:style>
  <w:style w:type="paragraph" w:styleId="1110" w:customStyle="1">
    <w:name w:val="目录 211"/>
    <w:basedOn w:val="902"/>
    <w:next w:val="902"/>
    <w:uiPriority w:val="39"/>
    <w:unhideWhenUsed/>
    <w:qFormat/>
    <w:pPr>
      <w:ind w:left="283"/>
      <w:spacing w:after="57"/>
    </w:pPr>
  </w:style>
  <w:style w:type="paragraph" w:styleId="1111" w:customStyle="1">
    <w:name w:val="目录 91"/>
    <w:basedOn w:val="902"/>
    <w:next w:val="902"/>
    <w:uiPriority w:val="39"/>
    <w:unhideWhenUsed/>
    <w:qFormat/>
    <w:pPr>
      <w:ind w:left="2268"/>
      <w:spacing w:after="57"/>
    </w:pPr>
  </w:style>
  <w:style w:type="paragraph" w:styleId="1112" w:customStyle="1">
    <w:name w:val="标题1"/>
    <w:basedOn w:val="902"/>
    <w:next w:val="902"/>
    <w:link w:val="1113"/>
    <w:uiPriority w:val="10"/>
    <w:qFormat/>
    <w:pPr>
      <w:contextualSpacing/>
      <w:spacing w:before="300" w:after="200"/>
    </w:pPr>
    <w:rPr>
      <w:sz w:val="48"/>
      <w:szCs w:val="48"/>
    </w:rPr>
  </w:style>
  <w:style w:type="character" w:styleId="1113" w:customStyle="1">
    <w:name w:val="标题 字符"/>
    <w:link w:val="1112"/>
    <w:uiPriority w:val="10"/>
    <w:qFormat/>
    <w:rPr>
      <w:sz w:val="48"/>
      <w:szCs w:val="48"/>
    </w:rPr>
  </w:style>
  <w:style w:type="paragraph" w:styleId="1114" w:customStyle="1">
    <w:name w:val="正文首行缩进 211"/>
    <w:basedOn w:val="1087"/>
    <w:uiPriority w:val="99"/>
    <w:unhideWhenUsed/>
    <w:qFormat/>
    <w:pPr>
      <w:ind w:firstLine="420"/>
    </w:pPr>
  </w:style>
  <w:style w:type="table" w:styleId="1115" w:customStyle="1">
    <w:name w:val="网格型11"/>
    <w:uiPriority w:val="59"/>
    <w:qFormat/>
    <w:tblPr>
      <w:tblCellMar>
        <w:left w:w="0" w:type="dxa"/>
        <w:top w:w="0" w:type="dxa"/>
        <w:right w:w="0" w:type="dxa"/>
        <w:bottom w:w="0" w:type="dxa"/>
      </w:tblCellMar>
    </w:tblPr>
  </w:style>
  <w:style w:type="character" w:styleId="1116" w:customStyle="1">
    <w:name w:val="尾注引用1"/>
    <w:uiPriority w:val="99"/>
    <w:unhideWhenUsed/>
    <w:qFormat/>
    <w:rPr>
      <w:vertAlign w:val="superscript"/>
    </w:rPr>
  </w:style>
  <w:style w:type="character" w:styleId="1117" w:customStyle="1">
    <w:name w:val="超链接11"/>
    <w:uiPriority w:val="99"/>
    <w:unhideWhenUsed/>
    <w:qFormat/>
    <w:rPr>
      <w:color w:val="0000ff"/>
      <w:u w:val="single"/>
    </w:rPr>
  </w:style>
  <w:style w:type="character" w:styleId="1118" w:customStyle="1">
    <w:name w:val="脚注引用11"/>
    <w:uiPriority w:val="99"/>
    <w:unhideWhenUsed/>
    <w:qFormat/>
    <w:rPr>
      <w:vertAlign w:val="superscript"/>
    </w:rPr>
  </w:style>
  <w:style w:type="character" w:styleId="1119" w:customStyle="1">
    <w:name w:val="页码1"/>
    <w:uiPriority w:val="99"/>
    <w:unhideWhenUsed/>
    <w:qFormat/>
  </w:style>
  <w:style w:type="character" w:styleId="1120" w:customStyle="1">
    <w:name w:val="默认段落字体1"/>
    <w:uiPriority w:val="1"/>
    <w:unhideWhenUsed/>
    <w:qFormat/>
  </w:style>
  <w:style w:type="paragraph" w:styleId="1121" w:customStyle="1">
    <w:name w:val="无间隔1"/>
    <w:uiPriority w:val="1"/>
    <w:qFormat/>
    <w:rPr>
      <w:rFonts w:hint="default" w:ascii="Times New Roman" w:hAnsi="Times New Roman" w:eastAsia="宋体" w:cs="Times New Roman"/>
      <w:lang w:val="en-US" w:eastAsia="zh-CN" w:bidi="ar-SA"/>
    </w:rPr>
  </w:style>
  <w:style w:type="paragraph" w:styleId="1122" w:customStyle="1">
    <w:name w:val="引用1"/>
    <w:basedOn w:val="902"/>
    <w:next w:val="902"/>
    <w:link w:val="1123"/>
    <w:uiPriority w:val="29"/>
    <w:qFormat/>
    <w:pPr>
      <w:ind w:left="720" w:right="720"/>
    </w:pPr>
    <w:rPr>
      <w:i/>
    </w:rPr>
  </w:style>
  <w:style w:type="character" w:styleId="1123" w:customStyle="1">
    <w:name w:val="引用 字符"/>
    <w:link w:val="1122"/>
    <w:uiPriority w:val="29"/>
    <w:qFormat/>
    <w:rPr>
      <w:i/>
    </w:rPr>
  </w:style>
  <w:style w:type="paragraph" w:styleId="1124" w:customStyle="1">
    <w:name w:val="明显引用1"/>
    <w:basedOn w:val="902"/>
    <w:next w:val="902"/>
    <w:link w:val="11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5" w:customStyle="1">
    <w:name w:val="明显引用 字符"/>
    <w:link w:val="1124"/>
    <w:uiPriority w:val="30"/>
    <w:qFormat/>
    <w:rPr>
      <w:i/>
    </w:rPr>
  </w:style>
  <w:style w:type="table" w:styleId="1126" w:customStyle="1">
    <w:name w:val="Table Grid Light"/>
    <w:uiPriority w:val="59"/>
    <w:qFormat/>
    <w:tblPr>
      <w:tblCellMar>
        <w:left w:w="0" w:type="dxa"/>
        <w:top w:w="0" w:type="dxa"/>
        <w:right w:w="0" w:type="dxa"/>
        <w:bottom w:w="0" w:type="dxa"/>
      </w:tblCellMar>
    </w:tblPr>
  </w:style>
  <w:style w:type="table" w:styleId="1127" w:customStyle="1">
    <w:name w:val="无格式表格 11"/>
    <w:uiPriority w:val="59"/>
    <w:qFormat/>
    <w:tblPr>
      <w:tblCellMar>
        <w:left w:w="0" w:type="dxa"/>
        <w:top w:w="0" w:type="dxa"/>
        <w:right w:w="0" w:type="dxa"/>
        <w:bottom w:w="0" w:type="dxa"/>
      </w:tblCellMar>
    </w:tblPr>
  </w:style>
  <w:style w:type="table" w:styleId="1128" w:customStyle="1">
    <w:name w:val="无格式表格 21"/>
    <w:uiPriority w:val="59"/>
    <w:qFormat/>
    <w:tblPr>
      <w:tblCellMar>
        <w:left w:w="0" w:type="dxa"/>
        <w:top w:w="0" w:type="dxa"/>
        <w:right w:w="0" w:type="dxa"/>
        <w:bottom w:w="0" w:type="dxa"/>
      </w:tblCellMar>
    </w:tblPr>
  </w:style>
  <w:style w:type="table" w:styleId="1129" w:customStyle="1">
    <w:name w:val="无格式表格 31"/>
    <w:uiPriority w:val="99"/>
    <w:qFormat/>
    <w:tblPr>
      <w:tblCellMar>
        <w:left w:w="0" w:type="dxa"/>
        <w:top w:w="0" w:type="dxa"/>
        <w:right w:w="0" w:type="dxa"/>
        <w:bottom w:w="0" w:type="dxa"/>
      </w:tblCellMar>
    </w:tblPr>
  </w:style>
  <w:style w:type="table" w:styleId="1130" w:customStyle="1">
    <w:name w:val="无格式表格 41"/>
    <w:uiPriority w:val="99"/>
    <w:qFormat/>
    <w:tblPr>
      <w:tblCellMar>
        <w:left w:w="0" w:type="dxa"/>
        <w:top w:w="0" w:type="dxa"/>
        <w:right w:w="0" w:type="dxa"/>
        <w:bottom w:w="0" w:type="dxa"/>
      </w:tblCellMar>
    </w:tblPr>
  </w:style>
  <w:style w:type="table" w:styleId="1131" w:customStyle="1">
    <w:name w:val="无格式表格 51"/>
    <w:uiPriority w:val="99"/>
    <w:qFormat/>
    <w:tblPr>
      <w:tblCellMar>
        <w:left w:w="0" w:type="dxa"/>
        <w:top w:w="0" w:type="dxa"/>
        <w:right w:w="0" w:type="dxa"/>
        <w:bottom w:w="0" w:type="dxa"/>
      </w:tblCellMar>
    </w:tblPr>
  </w:style>
  <w:style w:type="table" w:styleId="1132" w:customStyle="1">
    <w:name w:val="网格表 1 浅色1"/>
    <w:uiPriority w:val="99"/>
    <w:qFormat/>
    <w:tblPr>
      <w:tblCellMar>
        <w:left w:w="0" w:type="dxa"/>
        <w:top w:w="0" w:type="dxa"/>
        <w:right w:w="0" w:type="dxa"/>
        <w:bottom w:w="0" w:type="dxa"/>
      </w:tblCellMar>
    </w:tblPr>
  </w:style>
  <w:style w:type="table" w:styleId="1133" w:customStyle="1">
    <w:name w:val="Grid Table 1 Light - Accent 1"/>
    <w:uiPriority w:val="99"/>
    <w:qFormat/>
    <w:tblPr>
      <w:tblCellMar>
        <w:left w:w="0" w:type="dxa"/>
        <w:top w:w="0" w:type="dxa"/>
        <w:right w:w="0" w:type="dxa"/>
        <w:bottom w:w="0" w:type="dxa"/>
      </w:tblCellMar>
    </w:tblPr>
  </w:style>
  <w:style w:type="table" w:styleId="1134" w:customStyle="1">
    <w:name w:val="Grid Table 1 Light - Accent 2"/>
    <w:uiPriority w:val="99"/>
    <w:qFormat/>
    <w:tblPr>
      <w:tblCellMar>
        <w:left w:w="0" w:type="dxa"/>
        <w:top w:w="0" w:type="dxa"/>
        <w:right w:w="0" w:type="dxa"/>
        <w:bottom w:w="0" w:type="dxa"/>
      </w:tblCellMar>
    </w:tblPr>
  </w:style>
  <w:style w:type="table" w:styleId="1135" w:customStyle="1">
    <w:name w:val="Grid Table 1 Light - Accent 3"/>
    <w:uiPriority w:val="99"/>
    <w:qFormat/>
    <w:tblPr>
      <w:tblCellMar>
        <w:left w:w="0" w:type="dxa"/>
        <w:top w:w="0" w:type="dxa"/>
        <w:right w:w="0" w:type="dxa"/>
        <w:bottom w:w="0" w:type="dxa"/>
      </w:tblCellMar>
    </w:tblPr>
  </w:style>
  <w:style w:type="table" w:styleId="1136" w:customStyle="1">
    <w:name w:val="Grid Table 1 Light - Accent 4"/>
    <w:uiPriority w:val="99"/>
    <w:qFormat/>
    <w:tblPr>
      <w:tblCellMar>
        <w:left w:w="0" w:type="dxa"/>
        <w:top w:w="0" w:type="dxa"/>
        <w:right w:w="0" w:type="dxa"/>
        <w:bottom w:w="0" w:type="dxa"/>
      </w:tblCellMar>
    </w:tblPr>
  </w:style>
  <w:style w:type="table" w:styleId="1137" w:customStyle="1">
    <w:name w:val="Grid Table 1 Light - Accent 5"/>
    <w:uiPriority w:val="99"/>
    <w:qFormat/>
    <w:tblPr>
      <w:tblCellMar>
        <w:left w:w="0" w:type="dxa"/>
        <w:top w:w="0" w:type="dxa"/>
        <w:right w:w="0" w:type="dxa"/>
        <w:bottom w:w="0" w:type="dxa"/>
      </w:tblCellMar>
    </w:tblPr>
  </w:style>
  <w:style w:type="table" w:styleId="1138" w:customStyle="1">
    <w:name w:val="Grid Table 1 Light - Accent 6"/>
    <w:uiPriority w:val="99"/>
    <w:qFormat/>
    <w:tblPr>
      <w:tblCellMar>
        <w:left w:w="0" w:type="dxa"/>
        <w:top w:w="0" w:type="dxa"/>
        <w:right w:w="0" w:type="dxa"/>
        <w:bottom w:w="0" w:type="dxa"/>
      </w:tblCellMar>
    </w:tblPr>
  </w:style>
  <w:style w:type="table" w:styleId="1139" w:customStyle="1">
    <w:name w:val="网格表 21"/>
    <w:uiPriority w:val="99"/>
    <w:qFormat/>
    <w:tblPr>
      <w:tblCellMar>
        <w:left w:w="0" w:type="dxa"/>
        <w:top w:w="0" w:type="dxa"/>
        <w:right w:w="0" w:type="dxa"/>
        <w:bottom w:w="0" w:type="dxa"/>
      </w:tblCellMar>
    </w:tblPr>
  </w:style>
  <w:style w:type="table" w:styleId="1140" w:customStyle="1">
    <w:name w:val="Grid Table 2 - Accent 1"/>
    <w:uiPriority w:val="99"/>
    <w:qFormat/>
    <w:tblPr>
      <w:tblCellMar>
        <w:left w:w="0" w:type="dxa"/>
        <w:top w:w="0" w:type="dxa"/>
        <w:right w:w="0" w:type="dxa"/>
        <w:bottom w:w="0" w:type="dxa"/>
      </w:tblCellMar>
    </w:tblPr>
  </w:style>
  <w:style w:type="table" w:styleId="1141" w:customStyle="1">
    <w:name w:val="Grid Table 2 - Accent 2"/>
    <w:uiPriority w:val="99"/>
    <w:qFormat/>
    <w:tblPr>
      <w:tblCellMar>
        <w:left w:w="0" w:type="dxa"/>
        <w:top w:w="0" w:type="dxa"/>
        <w:right w:w="0" w:type="dxa"/>
        <w:bottom w:w="0" w:type="dxa"/>
      </w:tblCellMar>
    </w:tblPr>
  </w:style>
  <w:style w:type="table" w:styleId="1142" w:customStyle="1">
    <w:name w:val="Grid Table 2 - Accent 3"/>
    <w:uiPriority w:val="99"/>
    <w:qFormat/>
    <w:tblPr>
      <w:tblCellMar>
        <w:left w:w="0" w:type="dxa"/>
        <w:top w:w="0" w:type="dxa"/>
        <w:right w:w="0" w:type="dxa"/>
        <w:bottom w:w="0" w:type="dxa"/>
      </w:tblCellMar>
    </w:tblPr>
  </w:style>
  <w:style w:type="table" w:styleId="1143" w:customStyle="1">
    <w:name w:val="Grid Table 2 - Accent 4"/>
    <w:uiPriority w:val="99"/>
    <w:qFormat/>
    <w:tblPr>
      <w:tblCellMar>
        <w:left w:w="0" w:type="dxa"/>
        <w:top w:w="0" w:type="dxa"/>
        <w:right w:w="0" w:type="dxa"/>
        <w:bottom w:w="0" w:type="dxa"/>
      </w:tblCellMar>
    </w:tblPr>
  </w:style>
  <w:style w:type="table" w:styleId="1144" w:customStyle="1">
    <w:name w:val="Grid Table 2 - Accent 5"/>
    <w:uiPriority w:val="99"/>
    <w:qFormat/>
    <w:tblPr>
      <w:tblCellMar>
        <w:left w:w="0" w:type="dxa"/>
        <w:top w:w="0" w:type="dxa"/>
        <w:right w:w="0" w:type="dxa"/>
        <w:bottom w:w="0" w:type="dxa"/>
      </w:tblCellMar>
    </w:tblPr>
  </w:style>
  <w:style w:type="table" w:styleId="1145" w:customStyle="1">
    <w:name w:val="Grid Table 2 - Accent 6"/>
    <w:uiPriority w:val="99"/>
    <w:qFormat/>
    <w:tblPr>
      <w:tblCellMar>
        <w:left w:w="0" w:type="dxa"/>
        <w:top w:w="0" w:type="dxa"/>
        <w:right w:w="0" w:type="dxa"/>
        <w:bottom w:w="0" w:type="dxa"/>
      </w:tblCellMar>
    </w:tblPr>
  </w:style>
  <w:style w:type="table" w:styleId="1146" w:customStyle="1">
    <w:name w:val="网格表 31"/>
    <w:uiPriority w:val="99"/>
    <w:qFormat/>
    <w:tblPr>
      <w:tblCellMar>
        <w:left w:w="0" w:type="dxa"/>
        <w:top w:w="0" w:type="dxa"/>
        <w:right w:w="0" w:type="dxa"/>
        <w:bottom w:w="0" w:type="dxa"/>
      </w:tblCellMar>
    </w:tblPr>
  </w:style>
  <w:style w:type="table" w:styleId="1147" w:customStyle="1">
    <w:name w:val="Grid Table 3 - Accent 1"/>
    <w:uiPriority w:val="99"/>
    <w:qFormat/>
    <w:tblPr>
      <w:tblCellMar>
        <w:left w:w="0" w:type="dxa"/>
        <w:top w:w="0" w:type="dxa"/>
        <w:right w:w="0" w:type="dxa"/>
        <w:bottom w:w="0" w:type="dxa"/>
      </w:tblCellMar>
    </w:tblPr>
  </w:style>
  <w:style w:type="table" w:styleId="1148" w:customStyle="1">
    <w:name w:val="Grid Table 3 - Accent 2"/>
    <w:uiPriority w:val="99"/>
    <w:qFormat/>
    <w:tblPr>
      <w:tblCellMar>
        <w:left w:w="0" w:type="dxa"/>
        <w:top w:w="0" w:type="dxa"/>
        <w:right w:w="0" w:type="dxa"/>
        <w:bottom w:w="0" w:type="dxa"/>
      </w:tblCellMar>
    </w:tblPr>
  </w:style>
  <w:style w:type="table" w:styleId="1149" w:customStyle="1">
    <w:name w:val="Grid Table 3 - Accent 3"/>
    <w:uiPriority w:val="99"/>
    <w:qFormat/>
    <w:tblPr>
      <w:tblCellMar>
        <w:left w:w="0" w:type="dxa"/>
        <w:top w:w="0" w:type="dxa"/>
        <w:right w:w="0" w:type="dxa"/>
        <w:bottom w:w="0" w:type="dxa"/>
      </w:tblCellMar>
    </w:tblPr>
  </w:style>
  <w:style w:type="table" w:styleId="1150" w:customStyle="1">
    <w:name w:val="Grid Table 3 - Accent 4"/>
    <w:uiPriority w:val="99"/>
    <w:qFormat/>
    <w:tblPr>
      <w:tblCellMar>
        <w:left w:w="0" w:type="dxa"/>
        <w:top w:w="0" w:type="dxa"/>
        <w:right w:w="0" w:type="dxa"/>
        <w:bottom w:w="0" w:type="dxa"/>
      </w:tblCellMar>
    </w:tblPr>
  </w:style>
  <w:style w:type="table" w:styleId="1151" w:customStyle="1">
    <w:name w:val="Grid Table 3 - Accent 5"/>
    <w:uiPriority w:val="99"/>
    <w:qFormat/>
    <w:tblPr>
      <w:tblCellMar>
        <w:left w:w="0" w:type="dxa"/>
        <w:top w:w="0" w:type="dxa"/>
        <w:right w:w="0" w:type="dxa"/>
        <w:bottom w:w="0" w:type="dxa"/>
      </w:tblCellMar>
    </w:tblPr>
  </w:style>
  <w:style w:type="table" w:styleId="1152" w:customStyle="1">
    <w:name w:val="Grid Table 3 - Accent 6"/>
    <w:uiPriority w:val="99"/>
    <w:qFormat/>
    <w:tblPr>
      <w:tblCellMar>
        <w:left w:w="0" w:type="dxa"/>
        <w:top w:w="0" w:type="dxa"/>
        <w:right w:w="0" w:type="dxa"/>
        <w:bottom w:w="0" w:type="dxa"/>
      </w:tblCellMar>
    </w:tblPr>
  </w:style>
  <w:style w:type="table" w:styleId="1153" w:customStyle="1">
    <w:name w:val="网格表 41"/>
    <w:uiPriority w:val="59"/>
    <w:qFormat/>
    <w:tblPr>
      <w:tblCellMar>
        <w:left w:w="0" w:type="dxa"/>
        <w:top w:w="0" w:type="dxa"/>
        <w:right w:w="0" w:type="dxa"/>
        <w:bottom w:w="0" w:type="dxa"/>
      </w:tblCellMar>
    </w:tblPr>
  </w:style>
  <w:style w:type="table" w:styleId="1154" w:customStyle="1">
    <w:name w:val="Grid Table 4 - Accent 1"/>
    <w:uiPriority w:val="59"/>
    <w:qFormat/>
    <w:tblPr>
      <w:tblCellMar>
        <w:left w:w="0" w:type="dxa"/>
        <w:top w:w="0" w:type="dxa"/>
        <w:right w:w="0" w:type="dxa"/>
        <w:bottom w:w="0" w:type="dxa"/>
      </w:tblCellMar>
    </w:tblPr>
  </w:style>
  <w:style w:type="table" w:styleId="1155" w:customStyle="1">
    <w:name w:val="Grid Table 4 - Accent 2"/>
    <w:uiPriority w:val="59"/>
    <w:qFormat/>
    <w:tblPr>
      <w:tblCellMar>
        <w:left w:w="0" w:type="dxa"/>
        <w:top w:w="0" w:type="dxa"/>
        <w:right w:w="0" w:type="dxa"/>
        <w:bottom w:w="0" w:type="dxa"/>
      </w:tblCellMar>
    </w:tblPr>
  </w:style>
  <w:style w:type="table" w:styleId="1156" w:customStyle="1">
    <w:name w:val="Grid Table 4 - Accent 3"/>
    <w:uiPriority w:val="59"/>
    <w:qFormat/>
    <w:tblPr>
      <w:tblCellMar>
        <w:left w:w="0" w:type="dxa"/>
        <w:top w:w="0" w:type="dxa"/>
        <w:right w:w="0" w:type="dxa"/>
        <w:bottom w:w="0" w:type="dxa"/>
      </w:tblCellMar>
    </w:tblPr>
  </w:style>
  <w:style w:type="table" w:styleId="1157" w:customStyle="1">
    <w:name w:val="Grid Table 4 - Accent 4"/>
    <w:uiPriority w:val="59"/>
    <w:qFormat/>
    <w:tblPr>
      <w:tblCellMar>
        <w:left w:w="0" w:type="dxa"/>
        <w:top w:w="0" w:type="dxa"/>
        <w:right w:w="0" w:type="dxa"/>
        <w:bottom w:w="0" w:type="dxa"/>
      </w:tblCellMar>
    </w:tblPr>
  </w:style>
  <w:style w:type="table" w:styleId="1158" w:customStyle="1">
    <w:name w:val="Grid Table 4 - Accent 5"/>
    <w:uiPriority w:val="59"/>
    <w:qFormat/>
    <w:tblPr>
      <w:tblCellMar>
        <w:left w:w="0" w:type="dxa"/>
        <w:top w:w="0" w:type="dxa"/>
        <w:right w:w="0" w:type="dxa"/>
        <w:bottom w:w="0" w:type="dxa"/>
      </w:tblCellMar>
    </w:tblPr>
  </w:style>
  <w:style w:type="table" w:styleId="1159" w:customStyle="1">
    <w:name w:val="Grid Table 4 - Accent 6"/>
    <w:uiPriority w:val="59"/>
    <w:qFormat/>
    <w:tblPr>
      <w:tblCellMar>
        <w:left w:w="0" w:type="dxa"/>
        <w:top w:w="0" w:type="dxa"/>
        <w:right w:w="0" w:type="dxa"/>
        <w:bottom w:w="0" w:type="dxa"/>
      </w:tblCellMar>
    </w:tblPr>
  </w:style>
  <w:style w:type="table" w:styleId="1160" w:customStyle="1">
    <w:name w:val="网格表 5 深色1"/>
    <w:uiPriority w:val="99"/>
    <w:qFormat/>
    <w:tblPr>
      <w:tblCellMar>
        <w:left w:w="0" w:type="dxa"/>
        <w:top w:w="0" w:type="dxa"/>
        <w:right w:w="0" w:type="dxa"/>
        <w:bottom w:w="0" w:type="dxa"/>
      </w:tblCellMar>
    </w:tblPr>
  </w:style>
  <w:style w:type="table" w:styleId="1161" w:customStyle="1">
    <w:name w:val="Grid Table 5 Dark- Accent 1"/>
    <w:uiPriority w:val="99"/>
    <w:qFormat/>
    <w:tblPr>
      <w:tblCellMar>
        <w:left w:w="0" w:type="dxa"/>
        <w:top w:w="0" w:type="dxa"/>
        <w:right w:w="0" w:type="dxa"/>
        <w:bottom w:w="0" w:type="dxa"/>
      </w:tblCellMar>
    </w:tblPr>
  </w:style>
  <w:style w:type="table" w:styleId="1162" w:customStyle="1">
    <w:name w:val="Grid Table 5 Dark - Accent 2"/>
    <w:uiPriority w:val="99"/>
    <w:qFormat/>
    <w:tblPr>
      <w:tblCellMar>
        <w:left w:w="0" w:type="dxa"/>
        <w:top w:w="0" w:type="dxa"/>
        <w:right w:w="0" w:type="dxa"/>
        <w:bottom w:w="0" w:type="dxa"/>
      </w:tblCellMar>
    </w:tblPr>
  </w:style>
  <w:style w:type="table" w:styleId="1163" w:customStyle="1">
    <w:name w:val="Grid Table 5 Dark - Accent 3"/>
    <w:uiPriority w:val="99"/>
    <w:qFormat/>
    <w:tblPr>
      <w:tblCellMar>
        <w:left w:w="0" w:type="dxa"/>
        <w:top w:w="0" w:type="dxa"/>
        <w:right w:w="0" w:type="dxa"/>
        <w:bottom w:w="0" w:type="dxa"/>
      </w:tblCellMar>
    </w:tblPr>
  </w:style>
  <w:style w:type="table" w:styleId="1164" w:customStyle="1">
    <w:name w:val="Grid Table 5 Dark- Accent 4"/>
    <w:uiPriority w:val="99"/>
    <w:qFormat/>
    <w:tblPr>
      <w:tblCellMar>
        <w:left w:w="0" w:type="dxa"/>
        <w:top w:w="0" w:type="dxa"/>
        <w:right w:w="0" w:type="dxa"/>
        <w:bottom w:w="0" w:type="dxa"/>
      </w:tblCellMar>
    </w:tblPr>
  </w:style>
  <w:style w:type="table" w:styleId="1165" w:customStyle="1">
    <w:name w:val="Grid Table 5 Dark - Accent 5"/>
    <w:uiPriority w:val="99"/>
    <w:qFormat/>
    <w:tblPr>
      <w:tblCellMar>
        <w:left w:w="0" w:type="dxa"/>
        <w:top w:w="0" w:type="dxa"/>
        <w:right w:w="0" w:type="dxa"/>
        <w:bottom w:w="0" w:type="dxa"/>
      </w:tblCellMar>
    </w:tblPr>
  </w:style>
  <w:style w:type="table" w:styleId="1166" w:customStyle="1">
    <w:name w:val="Grid Table 5 Dark - Accent 6"/>
    <w:uiPriority w:val="99"/>
    <w:qFormat/>
    <w:tblPr>
      <w:tblCellMar>
        <w:left w:w="0" w:type="dxa"/>
        <w:top w:w="0" w:type="dxa"/>
        <w:right w:w="0" w:type="dxa"/>
        <w:bottom w:w="0" w:type="dxa"/>
      </w:tblCellMar>
    </w:tblPr>
  </w:style>
  <w:style w:type="table" w:styleId="1167" w:customStyle="1">
    <w:name w:val="网格表 6 彩色1"/>
    <w:uiPriority w:val="99"/>
    <w:qFormat/>
    <w:tblPr>
      <w:tblCellMar>
        <w:left w:w="0" w:type="dxa"/>
        <w:top w:w="0" w:type="dxa"/>
        <w:right w:w="0" w:type="dxa"/>
        <w:bottom w:w="0" w:type="dxa"/>
      </w:tblCellMar>
    </w:tblPr>
  </w:style>
  <w:style w:type="table" w:styleId="1168" w:customStyle="1">
    <w:name w:val="Grid Table 6 Colorful - Accent 1"/>
    <w:uiPriority w:val="99"/>
    <w:qFormat/>
    <w:tblPr>
      <w:tblCellMar>
        <w:left w:w="0" w:type="dxa"/>
        <w:top w:w="0" w:type="dxa"/>
        <w:right w:w="0" w:type="dxa"/>
        <w:bottom w:w="0" w:type="dxa"/>
      </w:tblCellMar>
    </w:tblPr>
  </w:style>
  <w:style w:type="table" w:styleId="1169" w:customStyle="1">
    <w:name w:val="Grid Table 6 Colorful - Accent 2"/>
    <w:uiPriority w:val="99"/>
    <w:qFormat/>
    <w:tblPr>
      <w:tblCellMar>
        <w:left w:w="0" w:type="dxa"/>
        <w:top w:w="0" w:type="dxa"/>
        <w:right w:w="0" w:type="dxa"/>
        <w:bottom w:w="0" w:type="dxa"/>
      </w:tblCellMar>
    </w:tblPr>
  </w:style>
  <w:style w:type="table" w:styleId="1170" w:customStyle="1">
    <w:name w:val="Grid Table 6 Colorful - Accent 3"/>
    <w:uiPriority w:val="99"/>
    <w:qFormat/>
    <w:tblPr>
      <w:tblCellMar>
        <w:left w:w="0" w:type="dxa"/>
        <w:top w:w="0" w:type="dxa"/>
        <w:right w:w="0" w:type="dxa"/>
        <w:bottom w:w="0" w:type="dxa"/>
      </w:tblCellMar>
    </w:tblPr>
  </w:style>
  <w:style w:type="table" w:styleId="1171" w:customStyle="1">
    <w:name w:val="Grid Table 6 Colorful - Accent 4"/>
    <w:uiPriority w:val="99"/>
    <w:qFormat/>
    <w:tblPr>
      <w:tblCellMar>
        <w:left w:w="0" w:type="dxa"/>
        <w:top w:w="0" w:type="dxa"/>
        <w:right w:w="0" w:type="dxa"/>
        <w:bottom w:w="0" w:type="dxa"/>
      </w:tblCellMar>
    </w:tblPr>
  </w:style>
  <w:style w:type="table" w:styleId="1172" w:customStyle="1">
    <w:name w:val="Grid Table 6 Colorful - Accent 5"/>
    <w:uiPriority w:val="99"/>
    <w:qFormat/>
    <w:tblPr>
      <w:tblCellMar>
        <w:left w:w="0" w:type="dxa"/>
        <w:top w:w="0" w:type="dxa"/>
        <w:right w:w="0" w:type="dxa"/>
        <w:bottom w:w="0" w:type="dxa"/>
      </w:tblCellMar>
    </w:tblPr>
  </w:style>
  <w:style w:type="table" w:styleId="1173" w:customStyle="1">
    <w:name w:val="Grid Table 6 Colorful - Accent 6"/>
    <w:uiPriority w:val="99"/>
    <w:qFormat/>
    <w:tblPr>
      <w:tblCellMar>
        <w:left w:w="0" w:type="dxa"/>
        <w:top w:w="0" w:type="dxa"/>
        <w:right w:w="0" w:type="dxa"/>
        <w:bottom w:w="0" w:type="dxa"/>
      </w:tblCellMar>
    </w:tblPr>
  </w:style>
  <w:style w:type="table" w:styleId="1174" w:customStyle="1">
    <w:name w:val="网格表 7 彩色1"/>
    <w:uiPriority w:val="99"/>
    <w:qFormat/>
    <w:tblPr>
      <w:tblCellMar>
        <w:left w:w="0" w:type="dxa"/>
        <w:top w:w="0" w:type="dxa"/>
        <w:right w:w="0" w:type="dxa"/>
        <w:bottom w:w="0" w:type="dxa"/>
      </w:tblCellMar>
    </w:tblPr>
  </w:style>
  <w:style w:type="table" w:styleId="1175" w:customStyle="1">
    <w:name w:val="Grid Table 7 Colorful - Accent 1"/>
    <w:uiPriority w:val="99"/>
    <w:qFormat/>
    <w:tblPr>
      <w:tblCellMar>
        <w:left w:w="0" w:type="dxa"/>
        <w:top w:w="0" w:type="dxa"/>
        <w:right w:w="0" w:type="dxa"/>
        <w:bottom w:w="0" w:type="dxa"/>
      </w:tblCellMar>
    </w:tblPr>
  </w:style>
  <w:style w:type="table" w:styleId="1176" w:customStyle="1">
    <w:name w:val="Grid Table 7 Colorful - Accent 2"/>
    <w:uiPriority w:val="99"/>
    <w:qFormat/>
    <w:tblPr>
      <w:tblCellMar>
        <w:left w:w="0" w:type="dxa"/>
        <w:top w:w="0" w:type="dxa"/>
        <w:right w:w="0" w:type="dxa"/>
        <w:bottom w:w="0" w:type="dxa"/>
      </w:tblCellMar>
    </w:tblPr>
  </w:style>
  <w:style w:type="table" w:styleId="1177" w:customStyle="1">
    <w:name w:val="Grid Table 7 Colorful - Accent 3"/>
    <w:uiPriority w:val="99"/>
    <w:qFormat/>
    <w:tblPr>
      <w:tblCellMar>
        <w:left w:w="0" w:type="dxa"/>
        <w:top w:w="0" w:type="dxa"/>
        <w:right w:w="0" w:type="dxa"/>
        <w:bottom w:w="0" w:type="dxa"/>
      </w:tblCellMar>
    </w:tblPr>
  </w:style>
  <w:style w:type="table" w:styleId="1178" w:customStyle="1">
    <w:name w:val="Grid Table 7 Colorful - Accent 4"/>
    <w:uiPriority w:val="99"/>
    <w:qFormat/>
    <w:tblPr>
      <w:tblCellMar>
        <w:left w:w="0" w:type="dxa"/>
        <w:top w:w="0" w:type="dxa"/>
        <w:right w:w="0" w:type="dxa"/>
        <w:bottom w:w="0" w:type="dxa"/>
      </w:tblCellMar>
    </w:tblPr>
  </w:style>
  <w:style w:type="table" w:styleId="1179" w:customStyle="1">
    <w:name w:val="Grid Table 7 Colorful - Accent 5"/>
    <w:uiPriority w:val="99"/>
    <w:qFormat/>
    <w:tblPr>
      <w:tblCellMar>
        <w:left w:w="0" w:type="dxa"/>
        <w:top w:w="0" w:type="dxa"/>
        <w:right w:w="0" w:type="dxa"/>
        <w:bottom w:w="0" w:type="dxa"/>
      </w:tblCellMar>
    </w:tblPr>
  </w:style>
  <w:style w:type="table" w:styleId="1180" w:customStyle="1">
    <w:name w:val="Grid Table 7 Colorful - Accent 6"/>
    <w:uiPriority w:val="99"/>
    <w:qFormat/>
    <w:tblPr>
      <w:tblCellMar>
        <w:left w:w="0" w:type="dxa"/>
        <w:top w:w="0" w:type="dxa"/>
        <w:right w:w="0" w:type="dxa"/>
        <w:bottom w:w="0" w:type="dxa"/>
      </w:tblCellMar>
    </w:tblPr>
  </w:style>
  <w:style w:type="table" w:styleId="1181" w:customStyle="1">
    <w:name w:val="清单表 1 浅色1"/>
    <w:uiPriority w:val="99"/>
    <w:qFormat/>
    <w:tblPr>
      <w:tblCellMar>
        <w:left w:w="0" w:type="dxa"/>
        <w:top w:w="0" w:type="dxa"/>
        <w:right w:w="0" w:type="dxa"/>
        <w:bottom w:w="0" w:type="dxa"/>
      </w:tblCellMar>
    </w:tblPr>
  </w:style>
  <w:style w:type="table" w:styleId="1182" w:customStyle="1">
    <w:name w:val="List Table 1 Light - Accent 1"/>
    <w:uiPriority w:val="99"/>
    <w:qFormat/>
    <w:tblPr>
      <w:tblCellMar>
        <w:left w:w="0" w:type="dxa"/>
        <w:top w:w="0" w:type="dxa"/>
        <w:right w:w="0" w:type="dxa"/>
        <w:bottom w:w="0" w:type="dxa"/>
      </w:tblCellMar>
    </w:tblPr>
  </w:style>
  <w:style w:type="table" w:styleId="1183" w:customStyle="1">
    <w:name w:val="List Table 1 Light - Accent 2"/>
    <w:uiPriority w:val="99"/>
    <w:qFormat/>
    <w:tblPr>
      <w:tblCellMar>
        <w:left w:w="0" w:type="dxa"/>
        <w:top w:w="0" w:type="dxa"/>
        <w:right w:w="0" w:type="dxa"/>
        <w:bottom w:w="0" w:type="dxa"/>
      </w:tblCellMar>
    </w:tblPr>
  </w:style>
  <w:style w:type="table" w:styleId="1184" w:customStyle="1">
    <w:name w:val="List Table 1 Light - Accent 3"/>
    <w:uiPriority w:val="99"/>
    <w:qFormat/>
    <w:tblPr>
      <w:tblCellMar>
        <w:left w:w="0" w:type="dxa"/>
        <w:top w:w="0" w:type="dxa"/>
        <w:right w:w="0" w:type="dxa"/>
        <w:bottom w:w="0" w:type="dxa"/>
      </w:tblCellMar>
    </w:tblPr>
  </w:style>
  <w:style w:type="table" w:styleId="1185" w:customStyle="1">
    <w:name w:val="List Table 1 Light - Accent 4"/>
    <w:uiPriority w:val="99"/>
    <w:qFormat/>
    <w:tblPr>
      <w:tblCellMar>
        <w:left w:w="0" w:type="dxa"/>
        <w:top w:w="0" w:type="dxa"/>
        <w:right w:w="0" w:type="dxa"/>
        <w:bottom w:w="0" w:type="dxa"/>
      </w:tblCellMar>
    </w:tblPr>
  </w:style>
  <w:style w:type="table" w:styleId="1186" w:customStyle="1">
    <w:name w:val="List Table 1 Light - Accent 5"/>
    <w:uiPriority w:val="99"/>
    <w:qFormat/>
    <w:tblPr>
      <w:tblCellMar>
        <w:left w:w="0" w:type="dxa"/>
        <w:top w:w="0" w:type="dxa"/>
        <w:right w:w="0" w:type="dxa"/>
        <w:bottom w:w="0" w:type="dxa"/>
      </w:tblCellMar>
    </w:tblPr>
  </w:style>
  <w:style w:type="table" w:styleId="1187" w:customStyle="1">
    <w:name w:val="List Table 1 Light - Accent 6"/>
    <w:uiPriority w:val="99"/>
    <w:qFormat/>
    <w:tblPr>
      <w:tblCellMar>
        <w:left w:w="0" w:type="dxa"/>
        <w:top w:w="0" w:type="dxa"/>
        <w:right w:w="0" w:type="dxa"/>
        <w:bottom w:w="0" w:type="dxa"/>
      </w:tblCellMar>
    </w:tblPr>
  </w:style>
  <w:style w:type="table" w:styleId="1188" w:customStyle="1">
    <w:name w:val="清单表 21"/>
    <w:uiPriority w:val="99"/>
    <w:qFormat/>
    <w:tblPr>
      <w:tblCellMar>
        <w:left w:w="0" w:type="dxa"/>
        <w:top w:w="0" w:type="dxa"/>
        <w:right w:w="0" w:type="dxa"/>
        <w:bottom w:w="0" w:type="dxa"/>
      </w:tblCellMar>
    </w:tblPr>
  </w:style>
  <w:style w:type="table" w:styleId="1189" w:customStyle="1">
    <w:name w:val="List Table 2 - Accent 1"/>
    <w:uiPriority w:val="99"/>
    <w:qFormat/>
    <w:tblPr>
      <w:tblCellMar>
        <w:left w:w="0" w:type="dxa"/>
        <w:top w:w="0" w:type="dxa"/>
        <w:right w:w="0" w:type="dxa"/>
        <w:bottom w:w="0" w:type="dxa"/>
      </w:tblCellMar>
    </w:tblPr>
  </w:style>
  <w:style w:type="table" w:styleId="1190" w:customStyle="1">
    <w:name w:val="List Table 2 - Accent 2"/>
    <w:uiPriority w:val="99"/>
    <w:qFormat/>
    <w:tblPr>
      <w:tblCellMar>
        <w:left w:w="0" w:type="dxa"/>
        <w:top w:w="0" w:type="dxa"/>
        <w:right w:w="0" w:type="dxa"/>
        <w:bottom w:w="0" w:type="dxa"/>
      </w:tblCellMar>
    </w:tblPr>
  </w:style>
  <w:style w:type="table" w:styleId="1191" w:customStyle="1">
    <w:name w:val="List Table 2 - Accent 3"/>
    <w:uiPriority w:val="99"/>
    <w:qFormat/>
    <w:tblPr>
      <w:tblCellMar>
        <w:left w:w="0" w:type="dxa"/>
        <w:top w:w="0" w:type="dxa"/>
        <w:right w:w="0" w:type="dxa"/>
        <w:bottom w:w="0" w:type="dxa"/>
      </w:tblCellMar>
    </w:tblPr>
  </w:style>
  <w:style w:type="table" w:styleId="1192" w:customStyle="1">
    <w:name w:val="List Table 2 - Accent 4"/>
    <w:uiPriority w:val="99"/>
    <w:qFormat/>
    <w:tblPr>
      <w:tblCellMar>
        <w:left w:w="0" w:type="dxa"/>
        <w:top w:w="0" w:type="dxa"/>
        <w:right w:w="0" w:type="dxa"/>
        <w:bottom w:w="0" w:type="dxa"/>
      </w:tblCellMar>
    </w:tblPr>
  </w:style>
  <w:style w:type="table" w:styleId="1193" w:customStyle="1">
    <w:name w:val="List Table 2 - Accent 5"/>
    <w:uiPriority w:val="99"/>
    <w:qFormat/>
    <w:tblPr>
      <w:tblCellMar>
        <w:left w:w="0" w:type="dxa"/>
        <w:top w:w="0" w:type="dxa"/>
        <w:right w:w="0" w:type="dxa"/>
        <w:bottom w:w="0" w:type="dxa"/>
      </w:tblCellMar>
    </w:tblPr>
  </w:style>
  <w:style w:type="table" w:styleId="1194" w:customStyle="1">
    <w:name w:val="List Table 2 - Accent 6"/>
    <w:uiPriority w:val="99"/>
    <w:qFormat/>
    <w:tblPr>
      <w:tblCellMar>
        <w:left w:w="0" w:type="dxa"/>
        <w:top w:w="0" w:type="dxa"/>
        <w:right w:w="0" w:type="dxa"/>
        <w:bottom w:w="0" w:type="dxa"/>
      </w:tblCellMar>
    </w:tblPr>
  </w:style>
  <w:style w:type="table" w:styleId="1195" w:customStyle="1">
    <w:name w:val="清单表 31"/>
    <w:uiPriority w:val="99"/>
    <w:qFormat/>
    <w:tblPr>
      <w:tblCellMar>
        <w:left w:w="0" w:type="dxa"/>
        <w:top w:w="0" w:type="dxa"/>
        <w:right w:w="0" w:type="dxa"/>
        <w:bottom w:w="0" w:type="dxa"/>
      </w:tblCellMar>
    </w:tblPr>
  </w:style>
  <w:style w:type="table" w:styleId="1196" w:customStyle="1">
    <w:name w:val="List Table 3 - Accent 1"/>
    <w:uiPriority w:val="99"/>
    <w:qFormat/>
    <w:tblPr>
      <w:tblCellMar>
        <w:left w:w="0" w:type="dxa"/>
        <w:top w:w="0" w:type="dxa"/>
        <w:right w:w="0" w:type="dxa"/>
        <w:bottom w:w="0" w:type="dxa"/>
      </w:tblCellMar>
    </w:tblPr>
  </w:style>
  <w:style w:type="table" w:styleId="1197" w:customStyle="1">
    <w:name w:val="List Table 3 - Accent 2"/>
    <w:uiPriority w:val="99"/>
    <w:qFormat/>
    <w:tblPr>
      <w:tblCellMar>
        <w:left w:w="0" w:type="dxa"/>
        <w:top w:w="0" w:type="dxa"/>
        <w:right w:w="0" w:type="dxa"/>
        <w:bottom w:w="0" w:type="dxa"/>
      </w:tblCellMar>
    </w:tblPr>
  </w:style>
  <w:style w:type="table" w:styleId="1198" w:customStyle="1">
    <w:name w:val="List Table 3 - Accent 3"/>
    <w:uiPriority w:val="99"/>
    <w:qFormat/>
    <w:tblPr>
      <w:tblCellMar>
        <w:left w:w="0" w:type="dxa"/>
        <w:top w:w="0" w:type="dxa"/>
        <w:right w:w="0" w:type="dxa"/>
        <w:bottom w:w="0" w:type="dxa"/>
      </w:tblCellMar>
    </w:tblPr>
  </w:style>
  <w:style w:type="table" w:styleId="1199" w:customStyle="1">
    <w:name w:val="List Table 3 - Accent 4"/>
    <w:uiPriority w:val="99"/>
    <w:qFormat/>
    <w:tblPr>
      <w:tblCellMar>
        <w:left w:w="0" w:type="dxa"/>
        <w:top w:w="0" w:type="dxa"/>
        <w:right w:w="0" w:type="dxa"/>
        <w:bottom w:w="0" w:type="dxa"/>
      </w:tblCellMar>
    </w:tblPr>
  </w:style>
  <w:style w:type="table" w:styleId="1200" w:customStyle="1">
    <w:name w:val="List Table 3 - Accent 5"/>
    <w:uiPriority w:val="99"/>
    <w:qFormat/>
    <w:tblPr>
      <w:tblCellMar>
        <w:left w:w="0" w:type="dxa"/>
        <w:top w:w="0" w:type="dxa"/>
        <w:right w:w="0" w:type="dxa"/>
        <w:bottom w:w="0" w:type="dxa"/>
      </w:tblCellMar>
    </w:tblPr>
  </w:style>
  <w:style w:type="table" w:styleId="1201" w:customStyle="1">
    <w:name w:val="List Table 3 - Accent 6"/>
    <w:uiPriority w:val="99"/>
    <w:qFormat/>
    <w:tblPr>
      <w:tblCellMar>
        <w:left w:w="0" w:type="dxa"/>
        <w:top w:w="0" w:type="dxa"/>
        <w:right w:w="0" w:type="dxa"/>
        <w:bottom w:w="0" w:type="dxa"/>
      </w:tblCellMar>
    </w:tblPr>
  </w:style>
  <w:style w:type="table" w:styleId="1202" w:customStyle="1">
    <w:name w:val="清单表 41"/>
    <w:uiPriority w:val="99"/>
    <w:qFormat/>
    <w:tblPr>
      <w:tblCellMar>
        <w:left w:w="0" w:type="dxa"/>
        <w:top w:w="0" w:type="dxa"/>
        <w:right w:w="0" w:type="dxa"/>
        <w:bottom w:w="0" w:type="dxa"/>
      </w:tblCellMar>
    </w:tblPr>
  </w:style>
  <w:style w:type="table" w:styleId="1203" w:customStyle="1">
    <w:name w:val="List Table 4 - Accent 1"/>
    <w:uiPriority w:val="99"/>
    <w:qFormat/>
    <w:tblPr>
      <w:tblCellMar>
        <w:left w:w="0" w:type="dxa"/>
        <w:top w:w="0" w:type="dxa"/>
        <w:right w:w="0" w:type="dxa"/>
        <w:bottom w:w="0" w:type="dxa"/>
      </w:tblCellMar>
    </w:tblPr>
  </w:style>
  <w:style w:type="table" w:styleId="1204" w:customStyle="1">
    <w:name w:val="List Table 4 - Accent 2"/>
    <w:uiPriority w:val="99"/>
    <w:qFormat/>
    <w:tblPr>
      <w:tblCellMar>
        <w:left w:w="0" w:type="dxa"/>
        <w:top w:w="0" w:type="dxa"/>
        <w:right w:w="0" w:type="dxa"/>
        <w:bottom w:w="0" w:type="dxa"/>
      </w:tblCellMar>
    </w:tblPr>
  </w:style>
  <w:style w:type="table" w:styleId="1205" w:customStyle="1">
    <w:name w:val="List Table 4 - Accent 3"/>
    <w:uiPriority w:val="99"/>
    <w:qFormat/>
    <w:tblPr>
      <w:tblCellMar>
        <w:left w:w="0" w:type="dxa"/>
        <w:top w:w="0" w:type="dxa"/>
        <w:right w:w="0" w:type="dxa"/>
        <w:bottom w:w="0" w:type="dxa"/>
      </w:tblCellMar>
    </w:tblPr>
  </w:style>
  <w:style w:type="table" w:styleId="1206" w:customStyle="1">
    <w:name w:val="List Table 4 - Accent 4"/>
    <w:uiPriority w:val="99"/>
    <w:qFormat/>
    <w:tblPr>
      <w:tblCellMar>
        <w:left w:w="0" w:type="dxa"/>
        <w:top w:w="0" w:type="dxa"/>
        <w:right w:w="0" w:type="dxa"/>
        <w:bottom w:w="0" w:type="dxa"/>
      </w:tblCellMar>
    </w:tblPr>
  </w:style>
  <w:style w:type="table" w:styleId="1207" w:customStyle="1">
    <w:name w:val="List Table 4 - Accent 5"/>
    <w:uiPriority w:val="99"/>
    <w:qFormat/>
    <w:tblPr>
      <w:tblCellMar>
        <w:left w:w="0" w:type="dxa"/>
        <w:top w:w="0" w:type="dxa"/>
        <w:right w:w="0" w:type="dxa"/>
        <w:bottom w:w="0" w:type="dxa"/>
      </w:tblCellMar>
    </w:tblPr>
  </w:style>
  <w:style w:type="table" w:styleId="1208" w:customStyle="1">
    <w:name w:val="List Table 4 - Accent 6"/>
    <w:uiPriority w:val="99"/>
    <w:qFormat/>
    <w:tblPr>
      <w:tblCellMar>
        <w:left w:w="0" w:type="dxa"/>
        <w:top w:w="0" w:type="dxa"/>
        <w:right w:w="0" w:type="dxa"/>
        <w:bottom w:w="0" w:type="dxa"/>
      </w:tblCellMar>
    </w:tblPr>
  </w:style>
  <w:style w:type="table" w:styleId="1209" w:customStyle="1">
    <w:name w:val="清单表 5 深色1"/>
    <w:uiPriority w:val="99"/>
    <w:qFormat/>
    <w:tblPr>
      <w:tblCellMar>
        <w:left w:w="0" w:type="dxa"/>
        <w:top w:w="0" w:type="dxa"/>
        <w:right w:w="0" w:type="dxa"/>
        <w:bottom w:w="0" w:type="dxa"/>
      </w:tblCellMar>
    </w:tblPr>
  </w:style>
  <w:style w:type="table" w:styleId="1210" w:customStyle="1">
    <w:name w:val="List Table 5 Dark - Accent 1"/>
    <w:uiPriority w:val="99"/>
    <w:qFormat/>
    <w:tblPr>
      <w:tblCellMar>
        <w:left w:w="0" w:type="dxa"/>
        <w:top w:w="0" w:type="dxa"/>
        <w:right w:w="0" w:type="dxa"/>
        <w:bottom w:w="0" w:type="dxa"/>
      </w:tblCellMar>
    </w:tblPr>
  </w:style>
  <w:style w:type="table" w:styleId="1211" w:customStyle="1">
    <w:name w:val="List Table 5 Dark - Accent 2"/>
    <w:uiPriority w:val="99"/>
    <w:qFormat/>
    <w:tblPr>
      <w:tblCellMar>
        <w:left w:w="0" w:type="dxa"/>
        <w:top w:w="0" w:type="dxa"/>
        <w:right w:w="0" w:type="dxa"/>
        <w:bottom w:w="0" w:type="dxa"/>
      </w:tblCellMar>
    </w:tblPr>
  </w:style>
  <w:style w:type="table" w:styleId="1212" w:customStyle="1">
    <w:name w:val="List Table 5 Dark - Accent 3"/>
    <w:uiPriority w:val="99"/>
    <w:qFormat/>
    <w:tblPr>
      <w:tblCellMar>
        <w:left w:w="0" w:type="dxa"/>
        <w:top w:w="0" w:type="dxa"/>
        <w:right w:w="0" w:type="dxa"/>
        <w:bottom w:w="0" w:type="dxa"/>
      </w:tblCellMar>
    </w:tblPr>
  </w:style>
  <w:style w:type="table" w:styleId="1213" w:customStyle="1">
    <w:name w:val="List Table 5 Dark - Accent 4"/>
    <w:uiPriority w:val="99"/>
    <w:qFormat/>
    <w:tblPr>
      <w:tblCellMar>
        <w:left w:w="0" w:type="dxa"/>
        <w:top w:w="0" w:type="dxa"/>
        <w:right w:w="0" w:type="dxa"/>
        <w:bottom w:w="0" w:type="dxa"/>
      </w:tblCellMar>
    </w:tblPr>
  </w:style>
  <w:style w:type="table" w:styleId="1214" w:customStyle="1">
    <w:name w:val="List Table 5 Dark - Accent 5"/>
    <w:uiPriority w:val="99"/>
    <w:qFormat/>
    <w:tblPr>
      <w:tblCellMar>
        <w:left w:w="0" w:type="dxa"/>
        <w:top w:w="0" w:type="dxa"/>
        <w:right w:w="0" w:type="dxa"/>
        <w:bottom w:w="0" w:type="dxa"/>
      </w:tblCellMar>
    </w:tblPr>
  </w:style>
  <w:style w:type="table" w:styleId="1215" w:customStyle="1">
    <w:name w:val="List Table 5 Dark - Accent 6"/>
    <w:uiPriority w:val="99"/>
    <w:qFormat/>
    <w:tblPr>
      <w:tblCellMar>
        <w:left w:w="0" w:type="dxa"/>
        <w:top w:w="0" w:type="dxa"/>
        <w:right w:w="0" w:type="dxa"/>
        <w:bottom w:w="0" w:type="dxa"/>
      </w:tblCellMar>
    </w:tblPr>
  </w:style>
  <w:style w:type="table" w:styleId="1216" w:customStyle="1">
    <w:name w:val="清单表 6 彩色1"/>
    <w:uiPriority w:val="99"/>
    <w:qFormat/>
    <w:tblPr>
      <w:tblCellMar>
        <w:left w:w="0" w:type="dxa"/>
        <w:top w:w="0" w:type="dxa"/>
        <w:right w:w="0" w:type="dxa"/>
        <w:bottom w:w="0" w:type="dxa"/>
      </w:tblCellMar>
    </w:tblPr>
  </w:style>
  <w:style w:type="table" w:styleId="1217" w:customStyle="1">
    <w:name w:val="List Table 6 Colorful - Accent 1"/>
    <w:uiPriority w:val="99"/>
    <w:qFormat/>
    <w:tblPr>
      <w:tblCellMar>
        <w:left w:w="0" w:type="dxa"/>
        <w:top w:w="0" w:type="dxa"/>
        <w:right w:w="0" w:type="dxa"/>
        <w:bottom w:w="0" w:type="dxa"/>
      </w:tblCellMar>
    </w:tblPr>
  </w:style>
  <w:style w:type="table" w:styleId="1218" w:customStyle="1">
    <w:name w:val="List Table 6 Colorful - Accent 2"/>
    <w:uiPriority w:val="99"/>
    <w:qFormat/>
    <w:tblPr>
      <w:tblCellMar>
        <w:left w:w="0" w:type="dxa"/>
        <w:top w:w="0" w:type="dxa"/>
        <w:right w:w="0" w:type="dxa"/>
        <w:bottom w:w="0" w:type="dxa"/>
      </w:tblCellMar>
    </w:tblPr>
  </w:style>
  <w:style w:type="table" w:styleId="1219" w:customStyle="1">
    <w:name w:val="List Table 6 Colorful - Accent 3"/>
    <w:uiPriority w:val="99"/>
    <w:qFormat/>
    <w:tblPr>
      <w:tblCellMar>
        <w:left w:w="0" w:type="dxa"/>
        <w:top w:w="0" w:type="dxa"/>
        <w:right w:w="0" w:type="dxa"/>
        <w:bottom w:w="0" w:type="dxa"/>
      </w:tblCellMar>
    </w:tblPr>
  </w:style>
  <w:style w:type="table" w:styleId="1220" w:customStyle="1">
    <w:name w:val="List Table 6 Colorful - Accent 4"/>
    <w:uiPriority w:val="99"/>
    <w:qFormat/>
    <w:tblPr>
      <w:tblCellMar>
        <w:left w:w="0" w:type="dxa"/>
        <w:top w:w="0" w:type="dxa"/>
        <w:right w:w="0" w:type="dxa"/>
        <w:bottom w:w="0" w:type="dxa"/>
      </w:tblCellMar>
    </w:tblPr>
  </w:style>
  <w:style w:type="table" w:styleId="1221" w:customStyle="1">
    <w:name w:val="List Table 6 Colorful - Accent 5"/>
    <w:uiPriority w:val="99"/>
    <w:qFormat/>
    <w:tblPr>
      <w:tblCellMar>
        <w:left w:w="0" w:type="dxa"/>
        <w:top w:w="0" w:type="dxa"/>
        <w:right w:w="0" w:type="dxa"/>
        <w:bottom w:w="0" w:type="dxa"/>
      </w:tblCellMar>
    </w:tblPr>
  </w:style>
  <w:style w:type="table" w:styleId="1222" w:customStyle="1">
    <w:name w:val="List Table 6 Colorful - Accent 6"/>
    <w:uiPriority w:val="99"/>
    <w:qFormat/>
    <w:tblPr>
      <w:tblCellMar>
        <w:left w:w="0" w:type="dxa"/>
        <w:top w:w="0" w:type="dxa"/>
        <w:right w:w="0" w:type="dxa"/>
        <w:bottom w:w="0" w:type="dxa"/>
      </w:tblCellMar>
    </w:tblPr>
  </w:style>
  <w:style w:type="table" w:styleId="1223" w:customStyle="1">
    <w:name w:val="清单表 7 彩色1"/>
    <w:uiPriority w:val="99"/>
    <w:qFormat/>
    <w:tblPr>
      <w:tblCellMar>
        <w:left w:w="0" w:type="dxa"/>
        <w:top w:w="0" w:type="dxa"/>
        <w:right w:w="0" w:type="dxa"/>
        <w:bottom w:w="0" w:type="dxa"/>
      </w:tblCellMar>
    </w:tblPr>
  </w:style>
  <w:style w:type="table" w:styleId="1224" w:customStyle="1">
    <w:name w:val="List Table 7 Colorful - Accent 1"/>
    <w:uiPriority w:val="99"/>
    <w:qFormat/>
    <w:tblPr>
      <w:tblCellMar>
        <w:left w:w="0" w:type="dxa"/>
        <w:top w:w="0" w:type="dxa"/>
        <w:right w:w="0" w:type="dxa"/>
        <w:bottom w:w="0" w:type="dxa"/>
      </w:tblCellMar>
    </w:tblPr>
  </w:style>
  <w:style w:type="table" w:styleId="1225" w:customStyle="1">
    <w:name w:val="List Table 7 Colorful - Accent 2"/>
    <w:uiPriority w:val="99"/>
    <w:qFormat/>
    <w:tblPr>
      <w:tblCellMar>
        <w:left w:w="0" w:type="dxa"/>
        <w:top w:w="0" w:type="dxa"/>
        <w:right w:w="0" w:type="dxa"/>
        <w:bottom w:w="0" w:type="dxa"/>
      </w:tblCellMar>
    </w:tblPr>
  </w:style>
  <w:style w:type="table" w:styleId="1226" w:customStyle="1">
    <w:name w:val="List Table 7 Colorful - Accent 3"/>
    <w:uiPriority w:val="99"/>
    <w:qFormat/>
    <w:tblPr>
      <w:tblCellMar>
        <w:left w:w="0" w:type="dxa"/>
        <w:top w:w="0" w:type="dxa"/>
        <w:right w:w="0" w:type="dxa"/>
        <w:bottom w:w="0" w:type="dxa"/>
      </w:tblCellMar>
    </w:tblPr>
  </w:style>
  <w:style w:type="table" w:styleId="1227" w:customStyle="1">
    <w:name w:val="List Table 7 Colorful - Accent 4"/>
    <w:uiPriority w:val="99"/>
    <w:qFormat/>
    <w:tblPr>
      <w:tblCellMar>
        <w:left w:w="0" w:type="dxa"/>
        <w:top w:w="0" w:type="dxa"/>
        <w:right w:w="0" w:type="dxa"/>
        <w:bottom w:w="0" w:type="dxa"/>
      </w:tblCellMar>
    </w:tblPr>
  </w:style>
  <w:style w:type="table" w:styleId="1228" w:customStyle="1">
    <w:name w:val="List Table 7 Colorful - Accent 5"/>
    <w:uiPriority w:val="99"/>
    <w:qFormat/>
    <w:tblPr>
      <w:tblCellMar>
        <w:left w:w="0" w:type="dxa"/>
        <w:top w:w="0" w:type="dxa"/>
        <w:right w:w="0" w:type="dxa"/>
        <w:bottom w:w="0" w:type="dxa"/>
      </w:tblCellMar>
    </w:tblPr>
  </w:style>
  <w:style w:type="table" w:styleId="1229" w:customStyle="1">
    <w:name w:val="List Table 7 Colorful - Accent 6"/>
    <w:uiPriority w:val="99"/>
    <w:qFormat/>
    <w:tblPr>
      <w:tblCellMar>
        <w:left w:w="0" w:type="dxa"/>
        <w:top w:w="0" w:type="dxa"/>
        <w:right w:w="0" w:type="dxa"/>
        <w:bottom w:w="0" w:type="dxa"/>
      </w:tblCellMar>
    </w:tblPr>
  </w:style>
  <w:style w:type="table" w:styleId="1230" w:customStyle="1">
    <w:name w:val="Lined - Accent"/>
    <w:uiPriority w:val="99"/>
    <w:qFormat/>
    <w:rPr>
      <w:color w:val="404040"/>
    </w:rPr>
    <w:tblPr>
      <w:tblCellMar>
        <w:left w:w="0" w:type="dxa"/>
        <w:top w:w="0" w:type="dxa"/>
        <w:right w:w="0" w:type="dxa"/>
        <w:bottom w:w="0" w:type="dxa"/>
      </w:tblCellMar>
    </w:tblPr>
  </w:style>
  <w:style w:type="table" w:styleId="1231" w:customStyle="1">
    <w:name w:val="Lined - Accent 1"/>
    <w:uiPriority w:val="99"/>
    <w:qFormat/>
    <w:rPr>
      <w:color w:val="404040"/>
    </w:rPr>
    <w:tblPr>
      <w:tblCellMar>
        <w:left w:w="0" w:type="dxa"/>
        <w:top w:w="0" w:type="dxa"/>
        <w:right w:w="0" w:type="dxa"/>
        <w:bottom w:w="0" w:type="dxa"/>
      </w:tblCellMar>
    </w:tblPr>
  </w:style>
  <w:style w:type="table" w:styleId="1232" w:customStyle="1">
    <w:name w:val="Lined - Accent 2"/>
    <w:uiPriority w:val="99"/>
    <w:qFormat/>
    <w:rPr>
      <w:color w:val="404040"/>
    </w:rPr>
    <w:tblPr>
      <w:tblCellMar>
        <w:left w:w="0" w:type="dxa"/>
        <w:top w:w="0" w:type="dxa"/>
        <w:right w:w="0" w:type="dxa"/>
        <w:bottom w:w="0" w:type="dxa"/>
      </w:tblCellMar>
    </w:tblPr>
  </w:style>
  <w:style w:type="table" w:styleId="1233" w:customStyle="1">
    <w:name w:val="Lined - Accent 3"/>
    <w:uiPriority w:val="99"/>
    <w:qFormat/>
    <w:rPr>
      <w:color w:val="404040"/>
    </w:rPr>
    <w:tblPr>
      <w:tblCellMar>
        <w:left w:w="0" w:type="dxa"/>
        <w:top w:w="0" w:type="dxa"/>
        <w:right w:w="0" w:type="dxa"/>
        <w:bottom w:w="0" w:type="dxa"/>
      </w:tblCellMar>
    </w:tblPr>
  </w:style>
  <w:style w:type="table" w:styleId="1234" w:customStyle="1">
    <w:name w:val="Lined - Accent 4"/>
    <w:uiPriority w:val="99"/>
    <w:qFormat/>
    <w:rPr>
      <w:color w:val="404040"/>
    </w:rPr>
    <w:tblPr>
      <w:tblCellMar>
        <w:left w:w="0" w:type="dxa"/>
        <w:top w:w="0" w:type="dxa"/>
        <w:right w:w="0" w:type="dxa"/>
        <w:bottom w:w="0" w:type="dxa"/>
      </w:tblCellMar>
    </w:tblPr>
  </w:style>
  <w:style w:type="table" w:styleId="1235" w:customStyle="1">
    <w:name w:val="Lined - Accent 5"/>
    <w:uiPriority w:val="99"/>
    <w:qFormat/>
    <w:rPr>
      <w:color w:val="404040"/>
    </w:rPr>
    <w:tblPr>
      <w:tblCellMar>
        <w:left w:w="0" w:type="dxa"/>
        <w:top w:w="0" w:type="dxa"/>
        <w:right w:w="0" w:type="dxa"/>
        <w:bottom w:w="0" w:type="dxa"/>
      </w:tblCellMar>
    </w:tblPr>
  </w:style>
  <w:style w:type="table" w:styleId="1236" w:customStyle="1">
    <w:name w:val="Lined - Accent 6"/>
    <w:uiPriority w:val="99"/>
    <w:qFormat/>
    <w:rPr>
      <w:color w:val="404040"/>
    </w:rPr>
    <w:tblPr>
      <w:tblCellMar>
        <w:left w:w="0" w:type="dxa"/>
        <w:top w:w="0" w:type="dxa"/>
        <w:right w:w="0" w:type="dxa"/>
        <w:bottom w:w="0" w:type="dxa"/>
      </w:tblCellMar>
    </w:tblPr>
  </w:style>
  <w:style w:type="table" w:styleId="1237" w:customStyle="1">
    <w:name w:val="Bordered &amp; Lined - Accent"/>
    <w:uiPriority w:val="99"/>
    <w:qFormat/>
    <w:rPr>
      <w:color w:val="404040"/>
    </w:rPr>
    <w:tblPr>
      <w:tblCellMar>
        <w:left w:w="0" w:type="dxa"/>
        <w:top w:w="0" w:type="dxa"/>
        <w:right w:w="0" w:type="dxa"/>
        <w:bottom w:w="0" w:type="dxa"/>
      </w:tblCellMar>
    </w:tblPr>
  </w:style>
  <w:style w:type="table" w:styleId="1238" w:customStyle="1">
    <w:name w:val="Bordered &amp; Lined - Accent 1"/>
    <w:uiPriority w:val="99"/>
    <w:qFormat/>
    <w:rPr>
      <w:color w:val="404040"/>
    </w:rPr>
    <w:tblPr>
      <w:tblCellMar>
        <w:left w:w="0" w:type="dxa"/>
        <w:top w:w="0" w:type="dxa"/>
        <w:right w:w="0" w:type="dxa"/>
        <w:bottom w:w="0" w:type="dxa"/>
      </w:tblCellMar>
    </w:tblPr>
  </w:style>
  <w:style w:type="table" w:styleId="1239" w:customStyle="1">
    <w:name w:val="Bordered &amp; Lined - Accent 2"/>
    <w:uiPriority w:val="99"/>
    <w:qFormat/>
    <w:rPr>
      <w:color w:val="404040"/>
    </w:rPr>
    <w:tblPr>
      <w:tblCellMar>
        <w:left w:w="0" w:type="dxa"/>
        <w:top w:w="0" w:type="dxa"/>
        <w:right w:w="0" w:type="dxa"/>
        <w:bottom w:w="0" w:type="dxa"/>
      </w:tblCellMar>
    </w:tblPr>
  </w:style>
  <w:style w:type="table" w:styleId="1240" w:customStyle="1">
    <w:name w:val="Bordered &amp; Lined - Accent 3"/>
    <w:uiPriority w:val="99"/>
    <w:qFormat/>
    <w:rPr>
      <w:color w:val="404040"/>
    </w:rPr>
    <w:tblPr>
      <w:tblCellMar>
        <w:left w:w="0" w:type="dxa"/>
        <w:top w:w="0" w:type="dxa"/>
        <w:right w:w="0" w:type="dxa"/>
        <w:bottom w:w="0" w:type="dxa"/>
      </w:tblCellMar>
    </w:tblPr>
  </w:style>
  <w:style w:type="table" w:styleId="1241" w:customStyle="1">
    <w:name w:val="Bordered &amp; Lined - Accent 4"/>
    <w:uiPriority w:val="99"/>
    <w:qFormat/>
    <w:rPr>
      <w:color w:val="404040"/>
    </w:rPr>
    <w:tblPr>
      <w:tblCellMar>
        <w:left w:w="0" w:type="dxa"/>
        <w:top w:w="0" w:type="dxa"/>
        <w:right w:w="0" w:type="dxa"/>
        <w:bottom w:w="0" w:type="dxa"/>
      </w:tblCellMar>
    </w:tblPr>
  </w:style>
  <w:style w:type="table" w:styleId="1242" w:customStyle="1">
    <w:name w:val="Bordered &amp; Lined - Accent 5"/>
    <w:uiPriority w:val="99"/>
    <w:qFormat/>
    <w:rPr>
      <w:color w:val="404040"/>
    </w:rPr>
    <w:tblPr>
      <w:tblCellMar>
        <w:left w:w="0" w:type="dxa"/>
        <w:top w:w="0" w:type="dxa"/>
        <w:right w:w="0" w:type="dxa"/>
        <w:bottom w:w="0" w:type="dxa"/>
      </w:tblCellMar>
    </w:tblPr>
  </w:style>
  <w:style w:type="table" w:styleId="1243" w:customStyle="1">
    <w:name w:val="Bordered &amp; Lined - Accent 6"/>
    <w:uiPriority w:val="99"/>
    <w:qFormat/>
    <w:rPr>
      <w:color w:val="404040"/>
    </w:rPr>
    <w:tblPr>
      <w:tblCellMar>
        <w:left w:w="0" w:type="dxa"/>
        <w:top w:w="0" w:type="dxa"/>
        <w:right w:w="0" w:type="dxa"/>
        <w:bottom w:w="0" w:type="dxa"/>
      </w:tblCellMar>
    </w:tblPr>
  </w:style>
  <w:style w:type="table" w:styleId="1244" w:customStyle="1">
    <w:name w:val="Bordered"/>
    <w:uiPriority w:val="99"/>
    <w:qFormat/>
    <w:tblPr>
      <w:tblCellMar>
        <w:left w:w="0" w:type="dxa"/>
        <w:top w:w="0" w:type="dxa"/>
        <w:right w:w="0" w:type="dxa"/>
        <w:bottom w:w="0" w:type="dxa"/>
      </w:tblCellMar>
    </w:tblPr>
  </w:style>
  <w:style w:type="table" w:styleId="1245" w:customStyle="1">
    <w:name w:val="Bordered - Accent 1"/>
    <w:uiPriority w:val="99"/>
    <w:qFormat/>
    <w:tblPr>
      <w:tblCellMar>
        <w:left w:w="0" w:type="dxa"/>
        <w:top w:w="0" w:type="dxa"/>
        <w:right w:w="0" w:type="dxa"/>
        <w:bottom w:w="0" w:type="dxa"/>
      </w:tblCellMar>
    </w:tblPr>
  </w:style>
  <w:style w:type="table" w:styleId="1246" w:customStyle="1">
    <w:name w:val="Bordered - Accent 2"/>
    <w:uiPriority w:val="99"/>
    <w:qFormat/>
    <w:tblPr>
      <w:tblCellMar>
        <w:left w:w="0" w:type="dxa"/>
        <w:top w:w="0" w:type="dxa"/>
        <w:right w:w="0" w:type="dxa"/>
        <w:bottom w:w="0" w:type="dxa"/>
      </w:tblCellMar>
    </w:tblPr>
  </w:style>
  <w:style w:type="table" w:styleId="1247" w:customStyle="1">
    <w:name w:val="Bordered - Accent 3"/>
    <w:uiPriority w:val="99"/>
    <w:qFormat/>
    <w:tblPr>
      <w:tblCellMar>
        <w:left w:w="0" w:type="dxa"/>
        <w:top w:w="0" w:type="dxa"/>
        <w:right w:w="0" w:type="dxa"/>
        <w:bottom w:w="0" w:type="dxa"/>
      </w:tblCellMar>
    </w:tblPr>
  </w:style>
  <w:style w:type="table" w:styleId="1248" w:customStyle="1">
    <w:name w:val="Bordered - Accent 4"/>
    <w:uiPriority w:val="99"/>
    <w:qFormat/>
    <w:tblPr>
      <w:tblCellMar>
        <w:left w:w="0" w:type="dxa"/>
        <w:top w:w="0" w:type="dxa"/>
        <w:right w:w="0" w:type="dxa"/>
        <w:bottom w:w="0" w:type="dxa"/>
      </w:tblCellMar>
    </w:tblPr>
  </w:style>
  <w:style w:type="table" w:styleId="1249" w:customStyle="1">
    <w:name w:val="Bordered - Accent 5"/>
    <w:uiPriority w:val="99"/>
    <w:qFormat/>
    <w:tblPr>
      <w:tblCellMar>
        <w:left w:w="0" w:type="dxa"/>
        <w:top w:w="0" w:type="dxa"/>
        <w:right w:w="0" w:type="dxa"/>
        <w:bottom w:w="0" w:type="dxa"/>
      </w:tblCellMar>
    </w:tblPr>
  </w:style>
  <w:style w:type="table" w:styleId="1250" w:customStyle="1">
    <w:name w:val="Bordered - Accent 6"/>
    <w:uiPriority w:val="99"/>
    <w:qFormat/>
    <w:tblPr>
      <w:tblCellMar>
        <w:left w:w="0" w:type="dxa"/>
        <w:top w:w="0" w:type="dxa"/>
        <w:right w:w="0" w:type="dxa"/>
        <w:bottom w:w="0" w:type="dxa"/>
      </w:tblCellMar>
    </w:tblPr>
  </w:style>
  <w:style w:type="paragraph" w:styleId="1251" w:customStyle="1">
    <w:name w:val="TOC 标题1"/>
    <w:uiPriority w:val="39"/>
    <w:unhideWhenUsed/>
    <w:qFormat/>
    <w:rPr>
      <w:rFonts w:hint="default" w:ascii="Times New Roman" w:hAnsi="Times New Roman" w:eastAsia="宋体" w:cs="Times New Roman"/>
      <w:lang w:val="en-US" w:eastAsia="zh-CN" w:bidi="ar-SA"/>
    </w:rPr>
  </w:style>
  <w:style w:type="paragraph" w:styleId="1252" w:customStyle="1">
    <w:name w:val="标题 11"/>
    <w:basedOn w:val="902"/>
    <w:next w:val="902"/>
    <w:link w:val="1253"/>
    <w:uiPriority w:val="0"/>
    <w:qFormat/>
    <w:pPr>
      <w:keepLines/>
      <w:keepNext/>
      <w:spacing w:before="340" w:after="330" w:line="578" w:lineRule="auto"/>
      <w:outlineLvl w:val="0"/>
    </w:pPr>
    <w:rPr>
      <w:rFonts w:ascii="Calibri" w:hAnsi="Calibri" w:eastAsia="方正楷体_GB2312"/>
      <w:b/>
      <w:sz w:val="44"/>
      <w:szCs w:val="20"/>
    </w:rPr>
  </w:style>
  <w:style w:type="character" w:styleId="1253" w:customStyle="1">
    <w:name w:val="标题 1 字符"/>
    <w:link w:val="1252"/>
    <w:uiPriority w:val="0"/>
    <w:qFormat/>
    <w:rPr>
      <w:rFonts w:ascii="Calibri" w:hAnsi="Calibri" w:eastAsia="方正楷体_GB2312" w:cs="Times New Roman"/>
      <w:b/>
      <w:sz w:val="44"/>
    </w:rPr>
  </w:style>
  <w:style w:type="paragraph" w:styleId="1254" w:customStyle="1">
    <w:name w:val="标题 41"/>
    <w:basedOn w:val="902"/>
    <w:next w:val="902"/>
    <w:link w:val="1255"/>
    <w:uiPriority w:val="9"/>
    <w:qFormat/>
    <w:pPr>
      <w:keepLines/>
      <w:keepNext/>
      <w:spacing w:before="280" w:after="290" w:line="376" w:lineRule="auto"/>
      <w:outlineLvl w:val="3"/>
    </w:pPr>
    <w:rPr>
      <w:rFonts w:ascii="Cambria" w:hAnsi="Cambria"/>
      <w:b/>
      <w:bCs/>
      <w:sz w:val="28"/>
      <w:szCs w:val="28"/>
    </w:rPr>
  </w:style>
  <w:style w:type="character" w:styleId="1255" w:customStyle="1">
    <w:name w:val="标题 4 字符"/>
    <w:link w:val="1254"/>
    <w:uiPriority w:val="9"/>
    <w:semiHidden/>
    <w:qFormat/>
    <w:rPr>
      <w:rFonts w:ascii="Cambria" w:hAnsi="Cambria" w:eastAsia="宋体" w:cs="Times New Roman"/>
      <w:b/>
      <w:bCs/>
      <w:sz w:val="28"/>
      <w:szCs w:val="28"/>
    </w:rPr>
  </w:style>
  <w:style w:type="character" w:styleId="1256" w:customStyle="1">
    <w:name w:val="默认段落字体11"/>
    <w:uiPriority w:val="0"/>
    <w:qFormat/>
    <w:rPr>
      <w:rFonts w:ascii="Calibri" w:hAnsi="Calibri" w:eastAsia="宋体" w:cs="Times New Roman"/>
    </w:rPr>
  </w:style>
  <w:style w:type="table" w:styleId="1257" w:customStyle="1">
    <w:name w:val="普通表格1"/>
    <w:uiPriority w:val="0"/>
    <w:qFormat/>
    <w:rPr>
      <w:rFonts w:ascii="Calibri" w:hAnsi="Calibri"/>
    </w:rPr>
    <w:tblPr>
      <w:tblCellMar>
        <w:left w:w="0" w:type="dxa"/>
        <w:top w:w="0" w:type="dxa"/>
        <w:right w:w="0" w:type="dxa"/>
        <w:bottom w:w="0" w:type="dxa"/>
      </w:tblCellMar>
    </w:tblPr>
  </w:style>
  <w:style w:type="paragraph" w:styleId="1258" w:customStyle="1">
    <w:name w:val="正文缩进12"/>
    <w:basedOn w:val="902"/>
    <w:next w:val="902"/>
    <w:link w:val="1259"/>
    <w:uiPriority w:val="0"/>
    <w:qFormat/>
    <w:pPr>
      <w:ind w:firstLine="420"/>
      <w:jc w:val="left"/>
      <w:widowControl/>
    </w:pPr>
    <w:rPr>
      <w:rFonts w:ascii="Calibri" w:hAnsi="Calibri" w:eastAsia="方正楷体_GB2312"/>
      <w:sz w:val="24"/>
      <w:szCs w:val="20"/>
    </w:rPr>
  </w:style>
  <w:style w:type="character" w:styleId="1259" w:customStyle="1">
    <w:name w:val="正文缩进 字符"/>
    <w:link w:val="1258"/>
    <w:uiPriority w:val="0"/>
    <w:qFormat/>
    <w:rPr>
      <w:rFonts w:ascii="Calibri" w:hAnsi="Calibri" w:eastAsia="方正楷体_GB2312" w:cs="Times New Roman"/>
      <w:sz w:val="24"/>
    </w:rPr>
  </w:style>
  <w:style w:type="paragraph" w:styleId="1260" w:customStyle="1">
    <w:name w:val="文档结构图1"/>
    <w:basedOn w:val="902"/>
    <w:link w:val="1261"/>
    <w:uiPriority w:val="99"/>
    <w:unhideWhenUsed/>
    <w:qFormat/>
    <w:rPr>
      <w:rFonts w:ascii="宋体"/>
      <w:sz w:val="18"/>
      <w:szCs w:val="18"/>
    </w:rPr>
  </w:style>
  <w:style w:type="character" w:styleId="1261" w:customStyle="1">
    <w:name w:val="文档结构图 字符"/>
    <w:link w:val="1260"/>
    <w:uiPriority w:val="99"/>
    <w:semiHidden/>
    <w:qFormat/>
    <w:rPr>
      <w:rFonts w:ascii="宋体" w:hAnsi="Times New Roman" w:eastAsia="宋体" w:cs="Times New Roman"/>
      <w:sz w:val="18"/>
      <w:szCs w:val="18"/>
    </w:rPr>
  </w:style>
  <w:style w:type="paragraph" w:styleId="1262" w:customStyle="1">
    <w:name w:val="批注文字1"/>
    <w:basedOn w:val="902"/>
    <w:link w:val="1263"/>
    <w:uiPriority w:val="0"/>
    <w:qFormat/>
    <w:pPr>
      <w:jc w:val="left"/>
    </w:pPr>
  </w:style>
  <w:style w:type="character" w:styleId="1263" w:customStyle="1">
    <w:name w:val="批注文字 字符"/>
    <w:link w:val="1262"/>
    <w:uiPriority w:val="0"/>
    <w:qFormat/>
    <w:rPr>
      <w:rFonts w:ascii="Times New Roman" w:hAnsi="Times New Roman" w:eastAsia="宋体" w:cs="Times New Roman"/>
      <w:sz w:val="21"/>
      <w:szCs w:val="24"/>
    </w:rPr>
  </w:style>
  <w:style w:type="paragraph" w:styleId="1264" w:customStyle="1">
    <w:name w:val="正文文本1"/>
    <w:basedOn w:val="902"/>
    <w:link w:val="1265"/>
    <w:uiPriority w:val="99"/>
    <w:unhideWhenUsed/>
    <w:qFormat/>
    <w:pPr>
      <w:spacing w:after="120"/>
    </w:pPr>
    <w:rPr>
      <w:rFonts w:ascii="Calibri" w:hAnsi="Calibri"/>
    </w:rPr>
  </w:style>
  <w:style w:type="character" w:styleId="1265" w:customStyle="1">
    <w:name w:val="正文文本 字符"/>
    <w:link w:val="1264"/>
    <w:uiPriority w:val="99"/>
    <w:semiHidden/>
    <w:qFormat/>
    <w:rPr>
      <w:rFonts w:ascii="Calibri" w:hAnsi="Calibri" w:eastAsia="宋体" w:cs="Times New Roman"/>
      <w:sz w:val="21"/>
      <w:szCs w:val="24"/>
    </w:rPr>
  </w:style>
  <w:style w:type="paragraph" w:styleId="1266" w:customStyle="1">
    <w:name w:val="正文文本缩进1"/>
    <w:basedOn w:val="902"/>
    <w:next w:val="902"/>
    <w:uiPriority w:val="99"/>
    <w:unhideWhenUsed/>
    <w:qFormat/>
    <w:pPr>
      <w:ind w:left="420"/>
      <w:spacing w:after="120"/>
    </w:pPr>
  </w:style>
  <w:style w:type="paragraph" w:styleId="1267" w:customStyle="1">
    <w:name w:val="文本块1"/>
    <w:basedOn w:val="1252"/>
    <w:next w:val="902"/>
    <w:uiPriority w:val="0"/>
    <w:qFormat/>
    <w:pPr>
      <w:ind w:left="630" w:right="-609" w:firstLine="420"/>
      <w:spacing w:line="360" w:lineRule="auto"/>
    </w:pPr>
    <w:rPr>
      <w:rFonts w:hint="eastAsia" w:ascii="方正仿宋_GB2312" w:eastAsia="方正仿宋_GB2312"/>
    </w:rPr>
  </w:style>
  <w:style w:type="paragraph" w:styleId="1268" w:customStyle="1">
    <w:name w:val="目录 31"/>
    <w:basedOn w:val="902"/>
    <w:next w:val="902"/>
    <w:uiPriority w:val="39"/>
    <w:unhideWhenUsed/>
    <w:qFormat/>
    <w:pPr>
      <w:ind w:left="840"/>
    </w:pPr>
  </w:style>
  <w:style w:type="paragraph" w:styleId="1269" w:customStyle="1">
    <w:name w:val="纯文本11"/>
    <w:basedOn w:val="902"/>
    <w:link w:val="1270"/>
    <w:uiPriority w:val="0"/>
    <w:qFormat/>
    <w:rPr>
      <w:rFonts w:ascii="宋体" w:hAnsi="Courier New" w:eastAsia="方正楷体_GB2312"/>
      <w:sz w:val="26"/>
      <w:szCs w:val="20"/>
    </w:rPr>
  </w:style>
  <w:style w:type="character" w:styleId="1270" w:customStyle="1">
    <w:name w:val="纯文本 字符"/>
    <w:link w:val="1269"/>
    <w:uiPriority w:val="0"/>
    <w:qFormat/>
    <w:rPr>
      <w:rFonts w:ascii="宋体" w:hAnsi="Courier New" w:eastAsia="方正楷体_GB2312"/>
      <w:sz w:val="26"/>
    </w:rPr>
  </w:style>
  <w:style w:type="paragraph" w:styleId="1271" w:customStyle="1">
    <w:name w:val="日期1"/>
    <w:basedOn w:val="902"/>
    <w:next w:val="902"/>
    <w:link w:val="1272"/>
    <w:uiPriority w:val="0"/>
    <w:qFormat/>
    <w:rPr>
      <w:rFonts w:ascii="宋体" w:hAnsi="宋体" w:eastAsia="方正楷体_GB2312"/>
      <w:sz w:val="24"/>
      <w:szCs w:val="20"/>
    </w:rPr>
  </w:style>
  <w:style w:type="character" w:styleId="1272" w:customStyle="1">
    <w:name w:val="日期 字符"/>
    <w:link w:val="1271"/>
    <w:uiPriority w:val="0"/>
    <w:qFormat/>
    <w:rPr>
      <w:rFonts w:ascii="宋体" w:hAnsi="宋体" w:eastAsia="方正楷体_GB2312" w:cs="Times New Roman"/>
      <w:sz w:val="24"/>
    </w:rPr>
  </w:style>
  <w:style w:type="paragraph" w:styleId="1273" w:customStyle="1">
    <w:name w:val="正文文本缩进 21"/>
    <w:basedOn w:val="902"/>
    <w:uiPriority w:val="0"/>
    <w:qFormat/>
    <w:pPr>
      <w:ind w:left="420"/>
      <w:spacing w:after="120" w:line="480" w:lineRule="auto"/>
    </w:pPr>
    <w:rPr>
      <w:rFonts w:ascii="Calibri" w:hAnsi="Calibri"/>
    </w:rPr>
  </w:style>
  <w:style w:type="paragraph" w:styleId="1274" w:customStyle="1">
    <w:name w:val="批注框文本1"/>
    <w:basedOn w:val="902"/>
    <w:link w:val="1275"/>
    <w:uiPriority w:val="0"/>
    <w:qFormat/>
    <w:rPr>
      <w:sz w:val="18"/>
      <w:szCs w:val="18"/>
    </w:rPr>
  </w:style>
  <w:style w:type="character" w:styleId="1275" w:customStyle="1">
    <w:name w:val="批注框文本 字符"/>
    <w:link w:val="1274"/>
    <w:uiPriority w:val="0"/>
    <w:qFormat/>
    <w:rPr>
      <w:rFonts w:ascii="Times New Roman" w:hAnsi="Times New Roman" w:eastAsia="宋体" w:cs="Times New Roman"/>
      <w:sz w:val="18"/>
      <w:szCs w:val="18"/>
    </w:rPr>
  </w:style>
  <w:style w:type="paragraph" w:styleId="1276" w:customStyle="1">
    <w:name w:val="页脚11"/>
    <w:basedOn w:val="902"/>
    <w:link w:val="1277"/>
    <w:uiPriority w:val="99"/>
    <w:qFormat/>
    <w:pPr>
      <w:jc w:val="left"/>
      <w:tabs>
        <w:tab w:val="center" w:pos="4153" w:leader="none"/>
        <w:tab w:val="right" w:pos="8306" w:leader="none"/>
      </w:tabs>
    </w:pPr>
    <w:rPr>
      <w:rFonts w:ascii="Calibri" w:hAnsi="Calibri"/>
      <w:sz w:val="18"/>
      <w:szCs w:val="18"/>
    </w:rPr>
  </w:style>
  <w:style w:type="character" w:styleId="1277" w:customStyle="1">
    <w:name w:val="页脚 字符"/>
    <w:link w:val="1276"/>
    <w:uiPriority w:val="99"/>
    <w:qFormat/>
    <w:rPr>
      <w:rFonts w:ascii="Calibri" w:hAnsi="Calibri" w:eastAsia="宋体" w:cs="Times New Roman"/>
      <w:sz w:val="18"/>
      <w:szCs w:val="18"/>
    </w:rPr>
  </w:style>
  <w:style w:type="paragraph" w:styleId="1278" w:customStyle="1">
    <w:name w:val="寄信人地址11"/>
    <w:basedOn w:val="902"/>
    <w:uiPriority w:val="99"/>
    <w:unhideWhenUsed/>
    <w:qFormat/>
    <w:rPr>
      <w:rFonts w:ascii="Cambria" w:hAnsi="Cambria"/>
    </w:rPr>
  </w:style>
  <w:style w:type="paragraph" w:styleId="1279" w:customStyle="1">
    <w:name w:val="页眉11"/>
    <w:basedOn w:val="902"/>
    <w:link w:val="1280"/>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280" w:customStyle="1">
    <w:name w:val="页眉 字符"/>
    <w:link w:val="1279"/>
    <w:uiPriority w:val="0"/>
    <w:qFormat/>
    <w:rPr>
      <w:rFonts w:ascii="Calibri" w:hAnsi="Calibri" w:eastAsia="宋体" w:cs="Times New Roman"/>
      <w:sz w:val="18"/>
      <w:szCs w:val="18"/>
    </w:rPr>
  </w:style>
  <w:style w:type="paragraph" w:styleId="1281" w:customStyle="1">
    <w:name w:val="目录 11"/>
    <w:basedOn w:val="902"/>
    <w:next w:val="902"/>
    <w:uiPriority w:val="39"/>
    <w:qFormat/>
    <w:pPr>
      <w:jc w:val="left"/>
    </w:pPr>
    <w:rPr>
      <w:rFonts w:ascii="Calibri" w:hAnsi="Calibri" w:eastAsia="方正楷体_GB2312"/>
      <w:sz w:val="24"/>
      <w:szCs w:val="20"/>
    </w:rPr>
  </w:style>
  <w:style w:type="paragraph" w:styleId="1282" w:customStyle="1">
    <w:name w:val="脚注文本1"/>
    <w:basedOn w:val="1252"/>
    <w:next w:val="1267"/>
    <w:uiPriority w:val="0"/>
    <w:qFormat/>
    <w:pPr>
      <w:ind w:firstLine="3584"/>
      <w:spacing w:before="0" w:after="0" w:line="360" w:lineRule="auto"/>
    </w:pPr>
    <w:rPr>
      <w:rFonts w:ascii="Times New Roman" w:hAnsi="Times New Roman"/>
    </w:rPr>
  </w:style>
  <w:style w:type="paragraph" w:styleId="1283" w:customStyle="1">
    <w:name w:val="正文文本缩进 311"/>
    <w:basedOn w:val="902"/>
    <w:link w:val="1284"/>
    <w:uiPriority w:val="0"/>
    <w:qFormat/>
    <w:pPr>
      <w:ind w:firstLine="480"/>
      <w:jc w:val="left"/>
      <w:spacing w:line="440" w:lineRule="atLeast"/>
    </w:pPr>
    <w:rPr>
      <w:sz w:val="24"/>
    </w:rPr>
  </w:style>
  <w:style w:type="character" w:styleId="1284" w:customStyle="1">
    <w:name w:val="正文文本缩进 3 字符"/>
    <w:link w:val="1283"/>
    <w:uiPriority w:val="0"/>
    <w:qFormat/>
    <w:rPr>
      <w:rFonts w:ascii="Times New Roman" w:hAnsi="Times New Roman" w:eastAsia="宋体" w:cs="Times New Roman"/>
      <w:sz w:val="24"/>
      <w:szCs w:val="24"/>
    </w:rPr>
  </w:style>
  <w:style w:type="paragraph" w:styleId="1285" w:customStyle="1">
    <w:name w:val="目录 21"/>
    <w:basedOn w:val="902"/>
    <w:next w:val="902"/>
    <w:uiPriority w:val="39"/>
    <w:unhideWhenUsed/>
    <w:qFormat/>
    <w:pPr>
      <w:ind w:left="420"/>
    </w:pPr>
  </w:style>
  <w:style w:type="paragraph" w:styleId="1286" w:customStyle="1">
    <w:name w:val="普通(网站)11"/>
    <w:basedOn w:val="902"/>
    <w:uiPriority w:val="0"/>
    <w:qFormat/>
    <w:pPr>
      <w:jc w:val="left"/>
      <w:spacing w:beforeAutospacing="1" w:afterAutospacing="1"/>
    </w:pPr>
    <w:rPr>
      <w:sz w:val="24"/>
    </w:rPr>
  </w:style>
  <w:style w:type="paragraph" w:styleId="1287" w:customStyle="1">
    <w:name w:val="批注主题1"/>
    <w:basedOn w:val="1262"/>
    <w:next w:val="1262"/>
    <w:link w:val="1288"/>
    <w:uiPriority w:val="0"/>
    <w:qFormat/>
    <w:rPr>
      <w:b/>
      <w:bCs/>
    </w:rPr>
  </w:style>
  <w:style w:type="character" w:styleId="1288" w:customStyle="1">
    <w:name w:val="批注主题 字符"/>
    <w:link w:val="1287"/>
    <w:uiPriority w:val="0"/>
    <w:qFormat/>
    <w:rPr>
      <w:rFonts w:ascii="Times New Roman" w:hAnsi="Times New Roman" w:eastAsia="宋体" w:cs="Times New Roman"/>
      <w:b/>
      <w:bCs/>
      <w:sz w:val="21"/>
      <w:szCs w:val="24"/>
    </w:rPr>
  </w:style>
  <w:style w:type="paragraph" w:styleId="1289" w:customStyle="1">
    <w:name w:val="正文首行缩进1"/>
    <w:basedOn w:val="1264"/>
    <w:uiPriority w:val="0"/>
    <w:qFormat/>
    <w:pPr>
      <w:ind w:firstLine="420"/>
      <w:spacing w:line="360" w:lineRule="auto"/>
      <w:tabs>
        <w:tab w:val="left" w:pos="5250" w:leader="none"/>
      </w:tabs>
    </w:pPr>
    <w:rPr>
      <w:rFonts w:ascii="宋体" w:hAnsi="宋体"/>
      <w:sz w:val="24"/>
    </w:rPr>
  </w:style>
  <w:style w:type="paragraph" w:styleId="1290" w:customStyle="1">
    <w:name w:val="正文首行缩进 21"/>
    <w:basedOn w:val="1266"/>
    <w:uiPriority w:val="0"/>
    <w:qFormat/>
    <w:pPr>
      <w:ind w:left="570" w:firstLine="420"/>
      <w:spacing w:after="0" w:line="520" w:lineRule="exact"/>
    </w:pPr>
    <w:rPr>
      <w:rFonts w:ascii="方正仿宋简体" w:hAnsi="印品仿宋简 Medium" w:eastAsia="方正仿宋简体"/>
      <w:sz w:val="24"/>
      <w:szCs w:val="20"/>
    </w:rPr>
  </w:style>
  <w:style w:type="table" w:styleId="1291" w:customStyle="1">
    <w:name w:val="网格型1"/>
    <w:basedOn w:val="1257"/>
    <w:uiPriority w:val="0"/>
    <w:qFormat/>
    <w:tblPr/>
  </w:style>
  <w:style w:type="character" w:styleId="1292" w:customStyle="1">
    <w:name w:val="页码11"/>
    <w:uiPriority w:val="0"/>
    <w:qFormat/>
    <w:rPr>
      <w:rFonts w:ascii="Calibri" w:hAnsi="Calibri" w:eastAsia="宋体" w:cs="Times New Roman"/>
    </w:rPr>
  </w:style>
  <w:style w:type="character" w:styleId="1293" w:customStyle="1">
    <w:name w:val="超链接1"/>
    <w:uiPriority w:val="99"/>
    <w:qFormat/>
    <w:rPr>
      <w:rFonts w:ascii="Calibri" w:hAnsi="Calibri" w:eastAsia="宋体" w:cs="Times New Roman"/>
      <w:color w:val="0000ff"/>
      <w:u w:val="single"/>
    </w:rPr>
  </w:style>
  <w:style w:type="character" w:styleId="1294" w:customStyle="1">
    <w:name w:val="批注引用1"/>
    <w:uiPriority w:val="0"/>
    <w:qFormat/>
    <w:rPr>
      <w:rFonts w:ascii="Calibri" w:hAnsi="Calibri" w:eastAsia="宋体" w:cs="Times New Roman"/>
      <w:sz w:val="21"/>
      <w:szCs w:val="21"/>
    </w:rPr>
  </w:style>
  <w:style w:type="character" w:styleId="1295" w:customStyle="1">
    <w:name w:val="脚注引用1"/>
    <w:uiPriority w:val="0"/>
    <w:qFormat/>
    <w:rPr>
      <w:rFonts w:ascii="Times New Roman" w:hAnsi="Times New Roman" w:eastAsia="宋体" w:cs="Times New Roman"/>
      <w:vertAlign w:val="superscript"/>
    </w:rPr>
  </w:style>
  <w:style w:type="character" w:styleId="1296" w:customStyle="1">
    <w:name w:val="s4"/>
    <w:uiPriority w:val="0"/>
    <w:qFormat/>
    <w:rPr>
      <w:rFonts w:ascii="Calibri" w:hAnsi="Calibri" w:eastAsia="宋体" w:cs="Times New Roman"/>
    </w:rPr>
  </w:style>
  <w:style w:type="character" w:styleId="1297" w:customStyle="1">
    <w:name w:val="s1"/>
    <w:uiPriority w:val="0"/>
    <w:qFormat/>
    <w:rPr>
      <w:rFonts w:ascii="Calibri" w:hAnsi="Calibri" w:eastAsia="宋体" w:cs="Times New Roman"/>
    </w:rPr>
  </w:style>
  <w:style w:type="character" w:styleId="1298" w:customStyle="1">
    <w:name w:val="s5"/>
    <w:uiPriority w:val="0"/>
    <w:qFormat/>
    <w:rPr>
      <w:rFonts w:ascii="Calibri" w:hAnsi="Calibri" w:eastAsia="宋体" w:cs="Times New Roman"/>
    </w:rPr>
  </w:style>
  <w:style w:type="character" w:styleId="1299" w:customStyle="1">
    <w:name w:val="纯文本 Char1"/>
    <w:uiPriority w:val="99"/>
    <w:semiHidden/>
    <w:qFormat/>
    <w:rPr>
      <w:rFonts w:ascii="宋体" w:hAnsi="Courier New" w:eastAsia="宋体" w:cs="Courier New"/>
      <w:sz w:val="21"/>
      <w:szCs w:val="21"/>
    </w:rPr>
  </w:style>
  <w:style w:type="character" w:styleId="1300" w:customStyle="1">
    <w:name w:val="页脚 Char1"/>
    <w:uiPriority w:val="0"/>
    <w:qFormat/>
    <w:rPr>
      <w:rFonts w:ascii="Times New Roman" w:hAnsi="Times New Roman" w:eastAsia="宋体" w:cs="Times New Roman"/>
      <w:sz w:val="18"/>
      <w:szCs w:val="18"/>
    </w:rPr>
  </w:style>
  <w:style w:type="character" w:styleId="1301" w:customStyle="1">
    <w:name w:val="页眉 Char1"/>
    <w:uiPriority w:val="0"/>
    <w:qFormat/>
    <w:rPr>
      <w:rFonts w:ascii="Times New Roman" w:hAnsi="Times New Roman" w:eastAsia="宋体" w:cs="Times New Roman"/>
      <w:sz w:val="18"/>
      <w:szCs w:val="18"/>
    </w:rPr>
  </w:style>
  <w:style w:type="character" w:styleId="1302" w:customStyle="1">
    <w:name w:val="s2"/>
    <w:uiPriority w:val="0"/>
    <w:qFormat/>
    <w:rPr>
      <w:rFonts w:ascii="Calibri" w:hAnsi="Calibri" w:eastAsia="宋体" w:cs="Times New Roman"/>
    </w:rPr>
  </w:style>
  <w:style w:type="character" w:styleId="1303" w:customStyle="1">
    <w:name w:val="s3"/>
    <w:uiPriority w:val="0"/>
    <w:qFormat/>
    <w:rPr>
      <w:rFonts w:ascii="Calibri" w:hAnsi="Calibri" w:eastAsia="宋体" w:cs="Times New Roman"/>
    </w:rPr>
  </w:style>
  <w:style w:type="paragraph" w:styleId="1304" w:customStyle="1">
    <w:name w:val="Char Char Char Char Char Char1 Char Char Char Char"/>
    <w:basedOn w:val="902"/>
    <w:next w:val="1091"/>
    <w:uiPriority w:val="0"/>
    <w:qFormat/>
    <w:pPr>
      <w:jc w:val="left"/>
      <w:spacing w:line="360" w:lineRule="auto"/>
      <w:shd w:val="clear" w:color="auto" w:fill="000080"/>
      <w:widowControl/>
    </w:pPr>
    <w:rPr>
      <w:sz w:val="24"/>
    </w:rPr>
  </w:style>
  <w:style w:type="paragraph" w:styleId="1305" w:customStyle="1">
    <w:name w:val="p0"/>
    <w:basedOn w:val="902"/>
    <w:uiPriority w:val="0"/>
    <w:qFormat/>
    <w:rPr>
      <w:rFonts w:ascii="Calibri" w:hAnsi="Calibri"/>
    </w:rPr>
  </w:style>
  <w:style w:type="paragraph" w:styleId="1306" w:customStyle="1">
    <w:name w:val="p2"/>
    <w:basedOn w:val="902"/>
    <w:uiPriority w:val="0"/>
    <w:qFormat/>
    <w:pPr>
      <w:jc w:val="left"/>
      <w:spacing w:before="100" w:beforeAutospacing="1" w:after="100" w:afterAutospacing="1"/>
      <w:widowControl/>
    </w:pPr>
    <w:rPr>
      <w:rFonts w:ascii="宋体" w:hAnsi="宋体" w:cs="宋体"/>
      <w:sz w:val="24"/>
    </w:rPr>
  </w:style>
  <w:style w:type="paragraph" w:styleId="1307" w:customStyle="1">
    <w:name w:val="列表段落1"/>
    <w:basedOn w:val="902"/>
    <w:uiPriority w:val="0"/>
    <w:qFormat/>
    <w:pPr>
      <w:ind w:firstLine="420"/>
    </w:pPr>
    <w:rPr>
      <w:rFonts w:ascii="Calibri" w:hAnsi="Calibri"/>
      <w:szCs w:val="22"/>
    </w:rPr>
  </w:style>
  <w:style w:type="paragraph" w:styleId="1308" w:customStyle="1">
    <w:name w:val="正文_0"/>
    <w:uiPriority w:val="0"/>
    <w:qFormat/>
    <w:rPr>
      <w:rFonts w:hint="default" w:ascii="Times New Roman" w:hAnsi="Times New Roman" w:eastAsia="宋体" w:cs="Times New Roman"/>
      <w:sz w:val="21"/>
      <w:lang w:val="en-US" w:eastAsia="zh-CN" w:bidi="ar-SA"/>
    </w:rPr>
  </w:style>
  <w:style w:type="paragraph" w:styleId="1309" w:customStyle="1">
    <w:name w:val="p4"/>
    <w:basedOn w:val="902"/>
    <w:uiPriority w:val="0"/>
    <w:qFormat/>
    <w:pPr>
      <w:jc w:val="left"/>
      <w:spacing w:before="100" w:beforeAutospacing="1" w:after="100" w:afterAutospacing="1"/>
      <w:widowControl/>
    </w:pPr>
    <w:rPr>
      <w:rFonts w:ascii="宋体" w:hAnsi="宋体" w:cs="宋体"/>
      <w:sz w:val="24"/>
    </w:rPr>
  </w:style>
  <w:style w:type="paragraph" w:styleId="1310" w:customStyle="1">
    <w:name w:val="Char Char1 Char Char Char Char Char Char"/>
    <w:basedOn w:val="902"/>
    <w:uiPriority w:val="0"/>
    <w:qFormat/>
    <w:pPr>
      <w:jc w:val="left"/>
      <w:spacing w:after="160" w:line="240" w:lineRule="exact"/>
      <w:widowControl/>
    </w:pPr>
    <w:rPr>
      <w:rFonts w:ascii="Verdana" w:hAnsi="Verdana" w:eastAsia="方正仿宋_GB2312"/>
      <w:sz w:val="24"/>
      <w:szCs w:val="20"/>
      <w:lang w:eastAsia="en-US"/>
    </w:rPr>
  </w:style>
  <w:style w:type="paragraph" w:styleId="1311" w:customStyle="1">
    <w:name w:val="纯文本3"/>
    <w:basedOn w:val="902"/>
    <w:uiPriority w:val="0"/>
    <w:qFormat/>
    <w:pPr>
      <w:jc w:val="left"/>
      <w:widowControl/>
    </w:pPr>
    <w:rPr>
      <w:rFonts w:ascii="宋体" w:hAnsi="Courier New" w:eastAsia="方正楷体_GB2312"/>
      <w:sz w:val="26"/>
      <w:szCs w:val="20"/>
    </w:rPr>
  </w:style>
  <w:style w:type="paragraph" w:styleId="1312" w:customStyle="1">
    <w:name w:val="列出段落1"/>
    <w:basedOn w:val="1308"/>
    <w:uiPriority w:val="0"/>
    <w:qFormat/>
    <w:pPr>
      <w:ind w:firstLine="420"/>
      <w:jc w:val="both"/>
      <w:widowControl w:val="off"/>
    </w:pPr>
    <w:rPr>
      <w:rFonts w:ascii="Calibri" w:hAnsi="Calibri"/>
      <w:szCs w:val="24"/>
    </w:rPr>
  </w:style>
  <w:style w:type="paragraph" w:styleId="1313" w:customStyle="1">
    <w:name w:val="p3"/>
    <w:basedOn w:val="902"/>
    <w:uiPriority w:val="0"/>
    <w:qFormat/>
    <w:pPr>
      <w:jc w:val="left"/>
      <w:spacing w:before="100" w:beforeAutospacing="1" w:after="100" w:afterAutospacing="1"/>
      <w:widowControl/>
    </w:pPr>
    <w:rPr>
      <w:rFonts w:ascii="宋体" w:hAnsi="宋体" w:cs="宋体"/>
      <w:sz w:val="24"/>
    </w:rPr>
  </w:style>
  <w:style w:type="paragraph" w:styleId="1314" w:customStyle="1">
    <w:name w:val="p6"/>
    <w:basedOn w:val="902"/>
    <w:uiPriority w:val="0"/>
    <w:qFormat/>
    <w:pPr>
      <w:jc w:val="left"/>
      <w:spacing w:before="100" w:beforeAutospacing="1" w:after="100" w:afterAutospacing="1"/>
      <w:widowControl/>
    </w:pPr>
    <w:rPr>
      <w:rFonts w:ascii="宋体" w:hAnsi="宋体" w:cs="宋体"/>
      <w:sz w:val="24"/>
    </w:rPr>
  </w:style>
  <w:style w:type="paragraph" w:styleId="1315" w:customStyle="1">
    <w:name w:val="首行缩进:  0.74 厘米 行距: 多倍行距 1.3 字行"/>
    <w:basedOn w:val="902"/>
    <w:uiPriority w:val="0"/>
    <w:qFormat/>
    <w:pPr>
      <w:ind w:firstLine="420"/>
      <w:spacing w:line="312" w:lineRule="auto"/>
    </w:pPr>
    <w:rPr>
      <w:rFonts w:ascii="Calibri" w:hAnsi="Calibri" w:cs="宋体"/>
      <w:sz w:val="24"/>
      <w:szCs w:val="20"/>
    </w:rPr>
  </w:style>
  <w:style w:type="paragraph" w:styleId="1316" w:customStyle="1">
    <w:name w:val="p7"/>
    <w:basedOn w:val="902"/>
    <w:uiPriority w:val="0"/>
    <w:qFormat/>
    <w:pPr>
      <w:jc w:val="left"/>
      <w:spacing w:before="100" w:beforeAutospacing="1" w:after="100" w:afterAutospacing="1"/>
      <w:widowControl/>
    </w:pPr>
    <w:rPr>
      <w:rFonts w:ascii="宋体" w:hAnsi="宋体" w:cs="宋体"/>
      <w:sz w:val="24"/>
    </w:rPr>
  </w:style>
  <w:style w:type="paragraph" w:styleId="1317" w:customStyle="1">
    <w:name w:val="+正文"/>
    <w:basedOn w:val="902"/>
    <w:uiPriority w:val="0"/>
    <w:qFormat/>
    <w:pPr>
      <w:ind w:firstLine="200"/>
      <w:spacing w:line="360" w:lineRule="auto"/>
    </w:pPr>
    <w:rPr>
      <w:sz w:val="24"/>
      <w:szCs w:val="20"/>
    </w:rPr>
  </w:style>
  <w:style w:type="paragraph" w:styleId="1318" w:customStyle="1">
    <w:name w:val="Char"/>
    <w:basedOn w:val="902"/>
    <w:uiPriority w:val="0"/>
    <w:qFormat/>
    <w:rPr>
      <w:rFonts w:ascii="Tahoma" w:hAnsi="Tahoma"/>
      <w:sz w:val="24"/>
      <w:szCs w:val="20"/>
    </w:rPr>
  </w:style>
  <w:style w:type="paragraph" w:styleId="1319" w:customStyle="1">
    <w:name w:val="p1"/>
    <w:basedOn w:val="902"/>
    <w:uiPriority w:val="0"/>
    <w:qFormat/>
    <w:pPr>
      <w:jc w:val="left"/>
      <w:spacing w:before="100" w:beforeAutospacing="1" w:after="100" w:afterAutospacing="1"/>
      <w:widowControl/>
    </w:pPr>
    <w:rPr>
      <w:rFonts w:ascii="宋体" w:hAnsi="宋体" w:cs="宋体"/>
      <w:sz w:val="24"/>
    </w:rPr>
  </w:style>
  <w:style w:type="paragraph" w:styleId="1320" w:customStyle="1">
    <w:name w:val="正文 A A"/>
    <w:uiPriority w:val="0"/>
    <w:qFormat/>
    <w:pPr>
      <w:jc w:val="both"/>
      <w:widowControl w:val="off"/>
      <w:framePr w:wrap="around" w:vAnchor="margin" w:hAnchor="text" w:yAlign="top"/>
    </w:pPr>
    <w:rPr>
      <w:rFonts w:hint="eastAsia" w:ascii="Arial Unicode MS" w:hAnsi="Arial Unicode MS" w:eastAsia="Times New Roman" w:cs="Arial Unicode MS"/>
      <w:color w:val="000000"/>
      <w:sz w:val="21"/>
      <w:szCs w:val="21"/>
      <w:lang w:val="en-US" w:eastAsia="zh-CN" w:bidi="ar-SA"/>
    </w:rPr>
  </w:style>
  <w:style w:type="paragraph" w:styleId="1321" w:customStyle="1">
    <w:name w:val="Plain Text1"/>
    <w:basedOn w:val="902"/>
    <w:uiPriority w:val="0"/>
    <w:qFormat/>
    <w:rPr>
      <w:rFonts w:ascii="宋体" w:hAnsi="Courier New" w:eastAsia="方正楷体_GB2312"/>
      <w:sz w:val="26"/>
      <w:szCs w:val="20"/>
    </w:rPr>
  </w:style>
  <w:style w:type="paragraph" w:styleId="1322" w:customStyle="1">
    <w:name w:val="正文 A"/>
    <w:uiPriority w:val="99"/>
    <w:qFormat/>
    <w:pPr>
      <w:jc w:val="both"/>
      <w:widowControl w:val="off"/>
      <w:framePr w:wrap="around" w:vAnchor="margin" w:hAnchor="text" w:y="1"/>
    </w:pPr>
    <w:rPr>
      <w:rFonts w:hint="default" w:ascii="Times New Roman" w:hAnsi="Times New Roman" w:eastAsia="宋体" w:cs="Times New Roman"/>
      <w:color w:val="000000"/>
      <w:sz w:val="30"/>
      <w:szCs w:val="30"/>
      <w:lang w:val="en-US" w:eastAsia="zh-CN" w:bidi="ar-SA"/>
    </w:rPr>
  </w:style>
  <w:style w:type="paragraph" w:styleId="1323" w:customStyle="1">
    <w:name w:val="List Paragraph11"/>
    <w:basedOn w:val="902"/>
    <w:uiPriority w:val="0"/>
    <w:qFormat/>
    <w:pPr>
      <w:ind w:firstLine="420"/>
    </w:pPr>
    <w:rPr>
      <w:rFonts w:ascii="Calibri" w:hAnsi="Calibri"/>
    </w:rPr>
  </w:style>
  <w:style w:type="paragraph" w:styleId="1324" w:customStyle="1">
    <w:name w:val="纯文本1"/>
    <w:basedOn w:val="902"/>
    <w:uiPriority w:val="0"/>
    <w:qFormat/>
    <w:rPr>
      <w:rFonts w:ascii="宋体" w:hAnsi="Courier New" w:eastAsia="方正楷体_GB2312"/>
      <w:sz w:val="28"/>
      <w:szCs w:val="20"/>
    </w:rPr>
  </w:style>
  <w:style w:type="paragraph" w:styleId="1325" w:customStyle="1">
    <w:name w:val="xl47"/>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26" w:customStyle="1">
    <w:name w:val="TOC 标题2"/>
    <w:basedOn w:val="1252"/>
    <w:next w:val="902"/>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27" w:customStyle="1">
    <w:name w:val="纯文本2"/>
    <w:basedOn w:val="902"/>
    <w:uiPriority w:val="0"/>
    <w:qFormat/>
    <w:rPr>
      <w:rFonts w:ascii="宋体" w:hAnsi="Courier New" w:eastAsia="方正楷体_GB2312"/>
      <w:sz w:val="26"/>
      <w:szCs w:val="20"/>
    </w:rPr>
  </w:style>
  <w:style w:type="character" w:styleId="1328" w:customStyle="1">
    <w:name w:val="font11"/>
    <w:uiPriority w:val="0"/>
    <w:qFormat/>
    <w:rPr>
      <w:rFonts w:hint="eastAsia" w:ascii="宋体" w:hAnsi="宋体" w:eastAsia="宋体" w:cs="宋体"/>
      <w:color w:val="000000"/>
      <w:sz w:val="22"/>
      <w:szCs w:val="22"/>
      <w:u w:val="none"/>
    </w:rPr>
  </w:style>
  <w:style w:type="character" w:styleId="1329" w:customStyle="1">
    <w:name w:val="font01"/>
    <w:uiPriority w:val="0"/>
    <w:qFormat/>
    <w:rPr>
      <w:rFonts w:hint="eastAsia" w:ascii="宋体" w:hAnsi="宋体" w:eastAsia="宋体" w:cs="宋体"/>
      <w:color w:val="000000"/>
      <w:sz w:val="21"/>
      <w:szCs w:val="21"/>
      <w:u w:val="none"/>
    </w:rPr>
  </w:style>
  <w:style w:type="character" w:styleId="1330" w:customStyle="1">
    <w:name w:val="font31"/>
    <w:uiPriority w:val="0"/>
    <w:qFormat/>
    <w:rPr>
      <w:rFonts w:hint="eastAsia" w:ascii="宋体" w:hAnsi="宋体" w:eastAsia="宋体" w:cs="宋体"/>
      <w:color w:val="000000"/>
      <w:sz w:val="22"/>
      <w:szCs w:val="22"/>
      <w:u w:val="none"/>
    </w:rPr>
  </w:style>
  <w:style w:type="character" w:styleId="1331" w:customStyle="1">
    <w:name w:val="font51"/>
    <w:uiPriority w:val="0"/>
    <w:qFormat/>
    <w:rPr>
      <w:rFonts w:hint="eastAsia" w:ascii="宋体" w:hAnsi="宋体" w:eastAsia="宋体" w:cs="宋体"/>
      <w:color w:val="000000"/>
      <w:sz w:val="21"/>
      <w:szCs w:val="21"/>
      <w:u w:val="none"/>
    </w:rPr>
  </w:style>
  <w:style w:type="paragraph" w:styleId="1332" w:customStyle="1">
    <w:name w:val="Table Text"/>
    <w:basedOn w:val="902"/>
    <w:uiPriority w:val="0"/>
    <w:semiHidden/>
    <w:qFormat/>
    <w:rPr>
      <w:rFonts w:ascii="宋体" w:hAnsi="宋体" w:cs="宋体"/>
      <w:sz w:val="14"/>
      <w:szCs w:val="14"/>
      <w:lang w:eastAsia="en-US"/>
    </w:rPr>
  </w:style>
  <w:style w:type="table" w:styleId="1333" w:customStyle="1">
    <w:name w:val="Table Normal_0"/>
    <w:uiPriority w:val="0"/>
    <w:unhideWhenUsed/>
    <w:qFormat/>
    <w:tblPr>
      <w:tblCellMar>
        <w:left w:w="0" w:type="dxa"/>
        <w:top w:w="0" w:type="dxa"/>
        <w:right w:w="0" w:type="dxa"/>
        <w:bottom w:w="0" w:type="dxa"/>
      </w:tblCellMar>
    </w:tblPr>
  </w:style>
  <w:style w:type="character" w:styleId="1334" w:customStyle="1">
    <w:name w:val="未处理的提及1"/>
    <w:uiPriority w:val="99"/>
    <w:unhideWhenUsed/>
    <w:qFormat/>
    <w:rPr>
      <w:rFonts w:ascii="Calibri" w:hAnsi="Calibri" w:eastAsia="宋体" w:cs="Times New Roman"/>
      <w:color w:val="605e5c"/>
      <w:shd w:val="clear" w:color="auto" w:fill="e1dfdd"/>
    </w:rPr>
  </w:style>
  <w:style w:type="paragraph" w:styleId="1335" w:customStyle="1">
    <w:name w:val="页眉1"/>
    <w:basedOn w:val="902"/>
    <w:uiPriority w:val="0"/>
    <w:qFormat/>
    <w:pPr>
      <w:jc w:val="center"/>
      <w:tabs>
        <w:tab w:val="center" w:pos="4153" w:leader="none"/>
        <w:tab w:val="right" w:pos="8306" w:leader="none"/>
      </w:tabs>
    </w:pPr>
    <w:rPr>
      <w:sz w:val="18"/>
      <w:szCs w:val="18"/>
    </w:rPr>
  </w:style>
  <w:style w:type="paragraph" w:styleId="1336" w:customStyle="1">
    <w:name w:val="页脚1"/>
    <w:basedOn w:val="1252"/>
    <w:next w:val="1337"/>
    <w:uiPriority w:val="99"/>
    <w:qFormat/>
    <w:pPr>
      <w:jc w:val="left"/>
      <w:tabs>
        <w:tab w:val="center" w:pos="4153" w:leader="none"/>
        <w:tab w:val="right" w:pos="8306" w:leader="none"/>
      </w:tabs>
    </w:pPr>
    <w:rPr>
      <w:sz w:val="18"/>
      <w:szCs w:val="18"/>
    </w:rPr>
  </w:style>
  <w:style w:type="paragraph" w:styleId="1337" w:customStyle="1">
    <w:name w:val="Char Char Char Char Char Char Char Char Char Char Char Char Char"/>
    <w:basedOn w:val="1252"/>
    <w:next w:val="902"/>
    <w:uiPriority w:val="0"/>
    <w:qFormat/>
    <w:pPr>
      <w:ind w:firstLine="3584"/>
      <w:spacing w:before="0" w:after="160" w:line="240" w:lineRule="exact"/>
    </w:pPr>
  </w:style>
  <w:style w:type="paragraph" w:styleId="1338" w:customStyle="1">
    <w:name w:val="纯文本4"/>
    <w:basedOn w:val="902"/>
    <w:uiPriority w:val="0"/>
    <w:qFormat/>
    <w:rPr>
      <w:rFonts w:ascii="宋体" w:hAnsi="Courier New" w:eastAsia="方正楷体_GB2312"/>
      <w:sz w:val="26"/>
      <w:szCs w:val="20"/>
    </w:rPr>
  </w:style>
  <w:style w:type="character" w:styleId="1339" w:customStyle="1">
    <w:name w:val="font131"/>
    <w:uiPriority w:val="0"/>
    <w:qFormat/>
    <w:rPr>
      <w:rFonts w:hint="eastAsia" w:ascii="宋体" w:hAnsi="宋体" w:eastAsia="宋体" w:cs="宋体"/>
      <w:color w:val="000000"/>
      <w:sz w:val="21"/>
      <w:szCs w:val="21"/>
      <w:u w:val="single"/>
    </w:rPr>
  </w:style>
  <w:style w:type="character" w:styleId="1340" w:customStyle="1">
    <w:name w:val="font81"/>
    <w:uiPriority w:val="0"/>
    <w:qFormat/>
    <w:rPr>
      <w:rFonts w:hint="eastAsia" w:ascii="宋体" w:hAnsi="宋体" w:eastAsia="宋体" w:cs="宋体"/>
      <w:color w:val="000000"/>
      <w:sz w:val="21"/>
      <w:szCs w:val="21"/>
      <w:u w:val="none"/>
    </w:rPr>
  </w:style>
  <w:style w:type="character" w:styleId="1341" w:customStyle="1">
    <w:name w:val="font141"/>
    <w:uiPriority w:val="0"/>
    <w:qFormat/>
    <w:rPr>
      <w:rFonts w:ascii="Arial" w:hAnsi="Arial" w:cs="Arial"/>
      <w:color w:val="000000"/>
      <w:sz w:val="21"/>
      <w:szCs w:val="21"/>
      <w:u w:val="none"/>
    </w:rPr>
  </w:style>
  <w:style w:type="character" w:styleId="1342" w:customStyle="1">
    <w:name w:val="font151"/>
    <w:uiPriority w:val="0"/>
    <w:qFormat/>
    <w:rPr>
      <w:rFonts w:ascii="Calibri" w:hAnsi="Calibri" w:cs="Calibri"/>
      <w:color w:val="ff0000"/>
      <w:sz w:val="21"/>
      <w:szCs w:val="21"/>
      <w:u w:val="none"/>
    </w:rPr>
  </w:style>
  <w:style w:type="character" w:styleId="1343" w:customStyle="1">
    <w:name w:val="font122"/>
    <w:uiPriority w:val="0"/>
    <w:qFormat/>
    <w:rPr>
      <w:rFonts w:hint="eastAsia" w:ascii="宋体" w:hAnsi="宋体" w:eastAsia="宋体" w:cs="宋体"/>
      <w:color w:val="ff0000"/>
      <w:sz w:val="21"/>
      <w:szCs w:val="21"/>
      <w:u w:val="none"/>
    </w:rPr>
  </w:style>
  <w:style w:type="character" w:styleId="1344" w:customStyle="1">
    <w:name w:val="font12"/>
    <w:uiPriority w:val="0"/>
    <w:qFormat/>
    <w:rPr>
      <w:rFonts w:ascii="Arial" w:hAnsi="Arial" w:cs="Arial"/>
      <w:color w:val="000000"/>
      <w:sz w:val="18"/>
      <w:szCs w:val="18"/>
      <w:u w:val="none"/>
    </w:rPr>
  </w:style>
  <w:style w:type="character" w:styleId="1345" w:customStyle="1">
    <w:name w:val="font161"/>
    <w:uiPriority w:val="0"/>
    <w:qFormat/>
    <w:rPr>
      <w:rFonts w:hint="eastAsia" w:ascii="宋体" w:hAnsi="宋体" w:eastAsia="宋体" w:cs="宋体"/>
      <w:color w:val="000000"/>
      <w:sz w:val="18"/>
      <w:szCs w:val="18"/>
      <w:u w:val="none"/>
    </w:rPr>
  </w:style>
  <w:style w:type="paragraph" w:styleId="1346" w:customStyle="1">
    <w:name w:val="正文文本缩进 31"/>
    <w:basedOn w:val="902"/>
    <w:uiPriority w:val="0"/>
    <w:qFormat/>
    <w:pPr>
      <w:ind w:firstLine="617"/>
      <w:spacing w:line="360" w:lineRule="auto"/>
    </w:pPr>
    <w:rPr>
      <w:sz w:val="24"/>
    </w:rPr>
  </w:style>
  <w:style w:type="paragraph" w:styleId="1347" w:customStyle="1">
    <w:name w:val="正文缩进11"/>
    <w:basedOn w:val="902"/>
    <w:next w:val="902"/>
    <w:uiPriority w:val="0"/>
    <w:qFormat/>
    <w:pPr>
      <w:ind w:firstLine="420"/>
      <w:jc w:val="left"/>
    </w:pPr>
    <w:rPr>
      <w:rFonts w:eastAsia="方正楷体_GB2312"/>
      <w:sz w:val="24"/>
      <w:szCs w:val="20"/>
    </w:rPr>
  </w:style>
  <w:style w:type="paragraph" w:styleId="1348" w:customStyle="1">
    <w:name w:val="正文缩进1"/>
    <w:basedOn w:val="902"/>
    <w:next w:val="902"/>
    <w:uiPriority w:val="0"/>
    <w:qFormat/>
    <w:pPr>
      <w:ind w:firstLine="200"/>
    </w:pPr>
    <w:rPr>
      <w:sz w:val="24"/>
    </w:rPr>
  </w:style>
  <w:style w:type="paragraph" w:styleId="1349" w:customStyle="1">
    <w:name w:val="普通(网站)1"/>
    <w:basedOn w:val="902"/>
    <w:uiPriority w:val="0"/>
    <w:qFormat/>
    <w:pPr>
      <w:jc w:val="left"/>
      <w:spacing w:before="100" w:beforeAutospacing="1" w:after="100" w:afterAutospacing="1"/>
      <w:widowControl/>
    </w:pPr>
    <w:rPr>
      <w:rFonts w:ascii="宋体" w:hAnsi="宋体"/>
      <w:sz w:val="24"/>
    </w:rPr>
  </w:style>
  <w:style w:type="paragraph" w:styleId="1350" w:customStyle="1">
    <w:name w:val="纯文本111"/>
    <w:basedOn w:val="902"/>
    <w:uiPriority w:val="0"/>
    <w:qFormat/>
    <w:rPr>
      <w:rFonts w:ascii="宋体" w:hAnsi="Courier New" w:eastAsia="方正楷体_GB2312"/>
      <w:sz w:val="28"/>
      <w:szCs w:val="20"/>
    </w:rPr>
  </w:style>
  <w:style w:type="paragraph" w:styleId="1351" w:customStyle="1">
    <w:name w:val="正文文本缩进11"/>
    <w:basedOn w:val="902"/>
    <w:next w:val="1352"/>
    <w:uiPriority w:val="0"/>
    <w:qFormat/>
    <w:pPr>
      <w:ind w:left="570"/>
      <w:spacing w:line="520" w:lineRule="exact"/>
    </w:pPr>
    <w:rPr>
      <w:rFonts w:ascii="方正仿宋简体" w:hAnsi="印品仿宋简 Medium" w:eastAsia="方正仿宋简体"/>
      <w:sz w:val="24"/>
      <w:szCs w:val="20"/>
    </w:rPr>
  </w:style>
  <w:style w:type="paragraph" w:styleId="1352" w:customStyle="1">
    <w:name w:val="目录 51"/>
    <w:next w:val="902"/>
    <w:uiPriority w:val="0"/>
    <w:qFormat/>
    <w:pPr>
      <w:ind w:left="1275"/>
      <w:jc w:val="both"/>
    </w:pPr>
    <w:rPr>
      <w:rFonts w:hint="default" w:ascii="Times New Roman" w:hAnsi="Times New Roman" w:eastAsia="宋体" w:cs="Times New Roman"/>
      <w:sz w:val="21"/>
      <w:lang w:val="en-US" w:eastAsia="zh-CN" w:bidi="ar-SA"/>
    </w:rPr>
  </w:style>
  <w:style w:type="paragraph" w:styleId="1353" w:customStyle="1">
    <w:name w:val="寄信人地址1"/>
    <w:basedOn w:val="902"/>
    <w:uiPriority w:val="0"/>
    <w:qFormat/>
    <w:rPr>
      <w:rFonts w:ascii="Arial" w:hAnsi="Arial" w:eastAsia="方正楷体_GB2312"/>
      <w:sz w:val="26"/>
      <w:szCs w:val="20"/>
    </w:rPr>
  </w:style>
  <w:style w:type="paragraph" w:styleId="1354" w:customStyle="1">
    <w:name w:val="纯文本5"/>
    <w:basedOn w:val="902"/>
    <w:uiPriority w:val="0"/>
    <w:qFormat/>
    <w:rPr>
      <w:rFonts w:hint="eastAsia" w:ascii="宋体" w:hAnsi="Courier New" w:eastAsia="方正楷体_GB2312"/>
      <w:sz w:val="28"/>
    </w:rPr>
  </w:style>
  <w:style w:type="character" w:styleId="1355" w:customStyle="1">
    <w:name w:val="批注文字 字符1"/>
    <w:basedOn w:val="912"/>
    <w:link w:val="917"/>
    <w:uiPriority w:val="99"/>
    <w:semiHidden/>
    <w:qFormat/>
    <w:rPr>
      <w:sz w:val="21"/>
      <w:szCs w:val="24"/>
    </w:rPr>
  </w:style>
  <w:style w:type="table" w:styleId="1356" w:customStyle="1">
    <w:name w:val="Table Normal"/>
    <w:uiPriority w:val="0"/>
    <w:unhideWhenUsed/>
    <w:qFormat/>
    <w:tblPr>
      <w:tblCellMar>
        <w:left w:w="0" w:type="dxa"/>
        <w:top w:w="0" w:type="dxa"/>
        <w:right w:w="0" w:type="dxa"/>
        <w:bottom w:w="0" w:type="dxa"/>
      </w:tblCellMar>
    </w:tblPr>
  </w:style>
  <w:style w:type="paragraph" w:styleId="1357" w:customStyle="1">
    <w:name w:val="列表段落"/>
    <w:basedOn w:val="902"/>
    <w:uiPriority w:val="0"/>
    <w:qFormat/>
    <w:pPr>
      <w:ind w:firstLine="420"/>
      <w:jc w:val="both"/>
      <w:widowControl w:val="off"/>
    </w:pPr>
    <w:rPr>
      <w:rFonts w:ascii="Calibri" w:hAnsi="Calibri" w:eastAsia="宋体" w:cs="Times New Roman"/>
      <w:szCs w:val="22"/>
    </w:rPr>
  </w:style>
  <w:style w:type="numbering" w:styleId="1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孙继伟</cp:lastModifiedBy>
  <cp:revision>6</cp:revision>
  <dcterms:created xsi:type="dcterms:W3CDTF">2026-06-24T02:31:00Z</dcterms:created>
  <dcterms:modified xsi:type="dcterms:W3CDTF">2026-10-26T03:32:02Z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4A8CD5F66FA44B2FB5DFA52CACEAB4FD_13</vt:lpwstr>
  </property>
  <property fmtid="{D5CDD505-2E9C-101B-9397-08002B2CF9AE}" pid="3" name="KSOProductBuildVer">
    <vt:lpwstr>2052-12.1.0.29161</vt:lpwstr>
  </property>
  <property fmtid="{D5CDD505-2E9C-101B-9397-08002B2CF9AE}" pid="4" name="KSOTemplateDocerSaveRecord">
    <vt:lpwstr>eyJoZGlkIjoiMmI0NWM4MGU0ZDBmMDk3MTdhNTY5OTE4ZWQ1Y2NkYzciLCJ1c2VySWQiOiI2MTIwNzA1MTgifQ==</vt:lpwstr>
  </property>
</Properties>
</file>